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9.xml" ContentType="application/vnd.openxmlformats-officedocument.wordprocessingml.header+xml"/>
  <Override PartName="/word/footer12.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13.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oter14.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28.xml" ContentType="application/vnd.openxmlformats-officedocument.wordprocessingml.header+xml"/>
  <Override PartName="/word/footer17.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footer18.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34.xml" ContentType="application/vnd.openxmlformats-officedocument.wordprocessingml.header+xml"/>
  <Override PartName="/word/footer21.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footer22.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footer23.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24.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footer25.xml" ContentType="application/vnd.openxmlformats-officedocument.wordprocessingml.footer+xml"/>
  <Override PartName="/word/header46.xml" ContentType="application/vnd.openxmlformats-officedocument.wordprocessingml.header+xml"/>
  <Override PartName="/word/footer26.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27.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55.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header58.xml" ContentType="application/vnd.openxmlformats-officedocument.wordprocessingml.header+xml"/>
  <Override PartName="/word/footer34.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35.xml" ContentType="application/vnd.openxmlformats-officedocument.wordprocessingml.footer+xml"/>
  <Override PartName="/word/header61.xml" ContentType="application/vnd.openxmlformats-officedocument.wordprocessingml.header+xml"/>
  <Override PartName="/word/footer36.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footer37.xml" ContentType="application/vnd.openxmlformats-officedocument.wordprocessingml.footer+xml"/>
  <Override PartName="/word/header65.xml" ContentType="application/vnd.openxmlformats-officedocument.wordprocessingml.header+xml"/>
  <Override PartName="/word/footer3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139CD2" w14:textId="77777777" w:rsidR="008270D6" w:rsidRDefault="008270D6" w:rsidP="005C57E5">
      <w:pPr>
        <w:jc w:val="right"/>
        <w:rPr>
          <w:rFonts w:cs="Times New Roman"/>
          <w:szCs w:val="20"/>
        </w:rPr>
      </w:pPr>
    </w:p>
    <w:p w14:paraId="4C8087DE" w14:textId="77777777" w:rsidR="008270D6" w:rsidRDefault="008270D6" w:rsidP="005C57E5">
      <w:pPr>
        <w:jc w:val="right"/>
        <w:rPr>
          <w:rFonts w:cs="Times New Roman"/>
          <w:szCs w:val="20"/>
        </w:rPr>
      </w:pPr>
    </w:p>
    <w:p w14:paraId="62F96B83" w14:textId="59487A16" w:rsidR="00F47555" w:rsidRPr="0043431B" w:rsidRDefault="00F47555" w:rsidP="00853670">
      <w:pPr>
        <w:spacing w:after="0" w:line="240" w:lineRule="auto"/>
        <w:jc w:val="right"/>
        <w:rPr>
          <w:rFonts w:cs="Times New Roman"/>
          <w:szCs w:val="20"/>
        </w:rPr>
      </w:pPr>
      <w:r w:rsidRPr="0043431B">
        <w:rPr>
          <w:rFonts w:cs="Times New Roman"/>
          <w:szCs w:val="20"/>
        </w:rPr>
        <w:t>Original: English</w:t>
      </w:r>
    </w:p>
    <w:p w14:paraId="159E7C86" w14:textId="77777777" w:rsidR="00F47555" w:rsidRPr="0043431B" w:rsidRDefault="00F47555" w:rsidP="00853670">
      <w:pPr>
        <w:spacing w:after="240" w:line="240" w:lineRule="auto"/>
        <w:jc w:val="right"/>
        <w:rPr>
          <w:rFonts w:cs="Times New Roman"/>
        </w:rPr>
      </w:pPr>
      <w:r w:rsidRPr="0043431B">
        <w:rPr>
          <w:rFonts w:cs="Times New Roman"/>
          <w:szCs w:val="20"/>
        </w:rPr>
        <w:tab/>
      </w:r>
      <w:r w:rsidRPr="0043431B">
        <w:rPr>
          <w:rFonts w:cs="Times New Roman"/>
          <w:szCs w:val="20"/>
        </w:rPr>
        <w:tab/>
        <w:t>February 2020</w:t>
      </w:r>
    </w:p>
    <w:p w14:paraId="5524F77E" w14:textId="77777777" w:rsidR="00596091" w:rsidRPr="00F47555" w:rsidRDefault="00596091" w:rsidP="00F47555">
      <w:pPr>
        <w:tabs>
          <w:tab w:val="left" w:pos="567"/>
        </w:tabs>
        <w:spacing w:after="240" w:line="240" w:lineRule="auto"/>
        <w:ind w:left="426" w:right="-286" w:hanging="426"/>
        <w:jc w:val="center"/>
        <w:rPr>
          <w:rFonts w:ascii="Arial" w:hAnsi="Arial" w:cs="Arial"/>
          <w:b/>
          <w:szCs w:val="20"/>
        </w:rPr>
      </w:pPr>
      <w:r w:rsidRPr="00F47555">
        <w:rPr>
          <w:rFonts w:ascii="Arial" w:hAnsi="Arial" w:cs="Arial"/>
          <w:b/>
          <w:szCs w:val="20"/>
        </w:rPr>
        <w:t>REPORT OF THE MEETING OF THE OIE</w:t>
      </w:r>
      <w:r w:rsidRPr="00F47555">
        <w:rPr>
          <w:rFonts w:ascii="Arial" w:hAnsi="Arial" w:cs="Arial"/>
          <w:b/>
          <w:szCs w:val="20"/>
        </w:rPr>
        <w:br/>
        <w:t>AQUATIC ANIMAL HEALTH STANDARDS COMMISSION</w:t>
      </w:r>
    </w:p>
    <w:p w14:paraId="06377C03" w14:textId="2AC4E911" w:rsidR="00596091" w:rsidRDefault="00596091" w:rsidP="00F47555">
      <w:pPr>
        <w:spacing w:after="240" w:line="240" w:lineRule="auto"/>
        <w:ind w:right="-286"/>
        <w:jc w:val="center"/>
        <w:rPr>
          <w:rFonts w:ascii="Arial" w:hAnsi="Arial" w:cs="Arial"/>
          <w:b/>
          <w:bCs/>
          <w:szCs w:val="20"/>
        </w:rPr>
      </w:pPr>
      <w:r w:rsidRPr="00F47555">
        <w:rPr>
          <w:rFonts w:ascii="Arial" w:hAnsi="Arial" w:cs="Arial"/>
          <w:b/>
          <w:bCs/>
          <w:szCs w:val="20"/>
        </w:rPr>
        <w:t>Paris, 19‒26 February 2020</w:t>
      </w:r>
    </w:p>
    <w:p w14:paraId="549DCE6F" w14:textId="77777777" w:rsidR="00A135FE" w:rsidRPr="00A135FE" w:rsidRDefault="00A135FE" w:rsidP="00A135FE">
      <w:pPr>
        <w:tabs>
          <w:tab w:val="left" w:pos="432"/>
          <w:tab w:val="left" w:pos="864"/>
          <w:tab w:val="left" w:pos="1296"/>
          <w:tab w:val="left" w:pos="1728"/>
        </w:tabs>
        <w:overflowPunct w:val="0"/>
        <w:autoSpaceDE w:val="0"/>
        <w:autoSpaceDN w:val="0"/>
        <w:adjustRightInd w:val="0"/>
        <w:spacing w:after="360" w:line="240" w:lineRule="auto"/>
        <w:jc w:val="center"/>
        <w:rPr>
          <w:rFonts w:ascii="Arial" w:eastAsia="Times New Roman" w:hAnsi="Arial" w:cs="Arial"/>
          <w:b/>
          <w:szCs w:val="20"/>
          <w:lang w:eastAsia="fr-FR"/>
        </w:rPr>
      </w:pPr>
      <w:r w:rsidRPr="00A135FE">
        <w:rPr>
          <w:rFonts w:ascii="Arial" w:eastAsia="Times New Roman" w:hAnsi="Arial" w:cs="Arial"/>
          <w:b/>
          <w:szCs w:val="20"/>
          <w:lang w:eastAsia="fr-FR"/>
        </w:rPr>
        <w:t>________</w:t>
      </w:r>
    </w:p>
    <w:p w14:paraId="02E2DE36" w14:textId="685B4E47" w:rsidR="00D2313B" w:rsidRDefault="00D2313B" w:rsidP="00F47555">
      <w:pPr>
        <w:spacing w:after="240" w:line="240" w:lineRule="auto"/>
        <w:jc w:val="both"/>
        <w:rPr>
          <w:rFonts w:cs="Times New Roman"/>
          <w:szCs w:val="20"/>
        </w:rPr>
      </w:pPr>
      <w:r>
        <w:rPr>
          <w:noProof/>
          <w:lang w:val="fr-FR" w:eastAsia="fr-FR"/>
        </w:rPr>
        <mc:AlternateContent>
          <mc:Choice Requires="wps">
            <w:drawing>
              <wp:inline distT="0" distB="0" distL="0" distR="0" wp14:anchorId="11D6E76B" wp14:editId="38881194">
                <wp:extent cx="6036309" cy="4813934"/>
                <wp:effectExtent l="0" t="0" r="22225" b="2540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6309" cy="4813934"/>
                        </a:xfrm>
                        <a:prstGeom prst="rect">
                          <a:avLst/>
                        </a:prstGeom>
                        <a:solidFill>
                          <a:srgbClr val="FFFFFF"/>
                        </a:solidFill>
                        <a:ln w="9525">
                          <a:solidFill>
                            <a:srgbClr val="000000"/>
                          </a:solidFill>
                          <a:miter lim="800000"/>
                          <a:headEnd/>
                          <a:tailEnd/>
                        </a:ln>
                      </wps:spPr>
                      <wps:txbx>
                        <w:txbxContent>
                          <w:p w14:paraId="69063713" w14:textId="0FA6BC5F" w:rsidR="00FD65D0" w:rsidRPr="00D2313B" w:rsidRDefault="00FD65D0" w:rsidP="00D2313B">
                            <w:pPr>
                              <w:spacing w:after="120"/>
                              <w:jc w:val="both"/>
                              <w:rPr>
                                <w:rFonts w:cs="Times New Roman"/>
                                <w:szCs w:val="20"/>
                              </w:rPr>
                            </w:pPr>
                            <w:r w:rsidRPr="00D2313B">
                              <w:rPr>
                                <w:rFonts w:cs="Times New Roman"/>
                                <w:szCs w:val="20"/>
                              </w:rPr>
                              <w:t xml:space="preserve">The COVID-19 pandemic has made it necessary to review the arrangements for Members’ participation in international meetings, and in particular the 88th General Session of the World Assembly of Delegates of the OIE. In this context, the OIE Council held an extraordinary meeting on 6 March 2020, and decided in agreement with the Director General, that the OIE General Session for May 2020 </w:t>
                            </w:r>
                            <w:r w:rsidRPr="00685B5C">
                              <w:rPr>
                                <w:rFonts w:cs="Times New Roman"/>
                                <w:szCs w:val="20"/>
                              </w:rPr>
                              <w:t>would be restricted to Wednesday 27 May 2020 and be limited to the consideration of institutional matters (elections) and administrative matters (vote on the budget), so as to ensure the institutional functioning of the Organisation; and technical matters that require the approbation of the World Assembly on a regular annual basis, when that approbation is supported by mechanisms of technical and procedural oversight previously agreed by the World Assembly (Official Recognition of Status; Reference Centres; Register of Diagnostic Kits).</w:t>
                            </w:r>
                          </w:p>
                          <w:p w14:paraId="2E7BD082" w14:textId="77777777" w:rsidR="00FD65D0" w:rsidRPr="00D2313B" w:rsidRDefault="00FD65D0" w:rsidP="00D2313B">
                            <w:pPr>
                              <w:spacing w:after="120"/>
                              <w:jc w:val="both"/>
                              <w:rPr>
                                <w:rFonts w:cs="Times New Roman"/>
                                <w:szCs w:val="20"/>
                              </w:rPr>
                            </w:pPr>
                            <w:r w:rsidRPr="00D2313B">
                              <w:rPr>
                                <w:rFonts w:cs="Times New Roman"/>
                                <w:szCs w:val="20"/>
                              </w:rPr>
                              <w:t xml:space="preserve">As a consequence, no new or amended chapters in the </w:t>
                            </w:r>
                            <w:r w:rsidRPr="00A135FE">
                              <w:rPr>
                                <w:rFonts w:cs="Times New Roman"/>
                                <w:i/>
                                <w:szCs w:val="20"/>
                              </w:rPr>
                              <w:t>Aquatic Animal Health Code</w:t>
                            </w:r>
                            <w:r w:rsidRPr="00D2313B">
                              <w:rPr>
                                <w:rFonts w:cs="Times New Roman"/>
                                <w:szCs w:val="20"/>
                              </w:rPr>
                              <w:t xml:space="preserve">, the </w:t>
                            </w:r>
                            <w:r w:rsidRPr="00A135FE">
                              <w:rPr>
                                <w:rFonts w:cs="Times New Roman"/>
                                <w:i/>
                                <w:szCs w:val="20"/>
                              </w:rPr>
                              <w:t>Terrestrial Animal Health Code</w:t>
                            </w:r>
                            <w:r w:rsidRPr="00D2313B">
                              <w:rPr>
                                <w:rFonts w:cs="Times New Roman"/>
                                <w:szCs w:val="20"/>
                              </w:rPr>
                              <w:t xml:space="preserve">, the </w:t>
                            </w:r>
                            <w:r w:rsidRPr="00A135FE">
                              <w:rPr>
                                <w:rFonts w:cs="Times New Roman"/>
                                <w:i/>
                                <w:szCs w:val="20"/>
                              </w:rPr>
                              <w:t>Manual of Diagnostic Tests for Aquatic Animals</w:t>
                            </w:r>
                            <w:r w:rsidRPr="00D2313B">
                              <w:rPr>
                                <w:rFonts w:cs="Times New Roman"/>
                                <w:szCs w:val="20"/>
                              </w:rPr>
                              <w:t xml:space="preserve"> or the </w:t>
                            </w:r>
                            <w:r w:rsidRPr="00A135FE">
                              <w:rPr>
                                <w:rFonts w:cs="Times New Roman"/>
                                <w:i/>
                                <w:szCs w:val="20"/>
                              </w:rPr>
                              <w:t>Manual of Diagnostic Tests and Vaccines for Terrestrial Animals</w:t>
                            </w:r>
                            <w:r w:rsidRPr="00D2313B">
                              <w:rPr>
                                <w:rFonts w:cs="Times New Roman"/>
                                <w:szCs w:val="20"/>
                              </w:rPr>
                              <w:t xml:space="preserve"> will be proposed for adoption in 2020. Chapters that were to be proposed for adoption in 2020 will be proposed for adoption in May 2021.</w:t>
                            </w:r>
                          </w:p>
                          <w:p w14:paraId="5EFAE7B0" w14:textId="77777777" w:rsidR="00FD65D0" w:rsidRPr="00D2313B" w:rsidRDefault="00FD65D0" w:rsidP="00D2313B">
                            <w:pPr>
                              <w:spacing w:after="120"/>
                              <w:jc w:val="both"/>
                              <w:rPr>
                                <w:rFonts w:cs="Times New Roman"/>
                                <w:szCs w:val="20"/>
                              </w:rPr>
                            </w:pPr>
                            <w:r w:rsidRPr="00D2313B">
                              <w:rPr>
                                <w:rFonts w:cs="Times New Roman"/>
                                <w:szCs w:val="20"/>
                              </w:rPr>
                              <w:t xml:space="preserve">To ensure a consistent approach across </w:t>
                            </w:r>
                            <w:r w:rsidRPr="005B42EC">
                              <w:rPr>
                                <w:rFonts w:cs="Times New Roman"/>
                                <w:szCs w:val="20"/>
                              </w:rPr>
                              <w:t>all three Specialist</w:t>
                            </w:r>
                            <w:r w:rsidRPr="00D2313B">
                              <w:rPr>
                                <w:rFonts w:cs="Times New Roman"/>
                                <w:szCs w:val="20"/>
                              </w:rPr>
                              <w:t xml:space="preserve"> Commissions presenting international standards to the World Assembly, the OIE has decided to take the following approach: </w:t>
                            </w:r>
                          </w:p>
                          <w:p w14:paraId="5A972A52" w14:textId="31DAA5C8" w:rsidR="00FD65D0" w:rsidRPr="00D2313B" w:rsidRDefault="00FD65D0" w:rsidP="00A135FE">
                            <w:pPr>
                              <w:spacing w:after="120"/>
                              <w:ind w:left="426" w:hanging="426"/>
                              <w:jc w:val="both"/>
                              <w:rPr>
                                <w:rFonts w:cs="Times New Roman"/>
                                <w:szCs w:val="20"/>
                              </w:rPr>
                            </w:pPr>
                            <w:r w:rsidRPr="00D2313B">
                              <w:rPr>
                                <w:rFonts w:cs="Times New Roman"/>
                                <w:szCs w:val="20"/>
                              </w:rPr>
                              <w:t>1.</w:t>
                            </w:r>
                            <w:r>
                              <w:rPr>
                                <w:rFonts w:cs="Times New Roman"/>
                                <w:szCs w:val="20"/>
                              </w:rPr>
                              <w:tab/>
                            </w:r>
                            <w:r w:rsidRPr="00D2313B">
                              <w:rPr>
                                <w:rFonts w:cs="Times New Roman"/>
                                <w:szCs w:val="20"/>
                              </w:rPr>
                              <w:t>All relevant texts that were to be proposed for adoption in May 2020 will be circulated in the respective Specialist Commission’s February 2020 report noting that adoption has been postponed until May 2021, and that they will be open for one round of comments.</w:t>
                            </w:r>
                          </w:p>
                          <w:p w14:paraId="743F6E64" w14:textId="3312964C" w:rsidR="00FD65D0" w:rsidRPr="00D2313B" w:rsidRDefault="00FD65D0" w:rsidP="00A135FE">
                            <w:pPr>
                              <w:spacing w:after="120"/>
                              <w:ind w:left="426" w:hanging="426"/>
                              <w:jc w:val="both"/>
                              <w:rPr>
                                <w:rFonts w:cs="Times New Roman"/>
                                <w:szCs w:val="20"/>
                              </w:rPr>
                            </w:pPr>
                            <w:r w:rsidRPr="00D2313B">
                              <w:rPr>
                                <w:rFonts w:cs="Times New Roman"/>
                                <w:szCs w:val="20"/>
                              </w:rPr>
                              <w:t>2.</w:t>
                            </w:r>
                            <w:r>
                              <w:rPr>
                                <w:rFonts w:cs="Times New Roman"/>
                                <w:szCs w:val="20"/>
                              </w:rPr>
                              <w:tab/>
                            </w:r>
                            <w:r w:rsidRPr="00D2313B">
                              <w:rPr>
                                <w:rFonts w:cs="Times New Roman"/>
                                <w:szCs w:val="20"/>
                              </w:rPr>
                              <w:t>Only substantive comments that have not been submitted before will be considered.</w:t>
                            </w:r>
                          </w:p>
                          <w:p w14:paraId="407AF408" w14:textId="20564244" w:rsidR="00FD65D0" w:rsidRPr="00E76EC5" w:rsidRDefault="00FD65D0" w:rsidP="00A135FE">
                            <w:pPr>
                              <w:spacing w:after="120"/>
                              <w:ind w:left="426" w:hanging="426"/>
                              <w:jc w:val="both"/>
                              <w:rPr>
                                <w:rFonts w:cs="Times New Roman"/>
                                <w:szCs w:val="20"/>
                              </w:rPr>
                            </w:pPr>
                            <w:r w:rsidRPr="00D2313B">
                              <w:rPr>
                                <w:rFonts w:cs="Times New Roman"/>
                                <w:szCs w:val="20"/>
                              </w:rPr>
                              <w:t>3.</w:t>
                            </w:r>
                            <w:r>
                              <w:rPr>
                                <w:rFonts w:cs="Times New Roman"/>
                                <w:szCs w:val="20"/>
                              </w:rPr>
                              <w:tab/>
                            </w:r>
                            <w:r w:rsidRPr="00D2313B">
                              <w:rPr>
                                <w:rFonts w:cs="Times New Roman"/>
                                <w:szCs w:val="20"/>
                              </w:rPr>
                              <w:t xml:space="preserve">The deadline for comments for relevant </w:t>
                            </w:r>
                            <w:r>
                              <w:rPr>
                                <w:rFonts w:cs="Times New Roman"/>
                                <w:szCs w:val="20"/>
                              </w:rPr>
                              <w:t>Aquatic Animals</w:t>
                            </w:r>
                            <w:r w:rsidRPr="00E76EC5">
                              <w:rPr>
                                <w:rFonts w:cs="Times New Roman"/>
                                <w:szCs w:val="20"/>
                              </w:rPr>
                              <w:t xml:space="preserve"> Commission Annexes </w:t>
                            </w:r>
                            <w:r w:rsidRPr="00864B6B">
                              <w:rPr>
                                <w:rFonts w:cs="Times New Roman"/>
                                <w:szCs w:val="20"/>
                              </w:rPr>
                              <w:t xml:space="preserve">is </w:t>
                            </w:r>
                            <w:r w:rsidRPr="00BC5907">
                              <w:rPr>
                                <w:rFonts w:cs="Times New Roman"/>
                                <w:szCs w:val="20"/>
                              </w:rPr>
                              <w:t>10 July</w:t>
                            </w:r>
                            <w:r w:rsidRPr="00864B6B">
                              <w:rPr>
                                <w:rFonts w:cs="Times New Roman"/>
                                <w:szCs w:val="20"/>
                              </w:rPr>
                              <w:t xml:space="preserve"> 2020</w:t>
                            </w:r>
                            <w:r w:rsidRPr="00E76EC5">
                              <w:rPr>
                                <w:rFonts w:cs="Times New Roman"/>
                                <w:szCs w:val="20"/>
                              </w:rPr>
                              <w:t>.</w:t>
                            </w:r>
                          </w:p>
                          <w:p w14:paraId="47F09A91" w14:textId="47CE4498" w:rsidR="00FD65D0" w:rsidRPr="00E76EC5" w:rsidRDefault="00FD65D0" w:rsidP="00A135FE">
                            <w:pPr>
                              <w:spacing w:after="120"/>
                              <w:ind w:left="426" w:hanging="426"/>
                              <w:jc w:val="both"/>
                              <w:rPr>
                                <w:rFonts w:cs="Times New Roman"/>
                                <w:szCs w:val="20"/>
                              </w:rPr>
                            </w:pPr>
                            <w:r w:rsidRPr="00E76EC5">
                              <w:rPr>
                                <w:rFonts w:cs="Times New Roman"/>
                                <w:szCs w:val="20"/>
                              </w:rPr>
                              <w:t>4.</w:t>
                            </w:r>
                            <w:r>
                              <w:rPr>
                                <w:rFonts w:cs="Times New Roman"/>
                                <w:szCs w:val="20"/>
                              </w:rPr>
                              <w:tab/>
                            </w:r>
                            <w:r w:rsidRPr="00E76EC5">
                              <w:rPr>
                                <w:rFonts w:cs="Times New Roman"/>
                                <w:szCs w:val="20"/>
                              </w:rPr>
                              <w:t xml:space="preserve">Each Commission will consider such comments at its September 2020 or February 2021 meetings thereby spreading out this work and enabling them to progress other work items. </w:t>
                            </w:r>
                          </w:p>
                          <w:p w14:paraId="74668756" w14:textId="1AFC578D" w:rsidR="00FD65D0" w:rsidRPr="00E76EC5" w:rsidRDefault="00FD65D0" w:rsidP="00A135FE">
                            <w:pPr>
                              <w:spacing w:after="120"/>
                              <w:ind w:left="426" w:hanging="426"/>
                              <w:jc w:val="both"/>
                              <w:rPr>
                                <w:rFonts w:cs="Times New Roman"/>
                                <w:szCs w:val="20"/>
                              </w:rPr>
                            </w:pPr>
                            <w:r w:rsidRPr="00E76EC5">
                              <w:rPr>
                                <w:rFonts w:cs="Times New Roman"/>
                                <w:szCs w:val="20"/>
                              </w:rPr>
                              <w:t>5.</w:t>
                            </w:r>
                            <w:r>
                              <w:rPr>
                                <w:rFonts w:cs="Times New Roman"/>
                                <w:szCs w:val="20"/>
                              </w:rPr>
                              <w:tab/>
                            </w:r>
                            <w:r w:rsidRPr="00E76EC5">
                              <w:rPr>
                                <w:rFonts w:cs="Times New Roman"/>
                                <w:szCs w:val="20"/>
                              </w:rPr>
                              <w:t>The texts (incorporating any revisions resulting from this process) will be included in the relevant Commission’s February 2021 reports, to be proposed for adoption in May 2021.</w:t>
                            </w:r>
                          </w:p>
                          <w:p w14:paraId="1C62E634" w14:textId="56E7C660" w:rsidR="00FD65D0" w:rsidRPr="00E76EC5" w:rsidRDefault="00FD65D0" w:rsidP="00A135FE">
                            <w:pPr>
                              <w:spacing w:after="120"/>
                              <w:ind w:left="426" w:hanging="426"/>
                              <w:jc w:val="both"/>
                              <w:rPr>
                                <w:rFonts w:cs="Times New Roman"/>
                                <w:szCs w:val="20"/>
                              </w:rPr>
                            </w:pPr>
                            <w:r w:rsidRPr="00E76EC5">
                              <w:rPr>
                                <w:rFonts w:cs="Times New Roman"/>
                                <w:szCs w:val="20"/>
                              </w:rPr>
                              <w:t>6.</w:t>
                            </w:r>
                            <w:r>
                              <w:rPr>
                                <w:rFonts w:cs="Times New Roman"/>
                                <w:szCs w:val="20"/>
                              </w:rPr>
                              <w:tab/>
                            </w:r>
                            <w:r w:rsidRPr="00E76EC5">
                              <w:rPr>
                                <w:rFonts w:cs="Times New Roman"/>
                                <w:szCs w:val="20"/>
                              </w:rPr>
                              <w:t>This process does not alter the regular process applying to other chapters being circulated for comments.</w:t>
                            </w:r>
                          </w:p>
                        </w:txbxContent>
                      </wps:txbx>
                      <wps:bodyPr rot="0" vert="horz" wrap="square" lIns="91440" tIns="45720" rIns="91440" bIns="45720" anchor="t" anchorCtr="0">
                        <a:noAutofit/>
                      </wps:bodyPr>
                    </wps:wsp>
                  </a:graphicData>
                </a:graphic>
              </wp:inline>
            </w:drawing>
          </mc:Choice>
          <mc:Fallback>
            <w:pict>
              <v:shapetype w14:anchorId="11D6E76B" id="_x0000_t202" coordsize="21600,21600" o:spt="202" path="m,l,21600r21600,l21600,xe">
                <v:stroke joinstyle="miter"/>
                <v:path gradientshapeok="t" o:connecttype="rect"/>
              </v:shapetype>
              <v:shape id="Text Box 2" o:spid="_x0000_s1026" type="#_x0000_t202" style="width:475.3pt;height:37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">
                <v:textbox>
                  <w:txbxContent>
                    <w:p w14:paraId="69063713" w14:textId="0FA6BC5F" w:rsidR="00FD65D0" w:rsidRPr="00D2313B" w:rsidRDefault="00FD65D0" w:rsidP="00D2313B">
                      <w:pPr>
                        <w:spacing w:after="120"/>
                        <w:jc w:val="both"/>
                        <w:rPr>
                          <w:rFonts w:cs="Times New Roman"/>
                          <w:szCs w:val="20"/>
                        </w:rPr>
                      </w:pPr>
                      <w:r w:rsidRPr="00D2313B">
                        <w:rPr>
                          <w:rFonts w:cs="Times New Roman"/>
                          <w:szCs w:val="20"/>
                        </w:rPr>
                        <w:t xml:space="preserve">The COVID-19 pandemic has made it necessary to review the arrangements for Members’ participation in international meetings, and in particular the 88th General Session of the World Assembly of Delegates of the OIE. In this context, the OIE Council held an extraordinary meeting on 6 March 2020, and decided in agreement with the Director General, that the OIE General Session for May 2020 </w:t>
                      </w:r>
                      <w:r w:rsidRPr="00685B5C">
                        <w:rPr>
                          <w:rFonts w:cs="Times New Roman"/>
                          <w:szCs w:val="20"/>
                        </w:rPr>
                        <w:t>would be restricted to Wednesday 27 May 2020 and be limited to the consideration of institutional matters (elections) and administrative matters (vote on the budget), so as to ensure the institutional functioning of the Organisation; and technical matters that require the approbation of the World Assembly on a regular annual basis, when that approbation is supported by mechanisms of technical and procedural oversight previously agreed by the World Assembly (Official Recognition of Status; Reference Centres; Register of Diagnostic Kits).</w:t>
                      </w:r>
                    </w:p>
                    <w:p w14:paraId="2E7BD082" w14:textId="77777777" w:rsidR="00FD65D0" w:rsidRPr="00D2313B" w:rsidRDefault="00FD65D0" w:rsidP="00D2313B">
                      <w:pPr>
                        <w:spacing w:after="120"/>
                        <w:jc w:val="both"/>
                        <w:rPr>
                          <w:rFonts w:cs="Times New Roman"/>
                          <w:szCs w:val="20"/>
                        </w:rPr>
                      </w:pPr>
                      <w:r w:rsidRPr="00D2313B">
                        <w:rPr>
                          <w:rFonts w:cs="Times New Roman"/>
                          <w:szCs w:val="20"/>
                        </w:rPr>
                        <w:t xml:space="preserve">As a consequence, no new or amended chapters in the </w:t>
                      </w:r>
                      <w:r w:rsidRPr="00A135FE">
                        <w:rPr>
                          <w:rFonts w:cs="Times New Roman"/>
                          <w:i/>
                          <w:szCs w:val="20"/>
                        </w:rPr>
                        <w:t>Aquatic Animal Health Code</w:t>
                      </w:r>
                      <w:r w:rsidRPr="00D2313B">
                        <w:rPr>
                          <w:rFonts w:cs="Times New Roman"/>
                          <w:szCs w:val="20"/>
                        </w:rPr>
                        <w:t xml:space="preserve">, the </w:t>
                      </w:r>
                      <w:r w:rsidRPr="00A135FE">
                        <w:rPr>
                          <w:rFonts w:cs="Times New Roman"/>
                          <w:i/>
                          <w:szCs w:val="20"/>
                        </w:rPr>
                        <w:t>Terrestrial Animal Health Code</w:t>
                      </w:r>
                      <w:r w:rsidRPr="00D2313B">
                        <w:rPr>
                          <w:rFonts w:cs="Times New Roman"/>
                          <w:szCs w:val="20"/>
                        </w:rPr>
                        <w:t xml:space="preserve">, the </w:t>
                      </w:r>
                      <w:r w:rsidRPr="00A135FE">
                        <w:rPr>
                          <w:rFonts w:cs="Times New Roman"/>
                          <w:i/>
                          <w:szCs w:val="20"/>
                        </w:rPr>
                        <w:t>Manual of Diagnostic Tests for Aquatic Animals</w:t>
                      </w:r>
                      <w:r w:rsidRPr="00D2313B">
                        <w:rPr>
                          <w:rFonts w:cs="Times New Roman"/>
                          <w:szCs w:val="20"/>
                        </w:rPr>
                        <w:t xml:space="preserve"> or the </w:t>
                      </w:r>
                      <w:r w:rsidRPr="00A135FE">
                        <w:rPr>
                          <w:rFonts w:cs="Times New Roman"/>
                          <w:i/>
                          <w:szCs w:val="20"/>
                        </w:rPr>
                        <w:t>Manual of Diagnostic Tests and Vaccines for Terrestrial Animals</w:t>
                      </w:r>
                      <w:r w:rsidRPr="00D2313B">
                        <w:rPr>
                          <w:rFonts w:cs="Times New Roman"/>
                          <w:szCs w:val="20"/>
                        </w:rPr>
                        <w:t xml:space="preserve"> will be proposed for adoption in 2020. Chapters that were to be proposed for adoption in 2020 will be proposed for adoption in May 2021.</w:t>
                      </w:r>
                    </w:p>
                    <w:p w14:paraId="5EFAE7B0" w14:textId="77777777" w:rsidR="00FD65D0" w:rsidRPr="00D2313B" w:rsidRDefault="00FD65D0" w:rsidP="00D2313B">
                      <w:pPr>
                        <w:spacing w:after="120"/>
                        <w:jc w:val="both"/>
                        <w:rPr>
                          <w:rFonts w:cs="Times New Roman"/>
                          <w:szCs w:val="20"/>
                        </w:rPr>
                      </w:pPr>
                      <w:r w:rsidRPr="00D2313B">
                        <w:rPr>
                          <w:rFonts w:cs="Times New Roman"/>
                          <w:szCs w:val="20"/>
                        </w:rPr>
                        <w:t xml:space="preserve">To ensure a consistent approach across </w:t>
                      </w:r>
                      <w:r w:rsidRPr="005B42EC">
                        <w:rPr>
                          <w:rFonts w:cs="Times New Roman"/>
                          <w:szCs w:val="20"/>
                        </w:rPr>
                        <w:t>all three Specialist</w:t>
                      </w:r>
                      <w:r w:rsidRPr="00D2313B">
                        <w:rPr>
                          <w:rFonts w:cs="Times New Roman"/>
                          <w:szCs w:val="20"/>
                        </w:rPr>
                        <w:t xml:space="preserve"> Commissions presenting international standards to the World Assembly, the OIE has decided to take the following approach: </w:t>
                      </w:r>
                    </w:p>
                    <w:p w14:paraId="5A972A52" w14:textId="31DAA5C8" w:rsidR="00FD65D0" w:rsidRPr="00D2313B" w:rsidRDefault="00FD65D0" w:rsidP="00A135FE">
                      <w:pPr>
                        <w:spacing w:after="120"/>
                        <w:ind w:left="426" w:hanging="426"/>
                        <w:jc w:val="both"/>
                        <w:rPr>
                          <w:rFonts w:cs="Times New Roman"/>
                          <w:szCs w:val="20"/>
                        </w:rPr>
                      </w:pPr>
                      <w:r w:rsidRPr="00D2313B">
                        <w:rPr>
                          <w:rFonts w:cs="Times New Roman"/>
                          <w:szCs w:val="20"/>
                        </w:rPr>
                        <w:t>1.</w:t>
                      </w:r>
                      <w:r>
                        <w:rPr>
                          <w:rFonts w:cs="Times New Roman"/>
                          <w:szCs w:val="20"/>
                        </w:rPr>
                        <w:tab/>
                      </w:r>
                      <w:r w:rsidRPr="00D2313B">
                        <w:rPr>
                          <w:rFonts w:cs="Times New Roman"/>
                          <w:szCs w:val="20"/>
                        </w:rPr>
                        <w:t>All relevant texts that were to be proposed for adoption in May 2020 will be circulated in the respective Specialist Commission’s February 2020 report noting that adoption has been postponed until May 2021, and that they will be open for one round of comments.</w:t>
                      </w:r>
                    </w:p>
                    <w:p w14:paraId="743F6E64" w14:textId="3312964C" w:rsidR="00FD65D0" w:rsidRPr="00D2313B" w:rsidRDefault="00FD65D0" w:rsidP="00A135FE">
                      <w:pPr>
                        <w:spacing w:after="120"/>
                        <w:ind w:left="426" w:hanging="426"/>
                        <w:jc w:val="both"/>
                        <w:rPr>
                          <w:rFonts w:cs="Times New Roman"/>
                          <w:szCs w:val="20"/>
                        </w:rPr>
                      </w:pPr>
                      <w:r w:rsidRPr="00D2313B">
                        <w:rPr>
                          <w:rFonts w:cs="Times New Roman"/>
                          <w:szCs w:val="20"/>
                        </w:rPr>
                        <w:t>2.</w:t>
                      </w:r>
                      <w:r>
                        <w:rPr>
                          <w:rFonts w:cs="Times New Roman"/>
                          <w:szCs w:val="20"/>
                        </w:rPr>
                        <w:tab/>
                      </w:r>
                      <w:r w:rsidRPr="00D2313B">
                        <w:rPr>
                          <w:rFonts w:cs="Times New Roman"/>
                          <w:szCs w:val="20"/>
                        </w:rPr>
                        <w:t>Only substantive comments that have not been submitted before will be considered.</w:t>
                      </w:r>
                    </w:p>
                    <w:p w14:paraId="407AF408" w14:textId="20564244" w:rsidR="00FD65D0" w:rsidRPr="00E76EC5" w:rsidRDefault="00FD65D0" w:rsidP="00A135FE">
                      <w:pPr>
                        <w:spacing w:after="120"/>
                        <w:ind w:left="426" w:hanging="426"/>
                        <w:jc w:val="both"/>
                        <w:rPr>
                          <w:rFonts w:cs="Times New Roman"/>
                          <w:szCs w:val="20"/>
                        </w:rPr>
                      </w:pPr>
                      <w:r w:rsidRPr="00D2313B">
                        <w:rPr>
                          <w:rFonts w:cs="Times New Roman"/>
                          <w:szCs w:val="20"/>
                        </w:rPr>
                        <w:t>3.</w:t>
                      </w:r>
                      <w:r>
                        <w:rPr>
                          <w:rFonts w:cs="Times New Roman"/>
                          <w:szCs w:val="20"/>
                        </w:rPr>
                        <w:tab/>
                      </w:r>
                      <w:r w:rsidRPr="00D2313B">
                        <w:rPr>
                          <w:rFonts w:cs="Times New Roman"/>
                          <w:szCs w:val="20"/>
                        </w:rPr>
                        <w:t xml:space="preserve">The deadline for comments for relevant </w:t>
                      </w:r>
                      <w:r>
                        <w:rPr>
                          <w:rFonts w:cs="Times New Roman"/>
                          <w:szCs w:val="20"/>
                        </w:rPr>
                        <w:t>Aquatic Animals</w:t>
                      </w:r>
                      <w:r w:rsidRPr="00E76EC5">
                        <w:rPr>
                          <w:rFonts w:cs="Times New Roman"/>
                          <w:szCs w:val="20"/>
                        </w:rPr>
                        <w:t xml:space="preserve"> Commission Annexes </w:t>
                      </w:r>
                      <w:r w:rsidRPr="00864B6B">
                        <w:rPr>
                          <w:rFonts w:cs="Times New Roman"/>
                          <w:szCs w:val="20"/>
                        </w:rPr>
                        <w:t xml:space="preserve">is </w:t>
                      </w:r>
                      <w:r w:rsidRPr="00BC5907">
                        <w:rPr>
                          <w:rFonts w:cs="Times New Roman"/>
                          <w:szCs w:val="20"/>
                        </w:rPr>
                        <w:t>10 July</w:t>
                      </w:r>
                      <w:r w:rsidRPr="00864B6B">
                        <w:rPr>
                          <w:rFonts w:cs="Times New Roman"/>
                          <w:szCs w:val="20"/>
                        </w:rPr>
                        <w:t xml:space="preserve"> 2020</w:t>
                      </w:r>
                      <w:r w:rsidRPr="00E76EC5">
                        <w:rPr>
                          <w:rFonts w:cs="Times New Roman"/>
                          <w:szCs w:val="20"/>
                        </w:rPr>
                        <w:t>.</w:t>
                      </w:r>
                    </w:p>
                    <w:p w14:paraId="47F09A91" w14:textId="47CE4498" w:rsidR="00FD65D0" w:rsidRPr="00E76EC5" w:rsidRDefault="00FD65D0" w:rsidP="00A135FE">
                      <w:pPr>
                        <w:spacing w:after="120"/>
                        <w:ind w:left="426" w:hanging="426"/>
                        <w:jc w:val="both"/>
                        <w:rPr>
                          <w:rFonts w:cs="Times New Roman"/>
                          <w:szCs w:val="20"/>
                        </w:rPr>
                      </w:pPr>
                      <w:r w:rsidRPr="00E76EC5">
                        <w:rPr>
                          <w:rFonts w:cs="Times New Roman"/>
                          <w:szCs w:val="20"/>
                        </w:rPr>
                        <w:t>4.</w:t>
                      </w:r>
                      <w:r>
                        <w:rPr>
                          <w:rFonts w:cs="Times New Roman"/>
                          <w:szCs w:val="20"/>
                        </w:rPr>
                        <w:tab/>
                      </w:r>
                      <w:r w:rsidRPr="00E76EC5">
                        <w:rPr>
                          <w:rFonts w:cs="Times New Roman"/>
                          <w:szCs w:val="20"/>
                        </w:rPr>
                        <w:t xml:space="preserve">Each Commission will consider such comments at its September 2020 or February 2021 meetings thereby spreading out this work and enabling them to progress other work items. </w:t>
                      </w:r>
                    </w:p>
                    <w:p w14:paraId="74668756" w14:textId="1AFC578D" w:rsidR="00FD65D0" w:rsidRPr="00E76EC5" w:rsidRDefault="00FD65D0" w:rsidP="00A135FE">
                      <w:pPr>
                        <w:spacing w:after="120"/>
                        <w:ind w:left="426" w:hanging="426"/>
                        <w:jc w:val="both"/>
                        <w:rPr>
                          <w:rFonts w:cs="Times New Roman"/>
                          <w:szCs w:val="20"/>
                        </w:rPr>
                      </w:pPr>
                      <w:r w:rsidRPr="00E76EC5">
                        <w:rPr>
                          <w:rFonts w:cs="Times New Roman"/>
                          <w:szCs w:val="20"/>
                        </w:rPr>
                        <w:t>5.</w:t>
                      </w:r>
                      <w:r>
                        <w:rPr>
                          <w:rFonts w:cs="Times New Roman"/>
                          <w:szCs w:val="20"/>
                        </w:rPr>
                        <w:tab/>
                      </w:r>
                      <w:r w:rsidRPr="00E76EC5">
                        <w:rPr>
                          <w:rFonts w:cs="Times New Roman"/>
                          <w:szCs w:val="20"/>
                        </w:rPr>
                        <w:t>The texts (incorporating any revisions resulting from this process) will be included in the relevant Commission’s February 2021 reports, to be proposed for adoption in May 2021.</w:t>
                      </w:r>
                    </w:p>
                    <w:p w14:paraId="1C62E634" w14:textId="56E7C660" w:rsidR="00FD65D0" w:rsidRPr="00E76EC5" w:rsidRDefault="00FD65D0" w:rsidP="00A135FE">
                      <w:pPr>
                        <w:spacing w:after="120"/>
                        <w:ind w:left="426" w:hanging="426"/>
                        <w:jc w:val="both"/>
                        <w:rPr>
                          <w:rFonts w:cs="Times New Roman"/>
                          <w:szCs w:val="20"/>
                        </w:rPr>
                      </w:pPr>
                      <w:r w:rsidRPr="00E76EC5">
                        <w:rPr>
                          <w:rFonts w:cs="Times New Roman"/>
                          <w:szCs w:val="20"/>
                        </w:rPr>
                        <w:t>6.</w:t>
                      </w:r>
                      <w:r>
                        <w:rPr>
                          <w:rFonts w:cs="Times New Roman"/>
                          <w:szCs w:val="20"/>
                        </w:rPr>
                        <w:tab/>
                      </w:r>
                      <w:r w:rsidRPr="00E76EC5">
                        <w:rPr>
                          <w:rFonts w:cs="Times New Roman"/>
                          <w:szCs w:val="20"/>
                        </w:rPr>
                        <w:t>This process does not alter the regular process applying to other chapters being circulated for comments.</w:t>
                      </w:r>
                    </w:p>
                  </w:txbxContent>
                </v:textbox>
                <w10:anchorlock/>
              </v:shape>
            </w:pict>
          </mc:Fallback>
        </mc:AlternateContent>
      </w:r>
    </w:p>
    <w:p w14:paraId="10AE0C65" w14:textId="77777777" w:rsidR="008270D6" w:rsidRDefault="008270D6">
      <w:pPr>
        <w:rPr>
          <w:rFonts w:cs="Times New Roman"/>
          <w:szCs w:val="20"/>
        </w:rPr>
      </w:pPr>
      <w:r>
        <w:rPr>
          <w:rFonts w:cs="Times New Roman"/>
          <w:szCs w:val="20"/>
        </w:rPr>
        <w:br w:type="page"/>
      </w:r>
    </w:p>
    <w:p w14:paraId="199D2D66" w14:textId="0CA1465C" w:rsidR="00596091" w:rsidRPr="00F47555" w:rsidRDefault="00596091" w:rsidP="003E513A">
      <w:pPr>
        <w:spacing w:after="240" w:line="240" w:lineRule="auto"/>
        <w:jc w:val="both"/>
        <w:rPr>
          <w:rFonts w:cs="Times New Roman"/>
          <w:b/>
          <w:bCs/>
          <w:szCs w:val="20"/>
          <w:u w:val="single"/>
        </w:rPr>
      </w:pPr>
      <w:r w:rsidRPr="00F47555">
        <w:rPr>
          <w:rFonts w:cs="Times New Roman"/>
          <w:szCs w:val="20"/>
        </w:rPr>
        <w:lastRenderedPageBreak/>
        <w:t xml:space="preserve">The OIE Aquatic Animal Health Standards Commission (Aquatic Animals Commission) met at OIE Headquarters in Paris from 19 to 26 February 2020. The list of participants is presented in </w:t>
      </w:r>
      <w:hyperlink w:anchor="_Annex_1" w:history="1">
        <w:r w:rsidRPr="006A2D15">
          <w:rPr>
            <w:rStyle w:val="Lienhypertexte"/>
            <w:rFonts w:cs="Times New Roman"/>
            <w:szCs w:val="20"/>
          </w:rPr>
          <w:t>Annex 1</w:t>
        </w:r>
      </w:hyperlink>
      <w:r w:rsidRPr="006A2D15">
        <w:rPr>
          <w:rFonts w:cs="Times New Roman"/>
          <w:szCs w:val="20"/>
        </w:rPr>
        <w:t>.</w:t>
      </w:r>
    </w:p>
    <w:p w14:paraId="3DE35F46" w14:textId="0D43FC05" w:rsidR="00596091" w:rsidRPr="00F47555" w:rsidRDefault="00596091" w:rsidP="003E513A">
      <w:pPr>
        <w:jc w:val="both"/>
        <w:rPr>
          <w:rFonts w:cs="Times New Roman"/>
          <w:szCs w:val="20"/>
        </w:rPr>
      </w:pPr>
      <w:r w:rsidRPr="00F47555">
        <w:rPr>
          <w:rFonts w:cs="Times New Roman"/>
          <w:szCs w:val="20"/>
        </w:rPr>
        <w:t xml:space="preserve">The Aquatic Animals Commission thanked the following Members for providing written comments on draft texts for the OIE </w:t>
      </w:r>
      <w:r w:rsidRPr="00F47555">
        <w:rPr>
          <w:rFonts w:cs="Times New Roman"/>
          <w:i/>
          <w:iCs/>
          <w:szCs w:val="20"/>
        </w:rPr>
        <w:t>Aquatic Animal Health Code</w:t>
      </w:r>
      <w:r w:rsidRPr="00F47555">
        <w:rPr>
          <w:rFonts w:cs="Times New Roman"/>
          <w:szCs w:val="20"/>
        </w:rPr>
        <w:t xml:space="preserve"> (hereinafter referred to as the </w:t>
      </w:r>
      <w:r w:rsidRPr="00F47555">
        <w:rPr>
          <w:rFonts w:cs="Times New Roman"/>
          <w:i/>
          <w:iCs/>
          <w:szCs w:val="20"/>
        </w:rPr>
        <w:t>Aquatic Code</w:t>
      </w:r>
      <w:r w:rsidRPr="00F47555">
        <w:rPr>
          <w:rFonts w:cs="Times New Roman"/>
          <w:szCs w:val="20"/>
        </w:rPr>
        <w:t xml:space="preserve">) and OIE </w:t>
      </w:r>
      <w:r w:rsidRPr="00F47555">
        <w:rPr>
          <w:rFonts w:cs="Times New Roman"/>
          <w:i/>
          <w:iCs/>
          <w:szCs w:val="20"/>
        </w:rPr>
        <w:t>Manual of Diagnostic Tests for Aquatic Animals</w:t>
      </w:r>
      <w:r w:rsidRPr="00F47555">
        <w:rPr>
          <w:rFonts w:cs="Times New Roman"/>
          <w:szCs w:val="20"/>
        </w:rPr>
        <w:t xml:space="preserve"> (hereinafter referred to as the </w:t>
      </w:r>
      <w:r w:rsidRPr="00F47555">
        <w:rPr>
          <w:rFonts w:cs="Times New Roman"/>
          <w:i/>
          <w:iCs/>
          <w:szCs w:val="20"/>
        </w:rPr>
        <w:t>Aquatic Manual</w:t>
      </w:r>
      <w:r w:rsidRPr="00F47555">
        <w:rPr>
          <w:rFonts w:cs="Times New Roman"/>
          <w:szCs w:val="20"/>
        </w:rPr>
        <w:t xml:space="preserve">) circulated </w:t>
      </w:r>
      <w:r w:rsidR="00D60AB7">
        <w:rPr>
          <w:rFonts w:cs="Times New Roman"/>
          <w:szCs w:val="20"/>
        </w:rPr>
        <w:t xml:space="preserve">in </w:t>
      </w:r>
      <w:r w:rsidRPr="00F47555">
        <w:rPr>
          <w:rFonts w:cs="Times New Roman"/>
          <w:szCs w:val="20"/>
        </w:rPr>
        <w:t>the Commission’s September 2019 meeting</w:t>
      </w:r>
      <w:r w:rsidR="00D60AB7">
        <w:rPr>
          <w:rFonts w:cs="Times New Roman"/>
          <w:szCs w:val="20"/>
        </w:rPr>
        <w:t xml:space="preserve"> report</w:t>
      </w:r>
      <w:r w:rsidRPr="00F47555">
        <w:rPr>
          <w:rFonts w:cs="Times New Roman"/>
          <w:szCs w:val="20"/>
        </w:rPr>
        <w:t xml:space="preserve">: Argentina, Australia, Canada, Chile, Chinese Taipei, China (People’s Rep. of), Cuba, </w:t>
      </w:r>
      <w:r w:rsidR="00D011E3">
        <w:rPr>
          <w:rFonts w:cs="Times New Roman"/>
          <w:szCs w:val="20"/>
        </w:rPr>
        <w:t xml:space="preserve">Ecuador, </w:t>
      </w:r>
      <w:r w:rsidRPr="00F47555">
        <w:rPr>
          <w:rFonts w:cs="Times New Roman"/>
          <w:szCs w:val="20"/>
        </w:rPr>
        <w:t>Japan, Kore</w:t>
      </w:r>
      <w:r w:rsidR="004822D7">
        <w:rPr>
          <w:rFonts w:cs="Times New Roman"/>
          <w:szCs w:val="20"/>
        </w:rPr>
        <w:t>a</w:t>
      </w:r>
      <w:r w:rsidRPr="00F47555">
        <w:rPr>
          <w:rFonts w:cs="Times New Roman"/>
          <w:szCs w:val="20"/>
        </w:rPr>
        <w:t xml:space="preserve"> (Rep. of), New Caledonia, New Zealand, Nicaragua, Norway, </w:t>
      </w:r>
      <w:r w:rsidR="00D011E3">
        <w:rPr>
          <w:rFonts w:cs="Times New Roman"/>
          <w:szCs w:val="20"/>
        </w:rPr>
        <w:t xml:space="preserve">Peru, </w:t>
      </w:r>
      <w:r w:rsidRPr="00F47555">
        <w:rPr>
          <w:rFonts w:cs="Times New Roman"/>
          <w:szCs w:val="20"/>
        </w:rPr>
        <w:t xml:space="preserve">Singapore, Thailand, the United States of America (the USA), </w:t>
      </w:r>
      <w:r w:rsidR="00E84586" w:rsidRPr="00F5355A">
        <w:rPr>
          <w:rFonts w:cs="Times New Roman"/>
          <w:szCs w:val="20"/>
        </w:rPr>
        <w:t>the Member States of European Union (EU)</w:t>
      </w:r>
      <w:r w:rsidR="00E84586">
        <w:rPr>
          <w:rFonts w:cs="Times New Roman"/>
          <w:szCs w:val="20"/>
        </w:rPr>
        <w:t xml:space="preserve"> and</w:t>
      </w:r>
      <w:r w:rsidR="00E84586" w:rsidRPr="00F5355A">
        <w:rPr>
          <w:rFonts w:cs="Times New Roman"/>
          <w:szCs w:val="20"/>
        </w:rPr>
        <w:t xml:space="preserve"> the African Union Interafrican Bureau for Animal Resources (AU-IBAR) on behalf of African Member Countries of the OIE</w:t>
      </w:r>
      <w:r w:rsidR="00F5355A">
        <w:rPr>
          <w:rFonts w:cs="Times New Roman"/>
          <w:szCs w:val="20"/>
        </w:rPr>
        <w:t>.</w:t>
      </w:r>
      <w:r w:rsidRPr="00F47555">
        <w:rPr>
          <w:rFonts w:cs="Times New Roman"/>
          <w:szCs w:val="20"/>
        </w:rPr>
        <w:t xml:space="preserve"> </w:t>
      </w:r>
    </w:p>
    <w:p w14:paraId="56CAC344" w14:textId="21AB1958" w:rsidR="00596091" w:rsidRPr="00F47555" w:rsidRDefault="00596091" w:rsidP="003E513A">
      <w:pPr>
        <w:spacing w:after="240" w:line="240" w:lineRule="auto"/>
        <w:jc w:val="both"/>
        <w:rPr>
          <w:rFonts w:cs="Times New Roman"/>
          <w:szCs w:val="20"/>
        </w:rPr>
      </w:pPr>
      <w:r w:rsidRPr="00F47555">
        <w:rPr>
          <w:rFonts w:cs="Times New Roman"/>
          <w:szCs w:val="20"/>
        </w:rPr>
        <w:t xml:space="preserve">The </w:t>
      </w:r>
      <w:r w:rsidR="00F47555" w:rsidRPr="00F47555">
        <w:rPr>
          <w:rFonts w:cs="Times New Roman"/>
          <w:szCs w:val="20"/>
        </w:rPr>
        <w:t xml:space="preserve">Commission </w:t>
      </w:r>
      <w:r w:rsidRPr="00F47555">
        <w:rPr>
          <w:rFonts w:cs="Times New Roman"/>
          <w:szCs w:val="20"/>
        </w:rPr>
        <w:t xml:space="preserve">considered all comments </w:t>
      </w:r>
      <w:r w:rsidR="006F72FC">
        <w:rPr>
          <w:rFonts w:cs="Times New Roman"/>
          <w:szCs w:val="20"/>
        </w:rPr>
        <w:t>that were submitted on time</w:t>
      </w:r>
      <w:r w:rsidR="00C769FD">
        <w:rPr>
          <w:rFonts w:cs="Times New Roman"/>
          <w:szCs w:val="20"/>
        </w:rPr>
        <w:t xml:space="preserve"> and were </w:t>
      </w:r>
      <w:r w:rsidR="006F72FC">
        <w:rPr>
          <w:rFonts w:cs="Times New Roman"/>
          <w:szCs w:val="20"/>
        </w:rPr>
        <w:t>supported by a rationale</w:t>
      </w:r>
      <w:r w:rsidR="00C769FD">
        <w:rPr>
          <w:rFonts w:cs="Times New Roman"/>
          <w:szCs w:val="20"/>
        </w:rPr>
        <w:t>. The Commission</w:t>
      </w:r>
      <w:r w:rsidR="00C769FD" w:rsidRPr="00F47555">
        <w:rPr>
          <w:rFonts w:cs="Times New Roman"/>
          <w:szCs w:val="20"/>
        </w:rPr>
        <w:t xml:space="preserve"> </w:t>
      </w:r>
      <w:r w:rsidRPr="00F47555">
        <w:rPr>
          <w:rFonts w:cs="Times New Roman"/>
          <w:szCs w:val="20"/>
        </w:rPr>
        <w:t>made amendments to draft texts, where relevant</w:t>
      </w:r>
      <w:r w:rsidR="00D60AB7">
        <w:rPr>
          <w:rFonts w:cs="Times New Roman"/>
          <w:szCs w:val="20"/>
        </w:rPr>
        <w:t xml:space="preserve">, </w:t>
      </w:r>
      <w:r w:rsidRPr="00F47555">
        <w:rPr>
          <w:rFonts w:cs="Times New Roman"/>
          <w:szCs w:val="20"/>
        </w:rPr>
        <w:t>in the usual manner by ‘</w:t>
      </w:r>
      <w:r w:rsidRPr="00F47555">
        <w:rPr>
          <w:rFonts w:cs="Times New Roman"/>
          <w:szCs w:val="20"/>
          <w:u w:val="double"/>
        </w:rPr>
        <w:t>double underline</w:t>
      </w:r>
      <w:r w:rsidRPr="00F47555">
        <w:rPr>
          <w:rFonts w:cs="Times New Roman"/>
          <w:szCs w:val="20"/>
        </w:rPr>
        <w:t>’ and ‘</w:t>
      </w:r>
      <w:r w:rsidRPr="00F47555">
        <w:rPr>
          <w:rFonts w:cs="Times New Roman"/>
          <w:strike/>
          <w:szCs w:val="20"/>
        </w:rPr>
        <w:t>strikethrough</w:t>
      </w:r>
      <w:r w:rsidRPr="00F47555">
        <w:rPr>
          <w:rFonts w:cs="Times New Roman"/>
          <w:szCs w:val="20"/>
        </w:rPr>
        <w:t xml:space="preserve">’. </w:t>
      </w:r>
      <w:r w:rsidR="00C42E55" w:rsidRPr="00F47555">
        <w:rPr>
          <w:rFonts w:cs="Times New Roman"/>
          <w:szCs w:val="20"/>
        </w:rPr>
        <w:t xml:space="preserve">In </w:t>
      </w:r>
      <w:r w:rsidR="00D60AB7">
        <w:rPr>
          <w:rFonts w:cs="Times New Roman"/>
          <w:szCs w:val="20"/>
        </w:rPr>
        <w:t xml:space="preserve">the </w:t>
      </w:r>
      <w:r w:rsidR="00C42E55" w:rsidRPr="00F47555">
        <w:rPr>
          <w:rFonts w:cs="Times New Roman"/>
          <w:szCs w:val="20"/>
        </w:rPr>
        <w:t xml:space="preserve">Annexes, amendments proposed at this meeting are highlighted with a coloured background in order to distinguish them from those </w:t>
      </w:r>
      <w:r w:rsidR="00D60AB7">
        <w:rPr>
          <w:rFonts w:cs="Times New Roman"/>
          <w:szCs w:val="20"/>
        </w:rPr>
        <w:t>made</w:t>
      </w:r>
      <w:r w:rsidR="00C42E55" w:rsidRPr="00F47555">
        <w:rPr>
          <w:rFonts w:cs="Times New Roman"/>
          <w:szCs w:val="20"/>
        </w:rPr>
        <w:t xml:space="preserve"> previously.</w:t>
      </w:r>
      <w:r w:rsidR="00C42E55">
        <w:rPr>
          <w:rFonts w:cs="Times New Roman"/>
          <w:szCs w:val="20"/>
        </w:rPr>
        <w:t xml:space="preserve"> </w:t>
      </w:r>
      <w:r w:rsidR="00A97B65">
        <w:rPr>
          <w:rFonts w:cs="Times New Roman"/>
          <w:szCs w:val="20"/>
        </w:rPr>
        <w:t>T</w:t>
      </w:r>
      <w:r w:rsidRPr="00F47555">
        <w:rPr>
          <w:rFonts w:cs="Times New Roman"/>
          <w:szCs w:val="20"/>
        </w:rPr>
        <w:t xml:space="preserve">he Commission did not consider comments where a rationale had not been provided or that were difficult to interpret. </w:t>
      </w:r>
    </w:p>
    <w:p w14:paraId="3CB6769B" w14:textId="3BF81598" w:rsidR="00596091" w:rsidRPr="006801B0" w:rsidRDefault="00596091" w:rsidP="003E513A">
      <w:pPr>
        <w:spacing w:after="240" w:line="240" w:lineRule="auto"/>
        <w:jc w:val="both"/>
        <w:rPr>
          <w:rFonts w:cs="Times New Roman"/>
          <w:szCs w:val="20"/>
        </w:rPr>
      </w:pPr>
      <w:r w:rsidRPr="00F47555">
        <w:rPr>
          <w:rFonts w:cs="Times New Roman"/>
          <w:szCs w:val="20"/>
        </w:rPr>
        <w:t xml:space="preserve">The </w:t>
      </w:r>
      <w:r w:rsidR="00F47555" w:rsidRPr="00F47555">
        <w:rPr>
          <w:rFonts w:cs="Times New Roman"/>
          <w:szCs w:val="20"/>
        </w:rPr>
        <w:t xml:space="preserve">Commission </w:t>
      </w:r>
      <w:r w:rsidRPr="00F47555">
        <w:rPr>
          <w:rFonts w:cs="Times New Roman"/>
          <w:szCs w:val="20"/>
        </w:rPr>
        <w:t xml:space="preserve">encourages Members to </w:t>
      </w:r>
      <w:r w:rsidR="00C769FD">
        <w:rPr>
          <w:rFonts w:cs="Times New Roman"/>
          <w:szCs w:val="20"/>
        </w:rPr>
        <w:t>consider</w:t>
      </w:r>
      <w:r w:rsidR="00C769FD" w:rsidRPr="00F47555">
        <w:rPr>
          <w:rFonts w:cs="Times New Roman"/>
          <w:szCs w:val="20"/>
        </w:rPr>
        <w:t xml:space="preserve"> </w:t>
      </w:r>
      <w:r w:rsidR="00C769FD">
        <w:rPr>
          <w:rFonts w:cs="Times New Roman"/>
          <w:szCs w:val="20"/>
        </w:rPr>
        <w:t>relevant</w:t>
      </w:r>
      <w:r w:rsidR="00C769FD" w:rsidRPr="00F47555">
        <w:rPr>
          <w:rFonts w:cs="Times New Roman"/>
          <w:szCs w:val="20"/>
        </w:rPr>
        <w:t xml:space="preserve"> information</w:t>
      </w:r>
      <w:r w:rsidR="00C769FD" w:rsidRPr="00F47555" w:rsidDel="00C769FD">
        <w:rPr>
          <w:rFonts w:cs="Times New Roman"/>
          <w:szCs w:val="20"/>
        </w:rPr>
        <w:t xml:space="preserve"> </w:t>
      </w:r>
      <w:r w:rsidR="00C769FD">
        <w:rPr>
          <w:rFonts w:cs="Times New Roman"/>
          <w:szCs w:val="20"/>
        </w:rPr>
        <w:t xml:space="preserve">in </w:t>
      </w:r>
      <w:r w:rsidRPr="00F47555">
        <w:rPr>
          <w:rFonts w:cs="Times New Roman"/>
          <w:szCs w:val="20"/>
        </w:rPr>
        <w:t xml:space="preserve">previous </w:t>
      </w:r>
      <w:r w:rsidR="004A0444">
        <w:rPr>
          <w:rFonts w:cs="Times New Roman"/>
          <w:szCs w:val="20"/>
        </w:rPr>
        <w:t xml:space="preserve">Commission </w:t>
      </w:r>
      <w:r w:rsidR="00C769FD">
        <w:rPr>
          <w:rFonts w:cs="Times New Roman"/>
          <w:szCs w:val="20"/>
        </w:rPr>
        <w:t xml:space="preserve">and </w:t>
      </w:r>
      <w:r w:rsidR="00C769FD" w:rsidRPr="00F47555">
        <w:rPr>
          <w:rFonts w:cs="Times New Roman"/>
          <w:i/>
          <w:iCs/>
          <w:szCs w:val="20"/>
        </w:rPr>
        <w:t>ad hoc</w:t>
      </w:r>
      <w:r w:rsidR="00C769FD">
        <w:rPr>
          <w:rFonts w:cs="Times New Roman"/>
          <w:szCs w:val="20"/>
        </w:rPr>
        <w:t xml:space="preserve"> Group</w:t>
      </w:r>
      <w:r w:rsidR="00C769FD" w:rsidRPr="00F47555">
        <w:rPr>
          <w:rFonts w:cs="Times New Roman"/>
          <w:szCs w:val="20"/>
        </w:rPr>
        <w:t xml:space="preserve"> </w:t>
      </w:r>
      <w:r w:rsidRPr="00F47555">
        <w:rPr>
          <w:rFonts w:cs="Times New Roman"/>
          <w:szCs w:val="20"/>
        </w:rPr>
        <w:t>reports when preparing comments</w:t>
      </w:r>
      <w:r w:rsidR="004A0444">
        <w:rPr>
          <w:rFonts w:cs="Times New Roman"/>
          <w:szCs w:val="20"/>
        </w:rPr>
        <w:t xml:space="preserve">, especially </w:t>
      </w:r>
      <w:r w:rsidRPr="00F47555">
        <w:rPr>
          <w:rFonts w:cs="Times New Roman"/>
          <w:szCs w:val="20"/>
        </w:rPr>
        <w:t xml:space="preserve">on longstanding issues. These reports are available on the </w:t>
      </w:r>
      <w:hyperlink r:id="rId8" w:history="1">
        <w:r w:rsidRPr="006801B0">
          <w:rPr>
            <w:rStyle w:val="Lienhypertexte"/>
            <w:rFonts w:cs="Times New Roman"/>
            <w:szCs w:val="20"/>
          </w:rPr>
          <w:t>OIE Website</w:t>
        </w:r>
      </w:hyperlink>
      <w:r w:rsidRPr="006801B0">
        <w:rPr>
          <w:rFonts w:cs="Times New Roman"/>
          <w:szCs w:val="20"/>
        </w:rPr>
        <w:t xml:space="preserve">. </w:t>
      </w:r>
    </w:p>
    <w:p w14:paraId="50B15489" w14:textId="18829730" w:rsidR="003D10AC" w:rsidRPr="00F42518" w:rsidRDefault="00596091" w:rsidP="003D10AC">
      <w:pPr>
        <w:spacing w:after="240" w:line="240" w:lineRule="auto"/>
        <w:jc w:val="both"/>
        <w:rPr>
          <w:rFonts w:cs="Times New Roman"/>
          <w:szCs w:val="20"/>
        </w:rPr>
      </w:pPr>
      <w:r w:rsidRPr="00F42518">
        <w:rPr>
          <w:rFonts w:cs="Times New Roman"/>
          <w:szCs w:val="20"/>
        </w:rPr>
        <w:t xml:space="preserve">The </w:t>
      </w:r>
      <w:r w:rsidR="008D48DF" w:rsidRPr="00F42518">
        <w:rPr>
          <w:rFonts w:cs="Times New Roman"/>
          <w:szCs w:val="20"/>
        </w:rPr>
        <w:t>T</w:t>
      </w:r>
      <w:r w:rsidRPr="00F42518">
        <w:rPr>
          <w:rFonts w:cs="Times New Roman"/>
          <w:szCs w:val="20"/>
        </w:rPr>
        <w:t xml:space="preserve">able </w:t>
      </w:r>
      <w:r w:rsidR="00C42E55" w:rsidRPr="00F42518">
        <w:rPr>
          <w:rFonts w:cs="Times New Roman"/>
          <w:szCs w:val="20"/>
        </w:rPr>
        <w:t xml:space="preserve">of </w:t>
      </w:r>
      <w:r w:rsidR="008D48DF" w:rsidRPr="00F42518">
        <w:rPr>
          <w:rFonts w:cs="Times New Roman"/>
          <w:szCs w:val="20"/>
        </w:rPr>
        <w:t>C</w:t>
      </w:r>
      <w:r w:rsidR="00C42E55" w:rsidRPr="00F42518">
        <w:rPr>
          <w:rFonts w:cs="Times New Roman"/>
          <w:szCs w:val="20"/>
        </w:rPr>
        <w:t>ontent</w:t>
      </w:r>
      <w:r w:rsidR="004E17B2" w:rsidRPr="00F42518">
        <w:rPr>
          <w:rFonts w:cs="Times New Roman"/>
          <w:szCs w:val="20"/>
        </w:rPr>
        <w:t>s</w:t>
      </w:r>
      <w:r w:rsidR="00C42E55" w:rsidRPr="00F42518">
        <w:rPr>
          <w:rFonts w:cs="Times New Roman"/>
          <w:szCs w:val="20"/>
        </w:rPr>
        <w:t xml:space="preserve"> below </w:t>
      </w:r>
      <w:r w:rsidR="002404CE">
        <w:rPr>
          <w:rFonts w:eastAsia="Times New Roman"/>
        </w:rPr>
        <w:t>lists the meeting agenda items and provides links to the items</w:t>
      </w:r>
      <w:r w:rsidRPr="00DE698E">
        <w:rPr>
          <w:rFonts w:cs="Times New Roman"/>
          <w:szCs w:val="20"/>
        </w:rPr>
        <w:t>.</w:t>
      </w:r>
      <w:r w:rsidRPr="00F42518">
        <w:rPr>
          <w:rFonts w:cs="Times New Roman"/>
          <w:szCs w:val="20"/>
        </w:rPr>
        <w:t xml:space="preserve"> Members should note that texts in </w:t>
      </w:r>
      <w:r w:rsidRPr="00513C7D">
        <w:rPr>
          <w:rFonts w:cs="Times New Roman"/>
          <w:b/>
          <w:bCs/>
          <w:szCs w:val="20"/>
          <w:u w:val="single"/>
        </w:rPr>
        <w:t xml:space="preserve">Annexes </w:t>
      </w:r>
      <w:r w:rsidR="00B24531" w:rsidRPr="00685B5C">
        <w:rPr>
          <w:rFonts w:cs="Times New Roman"/>
          <w:b/>
          <w:bCs/>
          <w:szCs w:val="20"/>
          <w:u w:val="single"/>
        </w:rPr>
        <w:t>2</w:t>
      </w:r>
      <w:r w:rsidRPr="00685B5C">
        <w:rPr>
          <w:rFonts w:cs="Times New Roman"/>
          <w:b/>
          <w:bCs/>
          <w:szCs w:val="20"/>
          <w:u w:val="single"/>
        </w:rPr>
        <w:t xml:space="preserve"> to </w:t>
      </w:r>
      <w:r w:rsidR="00B24531" w:rsidRPr="00685B5C">
        <w:rPr>
          <w:rFonts w:cs="Times New Roman"/>
          <w:b/>
          <w:bCs/>
          <w:szCs w:val="20"/>
          <w:u w:val="single"/>
        </w:rPr>
        <w:t>7</w:t>
      </w:r>
      <w:r w:rsidRPr="00685B5C">
        <w:rPr>
          <w:rFonts w:cs="Times New Roman"/>
          <w:szCs w:val="20"/>
        </w:rPr>
        <w:t xml:space="preserve"> </w:t>
      </w:r>
      <w:r w:rsidR="00B24531" w:rsidRPr="00685B5C">
        <w:rPr>
          <w:rFonts w:cs="Times New Roman"/>
          <w:b/>
          <w:bCs/>
          <w:szCs w:val="20"/>
        </w:rPr>
        <w:t xml:space="preserve">and </w:t>
      </w:r>
      <w:r w:rsidR="00B24531" w:rsidRPr="00685B5C">
        <w:rPr>
          <w:rFonts w:cs="Times New Roman"/>
          <w:b/>
          <w:bCs/>
          <w:szCs w:val="20"/>
          <w:u w:val="single"/>
        </w:rPr>
        <w:t>11 to 14</w:t>
      </w:r>
      <w:r w:rsidR="00B24531">
        <w:rPr>
          <w:rFonts w:cs="Times New Roman"/>
          <w:szCs w:val="20"/>
        </w:rPr>
        <w:t xml:space="preserve"> </w:t>
      </w:r>
      <w:r w:rsidR="000B248E" w:rsidRPr="00F42518">
        <w:rPr>
          <w:rFonts w:cs="Times New Roman"/>
          <w:szCs w:val="20"/>
        </w:rPr>
        <w:t xml:space="preserve">that </w:t>
      </w:r>
      <w:r w:rsidR="00F5452A" w:rsidRPr="00F42518">
        <w:rPr>
          <w:rFonts w:cs="Times New Roman"/>
          <w:szCs w:val="20"/>
        </w:rPr>
        <w:t xml:space="preserve">were to be </w:t>
      </w:r>
      <w:r w:rsidRPr="00F42518">
        <w:rPr>
          <w:rFonts w:cs="Times New Roman"/>
          <w:szCs w:val="20"/>
        </w:rPr>
        <w:t>proposed for adoption in May 2020</w:t>
      </w:r>
      <w:r w:rsidR="000B248E" w:rsidRPr="00F42518">
        <w:rPr>
          <w:rFonts w:cs="Times New Roman"/>
          <w:szCs w:val="20"/>
        </w:rPr>
        <w:t>, will be proposed for adoption in May 2021 and are open for an additional round of comments.</w:t>
      </w:r>
      <w:r w:rsidR="00F5452A" w:rsidRPr="00F42518">
        <w:rPr>
          <w:rFonts w:cs="Times New Roman"/>
          <w:szCs w:val="20"/>
        </w:rPr>
        <w:t xml:space="preserve"> </w:t>
      </w:r>
      <w:r w:rsidR="000B248E" w:rsidRPr="005756FA">
        <w:rPr>
          <w:rFonts w:cs="Times New Roman"/>
          <w:szCs w:val="20"/>
        </w:rPr>
        <w:t xml:space="preserve">As these texts have already undergone extensive consultation, Members are requested to only submit comments to address substantive issues that have not been considered previously. </w:t>
      </w:r>
      <w:r w:rsidRPr="00685B5C">
        <w:rPr>
          <w:rFonts w:cs="Times New Roman"/>
          <w:b/>
          <w:bCs/>
          <w:szCs w:val="20"/>
          <w:u w:val="single"/>
        </w:rPr>
        <w:t xml:space="preserve">Annexes </w:t>
      </w:r>
      <w:r w:rsidR="00B24531" w:rsidRPr="00685B5C">
        <w:rPr>
          <w:rFonts w:cs="Times New Roman"/>
          <w:b/>
          <w:bCs/>
          <w:szCs w:val="20"/>
          <w:u w:val="single"/>
        </w:rPr>
        <w:t>8</w:t>
      </w:r>
      <w:r w:rsidRPr="00685B5C">
        <w:rPr>
          <w:rFonts w:cs="Times New Roman"/>
          <w:b/>
          <w:bCs/>
          <w:szCs w:val="20"/>
          <w:u w:val="single"/>
        </w:rPr>
        <w:t xml:space="preserve"> to </w:t>
      </w:r>
      <w:r w:rsidR="00B24531" w:rsidRPr="00685B5C">
        <w:rPr>
          <w:rFonts w:cs="Times New Roman"/>
          <w:b/>
          <w:bCs/>
          <w:szCs w:val="20"/>
          <w:u w:val="single"/>
        </w:rPr>
        <w:t>9</w:t>
      </w:r>
      <w:r w:rsidRPr="00685B5C">
        <w:rPr>
          <w:rFonts w:cs="Times New Roman"/>
          <w:b/>
          <w:bCs/>
          <w:szCs w:val="20"/>
          <w:u w:val="single"/>
        </w:rPr>
        <w:t xml:space="preserve"> </w:t>
      </w:r>
      <w:r w:rsidR="00B24531" w:rsidRPr="00685B5C">
        <w:rPr>
          <w:rFonts w:cs="Times New Roman"/>
          <w:b/>
          <w:bCs/>
          <w:szCs w:val="20"/>
          <w:u w:val="single"/>
        </w:rPr>
        <w:t>and 15 to 16</w:t>
      </w:r>
      <w:r w:rsidR="00B24531">
        <w:rPr>
          <w:rFonts w:cs="Times New Roman"/>
          <w:szCs w:val="20"/>
        </w:rPr>
        <w:t xml:space="preserve"> </w:t>
      </w:r>
      <w:r w:rsidRPr="00F42518">
        <w:rPr>
          <w:rFonts w:cs="Times New Roman"/>
          <w:szCs w:val="20"/>
        </w:rPr>
        <w:t xml:space="preserve">are presented for </w:t>
      </w:r>
      <w:r w:rsidRPr="005756FA">
        <w:rPr>
          <w:rFonts w:cs="Times New Roman"/>
          <w:szCs w:val="20"/>
        </w:rPr>
        <w:t>Member comment</w:t>
      </w:r>
      <w:r w:rsidR="001F630C" w:rsidRPr="005756FA">
        <w:rPr>
          <w:rFonts w:cs="Times New Roman"/>
          <w:szCs w:val="20"/>
        </w:rPr>
        <w:t>s</w:t>
      </w:r>
      <w:r w:rsidRPr="00F42518">
        <w:rPr>
          <w:rFonts w:cs="Times New Roman"/>
          <w:szCs w:val="20"/>
        </w:rPr>
        <w:t xml:space="preserve">. </w:t>
      </w:r>
      <w:bookmarkStart w:id="0" w:name="_Hlk39147601"/>
      <w:r w:rsidR="003D10AC" w:rsidRPr="00685B5C">
        <w:rPr>
          <w:rFonts w:cs="Times New Roman"/>
          <w:b/>
          <w:szCs w:val="20"/>
          <w:u w:val="single"/>
        </w:rPr>
        <w:t>Annex 10</w:t>
      </w:r>
      <w:r w:rsidR="003D10AC">
        <w:rPr>
          <w:rFonts w:cs="Times New Roman"/>
          <w:szCs w:val="20"/>
        </w:rPr>
        <w:t xml:space="preserve"> is presented for Member information.</w:t>
      </w:r>
      <w:bookmarkEnd w:id="0"/>
    </w:p>
    <w:p w14:paraId="3EF0F991" w14:textId="24EC513F" w:rsidR="00596091" w:rsidRDefault="00596091" w:rsidP="003E513A">
      <w:pPr>
        <w:spacing w:after="240" w:line="240" w:lineRule="auto"/>
        <w:jc w:val="both"/>
        <w:rPr>
          <w:rFonts w:cs="Times New Roman"/>
          <w:szCs w:val="20"/>
        </w:rPr>
      </w:pPr>
      <w:r w:rsidRPr="00F47555">
        <w:rPr>
          <w:rFonts w:cs="Times New Roman"/>
          <w:szCs w:val="20"/>
        </w:rPr>
        <w:t xml:space="preserve">Comments on </w:t>
      </w:r>
      <w:r w:rsidRPr="002A507E">
        <w:rPr>
          <w:rFonts w:cs="Times New Roman"/>
          <w:b/>
          <w:bCs/>
          <w:szCs w:val="20"/>
          <w:u w:val="single"/>
        </w:rPr>
        <w:t xml:space="preserve">Annexes </w:t>
      </w:r>
      <w:r w:rsidR="00A400ED">
        <w:rPr>
          <w:rFonts w:cs="Times New Roman"/>
          <w:b/>
          <w:bCs/>
          <w:szCs w:val="20"/>
          <w:u w:val="single"/>
        </w:rPr>
        <w:t>2</w:t>
      </w:r>
      <w:r w:rsidR="007A5DAA" w:rsidRPr="00F47555">
        <w:rPr>
          <w:rFonts w:cs="Times New Roman"/>
          <w:szCs w:val="20"/>
        </w:rPr>
        <w:t xml:space="preserve"> </w:t>
      </w:r>
      <w:r w:rsidRPr="00F47555">
        <w:rPr>
          <w:rFonts w:cs="Times New Roman"/>
          <w:szCs w:val="20"/>
        </w:rPr>
        <w:t xml:space="preserve">to </w:t>
      </w:r>
      <w:r w:rsidR="00A400ED">
        <w:rPr>
          <w:rFonts w:cs="Times New Roman"/>
          <w:b/>
          <w:bCs/>
          <w:szCs w:val="20"/>
          <w:u w:val="single"/>
        </w:rPr>
        <w:t>16</w:t>
      </w:r>
      <w:r w:rsidR="008D48DF">
        <w:rPr>
          <w:rFonts w:cs="Times New Roman"/>
          <w:szCs w:val="20"/>
        </w:rPr>
        <w:t xml:space="preserve"> </w:t>
      </w:r>
      <w:r w:rsidRPr="00F47555">
        <w:rPr>
          <w:rFonts w:cs="Times New Roman"/>
          <w:szCs w:val="20"/>
        </w:rPr>
        <w:t xml:space="preserve">of this report must reach OIE Headquarters by the </w:t>
      </w:r>
      <w:r w:rsidR="00C94228" w:rsidRPr="00BC5907">
        <w:rPr>
          <w:rFonts w:cs="Times New Roman"/>
          <w:b/>
          <w:bCs/>
          <w:szCs w:val="20"/>
          <w:u w:val="single"/>
        </w:rPr>
        <w:t xml:space="preserve">10 </w:t>
      </w:r>
      <w:r w:rsidR="000B248E" w:rsidRPr="00BC5907">
        <w:rPr>
          <w:rFonts w:cs="Times New Roman"/>
          <w:b/>
          <w:bCs/>
          <w:szCs w:val="20"/>
          <w:u w:val="single"/>
        </w:rPr>
        <w:t xml:space="preserve">July </w:t>
      </w:r>
      <w:r w:rsidRPr="00BC5907">
        <w:rPr>
          <w:rFonts w:cs="Times New Roman"/>
          <w:b/>
          <w:bCs/>
          <w:szCs w:val="20"/>
          <w:u w:val="single"/>
        </w:rPr>
        <w:t>2020</w:t>
      </w:r>
      <w:r w:rsidRPr="00F47555">
        <w:rPr>
          <w:rFonts w:cs="Times New Roman"/>
          <w:szCs w:val="20"/>
        </w:rPr>
        <w:t xml:space="preserve"> to be considered at the </w:t>
      </w:r>
      <w:r w:rsidR="00523676">
        <w:rPr>
          <w:rFonts w:cs="Times New Roman"/>
          <w:szCs w:val="20"/>
        </w:rPr>
        <w:t>September</w:t>
      </w:r>
      <w:r w:rsidRPr="00F47555">
        <w:rPr>
          <w:rFonts w:cs="Times New Roman"/>
          <w:szCs w:val="20"/>
        </w:rPr>
        <w:t xml:space="preserve"> 2020 meeting of the Aquatic Animals Commission. Comments received after th</w:t>
      </w:r>
      <w:r w:rsidR="004822D7">
        <w:rPr>
          <w:rFonts w:cs="Times New Roman"/>
          <w:szCs w:val="20"/>
        </w:rPr>
        <w:t>is</w:t>
      </w:r>
      <w:r w:rsidRPr="00F47555">
        <w:rPr>
          <w:rFonts w:cs="Times New Roman"/>
          <w:szCs w:val="20"/>
        </w:rPr>
        <w:t xml:space="preserve"> due date will not be submitted to the Commission for its consideration.</w:t>
      </w:r>
    </w:p>
    <w:p w14:paraId="3DA300AC" w14:textId="77777777" w:rsidR="00596091" w:rsidRPr="00F47555" w:rsidRDefault="00596091" w:rsidP="003E513A">
      <w:pPr>
        <w:spacing w:after="240" w:line="240" w:lineRule="auto"/>
        <w:jc w:val="both"/>
        <w:rPr>
          <w:rFonts w:cs="Times New Roman"/>
          <w:szCs w:val="20"/>
        </w:rPr>
      </w:pPr>
      <w:r w:rsidRPr="00F47555">
        <w:rPr>
          <w:rFonts w:cs="Times New Roman"/>
          <w:szCs w:val="20"/>
        </w:rPr>
        <w:t xml:space="preserve">All comments should be sent to the OIE Standards Department at: </w:t>
      </w:r>
      <w:hyperlink r:id="rId9" w:history="1">
        <w:r w:rsidRPr="00F47555">
          <w:rPr>
            <w:rStyle w:val="Lienhypertexte"/>
            <w:rFonts w:cs="Times New Roman"/>
            <w:szCs w:val="20"/>
          </w:rPr>
          <w:t>standards.dept@oie.int</w:t>
        </w:r>
      </w:hyperlink>
      <w:r w:rsidRPr="00F47555">
        <w:rPr>
          <w:rFonts w:cs="Times New Roman"/>
          <w:szCs w:val="20"/>
        </w:rPr>
        <w:t xml:space="preserve">. </w:t>
      </w:r>
    </w:p>
    <w:p w14:paraId="315DADE3" w14:textId="77777777" w:rsidR="00596091" w:rsidRPr="00F47555" w:rsidRDefault="00596091" w:rsidP="003E513A">
      <w:pPr>
        <w:spacing w:after="240" w:line="240" w:lineRule="auto"/>
        <w:jc w:val="both"/>
        <w:rPr>
          <w:rFonts w:cs="Times New Roman"/>
          <w:szCs w:val="20"/>
        </w:rPr>
      </w:pPr>
      <w:r w:rsidRPr="00F47555">
        <w:rPr>
          <w:rFonts w:cs="Times New Roman"/>
          <w:szCs w:val="20"/>
        </w:rPr>
        <w:t xml:space="preserve">Comments should be submitted as </w:t>
      </w:r>
      <w:r w:rsidRPr="00F47555">
        <w:rPr>
          <w:rFonts w:cs="Times New Roman"/>
          <w:szCs w:val="20"/>
          <w:u w:val="single"/>
        </w:rPr>
        <w:t>Word files</w:t>
      </w:r>
      <w:r w:rsidRPr="00F47555">
        <w:rPr>
          <w:rFonts w:cs="Times New Roman"/>
          <w:szCs w:val="20"/>
        </w:rPr>
        <w:t xml:space="preserve"> rather than pdf files because pdf files are difficult to incorporate into the Commission’s working documents.</w:t>
      </w:r>
    </w:p>
    <w:p w14:paraId="71E4AA6A" w14:textId="37612CC7" w:rsidR="00596091" w:rsidRPr="00F47555" w:rsidRDefault="00596091" w:rsidP="003E513A">
      <w:pPr>
        <w:spacing w:after="240" w:line="240" w:lineRule="auto"/>
        <w:jc w:val="both"/>
        <w:rPr>
          <w:rFonts w:cs="Times New Roman"/>
          <w:szCs w:val="20"/>
        </w:rPr>
      </w:pPr>
      <w:r w:rsidRPr="00F47555">
        <w:rPr>
          <w:rFonts w:cs="Times New Roman"/>
          <w:szCs w:val="20"/>
        </w:rPr>
        <w:t xml:space="preserve">Comments should be presented </w:t>
      </w:r>
      <w:r w:rsidR="003B26C3">
        <w:rPr>
          <w:rFonts w:cs="Times New Roman"/>
          <w:szCs w:val="20"/>
        </w:rPr>
        <w:t xml:space="preserve">in the relevant Annex, </w:t>
      </w:r>
      <w:r w:rsidR="002701A7">
        <w:rPr>
          <w:rFonts w:cs="Times New Roman"/>
          <w:szCs w:val="20"/>
        </w:rPr>
        <w:t>and include new</w:t>
      </w:r>
      <w:r w:rsidRPr="00F47555">
        <w:rPr>
          <w:rFonts w:cs="Times New Roman"/>
          <w:szCs w:val="20"/>
        </w:rPr>
        <w:t xml:space="preserve"> proposed text, supported by a structured rationale or by published scientific references. Proposed deletions should be indicated in ‘</w:t>
      </w:r>
      <w:r w:rsidRPr="00F47555">
        <w:rPr>
          <w:rFonts w:cs="Times New Roman"/>
          <w:strike/>
          <w:szCs w:val="20"/>
        </w:rPr>
        <w:t>strikethrough</w:t>
      </w:r>
      <w:r w:rsidRPr="00F47555">
        <w:rPr>
          <w:rFonts w:cs="Times New Roman"/>
          <w:szCs w:val="20"/>
        </w:rPr>
        <w:t>’ and proposed additions with ‘</w:t>
      </w:r>
      <w:r w:rsidRPr="00F47555">
        <w:rPr>
          <w:rFonts w:cs="Times New Roman"/>
          <w:szCs w:val="20"/>
          <w:u w:val="double"/>
        </w:rPr>
        <w:t>double underline</w:t>
      </w:r>
      <w:r w:rsidRPr="00F47555">
        <w:rPr>
          <w:rFonts w:cs="Times New Roman"/>
          <w:szCs w:val="20"/>
        </w:rPr>
        <w:t xml:space="preserve">’. Members should </w:t>
      </w:r>
      <w:r w:rsidRPr="00F47555">
        <w:rPr>
          <w:rFonts w:cs="Times New Roman"/>
          <w:szCs w:val="20"/>
          <w:u w:val="single"/>
        </w:rPr>
        <w:t>not</w:t>
      </w:r>
      <w:r w:rsidRPr="00F47555">
        <w:rPr>
          <w:rFonts w:cs="Times New Roman"/>
          <w:szCs w:val="20"/>
        </w:rPr>
        <w:t xml:space="preserve"> use the automatic ‘track-changes’ function provided by Word processing software, as such changes are lost in the process of collating Members’ submissions into the </w:t>
      </w:r>
      <w:r w:rsidR="00F47555" w:rsidRPr="00F47555">
        <w:rPr>
          <w:rFonts w:cs="Times New Roman"/>
          <w:szCs w:val="20"/>
        </w:rPr>
        <w:t>Aquatic Animals Commission</w:t>
      </w:r>
      <w:r w:rsidRPr="00F47555">
        <w:rPr>
          <w:rFonts w:cs="Times New Roman"/>
          <w:szCs w:val="20"/>
        </w:rPr>
        <w:t>’s working documents. Members are also requested not to reproduce the full text of a chapter as this makes it easy to miss comments while preparing the working documents.</w:t>
      </w:r>
    </w:p>
    <w:p w14:paraId="6C6A9340" w14:textId="77777777" w:rsidR="00596091" w:rsidRPr="00F47555" w:rsidRDefault="00596091" w:rsidP="003E513A">
      <w:pPr>
        <w:spacing w:after="240" w:line="240" w:lineRule="auto"/>
        <w:jc w:val="both"/>
        <w:rPr>
          <w:rFonts w:cs="Times New Roman"/>
          <w:szCs w:val="20"/>
        </w:rPr>
      </w:pPr>
      <w:r w:rsidRPr="00F47555">
        <w:rPr>
          <w:rFonts w:cs="Times New Roman"/>
          <w:szCs w:val="20"/>
        </w:rPr>
        <w:t xml:space="preserve">The </w:t>
      </w:r>
      <w:r w:rsidR="00F47555" w:rsidRPr="00F47555">
        <w:rPr>
          <w:rFonts w:cs="Times New Roman"/>
          <w:szCs w:val="20"/>
        </w:rPr>
        <w:t xml:space="preserve">Aquatic Animals Commission </w:t>
      </w:r>
      <w:r w:rsidRPr="00F47555">
        <w:rPr>
          <w:rFonts w:cs="Times New Roman"/>
          <w:szCs w:val="20"/>
        </w:rPr>
        <w:t>strongly encourages Members to participate in the development of the OIE’s international standards by submitting comments on this report and participate in the process of adoption at the General Session.</w:t>
      </w:r>
    </w:p>
    <w:p w14:paraId="4F9FEA12" w14:textId="77777777" w:rsidR="00596091" w:rsidRPr="00F47555" w:rsidRDefault="00596091" w:rsidP="00F47555">
      <w:pPr>
        <w:spacing w:after="240" w:line="240" w:lineRule="auto"/>
        <w:ind w:right="-286"/>
        <w:rPr>
          <w:rFonts w:cs="Times New Roman"/>
          <w:b/>
          <w:bCs/>
          <w:szCs w:val="20"/>
        </w:rPr>
      </w:pPr>
      <w:bookmarkStart w:id="1" w:name="_Hlk38018794"/>
      <w:r w:rsidRPr="00F47555">
        <w:rPr>
          <w:rFonts w:cs="Times New Roman"/>
          <w:b/>
          <w:bCs/>
          <w:szCs w:val="20"/>
        </w:rPr>
        <w:t xml:space="preserve">Table of </w:t>
      </w:r>
      <w:r w:rsidR="004A0444">
        <w:rPr>
          <w:rFonts w:cs="Times New Roman"/>
          <w:b/>
          <w:bCs/>
          <w:szCs w:val="20"/>
        </w:rPr>
        <w:t>C</w:t>
      </w:r>
      <w:r w:rsidRPr="00F47555">
        <w:rPr>
          <w:rFonts w:cs="Times New Roman"/>
          <w:b/>
          <w:bCs/>
          <w:szCs w:val="20"/>
        </w:rPr>
        <w:t>ontent</w:t>
      </w:r>
      <w:r w:rsidR="004A0444">
        <w:rPr>
          <w:rFonts w:cs="Times New Roman"/>
          <w:b/>
          <w:bCs/>
          <w:szCs w:val="20"/>
        </w:rPr>
        <w:t>s</w:t>
      </w:r>
      <w:r w:rsidRPr="00F47555">
        <w:rPr>
          <w:rFonts w:cs="Times New Roman"/>
          <w:b/>
          <w:bCs/>
          <w:szCs w:val="20"/>
        </w:rPr>
        <w:t xml:space="preserve"> </w:t>
      </w:r>
    </w:p>
    <w:p w14:paraId="19ED404C" w14:textId="6A63BF05" w:rsidR="00800B4D" w:rsidRDefault="00EF4C26" w:rsidP="003E513A">
      <w:pPr>
        <w:pStyle w:val="TM1"/>
        <w:rPr>
          <w:rFonts w:asciiTheme="minorHAnsi" w:hAnsiTheme="minorHAnsi" w:cstheme="minorBidi"/>
          <w:noProof/>
          <w:sz w:val="22"/>
        </w:rPr>
      </w:pPr>
      <w:r w:rsidRPr="00F47555">
        <w:rPr>
          <w:szCs w:val="20"/>
        </w:rPr>
        <w:fldChar w:fldCharType="begin"/>
      </w:r>
      <w:r w:rsidRPr="00F47555">
        <w:rPr>
          <w:szCs w:val="20"/>
        </w:rPr>
        <w:instrText xml:space="preserve"> TOC \o "1-3" \h \z \u </w:instrText>
      </w:r>
      <w:r w:rsidRPr="00F47555">
        <w:rPr>
          <w:szCs w:val="20"/>
        </w:rPr>
        <w:fldChar w:fldCharType="separate"/>
      </w:r>
      <w:hyperlink w:anchor="_Toc38028612" w:history="1">
        <w:r w:rsidR="00800B4D" w:rsidRPr="00AD200B">
          <w:rPr>
            <w:rStyle w:val="Lienhypertexte"/>
            <w:b/>
            <w:bCs/>
            <w:noProof/>
          </w:rPr>
          <w:t>1.</w:t>
        </w:r>
        <w:r w:rsidR="00800B4D">
          <w:rPr>
            <w:rFonts w:asciiTheme="minorHAnsi" w:hAnsiTheme="minorHAnsi" w:cstheme="minorBidi"/>
            <w:noProof/>
            <w:sz w:val="22"/>
          </w:rPr>
          <w:tab/>
        </w:r>
        <w:r w:rsidR="00800B4D" w:rsidRPr="00AD200B">
          <w:rPr>
            <w:rStyle w:val="Lienhypertexte"/>
            <w:b/>
            <w:bCs/>
            <w:noProof/>
          </w:rPr>
          <w:t>WELCOME FROM THE DEPUTY DIRECTOR GENERAL</w:t>
        </w:r>
        <w:r w:rsidR="00800B4D">
          <w:rPr>
            <w:noProof/>
            <w:webHidden/>
          </w:rPr>
          <w:tab/>
        </w:r>
        <w:r w:rsidR="00165908">
          <w:rPr>
            <w:noProof/>
            <w:webHidden/>
          </w:rPr>
          <w:t>4</w:t>
        </w:r>
      </w:hyperlink>
    </w:p>
    <w:p w14:paraId="3DC861EA" w14:textId="574D4A13" w:rsidR="00800B4D" w:rsidRDefault="00831075" w:rsidP="003E513A">
      <w:pPr>
        <w:pStyle w:val="TM1"/>
        <w:rPr>
          <w:rFonts w:asciiTheme="minorHAnsi" w:hAnsiTheme="minorHAnsi" w:cstheme="minorBidi"/>
          <w:noProof/>
          <w:sz w:val="22"/>
        </w:rPr>
      </w:pPr>
      <w:hyperlink w:anchor="_Toc38028613" w:history="1">
        <w:r w:rsidR="00800B4D" w:rsidRPr="00AD200B">
          <w:rPr>
            <w:rStyle w:val="Lienhypertexte"/>
            <w:b/>
            <w:bCs/>
            <w:noProof/>
          </w:rPr>
          <w:t>2.</w:t>
        </w:r>
        <w:r w:rsidR="00800B4D">
          <w:rPr>
            <w:rFonts w:asciiTheme="minorHAnsi" w:hAnsiTheme="minorHAnsi" w:cstheme="minorBidi"/>
            <w:noProof/>
            <w:sz w:val="22"/>
          </w:rPr>
          <w:tab/>
        </w:r>
        <w:r w:rsidR="00800B4D" w:rsidRPr="00AD200B">
          <w:rPr>
            <w:rStyle w:val="Lienhypertexte"/>
            <w:b/>
            <w:bCs/>
            <w:noProof/>
          </w:rPr>
          <w:t>ADOPTED AGENDA</w:t>
        </w:r>
        <w:r w:rsidR="00800B4D">
          <w:rPr>
            <w:noProof/>
            <w:webHidden/>
          </w:rPr>
          <w:tab/>
        </w:r>
        <w:r w:rsidR="00165908">
          <w:rPr>
            <w:noProof/>
            <w:webHidden/>
          </w:rPr>
          <w:t>4</w:t>
        </w:r>
      </w:hyperlink>
    </w:p>
    <w:p w14:paraId="4B6115FA" w14:textId="46FA72E0" w:rsidR="00800B4D" w:rsidRDefault="00831075" w:rsidP="003E513A">
      <w:pPr>
        <w:pStyle w:val="TM1"/>
        <w:rPr>
          <w:rFonts w:asciiTheme="minorHAnsi" w:hAnsiTheme="minorHAnsi" w:cstheme="minorBidi"/>
          <w:noProof/>
          <w:sz w:val="22"/>
        </w:rPr>
      </w:pPr>
      <w:hyperlink w:anchor="_Toc38028614" w:history="1">
        <w:r w:rsidR="00800B4D" w:rsidRPr="00AD200B">
          <w:rPr>
            <w:rStyle w:val="Lienhypertexte"/>
            <w:b/>
            <w:bCs/>
            <w:noProof/>
          </w:rPr>
          <w:t>3.</w:t>
        </w:r>
        <w:r w:rsidR="00800B4D">
          <w:rPr>
            <w:rFonts w:asciiTheme="minorHAnsi" w:hAnsiTheme="minorHAnsi" w:cstheme="minorBidi"/>
            <w:noProof/>
            <w:sz w:val="22"/>
          </w:rPr>
          <w:tab/>
        </w:r>
        <w:r w:rsidR="00800B4D" w:rsidRPr="00AD200B">
          <w:rPr>
            <w:rStyle w:val="Lienhypertexte"/>
            <w:b/>
            <w:bCs/>
            <w:noProof/>
          </w:rPr>
          <w:t>MEETING WITH THE DIRECTOR GENERAL</w:t>
        </w:r>
        <w:r w:rsidR="00800B4D">
          <w:rPr>
            <w:noProof/>
            <w:webHidden/>
          </w:rPr>
          <w:tab/>
        </w:r>
        <w:r w:rsidR="00165908">
          <w:rPr>
            <w:noProof/>
            <w:webHidden/>
          </w:rPr>
          <w:t>4</w:t>
        </w:r>
      </w:hyperlink>
    </w:p>
    <w:p w14:paraId="6694F062" w14:textId="1F08FC57" w:rsidR="00800B4D" w:rsidRDefault="00831075" w:rsidP="003E513A">
      <w:pPr>
        <w:pStyle w:val="TM1"/>
        <w:rPr>
          <w:rFonts w:asciiTheme="minorHAnsi" w:hAnsiTheme="minorHAnsi" w:cstheme="minorBidi"/>
          <w:noProof/>
          <w:sz w:val="22"/>
        </w:rPr>
      </w:pPr>
      <w:hyperlink w:anchor="_Toc38028615" w:history="1">
        <w:r w:rsidR="00800B4D" w:rsidRPr="00AD200B">
          <w:rPr>
            <w:rStyle w:val="Lienhypertexte"/>
            <w:b/>
            <w:bCs/>
            <w:noProof/>
          </w:rPr>
          <w:t>4.</w:t>
        </w:r>
        <w:r w:rsidR="00800B4D">
          <w:rPr>
            <w:rFonts w:asciiTheme="minorHAnsi" w:hAnsiTheme="minorHAnsi" w:cstheme="minorBidi"/>
            <w:noProof/>
            <w:sz w:val="22"/>
          </w:rPr>
          <w:tab/>
        </w:r>
        <w:r w:rsidR="00800B4D" w:rsidRPr="00AD200B">
          <w:rPr>
            <w:rStyle w:val="Lienhypertexte"/>
            <w:b/>
            <w:bCs/>
            <w:noProof/>
          </w:rPr>
          <w:t>COOPERATION WITH OTHER SPECIALIST COMMISSIONS</w:t>
        </w:r>
        <w:r w:rsidR="00800B4D">
          <w:rPr>
            <w:noProof/>
            <w:webHidden/>
          </w:rPr>
          <w:tab/>
        </w:r>
        <w:r w:rsidR="00165908">
          <w:rPr>
            <w:noProof/>
            <w:webHidden/>
          </w:rPr>
          <w:t>5</w:t>
        </w:r>
      </w:hyperlink>
    </w:p>
    <w:p w14:paraId="7AD6D443" w14:textId="051E1110" w:rsidR="00800B4D" w:rsidRDefault="00831075" w:rsidP="003E513A">
      <w:pPr>
        <w:pStyle w:val="TM1"/>
        <w:rPr>
          <w:rFonts w:asciiTheme="minorHAnsi" w:hAnsiTheme="minorHAnsi" w:cstheme="minorBidi"/>
          <w:noProof/>
          <w:sz w:val="22"/>
        </w:rPr>
      </w:pPr>
      <w:hyperlink w:anchor="_Toc38028616" w:history="1">
        <w:r w:rsidR="00800B4D" w:rsidRPr="00AD200B">
          <w:rPr>
            <w:rStyle w:val="Lienhypertexte"/>
            <w:b/>
            <w:bCs/>
            <w:noProof/>
          </w:rPr>
          <w:t>5.</w:t>
        </w:r>
        <w:r w:rsidR="00800B4D">
          <w:rPr>
            <w:rFonts w:asciiTheme="minorHAnsi" w:hAnsiTheme="minorHAnsi" w:cstheme="minorBidi"/>
            <w:noProof/>
            <w:sz w:val="22"/>
          </w:rPr>
          <w:tab/>
        </w:r>
        <w:r w:rsidR="00800B4D" w:rsidRPr="00A135FE">
          <w:rPr>
            <w:rStyle w:val="Lienhypertexte"/>
            <w:b/>
            <w:bCs/>
            <w:caps/>
            <w:noProof/>
          </w:rPr>
          <w:t>OIE Aquatic Animal Health Strategy</w:t>
        </w:r>
        <w:r w:rsidR="00800B4D">
          <w:rPr>
            <w:noProof/>
            <w:webHidden/>
          </w:rPr>
          <w:tab/>
        </w:r>
        <w:r w:rsidR="00165908">
          <w:rPr>
            <w:noProof/>
            <w:webHidden/>
          </w:rPr>
          <w:t>5</w:t>
        </w:r>
      </w:hyperlink>
    </w:p>
    <w:p w14:paraId="1E9A076D" w14:textId="76AFF9E9" w:rsidR="00800B4D" w:rsidRDefault="00831075" w:rsidP="003E513A">
      <w:pPr>
        <w:pStyle w:val="TM1"/>
        <w:rPr>
          <w:rFonts w:asciiTheme="minorHAnsi" w:hAnsiTheme="minorHAnsi" w:cstheme="minorBidi"/>
          <w:noProof/>
          <w:sz w:val="22"/>
        </w:rPr>
      </w:pPr>
      <w:hyperlink w:anchor="_Toc38028617" w:history="1">
        <w:r w:rsidR="00800B4D" w:rsidRPr="00AD200B">
          <w:rPr>
            <w:rStyle w:val="Lienhypertexte"/>
            <w:b/>
            <w:bCs/>
            <w:caps/>
            <w:noProof/>
          </w:rPr>
          <w:t>6.</w:t>
        </w:r>
        <w:r w:rsidR="00800B4D">
          <w:rPr>
            <w:rFonts w:asciiTheme="minorHAnsi" w:hAnsiTheme="minorHAnsi" w:cstheme="minorBidi"/>
            <w:noProof/>
            <w:sz w:val="22"/>
          </w:rPr>
          <w:tab/>
        </w:r>
        <w:r w:rsidR="00800B4D" w:rsidRPr="00AD200B">
          <w:rPr>
            <w:rStyle w:val="Lienhypertexte"/>
            <w:b/>
            <w:bCs/>
            <w:caps/>
            <w:noProof/>
          </w:rPr>
          <w:t>Work plan of the aquatic animals commission</w:t>
        </w:r>
        <w:r w:rsidR="00800B4D">
          <w:rPr>
            <w:noProof/>
            <w:webHidden/>
          </w:rPr>
          <w:tab/>
        </w:r>
        <w:r w:rsidR="00165908">
          <w:rPr>
            <w:noProof/>
            <w:webHidden/>
          </w:rPr>
          <w:t>5</w:t>
        </w:r>
      </w:hyperlink>
    </w:p>
    <w:p w14:paraId="161BA875" w14:textId="742F4001" w:rsidR="00800B4D" w:rsidRDefault="00831075" w:rsidP="003E513A">
      <w:pPr>
        <w:pStyle w:val="TM1"/>
        <w:rPr>
          <w:rFonts w:asciiTheme="minorHAnsi" w:hAnsiTheme="minorHAnsi" w:cstheme="minorBidi"/>
          <w:noProof/>
          <w:sz w:val="22"/>
        </w:rPr>
      </w:pPr>
      <w:hyperlink w:anchor="_Toc38028618" w:history="1">
        <w:r w:rsidR="00800B4D" w:rsidRPr="00AD200B">
          <w:rPr>
            <w:rStyle w:val="Lienhypertexte"/>
            <w:b/>
            <w:bCs/>
            <w:noProof/>
          </w:rPr>
          <w:t>7.</w:t>
        </w:r>
        <w:r w:rsidR="00800B4D">
          <w:rPr>
            <w:rFonts w:asciiTheme="minorHAnsi" w:hAnsiTheme="minorHAnsi" w:cstheme="minorBidi"/>
            <w:noProof/>
            <w:sz w:val="22"/>
          </w:rPr>
          <w:tab/>
        </w:r>
        <w:r w:rsidR="00800B4D" w:rsidRPr="00AD200B">
          <w:rPr>
            <w:rStyle w:val="Lienhypertexte"/>
            <w:b/>
            <w:bCs/>
            <w:noProof/>
          </w:rPr>
          <w:t xml:space="preserve">OIE </w:t>
        </w:r>
        <w:r w:rsidR="00800B4D" w:rsidRPr="00AD200B">
          <w:rPr>
            <w:rStyle w:val="Lienhypertexte"/>
            <w:b/>
            <w:bCs/>
            <w:i/>
            <w:noProof/>
          </w:rPr>
          <w:t>AQUATIC ANIMAL HEALTH CODE</w:t>
        </w:r>
        <w:r w:rsidR="00800B4D">
          <w:rPr>
            <w:noProof/>
            <w:webHidden/>
          </w:rPr>
          <w:tab/>
        </w:r>
        <w:r w:rsidR="0052688F">
          <w:rPr>
            <w:noProof/>
            <w:webHidden/>
          </w:rPr>
          <w:t>6</w:t>
        </w:r>
      </w:hyperlink>
    </w:p>
    <w:p w14:paraId="3E1A4B66" w14:textId="32A42697" w:rsidR="00800B4D" w:rsidRDefault="00831075" w:rsidP="003E513A">
      <w:pPr>
        <w:pStyle w:val="TM2"/>
        <w:rPr>
          <w:rFonts w:asciiTheme="minorHAnsi" w:hAnsiTheme="minorHAnsi" w:cstheme="minorBidi"/>
          <w:sz w:val="22"/>
        </w:rPr>
      </w:pPr>
      <w:hyperlink w:anchor="_Toc38028619" w:history="1">
        <w:r w:rsidR="00800B4D" w:rsidRPr="00AD200B">
          <w:rPr>
            <w:rStyle w:val="Lienhypertexte"/>
          </w:rPr>
          <w:t>7.1.</w:t>
        </w:r>
        <w:r w:rsidR="00800B4D">
          <w:rPr>
            <w:rFonts w:asciiTheme="minorHAnsi" w:hAnsiTheme="minorHAnsi" w:cstheme="minorBidi"/>
            <w:sz w:val="22"/>
          </w:rPr>
          <w:tab/>
        </w:r>
        <w:bookmarkStart w:id="2" w:name="_Hlk38460938"/>
        <w:r w:rsidR="00800B4D" w:rsidRPr="00AD200B">
          <w:rPr>
            <w:rStyle w:val="Lienhypertexte"/>
          </w:rPr>
          <w:t>Texts to be proposed for adoption in May 2021</w:t>
        </w:r>
        <w:bookmarkEnd w:id="2"/>
        <w:r w:rsidR="00800B4D">
          <w:rPr>
            <w:webHidden/>
          </w:rPr>
          <w:tab/>
        </w:r>
        <w:r w:rsidR="0052688F">
          <w:rPr>
            <w:webHidden/>
          </w:rPr>
          <w:t>6</w:t>
        </w:r>
      </w:hyperlink>
    </w:p>
    <w:p w14:paraId="11CB590E" w14:textId="4C80D083" w:rsidR="00800B4D" w:rsidRDefault="00831075" w:rsidP="00D31BA5">
      <w:pPr>
        <w:pStyle w:val="TM3"/>
        <w:rPr>
          <w:rFonts w:asciiTheme="minorHAnsi" w:hAnsiTheme="minorHAnsi" w:cstheme="minorBidi"/>
          <w:sz w:val="22"/>
        </w:rPr>
      </w:pPr>
      <w:hyperlink w:anchor="_Toc38028620" w:history="1">
        <w:r w:rsidR="00800B4D" w:rsidRPr="00AD200B">
          <w:rPr>
            <w:rStyle w:val="Lienhypertexte"/>
            <w:b w:val="0"/>
            <w:iCs/>
          </w:rPr>
          <w:t>7.1.1.</w:t>
        </w:r>
        <w:r w:rsidR="00800B4D">
          <w:rPr>
            <w:rFonts w:asciiTheme="minorHAnsi" w:hAnsiTheme="minorHAnsi" w:cstheme="minorBidi"/>
            <w:sz w:val="22"/>
          </w:rPr>
          <w:tab/>
        </w:r>
        <w:r w:rsidR="00800B4D" w:rsidRPr="00AD200B">
          <w:rPr>
            <w:rStyle w:val="Lienhypertexte"/>
            <w:b w:val="0"/>
            <w:iCs/>
          </w:rPr>
          <w:t>New draft chapter on Biosecurity for aquaculture establishments (Chapter 4.X.)</w:t>
        </w:r>
        <w:r w:rsidR="002404CE">
          <w:rPr>
            <w:rStyle w:val="Lienhypertexte"/>
            <w:b w:val="0"/>
            <w:iCs/>
          </w:rPr>
          <w:t xml:space="preserve"> </w:t>
        </w:r>
        <w:r w:rsidR="00800B4D">
          <w:rPr>
            <w:webHidden/>
          </w:rPr>
          <w:tab/>
        </w:r>
        <w:r w:rsidR="0052688F">
          <w:rPr>
            <w:webHidden/>
          </w:rPr>
          <w:t>6</w:t>
        </w:r>
      </w:hyperlink>
    </w:p>
    <w:p w14:paraId="41242F20" w14:textId="02E01CD8" w:rsidR="00800B4D" w:rsidRDefault="00831075" w:rsidP="00D31BA5">
      <w:pPr>
        <w:pStyle w:val="TM3"/>
        <w:rPr>
          <w:rFonts w:asciiTheme="minorHAnsi" w:hAnsiTheme="minorHAnsi" w:cstheme="minorBidi"/>
          <w:sz w:val="22"/>
        </w:rPr>
      </w:pPr>
      <w:hyperlink w:anchor="_Toc38028621" w:history="1">
        <w:r w:rsidR="00800B4D" w:rsidRPr="00AD200B">
          <w:rPr>
            <w:rStyle w:val="Lienhypertexte"/>
            <w:b w:val="0"/>
          </w:rPr>
          <w:t>7.1.2.</w:t>
        </w:r>
        <w:r w:rsidR="00800B4D">
          <w:rPr>
            <w:rFonts w:asciiTheme="minorHAnsi" w:hAnsiTheme="minorHAnsi" w:cstheme="minorBidi"/>
            <w:sz w:val="22"/>
          </w:rPr>
          <w:tab/>
        </w:r>
        <w:r w:rsidR="00800B4D" w:rsidRPr="00AD200B">
          <w:rPr>
            <w:rStyle w:val="Lienhypertexte"/>
            <w:b w:val="0"/>
          </w:rPr>
          <w:t xml:space="preserve">Listing of infection with </w:t>
        </w:r>
        <w:r w:rsidR="00800B4D" w:rsidRPr="00AD200B">
          <w:rPr>
            <w:rStyle w:val="Lienhypertexte"/>
            <w:b w:val="0"/>
            <w:bCs/>
            <w:iCs/>
          </w:rPr>
          <w:t>decapod iridescent virus 1</w:t>
        </w:r>
        <w:r w:rsidR="00800B4D" w:rsidRPr="00AD200B">
          <w:rPr>
            <w:rStyle w:val="Lienhypertexte"/>
            <w:b w:val="0"/>
          </w:rPr>
          <w:t xml:space="preserve"> (DIV1) ‒– Revised Article 1.3.3. </w:t>
        </w:r>
        <w:r w:rsidR="003E513A">
          <w:rPr>
            <w:rStyle w:val="Lienhypertexte"/>
            <w:b w:val="0"/>
          </w:rPr>
          <w:br/>
        </w:r>
        <w:r w:rsidR="00800B4D" w:rsidRPr="00AD200B">
          <w:rPr>
            <w:rStyle w:val="Lienhypertexte"/>
            <w:b w:val="0"/>
          </w:rPr>
          <w:t>of Chapter 1.3.</w:t>
        </w:r>
        <w:r w:rsidR="00800B4D">
          <w:rPr>
            <w:webHidden/>
          </w:rPr>
          <w:tab/>
        </w:r>
        <w:r w:rsidR="0052688F">
          <w:rPr>
            <w:webHidden/>
          </w:rPr>
          <w:t>11</w:t>
        </w:r>
      </w:hyperlink>
    </w:p>
    <w:p w14:paraId="2430AB94" w14:textId="3BC0D7EE" w:rsidR="00800B4D" w:rsidRDefault="00831075" w:rsidP="00D31BA5">
      <w:pPr>
        <w:pStyle w:val="TM3"/>
        <w:rPr>
          <w:rFonts w:asciiTheme="minorHAnsi" w:hAnsiTheme="minorHAnsi" w:cstheme="minorBidi"/>
          <w:sz w:val="22"/>
        </w:rPr>
      </w:pPr>
      <w:hyperlink w:anchor="_Toc38028622" w:history="1">
        <w:r w:rsidR="00800B4D" w:rsidRPr="00AD200B">
          <w:rPr>
            <w:rStyle w:val="Lienhypertexte"/>
            <w:b w:val="0"/>
          </w:rPr>
          <w:t>7.1.3.</w:t>
        </w:r>
        <w:r w:rsidR="00800B4D">
          <w:rPr>
            <w:rFonts w:asciiTheme="minorHAnsi" w:hAnsiTheme="minorHAnsi" w:cstheme="minorBidi"/>
            <w:sz w:val="22"/>
          </w:rPr>
          <w:tab/>
        </w:r>
        <w:r w:rsidR="00800B4D" w:rsidRPr="00AD200B">
          <w:rPr>
            <w:rStyle w:val="Lienhypertexte"/>
            <w:b w:val="0"/>
          </w:rPr>
          <w:t>Model Article 10.X.13. for the fish disease-specific Chapters 10.5, 10.6. and 10.10.</w:t>
        </w:r>
        <w:r w:rsidR="003E513A">
          <w:rPr>
            <w:rStyle w:val="Lienhypertexte"/>
            <w:b w:val="0"/>
          </w:rPr>
          <w:br/>
        </w:r>
        <w:r w:rsidR="00800B4D" w:rsidRPr="00AD200B">
          <w:rPr>
            <w:rStyle w:val="Lienhypertexte"/>
            <w:b w:val="0"/>
          </w:rPr>
          <w:t>(and Article 10.4.17. for Chapter 10.4.)</w:t>
        </w:r>
        <w:r w:rsidR="00800B4D">
          <w:rPr>
            <w:webHidden/>
          </w:rPr>
          <w:tab/>
        </w:r>
        <w:r w:rsidR="00800B4D">
          <w:rPr>
            <w:webHidden/>
          </w:rPr>
          <w:fldChar w:fldCharType="begin"/>
        </w:r>
        <w:r w:rsidR="00800B4D">
          <w:rPr>
            <w:webHidden/>
          </w:rPr>
          <w:instrText xml:space="preserve"> PAGEREF _Toc38028622 \h </w:instrText>
        </w:r>
        <w:r w:rsidR="00800B4D">
          <w:rPr>
            <w:webHidden/>
          </w:rPr>
        </w:r>
        <w:r w:rsidR="00800B4D">
          <w:rPr>
            <w:webHidden/>
          </w:rPr>
          <w:fldChar w:fldCharType="separate"/>
        </w:r>
        <w:r w:rsidR="00800B4D">
          <w:rPr>
            <w:webHidden/>
          </w:rPr>
          <w:t>1</w:t>
        </w:r>
        <w:r w:rsidR="0052688F">
          <w:rPr>
            <w:webHidden/>
          </w:rPr>
          <w:t>1</w:t>
        </w:r>
        <w:r w:rsidR="00800B4D">
          <w:rPr>
            <w:webHidden/>
          </w:rPr>
          <w:fldChar w:fldCharType="end"/>
        </w:r>
      </w:hyperlink>
    </w:p>
    <w:p w14:paraId="7A331525" w14:textId="3713C910" w:rsidR="00800B4D" w:rsidRDefault="00831075" w:rsidP="00D31BA5">
      <w:pPr>
        <w:pStyle w:val="TM3"/>
        <w:rPr>
          <w:rFonts w:asciiTheme="minorHAnsi" w:hAnsiTheme="minorHAnsi" w:cstheme="minorBidi"/>
          <w:sz w:val="22"/>
        </w:rPr>
      </w:pPr>
      <w:hyperlink w:anchor="_Toc38028623" w:history="1">
        <w:r w:rsidR="00800B4D" w:rsidRPr="00AD200B">
          <w:rPr>
            <w:rStyle w:val="Lienhypertexte"/>
            <w:b w:val="0"/>
          </w:rPr>
          <w:t>7.1.4.</w:t>
        </w:r>
        <w:r w:rsidR="00800B4D">
          <w:rPr>
            <w:rFonts w:asciiTheme="minorHAnsi" w:hAnsiTheme="minorHAnsi" w:cstheme="minorBidi"/>
            <w:sz w:val="22"/>
          </w:rPr>
          <w:tab/>
        </w:r>
        <w:r w:rsidR="00800B4D" w:rsidRPr="00AD200B">
          <w:rPr>
            <w:rStyle w:val="Lienhypertexte"/>
            <w:b w:val="0"/>
          </w:rPr>
          <w:t>Article 10.9.2. of Chapter 10.9. Infection with spring viraemia of carp virus</w:t>
        </w:r>
        <w:r w:rsidR="00800B4D">
          <w:rPr>
            <w:webHidden/>
          </w:rPr>
          <w:tab/>
        </w:r>
        <w:r w:rsidR="00800B4D">
          <w:rPr>
            <w:webHidden/>
          </w:rPr>
          <w:fldChar w:fldCharType="begin"/>
        </w:r>
        <w:r w:rsidR="00800B4D">
          <w:rPr>
            <w:webHidden/>
          </w:rPr>
          <w:instrText xml:space="preserve"> PAGEREF _Toc38028623 \h </w:instrText>
        </w:r>
        <w:r w:rsidR="00800B4D">
          <w:rPr>
            <w:webHidden/>
          </w:rPr>
        </w:r>
        <w:r w:rsidR="00800B4D">
          <w:rPr>
            <w:webHidden/>
          </w:rPr>
          <w:fldChar w:fldCharType="separate"/>
        </w:r>
        <w:r w:rsidR="00800B4D">
          <w:rPr>
            <w:webHidden/>
          </w:rPr>
          <w:t>1</w:t>
        </w:r>
        <w:r w:rsidR="0052688F">
          <w:rPr>
            <w:webHidden/>
          </w:rPr>
          <w:t>2</w:t>
        </w:r>
        <w:r w:rsidR="00800B4D">
          <w:rPr>
            <w:webHidden/>
          </w:rPr>
          <w:fldChar w:fldCharType="end"/>
        </w:r>
      </w:hyperlink>
    </w:p>
    <w:p w14:paraId="14BF181E" w14:textId="7A267EA9" w:rsidR="00800B4D" w:rsidRDefault="00831075" w:rsidP="00D31BA5">
      <w:pPr>
        <w:pStyle w:val="TM3"/>
        <w:rPr>
          <w:rFonts w:asciiTheme="minorHAnsi" w:hAnsiTheme="minorHAnsi" w:cstheme="minorBidi"/>
          <w:sz w:val="22"/>
        </w:rPr>
      </w:pPr>
      <w:hyperlink w:anchor="_Toc38028624" w:history="1">
        <w:r w:rsidR="00800B4D" w:rsidRPr="00AD200B">
          <w:rPr>
            <w:rStyle w:val="Lienhypertexte"/>
            <w:b w:val="0"/>
          </w:rPr>
          <w:t>7.1.5.</w:t>
        </w:r>
        <w:r w:rsidR="00800B4D">
          <w:rPr>
            <w:rFonts w:asciiTheme="minorHAnsi" w:hAnsiTheme="minorHAnsi" w:cstheme="minorBidi"/>
            <w:sz w:val="22"/>
          </w:rPr>
          <w:tab/>
        </w:r>
        <w:r w:rsidR="00800B4D" w:rsidRPr="00AD200B">
          <w:rPr>
            <w:rStyle w:val="Lienhypertexte"/>
            <w:b w:val="0"/>
          </w:rPr>
          <w:t>Article 10.10.2. of Chapter 10.10. Infection with viral haemorrhagic septicaemia virus</w:t>
        </w:r>
        <w:r w:rsidR="00800B4D">
          <w:rPr>
            <w:webHidden/>
          </w:rPr>
          <w:tab/>
        </w:r>
        <w:r w:rsidR="00800B4D">
          <w:rPr>
            <w:webHidden/>
          </w:rPr>
          <w:fldChar w:fldCharType="begin"/>
        </w:r>
        <w:r w:rsidR="00800B4D">
          <w:rPr>
            <w:webHidden/>
          </w:rPr>
          <w:instrText xml:space="preserve"> PAGEREF _Toc38028624 \h </w:instrText>
        </w:r>
        <w:r w:rsidR="00800B4D">
          <w:rPr>
            <w:webHidden/>
          </w:rPr>
        </w:r>
        <w:r w:rsidR="00800B4D">
          <w:rPr>
            <w:webHidden/>
          </w:rPr>
          <w:fldChar w:fldCharType="separate"/>
        </w:r>
        <w:r w:rsidR="00800B4D">
          <w:rPr>
            <w:webHidden/>
          </w:rPr>
          <w:t>1</w:t>
        </w:r>
        <w:r w:rsidR="0052688F">
          <w:rPr>
            <w:webHidden/>
          </w:rPr>
          <w:t>3</w:t>
        </w:r>
        <w:r w:rsidR="00800B4D">
          <w:rPr>
            <w:webHidden/>
          </w:rPr>
          <w:fldChar w:fldCharType="end"/>
        </w:r>
      </w:hyperlink>
    </w:p>
    <w:p w14:paraId="020CEB21" w14:textId="7488E02D" w:rsidR="00800B4D" w:rsidRDefault="00831075" w:rsidP="00D31BA5">
      <w:pPr>
        <w:pStyle w:val="TM3"/>
        <w:rPr>
          <w:rFonts w:asciiTheme="minorHAnsi" w:hAnsiTheme="minorHAnsi" w:cstheme="minorBidi"/>
          <w:sz w:val="22"/>
        </w:rPr>
      </w:pPr>
      <w:hyperlink w:anchor="_Toc38028625" w:history="1">
        <w:r w:rsidR="00800B4D" w:rsidRPr="00AD200B">
          <w:rPr>
            <w:rStyle w:val="Lienhypertexte"/>
            <w:b w:val="0"/>
          </w:rPr>
          <w:t>7.1.6.</w:t>
        </w:r>
        <w:r w:rsidR="00800B4D">
          <w:rPr>
            <w:rFonts w:asciiTheme="minorHAnsi" w:hAnsiTheme="minorHAnsi" w:cstheme="minorBidi"/>
            <w:sz w:val="22"/>
          </w:rPr>
          <w:tab/>
        </w:r>
        <w:r w:rsidR="00800B4D" w:rsidRPr="00AD200B">
          <w:rPr>
            <w:rStyle w:val="Lienhypertexte"/>
            <w:b w:val="0"/>
          </w:rPr>
          <w:t>Glossary definitions for ‘Aquatic animal waste’ and ‘</w:t>
        </w:r>
        <w:r w:rsidR="00800B4D" w:rsidRPr="00AD200B">
          <w:rPr>
            <w:rStyle w:val="Lienhypertexte"/>
            <w:b w:val="0"/>
            <w:lang w:val="en-IE"/>
          </w:rPr>
          <w:t>aquatic animal products’</w:t>
        </w:r>
        <w:r w:rsidR="00800B4D">
          <w:rPr>
            <w:webHidden/>
          </w:rPr>
          <w:tab/>
        </w:r>
        <w:r w:rsidR="00800B4D">
          <w:rPr>
            <w:webHidden/>
          </w:rPr>
          <w:fldChar w:fldCharType="begin"/>
        </w:r>
        <w:r w:rsidR="00800B4D">
          <w:rPr>
            <w:webHidden/>
          </w:rPr>
          <w:instrText xml:space="preserve"> PAGEREF _Toc38028625 \h </w:instrText>
        </w:r>
        <w:r w:rsidR="00800B4D">
          <w:rPr>
            <w:webHidden/>
          </w:rPr>
        </w:r>
        <w:r w:rsidR="00800B4D">
          <w:rPr>
            <w:webHidden/>
          </w:rPr>
          <w:fldChar w:fldCharType="separate"/>
        </w:r>
        <w:r w:rsidR="00800B4D">
          <w:rPr>
            <w:webHidden/>
          </w:rPr>
          <w:t>1</w:t>
        </w:r>
        <w:r w:rsidR="00C72E6B">
          <w:rPr>
            <w:webHidden/>
          </w:rPr>
          <w:t>4</w:t>
        </w:r>
        <w:r w:rsidR="00800B4D">
          <w:rPr>
            <w:webHidden/>
          </w:rPr>
          <w:fldChar w:fldCharType="end"/>
        </w:r>
      </w:hyperlink>
    </w:p>
    <w:p w14:paraId="44A4F541" w14:textId="08D9812D" w:rsidR="00800B4D" w:rsidRDefault="00831075" w:rsidP="003E513A">
      <w:pPr>
        <w:pStyle w:val="TM2"/>
        <w:rPr>
          <w:rFonts w:asciiTheme="minorHAnsi" w:hAnsiTheme="minorHAnsi" w:cstheme="minorBidi"/>
          <w:sz w:val="22"/>
        </w:rPr>
      </w:pPr>
      <w:hyperlink w:anchor="_Toc38028626" w:history="1">
        <w:r w:rsidR="00800B4D" w:rsidRPr="00AD200B">
          <w:rPr>
            <w:rStyle w:val="Lienhypertexte"/>
          </w:rPr>
          <w:t>7.2.</w:t>
        </w:r>
        <w:r w:rsidR="00800B4D">
          <w:rPr>
            <w:rFonts w:asciiTheme="minorHAnsi" w:hAnsiTheme="minorHAnsi" w:cstheme="minorBidi"/>
            <w:sz w:val="22"/>
          </w:rPr>
          <w:tab/>
        </w:r>
        <w:r w:rsidR="00800B4D" w:rsidRPr="00AD200B">
          <w:rPr>
            <w:rStyle w:val="Lienhypertexte"/>
          </w:rPr>
          <w:t>Texts for Member comments</w:t>
        </w:r>
        <w:r w:rsidR="00800B4D">
          <w:rPr>
            <w:webHidden/>
          </w:rPr>
          <w:tab/>
        </w:r>
        <w:r w:rsidR="00800B4D">
          <w:rPr>
            <w:webHidden/>
          </w:rPr>
          <w:fldChar w:fldCharType="begin"/>
        </w:r>
        <w:r w:rsidR="00800B4D">
          <w:rPr>
            <w:webHidden/>
          </w:rPr>
          <w:instrText xml:space="preserve"> PAGEREF _Toc38028626 \h </w:instrText>
        </w:r>
        <w:r w:rsidR="00800B4D">
          <w:rPr>
            <w:webHidden/>
          </w:rPr>
        </w:r>
        <w:r w:rsidR="00800B4D">
          <w:rPr>
            <w:webHidden/>
          </w:rPr>
          <w:fldChar w:fldCharType="separate"/>
        </w:r>
        <w:r w:rsidR="00800B4D">
          <w:rPr>
            <w:webHidden/>
          </w:rPr>
          <w:t>1</w:t>
        </w:r>
        <w:r w:rsidR="00C72E6B">
          <w:rPr>
            <w:webHidden/>
          </w:rPr>
          <w:t>5</w:t>
        </w:r>
        <w:r w:rsidR="00800B4D">
          <w:rPr>
            <w:webHidden/>
          </w:rPr>
          <w:fldChar w:fldCharType="end"/>
        </w:r>
      </w:hyperlink>
    </w:p>
    <w:p w14:paraId="07619529" w14:textId="2C43DE80" w:rsidR="00800B4D" w:rsidRDefault="00831075" w:rsidP="00D31BA5">
      <w:pPr>
        <w:pStyle w:val="TM3"/>
        <w:rPr>
          <w:rFonts w:asciiTheme="minorHAnsi" w:hAnsiTheme="minorHAnsi" w:cstheme="minorBidi"/>
          <w:sz w:val="22"/>
        </w:rPr>
      </w:pPr>
      <w:hyperlink w:anchor="_Toc38028627" w:history="1">
        <w:r w:rsidR="00800B4D" w:rsidRPr="00AD200B">
          <w:rPr>
            <w:rStyle w:val="Lienhypertexte"/>
            <w:b w:val="0"/>
            <w:bCs/>
            <w:iCs/>
          </w:rPr>
          <w:t>7.2.1.</w:t>
        </w:r>
        <w:r w:rsidR="00800B4D">
          <w:rPr>
            <w:rFonts w:asciiTheme="minorHAnsi" w:hAnsiTheme="minorHAnsi" w:cstheme="minorBidi"/>
            <w:sz w:val="22"/>
          </w:rPr>
          <w:tab/>
        </w:r>
        <w:r w:rsidR="00800B4D" w:rsidRPr="00A135FE">
          <w:rPr>
            <w:rStyle w:val="Lienhypertexte"/>
            <w:b w:val="0"/>
          </w:rPr>
          <w:t>Revised</w:t>
        </w:r>
        <w:r w:rsidR="00800B4D" w:rsidRPr="00AD200B">
          <w:rPr>
            <w:rStyle w:val="Lienhypertexte"/>
            <w:b w:val="0"/>
            <w:bCs/>
            <w:iCs/>
          </w:rPr>
          <w:t xml:space="preserve"> Glossary definition for ‘vector’</w:t>
        </w:r>
        <w:r w:rsidR="00800B4D">
          <w:rPr>
            <w:webHidden/>
          </w:rPr>
          <w:tab/>
        </w:r>
        <w:r w:rsidR="00800B4D">
          <w:rPr>
            <w:webHidden/>
          </w:rPr>
          <w:fldChar w:fldCharType="begin"/>
        </w:r>
        <w:r w:rsidR="00800B4D">
          <w:rPr>
            <w:webHidden/>
          </w:rPr>
          <w:instrText xml:space="preserve"> PAGEREF _Toc38028627 \h </w:instrText>
        </w:r>
        <w:r w:rsidR="00800B4D">
          <w:rPr>
            <w:webHidden/>
          </w:rPr>
        </w:r>
        <w:r w:rsidR="00800B4D">
          <w:rPr>
            <w:webHidden/>
          </w:rPr>
          <w:fldChar w:fldCharType="separate"/>
        </w:r>
        <w:r w:rsidR="00800B4D">
          <w:rPr>
            <w:webHidden/>
          </w:rPr>
          <w:t>1</w:t>
        </w:r>
        <w:r w:rsidR="00C72E6B">
          <w:rPr>
            <w:webHidden/>
          </w:rPr>
          <w:t>5</w:t>
        </w:r>
        <w:r w:rsidR="00800B4D">
          <w:rPr>
            <w:webHidden/>
          </w:rPr>
          <w:fldChar w:fldCharType="end"/>
        </w:r>
      </w:hyperlink>
    </w:p>
    <w:p w14:paraId="45A40881" w14:textId="4F38FCEC" w:rsidR="00800B4D" w:rsidRPr="002B3629" w:rsidRDefault="00831075" w:rsidP="00D31BA5">
      <w:pPr>
        <w:pStyle w:val="TM3"/>
        <w:rPr>
          <w:rFonts w:asciiTheme="minorHAnsi" w:hAnsiTheme="minorHAnsi" w:cstheme="minorBidi"/>
          <w:bCs/>
          <w:sz w:val="22"/>
        </w:rPr>
      </w:pPr>
      <w:hyperlink w:anchor="_Toc38028628" w:history="1">
        <w:r w:rsidR="00800B4D" w:rsidRPr="002B3629">
          <w:rPr>
            <w:rStyle w:val="Lienhypertexte"/>
            <w:b w:val="0"/>
          </w:rPr>
          <w:t xml:space="preserve">7.2.2. </w:t>
        </w:r>
        <w:r w:rsidR="002B3629" w:rsidRPr="002B3629">
          <w:rPr>
            <w:rStyle w:val="Lienhypertexte"/>
            <w:b w:val="0"/>
          </w:rPr>
          <w:tab/>
        </w:r>
        <w:r w:rsidR="00800B4D" w:rsidRPr="002B3629">
          <w:rPr>
            <w:rStyle w:val="Lienhypertexte"/>
            <w:b w:val="0"/>
          </w:rPr>
          <w:t>Approaches for determining periods required to demonstrate disease freedom</w:t>
        </w:r>
        <w:r w:rsidR="00800B4D" w:rsidRPr="002B3629">
          <w:rPr>
            <w:webHidden/>
          </w:rPr>
          <w:tab/>
        </w:r>
        <w:r w:rsidR="00800B4D" w:rsidRPr="002B3629">
          <w:rPr>
            <w:webHidden/>
          </w:rPr>
          <w:fldChar w:fldCharType="begin"/>
        </w:r>
        <w:r w:rsidR="00800B4D" w:rsidRPr="002B3629">
          <w:rPr>
            <w:webHidden/>
          </w:rPr>
          <w:instrText xml:space="preserve"> PAGEREF _Toc38028628 \h </w:instrText>
        </w:r>
        <w:r w:rsidR="00800B4D" w:rsidRPr="002B3629">
          <w:rPr>
            <w:webHidden/>
          </w:rPr>
        </w:r>
        <w:r w:rsidR="00800B4D" w:rsidRPr="002B3629">
          <w:rPr>
            <w:webHidden/>
          </w:rPr>
          <w:fldChar w:fldCharType="separate"/>
        </w:r>
        <w:r w:rsidR="00800B4D" w:rsidRPr="002B3629">
          <w:rPr>
            <w:webHidden/>
          </w:rPr>
          <w:t>1</w:t>
        </w:r>
        <w:r w:rsidR="00C72E6B">
          <w:rPr>
            <w:webHidden/>
          </w:rPr>
          <w:t>5</w:t>
        </w:r>
        <w:r w:rsidR="00800B4D" w:rsidRPr="002B3629">
          <w:rPr>
            <w:webHidden/>
          </w:rPr>
          <w:fldChar w:fldCharType="end"/>
        </w:r>
      </w:hyperlink>
    </w:p>
    <w:p w14:paraId="40E7290F" w14:textId="2CB8697B" w:rsidR="00800B4D" w:rsidRDefault="00831075" w:rsidP="003E513A">
      <w:pPr>
        <w:pStyle w:val="TM2"/>
        <w:rPr>
          <w:rFonts w:asciiTheme="minorHAnsi" w:hAnsiTheme="minorHAnsi" w:cstheme="minorBidi"/>
          <w:sz w:val="22"/>
        </w:rPr>
      </w:pPr>
      <w:hyperlink w:anchor="_Toc38028629" w:history="1">
        <w:r w:rsidR="00800B4D" w:rsidRPr="00AD200B">
          <w:rPr>
            <w:rStyle w:val="Lienhypertexte"/>
          </w:rPr>
          <w:t>7.3.</w:t>
        </w:r>
        <w:r w:rsidR="00800B4D">
          <w:rPr>
            <w:rFonts w:asciiTheme="minorHAnsi" w:hAnsiTheme="minorHAnsi" w:cstheme="minorBidi"/>
            <w:sz w:val="22"/>
          </w:rPr>
          <w:tab/>
        </w:r>
        <w:r w:rsidR="00800B4D" w:rsidRPr="00AD200B">
          <w:rPr>
            <w:rStyle w:val="Lienhypertexte"/>
          </w:rPr>
          <w:t>Texts for Member information</w:t>
        </w:r>
        <w:r w:rsidR="00800B4D">
          <w:rPr>
            <w:webHidden/>
          </w:rPr>
          <w:tab/>
        </w:r>
        <w:r w:rsidR="00800B4D">
          <w:rPr>
            <w:webHidden/>
          </w:rPr>
          <w:fldChar w:fldCharType="begin"/>
        </w:r>
        <w:r w:rsidR="00800B4D">
          <w:rPr>
            <w:webHidden/>
          </w:rPr>
          <w:instrText xml:space="preserve"> PAGEREF _Toc38028629 \h </w:instrText>
        </w:r>
        <w:r w:rsidR="00800B4D">
          <w:rPr>
            <w:webHidden/>
          </w:rPr>
        </w:r>
        <w:r w:rsidR="00800B4D">
          <w:rPr>
            <w:webHidden/>
          </w:rPr>
          <w:fldChar w:fldCharType="separate"/>
        </w:r>
        <w:r w:rsidR="00800B4D">
          <w:rPr>
            <w:webHidden/>
          </w:rPr>
          <w:t>1</w:t>
        </w:r>
        <w:r w:rsidR="00C72E6B">
          <w:rPr>
            <w:webHidden/>
          </w:rPr>
          <w:t>6</w:t>
        </w:r>
        <w:r w:rsidR="00800B4D">
          <w:rPr>
            <w:webHidden/>
          </w:rPr>
          <w:fldChar w:fldCharType="end"/>
        </w:r>
      </w:hyperlink>
    </w:p>
    <w:p w14:paraId="7F1F0960" w14:textId="26344BE3" w:rsidR="00800B4D" w:rsidRDefault="00831075" w:rsidP="00D31BA5">
      <w:pPr>
        <w:pStyle w:val="TM3"/>
        <w:rPr>
          <w:rFonts w:asciiTheme="minorHAnsi" w:hAnsiTheme="minorHAnsi" w:cstheme="minorBidi"/>
          <w:sz w:val="22"/>
        </w:rPr>
      </w:pPr>
      <w:hyperlink w:anchor="_Toc38028630" w:history="1">
        <w:r w:rsidR="00800B4D" w:rsidRPr="00AD200B">
          <w:rPr>
            <w:rStyle w:val="Lienhypertexte"/>
            <w:b w:val="0"/>
            <w:bCs/>
            <w:iCs/>
          </w:rPr>
          <w:t>7.3.1.</w:t>
        </w:r>
        <w:r w:rsidR="00800B4D">
          <w:rPr>
            <w:rFonts w:asciiTheme="minorHAnsi" w:hAnsiTheme="minorHAnsi" w:cstheme="minorBidi"/>
            <w:sz w:val="22"/>
          </w:rPr>
          <w:tab/>
        </w:r>
        <w:r w:rsidR="00800B4D" w:rsidRPr="00AD200B">
          <w:rPr>
            <w:rStyle w:val="Lienhypertexte"/>
            <w:b w:val="0"/>
            <w:bCs/>
            <w:iCs/>
          </w:rPr>
          <w:t>De-listing of infection with infectious hypodermal and haematopoietic necrosis virus</w:t>
        </w:r>
        <w:r w:rsidR="003E513A">
          <w:rPr>
            <w:rStyle w:val="Lienhypertexte"/>
            <w:b w:val="0"/>
            <w:bCs/>
            <w:iCs/>
          </w:rPr>
          <w:br/>
        </w:r>
        <w:r w:rsidR="00800B4D" w:rsidRPr="00AD200B">
          <w:rPr>
            <w:rStyle w:val="Lienhypertexte"/>
            <w:b w:val="0"/>
            <w:bCs/>
            <w:iCs/>
          </w:rPr>
          <w:t>(IHHNV) ‒– Revised Article 1.3.3. of Chapter 1.3.</w:t>
        </w:r>
        <w:r w:rsidR="00800B4D">
          <w:rPr>
            <w:webHidden/>
          </w:rPr>
          <w:tab/>
        </w:r>
        <w:r w:rsidR="00800B4D">
          <w:rPr>
            <w:webHidden/>
          </w:rPr>
          <w:fldChar w:fldCharType="begin"/>
        </w:r>
        <w:r w:rsidR="00800B4D">
          <w:rPr>
            <w:webHidden/>
          </w:rPr>
          <w:instrText xml:space="preserve"> PAGEREF _Toc38028630 \h </w:instrText>
        </w:r>
        <w:r w:rsidR="00800B4D">
          <w:rPr>
            <w:webHidden/>
          </w:rPr>
        </w:r>
        <w:r w:rsidR="00800B4D">
          <w:rPr>
            <w:webHidden/>
          </w:rPr>
          <w:fldChar w:fldCharType="separate"/>
        </w:r>
        <w:r w:rsidR="00800B4D">
          <w:rPr>
            <w:webHidden/>
          </w:rPr>
          <w:t>1</w:t>
        </w:r>
        <w:r w:rsidR="00C72E6B">
          <w:rPr>
            <w:webHidden/>
          </w:rPr>
          <w:t>6</w:t>
        </w:r>
        <w:r w:rsidR="00800B4D">
          <w:rPr>
            <w:webHidden/>
          </w:rPr>
          <w:fldChar w:fldCharType="end"/>
        </w:r>
      </w:hyperlink>
    </w:p>
    <w:p w14:paraId="64B79B6A" w14:textId="71E97E31" w:rsidR="00800B4D" w:rsidRDefault="00831075" w:rsidP="00D31BA5">
      <w:pPr>
        <w:pStyle w:val="TM3"/>
        <w:rPr>
          <w:rFonts w:asciiTheme="minorHAnsi" w:hAnsiTheme="minorHAnsi" w:cstheme="minorBidi"/>
          <w:sz w:val="22"/>
        </w:rPr>
      </w:pPr>
      <w:hyperlink w:anchor="_Toc38028631" w:history="1">
        <w:r w:rsidR="00800B4D" w:rsidRPr="00AD200B">
          <w:rPr>
            <w:rStyle w:val="Lienhypertexte"/>
            <w:b w:val="0"/>
            <w:bCs/>
            <w:iCs/>
          </w:rPr>
          <w:t>7.3.2.</w:t>
        </w:r>
        <w:r w:rsidR="00800B4D">
          <w:rPr>
            <w:rFonts w:asciiTheme="minorHAnsi" w:hAnsiTheme="minorHAnsi" w:cstheme="minorBidi"/>
            <w:sz w:val="22"/>
          </w:rPr>
          <w:tab/>
        </w:r>
        <w:r w:rsidR="00800B4D" w:rsidRPr="00AD200B">
          <w:rPr>
            <w:rStyle w:val="Lienhypertexte"/>
            <w:b w:val="0"/>
            <w:bCs/>
            <w:iCs/>
          </w:rPr>
          <w:t>New draft chapters on emergency disease preparedness and disease outbreak management</w:t>
        </w:r>
        <w:r w:rsidR="00800B4D">
          <w:rPr>
            <w:webHidden/>
          </w:rPr>
          <w:tab/>
        </w:r>
        <w:r w:rsidR="00800B4D">
          <w:rPr>
            <w:webHidden/>
          </w:rPr>
          <w:fldChar w:fldCharType="begin"/>
        </w:r>
        <w:r w:rsidR="00800B4D">
          <w:rPr>
            <w:webHidden/>
          </w:rPr>
          <w:instrText xml:space="preserve"> PAGEREF _Toc38028631 \h </w:instrText>
        </w:r>
        <w:r w:rsidR="00800B4D">
          <w:rPr>
            <w:webHidden/>
          </w:rPr>
        </w:r>
        <w:r w:rsidR="00800B4D">
          <w:rPr>
            <w:webHidden/>
          </w:rPr>
          <w:fldChar w:fldCharType="separate"/>
        </w:r>
        <w:r w:rsidR="00800B4D">
          <w:rPr>
            <w:webHidden/>
          </w:rPr>
          <w:t>1</w:t>
        </w:r>
        <w:r w:rsidR="00C72E6B">
          <w:rPr>
            <w:webHidden/>
          </w:rPr>
          <w:t>6</w:t>
        </w:r>
        <w:r w:rsidR="00800B4D">
          <w:rPr>
            <w:webHidden/>
          </w:rPr>
          <w:fldChar w:fldCharType="end"/>
        </w:r>
      </w:hyperlink>
    </w:p>
    <w:p w14:paraId="72D20EF1" w14:textId="646F95C0" w:rsidR="00800B4D" w:rsidRDefault="00831075" w:rsidP="00D31BA5">
      <w:pPr>
        <w:pStyle w:val="TM3"/>
        <w:rPr>
          <w:rFonts w:asciiTheme="minorHAnsi" w:hAnsiTheme="minorHAnsi" w:cstheme="minorBidi"/>
          <w:sz w:val="22"/>
        </w:rPr>
      </w:pPr>
      <w:hyperlink w:anchor="_Toc38028632" w:history="1">
        <w:r w:rsidR="00800B4D" w:rsidRPr="00AD200B">
          <w:rPr>
            <w:rStyle w:val="Lienhypertexte"/>
            <w:b w:val="0"/>
            <w:bCs/>
            <w:iCs/>
          </w:rPr>
          <w:t>7.3.3.</w:t>
        </w:r>
        <w:r w:rsidR="00800B4D">
          <w:rPr>
            <w:rFonts w:asciiTheme="minorHAnsi" w:hAnsiTheme="minorHAnsi" w:cstheme="minorBidi"/>
            <w:sz w:val="22"/>
          </w:rPr>
          <w:tab/>
        </w:r>
        <w:r w:rsidR="00800B4D" w:rsidRPr="00AD200B">
          <w:rPr>
            <w:rStyle w:val="Lienhypertexte"/>
            <w:b w:val="0"/>
            <w:bCs/>
            <w:iCs/>
          </w:rPr>
          <w:t>Infection with Carp edema virus (CEV)</w:t>
        </w:r>
        <w:r w:rsidR="00800B4D">
          <w:rPr>
            <w:webHidden/>
          </w:rPr>
          <w:tab/>
        </w:r>
        <w:r w:rsidR="00800B4D">
          <w:rPr>
            <w:webHidden/>
          </w:rPr>
          <w:fldChar w:fldCharType="begin"/>
        </w:r>
        <w:r w:rsidR="00800B4D">
          <w:rPr>
            <w:webHidden/>
          </w:rPr>
          <w:instrText xml:space="preserve"> PAGEREF _Toc38028632 \h </w:instrText>
        </w:r>
        <w:r w:rsidR="00800B4D">
          <w:rPr>
            <w:webHidden/>
          </w:rPr>
        </w:r>
        <w:r w:rsidR="00800B4D">
          <w:rPr>
            <w:webHidden/>
          </w:rPr>
          <w:fldChar w:fldCharType="separate"/>
        </w:r>
        <w:r w:rsidR="00800B4D">
          <w:rPr>
            <w:webHidden/>
          </w:rPr>
          <w:t>1</w:t>
        </w:r>
        <w:r w:rsidR="00C72E6B">
          <w:rPr>
            <w:webHidden/>
          </w:rPr>
          <w:t>7</w:t>
        </w:r>
        <w:r w:rsidR="00800B4D">
          <w:rPr>
            <w:webHidden/>
          </w:rPr>
          <w:fldChar w:fldCharType="end"/>
        </w:r>
      </w:hyperlink>
    </w:p>
    <w:p w14:paraId="7F9420CB" w14:textId="1A70293B" w:rsidR="00800B4D" w:rsidRDefault="00831075" w:rsidP="003E513A">
      <w:pPr>
        <w:pStyle w:val="TM1"/>
        <w:rPr>
          <w:rFonts w:asciiTheme="minorHAnsi" w:hAnsiTheme="minorHAnsi" w:cstheme="minorBidi"/>
          <w:noProof/>
          <w:sz w:val="22"/>
        </w:rPr>
      </w:pPr>
      <w:hyperlink w:anchor="_Toc38028633" w:history="1">
        <w:r w:rsidR="00800B4D" w:rsidRPr="00AD200B">
          <w:rPr>
            <w:rStyle w:val="Lienhypertexte"/>
            <w:b/>
            <w:bCs/>
            <w:noProof/>
          </w:rPr>
          <w:t>8.</w:t>
        </w:r>
        <w:r w:rsidR="00800B4D">
          <w:rPr>
            <w:rFonts w:asciiTheme="minorHAnsi" w:hAnsiTheme="minorHAnsi" w:cstheme="minorBidi"/>
            <w:noProof/>
            <w:sz w:val="22"/>
          </w:rPr>
          <w:tab/>
        </w:r>
        <w:r w:rsidR="00800B4D" w:rsidRPr="00AD200B">
          <w:rPr>
            <w:rStyle w:val="Lienhypertexte"/>
            <w:b/>
            <w:bCs/>
            <w:caps/>
            <w:noProof/>
          </w:rPr>
          <w:t xml:space="preserve">OIE </w:t>
        </w:r>
        <w:r w:rsidR="00800B4D" w:rsidRPr="00AD200B">
          <w:rPr>
            <w:rStyle w:val="Lienhypertexte"/>
            <w:b/>
            <w:bCs/>
            <w:i/>
            <w:caps/>
            <w:noProof/>
            <w:lang w:val="en"/>
          </w:rPr>
          <w:t>Manual of Diagnostic Tests for Aquatic Animals</w:t>
        </w:r>
        <w:r w:rsidR="00800B4D">
          <w:rPr>
            <w:noProof/>
            <w:webHidden/>
          </w:rPr>
          <w:tab/>
        </w:r>
        <w:r w:rsidR="00800B4D">
          <w:rPr>
            <w:noProof/>
            <w:webHidden/>
          </w:rPr>
          <w:fldChar w:fldCharType="begin"/>
        </w:r>
        <w:r w:rsidR="00800B4D">
          <w:rPr>
            <w:noProof/>
            <w:webHidden/>
          </w:rPr>
          <w:instrText xml:space="preserve"> PAGEREF _Toc38028633 \h </w:instrText>
        </w:r>
        <w:r w:rsidR="00800B4D">
          <w:rPr>
            <w:noProof/>
            <w:webHidden/>
          </w:rPr>
        </w:r>
        <w:r w:rsidR="00800B4D">
          <w:rPr>
            <w:noProof/>
            <w:webHidden/>
          </w:rPr>
          <w:fldChar w:fldCharType="separate"/>
        </w:r>
        <w:r w:rsidR="00800B4D">
          <w:rPr>
            <w:noProof/>
            <w:webHidden/>
          </w:rPr>
          <w:t>1</w:t>
        </w:r>
        <w:r w:rsidR="00C72E6B">
          <w:rPr>
            <w:noProof/>
            <w:webHidden/>
          </w:rPr>
          <w:t>7</w:t>
        </w:r>
        <w:r w:rsidR="00800B4D">
          <w:rPr>
            <w:noProof/>
            <w:webHidden/>
          </w:rPr>
          <w:fldChar w:fldCharType="end"/>
        </w:r>
      </w:hyperlink>
    </w:p>
    <w:p w14:paraId="70BB05A7" w14:textId="70DF429C" w:rsidR="00800B4D" w:rsidRDefault="00831075" w:rsidP="003E513A">
      <w:pPr>
        <w:pStyle w:val="TM2"/>
        <w:rPr>
          <w:rFonts w:asciiTheme="minorHAnsi" w:hAnsiTheme="minorHAnsi" w:cstheme="minorBidi"/>
          <w:sz w:val="22"/>
        </w:rPr>
      </w:pPr>
      <w:hyperlink w:anchor="_Toc38028634" w:history="1">
        <w:r w:rsidR="00800B4D" w:rsidRPr="00AD200B">
          <w:rPr>
            <w:rStyle w:val="Lienhypertexte"/>
          </w:rPr>
          <w:t>8.1.</w:t>
        </w:r>
        <w:r w:rsidR="00800B4D">
          <w:rPr>
            <w:rFonts w:asciiTheme="minorHAnsi" w:hAnsiTheme="minorHAnsi" w:cstheme="minorBidi"/>
            <w:sz w:val="22"/>
          </w:rPr>
          <w:tab/>
        </w:r>
        <w:r w:rsidR="00800B4D" w:rsidRPr="00AD200B">
          <w:rPr>
            <w:rStyle w:val="Lienhypertexte"/>
            <w:rFonts w:eastAsia="MS Mincho"/>
            <w:lang w:eastAsia="ja-JP"/>
          </w:rPr>
          <w:t xml:space="preserve">Status of </w:t>
        </w:r>
        <w:r w:rsidR="00800B4D" w:rsidRPr="00AD200B">
          <w:rPr>
            <w:rStyle w:val="Lienhypertexte"/>
            <w:rFonts w:eastAsia="MS Mincho"/>
            <w:i/>
            <w:iCs/>
            <w:lang w:eastAsia="ja-JP"/>
          </w:rPr>
          <w:t>Aquatic Manual</w:t>
        </w:r>
        <w:r w:rsidR="00800B4D" w:rsidRPr="00AD200B">
          <w:rPr>
            <w:rStyle w:val="Lienhypertexte"/>
            <w:rFonts w:eastAsia="MS Mincho"/>
            <w:lang w:eastAsia="ja-JP"/>
          </w:rPr>
          <w:t xml:space="preserve"> revisions</w:t>
        </w:r>
        <w:r w:rsidR="00800B4D">
          <w:rPr>
            <w:webHidden/>
          </w:rPr>
          <w:tab/>
        </w:r>
        <w:r w:rsidR="00800B4D">
          <w:rPr>
            <w:webHidden/>
          </w:rPr>
          <w:fldChar w:fldCharType="begin"/>
        </w:r>
        <w:r w:rsidR="00800B4D">
          <w:rPr>
            <w:webHidden/>
          </w:rPr>
          <w:instrText xml:space="preserve"> PAGEREF _Toc38028634 \h </w:instrText>
        </w:r>
        <w:r w:rsidR="00800B4D">
          <w:rPr>
            <w:webHidden/>
          </w:rPr>
        </w:r>
        <w:r w:rsidR="00800B4D">
          <w:rPr>
            <w:webHidden/>
          </w:rPr>
          <w:fldChar w:fldCharType="separate"/>
        </w:r>
        <w:r w:rsidR="00800B4D">
          <w:rPr>
            <w:webHidden/>
          </w:rPr>
          <w:t>1</w:t>
        </w:r>
        <w:r w:rsidR="00C72E6B">
          <w:rPr>
            <w:webHidden/>
          </w:rPr>
          <w:t>7</w:t>
        </w:r>
        <w:r w:rsidR="00800B4D">
          <w:rPr>
            <w:webHidden/>
          </w:rPr>
          <w:fldChar w:fldCharType="end"/>
        </w:r>
      </w:hyperlink>
    </w:p>
    <w:p w14:paraId="51D4C5E3" w14:textId="29B9B972" w:rsidR="00800B4D" w:rsidRDefault="00831075" w:rsidP="003E513A">
      <w:pPr>
        <w:pStyle w:val="TM2"/>
        <w:rPr>
          <w:rFonts w:asciiTheme="minorHAnsi" w:hAnsiTheme="minorHAnsi" w:cstheme="minorBidi"/>
          <w:sz w:val="22"/>
        </w:rPr>
      </w:pPr>
      <w:hyperlink w:anchor="_Toc38028635" w:history="1">
        <w:r w:rsidR="00800B4D" w:rsidRPr="00AD200B">
          <w:rPr>
            <w:rStyle w:val="Lienhypertexte"/>
          </w:rPr>
          <w:t>8.2.</w:t>
        </w:r>
        <w:r w:rsidR="00800B4D">
          <w:rPr>
            <w:rFonts w:asciiTheme="minorHAnsi" w:hAnsiTheme="minorHAnsi" w:cstheme="minorBidi"/>
            <w:sz w:val="22"/>
          </w:rPr>
          <w:tab/>
        </w:r>
        <w:r w:rsidR="00800B4D" w:rsidRPr="00AD200B">
          <w:rPr>
            <w:rStyle w:val="Lienhypertexte"/>
          </w:rPr>
          <w:t xml:space="preserve">Texts </w:t>
        </w:r>
        <w:r w:rsidR="00800B4D" w:rsidRPr="00AD200B">
          <w:rPr>
            <w:rStyle w:val="Lienhypertexte"/>
            <w:rFonts w:eastAsia="MS Mincho"/>
            <w:lang w:val="en-IE" w:eastAsia="ja-JP"/>
          </w:rPr>
          <w:t>to be proposed for adoption in May 2021</w:t>
        </w:r>
        <w:r w:rsidR="00800B4D">
          <w:rPr>
            <w:webHidden/>
          </w:rPr>
          <w:tab/>
        </w:r>
        <w:r w:rsidR="00C72E6B">
          <w:rPr>
            <w:webHidden/>
          </w:rPr>
          <w:t>17</w:t>
        </w:r>
      </w:hyperlink>
    </w:p>
    <w:p w14:paraId="6AB876CB" w14:textId="2CCA1CE3" w:rsidR="00800B4D" w:rsidRDefault="00831075" w:rsidP="00D31BA5">
      <w:pPr>
        <w:pStyle w:val="TM3"/>
        <w:rPr>
          <w:rFonts w:asciiTheme="minorHAnsi" w:hAnsiTheme="minorHAnsi" w:cstheme="minorBidi"/>
          <w:sz w:val="22"/>
        </w:rPr>
      </w:pPr>
      <w:hyperlink w:anchor="_Toc38028636" w:history="1">
        <w:r w:rsidR="00800B4D" w:rsidRPr="00AD200B">
          <w:rPr>
            <w:rStyle w:val="Lienhypertexte"/>
            <w:rFonts w:eastAsia="Arial"/>
            <w:b w:val="0"/>
            <w:bCs/>
            <w:iCs/>
            <w:lang w:val="en-IE"/>
          </w:rPr>
          <w:t>8.2.1.</w:t>
        </w:r>
        <w:r w:rsidR="00800B4D">
          <w:rPr>
            <w:rFonts w:asciiTheme="minorHAnsi" w:hAnsiTheme="minorHAnsi" w:cstheme="minorBidi"/>
            <w:sz w:val="22"/>
          </w:rPr>
          <w:tab/>
        </w:r>
        <w:r w:rsidR="00800B4D" w:rsidRPr="00AD200B">
          <w:rPr>
            <w:rStyle w:val="Lienhypertexte"/>
            <w:rFonts w:eastAsia="Arial"/>
            <w:b w:val="0"/>
            <w:bCs/>
            <w:iCs/>
            <w:lang w:val="en-IE"/>
          </w:rPr>
          <w:t>Infection with spring viraemia of carp virus (Chapter 2.3.9.)</w:t>
        </w:r>
        <w:r w:rsidR="00800B4D">
          <w:rPr>
            <w:webHidden/>
          </w:rPr>
          <w:tab/>
        </w:r>
        <w:r w:rsidR="00C72E6B">
          <w:rPr>
            <w:webHidden/>
          </w:rPr>
          <w:t>18</w:t>
        </w:r>
      </w:hyperlink>
    </w:p>
    <w:p w14:paraId="41B24813" w14:textId="06DD618B" w:rsidR="00800B4D" w:rsidRDefault="00831075" w:rsidP="00D31BA5">
      <w:pPr>
        <w:pStyle w:val="TM3"/>
        <w:rPr>
          <w:rFonts w:asciiTheme="minorHAnsi" w:hAnsiTheme="minorHAnsi" w:cstheme="minorBidi"/>
          <w:sz w:val="22"/>
        </w:rPr>
      </w:pPr>
      <w:hyperlink w:anchor="_Toc38028637" w:history="1">
        <w:r w:rsidR="00800B4D" w:rsidRPr="00AD200B">
          <w:rPr>
            <w:rStyle w:val="Lienhypertexte"/>
            <w:rFonts w:eastAsia="Arial"/>
            <w:b w:val="0"/>
            <w:bCs/>
            <w:iCs/>
            <w:lang w:val="en-IE"/>
          </w:rPr>
          <w:t>8.2.2.</w:t>
        </w:r>
        <w:r w:rsidR="00800B4D">
          <w:rPr>
            <w:rFonts w:asciiTheme="minorHAnsi" w:hAnsiTheme="minorHAnsi" w:cstheme="minorBidi"/>
            <w:sz w:val="22"/>
          </w:rPr>
          <w:tab/>
        </w:r>
        <w:r w:rsidR="00800B4D" w:rsidRPr="00AD200B">
          <w:rPr>
            <w:rStyle w:val="Lienhypertexte"/>
            <w:rFonts w:eastAsia="Arial"/>
            <w:b w:val="0"/>
            <w:bCs/>
            <w:iCs/>
            <w:lang w:val="en-IE"/>
          </w:rPr>
          <w:t xml:space="preserve">Infection with </w:t>
        </w:r>
        <w:r w:rsidR="00800B4D" w:rsidRPr="00AD200B">
          <w:rPr>
            <w:rStyle w:val="Lienhypertexte"/>
            <w:rFonts w:eastAsia="Arial Unicode MS"/>
            <w:b w:val="0"/>
            <w:bCs/>
            <w:bdr w:val="nil"/>
            <w:lang w:val="en-IE" w:eastAsia="en-GB"/>
          </w:rPr>
          <w:t>Batrachochytrium salamandrivorans</w:t>
        </w:r>
        <w:r w:rsidR="00800B4D" w:rsidRPr="00AD200B">
          <w:rPr>
            <w:rStyle w:val="Lienhypertexte"/>
            <w:rFonts w:eastAsia="Arial Unicode MS"/>
            <w:b w:val="0"/>
            <w:bCs/>
            <w:iCs/>
            <w:bdr w:val="nil"/>
            <w:lang w:val="en-IE" w:eastAsia="en-GB"/>
          </w:rPr>
          <w:t xml:space="preserve"> (Chapter 2.1.3.)</w:t>
        </w:r>
        <w:r w:rsidR="00800B4D">
          <w:rPr>
            <w:webHidden/>
          </w:rPr>
          <w:tab/>
        </w:r>
        <w:r w:rsidR="00C72E6B">
          <w:rPr>
            <w:webHidden/>
          </w:rPr>
          <w:t>19</w:t>
        </w:r>
      </w:hyperlink>
    </w:p>
    <w:p w14:paraId="6F83E42E" w14:textId="63208AF2" w:rsidR="00800B4D" w:rsidRDefault="00831075" w:rsidP="00D31BA5">
      <w:pPr>
        <w:pStyle w:val="TM3"/>
        <w:rPr>
          <w:rFonts w:asciiTheme="minorHAnsi" w:hAnsiTheme="minorHAnsi" w:cstheme="minorBidi"/>
          <w:sz w:val="22"/>
        </w:rPr>
      </w:pPr>
      <w:hyperlink w:anchor="_Toc38028638" w:history="1">
        <w:r w:rsidR="00800B4D" w:rsidRPr="00AD200B">
          <w:rPr>
            <w:rStyle w:val="Lienhypertexte"/>
            <w:rFonts w:eastAsia="Arial"/>
            <w:b w:val="0"/>
            <w:bCs/>
            <w:iCs/>
            <w:lang w:val="en-IE"/>
          </w:rPr>
          <w:t>8.2.3.</w:t>
        </w:r>
        <w:r w:rsidR="00800B4D">
          <w:rPr>
            <w:rFonts w:asciiTheme="minorHAnsi" w:hAnsiTheme="minorHAnsi" w:cstheme="minorBidi"/>
            <w:sz w:val="22"/>
          </w:rPr>
          <w:tab/>
        </w:r>
        <w:r w:rsidR="00800B4D" w:rsidRPr="00AD200B">
          <w:rPr>
            <w:rStyle w:val="Lienhypertexte"/>
            <w:rFonts w:eastAsia="Arial"/>
            <w:b w:val="0"/>
            <w:bCs/>
            <w:iCs/>
            <w:lang w:val="en-IE"/>
          </w:rPr>
          <w:t>Infection with infectious haematopoietic necrosis virus (Chapter 2.3.4.)</w:t>
        </w:r>
        <w:r w:rsidR="00800B4D">
          <w:rPr>
            <w:webHidden/>
          </w:rPr>
          <w:tab/>
        </w:r>
        <w:r w:rsidR="00C72E6B">
          <w:rPr>
            <w:webHidden/>
          </w:rPr>
          <w:t>19</w:t>
        </w:r>
      </w:hyperlink>
    </w:p>
    <w:p w14:paraId="31D5AC67" w14:textId="3E8E77D4" w:rsidR="00800B4D" w:rsidRDefault="00831075" w:rsidP="00D31BA5">
      <w:pPr>
        <w:pStyle w:val="TM3"/>
        <w:rPr>
          <w:rFonts w:asciiTheme="minorHAnsi" w:hAnsiTheme="minorHAnsi" w:cstheme="minorBidi"/>
          <w:sz w:val="22"/>
        </w:rPr>
      </w:pPr>
      <w:hyperlink w:anchor="_Toc38028639" w:history="1">
        <w:r w:rsidR="00800B4D" w:rsidRPr="00AD200B">
          <w:rPr>
            <w:rStyle w:val="Lienhypertexte"/>
            <w:rFonts w:eastAsia="Arial"/>
            <w:b w:val="0"/>
            <w:bCs/>
            <w:iCs/>
            <w:lang w:val="en-IE"/>
          </w:rPr>
          <w:t>8.2.4.</w:t>
        </w:r>
        <w:r w:rsidR="00800B4D">
          <w:rPr>
            <w:rFonts w:asciiTheme="minorHAnsi" w:hAnsiTheme="minorHAnsi" w:cstheme="minorBidi"/>
            <w:sz w:val="22"/>
          </w:rPr>
          <w:tab/>
        </w:r>
        <w:r w:rsidR="00800B4D" w:rsidRPr="00AD200B">
          <w:rPr>
            <w:rStyle w:val="Lienhypertexte"/>
            <w:rFonts w:eastAsia="Arial"/>
            <w:b w:val="0"/>
            <w:bCs/>
            <w:iCs/>
            <w:lang w:val="en-IE"/>
          </w:rPr>
          <w:t>Infection with viral haemorrhagic septicaemia virus (Chapter 2.3.10.)</w:t>
        </w:r>
        <w:r w:rsidR="00800B4D">
          <w:rPr>
            <w:webHidden/>
          </w:rPr>
          <w:tab/>
        </w:r>
        <w:r w:rsidR="00800B4D">
          <w:rPr>
            <w:webHidden/>
          </w:rPr>
          <w:fldChar w:fldCharType="begin"/>
        </w:r>
        <w:r w:rsidR="00800B4D">
          <w:rPr>
            <w:webHidden/>
          </w:rPr>
          <w:instrText xml:space="preserve"> PAGEREF _Toc38028639 \h </w:instrText>
        </w:r>
        <w:r w:rsidR="00800B4D">
          <w:rPr>
            <w:webHidden/>
          </w:rPr>
        </w:r>
        <w:r w:rsidR="00800B4D">
          <w:rPr>
            <w:webHidden/>
          </w:rPr>
          <w:fldChar w:fldCharType="separate"/>
        </w:r>
        <w:r w:rsidR="00800B4D">
          <w:rPr>
            <w:webHidden/>
          </w:rPr>
          <w:t>2</w:t>
        </w:r>
        <w:r w:rsidR="00C72E6B">
          <w:rPr>
            <w:webHidden/>
          </w:rPr>
          <w:t>0</w:t>
        </w:r>
        <w:r w:rsidR="00800B4D">
          <w:rPr>
            <w:webHidden/>
          </w:rPr>
          <w:fldChar w:fldCharType="end"/>
        </w:r>
      </w:hyperlink>
    </w:p>
    <w:p w14:paraId="6D43B046" w14:textId="714F486E" w:rsidR="00800B4D" w:rsidRDefault="00831075" w:rsidP="003E513A">
      <w:pPr>
        <w:pStyle w:val="TM2"/>
        <w:rPr>
          <w:rFonts w:asciiTheme="minorHAnsi" w:hAnsiTheme="minorHAnsi" w:cstheme="minorBidi"/>
          <w:sz w:val="22"/>
        </w:rPr>
      </w:pPr>
      <w:hyperlink w:anchor="_Toc38028640" w:history="1">
        <w:r w:rsidR="00800B4D" w:rsidRPr="00AD200B">
          <w:rPr>
            <w:rStyle w:val="Lienhypertexte"/>
            <w:rFonts w:eastAsia="Arial"/>
            <w:lang w:val="en-IE"/>
          </w:rPr>
          <w:t>8.3.</w:t>
        </w:r>
        <w:r w:rsidR="00800B4D">
          <w:rPr>
            <w:rFonts w:asciiTheme="minorHAnsi" w:hAnsiTheme="minorHAnsi" w:cstheme="minorBidi"/>
            <w:sz w:val="22"/>
          </w:rPr>
          <w:tab/>
        </w:r>
        <w:r w:rsidR="00800B4D" w:rsidRPr="00AD200B">
          <w:rPr>
            <w:rStyle w:val="Lienhypertexte"/>
            <w:lang w:val="en-IE"/>
          </w:rPr>
          <w:t>Texts for Member comments</w:t>
        </w:r>
        <w:r w:rsidR="00800B4D">
          <w:rPr>
            <w:webHidden/>
          </w:rPr>
          <w:tab/>
        </w:r>
        <w:r w:rsidR="00800B4D">
          <w:rPr>
            <w:webHidden/>
          </w:rPr>
          <w:fldChar w:fldCharType="begin"/>
        </w:r>
        <w:r w:rsidR="00800B4D">
          <w:rPr>
            <w:webHidden/>
          </w:rPr>
          <w:instrText xml:space="preserve"> PAGEREF _Toc38028640 \h </w:instrText>
        </w:r>
        <w:r w:rsidR="00800B4D">
          <w:rPr>
            <w:webHidden/>
          </w:rPr>
        </w:r>
        <w:r w:rsidR="00800B4D">
          <w:rPr>
            <w:webHidden/>
          </w:rPr>
          <w:fldChar w:fldCharType="separate"/>
        </w:r>
        <w:r w:rsidR="00800B4D">
          <w:rPr>
            <w:webHidden/>
          </w:rPr>
          <w:t>2</w:t>
        </w:r>
        <w:r w:rsidR="00C72E6B">
          <w:rPr>
            <w:webHidden/>
          </w:rPr>
          <w:t>1</w:t>
        </w:r>
        <w:r w:rsidR="00800B4D">
          <w:rPr>
            <w:webHidden/>
          </w:rPr>
          <w:fldChar w:fldCharType="end"/>
        </w:r>
      </w:hyperlink>
    </w:p>
    <w:p w14:paraId="58CE6ADC" w14:textId="566F8DB3" w:rsidR="00800B4D" w:rsidRDefault="00831075" w:rsidP="00D31BA5">
      <w:pPr>
        <w:pStyle w:val="TM3"/>
        <w:rPr>
          <w:rFonts w:asciiTheme="minorHAnsi" w:hAnsiTheme="minorHAnsi" w:cstheme="minorBidi"/>
          <w:sz w:val="22"/>
        </w:rPr>
      </w:pPr>
      <w:hyperlink w:anchor="_Toc38028641" w:history="1">
        <w:r w:rsidR="00800B4D" w:rsidRPr="00AD200B">
          <w:rPr>
            <w:rStyle w:val="Lienhypertexte"/>
            <w:rFonts w:eastAsia="Arial"/>
            <w:b w:val="0"/>
            <w:bCs/>
            <w:iCs/>
            <w:lang w:val="en-IE"/>
          </w:rPr>
          <w:t>8.3.1.</w:t>
        </w:r>
        <w:r w:rsidR="00800B4D">
          <w:rPr>
            <w:rFonts w:asciiTheme="minorHAnsi" w:hAnsiTheme="minorHAnsi" w:cstheme="minorBidi"/>
            <w:sz w:val="22"/>
          </w:rPr>
          <w:tab/>
        </w:r>
        <w:r w:rsidR="00800B4D" w:rsidRPr="00AD200B">
          <w:rPr>
            <w:rStyle w:val="Lienhypertexte"/>
            <w:b w:val="0"/>
            <w:bCs/>
            <w:iCs/>
          </w:rPr>
          <w:t xml:space="preserve">Infection with </w:t>
        </w:r>
        <w:r w:rsidR="00800B4D" w:rsidRPr="00BE5986">
          <w:rPr>
            <w:rStyle w:val="Lienhypertexte"/>
            <w:b w:val="0"/>
            <w:bCs/>
            <w:i/>
          </w:rPr>
          <w:t>Gyrodactylus</w:t>
        </w:r>
        <w:r w:rsidR="00800B4D" w:rsidRPr="00AD200B">
          <w:rPr>
            <w:rStyle w:val="Lienhypertexte"/>
            <w:b w:val="0"/>
            <w:bCs/>
          </w:rPr>
          <w:t xml:space="preserve"> </w:t>
        </w:r>
        <w:r w:rsidR="00800B4D" w:rsidRPr="00BE5986">
          <w:rPr>
            <w:rStyle w:val="Lienhypertexte"/>
            <w:b w:val="0"/>
            <w:bCs/>
            <w:i/>
          </w:rPr>
          <w:t>salaris</w:t>
        </w:r>
        <w:r w:rsidR="00800B4D" w:rsidRPr="00AD200B">
          <w:rPr>
            <w:rStyle w:val="Lienhypertexte"/>
            <w:b w:val="0"/>
            <w:bCs/>
            <w:iCs/>
          </w:rPr>
          <w:t xml:space="preserve"> (Chapter 2.3.3.)</w:t>
        </w:r>
        <w:r w:rsidR="00800B4D">
          <w:rPr>
            <w:webHidden/>
          </w:rPr>
          <w:tab/>
        </w:r>
        <w:r w:rsidR="00800B4D">
          <w:rPr>
            <w:webHidden/>
          </w:rPr>
          <w:fldChar w:fldCharType="begin"/>
        </w:r>
        <w:r w:rsidR="00800B4D">
          <w:rPr>
            <w:webHidden/>
          </w:rPr>
          <w:instrText xml:space="preserve"> PAGEREF _Toc38028641 \h </w:instrText>
        </w:r>
        <w:r w:rsidR="00800B4D">
          <w:rPr>
            <w:webHidden/>
          </w:rPr>
        </w:r>
        <w:r w:rsidR="00800B4D">
          <w:rPr>
            <w:webHidden/>
          </w:rPr>
          <w:fldChar w:fldCharType="separate"/>
        </w:r>
        <w:r w:rsidR="00800B4D">
          <w:rPr>
            <w:webHidden/>
          </w:rPr>
          <w:t>2</w:t>
        </w:r>
        <w:r w:rsidR="00C72E6B">
          <w:rPr>
            <w:webHidden/>
          </w:rPr>
          <w:t>1</w:t>
        </w:r>
        <w:r w:rsidR="00800B4D">
          <w:rPr>
            <w:webHidden/>
          </w:rPr>
          <w:fldChar w:fldCharType="end"/>
        </w:r>
      </w:hyperlink>
    </w:p>
    <w:p w14:paraId="01E65676" w14:textId="040BF67D" w:rsidR="00800B4D" w:rsidRDefault="00831075" w:rsidP="00D31BA5">
      <w:pPr>
        <w:pStyle w:val="TM3"/>
        <w:rPr>
          <w:rFonts w:asciiTheme="minorHAnsi" w:hAnsiTheme="minorHAnsi" w:cstheme="minorBidi"/>
          <w:sz w:val="22"/>
        </w:rPr>
      </w:pPr>
      <w:hyperlink w:anchor="_Toc38028642" w:history="1">
        <w:r w:rsidR="00800B4D" w:rsidRPr="00AD200B">
          <w:rPr>
            <w:rStyle w:val="Lienhypertexte"/>
            <w:rFonts w:eastAsia="Arial"/>
            <w:b w:val="0"/>
            <w:bCs/>
            <w:iCs/>
            <w:lang w:val="en-IE"/>
          </w:rPr>
          <w:t>8.3.2.</w:t>
        </w:r>
        <w:r w:rsidR="00800B4D">
          <w:rPr>
            <w:rFonts w:asciiTheme="minorHAnsi" w:hAnsiTheme="minorHAnsi" w:cstheme="minorBidi"/>
            <w:sz w:val="22"/>
          </w:rPr>
          <w:tab/>
        </w:r>
        <w:r w:rsidR="00800B4D" w:rsidRPr="00AD200B">
          <w:rPr>
            <w:rStyle w:val="Lienhypertexte"/>
            <w:b w:val="0"/>
            <w:bCs/>
            <w:iCs/>
          </w:rPr>
          <w:t>Infection with salmonid alphavirus (Chapter 2.3.6.)</w:t>
        </w:r>
        <w:r w:rsidR="00800B4D">
          <w:rPr>
            <w:webHidden/>
          </w:rPr>
          <w:tab/>
        </w:r>
        <w:r w:rsidR="00800B4D">
          <w:rPr>
            <w:webHidden/>
          </w:rPr>
          <w:fldChar w:fldCharType="begin"/>
        </w:r>
        <w:r w:rsidR="00800B4D">
          <w:rPr>
            <w:webHidden/>
          </w:rPr>
          <w:instrText xml:space="preserve"> PAGEREF _Toc38028642 \h </w:instrText>
        </w:r>
        <w:r w:rsidR="00800B4D">
          <w:rPr>
            <w:webHidden/>
          </w:rPr>
        </w:r>
        <w:r w:rsidR="00800B4D">
          <w:rPr>
            <w:webHidden/>
          </w:rPr>
          <w:fldChar w:fldCharType="separate"/>
        </w:r>
        <w:r w:rsidR="00800B4D">
          <w:rPr>
            <w:webHidden/>
          </w:rPr>
          <w:t>2</w:t>
        </w:r>
        <w:r w:rsidR="00C72E6B">
          <w:rPr>
            <w:webHidden/>
          </w:rPr>
          <w:t>1</w:t>
        </w:r>
        <w:r w:rsidR="00800B4D">
          <w:rPr>
            <w:webHidden/>
          </w:rPr>
          <w:fldChar w:fldCharType="end"/>
        </w:r>
      </w:hyperlink>
    </w:p>
    <w:p w14:paraId="7C8FACDA" w14:textId="3C7F88FA" w:rsidR="00800B4D" w:rsidRDefault="00831075" w:rsidP="003E513A">
      <w:pPr>
        <w:pStyle w:val="TM2"/>
        <w:rPr>
          <w:rFonts w:asciiTheme="minorHAnsi" w:hAnsiTheme="minorHAnsi" w:cstheme="minorBidi"/>
          <w:sz w:val="22"/>
        </w:rPr>
      </w:pPr>
      <w:hyperlink w:anchor="_Toc38028643" w:history="1">
        <w:r w:rsidR="00800B4D" w:rsidRPr="00AD200B">
          <w:rPr>
            <w:rStyle w:val="Lienhypertexte"/>
            <w:lang w:bidi="en-US"/>
          </w:rPr>
          <w:t>8.4.</w:t>
        </w:r>
        <w:r w:rsidR="00800B4D" w:rsidRPr="00AD200B">
          <w:rPr>
            <w:rStyle w:val="Lienhypertexte"/>
          </w:rPr>
          <w:t xml:space="preserve"> </w:t>
        </w:r>
        <w:r w:rsidR="00800B4D">
          <w:rPr>
            <w:rFonts w:asciiTheme="minorHAnsi" w:hAnsiTheme="minorHAnsi" w:cstheme="minorBidi"/>
            <w:sz w:val="22"/>
          </w:rPr>
          <w:tab/>
        </w:r>
        <w:r w:rsidR="00800B4D" w:rsidRPr="00AD200B">
          <w:rPr>
            <w:rStyle w:val="Lienhypertexte"/>
          </w:rPr>
          <w:t>Texts for Member information</w:t>
        </w:r>
        <w:r w:rsidR="00800B4D">
          <w:rPr>
            <w:webHidden/>
          </w:rPr>
          <w:tab/>
        </w:r>
        <w:r w:rsidR="00800B4D">
          <w:rPr>
            <w:webHidden/>
          </w:rPr>
          <w:fldChar w:fldCharType="begin"/>
        </w:r>
        <w:r w:rsidR="00800B4D">
          <w:rPr>
            <w:webHidden/>
          </w:rPr>
          <w:instrText xml:space="preserve"> PAGEREF _Toc38028643 \h </w:instrText>
        </w:r>
        <w:r w:rsidR="00800B4D">
          <w:rPr>
            <w:webHidden/>
          </w:rPr>
        </w:r>
        <w:r w:rsidR="00800B4D">
          <w:rPr>
            <w:webHidden/>
          </w:rPr>
          <w:fldChar w:fldCharType="separate"/>
        </w:r>
        <w:r w:rsidR="00800B4D">
          <w:rPr>
            <w:webHidden/>
          </w:rPr>
          <w:t>2</w:t>
        </w:r>
        <w:r w:rsidR="00C72E6B">
          <w:rPr>
            <w:webHidden/>
          </w:rPr>
          <w:t>2</w:t>
        </w:r>
        <w:r w:rsidR="00800B4D">
          <w:rPr>
            <w:webHidden/>
          </w:rPr>
          <w:fldChar w:fldCharType="end"/>
        </w:r>
      </w:hyperlink>
    </w:p>
    <w:p w14:paraId="2EE72C0C" w14:textId="298954B2" w:rsidR="00800B4D" w:rsidRDefault="00831075" w:rsidP="00D31BA5">
      <w:pPr>
        <w:pStyle w:val="TM3"/>
        <w:rPr>
          <w:rFonts w:asciiTheme="minorHAnsi" w:hAnsiTheme="minorHAnsi" w:cstheme="minorBidi"/>
          <w:sz w:val="22"/>
        </w:rPr>
      </w:pPr>
      <w:hyperlink w:anchor="_Toc38028644" w:history="1">
        <w:r w:rsidR="00800B4D" w:rsidRPr="00AD200B">
          <w:rPr>
            <w:rStyle w:val="Lienhypertexte"/>
            <w:b w:val="0"/>
            <w:bCs/>
            <w:iCs/>
          </w:rPr>
          <w:t xml:space="preserve">8.4.1. </w:t>
        </w:r>
        <w:r w:rsidR="00AA520A">
          <w:rPr>
            <w:rStyle w:val="Lienhypertexte"/>
            <w:b w:val="0"/>
            <w:bCs/>
            <w:iCs/>
          </w:rPr>
          <w:tab/>
        </w:r>
        <w:r w:rsidR="00800B4D" w:rsidRPr="00AD200B">
          <w:rPr>
            <w:rStyle w:val="Lienhypertexte"/>
            <w:b w:val="0"/>
            <w:bCs/>
            <w:iCs/>
          </w:rPr>
          <w:t>Updating the introductory chapters for each host group: amphibians, crustaceans, fish and molluscs (Chapters 2.1.0, 2.2.0, 2.3.0. and 2.4.0, respectively)</w:t>
        </w:r>
        <w:r w:rsidR="00800B4D">
          <w:rPr>
            <w:webHidden/>
          </w:rPr>
          <w:tab/>
        </w:r>
        <w:r w:rsidR="00800B4D">
          <w:rPr>
            <w:webHidden/>
          </w:rPr>
          <w:fldChar w:fldCharType="begin"/>
        </w:r>
        <w:r w:rsidR="00800B4D">
          <w:rPr>
            <w:webHidden/>
          </w:rPr>
          <w:instrText xml:space="preserve"> PAGEREF _Toc38028644 \h </w:instrText>
        </w:r>
        <w:r w:rsidR="00800B4D">
          <w:rPr>
            <w:webHidden/>
          </w:rPr>
        </w:r>
        <w:r w:rsidR="00800B4D">
          <w:rPr>
            <w:webHidden/>
          </w:rPr>
          <w:fldChar w:fldCharType="separate"/>
        </w:r>
        <w:r w:rsidR="00800B4D">
          <w:rPr>
            <w:webHidden/>
          </w:rPr>
          <w:t>2</w:t>
        </w:r>
        <w:r w:rsidR="00C72E6B">
          <w:rPr>
            <w:webHidden/>
          </w:rPr>
          <w:t>2</w:t>
        </w:r>
        <w:r w:rsidR="00800B4D">
          <w:rPr>
            <w:webHidden/>
          </w:rPr>
          <w:fldChar w:fldCharType="end"/>
        </w:r>
      </w:hyperlink>
    </w:p>
    <w:p w14:paraId="759194B5" w14:textId="6D8D5BA5" w:rsidR="00800B4D" w:rsidRDefault="00831075" w:rsidP="00D31BA5">
      <w:pPr>
        <w:pStyle w:val="TM3"/>
        <w:rPr>
          <w:rFonts w:asciiTheme="minorHAnsi" w:hAnsiTheme="minorHAnsi" w:cstheme="minorBidi"/>
          <w:sz w:val="22"/>
        </w:rPr>
      </w:pPr>
      <w:hyperlink w:anchor="_Toc38028645" w:history="1">
        <w:r w:rsidR="00800B4D" w:rsidRPr="00AD200B">
          <w:rPr>
            <w:rStyle w:val="Lienhypertexte"/>
            <w:b w:val="0"/>
            <w:bCs/>
            <w:lang w:bidi="en-US"/>
          </w:rPr>
          <w:t>8</w:t>
        </w:r>
        <w:r w:rsidR="00800B4D" w:rsidRPr="00AD200B">
          <w:rPr>
            <w:rStyle w:val="Lienhypertexte"/>
            <w:b w:val="0"/>
            <w:bCs/>
          </w:rPr>
          <w:t>.4.2.</w:t>
        </w:r>
        <w:r w:rsidR="00800B4D">
          <w:rPr>
            <w:rFonts w:asciiTheme="minorHAnsi" w:hAnsiTheme="minorHAnsi" w:cstheme="minorBidi"/>
            <w:sz w:val="22"/>
          </w:rPr>
          <w:tab/>
        </w:r>
        <w:r w:rsidR="00800B4D" w:rsidRPr="00AD200B">
          <w:rPr>
            <w:rStyle w:val="Lienhypertexte"/>
            <w:b w:val="0"/>
            <w:bCs/>
          </w:rPr>
          <w:t>The use of environmental DNA methods for aquatic animal disease surveillance</w:t>
        </w:r>
        <w:r w:rsidR="00800B4D">
          <w:rPr>
            <w:webHidden/>
          </w:rPr>
          <w:tab/>
        </w:r>
        <w:r w:rsidR="00800B4D">
          <w:rPr>
            <w:webHidden/>
          </w:rPr>
          <w:fldChar w:fldCharType="begin"/>
        </w:r>
        <w:r w:rsidR="00800B4D">
          <w:rPr>
            <w:webHidden/>
          </w:rPr>
          <w:instrText xml:space="preserve"> PAGEREF _Toc38028645 \h </w:instrText>
        </w:r>
        <w:r w:rsidR="00800B4D">
          <w:rPr>
            <w:webHidden/>
          </w:rPr>
        </w:r>
        <w:r w:rsidR="00800B4D">
          <w:rPr>
            <w:webHidden/>
          </w:rPr>
          <w:fldChar w:fldCharType="separate"/>
        </w:r>
        <w:r w:rsidR="00800B4D">
          <w:rPr>
            <w:webHidden/>
          </w:rPr>
          <w:t>2</w:t>
        </w:r>
        <w:r w:rsidR="00C72E6B">
          <w:rPr>
            <w:webHidden/>
          </w:rPr>
          <w:t>2</w:t>
        </w:r>
        <w:r w:rsidR="00800B4D">
          <w:rPr>
            <w:webHidden/>
          </w:rPr>
          <w:fldChar w:fldCharType="end"/>
        </w:r>
      </w:hyperlink>
    </w:p>
    <w:p w14:paraId="6843C1AC" w14:textId="77777777" w:rsidR="003E513A" w:rsidRDefault="003E513A">
      <w:pPr>
        <w:rPr>
          <w:rFonts w:eastAsiaTheme="minorEastAsia" w:cs="Times New Roman"/>
          <w:lang w:val="en-US"/>
        </w:rPr>
      </w:pPr>
      <w:r>
        <w:br w:type="page"/>
      </w:r>
    </w:p>
    <w:p w14:paraId="6D02E77A" w14:textId="78AD8D90" w:rsidR="00800B4D" w:rsidRDefault="00831075" w:rsidP="003E513A">
      <w:pPr>
        <w:pStyle w:val="TM1"/>
        <w:rPr>
          <w:rFonts w:asciiTheme="minorHAnsi" w:hAnsiTheme="minorHAnsi" w:cstheme="minorBidi"/>
          <w:noProof/>
          <w:sz w:val="22"/>
        </w:rPr>
      </w:pPr>
      <w:hyperlink w:anchor="_Toc38028646" w:history="1">
        <w:r w:rsidR="00800B4D" w:rsidRPr="00AD200B">
          <w:rPr>
            <w:rStyle w:val="Lienhypertexte"/>
            <w:b/>
            <w:bCs/>
            <w:noProof/>
          </w:rPr>
          <w:t>9.</w:t>
        </w:r>
        <w:r w:rsidR="00800B4D">
          <w:rPr>
            <w:rFonts w:asciiTheme="minorHAnsi" w:hAnsiTheme="minorHAnsi" w:cstheme="minorBidi"/>
            <w:noProof/>
            <w:sz w:val="22"/>
          </w:rPr>
          <w:tab/>
        </w:r>
        <w:r w:rsidR="00800B4D" w:rsidRPr="00AD200B">
          <w:rPr>
            <w:rStyle w:val="Lienhypertexte"/>
            <w:b/>
            <w:bCs/>
            <w:iCs/>
            <w:noProof/>
          </w:rPr>
          <w:t>OIE</w:t>
        </w:r>
        <w:r w:rsidR="00800B4D" w:rsidRPr="00AD200B">
          <w:rPr>
            <w:rStyle w:val="Lienhypertexte"/>
            <w:b/>
            <w:bCs/>
            <w:i/>
            <w:iCs/>
            <w:noProof/>
          </w:rPr>
          <w:t xml:space="preserve"> AD </w:t>
        </w:r>
        <w:r w:rsidR="00800B4D" w:rsidRPr="00D31BA5">
          <w:rPr>
            <w:rStyle w:val="Lienhypertexte"/>
            <w:b/>
            <w:bCs/>
            <w:i/>
            <w:caps/>
            <w:noProof/>
          </w:rPr>
          <w:t>HOC</w:t>
        </w:r>
        <w:r w:rsidR="00800B4D" w:rsidRPr="00D31BA5">
          <w:rPr>
            <w:rStyle w:val="Lienhypertexte"/>
            <w:b/>
            <w:bCs/>
            <w:i/>
            <w:iCs/>
            <w:noProof/>
          </w:rPr>
          <w:t xml:space="preserve"> </w:t>
        </w:r>
        <w:r w:rsidR="00800B4D" w:rsidRPr="00AA520A">
          <w:rPr>
            <w:rStyle w:val="Lienhypertexte"/>
            <w:b/>
            <w:bCs/>
            <w:iCs/>
            <w:noProof/>
          </w:rPr>
          <w:t>GROUP</w:t>
        </w:r>
        <w:r w:rsidR="00800B4D">
          <w:rPr>
            <w:noProof/>
            <w:webHidden/>
          </w:rPr>
          <w:tab/>
        </w:r>
        <w:r w:rsidR="00800B4D" w:rsidRPr="00C72E6B">
          <w:rPr>
            <w:b/>
            <w:noProof/>
            <w:webHidden/>
          </w:rPr>
          <w:fldChar w:fldCharType="begin"/>
        </w:r>
        <w:r w:rsidR="00800B4D" w:rsidRPr="00C72E6B">
          <w:rPr>
            <w:b/>
            <w:noProof/>
            <w:webHidden/>
          </w:rPr>
          <w:instrText xml:space="preserve"> PAGEREF _Toc38028646 \h </w:instrText>
        </w:r>
        <w:r w:rsidR="00800B4D" w:rsidRPr="00C72E6B">
          <w:rPr>
            <w:b/>
            <w:noProof/>
            <w:webHidden/>
          </w:rPr>
        </w:r>
        <w:r w:rsidR="00800B4D" w:rsidRPr="00C72E6B">
          <w:rPr>
            <w:b/>
            <w:noProof/>
            <w:webHidden/>
          </w:rPr>
          <w:fldChar w:fldCharType="separate"/>
        </w:r>
        <w:r w:rsidR="00800B4D" w:rsidRPr="00C72E6B">
          <w:rPr>
            <w:b/>
            <w:noProof/>
            <w:webHidden/>
          </w:rPr>
          <w:t>2</w:t>
        </w:r>
        <w:r w:rsidR="00C72E6B" w:rsidRPr="00C72E6B">
          <w:rPr>
            <w:b/>
            <w:noProof/>
            <w:webHidden/>
          </w:rPr>
          <w:t>2</w:t>
        </w:r>
        <w:r w:rsidR="00800B4D" w:rsidRPr="00C72E6B">
          <w:rPr>
            <w:b/>
            <w:noProof/>
            <w:webHidden/>
          </w:rPr>
          <w:fldChar w:fldCharType="end"/>
        </w:r>
      </w:hyperlink>
    </w:p>
    <w:p w14:paraId="237719C0" w14:textId="20216DCB" w:rsidR="00800B4D" w:rsidRDefault="00831075" w:rsidP="003E513A">
      <w:pPr>
        <w:pStyle w:val="TM2"/>
        <w:rPr>
          <w:rFonts w:asciiTheme="minorHAnsi" w:hAnsiTheme="minorHAnsi" w:cstheme="minorBidi"/>
          <w:sz w:val="22"/>
        </w:rPr>
      </w:pPr>
      <w:hyperlink w:anchor="_Toc38028647" w:history="1">
        <w:r w:rsidR="00800B4D" w:rsidRPr="00AD200B">
          <w:rPr>
            <w:rStyle w:val="Lienhypertexte"/>
          </w:rPr>
          <w:t>9.1.</w:t>
        </w:r>
        <w:r w:rsidR="00800B4D">
          <w:rPr>
            <w:rFonts w:asciiTheme="minorHAnsi" w:hAnsiTheme="minorHAnsi" w:cstheme="minorBidi"/>
            <w:sz w:val="22"/>
          </w:rPr>
          <w:tab/>
        </w:r>
        <w:r w:rsidR="00800B4D" w:rsidRPr="00AD200B">
          <w:rPr>
            <w:rStyle w:val="Lienhypertexte"/>
          </w:rPr>
          <w:t xml:space="preserve">Electronic </w:t>
        </w:r>
        <w:r w:rsidR="00800B4D" w:rsidRPr="00AD200B">
          <w:rPr>
            <w:rStyle w:val="Lienhypertexte"/>
            <w:i/>
            <w:iCs/>
          </w:rPr>
          <w:t xml:space="preserve">ad hoc </w:t>
        </w:r>
        <w:r w:rsidR="00800B4D" w:rsidRPr="00AD200B">
          <w:rPr>
            <w:rStyle w:val="Lienhypertexte"/>
          </w:rPr>
          <w:t>Group on Tilapia lake virus</w:t>
        </w:r>
        <w:r w:rsidR="00800B4D">
          <w:rPr>
            <w:webHidden/>
          </w:rPr>
          <w:tab/>
        </w:r>
        <w:r w:rsidR="00800B4D">
          <w:rPr>
            <w:webHidden/>
          </w:rPr>
          <w:fldChar w:fldCharType="begin"/>
        </w:r>
        <w:r w:rsidR="00800B4D">
          <w:rPr>
            <w:webHidden/>
          </w:rPr>
          <w:instrText xml:space="preserve"> PAGEREF _Toc38028647 \h </w:instrText>
        </w:r>
        <w:r w:rsidR="00800B4D">
          <w:rPr>
            <w:webHidden/>
          </w:rPr>
        </w:r>
        <w:r w:rsidR="00800B4D">
          <w:rPr>
            <w:webHidden/>
          </w:rPr>
          <w:fldChar w:fldCharType="separate"/>
        </w:r>
        <w:r w:rsidR="00800B4D">
          <w:rPr>
            <w:webHidden/>
          </w:rPr>
          <w:t>2</w:t>
        </w:r>
        <w:r w:rsidR="00C72E6B">
          <w:rPr>
            <w:webHidden/>
          </w:rPr>
          <w:t>2</w:t>
        </w:r>
        <w:r w:rsidR="00800B4D">
          <w:rPr>
            <w:webHidden/>
          </w:rPr>
          <w:fldChar w:fldCharType="end"/>
        </w:r>
      </w:hyperlink>
    </w:p>
    <w:p w14:paraId="2B2399EB" w14:textId="285F7145" w:rsidR="00800B4D" w:rsidRDefault="00831075" w:rsidP="00A135FE">
      <w:pPr>
        <w:pStyle w:val="TM2"/>
        <w:rPr>
          <w:rFonts w:asciiTheme="minorHAnsi" w:hAnsiTheme="minorHAnsi" w:cstheme="minorBidi"/>
          <w:sz w:val="22"/>
        </w:rPr>
      </w:pPr>
      <w:hyperlink w:anchor="_Toc38028648" w:history="1">
        <w:r w:rsidR="00800B4D" w:rsidRPr="00AD200B">
          <w:rPr>
            <w:rStyle w:val="Lienhypertexte"/>
          </w:rPr>
          <w:t>9.2.</w:t>
        </w:r>
        <w:r w:rsidR="00800B4D">
          <w:rPr>
            <w:rFonts w:asciiTheme="minorHAnsi" w:hAnsiTheme="minorHAnsi" w:cstheme="minorBidi"/>
            <w:sz w:val="22"/>
          </w:rPr>
          <w:tab/>
        </w:r>
        <w:r w:rsidR="00800B4D" w:rsidRPr="00AD200B">
          <w:rPr>
            <w:rStyle w:val="Lienhypertexte"/>
            <w:i/>
            <w:iCs/>
          </w:rPr>
          <w:t>Ad hoc</w:t>
        </w:r>
        <w:r w:rsidR="00800B4D" w:rsidRPr="00AD200B">
          <w:rPr>
            <w:rStyle w:val="Lienhypertexte"/>
          </w:rPr>
          <w:t xml:space="preserve"> Group on Susceptibility of mollusc species to infection with OIE listed diseases</w:t>
        </w:r>
        <w:r w:rsidR="00800B4D">
          <w:rPr>
            <w:webHidden/>
          </w:rPr>
          <w:tab/>
        </w:r>
        <w:r w:rsidR="00800B4D">
          <w:rPr>
            <w:webHidden/>
          </w:rPr>
          <w:fldChar w:fldCharType="begin"/>
        </w:r>
        <w:r w:rsidR="00800B4D">
          <w:rPr>
            <w:webHidden/>
          </w:rPr>
          <w:instrText xml:space="preserve"> PAGEREF _Toc38028648 \h </w:instrText>
        </w:r>
        <w:r w:rsidR="00800B4D">
          <w:rPr>
            <w:webHidden/>
          </w:rPr>
        </w:r>
        <w:r w:rsidR="00800B4D">
          <w:rPr>
            <w:webHidden/>
          </w:rPr>
          <w:fldChar w:fldCharType="separate"/>
        </w:r>
        <w:r w:rsidR="00800B4D">
          <w:rPr>
            <w:webHidden/>
          </w:rPr>
          <w:t>2</w:t>
        </w:r>
        <w:r w:rsidR="00C72E6B">
          <w:rPr>
            <w:webHidden/>
          </w:rPr>
          <w:t>2</w:t>
        </w:r>
        <w:r w:rsidR="00800B4D">
          <w:rPr>
            <w:webHidden/>
          </w:rPr>
          <w:fldChar w:fldCharType="end"/>
        </w:r>
      </w:hyperlink>
    </w:p>
    <w:p w14:paraId="0FD48492" w14:textId="75181BDF" w:rsidR="00800B4D" w:rsidRDefault="00831075" w:rsidP="00A135FE">
      <w:pPr>
        <w:pStyle w:val="TM1"/>
        <w:rPr>
          <w:rFonts w:asciiTheme="minorHAnsi" w:hAnsiTheme="minorHAnsi" w:cstheme="minorBidi"/>
          <w:noProof/>
          <w:sz w:val="22"/>
        </w:rPr>
      </w:pPr>
      <w:hyperlink w:anchor="_Toc38028649" w:history="1">
        <w:r w:rsidR="00800B4D" w:rsidRPr="00AD200B">
          <w:rPr>
            <w:rStyle w:val="Lienhypertexte"/>
            <w:b/>
            <w:bCs/>
            <w:noProof/>
          </w:rPr>
          <w:t>10.</w:t>
        </w:r>
        <w:r w:rsidR="00800B4D">
          <w:rPr>
            <w:rFonts w:asciiTheme="minorHAnsi" w:hAnsiTheme="minorHAnsi" w:cstheme="minorBidi"/>
            <w:noProof/>
            <w:sz w:val="22"/>
          </w:rPr>
          <w:tab/>
        </w:r>
        <w:r w:rsidR="00800B4D" w:rsidRPr="00AD200B">
          <w:rPr>
            <w:rStyle w:val="Lienhypertexte"/>
            <w:b/>
            <w:bCs/>
            <w:noProof/>
          </w:rPr>
          <w:t>OIE</w:t>
        </w:r>
        <w:r w:rsidR="00800B4D" w:rsidRPr="00AD200B">
          <w:rPr>
            <w:rStyle w:val="Lienhypertexte"/>
            <w:b/>
            <w:bCs/>
            <w:i/>
            <w:iCs/>
            <w:noProof/>
          </w:rPr>
          <w:t xml:space="preserve"> </w:t>
        </w:r>
        <w:r w:rsidR="00800B4D" w:rsidRPr="00AD200B">
          <w:rPr>
            <w:rStyle w:val="Lienhypertexte"/>
            <w:b/>
            <w:bCs/>
            <w:iCs/>
            <w:noProof/>
          </w:rPr>
          <w:t>REFERENCE CENTRES OR CHANGE OF EXPERT</w:t>
        </w:r>
        <w:r w:rsidR="00800B4D">
          <w:rPr>
            <w:noProof/>
            <w:webHidden/>
          </w:rPr>
          <w:tab/>
        </w:r>
        <w:r w:rsidR="00800B4D" w:rsidRPr="00D31BA5">
          <w:rPr>
            <w:b/>
            <w:noProof/>
            <w:webHidden/>
          </w:rPr>
          <w:fldChar w:fldCharType="begin"/>
        </w:r>
        <w:r w:rsidR="00800B4D" w:rsidRPr="00D31BA5">
          <w:rPr>
            <w:b/>
            <w:noProof/>
            <w:webHidden/>
          </w:rPr>
          <w:instrText xml:space="preserve"> PAGEREF _Toc38028649 \h </w:instrText>
        </w:r>
        <w:r w:rsidR="00800B4D" w:rsidRPr="00D31BA5">
          <w:rPr>
            <w:b/>
            <w:noProof/>
            <w:webHidden/>
          </w:rPr>
        </w:r>
        <w:r w:rsidR="00800B4D" w:rsidRPr="00D31BA5">
          <w:rPr>
            <w:b/>
            <w:noProof/>
            <w:webHidden/>
          </w:rPr>
          <w:fldChar w:fldCharType="separate"/>
        </w:r>
        <w:r w:rsidR="00800B4D" w:rsidRPr="00D31BA5">
          <w:rPr>
            <w:b/>
            <w:noProof/>
            <w:webHidden/>
          </w:rPr>
          <w:t>2</w:t>
        </w:r>
        <w:r w:rsidR="00C72E6B">
          <w:rPr>
            <w:b/>
            <w:noProof/>
            <w:webHidden/>
          </w:rPr>
          <w:t>3</w:t>
        </w:r>
        <w:r w:rsidR="00800B4D" w:rsidRPr="00D31BA5">
          <w:rPr>
            <w:b/>
            <w:noProof/>
            <w:webHidden/>
          </w:rPr>
          <w:fldChar w:fldCharType="end"/>
        </w:r>
      </w:hyperlink>
    </w:p>
    <w:p w14:paraId="66EE915B" w14:textId="427DC179" w:rsidR="00800B4D" w:rsidRDefault="00831075" w:rsidP="00A135FE">
      <w:pPr>
        <w:pStyle w:val="TM2"/>
        <w:rPr>
          <w:rFonts w:asciiTheme="minorHAnsi" w:hAnsiTheme="minorHAnsi" w:cstheme="minorBidi"/>
          <w:sz w:val="22"/>
        </w:rPr>
      </w:pPr>
      <w:hyperlink w:anchor="_Toc38028650" w:history="1">
        <w:r w:rsidR="00800B4D" w:rsidRPr="00AD200B">
          <w:rPr>
            <w:rStyle w:val="Lienhypertexte"/>
            <w:lang w:val="en-IE"/>
          </w:rPr>
          <w:t>10.1.</w:t>
        </w:r>
        <w:r w:rsidR="00800B4D">
          <w:rPr>
            <w:rFonts w:asciiTheme="minorHAnsi" w:hAnsiTheme="minorHAnsi" w:cstheme="minorBidi"/>
            <w:sz w:val="22"/>
          </w:rPr>
          <w:tab/>
        </w:r>
        <w:r w:rsidR="00800B4D" w:rsidRPr="00AD200B">
          <w:rPr>
            <w:rStyle w:val="Lienhypertexte"/>
            <w:lang w:val="en-IE"/>
          </w:rPr>
          <w:t>Evaluation of a</w:t>
        </w:r>
        <w:r w:rsidR="00800B4D" w:rsidRPr="00AD200B">
          <w:rPr>
            <w:rStyle w:val="Lienhypertexte"/>
            <w:rFonts w:eastAsia="MS Mincho"/>
            <w:lang w:val="en-IE" w:eastAsia="ja-JP"/>
          </w:rPr>
          <w:t>pplications for OIE Reference Centres for Aquatic Animal Health issues</w:t>
        </w:r>
        <w:r w:rsidR="003E513A">
          <w:rPr>
            <w:rStyle w:val="Lienhypertexte"/>
            <w:rFonts w:eastAsia="MS Mincho"/>
            <w:lang w:val="en-IE" w:eastAsia="ja-JP"/>
          </w:rPr>
          <w:br/>
        </w:r>
        <w:r w:rsidR="00800B4D" w:rsidRPr="00AD200B">
          <w:rPr>
            <w:rStyle w:val="Lienhypertexte"/>
            <w:rFonts w:eastAsia="MS Mincho"/>
            <w:lang w:val="en-IE" w:eastAsia="ja-JP"/>
          </w:rPr>
          <w:t xml:space="preserve"> or change of experts</w:t>
        </w:r>
        <w:r w:rsidR="00800B4D">
          <w:rPr>
            <w:webHidden/>
          </w:rPr>
          <w:tab/>
        </w:r>
        <w:r w:rsidR="00800B4D">
          <w:rPr>
            <w:webHidden/>
          </w:rPr>
          <w:fldChar w:fldCharType="begin"/>
        </w:r>
        <w:r w:rsidR="00800B4D">
          <w:rPr>
            <w:webHidden/>
          </w:rPr>
          <w:instrText xml:space="preserve"> PAGEREF _Toc38028650 \h </w:instrText>
        </w:r>
        <w:r w:rsidR="00800B4D">
          <w:rPr>
            <w:webHidden/>
          </w:rPr>
        </w:r>
        <w:r w:rsidR="00800B4D">
          <w:rPr>
            <w:webHidden/>
          </w:rPr>
          <w:fldChar w:fldCharType="separate"/>
        </w:r>
        <w:r w:rsidR="00800B4D">
          <w:rPr>
            <w:webHidden/>
          </w:rPr>
          <w:t>2</w:t>
        </w:r>
        <w:r w:rsidR="00C72E6B">
          <w:rPr>
            <w:webHidden/>
          </w:rPr>
          <w:t>3</w:t>
        </w:r>
        <w:r w:rsidR="00800B4D">
          <w:rPr>
            <w:webHidden/>
          </w:rPr>
          <w:fldChar w:fldCharType="end"/>
        </w:r>
      </w:hyperlink>
    </w:p>
    <w:p w14:paraId="694B325D" w14:textId="704991F8" w:rsidR="00800B4D" w:rsidRDefault="00831075" w:rsidP="00A135FE">
      <w:pPr>
        <w:pStyle w:val="TM2"/>
        <w:rPr>
          <w:rFonts w:asciiTheme="minorHAnsi" w:hAnsiTheme="minorHAnsi" w:cstheme="minorBidi"/>
          <w:sz w:val="22"/>
        </w:rPr>
      </w:pPr>
      <w:hyperlink w:anchor="_Toc38028651" w:history="1">
        <w:r w:rsidR="00800B4D" w:rsidRPr="00AD200B">
          <w:rPr>
            <w:rStyle w:val="Lienhypertexte"/>
            <w:rFonts w:eastAsia="MS Mincho"/>
            <w:lang w:eastAsia="ja-JP"/>
          </w:rPr>
          <w:t>10.2.</w:t>
        </w:r>
        <w:r w:rsidR="00800B4D">
          <w:rPr>
            <w:rFonts w:asciiTheme="minorHAnsi" w:hAnsiTheme="minorHAnsi" w:cstheme="minorBidi"/>
            <w:sz w:val="22"/>
          </w:rPr>
          <w:tab/>
        </w:r>
        <w:r w:rsidR="00800B4D" w:rsidRPr="00AD200B">
          <w:rPr>
            <w:rStyle w:val="Lienhypertexte"/>
            <w:rFonts w:eastAsia="MS Mincho"/>
            <w:lang w:eastAsia="ja-JP"/>
          </w:rPr>
          <w:t>Evaluation of annual reports from the OIE Reference Laboratories</w:t>
        </w:r>
        <w:r w:rsidR="00800B4D">
          <w:rPr>
            <w:webHidden/>
          </w:rPr>
          <w:tab/>
        </w:r>
        <w:r w:rsidR="00800B4D">
          <w:rPr>
            <w:webHidden/>
          </w:rPr>
          <w:fldChar w:fldCharType="begin"/>
        </w:r>
        <w:r w:rsidR="00800B4D">
          <w:rPr>
            <w:webHidden/>
          </w:rPr>
          <w:instrText xml:space="preserve"> PAGEREF _Toc38028651 \h </w:instrText>
        </w:r>
        <w:r w:rsidR="00800B4D">
          <w:rPr>
            <w:webHidden/>
          </w:rPr>
        </w:r>
        <w:r w:rsidR="00800B4D">
          <w:rPr>
            <w:webHidden/>
          </w:rPr>
          <w:fldChar w:fldCharType="separate"/>
        </w:r>
        <w:r w:rsidR="00800B4D">
          <w:rPr>
            <w:webHidden/>
          </w:rPr>
          <w:t>2</w:t>
        </w:r>
        <w:r w:rsidR="00C72E6B">
          <w:rPr>
            <w:webHidden/>
          </w:rPr>
          <w:t>3</w:t>
        </w:r>
        <w:r w:rsidR="00800B4D">
          <w:rPr>
            <w:webHidden/>
          </w:rPr>
          <w:fldChar w:fldCharType="end"/>
        </w:r>
      </w:hyperlink>
    </w:p>
    <w:p w14:paraId="04D7FF9E" w14:textId="26514DA6" w:rsidR="00800B4D" w:rsidRDefault="00831075" w:rsidP="00A135FE">
      <w:pPr>
        <w:pStyle w:val="TM2"/>
        <w:rPr>
          <w:rFonts w:asciiTheme="minorHAnsi" w:hAnsiTheme="minorHAnsi" w:cstheme="minorBidi"/>
          <w:sz w:val="22"/>
        </w:rPr>
      </w:pPr>
      <w:hyperlink w:anchor="_Toc38028652" w:history="1">
        <w:r w:rsidR="00800B4D" w:rsidRPr="00AD200B">
          <w:rPr>
            <w:rStyle w:val="Lienhypertexte"/>
            <w:rFonts w:eastAsia="MS Mincho"/>
            <w:lang w:eastAsia="ja-JP"/>
          </w:rPr>
          <w:t>10.3.</w:t>
        </w:r>
        <w:r w:rsidR="00800B4D">
          <w:rPr>
            <w:rFonts w:asciiTheme="minorHAnsi" w:hAnsiTheme="minorHAnsi" w:cstheme="minorBidi"/>
            <w:sz w:val="22"/>
          </w:rPr>
          <w:tab/>
        </w:r>
        <w:r w:rsidR="00800B4D" w:rsidRPr="00AD200B">
          <w:rPr>
            <w:rStyle w:val="Lienhypertexte"/>
            <w:rFonts w:eastAsia="MS Mincho"/>
            <w:lang w:eastAsia="ja-JP"/>
          </w:rPr>
          <w:t xml:space="preserve">Evaluation of the 5-year work plans from the OIE Collaborating Centres for disease </w:t>
        </w:r>
        <w:r w:rsidR="003E513A">
          <w:rPr>
            <w:rStyle w:val="Lienhypertexte"/>
            <w:rFonts w:eastAsia="MS Mincho"/>
            <w:lang w:eastAsia="ja-JP"/>
          </w:rPr>
          <w:br/>
        </w:r>
        <w:r w:rsidR="00800B4D" w:rsidRPr="00AD200B">
          <w:rPr>
            <w:rStyle w:val="Lienhypertexte"/>
            <w:rFonts w:eastAsia="MS Mincho"/>
            <w:lang w:eastAsia="ja-JP"/>
          </w:rPr>
          <w:t>of Aquatic Animals</w:t>
        </w:r>
        <w:r w:rsidR="00800B4D">
          <w:rPr>
            <w:webHidden/>
          </w:rPr>
          <w:tab/>
        </w:r>
        <w:r w:rsidR="00800B4D">
          <w:rPr>
            <w:webHidden/>
          </w:rPr>
          <w:fldChar w:fldCharType="begin"/>
        </w:r>
        <w:r w:rsidR="00800B4D">
          <w:rPr>
            <w:webHidden/>
          </w:rPr>
          <w:instrText xml:space="preserve"> PAGEREF _Toc38028652 \h </w:instrText>
        </w:r>
        <w:r w:rsidR="00800B4D">
          <w:rPr>
            <w:webHidden/>
          </w:rPr>
        </w:r>
        <w:r w:rsidR="00800B4D">
          <w:rPr>
            <w:webHidden/>
          </w:rPr>
          <w:fldChar w:fldCharType="separate"/>
        </w:r>
        <w:r w:rsidR="00800B4D">
          <w:rPr>
            <w:webHidden/>
          </w:rPr>
          <w:t>2</w:t>
        </w:r>
        <w:r w:rsidR="00C72E6B">
          <w:rPr>
            <w:webHidden/>
          </w:rPr>
          <w:t>4</w:t>
        </w:r>
        <w:r w:rsidR="00800B4D">
          <w:rPr>
            <w:webHidden/>
          </w:rPr>
          <w:fldChar w:fldCharType="end"/>
        </w:r>
      </w:hyperlink>
    </w:p>
    <w:p w14:paraId="6D75FE1A" w14:textId="1FAB7A21" w:rsidR="00800B4D" w:rsidRDefault="00831075" w:rsidP="00A135FE">
      <w:pPr>
        <w:pStyle w:val="TM1"/>
        <w:rPr>
          <w:rFonts w:asciiTheme="minorHAnsi" w:hAnsiTheme="minorHAnsi" w:cstheme="minorBidi"/>
          <w:noProof/>
          <w:sz w:val="22"/>
        </w:rPr>
      </w:pPr>
      <w:hyperlink w:anchor="_Toc38028653" w:history="1">
        <w:r w:rsidR="00800B4D" w:rsidRPr="00AD200B">
          <w:rPr>
            <w:rStyle w:val="Lienhypertexte"/>
            <w:b/>
            <w:bCs/>
            <w:noProof/>
          </w:rPr>
          <w:t>11.</w:t>
        </w:r>
        <w:r w:rsidR="00AC7D35">
          <w:rPr>
            <w:rStyle w:val="Lienhypertexte"/>
            <w:b/>
            <w:bCs/>
            <w:noProof/>
          </w:rPr>
          <w:tab/>
        </w:r>
        <w:r w:rsidR="00800B4D" w:rsidRPr="00AD200B">
          <w:rPr>
            <w:rStyle w:val="Lienhypertexte"/>
            <w:b/>
            <w:bCs/>
            <w:noProof/>
          </w:rPr>
          <w:t>OTHER ISSUES</w:t>
        </w:r>
        <w:r w:rsidR="00800B4D">
          <w:rPr>
            <w:noProof/>
            <w:webHidden/>
          </w:rPr>
          <w:tab/>
        </w:r>
        <w:r w:rsidR="00800B4D" w:rsidRPr="00D31BA5">
          <w:rPr>
            <w:b/>
            <w:noProof/>
            <w:webHidden/>
          </w:rPr>
          <w:fldChar w:fldCharType="begin"/>
        </w:r>
        <w:r w:rsidR="00800B4D" w:rsidRPr="00D31BA5">
          <w:rPr>
            <w:b/>
            <w:noProof/>
            <w:webHidden/>
          </w:rPr>
          <w:instrText xml:space="preserve"> PAGEREF _Toc38028653 \h </w:instrText>
        </w:r>
        <w:r w:rsidR="00800B4D" w:rsidRPr="00D31BA5">
          <w:rPr>
            <w:b/>
            <w:noProof/>
            <w:webHidden/>
          </w:rPr>
        </w:r>
        <w:r w:rsidR="00800B4D" w:rsidRPr="00D31BA5">
          <w:rPr>
            <w:b/>
            <w:noProof/>
            <w:webHidden/>
          </w:rPr>
          <w:fldChar w:fldCharType="separate"/>
        </w:r>
        <w:r w:rsidR="00800B4D" w:rsidRPr="00D31BA5">
          <w:rPr>
            <w:b/>
            <w:noProof/>
            <w:webHidden/>
          </w:rPr>
          <w:t>2</w:t>
        </w:r>
        <w:r w:rsidR="00C72E6B">
          <w:rPr>
            <w:b/>
            <w:noProof/>
            <w:webHidden/>
          </w:rPr>
          <w:t>4</w:t>
        </w:r>
        <w:r w:rsidR="00800B4D" w:rsidRPr="00D31BA5">
          <w:rPr>
            <w:b/>
            <w:noProof/>
            <w:webHidden/>
          </w:rPr>
          <w:fldChar w:fldCharType="end"/>
        </w:r>
      </w:hyperlink>
    </w:p>
    <w:p w14:paraId="4B0C6CEA" w14:textId="15B42B22" w:rsidR="00AC7D35" w:rsidRDefault="00831075" w:rsidP="00AC7D35">
      <w:pPr>
        <w:pStyle w:val="TM1"/>
        <w:rPr>
          <w:rFonts w:asciiTheme="minorHAnsi" w:hAnsiTheme="minorHAnsi" w:cstheme="minorBidi"/>
          <w:noProof/>
          <w:sz w:val="22"/>
        </w:rPr>
      </w:pPr>
      <w:hyperlink w:anchor="_Toc38028653" w:history="1">
        <w:r w:rsidR="00AC7D35" w:rsidRPr="00AD200B">
          <w:rPr>
            <w:rStyle w:val="Lienhypertexte"/>
            <w:b/>
            <w:bCs/>
            <w:noProof/>
          </w:rPr>
          <w:t>1</w:t>
        </w:r>
        <w:r w:rsidR="00AC7D35">
          <w:rPr>
            <w:rStyle w:val="Lienhypertexte"/>
            <w:b/>
            <w:bCs/>
            <w:noProof/>
          </w:rPr>
          <w:t>2</w:t>
        </w:r>
        <w:r w:rsidR="00AC7D35" w:rsidRPr="00AD200B">
          <w:rPr>
            <w:rStyle w:val="Lienhypertexte"/>
            <w:b/>
            <w:bCs/>
            <w:noProof/>
          </w:rPr>
          <w:t>.</w:t>
        </w:r>
        <w:r w:rsidR="00AC7D35">
          <w:rPr>
            <w:rStyle w:val="Lienhypertexte"/>
            <w:b/>
            <w:bCs/>
            <w:noProof/>
          </w:rPr>
          <w:tab/>
          <w:t xml:space="preserve">DATE OF </w:t>
        </w:r>
        <w:r w:rsidR="00ED34DD">
          <w:rPr>
            <w:rStyle w:val="Lienhypertexte"/>
            <w:b/>
            <w:bCs/>
            <w:noProof/>
          </w:rPr>
          <w:t>NEXT</w:t>
        </w:r>
        <w:r w:rsidR="00AC7D35">
          <w:rPr>
            <w:rStyle w:val="Lienhypertexte"/>
            <w:b/>
            <w:bCs/>
            <w:noProof/>
          </w:rPr>
          <w:t xml:space="preserve"> MEETING</w:t>
        </w:r>
        <w:r w:rsidR="00AC7D35">
          <w:rPr>
            <w:noProof/>
            <w:webHidden/>
          </w:rPr>
          <w:tab/>
        </w:r>
        <w:r w:rsidR="00AC7D35" w:rsidRPr="00D31BA5">
          <w:rPr>
            <w:b/>
            <w:noProof/>
            <w:webHidden/>
          </w:rPr>
          <w:fldChar w:fldCharType="begin"/>
        </w:r>
        <w:r w:rsidR="00AC7D35" w:rsidRPr="00D31BA5">
          <w:rPr>
            <w:b/>
            <w:noProof/>
            <w:webHidden/>
          </w:rPr>
          <w:instrText xml:space="preserve"> PAGEREF _Toc38028653 \h </w:instrText>
        </w:r>
        <w:r w:rsidR="00AC7D35" w:rsidRPr="00D31BA5">
          <w:rPr>
            <w:b/>
            <w:noProof/>
            <w:webHidden/>
          </w:rPr>
        </w:r>
        <w:r w:rsidR="00AC7D35" w:rsidRPr="00D31BA5">
          <w:rPr>
            <w:b/>
            <w:noProof/>
            <w:webHidden/>
          </w:rPr>
          <w:fldChar w:fldCharType="separate"/>
        </w:r>
        <w:r w:rsidR="00AC7D35" w:rsidRPr="00D31BA5">
          <w:rPr>
            <w:b/>
            <w:noProof/>
            <w:webHidden/>
          </w:rPr>
          <w:t>2</w:t>
        </w:r>
        <w:r w:rsidR="00AC7D35">
          <w:rPr>
            <w:b/>
            <w:noProof/>
            <w:webHidden/>
          </w:rPr>
          <w:t>4</w:t>
        </w:r>
        <w:r w:rsidR="00AC7D35" w:rsidRPr="00D31BA5">
          <w:rPr>
            <w:b/>
            <w:noProof/>
            <w:webHidden/>
          </w:rPr>
          <w:fldChar w:fldCharType="end"/>
        </w:r>
      </w:hyperlink>
    </w:p>
    <w:p w14:paraId="3998DD07" w14:textId="39F32D43" w:rsidR="00800B4D" w:rsidRDefault="00800B4D" w:rsidP="00D31BA5">
      <w:pPr>
        <w:pStyle w:val="TM3"/>
      </w:pPr>
    </w:p>
    <w:p w14:paraId="163F23EC" w14:textId="56A021F4" w:rsidR="00596091" w:rsidRPr="00F42518" w:rsidRDefault="00EF4C26" w:rsidP="003E513A">
      <w:pPr>
        <w:pStyle w:val="Titre1"/>
        <w:spacing w:before="0" w:after="240" w:line="240" w:lineRule="auto"/>
        <w:ind w:left="426" w:hanging="426"/>
        <w:jc w:val="both"/>
        <w:rPr>
          <w:rFonts w:ascii="Times New Roman" w:hAnsi="Times New Roman" w:cs="Times New Roman"/>
          <w:b/>
          <w:bCs/>
          <w:color w:val="auto"/>
          <w:sz w:val="20"/>
          <w:szCs w:val="20"/>
        </w:rPr>
      </w:pPr>
      <w:r w:rsidRPr="00F47555">
        <w:rPr>
          <w:rFonts w:cs="Times New Roman"/>
          <w:b/>
          <w:bCs/>
          <w:szCs w:val="20"/>
        </w:rPr>
        <w:fldChar w:fldCharType="end"/>
      </w:r>
      <w:bookmarkStart w:id="3" w:name="_Toc38028612"/>
      <w:bookmarkEnd w:id="1"/>
      <w:r w:rsidR="00374CBA" w:rsidRPr="00F42518">
        <w:rPr>
          <w:rFonts w:ascii="Times New Roman" w:hAnsi="Times New Roman" w:cs="Times New Roman"/>
          <w:b/>
          <w:bCs/>
          <w:color w:val="auto"/>
          <w:sz w:val="20"/>
          <w:szCs w:val="20"/>
        </w:rPr>
        <w:t>1.</w:t>
      </w:r>
      <w:r w:rsidR="00374CBA" w:rsidRPr="00F42518">
        <w:rPr>
          <w:rFonts w:ascii="Times New Roman" w:hAnsi="Times New Roman" w:cs="Times New Roman"/>
          <w:b/>
          <w:bCs/>
          <w:color w:val="auto"/>
          <w:sz w:val="20"/>
          <w:szCs w:val="20"/>
        </w:rPr>
        <w:tab/>
      </w:r>
      <w:r w:rsidR="00596091" w:rsidRPr="00F42518">
        <w:rPr>
          <w:rFonts w:ascii="Times New Roman" w:hAnsi="Times New Roman" w:cs="Times New Roman"/>
          <w:b/>
          <w:bCs/>
          <w:color w:val="auto"/>
          <w:sz w:val="20"/>
          <w:szCs w:val="20"/>
        </w:rPr>
        <w:t>WELCOME FROM THE DEPUTY DIRECTOR GENERAL</w:t>
      </w:r>
      <w:bookmarkEnd w:id="3"/>
    </w:p>
    <w:p w14:paraId="0F51C6B7" w14:textId="5A68CBC6" w:rsidR="00596091" w:rsidRPr="0043431B" w:rsidRDefault="00F47555" w:rsidP="0082506C">
      <w:pPr>
        <w:spacing w:after="240" w:line="240" w:lineRule="auto"/>
        <w:ind w:left="426"/>
        <w:jc w:val="both"/>
        <w:rPr>
          <w:rFonts w:cs="Times New Roman"/>
          <w:szCs w:val="20"/>
        </w:rPr>
      </w:pPr>
      <w:r w:rsidRPr="0043431B">
        <w:rPr>
          <w:rFonts w:cs="Times New Roman"/>
          <w:szCs w:val="20"/>
        </w:rPr>
        <w:t xml:space="preserve">Dr Matthew Stone, </w:t>
      </w:r>
      <w:r w:rsidR="00596091" w:rsidRPr="0043431B">
        <w:rPr>
          <w:rFonts w:cs="Times New Roman"/>
          <w:szCs w:val="20"/>
        </w:rPr>
        <w:t>Deputy Director General (International Standards and Science)</w:t>
      </w:r>
      <w:r w:rsidRPr="0043431B">
        <w:rPr>
          <w:rFonts w:cs="Times New Roman"/>
          <w:szCs w:val="20"/>
        </w:rPr>
        <w:t>,</w:t>
      </w:r>
      <w:r w:rsidR="00596091" w:rsidRPr="0043431B">
        <w:rPr>
          <w:rFonts w:cs="Times New Roman"/>
          <w:szCs w:val="20"/>
        </w:rPr>
        <w:t xml:space="preserve"> welcomed the Specialist Commission and thanked</w:t>
      </w:r>
      <w:r w:rsidR="004822D7">
        <w:rPr>
          <w:rFonts w:cs="Times New Roman"/>
          <w:szCs w:val="20"/>
        </w:rPr>
        <w:t xml:space="preserve"> both</w:t>
      </w:r>
      <w:r w:rsidR="00596091" w:rsidRPr="0043431B">
        <w:rPr>
          <w:rFonts w:cs="Times New Roman"/>
          <w:szCs w:val="20"/>
        </w:rPr>
        <w:t xml:space="preserve"> the members for taking time from their busy schedules to support the work of the OIE, </w:t>
      </w:r>
      <w:r w:rsidR="004822D7">
        <w:rPr>
          <w:rFonts w:cs="Times New Roman"/>
          <w:szCs w:val="20"/>
        </w:rPr>
        <w:t>and</w:t>
      </w:r>
      <w:r w:rsidR="00596091" w:rsidRPr="0043431B">
        <w:rPr>
          <w:rFonts w:cs="Times New Roman"/>
          <w:szCs w:val="20"/>
        </w:rPr>
        <w:t xml:space="preserve"> their employers and national governments. </w:t>
      </w:r>
    </w:p>
    <w:p w14:paraId="4F4113E0" w14:textId="007620FB" w:rsidR="00596091" w:rsidRPr="0043431B" w:rsidRDefault="00F47555" w:rsidP="0082506C">
      <w:pPr>
        <w:spacing w:after="240" w:line="240" w:lineRule="auto"/>
        <w:ind w:left="426"/>
        <w:jc w:val="both"/>
        <w:rPr>
          <w:rFonts w:cs="Times New Roman"/>
          <w:szCs w:val="20"/>
        </w:rPr>
      </w:pPr>
      <w:r w:rsidRPr="0043431B">
        <w:rPr>
          <w:rFonts w:cs="Times New Roman"/>
          <w:szCs w:val="20"/>
        </w:rPr>
        <w:t xml:space="preserve">Dr Stone </w:t>
      </w:r>
      <w:r w:rsidR="00596091" w:rsidRPr="0043431B">
        <w:rPr>
          <w:rFonts w:cs="Times New Roman"/>
          <w:szCs w:val="20"/>
        </w:rPr>
        <w:t>provided a briefing on the OIE involvement in the COV</w:t>
      </w:r>
      <w:r w:rsidR="00B657D1">
        <w:rPr>
          <w:rFonts w:cs="Times New Roman"/>
          <w:szCs w:val="20"/>
        </w:rPr>
        <w:t>ID-</w:t>
      </w:r>
      <w:r w:rsidR="00596091" w:rsidRPr="0043431B">
        <w:rPr>
          <w:rFonts w:cs="Times New Roman"/>
          <w:szCs w:val="20"/>
        </w:rPr>
        <w:t xml:space="preserve">19 international response led by </w:t>
      </w:r>
      <w:r w:rsidR="0009032B" w:rsidRPr="0043431B">
        <w:rPr>
          <w:rFonts w:cs="Times New Roman"/>
          <w:szCs w:val="20"/>
        </w:rPr>
        <w:t xml:space="preserve">the World Health </w:t>
      </w:r>
      <w:r w:rsidR="003B26C3">
        <w:rPr>
          <w:rFonts w:cs="Times New Roman"/>
          <w:szCs w:val="20"/>
        </w:rPr>
        <w:t>O</w:t>
      </w:r>
      <w:r w:rsidR="0009032B" w:rsidRPr="0043431B">
        <w:rPr>
          <w:rFonts w:cs="Times New Roman"/>
          <w:szCs w:val="20"/>
        </w:rPr>
        <w:t>rganization</w:t>
      </w:r>
      <w:r w:rsidR="00596091" w:rsidRPr="0043431B">
        <w:rPr>
          <w:rFonts w:cs="Times New Roman"/>
          <w:szCs w:val="20"/>
        </w:rPr>
        <w:t xml:space="preserve">. </w:t>
      </w:r>
    </w:p>
    <w:p w14:paraId="0EA45776" w14:textId="77777777" w:rsidR="00596091" w:rsidRPr="0043431B" w:rsidRDefault="00596091" w:rsidP="0082506C">
      <w:pPr>
        <w:spacing w:after="240" w:line="240" w:lineRule="auto"/>
        <w:ind w:left="426"/>
        <w:jc w:val="both"/>
        <w:rPr>
          <w:rFonts w:cs="Times New Roman"/>
          <w:szCs w:val="20"/>
        </w:rPr>
      </w:pPr>
      <w:r w:rsidRPr="0043431B">
        <w:rPr>
          <w:rFonts w:cs="Times New Roman"/>
          <w:szCs w:val="20"/>
        </w:rPr>
        <w:t>Dr Stone noted the draft 7th Strategic Plan had recently been circulated to Delegates, and he summarised the revisions to the OIE H</w:t>
      </w:r>
      <w:r w:rsidR="00F47555" w:rsidRPr="0043431B">
        <w:rPr>
          <w:rFonts w:cs="Times New Roman"/>
          <w:szCs w:val="20"/>
        </w:rPr>
        <w:t>eadquarters</w:t>
      </w:r>
      <w:r w:rsidRPr="0043431B">
        <w:rPr>
          <w:rFonts w:cs="Times New Roman"/>
          <w:szCs w:val="20"/>
        </w:rPr>
        <w:t xml:space="preserve"> organigram made in late 2019 as a result of the organisational assessment processes linked to the strategy development. Dr Stone briefed the </w:t>
      </w:r>
      <w:r w:rsidR="00F47555" w:rsidRPr="0043431B">
        <w:rPr>
          <w:rFonts w:cs="Times New Roman"/>
          <w:szCs w:val="20"/>
        </w:rPr>
        <w:t xml:space="preserve">Aquatic Animals Commission </w:t>
      </w:r>
      <w:r w:rsidRPr="0043431B">
        <w:rPr>
          <w:rFonts w:cs="Times New Roman"/>
          <w:szCs w:val="20"/>
        </w:rPr>
        <w:t xml:space="preserve">on initiatives in relation to Good Regulatory Practices, including expectations relating to regulatory stewardship, the completion of the design phase of the OIE Observatory, and the initiation of work on an on-line commenting system for standards development and review. He noted the intention to produce a clear articulation of the OIE Science System, building on work over recent years to more clearly describe process and performance management expectations of </w:t>
      </w:r>
      <w:r w:rsidR="0009032B" w:rsidRPr="0043431B">
        <w:rPr>
          <w:rFonts w:cs="Times New Roman"/>
          <w:szCs w:val="20"/>
        </w:rPr>
        <w:t xml:space="preserve">OIE </w:t>
      </w:r>
      <w:r w:rsidRPr="0043431B">
        <w:rPr>
          <w:rFonts w:cs="Times New Roman"/>
          <w:szCs w:val="20"/>
        </w:rPr>
        <w:t xml:space="preserve">Reference Centres, and committed to ongoing engagement with the Specialist Commissions during this work. </w:t>
      </w:r>
    </w:p>
    <w:p w14:paraId="51BC1099" w14:textId="77777777" w:rsidR="00596091" w:rsidRPr="0043431B" w:rsidRDefault="00596091" w:rsidP="0082506C">
      <w:pPr>
        <w:spacing w:after="240" w:line="240" w:lineRule="auto"/>
        <w:ind w:left="426"/>
        <w:jc w:val="both"/>
        <w:rPr>
          <w:rFonts w:cs="Times New Roman"/>
          <w:szCs w:val="20"/>
          <w:lang w:val="en-US"/>
        </w:rPr>
      </w:pPr>
      <w:r w:rsidRPr="0043431B">
        <w:rPr>
          <w:rFonts w:cs="Times New Roman"/>
          <w:szCs w:val="20"/>
        </w:rPr>
        <w:t xml:space="preserve">Finally, </w:t>
      </w:r>
      <w:r w:rsidR="00F47555" w:rsidRPr="0043431B">
        <w:rPr>
          <w:rFonts w:cs="Times New Roman"/>
          <w:szCs w:val="20"/>
        </w:rPr>
        <w:t xml:space="preserve">Dr Stone </w:t>
      </w:r>
      <w:r w:rsidRPr="0043431B">
        <w:rPr>
          <w:rFonts w:cs="Times New Roman"/>
          <w:szCs w:val="20"/>
        </w:rPr>
        <w:t>provided an update on the Specialist Performance Management System, focussing on the evaluation phase to be initiated in the second half of 2020 prior to the next elections for Specialist Commissions</w:t>
      </w:r>
      <w:r w:rsidRPr="0043431B">
        <w:rPr>
          <w:rFonts w:cs="Times New Roman"/>
          <w:szCs w:val="20"/>
          <w:lang w:val="en-US"/>
        </w:rPr>
        <w:t xml:space="preserve"> in 2021.</w:t>
      </w:r>
    </w:p>
    <w:p w14:paraId="36D5A968" w14:textId="77777777" w:rsidR="00596091" w:rsidRPr="0043431B" w:rsidRDefault="00374CBA" w:rsidP="0082506C">
      <w:pPr>
        <w:pStyle w:val="Titre1"/>
        <w:spacing w:before="0" w:after="240" w:line="240" w:lineRule="auto"/>
        <w:ind w:left="426" w:hanging="426"/>
        <w:jc w:val="both"/>
        <w:rPr>
          <w:rFonts w:ascii="Times New Roman" w:hAnsi="Times New Roman" w:cs="Times New Roman"/>
          <w:b/>
          <w:bCs/>
          <w:color w:val="auto"/>
          <w:sz w:val="20"/>
          <w:szCs w:val="20"/>
        </w:rPr>
      </w:pPr>
      <w:bookmarkStart w:id="4" w:name="_Toc38028613"/>
      <w:r w:rsidRPr="0043431B">
        <w:rPr>
          <w:rFonts w:ascii="Times New Roman" w:hAnsi="Times New Roman" w:cs="Times New Roman"/>
          <w:b/>
          <w:bCs/>
          <w:color w:val="auto"/>
          <w:sz w:val="20"/>
          <w:szCs w:val="20"/>
        </w:rPr>
        <w:t>2.</w:t>
      </w:r>
      <w:r w:rsidRPr="0043431B">
        <w:rPr>
          <w:rFonts w:ascii="Times New Roman" w:hAnsi="Times New Roman" w:cs="Times New Roman"/>
          <w:b/>
          <w:bCs/>
          <w:color w:val="auto"/>
          <w:sz w:val="20"/>
          <w:szCs w:val="20"/>
        </w:rPr>
        <w:tab/>
      </w:r>
      <w:r w:rsidR="00596091" w:rsidRPr="0043431B">
        <w:rPr>
          <w:rFonts w:ascii="Times New Roman" w:hAnsi="Times New Roman" w:cs="Times New Roman"/>
          <w:b/>
          <w:bCs/>
          <w:color w:val="auto"/>
          <w:sz w:val="20"/>
          <w:szCs w:val="20"/>
        </w:rPr>
        <w:t>ADOPT</w:t>
      </w:r>
      <w:r w:rsidR="004A0444" w:rsidRPr="0043431B">
        <w:rPr>
          <w:rFonts w:ascii="Times New Roman" w:hAnsi="Times New Roman" w:cs="Times New Roman"/>
          <w:b/>
          <w:bCs/>
          <w:color w:val="auto"/>
          <w:sz w:val="20"/>
          <w:szCs w:val="20"/>
        </w:rPr>
        <w:t>ED</w:t>
      </w:r>
      <w:r w:rsidR="00615BC5" w:rsidRPr="0043431B">
        <w:rPr>
          <w:rFonts w:ascii="Times New Roman" w:hAnsi="Times New Roman" w:cs="Times New Roman"/>
          <w:b/>
          <w:bCs/>
          <w:color w:val="auto"/>
          <w:sz w:val="20"/>
          <w:szCs w:val="20"/>
        </w:rPr>
        <w:t xml:space="preserve"> </w:t>
      </w:r>
      <w:r w:rsidR="00596091" w:rsidRPr="0043431B">
        <w:rPr>
          <w:rFonts w:ascii="Times New Roman" w:hAnsi="Times New Roman" w:cs="Times New Roman"/>
          <w:b/>
          <w:bCs/>
          <w:color w:val="auto"/>
          <w:sz w:val="20"/>
          <w:szCs w:val="20"/>
        </w:rPr>
        <w:t>AGENDA</w:t>
      </w:r>
      <w:bookmarkEnd w:id="4"/>
      <w:r w:rsidR="00596091" w:rsidRPr="0043431B">
        <w:rPr>
          <w:rFonts w:ascii="Times New Roman" w:hAnsi="Times New Roman" w:cs="Times New Roman"/>
          <w:b/>
          <w:bCs/>
          <w:color w:val="auto"/>
          <w:sz w:val="20"/>
          <w:szCs w:val="20"/>
        </w:rPr>
        <w:t xml:space="preserve"> </w:t>
      </w:r>
    </w:p>
    <w:p w14:paraId="3DD0BCDE" w14:textId="50539883" w:rsidR="00596091" w:rsidRPr="0043431B" w:rsidRDefault="00596091" w:rsidP="0082506C">
      <w:pPr>
        <w:pStyle w:val="Paragraphedeliste"/>
        <w:spacing w:after="240" w:line="240" w:lineRule="auto"/>
        <w:ind w:left="426"/>
        <w:jc w:val="both"/>
        <w:rPr>
          <w:rFonts w:cs="Times New Roman"/>
          <w:szCs w:val="20"/>
        </w:rPr>
      </w:pPr>
      <w:r w:rsidRPr="0043431B">
        <w:rPr>
          <w:rFonts w:cs="Times New Roman"/>
          <w:szCs w:val="20"/>
        </w:rPr>
        <w:t xml:space="preserve">The adopted agenda of the meeting is presented as </w:t>
      </w:r>
      <w:r w:rsidR="00564673">
        <w:rPr>
          <w:rFonts w:cs="Times New Roman"/>
          <w:szCs w:val="20"/>
          <w:u w:val="single"/>
        </w:rPr>
        <w:t xml:space="preserve">the </w:t>
      </w:r>
      <w:r w:rsidR="00F42518">
        <w:rPr>
          <w:rFonts w:cs="Times New Roman"/>
          <w:szCs w:val="20"/>
          <w:u w:val="single"/>
        </w:rPr>
        <w:t>T</w:t>
      </w:r>
      <w:r w:rsidR="00564673">
        <w:rPr>
          <w:rFonts w:cs="Times New Roman"/>
          <w:szCs w:val="20"/>
          <w:u w:val="single"/>
        </w:rPr>
        <w:t xml:space="preserve">able </w:t>
      </w:r>
      <w:r w:rsidR="00564673" w:rsidRPr="00F42518">
        <w:rPr>
          <w:rFonts w:cs="Times New Roman"/>
          <w:szCs w:val="20"/>
          <w:u w:val="single"/>
        </w:rPr>
        <w:t xml:space="preserve">of </w:t>
      </w:r>
      <w:r w:rsidR="00F42518">
        <w:rPr>
          <w:rFonts w:cs="Times New Roman"/>
          <w:szCs w:val="20"/>
          <w:u w:val="single"/>
        </w:rPr>
        <w:t>C</w:t>
      </w:r>
      <w:r w:rsidR="00564673" w:rsidRPr="00F42518">
        <w:rPr>
          <w:rFonts w:cs="Times New Roman"/>
          <w:szCs w:val="20"/>
          <w:u w:val="single"/>
        </w:rPr>
        <w:t>ontent</w:t>
      </w:r>
      <w:r w:rsidR="00F42518">
        <w:rPr>
          <w:rFonts w:cs="Times New Roman"/>
          <w:szCs w:val="20"/>
          <w:u w:val="single"/>
        </w:rPr>
        <w:t>s</w:t>
      </w:r>
      <w:r w:rsidRPr="00F42518">
        <w:rPr>
          <w:rFonts w:cs="Times New Roman"/>
          <w:szCs w:val="20"/>
          <w:u w:val="single"/>
        </w:rPr>
        <w:t>.</w:t>
      </w:r>
    </w:p>
    <w:p w14:paraId="0BEA726F" w14:textId="77777777" w:rsidR="00596091" w:rsidRPr="0043431B" w:rsidRDefault="00EF4C26" w:rsidP="0082506C">
      <w:pPr>
        <w:pStyle w:val="Titre1"/>
        <w:spacing w:before="0" w:after="240" w:line="240" w:lineRule="auto"/>
        <w:ind w:left="426" w:hanging="426"/>
        <w:jc w:val="both"/>
        <w:rPr>
          <w:rFonts w:ascii="Times New Roman" w:hAnsi="Times New Roman" w:cs="Times New Roman"/>
          <w:b/>
          <w:bCs/>
          <w:color w:val="auto"/>
          <w:sz w:val="20"/>
          <w:szCs w:val="20"/>
        </w:rPr>
      </w:pPr>
      <w:bookmarkStart w:id="5" w:name="_Toc38028614"/>
      <w:r w:rsidRPr="0043431B">
        <w:rPr>
          <w:rFonts w:ascii="Times New Roman" w:hAnsi="Times New Roman" w:cs="Times New Roman"/>
          <w:b/>
          <w:bCs/>
          <w:color w:val="auto"/>
          <w:sz w:val="20"/>
          <w:szCs w:val="20"/>
        </w:rPr>
        <w:t>3.</w:t>
      </w:r>
      <w:r w:rsidRPr="0043431B">
        <w:rPr>
          <w:rFonts w:ascii="Times New Roman" w:hAnsi="Times New Roman" w:cs="Times New Roman"/>
          <w:b/>
          <w:bCs/>
          <w:color w:val="auto"/>
          <w:sz w:val="20"/>
          <w:szCs w:val="20"/>
        </w:rPr>
        <w:tab/>
      </w:r>
      <w:r w:rsidR="00596091" w:rsidRPr="0043431B">
        <w:rPr>
          <w:rFonts w:ascii="Times New Roman" w:hAnsi="Times New Roman" w:cs="Times New Roman"/>
          <w:b/>
          <w:bCs/>
          <w:color w:val="auto"/>
          <w:sz w:val="20"/>
          <w:szCs w:val="20"/>
        </w:rPr>
        <w:t>MEETING WITH THE DIRECTOR GENERAL</w:t>
      </w:r>
      <w:bookmarkEnd w:id="5"/>
      <w:r w:rsidR="00596091" w:rsidRPr="0043431B">
        <w:rPr>
          <w:rFonts w:ascii="Times New Roman" w:hAnsi="Times New Roman" w:cs="Times New Roman"/>
          <w:b/>
          <w:bCs/>
          <w:color w:val="auto"/>
          <w:sz w:val="20"/>
          <w:szCs w:val="20"/>
        </w:rPr>
        <w:t xml:space="preserve"> </w:t>
      </w:r>
    </w:p>
    <w:p w14:paraId="3C34C160" w14:textId="77777777" w:rsidR="00596091" w:rsidRPr="0043431B" w:rsidRDefault="00596091">
      <w:pPr>
        <w:pStyle w:val="Paragraphedeliste"/>
        <w:spacing w:after="240" w:line="240" w:lineRule="auto"/>
        <w:ind w:left="426"/>
        <w:jc w:val="both"/>
        <w:rPr>
          <w:rFonts w:cs="Times New Roman"/>
          <w:szCs w:val="20"/>
        </w:rPr>
      </w:pPr>
      <w:r w:rsidRPr="0043431B">
        <w:rPr>
          <w:rFonts w:cs="Times New Roman"/>
          <w:szCs w:val="20"/>
        </w:rPr>
        <w:t xml:space="preserve">Dr Monique Eloit, OIE Director General, acknowledged the significant work being undertaken by the Aquatic Animals Commission and thanked the Commission for </w:t>
      </w:r>
      <w:r w:rsidR="00D222FF" w:rsidRPr="0043431B">
        <w:rPr>
          <w:rFonts w:cs="Times New Roman"/>
          <w:szCs w:val="20"/>
        </w:rPr>
        <w:t>its</w:t>
      </w:r>
      <w:r w:rsidRPr="0043431B">
        <w:rPr>
          <w:rFonts w:cs="Times New Roman"/>
          <w:szCs w:val="20"/>
        </w:rPr>
        <w:t xml:space="preserve"> ongoing commitment. Dr Eloit </w:t>
      </w:r>
      <w:r w:rsidR="004A0444" w:rsidRPr="0043431B">
        <w:rPr>
          <w:rFonts w:cs="Times New Roman"/>
          <w:szCs w:val="20"/>
        </w:rPr>
        <w:t xml:space="preserve">also </w:t>
      </w:r>
      <w:r w:rsidRPr="0043431B">
        <w:rPr>
          <w:rFonts w:cs="Times New Roman"/>
          <w:szCs w:val="20"/>
        </w:rPr>
        <w:t xml:space="preserve">thanked the members and the Secretariat for their work </w:t>
      </w:r>
      <w:r w:rsidR="004A0444" w:rsidRPr="0043431B">
        <w:rPr>
          <w:rFonts w:cs="Times New Roman"/>
          <w:szCs w:val="20"/>
        </w:rPr>
        <w:t xml:space="preserve">in finalising the </w:t>
      </w:r>
      <w:r w:rsidRPr="0043431B">
        <w:rPr>
          <w:rFonts w:cs="Times New Roman"/>
          <w:szCs w:val="20"/>
        </w:rPr>
        <w:t>OIE’s Aquatic Animal Health Strategy</w:t>
      </w:r>
      <w:r w:rsidR="0042021B" w:rsidRPr="0043431B">
        <w:rPr>
          <w:rFonts w:cs="Times New Roman"/>
          <w:szCs w:val="20"/>
        </w:rPr>
        <w:t xml:space="preserve">. Dr Eloit </w:t>
      </w:r>
      <w:r w:rsidR="004A0444" w:rsidRPr="0043431B">
        <w:rPr>
          <w:rFonts w:cs="Times New Roman"/>
          <w:szCs w:val="20"/>
        </w:rPr>
        <w:t xml:space="preserve">considered </w:t>
      </w:r>
      <w:r w:rsidR="0042021B" w:rsidRPr="0043431B">
        <w:rPr>
          <w:rFonts w:cs="Times New Roman"/>
          <w:szCs w:val="20"/>
        </w:rPr>
        <w:t xml:space="preserve">this </w:t>
      </w:r>
      <w:r w:rsidR="004A0444" w:rsidRPr="0043431B">
        <w:rPr>
          <w:rFonts w:cs="Times New Roman"/>
          <w:szCs w:val="20"/>
        </w:rPr>
        <w:t>to be a very important strategy for the OIE t</w:t>
      </w:r>
      <w:r w:rsidR="00181E56" w:rsidRPr="0043431B">
        <w:rPr>
          <w:rFonts w:cs="Times New Roman"/>
          <w:szCs w:val="20"/>
        </w:rPr>
        <w:t>hat will provide a clear strategic vision to strengthen the efforts of OIE staff, Members, partners and donors to improve aquatic animal health and welfare worldwide.</w:t>
      </w:r>
    </w:p>
    <w:p w14:paraId="4EEB4A6E" w14:textId="77777777" w:rsidR="008D2321" w:rsidRPr="0043431B" w:rsidRDefault="00EF4C26" w:rsidP="00615BC5">
      <w:pPr>
        <w:pStyle w:val="Titre1"/>
        <w:spacing w:before="0" w:after="240" w:line="240" w:lineRule="auto"/>
        <w:ind w:left="426" w:hanging="426"/>
        <w:jc w:val="both"/>
        <w:rPr>
          <w:rFonts w:ascii="Times New Roman" w:hAnsi="Times New Roman" w:cs="Times New Roman"/>
          <w:b/>
          <w:bCs/>
          <w:color w:val="auto"/>
          <w:sz w:val="20"/>
          <w:szCs w:val="20"/>
        </w:rPr>
      </w:pPr>
      <w:bookmarkStart w:id="6" w:name="_Toc38028615"/>
      <w:r w:rsidRPr="0043431B">
        <w:rPr>
          <w:rFonts w:ascii="Times New Roman" w:hAnsi="Times New Roman" w:cs="Times New Roman"/>
          <w:b/>
          <w:bCs/>
          <w:color w:val="auto"/>
          <w:sz w:val="20"/>
          <w:szCs w:val="20"/>
        </w:rPr>
        <w:lastRenderedPageBreak/>
        <w:t>4.</w:t>
      </w:r>
      <w:r w:rsidRPr="0043431B">
        <w:rPr>
          <w:rFonts w:ascii="Times New Roman" w:hAnsi="Times New Roman" w:cs="Times New Roman"/>
          <w:b/>
          <w:bCs/>
          <w:color w:val="auto"/>
          <w:sz w:val="20"/>
          <w:szCs w:val="20"/>
        </w:rPr>
        <w:tab/>
      </w:r>
      <w:r w:rsidR="008D2321" w:rsidRPr="0043431B">
        <w:rPr>
          <w:rFonts w:ascii="Times New Roman" w:hAnsi="Times New Roman" w:cs="Times New Roman"/>
          <w:b/>
          <w:bCs/>
          <w:color w:val="auto"/>
          <w:sz w:val="20"/>
          <w:szCs w:val="20"/>
        </w:rPr>
        <w:t>COOPERATION WITH OTHER SPECIALIST COMMISSIONS</w:t>
      </w:r>
      <w:bookmarkEnd w:id="6"/>
    </w:p>
    <w:p w14:paraId="33932D89" w14:textId="77777777" w:rsidR="008D2321" w:rsidRPr="0043431B" w:rsidRDefault="008D2321" w:rsidP="0082506C">
      <w:pPr>
        <w:spacing w:after="240" w:line="240" w:lineRule="auto"/>
        <w:ind w:left="426"/>
        <w:jc w:val="both"/>
        <w:rPr>
          <w:rFonts w:cs="Times New Roman"/>
          <w:szCs w:val="20"/>
        </w:rPr>
      </w:pPr>
      <w:r w:rsidRPr="0043431B">
        <w:rPr>
          <w:rFonts w:cs="Times New Roman"/>
          <w:szCs w:val="20"/>
        </w:rPr>
        <w:t xml:space="preserve">The Aquatic Animals Commission met with the Secretariats for the Terrestrial Animal Health Standards Commission </w:t>
      </w:r>
      <w:r w:rsidR="002533C9" w:rsidRPr="0043431B">
        <w:rPr>
          <w:rFonts w:cs="Times New Roman"/>
          <w:szCs w:val="20"/>
        </w:rPr>
        <w:t xml:space="preserve">(the Code Commission) </w:t>
      </w:r>
      <w:r w:rsidRPr="0043431B">
        <w:rPr>
          <w:rFonts w:cs="Times New Roman"/>
          <w:szCs w:val="20"/>
        </w:rPr>
        <w:t>and the Biological Standards Commission to share information and explore areas of common interest.</w:t>
      </w:r>
      <w:r w:rsidR="002533C9" w:rsidRPr="0043431B">
        <w:rPr>
          <w:rFonts w:cs="Times New Roman"/>
          <w:szCs w:val="20"/>
        </w:rPr>
        <w:t xml:space="preserve"> </w:t>
      </w:r>
    </w:p>
    <w:p w14:paraId="3046B6DD" w14:textId="77777777" w:rsidR="002533C9" w:rsidRPr="003E513A" w:rsidRDefault="00EF4C26" w:rsidP="0082506C">
      <w:pPr>
        <w:pStyle w:val="Titre1"/>
        <w:spacing w:before="0" w:after="240" w:line="240" w:lineRule="auto"/>
        <w:ind w:left="426" w:hanging="426"/>
        <w:jc w:val="both"/>
        <w:rPr>
          <w:rFonts w:ascii="Times New Roman" w:hAnsi="Times New Roman" w:cs="Times New Roman"/>
          <w:b/>
          <w:bCs/>
          <w:caps/>
          <w:color w:val="auto"/>
          <w:sz w:val="20"/>
          <w:szCs w:val="20"/>
        </w:rPr>
      </w:pPr>
      <w:bookmarkStart w:id="7" w:name="_Toc38028616"/>
      <w:r w:rsidRPr="0043431B">
        <w:rPr>
          <w:rFonts w:ascii="Times New Roman" w:hAnsi="Times New Roman" w:cs="Times New Roman"/>
          <w:b/>
          <w:bCs/>
          <w:color w:val="auto"/>
          <w:sz w:val="20"/>
          <w:szCs w:val="20"/>
        </w:rPr>
        <w:t>5.</w:t>
      </w:r>
      <w:r w:rsidRPr="0043431B">
        <w:rPr>
          <w:rFonts w:ascii="Times New Roman" w:hAnsi="Times New Roman" w:cs="Times New Roman"/>
          <w:b/>
          <w:bCs/>
          <w:color w:val="auto"/>
          <w:sz w:val="20"/>
          <w:szCs w:val="20"/>
        </w:rPr>
        <w:tab/>
      </w:r>
      <w:r w:rsidR="002533C9" w:rsidRPr="003E513A">
        <w:rPr>
          <w:rFonts w:ascii="Times New Roman" w:hAnsi="Times New Roman" w:cs="Times New Roman"/>
          <w:b/>
          <w:bCs/>
          <w:caps/>
          <w:color w:val="auto"/>
          <w:sz w:val="20"/>
          <w:szCs w:val="20"/>
        </w:rPr>
        <w:t>OIE Aquatic Animal Health Strategy</w:t>
      </w:r>
      <w:bookmarkEnd w:id="7"/>
    </w:p>
    <w:p w14:paraId="1112A86D" w14:textId="2493E2E7" w:rsidR="00A97F96" w:rsidRDefault="00A97F96" w:rsidP="0082506C">
      <w:pPr>
        <w:spacing w:after="240" w:line="240" w:lineRule="auto"/>
        <w:ind w:left="426"/>
        <w:jc w:val="both"/>
        <w:rPr>
          <w:rFonts w:cs="Times New Roman"/>
          <w:szCs w:val="20"/>
        </w:rPr>
      </w:pPr>
      <w:r w:rsidRPr="00A97F96">
        <w:rPr>
          <w:rFonts w:cs="Times New Roman"/>
          <w:szCs w:val="20"/>
        </w:rPr>
        <w:t>The Aquatic Animals Commission continued its work to finalise the draft</w:t>
      </w:r>
      <w:r>
        <w:rPr>
          <w:rFonts w:cs="Times New Roman"/>
          <w:szCs w:val="20"/>
        </w:rPr>
        <w:t xml:space="preserve"> </w:t>
      </w:r>
      <w:r w:rsidRPr="0043431B">
        <w:rPr>
          <w:rFonts w:cs="Times New Roman"/>
          <w:szCs w:val="20"/>
        </w:rPr>
        <w:t>OIE Aquatic</w:t>
      </w:r>
      <w:r>
        <w:rPr>
          <w:rFonts w:cs="Times New Roman"/>
          <w:szCs w:val="20"/>
        </w:rPr>
        <w:t xml:space="preserve"> Animal Health </w:t>
      </w:r>
      <w:r w:rsidRPr="0043431B">
        <w:rPr>
          <w:rFonts w:cs="Times New Roman"/>
          <w:szCs w:val="20"/>
        </w:rPr>
        <w:t>Strategy</w:t>
      </w:r>
      <w:r>
        <w:rPr>
          <w:rFonts w:cs="Times New Roman"/>
          <w:szCs w:val="20"/>
        </w:rPr>
        <w:t xml:space="preserve"> (Aquatic Strategy)</w:t>
      </w:r>
      <w:r w:rsidRPr="00A97F96">
        <w:rPr>
          <w:rFonts w:cs="Times New Roman"/>
          <w:szCs w:val="20"/>
        </w:rPr>
        <w:t xml:space="preserve">. </w:t>
      </w:r>
    </w:p>
    <w:p w14:paraId="31C58ED4" w14:textId="463DFB49" w:rsidR="002533C9" w:rsidRPr="0043431B" w:rsidRDefault="002533C9" w:rsidP="0082506C">
      <w:pPr>
        <w:spacing w:after="240" w:line="240" w:lineRule="auto"/>
        <w:ind w:left="426"/>
        <w:jc w:val="both"/>
        <w:rPr>
          <w:rFonts w:cs="Times New Roman"/>
          <w:szCs w:val="20"/>
        </w:rPr>
      </w:pPr>
      <w:r w:rsidRPr="0043431B">
        <w:rPr>
          <w:rFonts w:cs="Times New Roman"/>
          <w:szCs w:val="20"/>
        </w:rPr>
        <w:t>The OIE Director General committed</w:t>
      </w:r>
      <w:r w:rsidR="004822D7">
        <w:rPr>
          <w:rFonts w:cs="Times New Roman"/>
          <w:szCs w:val="20"/>
        </w:rPr>
        <w:t xml:space="preserve"> the OIE</w:t>
      </w:r>
      <w:r w:rsidRPr="0043431B">
        <w:rPr>
          <w:rFonts w:cs="Times New Roman"/>
          <w:szCs w:val="20"/>
        </w:rPr>
        <w:t xml:space="preserve"> to developing </w:t>
      </w:r>
      <w:r w:rsidR="004822D7">
        <w:rPr>
          <w:rFonts w:cs="Times New Roman"/>
          <w:szCs w:val="20"/>
        </w:rPr>
        <w:t>a</w:t>
      </w:r>
      <w:r w:rsidRPr="0043431B">
        <w:rPr>
          <w:rFonts w:cs="Times New Roman"/>
          <w:szCs w:val="20"/>
        </w:rPr>
        <w:t xml:space="preserve"> </w:t>
      </w:r>
      <w:r w:rsidR="00FC61E4">
        <w:rPr>
          <w:rFonts w:cs="Times New Roman"/>
          <w:szCs w:val="20"/>
        </w:rPr>
        <w:t>s</w:t>
      </w:r>
      <w:r w:rsidR="00FC61E4" w:rsidRPr="0043431B">
        <w:rPr>
          <w:rFonts w:cs="Times New Roman"/>
          <w:szCs w:val="20"/>
        </w:rPr>
        <w:t xml:space="preserve">trategy </w:t>
      </w:r>
      <w:r w:rsidRPr="0043431B">
        <w:rPr>
          <w:rFonts w:cs="Times New Roman"/>
          <w:szCs w:val="20"/>
        </w:rPr>
        <w:t xml:space="preserve">for </w:t>
      </w:r>
      <w:r w:rsidR="00FC61E4">
        <w:rPr>
          <w:rFonts w:cs="Times New Roman"/>
          <w:szCs w:val="20"/>
        </w:rPr>
        <w:t>a</w:t>
      </w:r>
      <w:r w:rsidR="00FC61E4" w:rsidRPr="0043431B">
        <w:rPr>
          <w:rFonts w:cs="Times New Roman"/>
          <w:szCs w:val="20"/>
        </w:rPr>
        <w:t xml:space="preserve">quatic </w:t>
      </w:r>
      <w:r w:rsidR="00FC61E4">
        <w:rPr>
          <w:rFonts w:cs="Times New Roman"/>
          <w:szCs w:val="20"/>
        </w:rPr>
        <w:t>a</w:t>
      </w:r>
      <w:r w:rsidR="00FC61E4" w:rsidRPr="0043431B">
        <w:rPr>
          <w:rFonts w:cs="Times New Roman"/>
          <w:szCs w:val="20"/>
        </w:rPr>
        <w:t xml:space="preserve">nimal </w:t>
      </w:r>
      <w:r w:rsidR="00FC61E4">
        <w:rPr>
          <w:rFonts w:cs="Times New Roman"/>
          <w:szCs w:val="20"/>
        </w:rPr>
        <w:t>h</w:t>
      </w:r>
      <w:r w:rsidR="00FC61E4" w:rsidRPr="0043431B">
        <w:rPr>
          <w:rFonts w:cs="Times New Roman"/>
          <w:szCs w:val="20"/>
        </w:rPr>
        <w:t xml:space="preserve">ealth </w:t>
      </w:r>
      <w:r w:rsidRPr="0043431B">
        <w:rPr>
          <w:rFonts w:cs="Times New Roman"/>
          <w:szCs w:val="20"/>
        </w:rPr>
        <w:t xml:space="preserve">at the 4th OIE Global Conference on Aquatic Animal Health in Chile (April 2019) and reiterated this commitment at the </w:t>
      </w:r>
      <w:r w:rsidR="00D222FF" w:rsidRPr="0043431B">
        <w:rPr>
          <w:rFonts w:cs="Times New Roman"/>
          <w:szCs w:val="20"/>
        </w:rPr>
        <w:t>87th</w:t>
      </w:r>
      <w:r w:rsidR="00E63FB0">
        <w:rPr>
          <w:rFonts w:cs="Times New Roman"/>
          <w:szCs w:val="20"/>
        </w:rPr>
        <w:t> G</w:t>
      </w:r>
      <w:r w:rsidRPr="0043431B">
        <w:rPr>
          <w:rFonts w:cs="Times New Roman"/>
          <w:szCs w:val="20"/>
        </w:rPr>
        <w:t xml:space="preserve">eneral Session in May 2019. </w:t>
      </w:r>
    </w:p>
    <w:p w14:paraId="03051683" w14:textId="12DF7FF8" w:rsidR="0042021B" w:rsidRPr="0043431B" w:rsidRDefault="0042021B" w:rsidP="0042021B">
      <w:pPr>
        <w:spacing w:after="240" w:line="240" w:lineRule="auto"/>
        <w:ind w:left="426"/>
        <w:jc w:val="both"/>
        <w:rPr>
          <w:rFonts w:cs="Times New Roman"/>
          <w:szCs w:val="20"/>
        </w:rPr>
      </w:pPr>
      <w:r w:rsidRPr="0043431B">
        <w:rPr>
          <w:rFonts w:cs="Times New Roman"/>
          <w:szCs w:val="20"/>
        </w:rPr>
        <w:t xml:space="preserve">Development of the Aquatic Strategy is an initiative led by the OIE with the support of the Aquatic Animals Commission. It recognises the growing importance of aquatic animal health and the need for a strategic approach to its management worldwide. The Aquatic Strategy supports the 7th OIE Strategic Plan and is aligned with the mandate of the OIE. It has been shaped heavily by inputs from the OIE Community to reflect the highest priority common needs of Members.  </w:t>
      </w:r>
    </w:p>
    <w:p w14:paraId="753D5B9B" w14:textId="77777777" w:rsidR="0042021B" w:rsidRPr="0043431B" w:rsidRDefault="0042021B" w:rsidP="0042021B">
      <w:pPr>
        <w:spacing w:after="240" w:line="240" w:lineRule="auto"/>
        <w:ind w:left="426"/>
        <w:jc w:val="both"/>
        <w:rPr>
          <w:rFonts w:cs="Times New Roman"/>
          <w:szCs w:val="20"/>
        </w:rPr>
      </w:pPr>
      <w:r w:rsidRPr="0043431B">
        <w:rPr>
          <w:rFonts w:cs="Times New Roman"/>
          <w:szCs w:val="20"/>
        </w:rPr>
        <w:t>The views of Members and OIE experts were sought through a range of fora including the OIE General Session, Regional Commission Conferences, Global Conferences and technical items. Through these fora, the need for an Aquatic Strategy and clear themes for its objectives emerged.</w:t>
      </w:r>
    </w:p>
    <w:p w14:paraId="4DF0361B" w14:textId="77777777" w:rsidR="0042021B" w:rsidRPr="0043431B" w:rsidRDefault="0042021B" w:rsidP="0042021B">
      <w:pPr>
        <w:spacing w:after="240" w:line="240" w:lineRule="auto"/>
        <w:ind w:left="426"/>
        <w:jc w:val="both"/>
        <w:rPr>
          <w:rFonts w:cs="Times New Roman"/>
          <w:szCs w:val="20"/>
        </w:rPr>
      </w:pPr>
      <w:r w:rsidRPr="0043431B">
        <w:rPr>
          <w:rFonts w:cs="Times New Roman"/>
          <w:szCs w:val="20"/>
        </w:rPr>
        <w:t xml:space="preserve">With the objectives identified for the Aquatic Strategy, the next step was to seek feedback from the OIE Community on priority activities. In December 2019, the OIE conducted a </w:t>
      </w:r>
      <w:r w:rsidR="003336AC" w:rsidRPr="0043431B">
        <w:rPr>
          <w:rFonts w:cs="Times New Roman"/>
          <w:szCs w:val="20"/>
        </w:rPr>
        <w:t xml:space="preserve">consultation </w:t>
      </w:r>
      <w:r w:rsidRPr="0043431B">
        <w:rPr>
          <w:rFonts w:cs="Times New Roman"/>
          <w:szCs w:val="20"/>
        </w:rPr>
        <w:t xml:space="preserve">of the OIE Community including Members (OIE Delegates and relevant OIE Focal Points), regional and sub-regional offices, </w:t>
      </w:r>
      <w:r w:rsidR="003B26C3">
        <w:rPr>
          <w:rFonts w:cs="Times New Roman"/>
          <w:szCs w:val="20"/>
        </w:rPr>
        <w:t xml:space="preserve">Reference </w:t>
      </w:r>
      <w:r w:rsidRPr="0043431B">
        <w:rPr>
          <w:rFonts w:cs="Times New Roman"/>
          <w:szCs w:val="20"/>
        </w:rPr>
        <w:t xml:space="preserve">Centres and other international partners. </w:t>
      </w:r>
    </w:p>
    <w:p w14:paraId="135890D7" w14:textId="6444EF36" w:rsidR="0042021B" w:rsidRPr="0043431B" w:rsidRDefault="0042021B" w:rsidP="0042021B">
      <w:pPr>
        <w:spacing w:after="240" w:line="240" w:lineRule="auto"/>
        <w:ind w:left="426"/>
        <w:jc w:val="both"/>
        <w:rPr>
          <w:rFonts w:cs="Times New Roman"/>
          <w:szCs w:val="20"/>
        </w:rPr>
      </w:pPr>
      <w:r w:rsidRPr="0043431B">
        <w:rPr>
          <w:rFonts w:cs="Times New Roman"/>
          <w:szCs w:val="20"/>
        </w:rPr>
        <w:t xml:space="preserve">The </w:t>
      </w:r>
      <w:r w:rsidR="003B26C3">
        <w:rPr>
          <w:rFonts w:cs="Times New Roman"/>
          <w:szCs w:val="20"/>
        </w:rPr>
        <w:t>c</w:t>
      </w:r>
      <w:r w:rsidR="003336AC" w:rsidRPr="0043431B">
        <w:rPr>
          <w:rFonts w:cs="Times New Roman"/>
          <w:szCs w:val="20"/>
        </w:rPr>
        <w:t xml:space="preserve">onsultation </w:t>
      </w:r>
      <w:r w:rsidRPr="0043431B">
        <w:rPr>
          <w:rFonts w:cs="Times New Roman"/>
          <w:szCs w:val="20"/>
        </w:rPr>
        <w:t xml:space="preserve">sought views on four areas: </w:t>
      </w:r>
      <w:r w:rsidR="000B2A1C">
        <w:rPr>
          <w:rFonts w:cs="Times New Roman"/>
          <w:szCs w:val="20"/>
        </w:rPr>
        <w:t xml:space="preserve">i) </w:t>
      </w:r>
      <w:r w:rsidRPr="0043431B">
        <w:rPr>
          <w:rFonts w:cs="Times New Roman"/>
          <w:szCs w:val="20"/>
        </w:rPr>
        <w:t xml:space="preserve">what OIE activities are already working well, </w:t>
      </w:r>
      <w:r w:rsidR="000B2A1C">
        <w:rPr>
          <w:rFonts w:cs="Times New Roman"/>
          <w:szCs w:val="20"/>
        </w:rPr>
        <w:t xml:space="preserve">ii) </w:t>
      </w:r>
      <w:r w:rsidRPr="0043431B">
        <w:rPr>
          <w:rFonts w:cs="Times New Roman"/>
          <w:szCs w:val="20"/>
        </w:rPr>
        <w:t>what are the greatest opportunities</w:t>
      </w:r>
      <w:r w:rsidR="0027771F">
        <w:rPr>
          <w:rFonts w:cs="Times New Roman"/>
          <w:szCs w:val="20"/>
        </w:rPr>
        <w:t>,</w:t>
      </w:r>
      <w:r w:rsidR="000B2A1C">
        <w:rPr>
          <w:rFonts w:cs="Times New Roman"/>
          <w:szCs w:val="20"/>
        </w:rPr>
        <w:t xml:space="preserve"> iii) </w:t>
      </w:r>
      <w:r w:rsidR="0027771F">
        <w:rPr>
          <w:rFonts w:cs="Times New Roman"/>
          <w:szCs w:val="20"/>
        </w:rPr>
        <w:t xml:space="preserve">what are the greatest </w:t>
      </w:r>
      <w:r w:rsidRPr="0043431B">
        <w:rPr>
          <w:rFonts w:cs="Times New Roman"/>
          <w:szCs w:val="20"/>
        </w:rPr>
        <w:t xml:space="preserve">threats to </w:t>
      </w:r>
      <w:r w:rsidR="000B2A1C">
        <w:rPr>
          <w:rFonts w:cs="Times New Roman"/>
          <w:szCs w:val="20"/>
        </w:rPr>
        <w:t>the growth of</w:t>
      </w:r>
      <w:r w:rsidR="000B2A1C" w:rsidRPr="0043431B">
        <w:rPr>
          <w:rFonts w:cs="Times New Roman"/>
          <w:szCs w:val="20"/>
        </w:rPr>
        <w:t xml:space="preserve"> </w:t>
      </w:r>
      <w:r w:rsidRPr="0043431B">
        <w:rPr>
          <w:rFonts w:cs="Times New Roman"/>
          <w:szCs w:val="20"/>
        </w:rPr>
        <w:t xml:space="preserve">aquatic animal production over the next 5-10 years and </w:t>
      </w:r>
      <w:r w:rsidR="000B2A1C">
        <w:rPr>
          <w:rFonts w:cs="Times New Roman"/>
          <w:szCs w:val="20"/>
        </w:rPr>
        <w:t xml:space="preserve">iv) </w:t>
      </w:r>
      <w:r w:rsidRPr="0043431B">
        <w:rPr>
          <w:rFonts w:cs="Times New Roman"/>
          <w:szCs w:val="20"/>
        </w:rPr>
        <w:t xml:space="preserve">prioritisation of proposed activities within the </w:t>
      </w:r>
      <w:r w:rsidR="003B26C3">
        <w:rPr>
          <w:rFonts w:cs="Times New Roman"/>
          <w:szCs w:val="20"/>
        </w:rPr>
        <w:t>strategy</w:t>
      </w:r>
      <w:r w:rsidRPr="0043431B">
        <w:rPr>
          <w:rFonts w:cs="Times New Roman"/>
          <w:szCs w:val="20"/>
        </w:rPr>
        <w:t xml:space="preserve"> itself. </w:t>
      </w:r>
    </w:p>
    <w:p w14:paraId="47B93237" w14:textId="7E2F215E" w:rsidR="0042021B" w:rsidRPr="0043431B" w:rsidRDefault="0042021B" w:rsidP="0042021B">
      <w:pPr>
        <w:spacing w:after="240" w:line="240" w:lineRule="auto"/>
        <w:ind w:left="426"/>
        <w:jc w:val="both"/>
        <w:rPr>
          <w:rFonts w:cs="Times New Roman"/>
          <w:szCs w:val="20"/>
        </w:rPr>
      </w:pPr>
      <w:r w:rsidRPr="0043431B">
        <w:rPr>
          <w:rFonts w:cs="Times New Roman"/>
          <w:szCs w:val="20"/>
        </w:rPr>
        <w:t>Responses provided valuable input to shap</w:t>
      </w:r>
      <w:r w:rsidR="003B26C3">
        <w:rPr>
          <w:rFonts w:cs="Times New Roman"/>
          <w:szCs w:val="20"/>
        </w:rPr>
        <w:t xml:space="preserve">e </w:t>
      </w:r>
      <w:r w:rsidRPr="0043431B">
        <w:rPr>
          <w:rFonts w:cs="Times New Roman"/>
          <w:szCs w:val="20"/>
        </w:rPr>
        <w:t>th</w:t>
      </w:r>
      <w:r w:rsidR="003B26C3">
        <w:rPr>
          <w:rFonts w:cs="Times New Roman"/>
          <w:szCs w:val="20"/>
        </w:rPr>
        <w:t>e</w:t>
      </w:r>
      <w:r w:rsidRPr="0043431B">
        <w:rPr>
          <w:rFonts w:cs="Times New Roman"/>
          <w:szCs w:val="20"/>
        </w:rPr>
        <w:t xml:space="preserve"> </w:t>
      </w:r>
      <w:r w:rsidR="003B26C3">
        <w:rPr>
          <w:rFonts w:cs="Times New Roman"/>
          <w:szCs w:val="20"/>
        </w:rPr>
        <w:t>s</w:t>
      </w:r>
      <w:r w:rsidRPr="0043431B">
        <w:rPr>
          <w:rFonts w:cs="Times New Roman"/>
          <w:szCs w:val="20"/>
        </w:rPr>
        <w:t>trategy</w:t>
      </w:r>
      <w:r w:rsidR="0027771F">
        <w:rPr>
          <w:rFonts w:cs="Times New Roman"/>
          <w:szCs w:val="20"/>
        </w:rPr>
        <w:t>,</w:t>
      </w:r>
      <w:r w:rsidR="003B26C3">
        <w:rPr>
          <w:rFonts w:cs="Times New Roman"/>
          <w:szCs w:val="20"/>
        </w:rPr>
        <w:t xml:space="preserve"> </w:t>
      </w:r>
      <w:r w:rsidRPr="0043431B">
        <w:rPr>
          <w:rFonts w:cs="Times New Roman"/>
          <w:szCs w:val="20"/>
        </w:rPr>
        <w:t>confirmed the needs of Members and prioritised the activities</w:t>
      </w:r>
      <w:r w:rsidR="003B26C3">
        <w:rPr>
          <w:rFonts w:cs="Times New Roman"/>
          <w:szCs w:val="20"/>
        </w:rPr>
        <w:t xml:space="preserve"> to be</w:t>
      </w:r>
      <w:r w:rsidRPr="0043431B">
        <w:rPr>
          <w:rFonts w:cs="Times New Roman"/>
          <w:szCs w:val="20"/>
        </w:rPr>
        <w:t xml:space="preserve"> included in th</w:t>
      </w:r>
      <w:r w:rsidR="003B26C3">
        <w:rPr>
          <w:rFonts w:cs="Times New Roman"/>
          <w:szCs w:val="20"/>
        </w:rPr>
        <w:t>e s</w:t>
      </w:r>
      <w:r w:rsidRPr="0043431B">
        <w:rPr>
          <w:rFonts w:cs="Times New Roman"/>
          <w:szCs w:val="20"/>
        </w:rPr>
        <w:t>trategy.</w:t>
      </w:r>
    </w:p>
    <w:p w14:paraId="26C844F8" w14:textId="77777777" w:rsidR="002533C9" w:rsidRPr="002A507E" w:rsidRDefault="002533C9" w:rsidP="0082506C">
      <w:pPr>
        <w:spacing w:after="240" w:line="240" w:lineRule="auto"/>
        <w:ind w:left="426"/>
        <w:jc w:val="both"/>
        <w:rPr>
          <w:rFonts w:cs="Times New Roman"/>
          <w:b/>
          <w:bCs/>
          <w:szCs w:val="20"/>
        </w:rPr>
      </w:pPr>
      <w:r w:rsidRPr="002A507E">
        <w:rPr>
          <w:rFonts w:cs="Times New Roman"/>
          <w:b/>
          <w:bCs/>
          <w:szCs w:val="20"/>
        </w:rPr>
        <w:t>February 2020 meeting</w:t>
      </w:r>
    </w:p>
    <w:p w14:paraId="6C0AA187" w14:textId="54AC0D0C" w:rsidR="002533C9" w:rsidRPr="0043431B" w:rsidRDefault="00A97F96" w:rsidP="0082506C">
      <w:pPr>
        <w:spacing w:after="240" w:line="240" w:lineRule="auto"/>
        <w:ind w:left="426"/>
        <w:jc w:val="both"/>
        <w:rPr>
          <w:rFonts w:cs="Times New Roman"/>
          <w:szCs w:val="20"/>
        </w:rPr>
      </w:pPr>
      <w:r>
        <w:rPr>
          <w:rFonts w:cs="Times New Roman"/>
          <w:szCs w:val="20"/>
        </w:rPr>
        <w:t>During its February 2020 meeting, t</w:t>
      </w:r>
      <w:r w:rsidR="0042021B" w:rsidRPr="0043431B">
        <w:rPr>
          <w:rFonts w:cs="Times New Roman"/>
          <w:szCs w:val="20"/>
        </w:rPr>
        <w:t xml:space="preserve">he Aquatic Animals Commission met with relevant staff at </w:t>
      </w:r>
      <w:r w:rsidR="002533C9" w:rsidRPr="0043431B">
        <w:rPr>
          <w:rFonts w:cs="Times New Roman"/>
          <w:szCs w:val="20"/>
        </w:rPr>
        <w:t>OIE H</w:t>
      </w:r>
      <w:r w:rsidR="00F47555" w:rsidRPr="0043431B">
        <w:rPr>
          <w:rFonts w:cs="Times New Roman"/>
          <w:szCs w:val="20"/>
        </w:rPr>
        <w:t>eadquarters</w:t>
      </w:r>
      <w:r w:rsidR="002533C9" w:rsidRPr="0043431B">
        <w:rPr>
          <w:rFonts w:cs="Times New Roman"/>
          <w:szCs w:val="20"/>
        </w:rPr>
        <w:t xml:space="preserve"> </w:t>
      </w:r>
      <w:r w:rsidR="0042021B" w:rsidRPr="0043431B">
        <w:rPr>
          <w:rFonts w:cs="Times New Roman"/>
          <w:szCs w:val="20"/>
        </w:rPr>
        <w:t>to present the draft and invite feedback</w:t>
      </w:r>
      <w:r w:rsidR="000B2A1C">
        <w:rPr>
          <w:rFonts w:cs="Times New Roman"/>
          <w:szCs w:val="20"/>
        </w:rPr>
        <w:t>,</w:t>
      </w:r>
      <w:r w:rsidR="0042021B" w:rsidRPr="0043431B">
        <w:rPr>
          <w:rFonts w:cs="Times New Roman"/>
          <w:szCs w:val="20"/>
        </w:rPr>
        <w:t xml:space="preserve"> </w:t>
      </w:r>
      <w:r w:rsidR="000B2A1C">
        <w:rPr>
          <w:rFonts w:cs="Times New Roman"/>
          <w:szCs w:val="20"/>
        </w:rPr>
        <w:t>which the Commission considered critical as</w:t>
      </w:r>
      <w:r w:rsidR="0042021B" w:rsidRPr="0043431B">
        <w:rPr>
          <w:rFonts w:cs="Times New Roman"/>
          <w:szCs w:val="20"/>
        </w:rPr>
        <w:t xml:space="preserve"> the </w:t>
      </w:r>
      <w:r w:rsidR="002E07D9">
        <w:rPr>
          <w:rFonts w:cs="Times New Roman"/>
          <w:szCs w:val="20"/>
        </w:rPr>
        <w:t xml:space="preserve">Aquatic </w:t>
      </w:r>
      <w:r w:rsidR="0042021B" w:rsidRPr="0043431B">
        <w:rPr>
          <w:rFonts w:cs="Times New Roman"/>
          <w:szCs w:val="20"/>
        </w:rPr>
        <w:t xml:space="preserve">Strategy is a transversal activity </w:t>
      </w:r>
      <w:r w:rsidR="000B2A1C">
        <w:rPr>
          <w:rFonts w:cs="Times New Roman"/>
          <w:szCs w:val="20"/>
        </w:rPr>
        <w:t>involving</w:t>
      </w:r>
      <w:r w:rsidR="0042021B" w:rsidRPr="0043431B">
        <w:rPr>
          <w:rFonts w:cs="Times New Roman"/>
          <w:szCs w:val="20"/>
        </w:rPr>
        <w:t xml:space="preserve"> many OIE Departments in its implementation</w:t>
      </w:r>
      <w:r w:rsidR="00615BC5" w:rsidRPr="0043431B">
        <w:rPr>
          <w:rFonts w:cs="Times New Roman"/>
          <w:szCs w:val="20"/>
        </w:rPr>
        <w:t>.</w:t>
      </w:r>
      <w:r w:rsidR="002533C9" w:rsidRPr="0043431B">
        <w:rPr>
          <w:rFonts w:cs="Times New Roman"/>
          <w:szCs w:val="20"/>
        </w:rPr>
        <w:t xml:space="preserve"> </w:t>
      </w:r>
    </w:p>
    <w:p w14:paraId="6EE3A429" w14:textId="2418ABDD" w:rsidR="00596091" w:rsidRPr="0043431B" w:rsidRDefault="00A1216D" w:rsidP="0082506C">
      <w:pPr>
        <w:spacing w:after="240" w:line="240" w:lineRule="auto"/>
        <w:ind w:left="426"/>
        <w:jc w:val="both"/>
        <w:rPr>
          <w:rFonts w:cs="Times New Roman"/>
          <w:szCs w:val="20"/>
        </w:rPr>
      </w:pPr>
      <w:r w:rsidRPr="0043431B">
        <w:rPr>
          <w:rFonts w:cs="Times New Roman"/>
          <w:szCs w:val="20"/>
        </w:rPr>
        <w:t xml:space="preserve">Following validation by Dr Eloit, </w:t>
      </w:r>
      <w:r w:rsidR="00A97F96">
        <w:rPr>
          <w:rFonts w:cs="Times New Roman"/>
          <w:szCs w:val="20"/>
        </w:rPr>
        <w:t>it was intended</w:t>
      </w:r>
      <w:r w:rsidR="00A97F96" w:rsidRPr="0043431B">
        <w:rPr>
          <w:rFonts w:cs="Times New Roman"/>
          <w:szCs w:val="20"/>
        </w:rPr>
        <w:t xml:space="preserve"> </w:t>
      </w:r>
      <w:r w:rsidR="00A97F96">
        <w:rPr>
          <w:rFonts w:cs="Times New Roman"/>
          <w:szCs w:val="20"/>
        </w:rPr>
        <w:t xml:space="preserve">that the </w:t>
      </w:r>
      <w:r w:rsidRPr="0043431B">
        <w:rPr>
          <w:rFonts w:cs="Times New Roman"/>
          <w:szCs w:val="20"/>
        </w:rPr>
        <w:t>OIE Aquatic Strategy be launched</w:t>
      </w:r>
      <w:r w:rsidR="002533C9" w:rsidRPr="0043431B">
        <w:rPr>
          <w:rFonts w:cs="Times New Roman"/>
          <w:szCs w:val="20"/>
        </w:rPr>
        <w:t xml:space="preserve"> at the 88th General Session in May 2020.</w:t>
      </w:r>
      <w:r w:rsidR="009D133F">
        <w:rPr>
          <w:rFonts w:cs="Times New Roman"/>
          <w:szCs w:val="20"/>
        </w:rPr>
        <w:t xml:space="preserve"> Alternative plans for launch of the strategy are to be determined.</w:t>
      </w:r>
    </w:p>
    <w:p w14:paraId="2E1DBD4B" w14:textId="77777777" w:rsidR="00FC7CE9" w:rsidRPr="0043431B" w:rsidRDefault="00EF4C26" w:rsidP="0082506C">
      <w:pPr>
        <w:pStyle w:val="Titre1"/>
        <w:spacing w:before="0" w:after="240" w:line="240" w:lineRule="auto"/>
        <w:ind w:left="426" w:hanging="426"/>
        <w:jc w:val="both"/>
        <w:rPr>
          <w:rFonts w:ascii="Times New Roman" w:hAnsi="Times New Roman" w:cs="Times New Roman"/>
          <w:b/>
          <w:bCs/>
          <w:caps/>
          <w:color w:val="auto"/>
          <w:sz w:val="20"/>
          <w:szCs w:val="20"/>
        </w:rPr>
      </w:pPr>
      <w:bookmarkStart w:id="8" w:name="_Toc38028617"/>
      <w:r w:rsidRPr="0043431B">
        <w:rPr>
          <w:rFonts w:ascii="Times New Roman" w:hAnsi="Times New Roman" w:cs="Times New Roman"/>
          <w:b/>
          <w:bCs/>
          <w:caps/>
          <w:color w:val="auto"/>
          <w:sz w:val="20"/>
          <w:szCs w:val="20"/>
        </w:rPr>
        <w:t>6.</w:t>
      </w:r>
      <w:r w:rsidRPr="0043431B">
        <w:rPr>
          <w:rFonts w:ascii="Times New Roman" w:hAnsi="Times New Roman" w:cs="Times New Roman"/>
          <w:b/>
          <w:bCs/>
          <w:caps/>
          <w:color w:val="auto"/>
          <w:sz w:val="20"/>
          <w:szCs w:val="20"/>
        </w:rPr>
        <w:tab/>
      </w:r>
      <w:r w:rsidR="00FC7CE9" w:rsidRPr="0043431B">
        <w:rPr>
          <w:rFonts w:ascii="Times New Roman" w:hAnsi="Times New Roman" w:cs="Times New Roman"/>
          <w:b/>
          <w:bCs/>
          <w:caps/>
          <w:color w:val="auto"/>
          <w:sz w:val="20"/>
          <w:szCs w:val="20"/>
        </w:rPr>
        <w:t>Work plan of the aquatic animals commission</w:t>
      </w:r>
      <w:bookmarkEnd w:id="8"/>
    </w:p>
    <w:p w14:paraId="45F3BE96" w14:textId="77777777" w:rsidR="00905CD8" w:rsidRPr="0043431B" w:rsidRDefault="00905CD8" w:rsidP="0082506C">
      <w:pPr>
        <w:spacing w:after="240" w:line="240" w:lineRule="auto"/>
        <w:ind w:left="426"/>
        <w:jc w:val="both"/>
        <w:rPr>
          <w:rFonts w:cs="Times New Roman"/>
          <w:iCs/>
          <w:szCs w:val="20"/>
        </w:rPr>
      </w:pPr>
      <w:r w:rsidRPr="0043431B">
        <w:rPr>
          <w:rFonts w:cs="Times New Roman"/>
          <w:iCs/>
          <w:szCs w:val="20"/>
        </w:rPr>
        <w:t xml:space="preserve">Comments were received from </w:t>
      </w:r>
      <w:r w:rsidR="00615BC5" w:rsidRPr="0043431B">
        <w:rPr>
          <w:rFonts w:cs="Times New Roman"/>
          <w:iCs/>
          <w:szCs w:val="20"/>
        </w:rPr>
        <w:t>Chile, New Caledonia and the EU.</w:t>
      </w:r>
    </w:p>
    <w:p w14:paraId="32E36040" w14:textId="3E0966DC" w:rsidR="00FC7CE9" w:rsidRPr="0043431B" w:rsidRDefault="008D48DF" w:rsidP="0082506C">
      <w:pPr>
        <w:spacing w:after="240" w:line="240" w:lineRule="auto"/>
        <w:ind w:left="426"/>
        <w:jc w:val="both"/>
        <w:rPr>
          <w:rFonts w:cs="Times New Roman"/>
          <w:szCs w:val="20"/>
        </w:rPr>
      </w:pPr>
      <w:r w:rsidRPr="0027771F">
        <w:rPr>
          <w:rFonts w:cs="Times New Roman"/>
          <w:szCs w:val="20"/>
        </w:rPr>
        <w:t>T</w:t>
      </w:r>
      <w:r w:rsidR="00FC7CE9" w:rsidRPr="0027771F">
        <w:rPr>
          <w:rFonts w:cs="Times New Roman"/>
          <w:szCs w:val="20"/>
        </w:rPr>
        <w:t xml:space="preserve">he </w:t>
      </w:r>
      <w:r w:rsidR="00F47555" w:rsidRPr="0027771F">
        <w:rPr>
          <w:rFonts w:cs="Times New Roman"/>
          <w:szCs w:val="20"/>
        </w:rPr>
        <w:t>Aquatic Animals Commission</w:t>
      </w:r>
      <w:r w:rsidR="005066E5" w:rsidRPr="0027771F">
        <w:rPr>
          <w:rFonts w:cs="Times New Roman"/>
          <w:szCs w:val="20"/>
        </w:rPr>
        <w:t xml:space="preserve"> </w:t>
      </w:r>
      <w:r w:rsidR="009C606E">
        <w:rPr>
          <w:rFonts w:cs="Times New Roman"/>
          <w:szCs w:val="20"/>
        </w:rPr>
        <w:t xml:space="preserve">reviewed comments received from Members and </w:t>
      </w:r>
      <w:r w:rsidR="005066E5" w:rsidRPr="0027771F">
        <w:rPr>
          <w:rFonts w:cs="Times New Roman"/>
          <w:szCs w:val="20"/>
        </w:rPr>
        <w:t>informed</w:t>
      </w:r>
      <w:r w:rsidR="00F47555" w:rsidRPr="0027771F">
        <w:rPr>
          <w:rFonts w:cs="Times New Roman"/>
          <w:szCs w:val="20"/>
        </w:rPr>
        <w:t xml:space="preserve"> </w:t>
      </w:r>
      <w:r w:rsidR="003A7CD0">
        <w:rPr>
          <w:rFonts w:cs="Times New Roman"/>
          <w:szCs w:val="20"/>
        </w:rPr>
        <w:t xml:space="preserve">Members </w:t>
      </w:r>
      <w:r w:rsidR="005066E5" w:rsidRPr="0027771F">
        <w:rPr>
          <w:rFonts w:cs="Times New Roman"/>
          <w:szCs w:val="20"/>
        </w:rPr>
        <w:t>t</w:t>
      </w:r>
      <w:r w:rsidR="00FC7CE9" w:rsidRPr="0027771F">
        <w:rPr>
          <w:rFonts w:cs="Times New Roman"/>
          <w:szCs w:val="20"/>
        </w:rPr>
        <w:t xml:space="preserve">hat </w:t>
      </w:r>
      <w:r w:rsidR="002E07D9" w:rsidRPr="0027771F">
        <w:rPr>
          <w:rFonts w:cs="Times New Roman"/>
          <w:szCs w:val="20"/>
        </w:rPr>
        <w:t xml:space="preserve">it </w:t>
      </w:r>
      <w:r w:rsidR="005066E5" w:rsidRPr="0027771F">
        <w:rPr>
          <w:rFonts w:cs="Times New Roman"/>
          <w:szCs w:val="20"/>
        </w:rPr>
        <w:t>would</w:t>
      </w:r>
      <w:r w:rsidR="002E07D9" w:rsidRPr="0027771F">
        <w:rPr>
          <w:rFonts w:cs="Times New Roman"/>
          <w:szCs w:val="20"/>
        </w:rPr>
        <w:t xml:space="preserve"> </w:t>
      </w:r>
      <w:r w:rsidR="005066E5" w:rsidRPr="0027771F">
        <w:rPr>
          <w:rFonts w:cs="Times New Roman"/>
          <w:szCs w:val="20"/>
        </w:rPr>
        <w:t>address safe commodities by reviewing</w:t>
      </w:r>
      <w:r w:rsidR="009A00F5">
        <w:rPr>
          <w:rFonts w:cs="Times New Roman"/>
          <w:szCs w:val="20"/>
        </w:rPr>
        <w:t xml:space="preserve"> the structure of Article X.X.3</w:t>
      </w:r>
      <w:r w:rsidR="005066E5" w:rsidRPr="0027771F">
        <w:rPr>
          <w:rFonts w:cs="Times New Roman"/>
          <w:szCs w:val="20"/>
        </w:rPr>
        <w:t xml:space="preserve"> of all disease</w:t>
      </w:r>
      <w:r w:rsidR="00685B5C">
        <w:rPr>
          <w:rFonts w:cs="Times New Roman"/>
          <w:szCs w:val="20"/>
        </w:rPr>
        <w:t>-</w:t>
      </w:r>
      <w:r w:rsidR="005066E5" w:rsidRPr="0027771F">
        <w:rPr>
          <w:rFonts w:cs="Times New Roman"/>
          <w:szCs w:val="20"/>
        </w:rPr>
        <w:t>specific chapters as presented in</w:t>
      </w:r>
      <w:r w:rsidR="00615BC5" w:rsidRPr="0027771F">
        <w:rPr>
          <w:rFonts w:cs="Times New Roman"/>
          <w:szCs w:val="20"/>
        </w:rPr>
        <w:t xml:space="preserve"> the</w:t>
      </w:r>
      <w:r w:rsidR="00A532F9" w:rsidRPr="0027771F">
        <w:rPr>
          <w:rFonts w:cs="Times New Roman"/>
          <w:szCs w:val="20"/>
        </w:rPr>
        <w:t xml:space="preserve"> </w:t>
      </w:r>
      <w:r w:rsidR="005066E5" w:rsidRPr="0027771F">
        <w:rPr>
          <w:rFonts w:cs="Times New Roman"/>
          <w:szCs w:val="20"/>
        </w:rPr>
        <w:t xml:space="preserve">Commission’s </w:t>
      </w:r>
      <w:r w:rsidR="00FC7CE9" w:rsidRPr="0027771F">
        <w:rPr>
          <w:rFonts w:cs="Times New Roman"/>
          <w:szCs w:val="20"/>
        </w:rPr>
        <w:t>work plan</w:t>
      </w:r>
      <w:r w:rsidR="005066E5" w:rsidRPr="0027771F">
        <w:rPr>
          <w:rFonts w:cs="Times New Roman"/>
          <w:szCs w:val="20"/>
        </w:rPr>
        <w:t xml:space="preserve">, which had been agreed at earlier </w:t>
      </w:r>
      <w:r w:rsidR="004B6EE4" w:rsidRPr="0027771F">
        <w:rPr>
          <w:rFonts w:cs="Times New Roman"/>
          <w:szCs w:val="20"/>
        </w:rPr>
        <w:t>meetings, under</w:t>
      </w:r>
      <w:r w:rsidR="00A532F9" w:rsidRPr="0027771F">
        <w:rPr>
          <w:rFonts w:cs="Times New Roman"/>
          <w:szCs w:val="20"/>
        </w:rPr>
        <w:t xml:space="preserve"> </w:t>
      </w:r>
      <w:r w:rsidR="00FC7CE9" w:rsidRPr="0027771F">
        <w:rPr>
          <w:rFonts w:cs="Times New Roman"/>
          <w:szCs w:val="20"/>
        </w:rPr>
        <w:t xml:space="preserve">the </w:t>
      </w:r>
      <w:r w:rsidR="00A532F9" w:rsidRPr="0027771F">
        <w:rPr>
          <w:rFonts w:cs="Times New Roman"/>
          <w:szCs w:val="20"/>
        </w:rPr>
        <w:t>item ‘</w:t>
      </w:r>
      <w:r w:rsidR="00FC7CE9" w:rsidRPr="0027771F">
        <w:rPr>
          <w:rFonts w:cs="Times New Roman"/>
          <w:szCs w:val="20"/>
        </w:rPr>
        <w:t>improvement of standards in Sections 8-11</w:t>
      </w:r>
      <w:r w:rsidR="00A532F9" w:rsidRPr="0027771F">
        <w:rPr>
          <w:rFonts w:cs="Times New Roman"/>
          <w:szCs w:val="20"/>
        </w:rPr>
        <w:t>’</w:t>
      </w:r>
      <w:r w:rsidR="00FC7CE9" w:rsidRPr="0027771F">
        <w:rPr>
          <w:rFonts w:cs="Times New Roman"/>
          <w:szCs w:val="20"/>
        </w:rPr>
        <w:t>. Th</w:t>
      </w:r>
      <w:r w:rsidR="00A532F9" w:rsidRPr="0027771F">
        <w:rPr>
          <w:rFonts w:cs="Times New Roman"/>
          <w:szCs w:val="20"/>
        </w:rPr>
        <w:t>e Commission agreed to progress this work before February 2021</w:t>
      </w:r>
      <w:r w:rsidR="00FC7CE9" w:rsidRPr="0027771F">
        <w:rPr>
          <w:rFonts w:cs="Times New Roman"/>
          <w:szCs w:val="20"/>
        </w:rPr>
        <w:t>.</w:t>
      </w:r>
      <w:r w:rsidR="00FC7CE9" w:rsidRPr="0043431B">
        <w:rPr>
          <w:rFonts w:cs="Times New Roman"/>
          <w:szCs w:val="20"/>
        </w:rPr>
        <w:t xml:space="preserve"> </w:t>
      </w:r>
    </w:p>
    <w:p w14:paraId="57F05655" w14:textId="34765227" w:rsidR="002533C9" w:rsidRPr="0043431B" w:rsidRDefault="00FC7CE9" w:rsidP="009A00F5">
      <w:pPr>
        <w:spacing w:after="240" w:line="240" w:lineRule="auto"/>
        <w:ind w:left="426"/>
        <w:jc w:val="both"/>
        <w:rPr>
          <w:rFonts w:cs="Times New Roman"/>
          <w:szCs w:val="20"/>
        </w:rPr>
      </w:pPr>
      <w:r w:rsidRPr="0043431B">
        <w:rPr>
          <w:rFonts w:cs="Times New Roman"/>
          <w:szCs w:val="20"/>
        </w:rPr>
        <w:lastRenderedPageBreak/>
        <w:t xml:space="preserve">The </w:t>
      </w:r>
      <w:r w:rsidR="0082506C" w:rsidRPr="0043431B">
        <w:rPr>
          <w:rFonts w:cs="Times New Roman"/>
          <w:szCs w:val="20"/>
        </w:rPr>
        <w:t xml:space="preserve">Commission </w:t>
      </w:r>
      <w:r w:rsidR="00A532F9" w:rsidRPr="0043431B">
        <w:rPr>
          <w:rFonts w:cs="Times New Roman"/>
          <w:szCs w:val="20"/>
        </w:rPr>
        <w:t xml:space="preserve">considered </w:t>
      </w:r>
      <w:r w:rsidR="00C30894">
        <w:rPr>
          <w:rFonts w:cs="Times New Roman"/>
          <w:szCs w:val="20"/>
        </w:rPr>
        <w:t xml:space="preserve">a request </w:t>
      </w:r>
      <w:r w:rsidRPr="0043431B">
        <w:rPr>
          <w:rFonts w:cs="Times New Roman"/>
          <w:szCs w:val="20"/>
        </w:rPr>
        <w:t xml:space="preserve">to </w:t>
      </w:r>
      <w:r w:rsidR="00A532F9" w:rsidRPr="0043431B">
        <w:rPr>
          <w:rFonts w:cs="Times New Roman"/>
          <w:szCs w:val="20"/>
        </w:rPr>
        <w:t>re</w:t>
      </w:r>
      <w:r w:rsidRPr="0043431B">
        <w:rPr>
          <w:rFonts w:cs="Times New Roman"/>
          <w:szCs w:val="20"/>
        </w:rPr>
        <w:t xml:space="preserve">prioritise </w:t>
      </w:r>
      <w:r w:rsidR="00A532F9" w:rsidRPr="0043431B">
        <w:rPr>
          <w:rFonts w:cs="Times New Roman"/>
          <w:szCs w:val="20"/>
        </w:rPr>
        <w:t xml:space="preserve">the order </w:t>
      </w:r>
      <w:r w:rsidR="002A507E">
        <w:rPr>
          <w:rFonts w:cs="Times New Roman"/>
          <w:szCs w:val="20"/>
        </w:rPr>
        <w:t xml:space="preserve">of </w:t>
      </w:r>
      <w:r w:rsidR="00D73705" w:rsidRPr="0043431B">
        <w:rPr>
          <w:rFonts w:cs="Times New Roman"/>
          <w:szCs w:val="20"/>
        </w:rPr>
        <w:t xml:space="preserve">the remaining diseases </w:t>
      </w:r>
      <w:r w:rsidR="002A507E">
        <w:rPr>
          <w:rFonts w:cs="Times New Roman"/>
          <w:szCs w:val="20"/>
        </w:rPr>
        <w:t xml:space="preserve">for the </w:t>
      </w:r>
      <w:r w:rsidR="00A532F9" w:rsidRPr="0043431B">
        <w:rPr>
          <w:rFonts w:cs="Times New Roman"/>
          <w:szCs w:val="20"/>
        </w:rPr>
        <w:t>assess</w:t>
      </w:r>
      <w:r w:rsidR="002A507E">
        <w:rPr>
          <w:rFonts w:cs="Times New Roman"/>
          <w:szCs w:val="20"/>
        </w:rPr>
        <w:t>ment of</w:t>
      </w:r>
      <w:r w:rsidR="00A532F9" w:rsidRPr="0043431B">
        <w:rPr>
          <w:rFonts w:cs="Times New Roman"/>
          <w:szCs w:val="20"/>
        </w:rPr>
        <w:t xml:space="preserve"> </w:t>
      </w:r>
      <w:r w:rsidRPr="0043431B">
        <w:rPr>
          <w:rFonts w:cs="Times New Roman"/>
          <w:szCs w:val="20"/>
        </w:rPr>
        <w:t>susceptible species</w:t>
      </w:r>
      <w:r w:rsidR="0089637C">
        <w:rPr>
          <w:rFonts w:cs="Times New Roman"/>
          <w:szCs w:val="20"/>
        </w:rPr>
        <w:t xml:space="preserve">; however, it was agreed not </w:t>
      </w:r>
      <w:r w:rsidR="005066E5">
        <w:rPr>
          <w:rFonts w:cs="Times New Roman"/>
          <w:szCs w:val="20"/>
        </w:rPr>
        <w:t xml:space="preserve">to </w:t>
      </w:r>
      <w:r w:rsidR="0089637C">
        <w:rPr>
          <w:rFonts w:cs="Times New Roman"/>
          <w:szCs w:val="20"/>
        </w:rPr>
        <w:t>change the work plan</w:t>
      </w:r>
      <w:r w:rsidR="0025175D">
        <w:rPr>
          <w:rFonts w:cs="Times New Roman"/>
          <w:szCs w:val="20"/>
        </w:rPr>
        <w:t xml:space="preserve"> as</w:t>
      </w:r>
      <w:r w:rsidR="0089637C">
        <w:rPr>
          <w:rFonts w:cs="Times New Roman"/>
          <w:szCs w:val="20"/>
        </w:rPr>
        <w:t xml:space="preserve"> it </w:t>
      </w:r>
      <w:r w:rsidR="00A532F9" w:rsidRPr="0043431B">
        <w:rPr>
          <w:rFonts w:cs="Times New Roman"/>
          <w:szCs w:val="20"/>
        </w:rPr>
        <w:t>was already well underway</w:t>
      </w:r>
      <w:r w:rsidR="000733EE" w:rsidRPr="0043431B">
        <w:rPr>
          <w:rFonts w:cs="Times New Roman"/>
          <w:szCs w:val="20"/>
        </w:rPr>
        <w:t xml:space="preserve"> with the relevant </w:t>
      </w:r>
      <w:r w:rsidR="000733EE" w:rsidRPr="0043431B">
        <w:rPr>
          <w:rFonts w:cs="Times New Roman"/>
          <w:i/>
          <w:iCs/>
          <w:szCs w:val="20"/>
        </w:rPr>
        <w:t xml:space="preserve">ad hoc </w:t>
      </w:r>
      <w:r w:rsidR="000733EE" w:rsidRPr="0043431B">
        <w:rPr>
          <w:rFonts w:cs="Times New Roman"/>
          <w:szCs w:val="20"/>
        </w:rPr>
        <w:t>Groups</w:t>
      </w:r>
      <w:r w:rsidR="0089637C">
        <w:rPr>
          <w:rFonts w:cs="Times New Roman"/>
          <w:szCs w:val="20"/>
        </w:rPr>
        <w:t>.</w:t>
      </w:r>
    </w:p>
    <w:p w14:paraId="3A2CE7FA" w14:textId="77777777" w:rsidR="00FC7CE9" w:rsidRPr="0043431B" w:rsidRDefault="00EF4C26" w:rsidP="009A00F5">
      <w:pPr>
        <w:pStyle w:val="Titre1"/>
        <w:spacing w:before="0" w:after="240" w:line="240" w:lineRule="auto"/>
        <w:ind w:left="426" w:hanging="426"/>
        <w:jc w:val="both"/>
        <w:rPr>
          <w:rFonts w:ascii="Times New Roman" w:hAnsi="Times New Roman" w:cs="Times New Roman"/>
          <w:b/>
          <w:bCs/>
          <w:color w:val="auto"/>
          <w:sz w:val="20"/>
          <w:szCs w:val="20"/>
        </w:rPr>
      </w:pPr>
      <w:bookmarkStart w:id="9" w:name="_Toc38028618"/>
      <w:r w:rsidRPr="0043431B">
        <w:rPr>
          <w:rFonts w:ascii="Times New Roman" w:hAnsi="Times New Roman" w:cs="Times New Roman"/>
          <w:b/>
          <w:bCs/>
          <w:color w:val="auto"/>
          <w:sz w:val="20"/>
          <w:szCs w:val="20"/>
        </w:rPr>
        <w:t>7.</w:t>
      </w:r>
      <w:r w:rsidRPr="0043431B">
        <w:rPr>
          <w:rFonts w:ascii="Times New Roman" w:hAnsi="Times New Roman" w:cs="Times New Roman"/>
          <w:b/>
          <w:bCs/>
          <w:color w:val="auto"/>
          <w:sz w:val="20"/>
          <w:szCs w:val="20"/>
        </w:rPr>
        <w:tab/>
      </w:r>
      <w:r w:rsidR="0082506C" w:rsidRPr="0043431B">
        <w:rPr>
          <w:rFonts w:ascii="Times New Roman" w:hAnsi="Times New Roman" w:cs="Times New Roman"/>
          <w:b/>
          <w:bCs/>
          <w:color w:val="auto"/>
          <w:sz w:val="20"/>
          <w:szCs w:val="20"/>
        </w:rPr>
        <w:t xml:space="preserve">OIE </w:t>
      </w:r>
      <w:r w:rsidRPr="0043431B">
        <w:rPr>
          <w:rFonts w:ascii="Times New Roman" w:hAnsi="Times New Roman" w:cs="Times New Roman"/>
          <w:b/>
          <w:bCs/>
          <w:i/>
          <w:color w:val="auto"/>
          <w:sz w:val="20"/>
          <w:szCs w:val="20"/>
        </w:rPr>
        <w:t xml:space="preserve">AQUATIC </w:t>
      </w:r>
      <w:r w:rsidR="0082506C" w:rsidRPr="0043431B">
        <w:rPr>
          <w:rFonts w:ascii="Times New Roman" w:hAnsi="Times New Roman" w:cs="Times New Roman"/>
          <w:b/>
          <w:bCs/>
          <w:i/>
          <w:color w:val="auto"/>
          <w:sz w:val="20"/>
          <w:szCs w:val="20"/>
        </w:rPr>
        <w:t xml:space="preserve">ANIMAL HEALTH </w:t>
      </w:r>
      <w:r w:rsidRPr="0043431B">
        <w:rPr>
          <w:rFonts w:ascii="Times New Roman" w:hAnsi="Times New Roman" w:cs="Times New Roman"/>
          <w:b/>
          <w:bCs/>
          <w:i/>
          <w:color w:val="auto"/>
          <w:sz w:val="20"/>
          <w:szCs w:val="20"/>
        </w:rPr>
        <w:t>CODE</w:t>
      </w:r>
      <w:bookmarkEnd w:id="9"/>
    </w:p>
    <w:p w14:paraId="67CC2747" w14:textId="77777777" w:rsidR="00596091" w:rsidRPr="0043431B" w:rsidRDefault="00596091" w:rsidP="009A00F5">
      <w:pPr>
        <w:spacing w:after="240" w:line="240" w:lineRule="auto"/>
        <w:ind w:left="426"/>
        <w:jc w:val="both"/>
        <w:rPr>
          <w:rFonts w:cs="Times New Roman"/>
          <w:szCs w:val="20"/>
        </w:rPr>
      </w:pPr>
      <w:r w:rsidRPr="0043431B">
        <w:rPr>
          <w:rFonts w:cs="Times New Roman"/>
          <w:szCs w:val="20"/>
        </w:rPr>
        <w:t xml:space="preserve">The </w:t>
      </w:r>
      <w:r w:rsidR="00FC7CE9" w:rsidRPr="0043431B">
        <w:rPr>
          <w:rFonts w:cs="Times New Roman"/>
          <w:szCs w:val="20"/>
        </w:rPr>
        <w:t xml:space="preserve">Aquatic Animals </w:t>
      </w:r>
      <w:r w:rsidRPr="0043431B">
        <w:rPr>
          <w:rFonts w:cs="Times New Roman"/>
          <w:szCs w:val="20"/>
        </w:rPr>
        <w:t xml:space="preserve">Commission </w:t>
      </w:r>
      <w:r w:rsidR="00A97B65" w:rsidRPr="0043431B">
        <w:rPr>
          <w:rFonts w:cs="Times New Roman"/>
          <w:szCs w:val="20"/>
        </w:rPr>
        <w:t>noted that w</w:t>
      </w:r>
      <w:r w:rsidRPr="0043431B">
        <w:rPr>
          <w:rFonts w:cs="Times New Roman"/>
          <w:szCs w:val="20"/>
        </w:rPr>
        <w:t>here amendments were of an editorial nature, no explanatory text has been provided in this report</w:t>
      </w:r>
      <w:r w:rsidR="009D1D7D" w:rsidRPr="0043431B">
        <w:rPr>
          <w:rFonts w:cs="Times New Roman"/>
          <w:szCs w:val="20"/>
        </w:rPr>
        <w:t>.</w:t>
      </w:r>
    </w:p>
    <w:p w14:paraId="1E0BB73F" w14:textId="1A1FFCE6" w:rsidR="00EF4C26" w:rsidRPr="0043431B" w:rsidRDefault="00EF4C26" w:rsidP="009A00F5">
      <w:pPr>
        <w:pStyle w:val="Titre2"/>
        <w:spacing w:before="0" w:after="240" w:line="240" w:lineRule="auto"/>
        <w:ind w:left="851" w:hanging="425"/>
        <w:jc w:val="both"/>
        <w:rPr>
          <w:rFonts w:cs="Times New Roman"/>
          <w:b/>
          <w:bCs/>
          <w:szCs w:val="20"/>
        </w:rPr>
      </w:pPr>
      <w:bookmarkStart w:id="10" w:name="_Toc38028619"/>
      <w:r w:rsidRPr="0043431B">
        <w:rPr>
          <w:rFonts w:cs="Times New Roman"/>
          <w:b/>
          <w:bCs/>
          <w:szCs w:val="20"/>
        </w:rPr>
        <w:t>7.1.</w:t>
      </w:r>
      <w:r w:rsidRPr="0043431B">
        <w:rPr>
          <w:rFonts w:cs="Times New Roman"/>
          <w:b/>
          <w:bCs/>
          <w:szCs w:val="20"/>
        </w:rPr>
        <w:tab/>
        <w:t>Texts to b</w:t>
      </w:r>
      <w:r w:rsidR="0082506C" w:rsidRPr="0043431B">
        <w:rPr>
          <w:rFonts w:cs="Times New Roman"/>
          <w:b/>
          <w:bCs/>
          <w:szCs w:val="20"/>
        </w:rPr>
        <w:t>e</w:t>
      </w:r>
      <w:r w:rsidRPr="0043431B">
        <w:rPr>
          <w:rFonts w:cs="Times New Roman"/>
          <w:b/>
          <w:bCs/>
          <w:szCs w:val="20"/>
        </w:rPr>
        <w:t xml:space="preserve"> proposed for adoption in May 202</w:t>
      </w:r>
      <w:r w:rsidR="005756FA">
        <w:rPr>
          <w:rFonts w:cs="Times New Roman"/>
          <w:b/>
          <w:bCs/>
          <w:szCs w:val="20"/>
        </w:rPr>
        <w:t>1</w:t>
      </w:r>
      <w:bookmarkEnd w:id="10"/>
      <w:r w:rsidRPr="0043431B">
        <w:rPr>
          <w:rFonts w:cs="Times New Roman"/>
          <w:b/>
          <w:bCs/>
          <w:szCs w:val="20"/>
        </w:rPr>
        <w:t xml:space="preserve"> </w:t>
      </w:r>
    </w:p>
    <w:p w14:paraId="4281A74E" w14:textId="477452CC" w:rsidR="00EF4C26" w:rsidRPr="0043431B" w:rsidRDefault="00EF4C26" w:rsidP="009A00F5">
      <w:pPr>
        <w:pStyle w:val="Titre3"/>
        <w:spacing w:before="0" w:after="240" w:line="240" w:lineRule="auto"/>
        <w:ind w:left="1418" w:hanging="567"/>
        <w:jc w:val="both"/>
        <w:rPr>
          <w:rFonts w:cs="Times New Roman"/>
          <w:b/>
          <w:i w:val="0"/>
          <w:iCs/>
          <w:szCs w:val="20"/>
        </w:rPr>
      </w:pPr>
      <w:bookmarkStart w:id="11" w:name="_Toc38028620"/>
      <w:r w:rsidRPr="0043431B">
        <w:rPr>
          <w:rFonts w:cs="Times New Roman"/>
          <w:b/>
          <w:i w:val="0"/>
          <w:iCs/>
          <w:szCs w:val="20"/>
        </w:rPr>
        <w:t>7.1.1.</w:t>
      </w:r>
      <w:r w:rsidRPr="0043431B">
        <w:rPr>
          <w:rFonts w:cs="Times New Roman"/>
          <w:b/>
          <w:i w:val="0"/>
          <w:iCs/>
          <w:szCs w:val="20"/>
        </w:rPr>
        <w:tab/>
        <w:t xml:space="preserve">New draft chapter on Biosecurity for </w:t>
      </w:r>
      <w:r w:rsidR="00544C82" w:rsidRPr="0043431B">
        <w:rPr>
          <w:rFonts w:cs="Times New Roman"/>
          <w:b/>
          <w:i w:val="0"/>
          <w:iCs/>
          <w:szCs w:val="20"/>
        </w:rPr>
        <w:t>a</w:t>
      </w:r>
      <w:r w:rsidRPr="0043431B">
        <w:rPr>
          <w:rFonts w:cs="Times New Roman"/>
          <w:b/>
          <w:i w:val="0"/>
          <w:iCs/>
          <w:szCs w:val="20"/>
        </w:rPr>
        <w:t xml:space="preserve">quaculture </w:t>
      </w:r>
      <w:r w:rsidR="00544C82" w:rsidRPr="0043431B">
        <w:rPr>
          <w:rFonts w:cs="Times New Roman"/>
          <w:b/>
          <w:i w:val="0"/>
          <w:iCs/>
          <w:szCs w:val="20"/>
        </w:rPr>
        <w:t>e</w:t>
      </w:r>
      <w:r w:rsidRPr="0043431B">
        <w:rPr>
          <w:rFonts w:cs="Times New Roman"/>
          <w:b/>
          <w:i w:val="0"/>
          <w:iCs/>
          <w:szCs w:val="20"/>
        </w:rPr>
        <w:t>stablishments (Chapter 4.X)</w:t>
      </w:r>
      <w:bookmarkEnd w:id="11"/>
      <w:r w:rsidRPr="0043431B">
        <w:rPr>
          <w:rFonts w:cs="Times New Roman"/>
          <w:b/>
          <w:i w:val="0"/>
          <w:iCs/>
          <w:szCs w:val="20"/>
        </w:rPr>
        <w:t xml:space="preserve"> </w:t>
      </w:r>
    </w:p>
    <w:p w14:paraId="02FC36C1" w14:textId="020787EB" w:rsidR="00DE5308" w:rsidRPr="0043431B" w:rsidRDefault="00DE5308" w:rsidP="009A00F5">
      <w:pPr>
        <w:spacing w:after="240" w:line="240" w:lineRule="auto"/>
        <w:ind w:left="1440"/>
        <w:jc w:val="both"/>
        <w:rPr>
          <w:rFonts w:cs="Times New Roman"/>
          <w:szCs w:val="20"/>
        </w:rPr>
      </w:pPr>
      <w:r w:rsidRPr="0043431B">
        <w:rPr>
          <w:rFonts w:cs="Times New Roman"/>
          <w:szCs w:val="20"/>
        </w:rPr>
        <w:t>Comments were received from Argentina, Australia, Canada, Chile, Chinese Taipei, Cuba, Japan, New Caledonia, New Zealand, Nicaragua, Norway, the USA,</w:t>
      </w:r>
      <w:r w:rsidR="00A351EB">
        <w:rPr>
          <w:rFonts w:cs="Times New Roman"/>
          <w:szCs w:val="20"/>
        </w:rPr>
        <w:t xml:space="preserve"> the</w:t>
      </w:r>
      <w:r w:rsidRPr="0043431B">
        <w:rPr>
          <w:rFonts w:cs="Times New Roman"/>
          <w:szCs w:val="20"/>
        </w:rPr>
        <w:t xml:space="preserve"> EU and AU-IBAR.</w:t>
      </w:r>
    </w:p>
    <w:p w14:paraId="20CD2E4E" w14:textId="77777777" w:rsidR="00EF4C26" w:rsidRPr="0043431B" w:rsidRDefault="00EF4C26" w:rsidP="009A00F5">
      <w:pPr>
        <w:spacing w:after="240" w:line="240" w:lineRule="auto"/>
        <w:ind w:left="1440"/>
        <w:jc w:val="both"/>
        <w:rPr>
          <w:rFonts w:cs="Times New Roman"/>
          <w:i/>
          <w:iCs/>
          <w:szCs w:val="20"/>
        </w:rPr>
      </w:pPr>
      <w:r w:rsidRPr="0043431B">
        <w:rPr>
          <w:rFonts w:cs="Times New Roman"/>
          <w:i/>
          <w:iCs/>
          <w:szCs w:val="20"/>
        </w:rPr>
        <w:t>Background</w:t>
      </w:r>
    </w:p>
    <w:p w14:paraId="7A7635E9" w14:textId="4CCED3E8" w:rsidR="00EF4C26" w:rsidRPr="0043431B" w:rsidRDefault="00544C82" w:rsidP="009A00F5">
      <w:pPr>
        <w:spacing w:after="240" w:line="240" w:lineRule="auto"/>
        <w:ind w:left="1440"/>
        <w:jc w:val="both"/>
        <w:rPr>
          <w:rFonts w:cs="Times New Roman"/>
          <w:szCs w:val="20"/>
        </w:rPr>
      </w:pPr>
      <w:r w:rsidRPr="0043431B">
        <w:rPr>
          <w:rFonts w:cs="Times New Roman"/>
          <w:szCs w:val="20"/>
        </w:rPr>
        <w:t>The</w:t>
      </w:r>
      <w:r w:rsidR="00EF4C26" w:rsidRPr="0043431B">
        <w:rPr>
          <w:rFonts w:cs="Times New Roman"/>
          <w:szCs w:val="20"/>
        </w:rPr>
        <w:t xml:space="preserve"> new </w:t>
      </w:r>
      <w:r w:rsidRPr="0043431B">
        <w:rPr>
          <w:rFonts w:cs="Times New Roman"/>
          <w:szCs w:val="20"/>
        </w:rPr>
        <w:t xml:space="preserve">draft </w:t>
      </w:r>
      <w:r w:rsidR="00EF4C26" w:rsidRPr="0043431B">
        <w:rPr>
          <w:rFonts w:cs="Times New Roman"/>
          <w:szCs w:val="20"/>
        </w:rPr>
        <w:t xml:space="preserve">chapter </w:t>
      </w:r>
      <w:r w:rsidRPr="0043431B">
        <w:rPr>
          <w:rFonts w:cs="Times New Roman"/>
          <w:szCs w:val="20"/>
        </w:rPr>
        <w:t xml:space="preserve">on Biosecurity for aquaculture establishments (Chapter 4.X) is the second new chapter to be </w:t>
      </w:r>
      <w:r w:rsidR="00EF4C26" w:rsidRPr="0043431B">
        <w:rPr>
          <w:rFonts w:cs="Times New Roman"/>
          <w:szCs w:val="20"/>
        </w:rPr>
        <w:t xml:space="preserve">developed </w:t>
      </w:r>
      <w:r w:rsidRPr="0043431B">
        <w:rPr>
          <w:rFonts w:cs="Times New Roman"/>
          <w:szCs w:val="20"/>
        </w:rPr>
        <w:t xml:space="preserve">as part of the ongoing </w:t>
      </w:r>
      <w:r w:rsidR="00EF4C26" w:rsidRPr="0043431B">
        <w:rPr>
          <w:rFonts w:cs="Times New Roman"/>
          <w:szCs w:val="20"/>
        </w:rPr>
        <w:t>revision of Section 4</w:t>
      </w:r>
      <w:r w:rsidRPr="0043431B">
        <w:rPr>
          <w:rFonts w:cs="Times New Roman"/>
          <w:szCs w:val="20"/>
        </w:rPr>
        <w:t>,</w:t>
      </w:r>
      <w:r w:rsidR="00EF4C26" w:rsidRPr="0043431B">
        <w:rPr>
          <w:rFonts w:cs="Times New Roman"/>
          <w:szCs w:val="20"/>
        </w:rPr>
        <w:t xml:space="preserve"> Disease Prevention and Control. Th</w:t>
      </w:r>
      <w:r w:rsidRPr="0043431B">
        <w:rPr>
          <w:rFonts w:cs="Times New Roman"/>
          <w:szCs w:val="20"/>
        </w:rPr>
        <w:t>e</w:t>
      </w:r>
      <w:r w:rsidR="00EF4C26" w:rsidRPr="0043431B">
        <w:rPr>
          <w:rFonts w:cs="Times New Roman"/>
          <w:szCs w:val="20"/>
        </w:rPr>
        <w:t xml:space="preserve"> draft chapter </w:t>
      </w:r>
      <w:r w:rsidRPr="0043431B">
        <w:rPr>
          <w:rFonts w:cs="Times New Roman"/>
          <w:szCs w:val="20"/>
        </w:rPr>
        <w:t xml:space="preserve">has been </w:t>
      </w:r>
      <w:r w:rsidR="00EF4C26" w:rsidRPr="0043431B">
        <w:rPr>
          <w:rFonts w:cs="Times New Roman"/>
          <w:szCs w:val="20"/>
        </w:rPr>
        <w:t xml:space="preserve">circulated </w:t>
      </w:r>
      <w:r w:rsidRPr="0043431B">
        <w:rPr>
          <w:rFonts w:cs="Times New Roman"/>
          <w:szCs w:val="20"/>
        </w:rPr>
        <w:t xml:space="preserve">three times </w:t>
      </w:r>
      <w:r w:rsidR="0089637C">
        <w:rPr>
          <w:rFonts w:cs="Times New Roman"/>
          <w:szCs w:val="20"/>
        </w:rPr>
        <w:t xml:space="preserve">for comment </w:t>
      </w:r>
      <w:r w:rsidRPr="0043431B">
        <w:rPr>
          <w:rFonts w:cs="Times New Roman"/>
          <w:szCs w:val="20"/>
        </w:rPr>
        <w:t xml:space="preserve">between September 2018 and </w:t>
      </w:r>
      <w:r w:rsidR="00EF4C26" w:rsidRPr="0043431B">
        <w:rPr>
          <w:rFonts w:cs="Times New Roman"/>
          <w:szCs w:val="20"/>
        </w:rPr>
        <w:t xml:space="preserve">September 2019. </w:t>
      </w:r>
    </w:p>
    <w:p w14:paraId="23FF18BE" w14:textId="55DFF4C8" w:rsidR="00EF4C26" w:rsidRPr="0043431B" w:rsidRDefault="00EF4C26" w:rsidP="009A00F5">
      <w:pPr>
        <w:spacing w:after="240" w:line="240" w:lineRule="auto"/>
        <w:ind w:left="1440"/>
        <w:jc w:val="both"/>
        <w:rPr>
          <w:rFonts w:cs="Times New Roman"/>
          <w:szCs w:val="20"/>
        </w:rPr>
      </w:pPr>
      <w:r w:rsidRPr="0043431B">
        <w:rPr>
          <w:rFonts w:cs="Times New Roman"/>
          <w:szCs w:val="20"/>
        </w:rPr>
        <w:t xml:space="preserve">At the September 2019 meeting, the </w:t>
      </w:r>
      <w:r w:rsidR="0082506C" w:rsidRPr="0043431B">
        <w:rPr>
          <w:rFonts w:cs="Times New Roman"/>
          <w:szCs w:val="20"/>
        </w:rPr>
        <w:t xml:space="preserve">Aquatic Animals Commission </w:t>
      </w:r>
      <w:r w:rsidR="0089637C">
        <w:rPr>
          <w:rFonts w:cs="Times New Roman"/>
          <w:szCs w:val="20"/>
        </w:rPr>
        <w:t xml:space="preserve">revised the chapter in response to </w:t>
      </w:r>
      <w:r w:rsidRPr="0043431B">
        <w:rPr>
          <w:rFonts w:cs="Times New Roman"/>
          <w:szCs w:val="20"/>
        </w:rPr>
        <w:t xml:space="preserve">two important issues raised by Members: fallowing and biosecurity at the compartment level. </w:t>
      </w:r>
    </w:p>
    <w:p w14:paraId="0C64F67C" w14:textId="77777777" w:rsidR="00EF4C26" w:rsidRPr="0043431B" w:rsidRDefault="00C30894" w:rsidP="009A00F5">
      <w:pPr>
        <w:spacing w:after="240" w:line="240" w:lineRule="auto"/>
        <w:ind w:left="1440"/>
        <w:jc w:val="both"/>
        <w:rPr>
          <w:rFonts w:cs="Times New Roman"/>
          <w:b/>
          <w:bCs/>
          <w:szCs w:val="20"/>
        </w:rPr>
      </w:pPr>
      <w:r>
        <w:rPr>
          <w:rFonts w:cs="Times New Roman"/>
          <w:b/>
          <w:bCs/>
          <w:szCs w:val="20"/>
        </w:rPr>
        <w:t>Previous Commission reports where this item was discussed</w:t>
      </w:r>
      <w:r w:rsidR="00EF4C26" w:rsidRPr="0043431B">
        <w:rPr>
          <w:rFonts w:cs="Times New Roman"/>
          <w:b/>
          <w:bCs/>
          <w:szCs w:val="20"/>
        </w:rPr>
        <w:t>:</w:t>
      </w:r>
    </w:p>
    <w:p w14:paraId="1850B523" w14:textId="5920E04D" w:rsidR="00EF4C26" w:rsidRPr="0043431B" w:rsidRDefault="00EF4C26" w:rsidP="009A00F5">
      <w:pPr>
        <w:spacing w:after="240" w:line="240" w:lineRule="auto"/>
        <w:ind w:left="1440"/>
        <w:jc w:val="both"/>
        <w:rPr>
          <w:rFonts w:cs="Times New Roman"/>
          <w:szCs w:val="20"/>
        </w:rPr>
      </w:pPr>
      <w:r w:rsidRPr="0043431B">
        <w:rPr>
          <w:rFonts w:cs="Times New Roman"/>
          <w:szCs w:val="20"/>
        </w:rPr>
        <w:t>September 2018 report</w:t>
      </w:r>
      <w:r w:rsidR="00C30894">
        <w:rPr>
          <w:rFonts w:cs="Times New Roman"/>
          <w:szCs w:val="20"/>
        </w:rPr>
        <w:t xml:space="preserve"> (</w:t>
      </w:r>
      <w:r w:rsidRPr="0043431B">
        <w:rPr>
          <w:rFonts w:cs="Times New Roman"/>
          <w:szCs w:val="20"/>
        </w:rPr>
        <w:t xml:space="preserve">Item 2.9, </w:t>
      </w:r>
      <w:r w:rsidR="00ED35A8" w:rsidRPr="0043431B">
        <w:rPr>
          <w:rFonts w:cs="Times New Roman"/>
          <w:szCs w:val="20"/>
        </w:rPr>
        <w:t>page 61</w:t>
      </w:r>
      <w:r w:rsidR="00C30894">
        <w:rPr>
          <w:rFonts w:cs="Times New Roman"/>
          <w:szCs w:val="20"/>
        </w:rPr>
        <w:t xml:space="preserve">); </w:t>
      </w:r>
      <w:r w:rsidRPr="0043431B">
        <w:rPr>
          <w:rFonts w:cs="Times New Roman"/>
          <w:szCs w:val="20"/>
        </w:rPr>
        <w:t>February 2019 report</w:t>
      </w:r>
      <w:r w:rsidR="00C30894">
        <w:rPr>
          <w:rFonts w:cs="Times New Roman"/>
          <w:szCs w:val="20"/>
        </w:rPr>
        <w:t xml:space="preserve"> (</w:t>
      </w:r>
      <w:r w:rsidRPr="0043431B">
        <w:rPr>
          <w:rFonts w:cs="Times New Roman"/>
          <w:szCs w:val="20"/>
        </w:rPr>
        <w:t xml:space="preserve">Item 2.1, </w:t>
      </w:r>
      <w:r w:rsidR="00ED35A8" w:rsidRPr="0043431B">
        <w:rPr>
          <w:rFonts w:cs="Times New Roman"/>
          <w:szCs w:val="20"/>
        </w:rPr>
        <w:t>page 103</w:t>
      </w:r>
      <w:r w:rsidR="00C30894">
        <w:rPr>
          <w:rFonts w:cs="Times New Roman"/>
          <w:szCs w:val="20"/>
        </w:rPr>
        <w:t xml:space="preserve">); </w:t>
      </w:r>
      <w:r w:rsidRPr="0043431B">
        <w:rPr>
          <w:rFonts w:cs="Times New Roman"/>
          <w:szCs w:val="20"/>
        </w:rPr>
        <w:t>September 2019 report</w:t>
      </w:r>
      <w:r w:rsidR="00C30894">
        <w:rPr>
          <w:rFonts w:cs="Times New Roman"/>
          <w:szCs w:val="20"/>
        </w:rPr>
        <w:t xml:space="preserve"> (</w:t>
      </w:r>
      <w:r w:rsidRPr="0043431B">
        <w:rPr>
          <w:rFonts w:cs="Times New Roman"/>
          <w:szCs w:val="20"/>
        </w:rPr>
        <w:t xml:space="preserve">Item 6.1, </w:t>
      </w:r>
      <w:r w:rsidR="00ED35A8" w:rsidRPr="0043431B">
        <w:rPr>
          <w:rFonts w:cs="Times New Roman"/>
          <w:szCs w:val="20"/>
        </w:rPr>
        <w:t>page</w:t>
      </w:r>
      <w:r w:rsidR="00C30894">
        <w:rPr>
          <w:rFonts w:cs="Times New Roman"/>
          <w:szCs w:val="20"/>
        </w:rPr>
        <w:t>s</w:t>
      </w:r>
      <w:r w:rsidR="00ED35A8" w:rsidRPr="0043431B">
        <w:rPr>
          <w:rFonts w:cs="Times New Roman"/>
          <w:szCs w:val="20"/>
        </w:rPr>
        <w:t xml:space="preserve"> 21 </w:t>
      </w:r>
      <w:r w:rsidR="00FD7121">
        <w:rPr>
          <w:rFonts w:cs="Times New Roman"/>
          <w:szCs w:val="20"/>
        </w:rPr>
        <w:t>and</w:t>
      </w:r>
      <w:r w:rsidR="00ED35A8" w:rsidRPr="0043431B">
        <w:rPr>
          <w:rFonts w:cs="Times New Roman"/>
          <w:szCs w:val="20"/>
        </w:rPr>
        <w:t xml:space="preserve"> 3</w:t>
      </w:r>
      <w:r w:rsidR="008E5D8B">
        <w:rPr>
          <w:rFonts w:cs="Times New Roman"/>
          <w:szCs w:val="20"/>
        </w:rPr>
        <w:t>3</w:t>
      </w:r>
      <w:r w:rsidR="00C30894">
        <w:rPr>
          <w:rFonts w:cs="Times New Roman"/>
          <w:szCs w:val="20"/>
        </w:rPr>
        <w:t>)</w:t>
      </w:r>
      <w:r w:rsidR="009A00F5">
        <w:rPr>
          <w:rFonts w:cs="Times New Roman"/>
          <w:szCs w:val="20"/>
        </w:rPr>
        <w:t>.</w:t>
      </w:r>
      <w:r w:rsidR="00C30894" w:rsidRPr="0043431B" w:rsidDel="00C30894">
        <w:rPr>
          <w:rFonts w:cs="Times New Roman"/>
          <w:szCs w:val="20"/>
        </w:rPr>
        <w:t xml:space="preserve"> </w:t>
      </w:r>
    </w:p>
    <w:p w14:paraId="6B41BB21" w14:textId="77777777" w:rsidR="00EF4C26" w:rsidRPr="0043431B" w:rsidRDefault="00EF4C26" w:rsidP="009A00F5">
      <w:pPr>
        <w:spacing w:after="240" w:line="240" w:lineRule="auto"/>
        <w:ind w:left="1440"/>
        <w:jc w:val="both"/>
        <w:rPr>
          <w:rFonts w:cs="Times New Roman"/>
          <w:b/>
          <w:bCs/>
          <w:szCs w:val="20"/>
        </w:rPr>
      </w:pPr>
      <w:r w:rsidRPr="0043431B">
        <w:rPr>
          <w:rFonts w:cs="Times New Roman"/>
          <w:b/>
          <w:bCs/>
          <w:szCs w:val="20"/>
        </w:rPr>
        <w:t>February 2020 meeting</w:t>
      </w:r>
    </w:p>
    <w:p w14:paraId="53B4E2C3" w14:textId="77777777" w:rsidR="00EF4C26" w:rsidRPr="0043431B" w:rsidRDefault="00EF4C26" w:rsidP="009A00F5">
      <w:pPr>
        <w:spacing w:after="240" w:line="240" w:lineRule="auto"/>
        <w:ind w:left="1440"/>
        <w:jc w:val="both"/>
        <w:rPr>
          <w:rFonts w:cs="Times New Roman"/>
          <w:szCs w:val="20"/>
          <w:u w:val="single"/>
        </w:rPr>
      </w:pPr>
      <w:r w:rsidRPr="0043431B">
        <w:rPr>
          <w:rFonts w:cs="Times New Roman"/>
          <w:szCs w:val="20"/>
          <w:u w:val="single"/>
        </w:rPr>
        <w:t>General comments</w:t>
      </w:r>
    </w:p>
    <w:p w14:paraId="5D6C43C1" w14:textId="77777777" w:rsidR="00EF4C26" w:rsidRPr="0043431B" w:rsidRDefault="00EF4C26" w:rsidP="009A00F5">
      <w:pPr>
        <w:spacing w:after="240" w:line="240" w:lineRule="auto"/>
        <w:ind w:left="1440"/>
        <w:jc w:val="both"/>
        <w:rPr>
          <w:rFonts w:cs="Times New Roman"/>
          <w:b/>
          <w:bCs/>
          <w:szCs w:val="20"/>
          <w:u w:val="single"/>
        </w:rPr>
      </w:pPr>
      <w:r w:rsidRPr="0043431B">
        <w:rPr>
          <w:rFonts w:cs="Times New Roman"/>
          <w:szCs w:val="20"/>
        </w:rPr>
        <w:t xml:space="preserve">The </w:t>
      </w:r>
      <w:r w:rsidR="0082506C" w:rsidRPr="0043431B">
        <w:rPr>
          <w:rFonts w:cs="Times New Roman"/>
          <w:szCs w:val="20"/>
        </w:rPr>
        <w:t xml:space="preserve">Commission </w:t>
      </w:r>
      <w:r w:rsidRPr="0043431B">
        <w:rPr>
          <w:rFonts w:cs="Times New Roman"/>
          <w:szCs w:val="20"/>
        </w:rPr>
        <w:t xml:space="preserve">noted that </w:t>
      </w:r>
      <w:r w:rsidR="00DE5308" w:rsidRPr="0043431B">
        <w:rPr>
          <w:rFonts w:cs="Times New Roman"/>
          <w:szCs w:val="20"/>
        </w:rPr>
        <w:t xml:space="preserve">comments received </w:t>
      </w:r>
      <w:r w:rsidRPr="0043431B">
        <w:rPr>
          <w:rFonts w:cs="Times New Roman"/>
          <w:szCs w:val="20"/>
        </w:rPr>
        <w:t>support</w:t>
      </w:r>
      <w:r w:rsidR="00DE5308" w:rsidRPr="0043431B">
        <w:rPr>
          <w:rFonts w:cs="Times New Roman"/>
          <w:szCs w:val="20"/>
        </w:rPr>
        <w:t>ed</w:t>
      </w:r>
      <w:r w:rsidRPr="0043431B">
        <w:rPr>
          <w:rFonts w:cs="Times New Roman"/>
          <w:szCs w:val="20"/>
        </w:rPr>
        <w:t xml:space="preserve"> the draft chapter and </w:t>
      </w:r>
      <w:r w:rsidR="00DE5308" w:rsidRPr="0043431B">
        <w:rPr>
          <w:rFonts w:cs="Times New Roman"/>
          <w:szCs w:val="20"/>
        </w:rPr>
        <w:t xml:space="preserve">that the majority of </w:t>
      </w:r>
      <w:r w:rsidRPr="0043431B">
        <w:rPr>
          <w:rFonts w:cs="Times New Roman"/>
          <w:szCs w:val="20"/>
        </w:rPr>
        <w:t>comments were editorial</w:t>
      </w:r>
      <w:r w:rsidR="00DE5308" w:rsidRPr="0043431B">
        <w:rPr>
          <w:rFonts w:cs="Times New Roman"/>
          <w:szCs w:val="20"/>
        </w:rPr>
        <w:t xml:space="preserve"> in nature</w:t>
      </w:r>
      <w:r w:rsidRPr="0043431B">
        <w:rPr>
          <w:rFonts w:cs="Times New Roman"/>
          <w:szCs w:val="20"/>
        </w:rPr>
        <w:t xml:space="preserve">. </w:t>
      </w:r>
    </w:p>
    <w:p w14:paraId="1D70390E" w14:textId="77777777" w:rsidR="00EF4C26" w:rsidRPr="0043431B" w:rsidRDefault="00EF4C26" w:rsidP="009A00F5">
      <w:pPr>
        <w:spacing w:after="240" w:line="240" w:lineRule="auto"/>
        <w:ind w:left="1440"/>
        <w:jc w:val="both"/>
        <w:rPr>
          <w:rFonts w:cs="Times New Roman"/>
          <w:szCs w:val="20"/>
        </w:rPr>
      </w:pPr>
      <w:r w:rsidRPr="0043431B">
        <w:rPr>
          <w:rFonts w:cs="Times New Roman"/>
          <w:szCs w:val="20"/>
        </w:rPr>
        <w:t xml:space="preserve">The </w:t>
      </w:r>
      <w:r w:rsidR="0082506C" w:rsidRPr="0043431B">
        <w:rPr>
          <w:rFonts w:cs="Times New Roman"/>
          <w:szCs w:val="20"/>
        </w:rPr>
        <w:t xml:space="preserve">Commission </w:t>
      </w:r>
      <w:r w:rsidRPr="0043431B">
        <w:rPr>
          <w:rFonts w:cs="Times New Roman"/>
          <w:szCs w:val="20"/>
        </w:rPr>
        <w:t xml:space="preserve">reminded Members that Glossary terms are not italicised in titles. </w:t>
      </w:r>
    </w:p>
    <w:p w14:paraId="75497DD0" w14:textId="3D2A3802" w:rsidR="00EF4C26" w:rsidRPr="0043431B" w:rsidRDefault="00EF4C26" w:rsidP="009A00F5">
      <w:pPr>
        <w:spacing w:after="240" w:line="240" w:lineRule="auto"/>
        <w:ind w:left="1440"/>
        <w:jc w:val="both"/>
        <w:rPr>
          <w:rFonts w:cs="Times New Roman"/>
          <w:b/>
          <w:bCs/>
          <w:szCs w:val="20"/>
        </w:rPr>
      </w:pPr>
      <w:r w:rsidRPr="0043431B">
        <w:rPr>
          <w:rFonts w:cs="Times New Roman"/>
          <w:b/>
          <w:bCs/>
          <w:szCs w:val="20"/>
        </w:rPr>
        <w:t>Article 4.X.3 Introduction</w:t>
      </w:r>
    </w:p>
    <w:p w14:paraId="1F6C8974" w14:textId="1A25D601" w:rsidR="00EF4C26" w:rsidRPr="0043431B" w:rsidRDefault="00EF4C26" w:rsidP="009A00F5">
      <w:pPr>
        <w:spacing w:after="240" w:line="240" w:lineRule="auto"/>
        <w:ind w:left="1440"/>
        <w:jc w:val="both"/>
        <w:rPr>
          <w:rFonts w:cs="Times New Roman"/>
          <w:szCs w:val="20"/>
        </w:rPr>
      </w:pPr>
      <w:r w:rsidRPr="0043431B">
        <w:rPr>
          <w:rFonts w:cs="Times New Roman"/>
          <w:szCs w:val="20"/>
        </w:rPr>
        <w:t xml:space="preserve">For consistency with other parts of the chapter, the </w:t>
      </w:r>
      <w:r w:rsidR="0082506C" w:rsidRPr="0043431B">
        <w:rPr>
          <w:rFonts w:cs="Times New Roman"/>
          <w:szCs w:val="20"/>
        </w:rPr>
        <w:t xml:space="preserve">Commission </w:t>
      </w:r>
      <w:r w:rsidRPr="0043431B">
        <w:rPr>
          <w:rFonts w:cs="Times New Roman"/>
          <w:szCs w:val="20"/>
        </w:rPr>
        <w:t xml:space="preserve">agreed to add ‘welfare’ to the opening sentence of the first paragraph. </w:t>
      </w:r>
    </w:p>
    <w:p w14:paraId="21E1E868" w14:textId="77777777" w:rsidR="00EF4C26" w:rsidRPr="0043431B" w:rsidRDefault="00EF4C26" w:rsidP="009A00F5">
      <w:pPr>
        <w:spacing w:after="240" w:line="240" w:lineRule="auto"/>
        <w:ind w:left="1440"/>
        <w:jc w:val="both"/>
        <w:rPr>
          <w:rFonts w:cs="Times New Roman"/>
          <w:szCs w:val="20"/>
        </w:rPr>
      </w:pPr>
      <w:bookmarkStart w:id="12" w:name="_Hlk33369475"/>
      <w:r w:rsidRPr="0043431B">
        <w:rPr>
          <w:rFonts w:cs="Times New Roman"/>
          <w:szCs w:val="20"/>
        </w:rPr>
        <w:t xml:space="preserve">The </w:t>
      </w:r>
      <w:r w:rsidR="0082506C" w:rsidRPr="0043431B">
        <w:rPr>
          <w:rFonts w:cs="Times New Roman"/>
          <w:szCs w:val="20"/>
        </w:rPr>
        <w:t xml:space="preserve">Commission </w:t>
      </w:r>
      <w:r w:rsidRPr="0043431B">
        <w:rPr>
          <w:rFonts w:cs="Times New Roman"/>
          <w:szCs w:val="20"/>
        </w:rPr>
        <w:t xml:space="preserve">agreed to add ‘may’ in the last paragraph, ‘The benefits may…’, </w:t>
      </w:r>
      <w:r w:rsidR="00E43502" w:rsidRPr="0043431B">
        <w:rPr>
          <w:rFonts w:cs="Times New Roman"/>
          <w:szCs w:val="20"/>
        </w:rPr>
        <w:t xml:space="preserve">noting that </w:t>
      </w:r>
      <w:r w:rsidRPr="0043431B">
        <w:rPr>
          <w:rFonts w:cs="Times New Roman"/>
          <w:szCs w:val="20"/>
        </w:rPr>
        <w:t xml:space="preserve">implementation of biosecurity will not necessarily result in improved market access. </w:t>
      </w:r>
    </w:p>
    <w:p w14:paraId="729D9946" w14:textId="237E442A" w:rsidR="00EF4C26" w:rsidRPr="0043431B" w:rsidRDefault="00EF4C26" w:rsidP="009A00F5">
      <w:pPr>
        <w:spacing w:after="240" w:line="240" w:lineRule="auto"/>
        <w:ind w:left="1440"/>
        <w:jc w:val="both"/>
        <w:rPr>
          <w:rFonts w:cs="Times New Roman"/>
          <w:b/>
          <w:bCs/>
          <w:szCs w:val="20"/>
        </w:rPr>
      </w:pPr>
      <w:r w:rsidRPr="0043431B">
        <w:rPr>
          <w:rFonts w:cs="Times New Roman"/>
          <w:b/>
          <w:bCs/>
          <w:szCs w:val="20"/>
        </w:rPr>
        <w:t>Article 4.X.4 General principles</w:t>
      </w:r>
    </w:p>
    <w:p w14:paraId="230DF4D0" w14:textId="77777777" w:rsidR="00EF4C26" w:rsidRPr="0043431B" w:rsidRDefault="00EF4C26" w:rsidP="009A00F5">
      <w:pPr>
        <w:spacing w:after="240" w:line="240" w:lineRule="auto"/>
        <w:ind w:left="1440"/>
        <w:jc w:val="both"/>
        <w:rPr>
          <w:rFonts w:cs="Times New Roman"/>
          <w:szCs w:val="20"/>
        </w:rPr>
      </w:pPr>
      <w:r w:rsidRPr="0043431B">
        <w:rPr>
          <w:rFonts w:cs="Times New Roman"/>
          <w:szCs w:val="20"/>
        </w:rPr>
        <w:t xml:space="preserve">The </w:t>
      </w:r>
      <w:r w:rsidR="0082506C" w:rsidRPr="0043431B">
        <w:rPr>
          <w:rFonts w:cs="Times New Roman"/>
          <w:szCs w:val="20"/>
        </w:rPr>
        <w:t xml:space="preserve">Commission </w:t>
      </w:r>
      <w:r w:rsidRPr="0043431B">
        <w:rPr>
          <w:rFonts w:cs="Times New Roman"/>
          <w:szCs w:val="20"/>
        </w:rPr>
        <w:t>did not agree to amend the Glossary definition of ‘biosecurity’ in line with the</w:t>
      </w:r>
      <w:r w:rsidR="00DA331F" w:rsidRPr="0043431B">
        <w:rPr>
          <w:rFonts w:cs="Times New Roman"/>
          <w:szCs w:val="20"/>
        </w:rPr>
        <w:t xml:space="preserve"> OIE</w:t>
      </w:r>
      <w:r w:rsidRPr="0043431B">
        <w:rPr>
          <w:rFonts w:cs="Times New Roman"/>
          <w:szCs w:val="20"/>
        </w:rPr>
        <w:t xml:space="preserve"> </w:t>
      </w:r>
      <w:r w:rsidRPr="0043431B">
        <w:rPr>
          <w:rFonts w:cs="Times New Roman"/>
          <w:i/>
          <w:iCs/>
          <w:szCs w:val="20"/>
        </w:rPr>
        <w:t xml:space="preserve">Terrestrial </w:t>
      </w:r>
      <w:r w:rsidR="00DA331F" w:rsidRPr="0043431B">
        <w:rPr>
          <w:rFonts w:cs="Times New Roman"/>
          <w:i/>
          <w:iCs/>
          <w:szCs w:val="20"/>
        </w:rPr>
        <w:t xml:space="preserve">Animal Health </w:t>
      </w:r>
      <w:r w:rsidRPr="0043431B">
        <w:rPr>
          <w:rFonts w:cs="Times New Roman"/>
          <w:i/>
          <w:iCs/>
          <w:szCs w:val="20"/>
        </w:rPr>
        <w:t>Code</w:t>
      </w:r>
      <w:r w:rsidRPr="0043431B">
        <w:rPr>
          <w:rFonts w:cs="Times New Roman"/>
          <w:szCs w:val="20"/>
        </w:rPr>
        <w:t xml:space="preserve"> </w:t>
      </w:r>
      <w:r w:rsidR="00DA331F" w:rsidRPr="0043431B">
        <w:rPr>
          <w:rFonts w:cs="Times New Roman"/>
          <w:i/>
          <w:szCs w:val="20"/>
        </w:rPr>
        <w:t>(Terrestrial Code)</w:t>
      </w:r>
      <w:r w:rsidR="008D48DF" w:rsidRPr="0043431B">
        <w:rPr>
          <w:rFonts w:cs="Times New Roman"/>
          <w:i/>
          <w:szCs w:val="20"/>
        </w:rPr>
        <w:t xml:space="preserve">. </w:t>
      </w:r>
      <w:r w:rsidR="008D48DF" w:rsidRPr="0043431B">
        <w:rPr>
          <w:rFonts w:cs="Times New Roman"/>
          <w:iCs/>
          <w:szCs w:val="20"/>
        </w:rPr>
        <w:t>The Commission</w:t>
      </w:r>
      <w:r w:rsidR="007F1B38" w:rsidRPr="0043431B">
        <w:rPr>
          <w:rFonts w:cs="Times New Roman"/>
          <w:iCs/>
          <w:szCs w:val="20"/>
        </w:rPr>
        <w:t xml:space="preserve"> </w:t>
      </w:r>
      <w:r w:rsidR="008D48DF" w:rsidRPr="0043431B">
        <w:rPr>
          <w:rFonts w:cs="Times New Roman"/>
          <w:iCs/>
          <w:szCs w:val="20"/>
        </w:rPr>
        <w:t>noted</w:t>
      </w:r>
      <w:r w:rsidR="007F1B38" w:rsidRPr="0043431B">
        <w:rPr>
          <w:rFonts w:cs="Times New Roman"/>
          <w:iCs/>
          <w:szCs w:val="20"/>
        </w:rPr>
        <w:t xml:space="preserve"> </w:t>
      </w:r>
      <w:r w:rsidR="008D48DF" w:rsidRPr="0043431B">
        <w:rPr>
          <w:rFonts w:cs="Times New Roman"/>
          <w:iCs/>
          <w:szCs w:val="20"/>
        </w:rPr>
        <w:t xml:space="preserve">that </w:t>
      </w:r>
      <w:r w:rsidR="007A5DAA" w:rsidRPr="0043431B">
        <w:rPr>
          <w:rFonts w:cs="Times New Roman"/>
          <w:iCs/>
          <w:szCs w:val="20"/>
        </w:rPr>
        <w:t xml:space="preserve">the </w:t>
      </w:r>
      <w:r w:rsidR="007F1B38" w:rsidRPr="0043431B">
        <w:rPr>
          <w:rFonts w:cs="Times New Roman"/>
          <w:iCs/>
          <w:szCs w:val="20"/>
        </w:rPr>
        <w:t xml:space="preserve">terms ‘infection’, ‘infestation’ and ‘disease’ are used differently in the Codes. </w:t>
      </w:r>
    </w:p>
    <w:p w14:paraId="69759611" w14:textId="0BBE8FC0" w:rsidR="00EF4C26" w:rsidRPr="0043431B" w:rsidRDefault="00EF4C26" w:rsidP="00F47555">
      <w:pPr>
        <w:spacing w:after="240" w:line="240" w:lineRule="auto"/>
        <w:ind w:left="1440"/>
        <w:jc w:val="both"/>
        <w:rPr>
          <w:rFonts w:cs="Times New Roman"/>
          <w:szCs w:val="20"/>
        </w:rPr>
      </w:pPr>
      <w:r w:rsidRPr="0043431B">
        <w:rPr>
          <w:rFonts w:cs="Times New Roman"/>
          <w:szCs w:val="20"/>
        </w:rPr>
        <w:lastRenderedPageBreak/>
        <w:t xml:space="preserve">In paragraph 1, the </w:t>
      </w:r>
      <w:r w:rsidR="0082506C" w:rsidRPr="0043431B">
        <w:rPr>
          <w:rFonts w:cs="Times New Roman"/>
          <w:szCs w:val="20"/>
        </w:rPr>
        <w:t xml:space="preserve">Commission </w:t>
      </w:r>
      <w:r w:rsidRPr="0043431B">
        <w:rPr>
          <w:rFonts w:cs="Times New Roman"/>
          <w:szCs w:val="20"/>
        </w:rPr>
        <w:t xml:space="preserve">agreed to move ‘planning’ to the beginning of the second sentence of the first paragraph to emphasise </w:t>
      </w:r>
      <w:r w:rsidR="00E43502" w:rsidRPr="0043431B">
        <w:rPr>
          <w:rFonts w:cs="Times New Roman"/>
          <w:szCs w:val="20"/>
        </w:rPr>
        <w:t xml:space="preserve">that </w:t>
      </w:r>
      <w:r w:rsidRPr="0043431B">
        <w:rPr>
          <w:rFonts w:cs="Times New Roman"/>
          <w:szCs w:val="20"/>
        </w:rPr>
        <w:t>th</w:t>
      </w:r>
      <w:r w:rsidR="00E43502" w:rsidRPr="0043431B">
        <w:rPr>
          <w:rFonts w:cs="Times New Roman"/>
          <w:szCs w:val="20"/>
        </w:rPr>
        <w:t>is</w:t>
      </w:r>
      <w:r w:rsidRPr="0043431B">
        <w:rPr>
          <w:rFonts w:cs="Times New Roman"/>
          <w:szCs w:val="20"/>
        </w:rPr>
        <w:t xml:space="preserve"> component </w:t>
      </w:r>
      <w:r w:rsidR="0089637C">
        <w:rPr>
          <w:rFonts w:cs="Times New Roman"/>
          <w:szCs w:val="20"/>
        </w:rPr>
        <w:t>i</w:t>
      </w:r>
      <w:r w:rsidRPr="0043431B">
        <w:rPr>
          <w:rFonts w:cs="Times New Roman"/>
          <w:szCs w:val="20"/>
        </w:rPr>
        <w:t xml:space="preserve">s an important first step </w:t>
      </w:r>
      <w:r w:rsidR="00E43502" w:rsidRPr="0043431B">
        <w:rPr>
          <w:rFonts w:cs="Times New Roman"/>
          <w:szCs w:val="20"/>
        </w:rPr>
        <w:t>for</w:t>
      </w:r>
      <w:r w:rsidRPr="0043431B">
        <w:rPr>
          <w:rFonts w:cs="Times New Roman"/>
          <w:szCs w:val="20"/>
        </w:rPr>
        <w:t xml:space="preserve"> biosecurity. </w:t>
      </w:r>
    </w:p>
    <w:bookmarkEnd w:id="12"/>
    <w:p w14:paraId="5F0B0774" w14:textId="77777777" w:rsidR="00EF4C26" w:rsidRPr="0043431B" w:rsidRDefault="00EF4C26" w:rsidP="00F47555">
      <w:pPr>
        <w:spacing w:after="240" w:line="240" w:lineRule="auto"/>
        <w:ind w:left="1440"/>
        <w:jc w:val="both"/>
        <w:rPr>
          <w:rFonts w:cs="Times New Roman"/>
          <w:szCs w:val="20"/>
        </w:rPr>
      </w:pPr>
      <w:r w:rsidRPr="0043431B">
        <w:rPr>
          <w:rFonts w:cs="Times New Roman"/>
          <w:szCs w:val="20"/>
        </w:rPr>
        <w:t xml:space="preserve">In paragraph 1, the </w:t>
      </w:r>
      <w:r w:rsidR="0082506C" w:rsidRPr="0043431B">
        <w:rPr>
          <w:rFonts w:cs="Times New Roman"/>
          <w:szCs w:val="20"/>
        </w:rPr>
        <w:t xml:space="preserve">Commission </w:t>
      </w:r>
      <w:r w:rsidRPr="0043431B">
        <w:rPr>
          <w:rFonts w:cs="Times New Roman"/>
          <w:szCs w:val="20"/>
        </w:rPr>
        <w:t>did not agree with a request to delete the reference to ‘within an aquaculture establishment’ because the scope of this chapter is specific</w:t>
      </w:r>
      <w:r w:rsidR="00E43502" w:rsidRPr="0043431B">
        <w:rPr>
          <w:rFonts w:cs="Times New Roman"/>
          <w:szCs w:val="20"/>
        </w:rPr>
        <w:t xml:space="preserve"> to</w:t>
      </w:r>
      <w:r w:rsidRPr="0043431B">
        <w:rPr>
          <w:rFonts w:cs="Times New Roman"/>
          <w:szCs w:val="20"/>
        </w:rPr>
        <w:t xml:space="preserve"> biosecurity in aquaculture establishments. </w:t>
      </w:r>
    </w:p>
    <w:p w14:paraId="4529E1F4" w14:textId="79CC0D3D" w:rsidR="00EF4C26" w:rsidRPr="0043431B" w:rsidRDefault="007A5DAA" w:rsidP="00F47555">
      <w:pPr>
        <w:spacing w:after="240" w:line="240" w:lineRule="auto"/>
        <w:ind w:left="1440"/>
        <w:jc w:val="both"/>
        <w:rPr>
          <w:rFonts w:cs="Times New Roman"/>
          <w:szCs w:val="20"/>
        </w:rPr>
      </w:pPr>
      <w:r w:rsidRPr="0043431B">
        <w:rPr>
          <w:rFonts w:cs="Times New Roman"/>
          <w:szCs w:val="20"/>
        </w:rPr>
        <w:t>T</w:t>
      </w:r>
      <w:r w:rsidR="00EF4C26" w:rsidRPr="0043431B">
        <w:rPr>
          <w:rFonts w:cs="Times New Roman"/>
          <w:szCs w:val="20"/>
        </w:rPr>
        <w:t xml:space="preserve">he </w:t>
      </w:r>
      <w:r w:rsidR="0082506C" w:rsidRPr="0043431B">
        <w:rPr>
          <w:rFonts w:cs="Times New Roman"/>
          <w:szCs w:val="20"/>
        </w:rPr>
        <w:t xml:space="preserve">Commission </w:t>
      </w:r>
      <w:r w:rsidR="00EF4C26" w:rsidRPr="0043431B">
        <w:rPr>
          <w:rFonts w:cs="Times New Roman"/>
          <w:szCs w:val="20"/>
        </w:rPr>
        <w:t xml:space="preserve">inserted a new point 5) to address signage, as it </w:t>
      </w:r>
      <w:r w:rsidR="00E43502" w:rsidRPr="0043431B">
        <w:rPr>
          <w:rFonts w:cs="Times New Roman"/>
          <w:szCs w:val="20"/>
        </w:rPr>
        <w:t xml:space="preserve">considered this </w:t>
      </w:r>
      <w:r w:rsidR="00EF4C26" w:rsidRPr="0043431B">
        <w:rPr>
          <w:rFonts w:cs="Times New Roman"/>
          <w:szCs w:val="20"/>
        </w:rPr>
        <w:t xml:space="preserve">an important tool </w:t>
      </w:r>
      <w:r w:rsidR="00E43502" w:rsidRPr="0043431B">
        <w:rPr>
          <w:rFonts w:cs="Times New Roman"/>
          <w:szCs w:val="20"/>
        </w:rPr>
        <w:t>to</w:t>
      </w:r>
      <w:r w:rsidR="00EF4C26" w:rsidRPr="0043431B">
        <w:rPr>
          <w:rFonts w:cs="Times New Roman"/>
          <w:szCs w:val="20"/>
        </w:rPr>
        <w:t xml:space="preserve"> rais</w:t>
      </w:r>
      <w:r w:rsidR="00E43502" w:rsidRPr="0043431B">
        <w:rPr>
          <w:rFonts w:cs="Times New Roman"/>
          <w:szCs w:val="20"/>
        </w:rPr>
        <w:t>e</w:t>
      </w:r>
      <w:r w:rsidR="00EF4C26" w:rsidRPr="0043431B">
        <w:rPr>
          <w:rFonts w:cs="Times New Roman"/>
          <w:szCs w:val="20"/>
        </w:rPr>
        <w:t xml:space="preserve"> awareness and understanding of </w:t>
      </w:r>
      <w:r w:rsidR="0089637C">
        <w:rPr>
          <w:rFonts w:cs="Times New Roman"/>
          <w:szCs w:val="20"/>
        </w:rPr>
        <w:t>certain</w:t>
      </w:r>
      <w:r w:rsidR="00EF4C26" w:rsidRPr="0043431B">
        <w:rPr>
          <w:rFonts w:cs="Times New Roman"/>
          <w:szCs w:val="20"/>
        </w:rPr>
        <w:t xml:space="preserve"> biosecurity measures. </w:t>
      </w:r>
    </w:p>
    <w:p w14:paraId="72CE2E4C" w14:textId="5662813A" w:rsidR="00EF4C26" w:rsidRPr="0043431B" w:rsidRDefault="00EF4C26" w:rsidP="00F47555">
      <w:pPr>
        <w:spacing w:after="240" w:line="240" w:lineRule="auto"/>
        <w:ind w:left="1440"/>
        <w:jc w:val="both"/>
        <w:rPr>
          <w:rFonts w:cs="Times New Roman"/>
          <w:szCs w:val="20"/>
        </w:rPr>
      </w:pPr>
      <w:r w:rsidRPr="0043431B">
        <w:rPr>
          <w:rFonts w:cs="Times New Roman"/>
          <w:szCs w:val="20"/>
        </w:rPr>
        <w:t>For point 1</w:t>
      </w:r>
      <w:r w:rsidR="00E43502" w:rsidRPr="0043431B">
        <w:rPr>
          <w:rFonts w:cs="Times New Roman"/>
          <w:szCs w:val="20"/>
        </w:rPr>
        <w:t>,</w:t>
      </w:r>
      <w:r w:rsidRPr="0043431B">
        <w:rPr>
          <w:rFonts w:cs="Times New Roman"/>
          <w:szCs w:val="20"/>
        </w:rPr>
        <w:t xml:space="preserve"> regarding potential pathways, the </w:t>
      </w:r>
      <w:r w:rsidR="0082506C" w:rsidRPr="0043431B">
        <w:rPr>
          <w:rFonts w:cs="Times New Roman"/>
          <w:szCs w:val="20"/>
        </w:rPr>
        <w:t xml:space="preserve">Commission </w:t>
      </w:r>
      <w:r w:rsidR="008D48DF" w:rsidRPr="0043431B">
        <w:rPr>
          <w:rFonts w:cs="Times New Roman"/>
          <w:szCs w:val="20"/>
        </w:rPr>
        <w:t xml:space="preserve">agreed to </w:t>
      </w:r>
      <w:r w:rsidRPr="0043431B">
        <w:rPr>
          <w:rFonts w:cs="Times New Roman"/>
          <w:szCs w:val="20"/>
        </w:rPr>
        <w:t>delete the reference to Article</w:t>
      </w:r>
      <w:r w:rsidR="00233054">
        <w:rPr>
          <w:rFonts w:cs="Times New Roman"/>
          <w:szCs w:val="20"/>
        </w:rPr>
        <w:t> </w:t>
      </w:r>
      <w:r w:rsidRPr="0043431B">
        <w:rPr>
          <w:rFonts w:cs="Times New Roman"/>
          <w:szCs w:val="20"/>
        </w:rPr>
        <w:t xml:space="preserve">4.X.5, </w:t>
      </w:r>
      <w:r w:rsidR="00E43502" w:rsidRPr="0043431B">
        <w:rPr>
          <w:rFonts w:cs="Times New Roman"/>
          <w:szCs w:val="20"/>
        </w:rPr>
        <w:t xml:space="preserve">noting that </w:t>
      </w:r>
      <w:r w:rsidRPr="0043431B">
        <w:rPr>
          <w:rFonts w:cs="Times New Roman"/>
          <w:szCs w:val="20"/>
        </w:rPr>
        <w:t xml:space="preserve">this </w:t>
      </w:r>
      <w:r w:rsidR="00E43502" w:rsidRPr="0043431B">
        <w:rPr>
          <w:rFonts w:cs="Times New Roman"/>
          <w:szCs w:val="20"/>
        </w:rPr>
        <w:t xml:space="preserve">cross reference was not correct as it </w:t>
      </w:r>
      <w:r w:rsidRPr="0043431B">
        <w:rPr>
          <w:rFonts w:cs="Times New Roman"/>
          <w:szCs w:val="20"/>
        </w:rPr>
        <w:t xml:space="preserve">refers to categories of aquaculture production systems and not pathways. </w:t>
      </w:r>
    </w:p>
    <w:p w14:paraId="6AD2FF96" w14:textId="2FD13222" w:rsidR="00EF4C26" w:rsidRPr="0043431B" w:rsidRDefault="00EF4C26" w:rsidP="00F47555">
      <w:pPr>
        <w:spacing w:after="240" w:line="240" w:lineRule="auto"/>
        <w:ind w:left="1440"/>
        <w:jc w:val="both"/>
        <w:rPr>
          <w:rFonts w:cs="Times New Roman"/>
          <w:szCs w:val="20"/>
        </w:rPr>
      </w:pPr>
      <w:r w:rsidRPr="0043431B">
        <w:rPr>
          <w:rFonts w:cs="Times New Roman"/>
          <w:szCs w:val="20"/>
        </w:rPr>
        <w:t xml:space="preserve">The </w:t>
      </w:r>
      <w:r w:rsidR="0082506C" w:rsidRPr="0043431B">
        <w:rPr>
          <w:rFonts w:cs="Times New Roman"/>
          <w:szCs w:val="20"/>
        </w:rPr>
        <w:t xml:space="preserve">Commission </w:t>
      </w:r>
      <w:r w:rsidRPr="0043431B">
        <w:rPr>
          <w:rFonts w:cs="Times New Roman"/>
          <w:szCs w:val="20"/>
        </w:rPr>
        <w:t xml:space="preserve">agreed </w:t>
      </w:r>
      <w:r w:rsidR="00E43502" w:rsidRPr="0043431B">
        <w:rPr>
          <w:rFonts w:cs="Times New Roman"/>
          <w:szCs w:val="20"/>
        </w:rPr>
        <w:t xml:space="preserve">with a comment </w:t>
      </w:r>
      <w:r w:rsidRPr="0043431B">
        <w:rPr>
          <w:rFonts w:cs="Times New Roman"/>
          <w:szCs w:val="20"/>
        </w:rPr>
        <w:t>that it is important to highlight that visitors to aquaculture establishments are briefed and supervised to ensure compliance with the biosecurity plan. However, the Commission considered that th</w:t>
      </w:r>
      <w:r w:rsidR="00E43502" w:rsidRPr="0043431B">
        <w:rPr>
          <w:rFonts w:cs="Times New Roman"/>
          <w:szCs w:val="20"/>
        </w:rPr>
        <w:t>is</w:t>
      </w:r>
      <w:r w:rsidRPr="0043431B">
        <w:rPr>
          <w:rFonts w:cs="Times New Roman"/>
          <w:szCs w:val="20"/>
        </w:rPr>
        <w:t xml:space="preserve"> issue was best addressed by </w:t>
      </w:r>
      <w:r w:rsidR="00E43502" w:rsidRPr="0043431B">
        <w:rPr>
          <w:rFonts w:cs="Times New Roman"/>
          <w:szCs w:val="20"/>
        </w:rPr>
        <w:t xml:space="preserve">the addition of </w:t>
      </w:r>
      <w:r w:rsidRPr="0043431B">
        <w:rPr>
          <w:rFonts w:cs="Times New Roman"/>
          <w:szCs w:val="20"/>
        </w:rPr>
        <w:t xml:space="preserve">a new point 7, </w:t>
      </w:r>
      <w:r w:rsidR="00A1771D">
        <w:rPr>
          <w:rFonts w:cs="Times New Roman"/>
          <w:szCs w:val="20"/>
        </w:rPr>
        <w:t>P</w:t>
      </w:r>
      <w:r w:rsidRPr="0043431B">
        <w:rPr>
          <w:rFonts w:cs="Times New Roman"/>
          <w:szCs w:val="20"/>
        </w:rPr>
        <w:t xml:space="preserve">ersonnel and visitors, </w:t>
      </w:r>
      <w:r w:rsidR="00E43502" w:rsidRPr="0043431B">
        <w:rPr>
          <w:rFonts w:cs="Times New Roman"/>
          <w:szCs w:val="20"/>
        </w:rPr>
        <w:t xml:space="preserve">in </w:t>
      </w:r>
      <w:r w:rsidRPr="0043431B">
        <w:rPr>
          <w:rFonts w:cs="Times New Roman"/>
          <w:szCs w:val="20"/>
        </w:rPr>
        <w:t xml:space="preserve">Article 4.X.6, Transmission pathways and mitigation measures. </w:t>
      </w:r>
    </w:p>
    <w:p w14:paraId="3BA3FF93" w14:textId="5FE965E9" w:rsidR="00EF4C26" w:rsidRPr="0043431B" w:rsidRDefault="00EF4C26" w:rsidP="00F47555">
      <w:pPr>
        <w:spacing w:after="240" w:line="240" w:lineRule="auto"/>
        <w:ind w:left="1440"/>
        <w:jc w:val="both"/>
        <w:rPr>
          <w:rFonts w:cs="Times New Roman"/>
          <w:szCs w:val="20"/>
        </w:rPr>
      </w:pPr>
      <w:r w:rsidRPr="0043431B">
        <w:rPr>
          <w:rFonts w:cs="Times New Roman"/>
          <w:szCs w:val="20"/>
        </w:rPr>
        <w:t xml:space="preserve">The Commission </w:t>
      </w:r>
      <w:r w:rsidR="00E43502" w:rsidRPr="0043431B">
        <w:rPr>
          <w:rFonts w:cs="Times New Roman"/>
          <w:szCs w:val="20"/>
        </w:rPr>
        <w:t xml:space="preserve">clarified </w:t>
      </w:r>
      <w:r w:rsidRPr="0043431B">
        <w:rPr>
          <w:rFonts w:cs="Times New Roman"/>
          <w:szCs w:val="20"/>
        </w:rPr>
        <w:t xml:space="preserve">that </w:t>
      </w:r>
      <w:r w:rsidR="00A351EB" w:rsidRPr="0043431B">
        <w:rPr>
          <w:rFonts w:cs="Times New Roman"/>
          <w:szCs w:val="20"/>
        </w:rPr>
        <w:t>third-party</w:t>
      </w:r>
      <w:r w:rsidRPr="0043431B">
        <w:rPr>
          <w:rFonts w:cs="Times New Roman"/>
          <w:szCs w:val="20"/>
        </w:rPr>
        <w:t xml:space="preserve"> audits would be</w:t>
      </w:r>
      <w:r w:rsidR="0089637C">
        <w:rPr>
          <w:rFonts w:cs="Times New Roman"/>
          <w:szCs w:val="20"/>
        </w:rPr>
        <w:t xml:space="preserve"> </w:t>
      </w:r>
      <w:r w:rsidR="00CC18A6">
        <w:rPr>
          <w:rFonts w:cs="Times New Roman"/>
          <w:szCs w:val="20"/>
        </w:rPr>
        <w:t>undertaken by</w:t>
      </w:r>
      <w:r w:rsidR="005756FA">
        <w:rPr>
          <w:rFonts w:cs="Times New Roman"/>
          <w:szCs w:val="20"/>
        </w:rPr>
        <w:t>,</w:t>
      </w:r>
      <w:r w:rsidR="00CC18A6">
        <w:rPr>
          <w:rFonts w:cs="Times New Roman"/>
          <w:szCs w:val="20"/>
        </w:rPr>
        <w:t xml:space="preserve"> or </w:t>
      </w:r>
      <w:r w:rsidR="005F1D66">
        <w:rPr>
          <w:rFonts w:cs="Times New Roman"/>
          <w:szCs w:val="20"/>
        </w:rPr>
        <w:t xml:space="preserve">on </w:t>
      </w:r>
      <w:r w:rsidR="00CC18A6">
        <w:rPr>
          <w:rFonts w:cs="Times New Roman"/>
          <w:szCs w:val="20"/>
        </w:rPr>
        <w:t>behalf of</w:t>
      </w:r>
      <w:r w:rsidR="005756FA">
        <w:rPr>
          <w:rFonts w:cs="Times New Roman"/>
          <w:szCs w:val="20"/>
        </w:rPr>
        <w:t>,</w:t>
      </w:r>
      <w:r w:rsidR="00CC18A6">
        <w:rPr>
          <w:rFonts w:cs="Times New Roman"/>
          <w:szCs w:val="20"/>
        </w:rPr>
        <w:t xml:space="preserve"> </w:t>
      </w:r>
      <w:r w:rsidRPr="0043431B">
        <w:rPr>
          <w:rFonts w:cs="Times New Roman"/>
          <w:szCs w:val="20"/>
        </w:rPr>
        <w:t xml:space="preserve">customers or regulators as </w:t>
      </w:r>
      <w:r w:rsidR="00CC18A6">
        <w:rPr>
          <w:rFonts w:cs="Times New Roman"/>
          <w:szCs w:val="20"/>
        </w:rPr>
        <w:t>noted in point 7</w:t>
      </w:r>
      <w:r w:rsidRPr="0043431B">
        <w:rPr>
          <w:rFonts w:cs="Times New Roman"/>
          <w:szCs w:val="20"/>
        </w:rPr>
        <w:t>.</w:t>
      </w:r>
    </w:p>
    <w:p w14:paraId="1D907B67" w14:textId="354B890A" w:rsidR="00EF4C26" w:rsidRPr="0043431B" w:rsidRDefault="00EF4C26" w:rsidP="00F47555">
      <w:pPr>
        <w:spacing w:after="240" w:line="240" w:lineRule="auto"/>
        <w:ind w:left="1440"/>
        <w:jc w:val="both"/>
        <w:rPr>
          <w:rFonts w:cs="Times New Roman"/>
          <w:b/>
          <w:bCs/>
          <w:szCs w:val="20"/>
        </w:rPr>
      </w:pPr>
      <w:r w:rsidRPr="0043431B">
        <w:rPr>
          <w:rFonts w:cs="Times New Roman"/>
          <w:b/>
          <w:bCs/>
          <w:szCs w:val="20"/>
        </w:rPr>
        <w:t>Article 4.X.5 Categories of aquaculture production systems</w:t>
      </w:r>
    </w:p>
    <w:p w14:paraId="4ADADF75" w14:textId="77777777" w:rsidR="00EF4C26" w:rsidRPr="0043431B" w:rsidRDefault="00EF4C26" w:rsidP="00F47555">
      <w:pPr>
        <w:spacing w:after="240" w:line="240" w:lineRule="auto"/>
        <w:ind w:left="1440"/>
        <w:jc w:val="both"/>
        <w:rPr>
          <w:rFonts w:cs="Times New Roman"/>
          <w:szCs w:val="20"/>
        </w:rPr>
      </w:pPr>
      <w:r w:rsidRPr="0043431B">
        <w:rPr>
          <w:rFonts w:cs="Times New Roman"/>
          <w:szCs w:val="20"/>
        </w:rPr>
        <w:t xml:space="preserve">The </w:t>
      </w:r>
      <w:r w:rsidR="0082506C" w:rsidRPr="0043431B">
        <w:rPr>
          <w:rFonts w:cs="Times New Roman"/>
          <w:szCs w:val="20"/>
        </w:rPr>
        <w:t xml:space="preserve">Commission </w:t>
      </w:r>
      <w:r w:rsidRPr="0043431B">
        <w:rPr>
          <w:rFonts w:cs="Times New Roman"/>
          <w:szCs w:val="20"/>
        </w:rPr>
        <w:t xml:space="preserve">agreed to add ‘system’ to all the category titles. </w:t>
      </w:r>
    </w:p>
    <w:p w14:paraId="49BB5874" w14:textId="33A5000D" w:rsidR="00EF4C26" w:rsidRPr="0043431B" w:rsidRDefault="00EF4C26" w:rsidP="00F47555">
      <w:pPr>
        <w:spacing w:after="240" w:line="240" w:lineRule="auto"/>
        <w:ind w:left="1440"/>
        <w:jc w:val="both"/>
        <w:rPr>
          <w:rFonts w:cs="Times New Roman"/>
          <w:szCs w:val="20"/>
        </w:rPr>
      </w:pPr>
      <w:r w:rsidRPr="0043431B">
        <w:rPr>
          <w:rFonts w:cs="Times New Roman"/>
          <w:szCs w:val="20"/>
        </w:rPr>
        <w:t xml:space="preserve">The </w:t>
      </w:r>
      <w:r w:rsidR="0082506C" w:rsidRPr="0043431B">
        <w:rPr>
          <w:rFonts w:cs="Times New Roman"/>
          <w:szCs w:val="20"/>
        </w:rPr>
        <w:t xml:space="preserve">Commission </w:t>
      </w:r>
      <w:r w:rsidRPr="0043431B">
        <w:rPr>
          <w:rFonts w:cs="Times New Roman"/>
          <w:szCs w:val="20"/>
        </w:rPr>
        <w:t xml:space="preserve">did not agree to add ‘troughs’ as examples of semi-closed systems because ‘trough’ is not a commonly used term. It also </w:t>
      </w:r>
      <w:r w:rsidR="00CC18A6">
        <w:rPr>
          <w:rFonts w:cs="Times New Roman"/>
          <w:szCs w:val="20"/>
        </w:rPr>
        <w:t>noted</w:t>
      </w:r>
      <w:r w:rsidRPr="0043431B">
        <w:rPr>
          <w:rFonts w:cs="Times New Roman"/>
          <w:szCs w:val="20"/>
        </w:rPr>
        <w:t xml:space="preserve"> that enclosed floating pens are</w:t>
      </w:r>
      <w:r w:rsidR="00CC18A6">
        <w:rPr>
          <w:rFonts w:cs="Times New Roman"/>
          <w:szCs w:val="20"/>
        </w:rPr>
        <w:t xml:space="preserve"> considered as</w:t>
      </w:r>
      <w:r w:rsidRPr="0043431B">
        <w:rPr>
          <w:rFonts w:cs="Times New Roman"/>
          <w:szCs w:val="20"/>
        </w:rPr>
        <w:t xml:space="preserve"> semi-closed systems because there is partial control over water entering and exiting the system. </w:t>
      </w:r>
    </w:p>
    <w:p w14:paraId="333D48E3" w14:textId="77777777" w:rsidR="00EF4C26" w:rsidRPr="003E6AFD" w:rsidRDefault="00EF4C26" w:rsidP="00F47555">
      <w:pPr>
        <w:spacing w:after="240" w:line="240" w:lineRule="auto"/>
        <w:ind w:left="1440"/>
        <w:jc w:val="both"/>
        <w:rPr>
          <w:rFonts w:cs="Times New Roman"/>
          <w:szCs w:val="20"/>
        </w:rPr>
      </w:pPr>
      <w:r w:rsidRPr="0043431B">
        <w:rPr>
          <w:rFonts w:cs="Times New Roman"/>
          <w:szCs w:val="20"/>
        </w:rPr>
        <w:t xml:space="preserve">For closed systems, the </w:t>
      </w:r>
      <w:r w:rsidR="0082506C" w:rsidRPr="0043431B">
        <w:rPr>
          <w:rFonts w:cs="Times New Roman"/>
          <w:szCs w:val="20"/>
        </w:rPr>
        <w:t xml:space="preserve">Commission </w:t>
      </w:r>
      <w:r w:rsidRPr="0043431B">
        <w:rPr>
          <w:rFonts w:cs="Times New Roman"/>
          <w:szCs w:val="20"/>
        </w:rPr>
        <w:t xml:space="preserve">agreed to move the last sentence, ‘Environmental conditions </w:t>
      </w:r>
      <w:r w:rsidRPr="003E6AFD">
        <w:rPr>
          <w:rFonts w:cs="Times New Roman"/>
          <w:szCs w:val="20"/>
        </w:rPr>
        <w:t xml:space="preserve">can also be controlled’, to the beginning of the paragraph to improve clarity. </w:t>
      </w:r>
    </w:p>
    <w:p w14:paraId="5121F1C6" w14:textId="49DEE7CA" w:rsidR="00EF4C26" w:rsidRPr="00DF0345" w:rsidRDefault="00EF4C26" w:rsidP="00F47555">
      <w:pPr>
        <w:spacing w:after="240" w:line="240" w:lineRule="auto"/>
        <w:ind w:left="1440"/>
        <w:jc w:val="both"/>
        <w:rPr>
          <w:rFonts w:cs="Times New Roman"/>
          <w:b/>
          <w:bCs/>
          <w:szCs w:val="20"/>
        </w:rPr>
      </w:pPr>
      <w:r w:rsidRPr="00DF0345">
        <w:rPr>
          <w:rFonts w:cs="Times New Roman"/>
          <w:b/>
          <w:bCs/>
          <w:szCs w:val="20"/>
        </w:rPr>
        <w:t>Article 4.X.5 bis Area management</w:t>
      </w:r>
    </w:p>
    <w:p w14:paraId="1E451372" w14:textId="77777777" w:rsidR="00EF4C26" w:rsidRPr="00685B5C" w:rsidRDefault="00336000" w:rsidP="00F47555">
      <w:pPr>
        <w:spacing w:after="240" w:line="240" w:lineRule="auto"/>
        <w:ind w:left="1440"/>
        <w:jc w:val="both"/>
        <w:rPr>
          <w:rFonts w:cs="Times New Roman"/>
          <w:szCs w:val="20"/>
        </w:rPr>
      </w:pPr>
      <w:r w:rsidRPr="003E6AFD">
        <w:rPr>
          <w:rFonts w:cs="Times New Roman"/>
          <w:szCs w:val="20"/>
        </w:rPr>
        <w:t>T</w:t>
      </w:r>
      <w:r w:rsidR="00EF4C26" w:rsidRPr="003E6AFD">
        <w:rPr>
          <w:rFonts w:cs="Times New Roman"/>
          <w:szCs w:val="20"/>
        </w:rPr>
        <w:t xml:space="preserve">he </w:t>
      </w:r>
      <w:r w:rsidR="0082506C" w:rsidRPr="003E6AFD">
        <w:rPr>
          <w:rFonts w:cs="Times New Roman"/>
          <w:szCs w:val="20"/>
        </w:rPr>
        <w:t xml:space="preserve">Commission </w:t>
      </w:r>
      <w:r w:rsidR="00EF4C26" w:rsidRPr="003E6AFD">
        <w:rPr>
          <w:rFonts w:cs="Times New Roman"/>
          <w:szCs w:val="20"/>
        </w:rPr>
        <w:t xml:space="preserve">did not agree </w:t>
      </w:r>
      <w:r w:rsidRPr="003E6AFD">
        <w:rPr>
          <w:rFonts w:cs="Times New Roman"/>
          <w:szCs w:val="20"/>
        </w:rPr>
        <w:t xml:space="preserve">with a comment </w:t>
      </w:r>
      <w:r w:rsidR="00EF4C26" w:rsidRPr="003E6AFD">
        <w:rPr>
          <w:rFonts w:cs="Times New Roman"/>
          <w:szCs w:val="20"/>
        </w:rPr>
        <w:t xml:space="preserve">to include a Glossary definition </w:t>
      </w:r>
      <w:r w:rsidRPr="003E6AFD">
        <w:rPr>
          <w:rFonts w:cs="Times New Roman"/>
          <w:szCs w:val="20"/>
        </w:rPr>
        <w:t>for</w:t>
      </w:r>
      <w:r w:rsidR="00EF4C26" w:rsidRPr="003E6AFD">
        <w:rPr>
          <w:rFonts w:cs="Times New Roman"/>
          <w:szCs w:val="20"/>
        </w:rPr>
        <w:t xml:space="preserve"> ‘area management’ </w:t>
      </w:r>
      <w:r w:rsidRPr="003E6AFD">
        <w:rPr>
          <w:rFonts w:cs="Times New Roman"/>
          <w:szCs w:val="20"/>
        </w:rPr>
        <w:t xml:space="preserve">as it considered </w:t>
      </w:r>
      <w:r w:rsidR="00EF4C26" w:rsidRPr="003E6AFD">
        <w:rPr>
          <w:rFonts w:cs="Times New Roman"/>
          <w:szCs w:val="20"/>
        </w:rPr>
        <w:t xml:space="preserve">the context of </w:t>
      </w:r>
      <w:r w:rsidRPr="003E6AFD">
        <w:rPr>
          <w:rFonts w:cs="Times New Roman"/>
          <w:szCs w:val="20"/>
        </w:rPr>
        <w:t xml:space="preserve">‘area management’ was </w:t>
      </w:r>
      <w:r w:rsidR="00EF4C26" w:rsidRPr="003E6AFD">
        <w:rPr>
          <w:rFonts w:cs="Times New Roman"/>
          <w:szCs w:val="20"/>
        </w:rPr>
        <w:t>clear</w:t>
      </w:r>
      <w:r w:rsidRPr="003E6AFD">
        <w:rPr>
          <w:rFonts w:cs="Times New Roman"/>
          <w:szCs w:val="20"/>
        </w:rPr>
        <w:t>; in addition</w:t>
      </w:r>
      <w:r w:rsidR="00EF4C26" w:rsidRPr="003E6AFD">
        <w:rPr>
          <w:rFonts w:cs="Times New Roman"/>
          <w:szCs w:val="20"/>
        </w:rPr>
        <w:t xml:space="preserve">, the term is </w:t>
      </w:r>
      <w:r w:rsidRPr="003E6AFD">
        <w:rPr>
          <w:rFonts w:cs="Times New Roman"/>
          <w:szCs w:val="20"/>
        </w:rPr>
        <w:t xml:space="preserve">used </w:t>
      </w:r>
      <w:r w:rsidR="00EF4C26" w:rsidRPr="003E6AFD">
        <w:rPr>
          <w:rFonts w:cs="Times New Roman"/>
          <w:szCs w:val="20"/>
        </w:rPr>
        <w:t xml:space="preserve">infrequently </w:t>
      </w:r>
      <w:r w:rsidRPr="003E6AFD">
        <w:rPr>
          <w:rFonts w:cs="Times New Roman"/>
          <w:szCs w:val="20"/>
        </w:rPr>
        <w:t xml:space="preserve">throughout </w:t>
      </w:r>
      <w:r w:rsidR="00EF4C26" w:rsidRPr="003E6AFD">
        <w:rPr>
          <w:rFonts w:cs="Times New Roman"/>
          <w:szCs w:val="20"/>
        </w:rPr>
        <w:t xml:space="preserve">the </w:t>
      </w:r>
      <w:r w:rsidR="00EF4C26" w:rsidRPr="003E6AFD">
        <w:rPr>
          <w:rFonts w:cs="Times New Roman"/>
          <w:i/>
          <w:iCs/>
          <w:szCs w:val="20"/>
        </w:rPr>
        <w:t>Aquatic Code</w:t>
      </w:r>
      <w:r w:rsidR="00EF4C26" w:rsidRPr="003E6AFD">
        <w:rPr>
          <w:rFonts w:cs="Times New Roman"/>
          <w:szCs w:val="20"/>
        </w:rPr>
        <w:t xml:space="preserve">. </w:t>
      </w:r>
    </w:p>
    <w:p w14:paraId="5B07C013" w14:textId="751492B6" w:rsidR="00EF4C26" w:rsidRPr="00685B5C" w:rsidRDefault="00EF4C26" w:rsidP="00F47555">
      <w:pPr>
        <w:spacing w:after="240" w:line="240" w:lineRule="auto"/>
        <w:ind w:left="1440"/>
        <w:jc w:val="both"/>
        <w:rPr>
          <w:rFonts w:cs="Times New Roman"/>
          <w:szCs w:val="20"/>
        </w:rPr>
      </w:pPr>
      <w:r w:rsidRPr="003E6AFD">
        <w:rPr>
          <w:rFonts w:cs="Times New Roman"/>
          <w:szCs w:val="20"/>
        </w:rPr>
        <w:t xml:space="preserve">The </w:t>
      </w:r>
      <w:r w:rsidR="0082506C" w:rsidRPr="003E6AFD">
        <w:rPr>
          <w:rFonts w:cs="Times New Roman"/>
          <w:szCs w:val="20"/>
        </w:rPr>
        <w:t xml:space="preserve">Commission </w:t>
      </w:r>
      <w:r w:rsidRPr="003E6AFD">
        <w:rPr>
          <w:rFonts w:cs="Times New Roman"/>
          <w:szCs w:val="20"/>
        </w:rPr>
        <w:t>did not agree to remove the term ‘area’ throughout the text of this article and replace it with ‘zone’</w:t>
      </w:r>
      <w:r w:rsidR="00336000" w:rsidRPr="00DF0345">
        <w:rPr>
          <w:rFonts w:cs="Times New Roman"/>
          <w:szCs w:val="20"/>
        </w:rPr>
        <w:t>,</w:t>
      </w:r>
      <w:r w:rsidRPr="003E6AFD">
        <w:rPr>
          <w:rFonts w:cs="Times New Roman"/>
          <w:szCs w:val="20"/>
        </w:rPr>
        <w:t xml:space="preserve"> </w:t>
      </w:r>
      <w:r w:rsidR="00336000" w:rsidRPr="003E6AFD">
        <w:rPr>
          <w:rFonts w:cs="Times New Roman"/>
          <w:szCs w:val="20"/>
        </w:rPr>
        <w:t xml:space="preserve">noting that </w:t>
      </w:r>
      <w:r w:rsidRPr="003E6AFD">
        <w:rPr>
          <w:rFonts w:cs="Times New Roman"/>
          <w:szCs w:val="20"/>
        </w:rPr>
        <w:t xml:space="preserve">aquaculture establishments may be in defined geographic areas (e.g. bays) rather than </w:t>
      </w:r>
      <w:r w:rsidR="00CC18A6" w:rsidRPr="003E6AFD">
        <w:rPr>
          <w:rFonts w:cs="Times New Roman"/>
          <w:szCs w:val="20"/>
        </w:rPr>
        <w:t>‘</w:t>
      </w:r>
      <w:r w:rsidRPr="003E6AFD">
        <w:rPr>
          <w:rFonts w:cs="Times New Roman"/>
          <w:szCs w:val="20"/>
        </w:rPr>
        <w:t>zones</w:t>
      </w:r>
      <w:r w:rsidR="00CC18A6" w:rsidRPr="003E6AFD">
        <w:rPr>
          <w:rFonts w:cs="Times New Roman"/>
          <w:szCs w:val="20"/>
        </w:rPr>
        <w:t>’</w:t>
      </w:r>
      <w:r w:rsidRPr="003E6AFD">
        <w:rPr>
          <w:rFonts w:cs="Times New Roman"/>
          <w:szCs w:val="20"/>
        </w:rPr>
        <w:t xml:space="preserve"> with a specific health status. </w:t>
      </w:r>
    </w:p>
    <w:p w14:paraId="53607391" w14:textId="77777777" w:rsidR="00EF4C26" w:rsidRPr="0043431B" w:rsidRDefault="00EF4C26" w:rsidP="00F47555">
      <w:pPr>
        <w:spacing w:after="240" w:line="240" w:lineRule="auto"/>
        <w:ind w:left="1440"/>
        <w:jc w:val="both"/>
        <w:rPr>
          <w:rFonts w:cs="Times New Roman"/>
          <w:szCs w:val="20"/>
        </w:rPr>
      </w:pPr>
      <w:r w:rsidRPr="0043431B">
        <w:rPr>
          <w:rFonts w:cs="Times New Roman"/>
          <w:szCs w:val="20"/>
        </w:rPr>
        <w:t xml:space="preserve">The </w:t>
      </w:r>
      <w:r w:rsidR="0082506C" w:rsidRPr="0043431B">
        <w:rPr>
          <w:rFonts w:cs="Times New Roman"/>
          <w:szCs w:val="20"/>
        </w:rPr>
        <w:t xml:space="preserve">Commission </w:t>
      </w:r>
      <w:r w:rsidRPr="0043431B">
        <w:rPr>
          <w:rFonts w:cs="Times New Roman"/>
          <w:szCs w:val="20"/>
        </w:rPr>
        <w:t xml:space="preserve">agreed to add ‘coordination of’ in the last sentence of the article to highlight that cooperation in the implementation of biosecurity measures is required among aquaculture establishments in shared water bodies. </w:t>
      </w:r>
    </w:p>
    <w:p w14:paraId="363E5346" w14:textId="7B7454A3" w:rsidR="00EF4C26" w:rsidRPr="0043431B" w:rsidRDefault="00EF4C26" w:rsidP="00F47555">
      <w:pPr>
        <w:spacing w:after="240" w:line="240" w:lineRule="auto"/>
        <w:ind w:left="1440"/>
        <w:jc w:val="both"/>
        <w:rPr>
          <w:rFonts w:cs="Times New Roman"/>
          <w:szCs w:val="20"/>
        </w:rPr>
      </w:pPr>
      <w:r w:rsidRPr="0043431B">
        <w:rPr>
          <w:rFonts w:cs="Times New Roman"/>
          <w:szCs w:val="20"/>
        </w:rPr>
        <w:t xml:space="preserve">The </w:t>
      </w:r>
      <w:r w:rsidR="0082506C" w:rsidRPr="0043431B">
        <w:rPr>
          <w:rFonts w:cs="Times New Roman"/>
          <w:szCs w:val="20"/>
        </w:rPr>
        <w:t xml:space="preserve">Commission </w:t>
      </w:r>
      <w:r w:rsidR="00336000" w:rsidRPr="0043431B">
        <w:rPr>
          <w:rFonts w:cs="Times New Roman"/>
          <w:szCs w:val="20"/>
        </w:rPr>
        <w:t xml:space="preserve">considered </w:t>
      </w:r>
      <w:r w:rsidRPr="0043431B">
        <w:rPr>
          <w:rFonts w:cs="Times New Roman"/>
          <w:szCs w:val="20"/>
        </w:rPr>
        <w:t xml:space="preserve">to highlight the importance of ongoing communication between aquaculture </w:t>
      </w:r>
      <w:r w:rsidR="003D3F5A" w:rsidRPr="0043431B">
        <w:rPr>
          <w:rFonts w:cs="Times New Roman"/>
          <w:szCs w:val="20"/>
        </w:rPr>
        <w:t>establishments but</w:t>
      </w:r>
      <w:r w:rsidRPr="0043431B">
        <w:rPr>
          <w:rFonts w:cs="Times New Roman"/>
          <w:szCs w:val="20"/>
        </w:rPr>
        <w:t xml:space="preserve"> agreed that this was not necessary as ‘coordination’ among the aquaculture establishments would include and implies </w:t>
      </w:r>
      <w:r w:rsidR="00336000" w:rsidRPr="0043431B">
        <w:rPr>
          <w:rFonts w:cs="Times New Roman"/>
          <w:szCs w:val="20"/>
        </w:rPr>
        <w:t xml:space="preserve">such </w:t>
      </w:r>
      <w:r w:rsidRPr="0043431B">
        <w:rPr>
          <w:rFonts w:cs="Times New Roman"/>
          <w:szCs w:val="20"/>
        </w:rPr>
        <w:t xml:space="preserve">communication. </w:t>
      </w:r>
    </w:p>
    <w:p w14:paraId="4A356FAD" w14:textId="77777777" w:rsidR="003E513A" w:rsidRDefault="003E513A">
      <w:pPr>
        <w:rPr>
          <w:rFonts w:cs="Times New Roman"/>
          <w:b/>
          <w:bCs/>
          <w:szCs w:val="20"/>
        </w:rPr>
      </w:pPr>
      <w:r>
        <w:rPr>
          <w:rFonts w:cs="Times New Roman"/>
          <w:b/>
          <w:bCs/>
          <w:szCs w:val="20"/>
        </w:rPr>
        <w:br w:type="page"/>
      </w:r>
    </w:p>
    <w:p w14:paraId="100D76DB" w14:textId="0770CD14" w:rsidR="00EF4C26" w:rsidRPr="0043431B" w:rsidRDefault="00EF4C26" w:rsidP="00F47555">
      <w:pPr>
        <w:spacing w:after="240" w:line="240" w:lineRule="auto"/>
        <w:ind w:left="1440"/>
        <w:jc w:val="both"/>
        <w:rPr>
          <w:rFonts w:cs="Times New Roman"/>
          <w:b/>
          <w:bCs/>
          <w:szCs w:val="20"/>
        </w:rPr>
      </w:pPr>
      <w:r w:rsidRPr="0043431B">
        <w:rPr>
          <w:rFonts w:cs="Times New Roman"/>
          <w:b/>
          <w:bCs/>
          <w:szCs w:val="20"/>
        </w:rPr>
        <w:lastRenderedPageBreak/>
        <w:t>Article 4.X.6 Transmission pathways and mitigation measures</w:t>
      </w:r>
    </w:p>
    <w:p w14:paraId="6F955B8A" w14:textId="77777777" w:rsidR="00EF4C26" w:rsidRPr="0043431B" w:rsidRDefault="00EF4C26" w:rsidP="00F47555">
      <w:pPr>
        <w:spacing w:after="240" w:line="240" w:lineRule="auto"/>
        <w:ind w:left="1440"/>
        <w:jc w:val="both"/>
        <w:rPr>
          <w:rFonts w:cs="Times New Roman"/>
          <w:szCs w:val="20"/>
          <w:u w:val="single"/>
        </w:rPr>
      </w:pPr>
      <w:r w:rsidRPr="0043431B">
        <w:rPr>
          <w:rFonts w:cs="Times New Roman"/>
          <w:szCs w:val="20"/>
          <w:u w:val="single"/>
        </w:rPr>
        <w:t>1. Aquatic animals</w:t>
      </w:r>
    </w:p>
    <w:p w14:paraId="4FE5AEE0" w14:textId="7D43B9E8" w:rsidR="00EF4C26" w:rsidRPr="0043431B" w:rsidRDefault="00EF4C26" w:rsidP="00F47555">
      <w:pPr>
        <w:spacing w:after="240" w:line="240" w:lineRule="auto"/>
        <w:ind w:left="1440"/>
        <w:jc w:val="both"/>
        <w:rPr>
          <w:rFonts w:cs="Times New Roman"/>
          <w:szCs w:val="20"/>
        </w:rPr>
      </w:pPr>
      <w:r w:rsidRPr="0043431B">
        <w:rPr>
          <w:rFonts w:cs="Times New Roman"/>
          <w:szCs w:val="20"/>
        </w:rPr>
        <w:t>For point 1</w:t>
      </w:r>
      <w:r w:rsidR="00336000" w:rsidRPr="0043431B">
        <w:rPr>
          <w:rFonts w:cs="Times New Roman"/>
          <w:szCs w:val="20"/>
        </w:rPr>
        <w:t>,</w:t>
      </w:r>
      <w:r w:rsidRPr="0043431B">
        <w:rPr>
          <w:rFonts w:cs="Times New Roman"/>
          <w:szCs w:val="20"/>
        </w:rPr>
        <w:t xml:space="preserve"> regarding transmission risks associated with aquatic animals, the </w:t>
      </w:r>
      <w:r w:rsidR="0082506C" w:rsidRPr="0043431B">
        <w:rPr>
          <w:rFonts w:cs="Times New Roman"/>
          <w:szCs w:val="20"/>
        </w:rPr>
        <w:t xml:space="preserve">Commission </w:t>
      </w:r>
      <w:r w:rsidRPr="0043431B">
        <w:rPr>
          <w:rFonts w:cs="Times New Roman"/>
          <w:szCs w:val="20"/>
        </w:rPr>
        <w:t xml:space="preserve">did not agree with a comment to elaborate </w:t>
      </w:r>
      <w:r w:rsidR="00336000" w:rsidRPr="0043431B">
        <w:rPr>
          <w:rFonts w:cs="Times New Roman"/>
          <w:szCs w:val="20"/>
        </w:rPr>
        <w:t>the</w:t>
      </w:r>
      <w:r w:rsidRPr="0043431B">
        <w:rPr>
          <w:rFonts w:cs="Times New Roman"/>
          <w:szCs w:val="20"/>
        </w:rPr>
        <w:t xml:space="preserve"> requirements for exporting countries. </w:t>
      </w:r>
      <w:r w:rsidR="00336000" w:rsidRPr="0043431B">
        <w:rPr>
          <w:rFonts w:cs="Times New Roman"/>
          <w:szCs w:val="20"/>
        </w:rPr>
        <w:t>The Commission considered that t</w:t>
      </w:r>
      <w:r w:rsidRPr="0043431B">
        <w:rPr>
          <w:rFonts w:cs="Times New Roman"/>
          <w:szCs w:val="20"/>
        </w:rPr>
        <w:t xml:space="preserve">his issue </w:t>
      </w:r>
      <w:r w:rsidR="00336000" w:rsidRPr="0043431B">
        <w:rPr>
          <w:rFonts w:cs="Times New Roman"/>
          <w:szCs w:val="20"/>
        </w:rPr>
        <w:t>was</w:t>
      </w:r>
      <w:r w:rsidRPr="0043431B">
        <w:rPr>
          <w:rFonts w:cs="Times New Roman"/>
          <w:szCs w:val="20"/>
        </w:rPr>
        <w:t xml:space="preserve"> outside the scope </w:t>
      </w:r>
      <w:r w:rsidR="00CC18A6">
        <w:rPr>
          <w:rFonts w:cs="Times New Roman"/>
          <w:szCs w:val="20"/>
        </w:rPr>
        <w:t>of</w:t>
      </w:r>
      <w:r w:rsidR="00CC18A6" w:rsidRPr="0043431B">
        <w:rPr>
          <w:rFonts w:cs="Times New Roman"/>
          <w:szCs w:val="20"/>
        </w:rPr>
        <w:t xml:space="preserve"> </w:t>
      </w:r>
      <w:r w:rsidRPr="0043431B">
        <w:rPr>
          <w:rFonts w:cs="Times New Roman"/>
          <w:szCs w:val="20"/>
        </w:rPr>
        <w:t>this chapter</w:t>
      </w:r>
      <w:r w:rsidR="00CC18A6">
        <w:rPr>
          <w:rFonts w:cs="Times New Roman"/>
          <w:szCs w:val="20"/>
        </w:rPr>
        <w:t>,</w:t>
      </w:r>
      <w:r w:rsidRPr="0043431B">
        <w:rPr>
          <w:rFonts w:cs="Times New Roman"/>
          <w:szCs w:val="20"/>
        </w:rPr>
        <w:t xml:space="preserve"> which is </w:t>
      </w:r>
      <w:r w:rsidR="00CC18A6">
        <w:rPr>
          <w:rFonts w:cs="Times New Roman"/>
          <w:szCs w:val="20"/>
        </w:rPr>
        <w:t>restricted to the</w:t>
      </w:r>
      <w:r w:rsidRPr="0043431B">
        <w:rPr>
          <w:rFonts w:cs="Times New Roman"/>
          <w:szCs w:val="20"/>
        </w:rPr>
        <w:t xml:space="preserve"> biosecurity </w:t>
      </w:r>
      <w:r w:rsidR="00336000" w:rsidRPr="0043431B">
        <w:rPr>
          <w:rFonts w:cs="Times New Roman"/>
          <w:szCs w:val="20"/>
        </w:rPr>
        <w:t>of</w:t>
      </w:r>
      <w:r w:rsidRPr="0043431B">
        <w:rPr>
          <w:rFonts w:cs="Times New Roman"/>
          <w:szCs w:val="20"/>
        </w:rPr>
        <w:t xml:space="preserve"> aquaculture establishments. The Commission agreed that the wording of point b) was not clear and could be read as contradictory to point a)</w:t>
      </w:r>
      <w:r w:rsidR="00336000" w:rsidRPr="0043431B">
        <w:rPr>
          <w:rFonts w:cs="Times New Roman"/>
          <w:szCs w:val="20"/>
        </w:rPr>
        <w:t xml:space="preserve"> and amended </w:t>
      </w:r>
      <w:r w:rsidRPr="0043431B">
        <w:rPr>
          <w:rFonts w:cs="Times New Roman"/>
          <w:szCs w:val="20"/>
        </w:rPr>
        <w:t xml:space="preserve">the wording to state that if aquatic animals of unknown status are introduced, they should be placed into quarantine. </w:t>
      </w:r>
    </w:p>
    <w:p w14:paraId="39729706" w14:textId="2A24D458" w:rsidR="00EF4C26" w:rsidRPr="0043431B" w:rsidRDefault="00EF4C26" w:rsidP="00F47555">
      <w:pPr>
        <w:spacing w:after="240" w:line="240" w:lineRule="auto"/>
        <w:ind w:left="1440"/>
        <w:jc w:val="both"/>
        <w:rPr>
          <w:rFonts w:cs="Times New Roman"/>
          <w:szCs w:val="20"/>
        </w:rPr>
      </w:pPr>
      <w:bookmarkStart w:id="13" w:name="_Hlk36474241"/>
      <w:r w:rsidRPr="0043431B">
        <w:rPr>
          <w:rFonts w:cs="Times New Roman"/>
          <w:szCs w:val="20"/>
        </w:rPr>
        <w:t xml:space="preserve">The </w:t>
      </w:r>
      <w:r w:rsidR="0082506C" w:rsidRPr="0043431B">
        <w:rPr>
          <w:rFonts w:cs="Times New Roman"/>
          <w:szCs w:val="20"/>
        </w:rPr>
        <w:t xml:space="preserve">Commission </w:t>
      </w:r>
      <w:r w:rsidRPr="0043431B">
        <w:rPr>
          <w:rFonts w:cs="Times New Roman"/>
          <w:szCs w:val="20"/>
        </w:rPr>
        <w:t>did not agree that</w:t>
      </w:r>
      <w:r w:rsidR="002815FE">
        <w:rPr>
          <w:rFonts w:cs="Times New Roman"/>
          <w:szCs w:val="20"/>
        </w:rPr>
        <w:t xml:space="preserve"> </w:t>
      </w:r>
      <w:r w:rsidRPr="0043431B">
        <w:rPr>
          <w:rFonts w:cs="Times New Roman"/>
          <w:szCs w:val="20"/>
        </w:rPr>
        <w:t>conditions in quarantine</w:t>
      </w:r>
      <w:r w:rsidR="002815FE">
        <w:rPr>
          <w:rFonts w:cs="Times New Roman"/>
          <w:szCs w:val="20"/>
        </w:rPr>
        <w:t xml:space="preserve"> need to be described as ‘</w:t>
      </w:r>
      <w:r w:rsidRPr="0043431B">
        <w:rPr>
          <w:rFonts w:cs="Times New Roman"/>
          <w:szCs w:val="20"/>
        </w:rPr>
        <w:t>conducive to clinical expression</w:t>
      </w:r>
      <w:r w:rsidR="002815FE">
        <w:rPr>
          <w:rFonts w:cs="Times New Roman"/>
          <w:szCs w:val="20"/>
        </w:rPr>
        <w:t xml:space="preserve">’. </w:t>
      </w:r>
      <w:r w:rsidR="00B14887">
        <w:rPr>
          <w:rFonts w:cs="Times New Roman"/>
          <w:szCs w:val="20"/>
        </w:rPr>
        <w:t>I</w:t>
      </w:r>
      <w:r w:rsidR="002815FE">
        <w:rPr>
          <w:rFonts w:cs="Times New Roman"/>
          <w:szCs w:val="20"/>
        </w:rPr>
        <w:t xml:space="preserve">t considered that </w:t>
      </w:r>
      <w:r w:rsidR="00B14887">
        <w:rPr>
          <w:rFonts w:cs="Times New Roman"/>
          <w:szCs w:val="20"/>
        </w:rPr>
        <w:t xml:space="preserve">the glossary definition for quarantine is </w:t>
      </w:r>
      <w:r w:rsidR="00B14887" w:rsidRPr="0043431B">
        <w:rPr>
          <w:rFonts w:cs="Times New Roman"/>
          <w:szCs w:val="20"/>
        </w:rPr>
        <w:t>sufficient</w:t>
      </w:r>
      <w:r w:rsidR="00B14887">
        <w:rPr>
          <w:rFonts w:cs="Times New Roman"/>
          <w:szCs w:val="20"/>
        </w:rPr>
        <w:t xml:space="preserve"> </w:t>
      </w:r>
      <w:r w:rsidRPr="0043431B">
        <w:rPr>
          <w:rFonts w:cs="Times New Roman"/>
          <w:szCs w:val="20"/>
        </w:rPr>
        <w:t>for the purpose</w:t>
      </w:r>
      <w:r w:rsidR="00B14887">
        <w:rPr>
          <w:rFonts w:cs="Times New Roman"/>
          <w:szCs w:val="20"/>
        </w:rPr>
        <w:t>s</w:t>
      </w:r>
      <w:r w:rsidRPr="0043431B">
        <w:rPr>
          <w:rFonts w:cs="Times New Roman"/>
          <w:szCs w:val="20"/>
        </w:rPr>
        <w:t xml:space="preserve"> of this chapter</w:t>
      </w:r>
      <w:r w:rsidR="00336000" w:rsidRPr="0043431B">
        <w:rPr>
          <w:rFonts w:cs="Times New Roman"/>
          <w:szCs w:val="20"/>
        </w:rPr>
        <w:t xml:space="preserve">. However, the Commission </w:t>
      </w:r>
      <w:r w:rsidRPr="0043431B">
        <w:rPr>
          <w:rFonts w:cs="Times New Roman"/>
          <w:szCs w:val="20"/>
        </w:rPr>
        <w:t xml:space="preserve">acknowledged that </w:t>
      </w:r>
      <w:r w:rsidR="00336000" w:rsidRPr="0043431B">
        <w:rPr>
          <w:rFonts w:cs="Times New Roman"/>
          <w:szCs w:val="20"/>
        </w:rPr>
        <w:t xml:space="preserve">further </w:t>
      </w:r>
      <w:r w:rsidRPr="0043431B">
        <w:rPr>
          <w:rFonts w:cs="Times New Roman"/>
          <w:szCs w:val="20"/>
        </w:rPr>
        <w:t xml:space="preserve">guidance on quarantine </w:t>
      </w:r>
      <w:r w:rsidR="00336000" w:rsidRPr="0043431B">
        <w:rPr>
          <w:rFonts w:cs="Times New Roman"/>
          <w:szCs w:val="20"/>
        </w:rPr>
        <w:t xml:space="preserve">could </w:t>
      </w:r>
      <w:r w:rsidRPr="0043431B">
        <w:rPr>
          <w:rFonts w:cs="Times New Roman"/>
          <w:szCs w:val="20"/>
        </w:rPr>
        <w:t>be benefi</w:t>
      </w:r>
      <w:r w:rsidR="00336000" w:rsidRPr="0043431B">
        <w:rPr>
          <w:rFonts w:cs="Times New Roman"/>
          <w:szCs w:val="20"/>
        </w:rPr>
        <w:t xml:space="preserve">cial, and it </w:t>
      </w:r>
      <w:r w:rsidRPr="0043431B">
        <w:rPr>
          <w:rFonts w:cs="Times New Roman"/>
          <w:szCs w:val="20"/>
        </w:rPr>
        <w:t>agreed to consider this issue in the context of its work</w:t>
      </w:r>
      <w:r w:rsidR="00C30894">
        <w:rPr>
          <w:rFonts w:cs="Times New Roman"/>
          <w:szCs w:val="20"/>
        </w:rPr>
        <w:t xml:space="preserve"> </w:t>
      </w:r>
      <w:r w:rsidRPr="0043431B">
        <w:rPr>
          <w:rFonts w:cs="Times New Roman"/>
          <w:szCs w:val="20"/>
        </w:rPr>
        <w:t>plan.</w:t>
      </w:r>
    </w:p>
    <w:bookmarkEnd w:id="13"/>
    <w:p w14:paraId="7C189E3D" w14:textId="3D4903E7" w:rsidR="00EF4C26" w:rsidRPr="0043431B" w:rsidRDefault="00DA56FD" w:rsidP="00F47555">
      <w:pPr>
        <w:spacing w:after="240" w:line="240" w:lineRule="auto"/>
        <w:ind w:left="1440"/>
        <w:jc w:val="both"/>
        <w:rPr>
          <w:rFonts w:cs="Times New Roman"/>
          <w:szCs w:val="20"/>
        </w:rPr>
      </w:pPr>
      <w:r w:rsidRPr="0043431B">
        <w:rPr>
          <w:rFonts w:cs="Times New Roman"/>
          <w:szCs w:val="20"/>
        </w:rPr>
        <w:t>For</w:t>
      </w:r>
      <w:r w:rsidR="00EF4C26" w:rsidRPr="0043431B">
        <w:rPr>
          <w:rFonts w:cs="Times New Roman"/>
          <w:szCs w:val="20"/>
        </w:rPr>
        <w:t xml:space="preserve"> point d), </w:t>
      </w:r>
      <w:r w:rsidR="00D26699" w:rsidRPr="0043431B">
        <w:rPr>
          <w:rFonts w:cs="Times New Roman"/>
          <w:szCs w:val="20"/>
        </w:rPr>
        <w:t xml:space="preserve">the Commission did not agree with </w:t>
      </w:r>
      <w:r w:rsidR="00EF4C26" w:rsidRPr="0043431B">
        <w:rPr>
          <w:rFonts w:cs="Times New Roman"/>
          <w:szCs w:val="20"/>
        </w:rPr>
        <w:t>a proposal to include ‘stress’</w:t>
      </w:r>
      <w:r w:rsidR="00EE0CC6">
        <w:rPr>
          <w:rFonts w:cs="Times New Roman"/>
          <w:szCs w:val="20"/>
        </w:rPr>
        <w:t>,</w:t>
      </w:r>
      <w:r w:rsidR="00EF4C26" w:rsidRPr="0043431B">
        <w:rPr>
          <w:rFonts w:cs="Times New Roman"/>
          <w:szCs w:val="20"/>
        </w:rPr>
        <w:t xml:space="preserve"> </w:t>
      </w:r>
      <w:r w:rsidR="00D26699" w:rsidRPr="0043431B">
        <w:rPr>
          <w:rFonts w:cs="Times New Roman"/>
          <w:szCs w:val="20"/>
        </w:rPr>
        <w:t xml:space="preserve">noting that </w:t>
      </w:r>
      <w:r w:rsidR="00EF4C26" w:rsidRPr="0043431B">
        <w:rPr>
          <w:rFonts w:cs="Times New Roman"/>
          <w:szCs w:val="20"/>
        </w:rPr>
        <w:t xml:space="preserve">the focus </w:t>
      </w:r>
      <w:r w:rsidR="00D26699" w:rsidRPr="0043431B">
        <w:rPr>
          <w:rFonts w:cs="Times New Roman"/>
          <w:szCs w:val="20"/>
        </w:rPr>
        <w:t>of</w:t>
      </w:r>
      <w:r w:rsidR="00EF4C26" w:rsidRPr="0043431B">
        <w:rPr>
          <w:rFonts w:cs="Times New Roman"/>
          <w:szCs w:val="20"/>
        </w:rPr>
        <w:t xml:space="preserve"> this point is exposure to pathogenic agents. </w:t>
      </w:r>
    </w:p>
    <w:p w14:paraId="577B7AED" w14:textId="77777777" w:rsidR="00EF4C26" w:rsidRPr="0043431B" w:rsidRDefault="00DA56FD" w:rsidP="00F47555">
      <w:pPr>
        <w:spacing w:after="240" w:line="240" w:lineRule="auto"/>
        <w:ind w:left="1440"/>
        <w:jc w:val="both"/>
        <w:rPr>
          <w:rFonts w:cs="Times New Roman"/>
          <w:szCs w:val="20"/>
        </w:rPr>
      </w:pPr>
      <w:r w:rsidRPr="0043431B">
        <w:rPr>
          <w:rFonts w:cs="Times New Roman"/>
          <w:szCs w:val="20"/>
        </w:rPr>
        <w:t>For</w:t>
      </w:r>
      <w:r w:rsidR="00EF4C26" w:rsidRPr="0043431B">
        <w:rPr>
          <w:rFonts w:cs="Times New Roman"/>
          <w:szCs w:val="20"/>
        </w:rPr>
        <w:t xml:space="preserve"> point e)</w:t>
      </w:r>
      <w:r w:rsidR="0082506C" w:rsidRPr="0043431B">
        <w:rPr>
          <w:rFonts w:cs="Times New Roman"/>
          <w:szCs w:val="20"/>
        </w:rPr>
        <w:t>,</w:t>
      </w:r>
      <w:r w:rsidR="00EF4C26" w:rsidRPr="0043431B">
        <w:rPr>
          <w:rFonts w:cs="Times New Roman"/>
          <w:szCs w:val="20"/>
        </w:rPr>
        <w:t xml:space="preserve"> the </w:t>
      </w:r>
      <w:r w:rsidR="0082506C" w:rsidRPr="0043431B">
        <w:rPr>
          <w:rFonts w:cs="Times New Roman"/>
          <w:szCs w:val="20"/>
        </w:rPr>
        <w:t xml:space="preserve">Commission </w:t>
      </w:r>
      <w:r w:rsidR="00D26699" w:rsidRPr="0043431B">
        <w:rPr>
          <w:rFonts w:cs="Times New Roman"/>
          <w:szCs w:val="20"/>
        </w:rPr>
        <w:t xml:space="preserve">agreed </w:t>
      </w:r>
      <w:r w:rsidR="00EF4C26" w:rsidRPr="0043431B">
        <w:rPr>
          <w:rFonts w:cs="Times New Roman"/>
          <w:szCs w:val="20"/>
        </w:rPr>
        <w:t xml:space="preserve">to emphasise that movements of aquatic animals between different populations should only be done with the view to maintaining the highest possible health status of the </w:t>
      </w:r>
      <w:r w:rsidRPr="0043431B">
        <w:rPr>
          <w:rFonts w:cs="Times New Roman"/>
          <w:szCs w:val="20"/>
        </w:rPr>
        <w:t>populations and</w:t>
      </w:r>
      <w:r w:rsidR="00D26699" w:rsidRPr="0043431B">
        <w:rPr>
          <w:rFonts w:cs="Times New Roman"/>
          <w:szCs w:val="20"/>
        </w:rPr>
        <w:t xml:space="preserve"> amended the text accordingly</w:t>
      </w:r>
      <w:r w:rsidR="00EF4C26" w:rsidRPr="0043431B">
        <w:rPr>
          <w:rFonts w:cs="Times New Roman"/>
          <w:szCs w:val="20"/>
        </w:rPr>
        <w:t xml:space="preserve">. </w:t>
      </w:r>
    </w:p>
    <w:p w14:paraId="3727BE2D" w14:textId="2E568A35" w:rsidR="00EF4C26" w:rsidRPr="0043431B" w:rsidRDefault="00DA56FD" w:rsidP="00F47555">
      <w:pPr>
        <w:spacing w:after="240" w:line="240" w:lineRule="auto"/>
        <w:ind w:left="1440"/>
        <w:jc w:val="both"/>
        <w:rPr>
          <w:rFonts w:cs="Times New Roman"/>
          <w:szCs w:val="20"/>
        </w:rPr>
      </w:pPr>
      <w:r w:rsidRPr="0043431B">
        <w:rPr>
          <w:rFonts w:cs="Times New Roman"/>
          <w:szCs w:val="20"/>
        </w:rPr>
        <w:t>For</w:t>
      </w:r>
      <w:r w:rsidR="00D26699" w:rsidRPr="0043431B">
        <w:rPr>
          <w:rFonts w:cs="Times New Roman"/>
          <w:szCs w:val="20"/>
        </w:rPr>
        <w:t xml:space="preserve"> point h), the</w:t>
      </w:r>
      <w:r w:rsidR="00EF4C26" w:rsidRPr="0043431B">
        <w:rPr>
          <w:rFonts w:cs="Times New Roman"/>
          <w:szCs w:val="20"/>
        </w:rPr>
        <w:t xml:space="preserve"> </w:t>
      </w:r>
      <w:r w:rsidR="0082506C" w:rsidRPr="0043431B">
        <w:rPr>
          <w:rFonts w:cs="Times New Roman"/>
          <w:szCs w:val="20"/>
        </w:rPr>
        <w:t xml:space="preserve">Commission </w:t>
      </w:r>
      <w:r w:rsidR="00EF4C26" w:rsidRPr="0043431B">
        <w:rPr>
          <w:rFonts w:cs="Times New Roman"/>
          <w:szCs w:val="20"/>
        </w:rPr>
        <w:t xml:space="preserve">acknowledged a </w:t>
      </w:r>
      <w:r w:rsidR="00D26699" w:rsidRPr="0043431B">
        <w:rPr>
          <w:rFonts w:cs="Times New Roman"/>
          <w:szCs w:val="20"/>
        </w:rPr>
        <w:t xml:space="preserve">comment </w:t>
      </w:r>
      <w:r w:rsidR="00EF4C26" w:rsidRPr="0043431B">
        <w:rPr>
          <w:rFonts w:cs="Times New Roman"/>
          <w:szCs w:val="20"/>
        </w:rPr>
        <w:t xml:space="preserve">that Competent Authorities must follow the OIE guidance on notification of suspicion of disease but did not agree to delete </w:t>
      </w:r>
      <w:r w:rsidR="00D26699" w:rsidRPr="0043431B">
        <w:rPr>
          <w:rFonts w:cs="Times New Roman"/>
          <w:szCs w:val="20"/>
        </w:rPr>
        <w:t xml:space="preserve">the </w:t>
      </w:r>
      <w:r w:rsidR="00EF4C26" w:rsidRPr="0043431B">
        <w:rPr>
          <w:rFonts w:cs="Times New Roman"/>
          <w:szCs w:val="20"/>
        </w:rPr>
        <w:t xml:space="preserve">reference to local requirements in the text. </w:t>
      </w:r>
      <w:r w:rsidR="00D26699" w:rsidRPr="0043431B">
        <w:rPr>
          <w:rFonts w:cs="Times New Roman"/>
          <w:szCs w:val="20"/>
        </w:rPr>
        <w:t xml:space="preserve">The Commission </w:t>
      </w:r>
      <w:r w:rsidR="00EF4C26" w:rsidRPr="0043431B">
        <w:rPr>
          <w:rFonts w:cs="Times New Roman"/>
          <w:szCs w:val="20"/>
        </w:rPr>
        <w:t xml:space="preserve">explained that local requirements provide the legal basis for reporting to the Competent Authority and may exceed the reporting obligations of the Competent Authority to the OIE. </w:t>
      </w:r>
      <w:r w:rsidR="00D26699" w:rsidRPr="0043431B">
        <w:rPr>
          <w:rFonts w:cs="Times New Roman"/>
          <w:szCs w:val="20"/>
        </w:rPr>
        <w:t xml:space="preserve">The Commission </w:t>
      </w:r>
      <w:r w:rsidR="00EF4C26" w:rsidRPr="0043431B">
        <w:rPr>
          <w:rFonts w:cs="Times New Roman"/>
          <w:szCs w:val="20"/>
        </w:rPr>
        <w:t>did not agree to add ‘by the Aquatic Animal Health Services under the direction of the Competent Authority’ at the end of this point</w:t>
      </w:r>
      <w:r w:rsidR="002815FE">
        <w:rPr>
          <w:rFonts w:cs="Times New Roman"/>
          <w:szCs w:val="20"/>
        </w:rPr>
        <w:t>,</w:t>
      </w:r>
      <w:r w:rsidR="00EF4C26" w:rsidRPr="0043431B">
        <w:rPr>
          <w:rFonts w:cs="Times New Roman"/>
          <w:szCs w:val="20"/>
        </w:rPr>
        <w:t xml:space="preserve"> </w:t>
      </w:r>
      <w:r w:rsidR="00D26699" w:rsidRPr="0043431B">
        <w:rPr>
          <w:rFonts w:cs="Times New Roman"/>
          <w:szCs w:val="20"/>
        </w:rPr>
        <w:t xml:space="preserve">noting that </w:t>
      </w:r>
      <w:r w:rsidR="00EF4C26" w:rsidRPr="0043431B">
        <w:rPr>
          <w:rFonts w:cs="Times New Roman"/>
          <w:szCs w:val="20"/>
        </w:rPr>
        <w:t>such investigation</w:t>
      </w:r>
      <w:r w:rsidR="00D26699" w:rsidRPr="0043431B">
        <w:rPr>
          <w:rFonts w:cs="Times New Roman"/>
          <w:szCs w:val="20"/>
        </w:rPr>
        <w:t>s</w:t>
      </w:r>
      <w:r w:rsidR="00EF4C26" w:rsidRPr="0043431B">
        <w:rPr>
          <w:rFonts w:cs="Times New Roman"/>
          <w:szCs w:val="20"/>
        </w:rPr>
        <w:t xml:space="preserve"> and </w:t>
      </w:r>
      <w:r w:rsidR="00D26699" w:rsidRPr="0043431B">
        <w:rPr>
          <w:rFonts w:cs="Times New Roman"/>
          <w:szCs w:val="20"/>
        </w:rPr>
        <w:t xml:space="preserve">the </w:t>
      </w:r>
      <w:r w:rsidR="00EF4C26" w:rsidRPr="0043431B">
        <w:rPr>
          <w:rFonts w:cs="Times New Roman"/>
          <w:szCs w:val="20"/>
        </w:rPr>
        <w:t xml:space="preserve">diagnosis of the cause of mortality may be carried out at the farm level in some circumstances. </w:t>
      </w:r>
    </w:p>
    <w:p w14:paraId="0AB7834A" w14:textId="35278CE3" w:rsidR="00EF4C26" w:rsidRPr="0043431B" w:rsidRDefault="00DA56FD" w:rsidP="00F47555">
      <w:pPr>
        <w:spacing w:after="240" w:line="240" w:lineRule="auto"/>
        <w:ind w:left="1440"/>
        <w:jc w:val="both"/>
        <w:rPr>
          <w:rFonts w:cs="Times New Roman"/>
          <w:szCs w:val="20"/>
        </w:rPr>
      </w:pPr>
      <w:r w:rsidRPr="0043431B">
        <w:rPr>
          <w:rFonts w:cs="Times New Roman"/>
          <w:szCs w:val="20"/>
        </w:rPr>
        <w:t>For</w:t>
      </w:r>
      <w:r w:rsidR="00D26699" w:rsidRPr="0043431B">
        <w:rPr>
          <w:rFonts w:cs="Times New Roman"/>
          <w:szCs w:val="20"/>
        </w:rPr>
        <w:t xml:space="preserve"> the last sentence in i), t</w:t>
      </w:r>
      <w:r w:rsidR="00EF4C26" w:rsidRPr="0043431B">
        <w:rPr>
          <w:rFonts w:cs="Times New Roman"/>
          <w:szCs w:val="20"/>
        </w:rPr>
        <w:t xml:space="preserve">he </w:t>
      </w:r>
      <w:r w:rsidR="0082506C" w:rsidRPr="0043431B">
        <w:rPr>
          <w:rFonts w:cs="Times New Roman"/>
          <w:szCs w:val="20"/>
        </w:rPr>
        <w:t xml:space="preserve">Commission </w:t>
      </w:r>
      <w:r w:rsidR="00EF4C26" w:rsidRPr="0043431B">
        <w:rPr>
          <w:rFonts w:cs="Times New Roman"/>
          <w:szCs w:val="20"/>
        </w:rPr>
        <w:t xml:space="preserve">did not agree with a proposal to state that fallowing should be coordinated </w:t>
      </w:r>
      <w:r w:rsidR="00D26699" w:rsidRPr="0043431B">
        <w:rPr>
          <w:rFonts w:cs="Times New Roman"/>
          <w:szCs w:val="20"/>
        </w:rPr>
        <w:t xml:space="preserve">between </w:t>
      </w:r>
      <w:r w:rsidR="00EF4C26" w:rsidRPr="0043431B">
        <w:rPr>
          <w:rFonts w:cs="Times New Roman"/>
          <w:szCs w:val="20"/>
        </w:rPr>
        <w:t>aquaculture establishments that are subject to an area management agreement</w:t>
      </w:r>
      <w:r w:rsidR="00D26699" w:rsidRPr="0043431B">
        <w:rPr>
          <w:rFonts w:cs="Times New Roman"/>
          <w:szCs w:val="20"/>
        </w:rPr>
        <w:t xml:space="preserve">, as it considered that it </w:t>
      </w:r>
      <w:r w:rsidR="00EF4C26" w:rsidRPr="0043431B">
        <w:rPr>
          <w:rFonts w:cs="Times New Roman"/>
          <w:szCs w:val="20"/>
        </w:rPr>
        <w:t xml:space="preserve">is possible </w:t>
      </w:r>
      <w:r w:rsidR="002815FE">
        <w:rPr>
          <w:rFonts w:cs="Times New Roman"/>
          <w:szCs w:val="20"/>
        </w:rPr>
        <w:t>to coordinate synchronous</w:t>
      </w:r>
      <w:r w:rsidR="00EF4C26" w:rsidRPr="0043431B">
        <w:rPr>
          <w:rFonts w:cs="Times New Roman"/>
          <w:szCs w:val="20"/>
        </w:rPr>
        <w:t xml:space="preserve"> fallowing</w:t>
      </w:r>
      <w:r w:rsidR="002815FE">
        <w:rPr>
          <w:rFonts w:cs="Times New Roman"/>
          <w:szCs w:val="20"/>
        </w:rPr>
        <w:t xml:space="preserve"> on farms in a shared water body</w:t>
      </w:r>
      <w:r w:rsidR="00EF4C26" w:rsidRPr="0043431B">
        <w:rPr>
          <w:rFonts w:cs="Times New Roman"/>
          <w:szCs w:val="20"/>
        </w:rPr>
        <w:t xml:space="preserve"> without a</w:t>
      </w:r>
      <w:r w:rsidR="002815FE">
        <w:rPr>
          <w:rFonts w:cs="Times New Roman"/>
          <w:szCs w:val="20"/>
        </w:rPr>
        <w:t xml:space="preserve"> formal</w:t>
      </w:r>
      <w:r w:rsidR="00EF4C26" w:rsidRPr="0043431B">
        <w:rPr>
          <w:rFonts w:cs="Times New Roman"/>
          <w:szCs w:val="20"/>
        </w:rPr>
        <w:t xml:space="preserve"> agreement</w:t>
      </w:r>
      <w:r w:rsidR="00D26699" w:rsidRPr="0043431B">
        <w:rPr>
          <w:rFonts w:cs="Times New Roman"/>
          <w:szCs w:val="20"/>
        </w:rPr>
        <w:t xml:space="preserve">. </w:t>
      </w:r>
    </w:p>
    <w:p w14:paraId="3D34778A" w14:textId="0705BE45" w:rsidR="00EF4C26" w:rsidRPr="0043431B" w:rsidRDefault="00DA56FD" w:rsidP="00F47555">
      <w:pPr>
        <w:spacing w:after="240" w:line="240" w:lineRule="auto"/>
        <w:ind w:left="1440"/>
        <w:jc w:val="both"/>
        <w:rPr>
          <w:rFonts w:cs="Times New Roman"/>
          <w:szCs w:val="20"/>
        </w:rPr>
      </w:pPr>
      <w:r w:rsidRPr="0043431B">
        <w:rPr>
          <w:rFonts w:cs="Times New Roman"/>
          <w:szCs w:val="20"/>
        </w:rPr>
        <w:t>For</w:t>
      </w:r>
      <w:r w:rsidR="00D26699" w:rsidRPr="0043431B">
        <w:rPr>
          <w:rFonts w:cs="Times New Roman"/>
          <w:szCs w:val="20"/>
        </w:rPr>
        <w:t xml:space="preserve"> point </w:t>
      </w:r>
      <w:r w:rsidR="002815FE">
        <w:rPr>
          <w:rFonts w:cs="Times New Roman"/>
          <w:szCs w:val="20"/>
        </w:rPr>
        <w:t>j</w:t>
      </w:r>
      <w:r w:rsidR="00D26699" w:rsidRPr="0043431B">
        <w:rPr>
          <w:rFonts w:cs="Times New Roman"/>
          <w:szCs w:val="20"/>
        </w:rPr>
        <w:t>), t</w:t>
      </w:r>
      <w:r w:rsidR="00EF4C26" w:rsidRPr="0043431B">
        <w:rPr>
          <w:rFonts w:cs="Times New Roman"/>
          <w:szCs w:val="20"/>
        </w:rPr>
        <w:t xml:space="preserve">he </w:t>
      </w:r>
      <w:r w:rsidR="0082506C" w:rsidRPr="0043431B">
        <w:rPr>
          <w:rFonts w:cs="Times New Roman"/>
          <w:szCs w:val="20"/>
        </w:rPr>
        <w:t xml:space="preserve">Commission </w:t>
      </w:r>
      <w:r w:rsidR="00EF4C26" w:rsidRPr="0043431B">
        <w:rPr>
          <w:rFonts w:cs="Times New Roman"/>
          <w:szCs w:val="20"/>
        </w:rPr>
        <w:t xml:space="preserve">did not agree with a comment to replace ‘infection’ with ‘pathogenic agents’ because the focus of this point is on infection cycles. </w:t>
      </w:r>
    </w:p>
    <w:p w14:paraId="20DAB1D1" w14:textId="77777777" w:rsidR="00EF4C26" w:rsidRPr="0043431B" w:rsidRDefault="00EF4C26" w:rsidP="00F47555">
      <w:pPr>
        <w:spacing w:after="240" w:line="240" w:lineRule="auto"/>
        <w:ind w:left="1440"/>
        <w:jc w:val="both"/>
        <w:rPr>
          <w:rFonts w:cs="Times New Roman"/>
          <w:szCs w:val="20"/>
        </w:rPr>
      </w:pPr>
      <w:r w:rsidRPr="0043431B">
        <w:rPr>
          <w:rFonts w:cs="Times New Roman"/>
          <w:szCs w:val="20"/>
        </w:rPr>
        <w:t xml:space="preserve">The </w:t>
      </w:r>
      <w:r w:rsidR="0082506C" w:rsidRPr="0043431B">
        <w:rPr>
          <w:rFonts w:cs="Times New Roman"/>
          <w:szCs w:val="20"/>
        </w:rPr>
        <w:t xml:space="preserve">Commission </w:t>
      </w:r>
      <w:r w:rsidRPr="0043431B">
        <w:rPr>
          <w:rFonts w:cs="Times New Roman"/>
          <w:szCs w:val="20"/>
        </w:rPr>
        <w:t xml:space="preserve">did not agree to add a </w:t>
      </w:r>
      <w:r w:rsidR="00D26699" w:rsidRPr="0043431B">
        <w:rPr>
          <w:rFonts w:cs="Times New Roman"/>
          <w:szCs w:val="20"/>
        </w:rPr>
        <w:t>new</w:t>
      </w:r>
      <w:r w:rsidRPr="0043431B">
        <w:rPr>
          <w:rFonts w:cs="Times New Roman"/>
          <w:szCs w:val="20"/>
        </w:rPr>
        <w:t xml:space="preserve"> point k) to cover animal movement records because record keeping is not a mitigation measure. It also noted that record keeping is covered in </w:t>
      </w:r>
      <w:r w:rsidR="00D26699" w:rsidRPr="0043431B">
        <w:rPr>
          <w:rFonts w:cs="Times New Roman"/>
          <w:szCs w:val="20"/>
        </w:rPr>
        <w:t xml:space="preserve">point 2 b) of </w:t>
      </w:r>
      <w:r w:rsidRPr="0043431B">
        <w:rPr>
          <w:rFonts w:cs="Times New Roman"/>
          <w:szCs w:val="20"/>
        </w:rPr>
        <w:t xml:space="preserve">Article 4.X.8, Biosecurity plan development. </w:t>
      </w:r>
    </w:p>
    <w:p w14:paraId="00E459C0" w14:textId="77777777" w:rsidR="00EF4C26" w:rsidRPr="0043431B" w:rsidRDefault="00EF4C26" w:rsidP="00F47555">
      <w:pPr>
        <w:spacing w:after="240" w:line="240" w:lineRule="auto"/>
        <w:ind w:left="1440"/>
        <w:jc w:val="both"/>
        <w:rPr>
          <w:rFonts w:cs="Times New Roman"/>
          <w:szCs w:val="20"/>
        </w:rPr>
      </w:pPr>
      <w:r w:rsidRPr="0043431B">
        <w:rPr>
          <w:rFonts w:cs="Times New Roman"/>
          <w:color w:val="000000"/>
          <w:szCs w:val="20"/>
          <w:u w:val="single"/>
        </w:rPr>
        <w:t>2. Aquatic animal products and aquatic animal waste</w:t>
      </w:r>
    </w:p>
    <w:p w14:paraId="5353BE6A" w14:textId="77777777" w:rsidR="00EF4C26" w:rsidRPr="0043431B" w:rsidRDefault="00EF4C26" w:rsidP="00F47555">
      <w:pPr>
        <w:spacing w:after="240" w:line="240" w:lineRule="auto"/>
        <w:ind w:left="1440"/>
        <w:jc w:val="both"/>
        <w:rPr>
          <w:rFonts w:cs="Times New Roman"/>
          <w:szCs w:val="20"/>
        </w:rPr>
      </w:pPr>
      <w:r w:rsidRPr="0043431B">
        <w:rPr>
          <w:rFonts w:cs="Times New Roman"/>
          <w:szCs w:val="20"/>
        </w:rPr>
        <w:t>For point 2</w:t>
      </w:r>
      <w:r w:rsidR="00D26699" w:rsidRPr="0043431B">
        <w:rPr>
          <w:rFonts w:cs="Times New Roman"/>
          <w:szCs w:val="20"/>
        </w:rPr>
        <w:t>,</w:t>
      </w:r>
      <w:r w:rsidRPr="0043431B">
        <w:rPr>
          <w:rFonts w:cs="Times New Roman"/>
          <w:szCs w:val="20"/>
        </w:rPr>
        <w:t xml:space="preserve"> regarding transmission risks associated with aquatic animal products and aquatic animal waste, the </w:t>
      </w:r>
      <w:r w:rsidR="00116CF3" w:rsidRPr="0043431B">
        <w:rPr>
          <w:rFonts w:cs="Times New Roman"/>
          <w:szCs w:val="20"/>
        </w:rPr>
        <w:t xml:space="preserve">Commission </w:t>
      </w:r>
      <w:r w:rsidRPr="0043431B">
        <w:rPr>
          <w:rFonts w:cs="Times New Roman"/>
          <w:szCs w:val="20"/>
        </w:rPr>
        <w:t>agreed to delet</w:t>
      </w:r>
      <w:r w:rsidR="00D26699" w:rsidRPr="0043431B">
        <w:rPr>
          <w:rFonts w:cs="Times New Roman"/>
          <w:szCs w:val="20"/>
        </w:rPr>
        <w:t>e</w:t>
      </w:r>
      <w:r w:rsidRPr="0043431B">
        <w:rPr>
          <w:rFonts w:cs="Times New Roman"/>
          <w:szCs w:val="20"/>
        </w:rPr>
        <w:t xml:space="preserve"> ‘aquatic animals’ in the last sentence</w:t>
      </w:r>
      <w:r w:rsidR="00D26699" w:rsidRPr="0043431B">
        <w:rPr>
          <w:rFonts w:cs="Times New Roman"/>
          <w:szCs w:val="20"/>
        </w:rPr>
        <w:t xml:space="preserve"> of the first paragraph to improve readability</w:t>
      </w:r>
      <w:r w:rsidRPr="0043431B">
        <w:rPr>
          <w:rFonts w:cs="Times New Roman"/>
          <w:szCs w:val="20"/>
        </w:rPr>
        <w:t xml:space="preserve">.  </w:t>
      </w:r>
    </w:p>
    <w:p w14:paraId="4EBCD408" w14:textId="77777777" w:rsidR="00EF4C26" w:rsidRPr="0043431B" w:rsidRDefault="00EF4C26" w:rsidP="00F47555">
      <w:pPr>
        <w:spacing w:after="240" w:line="240" w:lineRule="auto"/>
        <w:ind w:left="1440"/>
        <w:jc w:val="both"/>
        <w:rPr>
          <w:rFonts w:cs="Times New Roman"/>
          <w:szCs w:val="20"/>
        </w:rPr>
      </w:pPr>
      <w:r w:rsidRPr="0043431B">
        <w:rPr>
          <w:rFonts w:cs="Times New Roman"/>
          <w:szCs w:val="20"/>
        </w:rPr>
        <w:t xml:space="preserve">In the second paragraph, the </w:t>
      </w:r>
      <w:r w:rsidR="00116CF3" w:rsidRPr="0043431B">
        <w:rPr>
          <w:rFonts w:cs="Times New Roman"/>
          <w:szCs w:val="20"/>
        </w:rPr>
        <w:t xml:space="preserve">Commission </w:t>
      </w:r>
      <w:r w:rsidRPr="0043431B">
        <w:rPr>
          <w:rFonts w:cs="Times New Roman"/>
          <w:szCs w:val="20"/>
        </w:rPr>
        <w:t xml:space="preserve">agreed to delete the </w:t>
      </w:r>
      <w:r w:rsidR="00D87349" w:rsidRPr="0043431B">
        <w:rPr>
          <w:rFonts w:cs="Times New Roman"/>
          <w:szCs w:val="20"/>
        </w:rPr>
        <w:t xml:space="preserve">second last </w:t>
      </w:r>
      <w:r w:rsidRPr="0043431B">
        <w:rPr>
          <w:rFonts w:cs="Times New Roman"/>
          <w:szCs w:val="20"/>
        </w:rPr>
        <w:t xml:space="preserve">sentence concerning high risk waste as </w:t>
      </w:r>
      <w:r w:rsidR="00D87349" w:rsidRPr="0043431B">
        <w:rPr>
          <w:rFonts w:cs="Times New Roman"/>
          <w:szCs w:val="20"/>
        </w:rPr>
        <w:t xml:space="preserve">it considered </w:t>
      </w:r>
      <w:r w:rsidRPr="0043431B">
        <w:rPr>
          <w:rFonts w:cs="Times New Roman"/>
          <w:szCs w:val="20"/>
        </w:rPr>
        <w:t xml:space="preserve">this </w:t>
      </w:r>
      <w:r w:rsidR="00D87349" w:rsidRPr="0043431B">
        <w:rPr>
          <w:rFonts w:cs="Times New Roman"/>
          <w:szCs w:val="20"/>
        </w:rPr>
        <w:t xml:space="preserve">to be </w:t>
      </w:r>
      <w:r w:rsidRPr="0043431B">
        <w:rPr>
          <w:rFonts w:cs="Times New Roman"/>
          <w:szCs w:val="20"/>
        </w:rPr>
        <w:t xml:space="preserve">a repetition. </w:t>
      </w:r>
    </w:p>
    <w:p w14:paraId="3D1F0EF3" w14:textId="5FBC0210" w:rsidR="00EF4C26" w:rsidRPr="0043431B" w:rsidRDefault="00DA56FD" w:rsidP="00F47555">
      <w:pPr>
        <w:spacing w:after="240" w:line="240" w:lineRule="auto"/>
        <w:ind w:left="1440"/>
        <w:jc w:val="both"/>
        <w:rPr>
          <w:rFonts w:cs="Times New Roman"/>
          <w:szCs w:val="20"/>
        </w:rPr>
      </w:pPr>
      <w:r w:rsidRPr="0043431B">
        <w:rPr>
          <w:rFonts w:cs="Times New Roman"/>
          <w:szCs w:val="20"/>
        </w:rPr>
        <w:t>For</w:t>
      </w:r>
      <w:r w:rsidR="00A06AB5" w:rsidRPr="0043431B">
        <w:rPr>
          <w:rFonts w:cs="Times New Roman"/>
          <w:szCs w:val="20"/>
        </w:rPr>
        <w:t xml:space="preserve"> point</w:t>
      </w:r>
      <w:r w:rsidR="008627D7">
        <w:rPr>
          <w:rFonts w:cs="Times New Roman"/>
          <w:szCs w:val="20"/>
        </w:rPr>
        <w:t xml:space="preserve"> </w:t>
      </w:r>
      <w:r w:rsidR="00A06AB5" w:rsidRPr="0043431B">
        <w:rPr>
          <w:rFonts w:cs="Times New Roman"/>
          <w:szCs w:val="20"/>
        </w:rPr>
        <w:t>b), the</w:t>
      </w:r>
      <w:r w:rsidR="00EF4C26" w:rsidRPr="0043431B">
        <w:rPr>
          <w:rFonts w:cs="Times New Roman"/>
          <w:szCs w:val="20"/>
        </w:rPr>
        <w:t xml:space="preserve"> </w:t>
      </w:r>
      <w:r w:rsidR="00116CF3" w:rsidRPr="0043431B">
        <w:rPr>
          <w:rFonts w:cs="Times New Roman"/>
          <w:szCs w:val="20"/>
        </w:rPr>
        <w:t xml:space="preserve">Commission </w:t>
      </w:r>
      <w:r w:rsidR="00EF4C26" w:rsidRPr="0043431B">
        <w:rPr>
          <w:rFonts w:cs="Times New Roman"/>
          <w:szCs w:val="20"/>
        </w:rPr>
        <w:t xml:space="preserve">did not agree to add ‘and adopting biosecurity measures’ because the adoption of biosecurity measures is implicit in the </w:t>
      </w:r>
      <w:r w:rsidR="008627D7">
        <w:rPr>
          <w:rFonts w:cs="Times New Roman"/>
          <w:szCs w:val="20"/>
        </w:rPr>
        <w:t>implementation</w:t>
      </w:r>
      <w:r w:rsidR="00EF4C26" w:rsidRPr="0043431B">
        <w:rPr>
          <w:rFonts w:cs="Times New Roman"/>
          <w:szCs w:val="20"/>
        </w:rPr>
        <w:t xml:space="preserve"> of a biosecurity plan. </w:t>
      </w:r>
    </w:p>
    <w:p w14:paraId="6B8D4429" w14:textId="4AA81B12" w:rsidR="00EF4C26" w:rsidRPr="0043431B" w:rsidRDefault="00EF4C26" w:rsidP="00F47555">
      <w:pPr>
        <w:spacing w:after="240" w:line="240" w:lineRule="auto"/>
        <w:ind w:left="1440"/>
        <w:jc w:val="both"/>
        <w:rPr>
          <w:rFonts w:cs="Times New Roman"/>
          <w:szCs w:val="20"/>
        </w:rPr>
      </w:pPr>
      <w:r w:rsidRPr="0043431B">
        <w:rPr>
          <w:rFonts w:cs="Times New Roman"/>
          <w:szCs w:val="20"/>
        </w:rPr>
        <w:lastRenderedPageBreak/>
        <w:t xml:space="preserve">In point c), the </w:t>
      </w:r>
      <w:r w:rsidR="00116CF3" w:rsidRPr="0043431B">
        <w:rPr>
          <w:rFonts w:cs="Times New Roman"/>
          <w:szCs w:val="20"/>
        </w:rPr>
        <w:t xml:space="preserve">Commission </w:t>
      </w:r>
      <w:r w:rsidRPr="0043431B">
        <w:rPr>
          <w:rFonts w:cs="Times New Roman"/>
          <w:szCs w:val="20"/>
        </w:rPr>
        <w:t xml:space="preserve">agreed to replace ‘systems’ with ‘procedures’ in the first sentence and to align the last sentence with the wording </w:t>
      </w:r>
      <w:r w:rsidR="00A06AB5" w:rsidRPr="0043431B">
        <w:rPr>
          <w:rFonts w:cs="Times New Roman"/>
          <w:szCs w:val="20"/>
        </w:rPr>
        <w:t xml:space="preserve">used in </w:t>
      </w:r>
      <w:r w:rsidRPr="0043431B">
        <w:rPr>
          <w:rFonts w:cs="Times New Roman"/>
          <w:szCs w:val="20"/>
        </w:rPr>
        <w:t>the previous point b).  It did not agree to add ‘removal’ because ‘collection’</w:t>
      </w:r>
      <w:r w:rsidR="008627D7">
        <w:rPr>
          <w:rFonts w:cs="Times New Roman"/>
          <w:szCs w:val="20"/>
        </w:rPr>
        <w:t xml:space="preserve"> </w:t>
      </w:r>
      <w:r w:rsidR="00A06AB5" w:rsidRPr="0043431B">
        <w:rPr>
          <w:rFonts w:cs="Times New Roman"/>
          <w:szCs w:val="20"/>
        </w:rPr>
        <w:t>include</w:t>
      </w:r>
      <w:r w:rsidR="008627D7">
        <w:rPr>
          <w:rFonts w:cs="Times New Roman"/>
          <w:szCs w:val="20"/>
        </w:rPr>
        <w:t>s</w:t>
      </w:r>
      <w:r w:rsidR="00A06AB5" w:rsidRPr="0043431B">
        <w:rPr>
          <w:rFonts w:cs="Times New Roman"/>
          <w:szCs w:val="20"/>
        </w:rPr>
        <w:t xml:space="preserve"> </w:t>
      </w:r>
      <w:r w:rsidRPr="0043431B">
        <w:rPr>
          <w:rFonts w:cs="Times New Roman"/>
          <w:szCs w:val="20"/>
        </w:rPr>
        <w:t xml:space="preserve">removal, whether it is removal from pens or from the aquaculture establishment. </w:t>
      </w:r>
    </w:p>
    <w:p w14:paraId="257CC877" w14:textId="77777777" w:rsidR="00EF4C26" w:rsidRPr="0043431B" w:rsidRDefault="00EF4C26" w:rsidP="00F47555">
      <w:pPr>
        <w:spacing w:after="240" w:line="240" w:lineRule="auto"/>
        <w:ind w:left="1440"/>
        <w:jc w:val="both"/>
        <w:rPr>
          <w:rFonts w:cs="Times New Roman"/>
          <w:szCs w:val="20"/>
          <w:u w:val="single"/>
        </w:rPr>
      </w:pPr>
      <w:r w:rsidRPr="0043431B">
        <w:rPr>
          <w:rFonts w:cs="Times New Roman"/>
          <w:szCs w:val="20"/>
          <w:u w:val="single"/>
        </w:rPr>
        <w:t>3. Water</w:t>
      </w:r>
    </w:p>
    <w:p w14:paraId="3F23428A" w14:textId="5591AEDF" w:rsidR="00EF4C26" w:rsidRPr="0043431B" w:rsidRDefault="00EF4C26" w:rsidP="00F47555">
      <w:pPr>
        <w:spacing w:after="240" w:line="240" w:lineRule="auto"/>
        <w:ind w:left="1440"/>
        <w:jc w:val="both"/>
        <w:rPr>
          <w:rFonts w:cs="Times New Roman"/>
          <w:szCs w:val="20"/>
        </w:rPr>
      </w:pPr>
      <w:r w:rsidRPr="0043431B">
        <w:rPr>
          <w:rFonts w:cs="Times New Roman"/>
          <w:szCs w:val="20"/>
        </w:rPr>
        <w:t>For point 3</w:t>
      </w:r>
      <w:r w:rsidR="00A06AB5" w:rsidRPr="0043431B">
        <w:rPr>
          <w:rFonts w:cs="Times New Roman"/>
          <w:szCs w:val="20"/>
        </w:rPr>
        <w:t>,</w:t>
      </w:r>
      <w:r w:rsidRPr="0043431B">
        <w:rPr>
          <w:rFonts w:cs="Times New Roman"/>
          <w:szCs w:val="20"/>
        </w:rPr>
        <w:t xml:space="preserve"> regarding transmission risks associated with water, the </w:t>
      </w:r>
      <w:r w:rsidR="00116CF3" w:rsidRPr="0043431B">
        <w:rPr>
          <w:rFonts w:cs="Times New Roman"/>
          <w:szCs w:val="20"/>
        </w:rPr>
        <w:t xml:space="preserve">Commission </w:t>
      </w:r>
      <w:r w:rsidRPr="0043431B">
        <w:rPr>
          <w:rFonts w:cs="Times New Roman"/>
          <w:szCs w:val="20"/>
        </w:rPr>
        <w:t>did not agree to change the phrase ‘risk of introduction of pathogenic agents into, spread within, and release from aquaculture establishments’ in the first paragraph</w:t>
      </w:r>
      <w:r w:rsidR="00A1771D">
        <w:rPr>
          <w:rFonts w:cs="Times New Roman"/>
          <w:szCs w:val="20"/>
        </w:rPr>
        <w:t>,</w:t>
      </w:r>
      <w:r w:rsidRPr="0043431B">
        <w:rPr>
          <w:rFonts w:cs="Times New Roman"/>
          <w:szCs w:val="20"/>
        </w:rPr>
        <w:t xml:space="preserve"> </w:t>
      </w:r>
      <w:r w:rsidR="00A06AB5" w:rsidRPr="0043431B">
        <w:rPr>
          <w:rFonts w:cs="Times New Roman"/>
          <w:szCs w:val="20"/>
        </w:rPr>
        <w:t xml:space="preserve">noting that this </w:t>
      </w:r>
      <w:r w:rsidR="00DA56FD" w:rsidRPr="0043431B">
        <w:rPr>
          <w:rFonts w:cs="Times New Roman"/>
          <w:szCs w:val="20"/>
        </w:rPr>
        <w:t xml:space="preserve">terminology </w:t>
      </w:r>
      <w:r w:rsidRPr="0043431B">
        <w:rPr>
          <w:rFonts w:cs="Times New Roman"/>
          <w:szCs w:val="20"/>
        </w:rPr>
        <w:t xml:space="preserve">is used throughout the </w:t>
      </w:r>
      <w:r w:rsidR="00A06AB5" w:rsidRPr="0043431B">
        <w:rPr>
          <w:rFonts w:cs="Times New Roman"/>
          <w:szCs w:val="20"/>
        </w:rPr>
        <w:t>chapter</w:t>
      </w:r>
      <w:r w:rsidRPr="0043431B">
        <w:rPr>
          <w:rFonts w:cs="Times New Roman"/>
          <w:szCs w:val="20"/>
        </w:rPr>
        <w:t xml:space="preserve">.  </w:t>
      </w:r>
    </w:p>
    <w:p w14:paraId="46BC82A5" w14:textId="77777777" w:rsidR="00EF4C26" w:rsidRPr="0043431B" w:rsidRDefault="00EF4C26" w:rsidP="00F47555">
      <w:pPr>
        <w:spacing w:after="240" w:line="240" w:lineRule="auto"/>
        <w:ind w:left="1440"/>
        <w:jc w:val="both"/>
        <w:rPr>
          <w:rFonts w:cs="Times New Roman"/>
          <w:szCs w:val="20"/>
        </w:rPr>
      </w:pPr>
      <w:r w:rsidRPr="0043431B">
        <w:rPr>
          <w:rFonts w:cs="Times New Roman"/>
          <w:szCs w:val="20"/>
        </w:rPr>
        <w:t xml:space="preserve">The </w:t>
      </w:r>
      <w:r w:rsidR="00116CF3" w:rsidRPr="0043431B">
        <w:rPr>
          <w:rFonts w:cs="Times New Roman"/>
          <w:szCs w:val="20"/>
        </w:rPr>
        <w:t xml:space="preserve">Commission </w:t>
      </w:r>
      <w:r w:rsidRPr="0043431B">
        <w:rPr>
          <w:rFonts w:cs="Times New Roman"/>
          <w:szCs w:val="20"/>
        </w:rPr>
        <w:t xml:space="preserve">did not agree to delete the last sentence of b) ‘The level of treatment required will depend on the identified risks.’ because it provides important context. It added ‘type of’ to the sentence to emphasise that the selection of treatment method will depend on the identified risks. </w:t>
      </w:r>
    </w:p>
    <w:p w14:paraId="48ECDDF7" w14:textId="50EE7A1A" w:rsidR="00EF4C26" w:rsidRPr="0043431B" w:rsidRDefault="00EF4C26" w:rsidP="00F47555">
      <w:pPr>
        <w:spacing w:after="240" w:line="240" w:lineRule="auto"/>
        <w:ind w:left="1440"/>
        <w:jc w:val="both"/>
        <w:rPr>
          <w:rFonts w:cs="Times New Roman"/>
          <w:szCs w:val="20"/>
        </w:rPr>
      </w:pPr>
      <w:r w:rsidRPr="0043431B">
        <w:rPr>
          <w:rFonts w:cs="Times New Roman"/>
          <w:szCs w:val="20"/>
        </w:rPr>
        <w:t xml:space="preserve">The </w:t>
      </w:r>
      <w:r w:rsidR="00116CF3" w:rsidRPr="0043431B">
        <w:rPr>
          <w:rFonts w:cs="Times New Roman"/>
          <w:szCs w:val="20"/>
        </w:rPr>
        <w:t xml:space="preserve">Commission </w:t>
      </w:r>
      <w:r w:rsidRPr="0043431B">
        <w:rPr>
          <w:rFonts w:cs="Times New Roman"/>
          <w:szCs w:val="20"/>
        </w:rPr>
        <w:t xml:space="preserve">agreed to add ‘and filtered waste’ to point c) because this type of waste is not specified elsewhere in the chapter. It also agreed to add ‘type’ to the last sentence because the </w:t>
      </w:r>
      <w:r w:rsidR="008627D7">
        <w:rPr>
          <w:rFonts w:cs="Times New Roman"/>
          <w:szCs w:val="20"/>
        </w:rPr>
        <w:t xml:space="preserve">selection of a </w:t>
      </w:r>
      <w:r w:rsidRPr="0043431B">
        <w:rPr>
          <w:rFonts w:cs="Times New Roman"/>
          <w:szCs w:val="20"/>
        </w:rPr>
        <w:t>disinfection method</w:t>
      </w:r>
      <w:r w:rsidR="008627D7">
        <w:rPr>
          <w:rFonts w:cs="Times New Roman"/>
          <w:szCs w:val="20"/>
        </w:rPr>
        <w:t>(s)</w:t>
      </w:r>
      <w:r w:rsidRPr="0043431B">
        <w:rPr>
          <w:rFonts w:cs="Times New Roman"/>
          <w:szCs w:val="20"/>
        </w:rPr>
        <w:t xml:space="preserve"> will be determined by its effectiveness against the specific pathogenic agent</w:t>
      </w:r>
      <w:r w:rsidR="00A06AB5" w:rsidRPr="0043431B">
        <w:rPr>
          <w:rFonts w:cs="Times New Roman"/>
          <w:szCs w:val="20"/>
        </w:rPr>
        <w:t xml:space="preserve">. It also agreed </w:t>
      </w:r>
      <w:r w:rsidRPr="0043431B">
        <w:rPr>
          <w:rFonts w:cs="Times New Roman"/>
          <w:szCs w:val="20"/>
        </w:rPr>
        <w:t>to delete the word ‘holding’</w:t>
      </w:r>
      <w:r w:rsidR="00A1771D">
        <w:rPr>
          <w:rFonts w:cs="Times New Roman"/>
          <w:szCs w:val="20"/>
        </w:rPr>
        <w:t>,</w:t>
      </w:r>
      <w:r w:rsidRPr="0043431B">
        <w:rPr>
          <w:rFonts w:cs="Times New Roman"/>
          <w:szCs w:val="20"/>
        </w:rPr>
        <w:t xml:space="preserve"> </w:t>
      </w:r>
      <w:r w:rsidR="00A06AB5" w:rsidRPr="0043431B">
        <w:rPr>
          <w:rFonts w:cs="Times New Roman"/>
          <w:szCs w:val="20"/>
        </w:rPr>
        <w:t xml:space="preserve">noting that </w:t>
      </w:r>
      <w:r w:rsidRPr="0043431B">
        <w:rPr>
          <w:rFonts w:cs="Times New Roman"/>
          <w:szCs w:val="20"/>
        </w:rPr>
        <w:t xml:space="preserve">it was superfluous. </w:t>
      </w:r>
    </w:p>
    <w:p w14:paraId="420C2765" w14:textId="77777777" w:rsidR="00EF4C26" w:rsidRPr="0043431B" w:rsidRDefault="00EF4C26" w:rsidP="00F47555">
      <w:pPr>
        <w:spacing w:after="240" w:line="240" w:lineRule="auto"/>
        <w:ind w:left="1440"/>
        <w:jc w:val="both"/>
        <w:rPr>
          <w:rFonts w:cs="Times New Roman"/>
          <w:szCs w:val="20"/>
        </w:rPr>
      </w:pPr>
      <w:r w:rsidRPr="0043431B">
        <w:rPr>
          <w:rFonts w:cs="Times New Roman"/>
          <w:szCs w:val="20"/>
        </w:rPr>
        <w:t xml:space="preserve">In response to comments, a new point f) was added to address measures to mitigate the risk of water entering the aquaculture establishment via the transport of aquatic animals. </w:t>
      </w:r>
      <w:r w:rsidR="00A06AB5" w:rsidRPr="0043431B">
        <w:rPr>
          <w:rFonts w:cs="Times New Roman"/>
          <w:szCs w:val="20"/>
        </w:rPr>
        <w:t>The Commission highlighted that f</w:t>
      </w:r>
      <w:r w:rsidRPr="0043431B">
        <w:rPr>
          <w:rFonts w:cs="Times New Roman"/>
          <w:szCs w:val="20"/>
        </w:rPr>
        <w:t xml:space="preserve">urther guidance on management of transport water is provided in Chapter 5.5, Control of aquatic animal health risks associated with transport of aquatic animals. </w:t>
      </w:r>
    </w:p>
    <w:p w14:paraId="67501F49" w14:textId="77777777" w:rsidR="00EF4C26" w:rsidRPr="0043431B" w:rsidRDefault="00EF4C26" w:rsidP="00F47555">
      <w:pPr>
        <w:spacing w:after="240" w:line="240" w:lineRule="auto"/>
        <w:ind w:left="1440"/>
        <w:jc w:val="both"/>
        <w:rPr>
          <w:rFonts w:cs="Times New Roman"/>
          <w:szCs w:val="20"/>
          <w:u w:val="single"/>
        </w:rPr>
      </w:pPr>
      <w:r w:rsidRPr="0043431B">
        <w:rPr>
          <w:rFonts w:cs="Times New Roman"/>
          <w:szCs w:val="20"/>
          <w:u w:val="single"/>
        </w:rPr>
        <w:t>4. Feed</w:t>
      </w:r>
    </w:p>
    <w:p w14:paraId="07CD2C4F" w14:textId="67CF1029" w:rsidR="00EF4C26" w:rsidRPr="0043431B" w:rsidRDefault="00EF4C26" w:rsidP="00F47555">
      <w:pPr>
        <w:spacing w:after="240" w:line="240" w:lineRule="auto"/>
        <w:ind w:left="1440"/>
        <w:jc w:val="both"/>
        <w:rPr>
          <w:rFonts w:cs="Times New Roman"/>
          <w:szCs w:val="20"/>
        </w:rPr>
      </w:pPr>
      <w:r w:rsidRPr="0043431B">
        <w:rPr>
          <w:rFonts w:cs="Times New Roman"/>
          <w:szCs w:val="20"/>
        </w:rPr>
        <w:t xml:space="preserve">The </w:t>
      </w:r>
      <w:r w:rsidR="00116CF3" w:rsidRPr="0043431B">
        <w:rPr>
          <w:rFonts w:cs="Times New Roman"/>
          <w:szCs w:val="20"/>
        </w:rPr>
        <w:t xml:space="preserve">Commission </w:t>
      </w:r>
      <w:r w:rsidRPr="0043431B">
        <w:rPr>
          <w:rFonts w:cs="Times New Roman"/>
          <w:szCs w:val="20"/>
        </w:rPr>
        <w:t xml:space="preserve">did not agree to add a </w:t>
      </w:r>
      <w:r w:rsidR="00A06AB5" w:rsidRPr="0043431B">
        <w:rPr>
          <w:rFonts w:cs="Times New Roman"/>
          <w:szCs w:val="20"/>
        </w:rPr>
        <w:t xml:space="preserve">new </w:t>
      </w:r>
      <w:r w:rsidRPr="0043431B">
        <w:rPr>
          <w:rFonts w:cs="Times New Roman"/>
          <w:szCs w:val="20"/>
        </w:rPr>
        <w:t xml:space="preserve">point to </w:t>
      </w:r>
      <w:r w:rsidR="00A06AB5" w:rsidRPr="0043431B">
        <w:rPr>
          <w:rFonts w:cs="Times New Roman"/>
          <w:szCs w:val="20"/>
        </w:rPr>
        <w:t>emphasise</w:t>
      </w:r>
      <w:r w:rsidRPr="0043431B">
        <w:rPr>
          <w:rFonts w:cs="Times New Roman"/>
          <w:szCs w:val="20"/>
        </w:rPr>
        <w:t xml:space="preserve"> the importance of appropriate storage and management of feed on site and practices to mitigate the risk of contamination of feed, </w:t>
      </w:r>
      <w:r w:rsidR="00A06AB5" w:rsidRPr="0043431B">
        <w:rPr>
          <w:rFonts w:cs="Times New Roman"/>
          <w:szCs w:val="20"/>
        </w:rPr>
        <w:t xml:space="preserve">as it considered that this point </w:t>
      </w:r>
      <w:r w:rsidRPr="0043431B">
        <w:rPr>
          <w:rFonts w:cs="Times New Roman"/>
          <w:szCs w:val="20"/>
        </w:rPr>
        <w:t xml:space="preserve">was addressed </w:t>
      </w:r>
      <w:r w:rsidR="00493E8B">
        <w:rPr>
          <w:rFonts w:cs="Times New Roman"/>
          <w:szCs w:val="20"/>
        </w:rPr>
        <w:t>in sufficient detail</w:t>
      </w:r>
      <w:r w:rsidR="00493E8B" w:rsidRPr="0043431B">
        <w:rPr>
          <w:rFonts w:cs="Times New Roman"/>
          <w:szCs w:val="20"/>
        </w:rPr>
        <w:t xml:space="preserve"> </w:t>
      </w:r>
      <w:r w:rsidR="00A06AB5" w:rsidRPr="0043431B">
        <w:rPr>
          <w:rFonts w:cs="Times New Roman"/>
          <w:szCs w:val="20"/>
        </w:rPr>
        <w:t>in the proposed text</w:t>
      </w:r>
      <w:r w:rsidRPr="0043431B">
        <w:rPr>
          <w:rFonts w:cs="Times New Roman"/>
          <w:szCs w:val="20"/>
        </w:rPr>
        <w:t xml:space="preserve">. </w:t>
      </w:r>
    </w:p>
    <w:p w14:paraId="65297EAE" w14:textId="77777777" w:rsidR="00EF4C26" w:rsidRPr="0043431B" w:rsidRDefault="00EF4C26" w:rsidP="00F47555">
      <w:pPr>
        <w:spacing w:after="240" w:line="240" w:lineRule="auto"/>
        <w:ind w:left="1440"/>
        <w:jc w:val="both"/>
        <w:rPr>
          <w:rFonts w:cs="Times New Roman"/>
          <w:szCs w:val="20"/>
        </w:rPr>
      </w:pPr>
      <w:r w:rsidRPr="0043431B">
        <w:rPr>
          <w:rFonts w:cs="Times New Roman"/>
          <w:color w:val="000000"/>
          <w:szCs w:val="20"/>
          <w:u w:val="single"/>
        </w:rPr>
        <w:t>5. Fomites</w:t>
      </w:r>
    </w:p>
    <w:p w14:paraId="03EDCAF5" w14:textId="77777777" w:rsidR="00EF4C26" w:rsidRPr="0043431B" w:rsidRDefault="00EF4C26" w:rsidP="00F47555">
      <w:pPr>
        <w:spacing w:after="240" w:line="240" w:lineRule="auto"/>
        <w:ind w:left="1440"/>
        <w:jc w:val="both"/>
        <w:rPr>
          <w:rFonts w:cs="Times New Roman"/>
          <w:szCs w:val="20"/>
        </w:rPr>
      </w:pPr>
      <w:r w:rsidRPr="0043431B">
        <w:rPr>
          <w:rFonts w:cs="Times New Roman"/>
          <w:szCs w:val="20"/>
        </w:rPr>
        <w:t>For point 5</w:t>
      </w:r>
      <w:r w:rsidR="00A06AB5" w:rsidRPr="0043431B">
        <w:rPr>
          <w:rFonts w:cs="Times New Roman"/>
          <w:szCs w:val="20"/>
        </w:rPr>
        <w:t>,</w:t>
      </w:r>
      <w:r w:rsidRPr="0043431B">
        <w:rPr>
          <w:rFonts w:cs="Times New Roman"/>
          <w:szCs w:val="20"/>
        </w:rPr>
        <w:t xml:space="preserve"> regarding transmission risks associated with fomites, the </w:t>
      </w:r>
      <w:r w:rsidR="00116CF3" w:rsidRPr="0043431B">
        <w:rPr>
          <w:rFonts w:cs="Times New Roman"/>
          <w:szCs w:val="20"/>
        </w:rPr>
        <w:t xml:space="preserve">Commission </w:t>
      </w:r>
      <w:r w:rsidRPr="0043431B">
        <w:rPr>
          <w:rFonts w:cs="Times New Roman"/>
          <w:szCs w:val="20"/>
        </w:rPr>
        <w:t xml:space="preserve">agreed to </w:t>
      </w:r>
      <w:r w:rsidR="00A06AB5" w:rsidRPr="0043431B">
        <w:rPr>
          <w:rFonts w:cs="Times New Roman"/>
          <w:szCs w:val="20"/>
        </w:rPr>
        <w:t>amend</w:t>
      </w:r>
      <w:r w:rsidRPr="0043431B">
        <w:rPr>
          <w:rFonts w:cs="Times New Roman"/>
          <w:szCs w:val="20"/>
        </w:rPr>
        <w:t xml:space="preserve"> the text to include fomites moved within</w:t>
      </w:r>
      <w:r w:rsidR="00A06AB5" w:rsidRPr="0043431B">
        <w:rPr>
          <w:rFonts w:cs="Times New Roman"/>
          <w:szCs w:val="20"/>
        </w:rPr>
        <w:t>,</w:t>
      </w:r>
      <w:r w:rsidRPr="0043431B">
        <w:rPr>
          <w:rFonts w:cs="Times New Roman"/>
          <w:szCs w:val="20"/>
        </w:rPr>
        <w:t xml:space="preserve"> and from</w:t>
      </w:r>
      <w:r w:rsidR="00A06AB5" w:rsidRPr="0043431B">
        <w:rPr>
          <w:rFonts w:cs="Times New Roman"/>
          <w:szCs w:val="20"/>
        </w:rPr>
        <w:t>,</w:t>
      </w:r>
      <w:r w:rsidRPr="0043431B">
        <w:rPr>
          <w:rFonts w:cs="Times New Roman"/>
          <w:szCs w:val="20"/>
        </w:rPr>
        <w:t xml:space="preserve"> the aquaculture establishment. </w:t>
      </w:r>
    </w:p>
    <w:p w14:paraId="548FC223" w14:textId="77777777" w:rsidR="00EF4C26" w:rsidRPr="0043431B" w:rsidRDefault="00EF4C26" w:rsidP="00F47555">
      <w:pPr>
        <w:spacing w:after="240" w:line="240" w:lineRule="auto"/>
        <w:ind w:left="1440"/>
        <w:jc w:val="both"/>
        <w:rPr>
          <w:rFonts w:cs="Times New Roman"/>
          <w:szCs w:val="20"/>
        </w:rPr>
      </w:pPr>
      <w:r w:rsidRPr="0043431B">
        <w:rPr>
          <w:rFonts w:cs="Times New Roman"/>
          <w:szCs w:val="20"/>
        </w:rPr>
        <w:t xml:space="preserve">The </w:t>
      </w:r>
      <w:r w:rsidR="00116CF3" w:rsidRPr="0043431B">
        <w:rPr>
          <w:rFonts w:cs="Times New Roman"/>
          <w:szCs w:val="20"/>
        </w:rPr>
        <w:t xml:space="preserve">Commission </w:t>
      </w:r>
      <w:r w:rsidRPr="0043431B">
        <w:rPr>
          <w:rFonts w:cs="Times New Roman"/>
          <w:szCs w:val="20"/>
        </w:rPr>
        <w:t xml:space="preserve">did not agree to specify that disease risks of fomites that have been in direct contact with aquatic animals should receive special attention, because risk assessment would address all levels of disease risk. </w:t>
      </w:r>
    </w:p>
    <w:p w14:paraId="2A17AE34" w14:textId="77777777" w:rsidR="00EF4C26" w:rsidRPr="0043431B" w:rsidRDefault="00EF4C26" w:rsidP="00F47555">
      <w:pPr>
        <w:spacing w:after="240" w:line="240" w:lineRule="auto"/>
        <w:ind w:left="1440"/>
        <w:jc w:val="both"/>
        <w:rPr>
          <w:rFonts w:cs="Times New Roman"/>
          <w:szCs w:val="20"/>
          <w:u w:val="single"/>
        </w:rPr>
      </w:pPr>
      <w:r w:rsidRPr="0043431B">
        <w:rPr>
          <w:rFonts w:cs="Times New Roman"/>
          <w:szCs w:val="20"/>
          <w:u w:val="single"/>
        </w:rPr>
        <w:t>6. Vectors</w:t>
      </w:r>
    </w:p>
    <w:p w14:paraId="6982D389" w14:textId="77777777" w:rsidR="00EF4C26" w:rsidRPr="0043431B" w:rsidRDefault="00EF4C26" w:rsidP="00F47555">
      <w:pPr>
        <w:spacing w:after="240" w:line="240" w:lineRule="auto"/>
        <w:ind w:left="1440"/>
        <w:jc w:val="both"/>
        <w:rPr>
          <w:rFonts w:cs="Times New Roman"/>
          <w:szCs w:val="20"/>
          <w:lang w:val="en-CA"/>
        </w:rPr>
      </w:pPr>
      <w:r w:rsidRPr="0043431B">
        <w:rPr>
          <w:rFonts w:cs="Times New Roman"/>
          <w:szCs w:val="20"/>
        </w:rPr>
        <w:t>For point 6</w:t>
      </w:r>
      <w:r w:rsidR="00A06AB5" w:rsidRPr="0043431B">
        <w:rPr>
          <w:rFonts w:cs="Times New Roman"/>
          <w:szCs w:val="20"/>
        </w:rPr>
        <w:t>,</w:t>
      </w:r>
      <w:r w:rsidRPr="0043431B">
        <w:rPr>
          <w:rFonts w:cs="Times New Roman"/>
          <w:szCs w:val="20"/>
        </w:rPr>
        <w:t xml:space="preserve"> regarding transmission risks associated with vectors, </w:t>
      </w:r>
      <w:r w:rsidRPr="0043431B">
        <w:rPr>
          <w:rFonts w:cs="Times New Roman"/>
          <w:szCs w:val="20"/>
          <w:lang w:val="en-CA"/>
        </w:rPr>
        <w:t xml:space="preserve">the </w:t>
      </w:r>
      <w:r w:rsidR="00116CF3" w:rsidRPr="0043431B">
        <w:rPr>
          <w:rFonts w:cs="Times New Roman"/>
          <w:szCs w:val="20"/>
        </w:rPr>
        <w:t xml:space="preserve">Commission </w:t>
      </w:r>
      <w:r w:rsidRPr="0043431B">
        <w:rPr>
          <w:rFonts w:cs="Times New Roman"/>
          <w:szCs w:val="20"/>
          <w:lang w:val="en-CA"/>
        </w:rPr>
        <w:t>agreed to replace ‘risk’ with ‘likelihood’ in the first paragraph. Similar amendments were made throughout the chapter</w:t>
      </w:r>
      <w:r w:rsidR="00A06AB5" w:rsidRPr="0043431B">
        <w:rPr>
          <w:rFonts w:cs="Times New Roman"/>
          <w:szCs w:val="20"/>
          <w:lang w:val="en-CA"/>
        </w:rPr>
        <w:t>, where appropriate,</w:t>
      </w:r>
      <w:r w:rsidRPr="0043431B">
        <w:rPr>
          <w:rFonts w:cs="Times New Roman"/>
          <w:szCs w:val="20"/>
          <w:lang w:val="en-CA"/>
        </w:rPr>
        <w:t xml:space="preserve"> to reflect the intended meaning. </w:t>
      </w:r>
    </w:p>
    <w:p w14:paraId="5AFA1605" w14:textId="5A04B5DC" w:rsidR="00EF4C26" w:rsidRPr="0043431B" w:rsidRDefault="00DA56FD" w:rsidP="00F47555">
      <w:pPr>
        <w:spacing w:after="240" w:line="240" w:lineRule="auto"/>
        <w:ind w:left="1440"/>
        <w:jc w:val="both"/>
        <w:rPr>
          <w:rFonts w:cs="Times New Roman"/>
          <w:szCs w:val="20"/>
        </w:rPr>
      </w:pPr>
      <w:r w:rsidRPr="0043431B">
        <w:rPr>
          <w:rFonts w:cs="Times New Roman"/>
          <w:szCs w:val="20"/>
        </w:rPr>
        <w:t>For</w:t>
      </w:r>
      <w:r w:rsidR="00871F8D" w:rsidRPr="0043431B">
        <w:rPr>
          <w:rFonts w:cs="Times New Roman"/>
          <w:szCs w:val="20"/>
        </w:rPr>
        <w:t xml:space="preserve"> point a), t</w:t>
      </w:r>
      <w:r w:rsidR="00EF4C26" w:rsidRPr="0043431B">
        <w:rPr>
          <w:rFonts w:cs="Times New Roman"/>
          <w:szCs w:val="20"/>
        </w:rPr>
        <w:t xml:space="preserve">he </w:t>
      </w:r>
      <w:r w:rsidR="00116CF3" w:rsidRPr="0043431B">
        <w:rPr>
          <w:rFonts w:cs="Times New Roman"/>
          <w:szCs w:val="20"/>
        </w:rPr>
        <w:t xml:space="preserve">Commission </w:t>
      </w:r>
      <w:r w:rsidR="00EF4C26" w:rsidRPr="0043431B">
        <w:rPr>
          <w:rFonts w:cs="Times New Roman"/>
          <w:szCs w:val="20"/>
        </w:rPr>
        <w:t xml:space="preserve">agreed to make an editorial change to improve readability. It did not agree to delete ‘or disinfection’ in a) </w:t>
      </w:r>
      <w:r w:rsidR="00EF4C26" w:rsidRPr="0043431B">
        <w:rPr>
          <w:rFonts w:cs="Times New Roman"/>
          <w:iCs/>
          <w:szCs w:val="20"/>
        </w:rPr>
        <w:t>i)</w:t>
      </w:r>
      <w:r w:rsidR="00EF4C26" w:rsidRPr="0043431B">
        <w:rPr>
          <w:rFonts w:cs="Times New Roman"/>
          <w:szCs w:val="20"/>
        </w:rPr>
        <w:t xml:space="preserve"> </w:t>
      </w:r>
      <w:r w:rsidR="009D1556">
        <w:rPr>
          <w:rFonts w:cs="Times New Roman"/>
          <w:szCs w:val="20"/>
        </w:rPr>
        <w:t>because</w:t>
      </w:r>
      <w:r w:rsidR="00871F8D" w:rsidRPr="0043431B">
        <w:rPr>
          <w:rFonts w:cs="Times New Roman"/>
          <w:szCs w:val="20"/>
        </w:rPr>
        <w:t xml:space="preserve"> </w:t>
      </w:r>
      <w:r w:rsidR="00EF4C26" w:rsidRPr="0043431B">
        <w:rPr>
          <w:rFonts w:cs="Times New Roman"/>
          <w:szCs w:val="20"/>
        </w:rPr>
        <w:t>only physical mitigation measures are addressed under this point.</w:t>
      </w:r>
    </w:p>
    <w:p w14:paraId="472BA332" w14:textId="1C6BE6FD" w:rsidR="00EF4C26" w:rsidRPr="0043431B" w:rsidRDefault="00DA56FD" w:rsidP="00F47555">
      <w:pPr>
        <w:spacing w:after="240" w:line="240" w:lineRule="auto"/>
        <w:ind w:left="1440"/>
        <w:jc w:val="both"/>
        <w:rPr>
          <w:rFonts w:cs="Times New Roman"/>
          <w:szCs w:val="20"/>
        </w:rPr>
      </w:pPr>
      <w:r w:rsidRPr="0043431B">
        <w:rPr>
          <w:rFonts w:cs="Times New Roman"/>
          <w:szCs w:val="20"/>
        </w:rPr>
        <w:t>For</w:t>
      </w:r>
      <w:r w:rsidR="00871F8D" w:rsidRPr="0043431B">
        <w:rPr>
          <w:rFonts w:cs="Times New Roman"/>
          <w:szCs w:val="20"/>
        </w:rPr>
        <w:t xml:space="preserve"> point b), t</w:t>
      </w:r>
      <w:r w:rsidR="00EF4C26" w:rsidRPr="0043431B">
        <w:rPr>
          <w:rFonts w:cs="Times New Roman"/>
          <w:szCs w:val="20"/>
        </w:rPr>
        <w:t xml:space="preserve">he </w:t>
      </w:r>
      <w:r w:rsidR="00116CF3" w:rsidRPr="0043431B">
        <w:rPr>
          <w:rFonts w:cs="Times New Roman"/>
          <w:szCs w:val="20"/>
        </w:rPr>
        <w:t xml:space="preserve">Commission </w:t>
      </w:r>
      <w:r w:rsidR="00EF4C26" w:rsidRPr="0043431B">
        <w:rPr>
          <w:rFonts w:cs="Times New Roman"/>
          <w:szCs w:val="20"/>
        </w:rPr>
        <w:t xml:space="preserve">did not agree to add a sentence that pest control should be carried out in </w:t>
      </w:r>
      <w:r w:rsidR="00A1771D">
        <w:rPr>
          <w:rFonts w:cs="Times New Roman"/>
          <w:szCs w:val="20"/>
        </w:rPr>
        <w:t xml:space="preserve">an </w:t>
      </w:r>
      <w:r w:rsidR="00EF4C26" w:rsidRPr="0043431B">
        <w:rPr>
          <w:rFonts w:cs="Times New Roman"/>
          <w:szCs w:val="20"/>
        </w:rPr>
        <w:t xml:space="preserve">ethical and environmentally friendly manner because </w:t>
      </w:r>
      <w:r w:rsidR="009D1556">
        <w:rPr>
          <w:rFonts w:cs="Times New Roman"/>
          <w:szCs w:val="20"/>
        </w:rPr>
        <w:t>such guidance is</w:t>
      </w:r>
      <w:r w:rsidR="00EF4C26" w:rsidRPr="0043431B">
        <w:rPr>
          <w:rFonts w:cs="Times New Roman"/>
          <w:szCs w:val="20"/>
        </w:rPr>
        <w:t xml:space="preserve"> not within the scope of the chapter.  </w:t>
      </w:r>
    </w:p>
    <w:p w14:paraId="702085C9" w14:textId="77777777" w:rsidR="00EF4C26" w:rsidRPr="0043431B" w:rsidRDefault="00EF4C26" w:rsidP="00DF21EC">
      <w:pPr>
        <w:spacing w:after="240" w:line="240" w:lineRule="auto"/>
        <w:ind w:left="1440"/>
        <w:jc w:val="both"/>
        <w:rPr>
          <w:rFonts w:cs="Times New Roman"/>
          <w:szCs w:val="20"/>
          <w:u w:val="single"/>
        </w:rPr>
      </w:pPr>
      <w:r w:rsidRPr="0043431B">
        <w:rPr>
          <w:rFonts w:cs="Times New Roman"/>
          <w:szCs w:val="20"/>
          <w:u w:val="single"/>
        </w:rPr>
        <w:lastRenderedPageBreak/>
        <w:t>7. Personnel and visitors</w:t>
      </w:r>
    </w:p>
    <w:p w14:paraId="2AB95AF2" w14:textId="1360A5FE" w:rsidR="00EF4C26" w:rsidRPr="0043431B" w:rsidRDefault="00EF4C26" w:rsidP="00DF21EC">
      <w:pPr>
        <w:spacing w:after="240" w:line="240" w:lineRule="auto"/>
        <w:ind w:left="1440"/>
        <w:jc w:val="both"/>
        <w:rPr>
          <w:rFonts w:cs="Times New Roman"/>
          <w:szCs w:val="20"/>
        </w:rPr>
      </w:pPr>
      <w:r w:rsidRPr="0043431B">
        <w:rPr>
          <w:rFonts w:cs="Times New Roman"/>
          <w:szCs w:val="20"/>
        </w:rPr>
        <w:t xml:space="preserve">In response to a comment, the </w:t>
      </w:r>
      <w:r w:rsidR="00116CF3" w:rsidRPr="0043431B">
        <w:rPr>
          <w:rFonts w:cs="Times New Roman"/>
          <w:szCs w:val="20"/>
        </w:rPr>
        <w:t xml:space="preserve">Commission </w:t>
      </w:r>
      <w:r w:rsidRPr="0043431B">
        <w:rPr>
          <w:rFonts w:cs="Times New Roman"/>
          <w:szCs w:val="20"/>
        </w:rPr>
        <w:t xml:space="preserve">added a new point 7, </w:t>
      </w:r>
      <w:r w:rsidR="00A1771D">
        <w:rPr>
          <w:rFonts w:cs="Times New Roman"/>
          <w:szCs w:val="20"/>
        </w:rPr>
        <w:t>P</w:t>
      </w:r>
      <w:r w:rsidRPr="0043431B">
        <w:rPr>
          <w:rFonts w:cs="Times New Roman"/>
          <w:szCs w:val="20"/>
        </w:rPr>
        <w:t xml:space="preserve">ersonnel and visitors, </w:t>
      </w:r>
      <w:r w:rsidR="009D1556" w:rsidRPr="0043431B">
        <w:rPr>
          <w:rFonts w:cs="Times New Roman"/>
          <w:szCs w:val="20"/>
        </w:rPr>
        <w:t>r</w:t>
      </w:r>
      <w:r w:rsidR="009D1556">
        <w:rPr>
          <w:rFonts w:cs="Times New Roman"/>
          <w:szCs w:val="20"/>
        </w:rPr>
        <w:t>ecommending</w:t>
      </w:r>
      <w:r w:rsidR="009D1556" w:rsidRPr="0043431B">
        <w:rPr>
          <w:rFonts w:cs="Times New Roman"/>
          <w:szCs w:val="20"/>
        </w:rPr>
        <w:t xml:space="preserve"> </w:t>
      </w:r>
      <w:r w:rsidRPr="0043431B">
        <w:rPr>
          <w:rFonts w:cs="Times New Roman"/>
          <w:szCs w:val="20"/>
        </w:rPr>
        <w:t xml:space="preserve">that visitors to aquaculture establishments are briefed and supervised to ensure compliance with the biosecurity plan. </w:t>
      </w:r>
    </w:p>
    <w:p w14:paraId="23E2B12F" w14:textId="77777777" w:rsidR="00EF4C26" w:rsidRPr="0043431B" w:rsidRDefault="00EF4C26" w:rsidP="00DF21EC">
      <w:pPr>
        <w:spacing w:after="240" w:line="240" w:lineRule="auto"/>
        <w:ind w:left="1440"/>
        <w:jc w:val="both"/>
        <w:rPr>
          <w:rFonts w:cs="Times New Roman"/>
          <w:szCs w:val="20"/>
        </w:rPr>
      </w:pPr>
      <w:r w:rsidRPr="0043431B">
        <w:rPr>
          <w:rFonts w:cs="Times New Roman"/>
          <w:szCs w:val="20"/>
        </w:rPr>
        <w:t xml:space="preserve">The </w:t>
      </w:r>
      <w:r w:rsidR="00116CF3" w:rsidRPr="0043431B">
        <w:rPr>
          <w:rFonts w:cs="Times New Roman"/>
          <w:szCs w:val="20"/>
        </w:rPr>
        <w:t xml:space="preserve">Commission </w:t>
      </w:r>
      <w:r w:rsidR="00871F8D" w:rsidRPr="0043431B">
        <w:rPr>
          <w:rFonts w:cs="Times New Roman"/>
          <w:szCs w:val="20"/>
        </w:rPr>
        <w:t>agreed that</w:t>
      </w:r>
      <w:r w:rsidR="000555E1" w:rsidRPr="0043431B">
        <w:rPr>
          <w:rFonts w:cs="Times New Roman"/>
          <w:szCs w:val="20"/>
        </w:rPr>
        <w:t xml:space="preserve"> </w:t>
      </w:r>
      <w:r w:rsidRPr="0043431B">
        <w:rPr>
          <w:rFonts w:cs="Times New Roman"/>
          <w:szCs w:val="20"/>
        </w:rPr>
        <w:t xml:space="preserve">signage </w:t>
      </w:r>
      <w:r w:rsidR="00871F8D" w:rsidRPr="0043431B">
        <w:rPr>
          <w:rFonts w:cs="Times New Roman"/>
          <w:szCs w:val="20"/>
        </w:rPr>
        <w:t xml:space="preserve">was important </w:t>
      </w:r>
      <w:r w:rsidR="006F247B" w:rsidRPr="0043431B">
        <w:rPr>
          <w:rFonts w:cs="Times New Roman"/>
          <w:szCs w:val="20"/>
        </w:rPr>
        <w:t xml:space="preserve">to raise awareness </w:t>
      </w:r>
      <w:r w:rsidRPr="0043431B">
        <w:rPr>
          <w:rFonts w:cs="Times New Roman"/>
          <w:szCs w:val="20"/>
        </w:rPr>
        <w:t>and concluded that it was be</w:t>
      </w:r>
      <w:r w:rsidR="00871F8D" w:rsidRPr="0043431B">
        <w:rPr>
          <w:rFonts w:cs="Times New Roman"/>
          <w:szCs w:val="20"/>
        </w:rPr>
        <w:t>st</w:t>
      </w:r>
      <w:r w:rsidRPr="0043431B">
        <w:rPr>
          <w:rFonts w:cs="Times New Roman"/>
          <w:szCs w:val="20"/>
        </w:rPr>
        <w:t xml:space="preserve"> addressed in Article 4.X.4, General principles, </w:t>
      </w:r>
      <w:r w:rsidR="00871F8D" w:rsidRPr="0043431B">
        <w:rPr>
          <w:rFonts w:cs="Times New Roman"/>
          <w:szCs w:val="20"/>
        </w:rPr>
        <w:t xml:space="preserve">rather </w:t>
      </w:r>
      <w:r w:rsidRPr="0043431B">
        <w:rPr>
          <w:rFonts w:cs="Times New Roman"/>
          <w:szCs w:val="20"/>
        </w:rPr>
        <w:t xml:space="preserve">than in Article 4.X.6, Transmission pathways and mitigation measures. </w:t>
      </w:r>
    </w:p>
    <w:p w14:paraId="4AB4258D" w14:textId="6F67D21F" w:rsidR="00EF4C26" w:rsidRPr="0043431B" w:rsidRDefault="00EF4C26" w:rsidP="00DF21EC">
      <w:pPr>
        <w:spacing w:after="240" w:line="240" w:lineRule="auto"/>
        <w:ind w:left="1440"/>
        <w:jc w:val="both"/>
        <w:rPr>
          <w:rFonts w:cs="Times New Roman"/>
          <w:b/>
          <w:bCs/>
          <w:szCs w:val="20"/>
        </w:rPr>
      </w:pPr>
      <w:r w:rsidRPr="00A1771D">
        <w:rPr>
          <w:rFonts w:cs="Times New Roman"/>
          <w:b/>
          <w:bCs/>
          <w:szCs w:val="20"/>
        </w:rPr>
        <w:t>Article 4.X.7 Risk analysis</w:t>
      </w:r>
    </w:p>
    <w:p w14:paraId="7C116504" w14:textId="560B7EB4" w:rsidR="00EF4C26" w:rsidRPr="0043431B" w:rsidRDefault="00EF4C26" w:rsidP="00DF21EC">
      <w:pPr>
        <w:spacing w:after="240" w:line="240" w:lineRule="auto"/>
        <w:ind w:left="1440"/>
        <w:jc w:val="both"/>
        <w:rPr>
          <w:rFonts w:cs="Times New Roman"/>
          <w:szCs w:val="20"/>
        </w:rPr>
      </w:pPr>
      <w:r w:rsidRPr="0043431B">
        <w:rPr>
          <w:rFonts w:cs="Times New Roman"/>
          <w:szCs w:val="20"/>
        </w:rPr>
        <w:t xml:space="preserve">The </w:t>
      </w:r>
      <w:r w:rsidR="00116CF3" w:rsidRPr="0043431B">
        <w:rPr>
          <w:rFonts w:cs="Times New Roman"/>
          <w:szCs w:val="20"/>
        </w:rPr>
        <w:t xml:space="preserve">Commission </w:t>
      </w:r>
      <w:r w:rsidRPr="0043431B">
        <w:rPr>
          <w:rFonts w:cs="Times New Roman"/>
          <w:szCs w:val="20"/>
        </w:rPr>
        <w:t xml:space="preserve">noted a </w:t>
      </w:r>
      <w:r w:rsidR="002D2E46">
        <w:rPr>
          <w:rFonts w:cs="Times New Roman"/>
          <w:szCs w:val="20"/>
        </w:rPr>
        <w:t xml:space="preserve">request </w:t>
      </w:r>
      <w:r w:rsidR="00871F8D" w:rsidRPr="0043431B">
        <w:rPr>
          <w:rFonts w:cs="Times New Roman"/>
          <w:szCs w:val="20"/>
        </w:rPr>
        <w:t xml:space="preserve">to include </w:t>
      </w:r>
      <w:r w:rsidR="002D2E46">
        <w:rPr>
          <w:rFonts w:cs="Times New Roman"/>
          <w:szCs w:val="20"/>
        </w:rPr>
        <w:t xml:space="preserve">the </w:t>
      </w:r>
      <w:r w:rsidR="002D2E46" w:rsidRPr="0043431B">
        <w:rPr>
          <w:rFonts w:cs="Times New Roman"/>
          <w:szCs w:val="20"/>
        </w:rPr>
        <w:t xml:space="preserve">potential establishment of pathogenic agents in the environment </w:t>
      </w:r>
      <w:r w:rsidR="002D2E46">
        <w:rPr>
          <w:rFonts w:cs="Times New Roman"/>
          <w:szCs w:val="20"/>
        </w:rPr>
        <w:t xml:space="preserve">in the </w:t>
      </w:r>
      <w:r w:rsidR="00871F8D" w:rsidRPr="0043431B">
        <w:rPr>
          <w:rFonts w:cs="Times New Roman"/>
          <w:szCs w:val="20"/>
        </w:rPr>
        <w:t>descriptor</w:t>
      </w:r>
      <w:r w:rsidR="002D2E46">
        <w:rPr>
          <w:rFonts w:cs="Times New Roman"/>
          <w:szCs w:val="20"/>
        </w:rPr>
        <w:t>s</w:t>
      </w:r>
      <w:r w:rsidR="00871F8D" w:rsidRPr="0043431B">
        <w:rPr>
          <w:rFonts w:cs="Times New Roman"/>
          <w:szCs w:val="20"/>
        </w:rPr>
        <w:t xml:space="preserve"> for consequence in Table 2</w:t>
      </w:r>
      <w:r w:rsidRPr="0043431B">
        <w:rPr>
          <w:rFonts w:cs="Times New Roman"/>
          <w:szCs w:val="20"/>
        </w:rPr>
        <w:t xml:space="preserve">. However, the </w:t>
      </w:r>
      <w:r w:rsidR="00871F8D" w:rsidRPr="0043431B">
        <w:rPr>
          <w:rFonts w:cs="Times New Roman"/>
          <w:szCs w:val="20"/>
        </w:rPr>
        <w:t>Commission</w:t>
      </w:r>
      <w:r w:rsidR="002D2E46">
        <w:rPr>
          <w:rFonts w:cs="Times New Roman"/>
          <w:szCs w:val="20"/>
        </w:rPr>
        <w:t xml:space="preserve"> declined to make the suggested change because </w:t>
      </w:r>
      <w:r w:rsidR="00871F8D" w:rsidRPr="0043431B">
        <w:rPr>
          <w:rFonts w:cs="Times New Roman"/>
          <w:szCs w:val="20"/>
        </w:rPr>
        <w:t xml:space="preserve">the </w:t>
      </w:r>
      <w:r w:rsidRPr="0043431B">
        <w:rPr>
          <w:rFonts w:cs="Times New Roman"/>
          <w:szCs w:val="20"/>
        </w:rPr>
        <w:t xml:space="preserve">chapter concerns biosecurity for aquaculture establishments, and thus the assessment of risk for pathogen establishment in the environment is outside </w:t>
      </w:r>
      <w:r w:rsidR="002D2E46">
        <w:rPr>
          <w:rFonts w:cs="Times New Roman"/>
          <w:szCs w:val="20"/>
        </w:rPr>
        <w:t>of its</w:t>
      </w:r>
      <w:r w:rsidRPr="0043431B">
        <w:rPr>
          <w:rFonts w:cs="Times New Roman"/>
          <w:szCs w:val="20"/>
        </w:rPr>
        <w:t xml:space="preserve"> scop</w:t>
      </w:r>
      <w:r w:rsidR="002D2E46">
        <w:rPr>
          <w:rFonts w:cs="Times New Roman"/>
          <w:szCs w:val="20"/>
        </w:rPr>
        <w:t>e.</w:t>
      </w:r>
      <w:r w:rsidRPr="0043431B">
        <w:rPr>
          <w:rFonts w:cs="Times New Roman"/>
          <w:szCs w:val="20"/>
        </w:rPr>
        <w:t xml:space="preserve"> </w:t>
      </w:r>
    </w:p>
    <w:p w14:paraId="425D3FA4" w14:textId="77777777" w:rsidR="00EF4C26" w:rsidRPr="0043431B" w:rsidRDefault="00EF4C26" w:rsidP="00DF21EC">
      <w:pPr>
        <w:spacing w:after="240" w:line="240" w:lineRule="auto"/>
        <w:ind w:left="1440"/>
        <w:jc w:val="both"/>
        <w:rPr>
          <w:rFonts w:cs="Times New Roman"/>
          <w:szCs w:val="20"/>
        </w:rPr>
      </w:pPr>
      <w:r w:rsidRPr="0043431B">
        <w:rPr>
          <w:rFonts w:cs="Times New Roman"/>
          <w:szCs w:val="20"/>
        </w:rPr>
        <w:t xml:space="preserve">The </w:t>
      </w:r>
      <w:r w:rsidR="00116CF3" w:rsidRPr="0043431B">
        <w:rPr>
          <w:rFonts w:cs="Times New Roman"/>
          <w:szCs w:val="20"/>
        </w:rPr>
        <w:t xml:space="preserve">Commission </w:t>
      </w:r>
      <w:r w:rsidRPr="0043431B">
        <w:rPr>
          <w:rFonts w:cs="Times New Roman"/>
          <w:szCs w:val="20"/>
        </w:rPr>
        <w:t xml:space="preserve">did not agree to delete the reference to trade in Table 2 </w:t>
      </w:r>
      <w:r w:rsidR="00871F8D" w:rsidRPr="0043431B">
        <w:rPr>
          <w:rFonts w:cs="Times New Roman"/>
          <w:szCs w:val="20"/>
        </w:rPr>
        <w:t>noting that</w:t>
      </w:r>
      <w:r w:rsidRPr="0043431B">
        <w:rPr>
          <w:rFonts w:cs="Times New Roman"/>
          <w:szCs w:val="20"/>
        </w:rPr>
        <w:t xml:space="preserve">, for the purpose of this chapter, trade described at the level of the aquaculture establishment is relevant. </w:t>
      </w:r>
    </w:p>
    <w:p w14:paraId="0E5F53B8" w14:textId="77777777" w:rsidR="00EF4C26" w:rsidRPr="0043431B" w:rsidRDefault="00871F8D" w:rsidP="00DF21EC">
      <w:pPr>
        <w:spacing w:after="240" w:line="240" w:lineRule="auto"/>
        <w:ind w:left="1440"/>
        <w:jc w:val="both"/>
        <w:rPr>
          <w:rFonts w:cs="Times New Roman"/>
          <w:szCs w:val="20"/>
        </w:rPr>
      </w:pPr>
      <w:r w:rsidRPr="0043431B">
        <w:rPr>
          <w:rFonts w:cs="Times New Roman"/>
          <w:szCs w:val="20"/>
        </w:rPr>
        <w:t>In Table 3, t</w:t>
      </w:r>
      <w:r w:rsidR="00EF4C26" w:rsidRPr="0043431B">
        <w:rPr>
          <w:rFonts w:cs="Times New Roman"/>
          <w:szCs w:val="20"/>
        </w:rPr>
        <w:t xml:space="preserve">he </w:t>
      </w:r>
      <w:r w:rsidR="00116CF3" w:rsidRPr="0043431B">
        <w:rPr>
          <w:rFonts w:cs="Times New Roman"/>
          <w:szCs w:val="20"/>
        </w:rPr>
        <w:t xml:space="preserve">Commission </w:t>
      </w:r>
      <w:r w:rsidR="00EF4C26" w:rsidRPr="0043431B">
        <w:rPr>
          <w:rFonts w:cs="Times New Roman"/>
          <w:szCs w:val="20"/>
        </w:rPr>
        <w:t xml:space="preserve">did not agree to change the title </w:t>
      </w:r>
      <w:r w:rsidR="006F247B" w:rsidRPr="0043431B">
        <w:rPr>
          <w:rFonts w:cs="Times New Roman"/>
          <w:szCs w:val="20"/>
        </w:rPr>
        <w:t>to ‘Matrix for assessing risk’</w:t>
      </w:r>
      <w:r w:rsidR="006F247B" w:rsidRPr="0043431B">
        <w:rPr>
          <w:rFonts w:eastAsia="Calibri" w:cs="Times New Roman"/>
          <w:b/>
          <w:sz w:val="18"/>
          <w:szCs w:val="18"/>
        </w:rPr>
        <w:t xml:space="preserve"> </w:t>
      </w:r>
      <w:r w:rsidR="00EF4C26" w:rsidRPr="0043431B">
        <w:rPr>
          <w:rFonts w:cs="Times New Roman"/>
          <w:szCs w:val="20"/>
        </w:rPr>
        <w:t xml:space="preserve">as </w:t>
      </w:r>
      <w:r w:rsidRPr="0043431B">
        <w:rPr>
          <w:rFonts w:cs="Times New Roman"/>
          <w:szCs w:val="20"/>
        </w:rPr>
        <w:t xml:space="preserve">it considered </w:t>
      </w:r>
      <w:r w:rsidR="006F247B" w:rsidRPr="0043431B">
        <w:rPr>
          <w:rFonts w:cs="Times New Roman"/>
          <w:szCs w:val="20"/>
        </w:rPr>
        <w:t>it</w:t>
      </w:r>
      <w:r w:rsidRPr="0043431B">
        <w:rPr>
          <w:rFonts w:cs="Times New Roman"/>
          <w:szCs w:val="20"/>
        </w:rPr>
        <w:t xml:space="preserve"> to be </w:t>
      </w:r>
      <w:r w:rsidR="00EF4C26" w:rsidRPr="0043431B">
        <w:rPr>
          <w:rFonts w:cs="Times New Roman"/>
          <w:szCs w:val="20"/>
        </w:rPr>
        <w:t>clear and accurate</w:t>
      </w:r>
      <w:r w:rsidRPr="0043431B">
        <w:rPr>
          <w:rFonts w:cs="Times New Roman"/>
          <w:szCs w:val="20"/>
        </w:rPr>
        <w:t xml:space="preserve"> as </w:t>
      </w:r>
      <w:r w:rsidR="00AB6B7F" w:rsidRPr="0043431B">
        <w:rPr>
          <w:rFonts w:cs="Times New Roman"/>
          <w:szCs w:val="20"/>
        </w:rPr>
        <w:t>written</w:t>
      </w:r>
      <w:r w:rsidR="00EF4C26" w:rsidRPr="0043431B">
        <w:rPr>
          <w:rFonts w:cs="Times New Roman"/>
          <w:szCs w:val="20"/>
        </w:rPr>
        <w:t xml:space="preserve">. It did, however, agree to replace ‘medium’ with ‘low’ under the insignificant consequence and certain likelihood combination as it agreed this was a more appropriate risk estimate. </w:t>
      </w:r>
    </w:p>
    <w:p w14:paraId="7A1B64D9" w14:textId="77777777" w:rsidR="00EF4C26" w:rsidRPr="0043431B" w:rsidRDefault="00EF4C26" w:rsidP="00DF21EC">
      <w:pPr>
        <w:spacing w:after="240" w:line="240" w:lineRule="auto"/>
        <w:ind w:left="1440"/>
        <w:jc w:val="both"/>
        <w:rPr>
          <w:rFonts w:cs="Times New Roman"/>
          <w:szCs w:val="20"/>
        </w:rPr>
      </w:pPr>
      <w:r w:rsidRPr="0043431B">
        <w:rPr>
          <w:rFonts w:cs="Times New Roman"/>
          <w:szCs w:val="20"/>
        </w:rPr>
        <w:t xml:space="preserve">Under Step 3, the </w:t>
      </w:r>
      <w:r w:rsidR="00116CF3" w:rsidRPr="0043431B">
        <w:rPr>
          <w:rFonts w:cs="Times New Roman"/>
          <w:szCs w:val="20"/>
        </w:rPr>
        <w:t xml:space="preserve">Commission </w:t>
      </w:r>
      <w:r w:rsidRPr="0043431B">
        <w:rPr>
          <w:rFonts w:cs="Times New Roman"/>
          <w:szCs w:val="20"/>
        </w:rPr>
        <w:t>did not agree to delete ‘cost-effective’ from the first paragraph because it considered this an important part of prioriti</w:t>
      </w:r>
      <w:r w:rsidR="00AB6B7F" w:rsidRPr="0043431B">
        <w:rPr>
          <w:rFonts w:cs="Times New Roman"/>
          <w:szCs w:val="20"/>
        </w:rPr>
        <w:t>s</w:t>
      </w:r>
      <w:r w:rsidRPr="0043431B">
        <w:rPr>
          <w:rFonts w:cs="Times New Roman"/>
          <w:szCs w:val="20"/>
        </w:rPr>
        <w:t xml:space="preserve">ing mitigation measures. </w:t>
      </w:r>
    </w:p>
    <w:p w14:paraId="07F8E314" w14:textId="5A53A8C2" w:rsidR="00EF4C26" w:rsidRPr="0043431B" w:rsidRDefault="00EF4C26" w:rsidP="00DF21EC">
      <w:pPr>
        <w:spacing w:after="240" w:line="240" w:lineRule="auto"/>
        <w:ind w:left="1440"/>
        <w:jc w:val="both"/>
        <w:rPr>
          <w:rFonts w:cs="Times New Roman"/>
          <w:b/>
          <w:bCs/>
          <w:szCs w:val="20"/>
        </w:rPr>
      </w:pPr>
      <w:r w:rsidRPr="0043431B">
        <w:rPr>
          <w:rFonts w:cs="Times New Roman"/>
          <w:b/>
          <w:bCs/>
          <w:szCs w:val="20"/>
        </w:rPr>
        <w:t>Article 4.X.8 Biosecurity plan development</w:t>
      </w:r>
    </w:p>
    <w:p w14:paraId="722C2EAF" w14:textId="6ACAF1D3" w:rsidR="00EF4C26" w:rsidRPr="0043431B" w:rsidRDefault="00EF4C26" w:rsidP="00DF21EC">
      <w:pPr>
        <w:spacing w:after="240" w:line="240" w:lineRule="auto"/>
        <w:ind w:left="1440"/>
        <w:jc w:val="both"/>
        <w:rPr>
          <w:rFonts w:cs="Times New Roman"/>
          <w:szCs w:val="20"/>
        </w:rPr>
      </w:pPr>
      <w:r w:rsidRPr="0043431B">
        <w:rPr>
          <w:rFonts w:cs="Times New Roman"/>
          <w:szCs w:val="20"/>
        </w:rPr>
        <w:t>For point 1</w:t>
      </w:r>
      <w:r w:rsidR="00AB6B7F" w:rsidRPr="0043431B">
        <w:rPr>
          <w:rFonts w:cs="Times New Roman"/>
          <w:szCs w:val="20"/>
        </w:rPr>
        <w:t>a),</w:t>
      </w:r>
      <w:r w:rsidRPr="0043431B">
        <w:rPr>
          <w:rFonts w:cs="Times New Roman"/>
          <w:szCs w:val="20"/>
        </w:rPr>
        <w:t xml:space="preserve"> regarding the development of a biosecurity plan, the </w:t>
      </w:r>
      <w:r w:rsidR="00116CF3" w:rsidRPr="0043431B">
        <w:rPr>
          <w:rFonts w:cs="Times New Roman"/>
          <w:szCs w:val="20"/>
        </w:rPr>
        <w:t xml:space="preserve">Commission </w:t>
      </w:r>
      <w:r w:rsidRPr="0043431B">
        <w:rPr>
          <w:rFonts w:cs="Times New Roman"/>
          <w:szCs w:val="20"/>
        </w:rPr>
        <w:t xml:space="preserve">agreed to add ‘scope’ because it is an important part of the biosecurity plan. It also agreed that the plan should </w:t>
      </w:r>
      <w:r w:rsidR="00AB6B7F" w:rsidRPr="0043431B">
        <w:rPr>
          <w:rFonts w:cs="Times New Roman"/>
          <w:szCs w:val="20"/>
        </w:rPr>
        <w:t>include</w:t>
      </w:r>
      <w:r w:rsidRPr="0043431B">
        <w:rPr>
          <w:rFonts w:cs="Times New Roman"/>
          <w:szCs w:val="20"/>
        </w:rPr>
        <w:t xml:space="preserve"> information on access points to the aquaculture establishment and added </w:t>
      </w:r>
      <w:r w:rsidR="00AB6B7F" w:rsidRPr="0043431B">
        <w:rPr>
          <w:rFonts w:cs="Times New Roman"/>
          <w:szCs w:val="20"/>
        </w:rPr>
        <w:t xml:space="preserve">text </w:t>
      </w:r>
      <w:r w:rsidRPr="0043431B">
        <w:rPr>
          <w:rFonts w:cs="Times New Roman"/>
          <w:szCs w:val="20"/>
        </w:rPr>
        <w:t>to</w:t>
      </w:r>
      <w:r w:rsidR="00AB6B7F" w:rsidRPr="0043431B">
        <w:rPr>
          <w:rFonts w:cs="Times New Roman"/>
          <w:szCs w:val="20"/>
        </w:rPr>
        <w:t xml:space="preserve"> address </w:t>
      </w:r>
      <w:r w:rsidR="004553A8" w:rsidRPr="0043431B">
        <w:rPr>
          <w:rFonts w:cs="Times New Roman"/>
          <w:szCs w:val="20"/>
        </w:rPr>
        <w:t>this in</w:t>
      </w:r>
      <w:r w:rsidRPr="0043431B">
        <w:rPr>
          <w:rFonts w:cs="Times New Roman"/>
          <w:szCs w:val="20"/>
        </w:rPr>
        <w:t xml:space="preserve"> point</w:t>
      </w:r>
      <w:r w:rsidR="003E513A">
        <w:rPr>
          <w:rFonts w:cs="Times New Roman"/>
          <w:szCs w:val="20"/>
        </w:rPr>
        <w:t> b</w:t>
      </w:r>
      <w:r w:rsidRPr="0043431B">
        <w:rPr>
          <w:rFonts w:cs="Times New Roman"/>
          <w:szCs w:val="20"/>
        </w:rPr>
        <w:t>).</w:t>
      </w:r>
    </w:p>
    <w:p w14:paraId="2407E729" w14:textId="77777777" w:rsidR="00EF4C26" w:rsidRPr="0043431B" w:rsidRDefault="00EF4C26" w:rsidP="00DF21EC">
      <w:pPr>
        <w:spacing w:after="240" w:line="240" w:lineRule="auto"/>
        <w:ind w:left="1440"/>
        <w:jc w:val="both"/>
        <w:rPr>
          <w:rFonts w:cs="Times New Roman"/>
          <w:szCs w:val="20"/>
        </w:rPr>
      </w:pPr>
      <w:r w:rsidRPr="0043431B">
        <w:rPr>
          <w:rFonts w:cs="Times New Roman"/>
          <w:szCs w:val="20"/>
        </w:rPr>
        <w:t>For point 2, the</w:t>
      </w:r>
      <w:r w:rsidR="000733EE" w:rsidRPr="0043431B">
        <w:rPr>
          <w:rFonts w:cs="Times New Roman"/>
          <w:szCs w:val="20"/>
        </w:rPr>
        <w:t xml:space="preserve"> </w:t>
      </w:r>
      <w:r w:rsidR="00116CF3" w:rsidRPr="0043431B">
        <w:rPr>
          <w:rFonts w:cs="Times New Roman"/>
          <w:szCs w:val="20"/>
        </w:rPr>
        <w:t xml:space="preserve">Commission </w:t>
      </w:r>
      <w:r w:rsidRPr="0043431B">
        <w:rPr>
          <w:rFonts w:cs="Times New Roman"/>
          <w:szCs w:val="20"/>
        </w:rPr>
        <w:t xml:space="preserve">agreed to </w:t>
      </w:r>
      <w:r w:rsidR="00AB6B7F" w:rsidRPr="0043431B">
        <w:rPr>
          <w:rFonts w:cs="Times New Roman"/>
          <w:szCs w:val="20"/>
        </w:rPr>
        <w:t>add</w:t>
      </w:r>
      <w:r w:rsidRPr="0043431B">
        <w:rPr>
          <w:rFonts w:cs="Times New Roman"/>
          <w:szCs w:val="20"/>
        </w:rPr>
        <w:t xml:space="preserve"> ‘quarantine measures’ in the examples of documentation required in b). The Commission did not agree to include ‘regulatory requirements’ because this was covered elsewhere in the chapter.  </w:t>
      </w:r>
    </w:p>
    <w:p w14:paraId="5E3BE5D6" w14:textId="51D5BFF6" w:rsidR="00EF4C26" w:rsidRPr="00685B5C" w:rsidRDefault="00AB6B7F" w:rsidP="00DF21EC">
      <w:pPr>
        <w:spacing w:after="240" w:line="240" w:lineRule="auto"/>
        <w:ind w:left="1440"/>
        <w:jc w:val="both"/>
        <w:rPr>
          <w:rFonts w:cs="Times New Roman"/>
          <w:szCs w:val="20"/>
        </w:rPr>
      </w:pPr>
      <w:r w:rsidRPr="0043431B">
        <w:rPr>
          <w:rFonts w:cs="Times New Roman"/>
          <w:szCs w:val="20"/>
        </w:rPr>
        <w:t>In point c), t</w:t>
      </w:r>
      <w:r w:rsidR="00EF4C26" w:rsidRPr="0043431B">
        <w:rPr>
          <w:rFonts w:cs="Times New Roman"/>
          <w:szCs w:val="20"/>
        </w:rPr>
        <w:t xml:space="preserve">he </w:t>
      </w:r>
      <w:r w:rsidR="00116CF3" w:rsidRPr="0043431B">
        <w:rPr>
          <w:rFonts w:cs="Times New Roman"/>
          <w:szCs w:val="20"/>
        </w:rPr>
        <w:t xml:space="preserve">Commission </w:t>
      </w:r>
      <w:r w:rsidR="00EF4C26" w:rsidRPr="0043431B">
        <w:rPr>
          <w:rFonts w:cs="Times New Roman"/>
          <w:szCs w:val="20"/>
        </w:rPr>
        <w:t xml:space="preserve">did not agree to specify that the reporting requirements should be limited </w:t>
      </w:r>
      <w:r w:rsidR="00EF4C26" w:rsidRPr="003E6AFD">
        <w:rPr>
          <w:rFonts w:cs="Times New Roman"/>
          <w:szCs w:val="20"/>
        </w:rPr>
        <w:t xml:space="preserve">to reporting to Competent Authorities, because procedures could include reporting to </w:t>
      </w:r>
      <w:r w:rsidRPr="003E6AFD">
        <w:rPr>
          <w:rFonts w:cs="Times New Roman"/>
          <w:szCs w:val="20"/>
        </w:rPr>
        <w:t xml:space="preserve">the </w:t>
      </w:r>
      <w:r w:rsidR="00EF4C26" w:rsidRPr="003E6AFD">
        <w:rPr>
          <w:rFonts w:cs="Times New Roman"/>
          <w:szCs w:val="20"/>
        </w:rPr>
        <w:t>management of the aquaculture establishment or to private aquatic animal health professionals.</w:t>
      </w:r>
    </w:p>
    <w:p w14:paraId="3AED29B2" w14:textId="1B4A09D6" w:rsidR="00EF4C26" w:rsidRPr="003E6AFD" w:rsidRDefault="00AB6B7F" w:rsidP="00DF21EC">
      <w:pPr>
        <w:spacing w:after="240" w:line="240" w:lineRule="auto"/>
        <w:ind w:left="1440"/>
        <w:jc w:val="both"/>
        <w:rPr>
          <w:rFonts w:cs="Times New Roman"/>
          <w:szCs w:val="20"/>
        </w:rPr>
      </w:pPr>
      <w:r w:rsidRPr="003E6AFD">
        <w:rPr>
          <w:rFonts w:cs="Times New Roman"/>
          <w:szCs w:val="20"/>
        </w:rPr>
        <w:t>In point c), t</w:t>
      </w:r>
      <w:r w:rsidR="00EF4C26" w:rsidRPr="003E6AFD">
        <w:rPr>
          <w:rFonts w:cs="Times New Roman"/>
          <w:szCs w:val="20"/>
        </w:rPr>
        <w:t xml:space="preserve">he </w:t>
      </w:r>
      <w:r w:rsidR="00116CF3" w:rsidRPr="003E6AFD">
        <w:rPr>
          <w:rFonts w:cs="Times New Roman"/>
          <w:szCs w:val="20"/>
        </w:rPr>
        <w:t xml:space="preserve">Commission </w:t>
      </w:r>
      <w:r w:rsidR="00EF4C26" w:rsidRPr="003E6AFD">
        <w:rPr>
          <w:rFonts w:cs="Times New Roman"/>
          <w:szCs w:val="20"/>
        </w:rPr>
        <w:t xml:space="preserve">did not agree to add ‘contingency planning’ </w:t>
      </w:r>
      <w:r w:rsidRPr="00DF0345">
        <w:rPr>
          <w:rFonts w:cs="Times New Roman"/>
          <w:szCs w:val="20"/>
        </w:rPr>
        <w:t xml:space="preserve">to the title </w:t>
      </w:r>
      <w:r w:rsidR="00EF4C26" w:rsidRPr="003E6AFD">
        <w:rPr>
          <w:rFonts w:cs="Times New Roman"/>
          <w:szCs w:val="20"/>
        </w:rPr>
        <w:t xml:space="preserve">because contingency planning is outside the scope of this chapter. </w:t>
      </w:r>
    </w:p>
    <w:p w14:paraId="19B090DC" w14:textId="77777777" w:rsidR="00366F70" w:rsidRDefault="0094086E" w:rsidP="00DF21EC">
      <w:pPr>
        <w:pStyle w:val="para11"/>
        <w:ind w:left="1440"/>
      </w:pPr>
      <w:r w:rsidRPr="008D4BA9">
        <w:t xml:space="preserve">The revised </w:t>
      </w:r>
      <w:r w:rsidR="0016179E">
        <w:t xml:space="preserve">new </w:t>
      </w:r>
      <w:r w:rsidRPr="008D4BA9">
        <w:t>Chapter 4.X</w:t>
      </w:r>
      <w:r w:rsidR="00E27C41">
        <w:t>,</w:t>
      </w:r>
      <w:r w:rsidRPr="008D4BA9">
        <w:t xml:space="preserve"> Biosecurity for Aquaculture Establishments</w:t>
      </w:r>
      <w:r w:rsidR="00E27C41">
        <w:t>,</w:t>
      </w:r>
      <w:r w:rsidRPr="008D4BA9">
        <w:t xml:space="preserve"> is presented in </w:t>
      </w:r>
      <w:hyperlink w:anchor="_Annex_2" w:history="1">
        <w:r w:rsidRPr="000D7670">
          <w:rPr>
            <w:rStyle w:val="Lienhypertexte"/>
          </w:rPr>
          <w:t xml:space="preserve">Annex </w:t>
        </w:r>
        <w:r w:rsidR="00F422BE" w:rsidRPr="000D7670">
          <w:rPr>
            <w:rStyle w:val="Lienhypertexte"/>
          </w:rPr>
          <w:t>2</w:t>
        </w:r>
      </w:hyperlink>
      <w:r w:rsidRPr="008D4BA9">
        <w:t xml:space="preserve"> </w:t>
      </w:r>
      <w:r w:rsidR="00750C92" w:rsidRPr="008D4BA9">
        <w:t>for Member comments</w:t>
      </w:r>
      <w:r w:rsidR="008D4BA9" w:rsidRPr="008D4BA9">
        <w:t xml:space="preserve">. </w:t>
      </w:r>
    </w:p>
    <w:p w14:paraId="1A8D6672" w14:textId="10321DCE" w:rsidR="008D4BA9" w:rsidRDefault="008D4BA9" w:rsidP="00DF21EC">
      <w:pPr>
        <w:pStyle w:val="para11"/>
        <w:ind w:left="1440"/>
        <w:rPr>
          <w:lang w:val="en-SG"/>
        </w:rPr>
      </w:pPr>
      <w:r w:rsidRPr="008D4BA9">
        <w:rPr>
          <w:lang w:val="en-SG"/>
        </w:rPr>
        <w:t>The adopt</w:t>
      </w:r>
      <w:r>
        <w:rPr>
          <w:lang w:val="en-SG"/>
        </w:rPr>
        <w:t xml:space="preserve">ion of the </w:t>
      </w:r>
      <w:r w:rsidR="000F45B2">
        <w:rPr>
          <w:lang w:val="en-SG"/>
        </w:rPr>
        <w:t>chapter</w:t>
      </w:r>
      <w:r>
        <w:t xml:space="preserve"> </w:t>
      </w:r>
      <w:r>
        <w:rPr>
          <w:lang w:val="en-SG"/>
        </w:rPr>
        <w:t>has been postponed until the 89</w:t>
      </w:r>
      <w:r w:rsidRPr="008D4BA9">
        <w:rPr>
          <w:lang w:val="en-SG"/>
        </w:rPr>
        <w:t xml:space="preserve">th </w:t>
      </w:r>
      <w:r>
        <w:rPr>
          <w:lang w:val="en-SG"/>
        </w:rPr>
        <w:t>General Session in May 2021. As the</w:t>
      </w:r>
      <w:r w:rsidR="000F45B2">
        <w:rPr>
          <w:lang w:val="en-SG"/>
        </w:rPr>
        <w:t xml:space="preserve"> chapter has</w:t>
      </w:r>
      <w:r>
        <w:rPr>
          <w:lang w:val="en-SG"/>
        </w:rPr>
        <w:t xml:space="preserve"> already undergone extensive consultation, Members are requested to only submit comments to address s</w:t>
      </w:r>
      <w:r w:rsidRPr="00F63BCB">
        <w:rPr>
          <w:lang w:val="en-SG"/>
        </w:rPr>
        <w:t xml:space="preserve">ubstantive </w:t>
      </w:r>
      <w:r>
        <w:rPr>
          <w:lang w:val="en-SG"/>
        </w:rPr>
        <w:t>issues</w:t>
      </w:r>
      <w:r w:rsidRPr="00F63BCB">
        <w:rPr>
          <w:lang w:val="en-SG"/>
        </w:rPr>
        <w:t xml:space="preserve"> that ha</w:t>
      </w:r>
      <w:r>
        <w:rPr>
          <w:lang w:val="en-SG"/>
        </w:rPr>
        <w:t xml:space="preserve">ve </w:t>
      </w:r>
      <w:r w:rsidRPr="00F63BCB">
        <w:rPr>
          <w:lang w:val="en-SG"/>
        </w:rPr>
        <w:t xml:space="preserve">not been </w:t>
      </w:r>
      <w:r>
        <w:rPr>
          <w:lang w:val="en-SG"/>
        </w:rPr>
        <w:t xml:space="preserve">considered </w:t>
      </w:r>
      <w:r w:rsidRPr="00F63BCB">
        <w:rPr>
          <w:lang w:val="en-SG"/>
        </w:rPr>
        <w:t>previously</w:t>
      </w:r>
      <w:r>
        <w:rPr>
          <w:lang w:val="en-SG"/>
        </w:rPr>
        <w:t xml:space="preserve">. </w:t>
      </w:r>
    </w:p>
    <w:p w14:paraId="466761BA" w14:textId="562DB345" w:rsidR="006E57F4" w:rsidRPr="0043431B" w:rsidRDefault="00DF21EC" w:rsidP="001D5EB7">
      <w:pPr>
        <w:pStyle w:val="Titre3"/>
        <w:spacing w:before="0" w:after="240" w:line="240" w:lineRule="auto"/>
        <w:ind w:left="1418" w:hanging="567"/>
        <w:jc w:val="both"/>
        <w:rPr>
          <w:rFonts w:cs="Times New Roman"/>
          <w:b/>
        </w:rPr>
      </w:pPr>
      <w:bookmarkStart w:id="14" w:name="_Toc38028621"/>
      <w:r>
        <w:rPr>
          <w:rFonts w:cs="Times New Roman"/>
          <w:b/>
          <w:i w:val="0"/>
        </w:rPr>
        <w:br w:type="page"/>
      </w:r>
      <w:r w:rsidR="006E57F4" w:rsidRPr="0043431B">
        <w:rPr>
          <w:rFonts w:cs="Times New Roman"/>
          <w:b/>
          <w:i w:val="0"/>
        </w:rPr>
        <w:lastRenderedPageBreak/>
        <w:t>7.1.2.</w:t>
      </w:r>
      <w:r w:rsidR="006E57F4" w:rsidRPr="0043431B">
        <w:rPr>
          <w:rFonts w:cs="Times New Roman"/>
          <w:b/>
          <w:i w:val="0"/>
        </w:rPr>
        <w:tab/>
      </w:r>
      <w:r w:rsidR="006E57F4" w:rsidRPr="001D5EB7">
        <w:rPr>
          <w:rFonts w:cs="Times New Roman"/>
          <w:b/>
          <w:i w:val="0"/>
          <w:iCs/>
          <w:szCs w:val="20"/>
        </w:rPr>
        <w:t>Listing</w:t>
      </w:r>
      <w:r w:rsidR="006E57F4" w:rsidRPr="0043431B">
        <w:rPr>
          <w:rFonts w:cs="Times New Roman"/>
          <w:b/>
          <w:i w:val="0"/>
        </w:rPr>
        <w:t xml:space="preserve"> of infection with</w:t>
      </w:r>
      <w:r w:rsidR="006A3D11" w:rsidRPr="0043431B">
        <w:rPr>
          <w:rFonts w:cs="Times New Roman"/>
          <w:b/>
          <w:i w:val="0"/>
        </w:rPr>
        <w:t xml:space="preserve"> </w:t>
      </w:r>
      <w:r w:rsidR="006A3D11" w:rsidRPr="0043431B">
        <w:rPr>
          <w:rFonts w:cs="Times New Roman"/>
          <w:b/>
          <w:bCs/>
          <w:i w:val="0"/>
          <w:iCs/>
          <w:szCs w:val="20"/>
          <w:lang w:val="en-US"/>
        </w:rPr>
        <w:t>decapod iridescent virus</w:t>
      </w:r>
      <w:r w:rsidR="00355110">
        <w:rPr>
          <w:rFonts w:cs="Times New Roman"/>
          <w:b/>
          <w:bCs/>
          <w:i w:val="0"/>
          <w:iCs/>
          <w:szCs w:val="20"/>
          <w:lang w:val="en-US"/>
        </w:rPr>
        <w:t xml:space="preserve"> </w:t>
      </w:r>
      <w:r w:rsidR="006A3D11" w:rsidRPr="0043431B">
        <w:rPr>
          <w:rFonts w:cs="Times New Roman"/>
          <w:b/>
          <w:bCs/>
          <w:i w:val="0"/>
          <w:iCs/>
          <w:szCs w:val="20"/>
          <w:lang w:val="en-US"/>
        </w:rPr>
        <w:t>1</w:t>
      </w:r>
      <w:r w:rsidR="006E57F4" w:rsidRPr="0043431B">
        <w:rPr>
          <w:rFonts w:cs="Times New Roman"/>
          <w:b/>
          <w:i w:val="0"/>
        </w:rPr>
        <w:t xml:space="preserve"> </w:t>
      </w:r>
      <w:r w:rsidR="006A3D11" w:rsidRPr="0043431B">
        <w:rPr>
          <w:rFonts w:cs="Times New Roman"/>
          <w:b/>
          <w:i w:val="0"/>
        </w:rPr>
        <w:t>(</w:t>
      </w:r>
      <w:r w:rsidR="006E57F4" w:rsidRPr="0043431B">
        <w:rPr>
          <w:rFonts w:cs="Times New Roman"/>
          <w:b/>
          <w:i w:val="0"/>
        </w:rPr>
        <w:t>DIV1</w:t>
      </w:r>
      <w:r w:rsidR="006A3D11" w:rsidRPr="0043431B">
        <w:rPr>
          <w:rFonts w:cs="Times New Roman"/>
          <w:b/>
          <w:i w:val="0"/>
        </w:rPr>
        <w:t>)</w:t>
      </w:r>
      <w:r w:rsidR="006E57F4" w:rsidRPr="0043431B">
        <w:rPr>
          <w:rFonts w:cs="Times New Roman"/>
          <w:b/>
          <w:i w:val="0"/>
        </w:rPr>
        <w:t xml:space="preserve"> ‒ Revised </w:t>
      </w:r>
      <w:bookmarkStart w:id="15" w:name="_Hlk34058097"/>
      <w:r w:rsidR="006E57F4" w:rsidRPr="0043431B">
        <w:rPr>
          <w:rFonts w:cs="Times New Roman"/>
          <w:b/>
          <w:i w:val="0"/>
        </w:rPr>
        <w:t xml:space="preserve">Article 1.3.3 of </w:t>
      </w:r>
      <w:bookmarkEnd w:id="15"/>
      <w:r w:rsidR="006E57F4" w:rsidRPr="0043431B">
        <w:rPr>
          <w:rFonts w:cs="Times New Roman"/>
          <w:b/>
          <w:i w:val="0"/>
        </w:rPr>
        <w:t>Chapter</w:t>
      </w:r>
      <w:r>
        <w:rPr>
          <w:rFonts w:cs="Times New Roman"/>
          <w:b/>
          <w:i w:val="0"/>
        </w:rPr>
        <w:t> </w:t>
      </w:r>
      <w:r w:rsidR="006E57F4" w:rsidRPr="0043431B">
        <w:rPr>
          <w:rFonts w:cs="Times New Roman"/>
          <w:b/>
          <w:i w:val="0"/>
        </w:rPr>
        <w:t>1.3</w:t>
      </w:r>
      <w:bookmarkEnd w:id="14"/>
    </w:p>
    <w:p w14:paraId="7F7BD0EA" w14:textId="77777777" w:rsidR="00ED35A8" w:rsidRPr="0043431B" w:rsidRDefault="00667405" w:rsidP="00DF21EC">
      <w:pPr>
        <w:pStyle w:val="paragraph"/>
        <w:spacing w:before="0" w:beforeAutospacing="0" w:after="240" w:afterAutospacing="0"/>
        <w:ind w:left="1418"/>
        <w:jc w:val="both"/>
        <w:textAlignment w:val="baseline"/>
        <w:rPr>
          <w:rStyle w:val="normaltextrun"/>
          <w:sz w:val="20"/>
          <w:szCs w:val="20"/>
          <w:u w:val="single"/>
        </w:rPr>
      </w:pPr>
      <w:r w:rsidRPr="0043431B">
        <w:rPr>
          <w:sz w:val="20"/>
          <w:szCs w:val="20"/>
          <w:lang w:val="en-IE"/>
        </w:rPr>
        <w:t>Comments were received from Chinese Taipei, New Caledonia, Nicaragua and the EU</w:t>
      </w:r>
      <w:r w:rsidR="006A3D11" w:rsidRPr="0043431B">
        <w:rPr>
          <w:sz w:val="20"/>
          <w:szCs w:val="20"/>
          <w:lang w:val="en-IE"/>
        </w:rPr>
        <w:t>.</w:t>
      </w:r>
    </w:p>
    <w:p w14:paraId="4C0A9393" w14:textId="77777777" w:rsidR="002D7E39" w:rsidRPr="009C0C29" w:rsidRDefault="002D7E39" w:rsidP="00DF21EC">
      <w:pPr>
        <w:pStyle w:val="paragraph"/>
        <w:spacing w:before="0" w:beforeAutospacing="0" w:after="240" w:afterAutospacing="0"/>
        <w:ind w:left="1418"/>
        <w:jc w:val="both"/>
        <w:textAlignment w:val="baseline"/>
        <w:rPr>
          <w:rStyle w:val="normaltextrun"/>
          <w:i/>
          <w:iCs/>
          <w:sz w:val="20"/>
          <w:szCs w:val="20"/>
        </w:rPr>
      </w:pPr>
      <w:r w:rsidRPr="009C0C29">
        <w:rPr>
          <w:rStyle w:val="normaltextrun"/>
          <w:i/>
          <w:iCs/>
          <w:sz w:val="20"/>
          <w:szCs w:val="20"/>
        </w:rPr>
        <w:t>Background</w:t>
      </w:r>
    </w:p>
    <w:p w14:paraId="4CCC3DE7" w14:textId="1AC3EF33" w:rsidR="00667405" w:rsidRPr="0043431B" w:rsidRDefault="00667405" w:rsidP="00DF21EC">
      <w:pPr>
        <w:spacing w:after="240" w:line="240" w:lineRule="auto"/>
        <w:ind w:left="1418"/>
        <w:jc w:val="both"/>
        <w:rPr>
          <w:rFonts w:cs="Times New Roman"/>
          <w:szCs w:val="20"/>
          <w:lang w:val="en-IE"/>
        </w:rPr>
      </w:pPr>
      <w:r w:rsidRPr="0043431B">
        <w:rPr>
          <w:rFonts w:cs="Times New Roman"/>
          <w:szCs w:val="20"/>
          <w:lang w:val="en-US"/>
        </w:rPr>
        <w:t>The Commission, at its February 2019 meeting, assessed infection with shrimp haemocyte iridescent virus (SHIV) against the criteria for listing aquatic animal diseases in Article 1.2.2 and agreed that infection with SHIV meets the OIE criteria for listing and should be added to Article 1.3.3</w:t>
      </w:r>
      <w:r w:rsidR="006A3D11" w:rsidRPr="0043431B">
        <w:rPr>
          <w:rFonts w:cs="Times New Roman"/>
          <w:szCs w:val="20"/>
          <w:lang w:val="en-US"/>
        </w:rPr>
        <w:t>,</w:t>
      </w:r>
      <w:r w:rsidRPr="0043431B">
        <w:rPr>
          <w:rFonts w:cs="Times New Roman"/>
          <w:szCs w:val="20"/>
          <w:lang w:val="en-US"/>
        </w:rPr>
        <w:t xml:space="preserve"> Diseases of crustaceans listed by the OIE. </w:t>
      </w:r>
      <w:r w:rsidR="0021303D" w:rsidRPr="0043431B">
        <w:rPr>
          <w:rFonts w:cs="Times New Roman"/>
          <w:szCs w:val="20"/>
        </w:rPr>
        <w:t xml:space="preserve">At this meeting the name was changed </w:t>
      </w:r>
      <w:r w:rsidR="0021303D" w:rsidRPr="0043431B">
        <w:rPr>
          <w:rFonts w:cs="Times New Roman"/>
          <w:szCs w:val="20"/>
          <w:lang w:val="en-US"/>
        </w:rPr>
        <w:t>to ‘Infection with decapod iridescent virus</w:t>
      </w:r>
      <w:r w:rsidR="00355110">
        <w:rPr>
          <w:rFonts w:cs="Times New Roman"/>
          <w:szCs w:val="20"/>
          <w:lang w:val="en-US"/>
        </w:rPr>
        <w:t xml:space="preserve"> </w:t>
      </w:r>
      <w:r w:rsidR="0021303D" w:rsidRPr="0043431B">
        <w:rPr>
          <w:rFonts w:cs="Times New Roman"/>
          <w:szCs w:val="20"/>
          <w:lang w:val="en-US"/>
        </w:rPr>
        <w:t>1 (DIV1)’ in accordance with the classification of the pathogenic agent in the database of the International Committee of Taxonomy of Viruses (ICTV).</w:t>
      </w:r>
    </w:p>
    <w:p w14:paraId="526F960B" w14:textId="67A2F48C" w:rsidR="002D7E39" w:rsidRPr="0043431B" w:rsidRDefault="00667405" w:rsidP="00DF21EC">
      <w:pPr>
        <w:spacing w:after="240" w:line="240" w:lineRule="auto"/>
        <w:ind w:left="1418"/>
        <w:jc w:val="both"/>
        <w:rPr>
          <w:rFonts w:cs="Times New Roman"/>
          <w:szCs w:val="20"/>
          <w:lang w:val="en-IE"/>
        </w:rPr>
      </w:pPr>
      <w:r w:rsidRPr="0043431B">
        <w:rPr>
          <w:rFonts w:cs="Times New Roman"/>
          <w:szCs w:val="20"/>
          <w:lang w:val="en-IE"/>
        </w:rPr>
        <w:t>Th</w:t>
      </w:r>
      <w:r w:rsidR="00E81526" w:rsidRPr="0043431B">
        <w:rPr>
          <w:rFonts w:cs="Times New Roman"/>
          <w:szCs w:val="20"/>
          <w:lang w:val="en-IE"/>
        </w:rPr>
        <w:t>e</w:t>
      </w:r>
      <w:r w:rsidRPr="0043431B">
        <w:rPr>
          <w:rFonts w:cs="Times New Roman"/>
          <w:szCs w:val="20"/>
          <w:lang w:val="en-IE"/>
        </w:rPr>
        <w:t xml:space="preserve"> proposal </w:t>
      </w:r>
      <w:r w:rsidR="00E81526" w:rsidRPr="0043431B">
        <w:rPr>
          <w:rFonts w:cs="Times New Roman"/>
          <w:szCs w:val="20"/>
          <w:lang w:val="en-IE"/>
        </w:rPr>
        <w:t xml:space="preserve">to list infection </w:t>
      </w:r>
      <w:r w:rsidR="00A53E80">
        <w:rPr>
          <w:rFonts w:cs="Times New Roman"/>
          <w:szCs w:val="20"/>
          <w:lang w:val="en-IE"/>
        </w:rPr>
        <w:t xml:space="preserve">with </w:t>
      </w:r>
      <w:r w:rsidR="00E81526" w:rsidRPr="0043431B">
        <w:rPr>
          <w:rFonts w:cs="Times New Roman"/>
          <w:szCs w:val="20"/>
          <w:lang w:val="en-IE"/>
        </w:rPr>
        <w:t xml:space="preserve">DIV1 </w:t>
      </w:r>
      <w:r w:rsidRPr="0043431B">
        <w:rPr>
          <w:rFonts w:cs="Times New Roman"/>
          <w:szCs w:val="20"/>
          <w:lang w:val="en-IE"/>
        </w:rPr>
        <w:t>has been circulated three times for comments</w:t>
      </w:r>
      <w:r w:rsidR="00E81526" w:rsidRPr="0043431B">
        <w:rPr>
          <w:rFonts w:cs="Times New Roman"/>
          <w:szCs w:val="20"/>
          <w:lang w:val="en-IE"/>
        </w:rPr>
        <w:t>, and each time the assessment against the criteria for listing</w:t>
      </w:r>
      <w:r w:rsidR="006A3D11" w:rsidRPr="0043431B">
        <w:rPr>
          <w:rFonts w:cs="Times New Roman"/>
          <w:szCs w:val="20"/>
          <w:lang w:val="en-IE"/>
        </w:rPr>
        <w:t xml:space="preserve"> for information</w:t>
      </w:r>
      <w:r w:rsidR="006F3FDB">
        <w:rPr>
          <w:rFonts w:cs="Times New Roman"/>
          <w:szCs w:val="20"/>
          <w:lang w:val="en-IE"/>
        </w:rPr>
        <w:t xml:space="preserve"> was included</w:t>
      </w:r>
      <w:r w:rsidRPr="0043431B">
        <w:rPr>
          <w:rFonts w:cs="Times New Roman"/>
          <w:szCs w:val="20"/>
          <w:lang w:val="en-IE"/>
        </w:rPr>
        <w:t>.</w:t>
      </w:r>
    </w:p>
    <w:p w14:paraId="1DDBF6A5" w14:textId="77777777" w:rsidR="009C0C29" w:rsidRPr="0043431B" w:rsidRDefault="009C0C29" w:rsidP="00DF21EC">
      <w:pPr>
        <w:spacing w:after="240" w:line="240" w:lineRule="auto"/>
        <w:ind w:left="1440"/>
        <w:jc w:val="both"/>
        <w:rPr>
          <w:rFonts w:cs="Times New Roman"/>
          <w:b/>
          <w:bCs/>
          <w:szCs w:val="20"/>
        </w:rPr>
      </w:pPr>
      <w:r>
        <w:rPr>
          <w:rFonts w:cs="Times New Roman"/>
          <w:b/>
          <w:bCs/>
          <w:szCs w:val="20"/>
        </w:rPr>
        <w:t>Previous Commission reports where this item was discussed</w:t>
      </w:r>
      <w:r w:rsidRPr="0043431B">
        <w:rPr>
          <w:rFonts w:cs="Times New Roman"/>
          <w:b/>
          <w:bCs/>
          <w:szCs w:val="20"/>
        </w:rPr>
        <w:t>:</w:t>
      </w:r>
    </w:p>
    <w:p w14:paraId="1A91D8D5" w14:textId="377D6743" w:rsidR="002D7E39" w:rsidRPr="0043431B" w:rsidRDefault="002D7E39" w:rsidP="00DF21EC">
      <w:pPr>
        <w:spacing w:after="240" w:line="240" w:lineRule="auto"/>
        <w:ind w:left="1440"/>
        <w:jc w:val="both"/>
        <w:rPr>
          <w:rFonts w:cs="Times New Roman"/>
          <w:szCs w:val="20"/>
        </w:rPr>
      </w:pPr>
      <w:r w:rsidRPr="0043431B">
        <w:rPr>
          <w:rFonts w:cs="Times New Roman"/>
          <w:szCs w:val="20"/>
        </w:rPr>
        <w:t>February 2019 report</w:t>
      </w:r>
      <w:r w:rsidR="009C0C29">
        <w:rPr>
          <w:rFonts w:cs="Times New Roman"/>
          <w:szCs w:val="20"/>
        </w:rPr>
        <w:t xml:space="preserve"> (</w:t>
      </w:r>
      <w:r w:rsidRPr="0043431B">
        <w:rPr>
          <w:rFonts w:cs="Times New Roman"/>
          <w:szCs w:val="20"/>
        </w:rPr>
        <w:t xml:space="preserve">Item 3.1.1, </w:t>
      </w:r>
      <w:r w:rsidR="009910BA" w:rsidRPr="0043431B">
        <w:rPr>
          <w:rFonts w:cs="Times New Roman"/>
          <w:szCs w:val="20"/>
        </w:rPr>
        <w:t>page 113</w:t>
      </w:r>
      <w:r w:rsidR="009C0C29">
        <w:rPr>
          <w:rFonts w:cs="Times New Roman"/>
          <w:szCs w:val="20"/>
        </w:rPr>
        <w:t xml:space="preserve">); </w:t>
      </w:r>
      <w:r w:rsidRPr="0043431B">
        <w:rPr>
          <w:rFonts w:cs="Times New Roman"/>
          <w:szCs w:val="20"/>
        </w:rPr>
        <w:t>September 2019 report</w:t>
      </w:r>
      <w:r w:rsidR="009C0C29">
        <w:rPr>
          <w:rFonts w:cs="Times New Roman"/>
          <w:szCs w:val="20"/>
        </w:rPr>
        <w:t xml:space="preserve"> (</w:t>
      </w:r>
      <w:r w:rsidRPr="0043431B">
        <w:rPr>
          <w:rFonts w:cs="Times New Roman"/>
          <w:szCs w:val="20"/>
        </w:rPr>
        <w:t>Item 6.2</w:t>
      </w:r>
      <w:r w:rsidR="009C0C29">
        <w:rPr>
          <w:rFonts w:cs="Times New Roman"/>
          <w:szCs w:val="20"/>
        </w:rPr>
        <w:t>,</w:t>
      </w:r>
      <w:r w:rsidR="009910BA" w:rsidRPr="0043431B">
        <w:rPr>
          <w:rFonts w:cs="Times New Roman"/>
          <w:szCs w:val="20"/>
        </w:rPr>
        <w:t xml:space="preserve"> page 45</w:t>
      </w:r>
      <w:r w:rsidR="009C0C29">
        <w:rPr>
          <w:rFonts w:cs="Times New Roman"/>
          <w:szCs w:val="20"/>
        </w:rPr>
        <w:t>)</w:t>
      </w:r>
      <w:r w:rsidR="00E27C41">
        <w:rPr>
          <w:rFonts w:cs="Times New Roman"/>
          <w:szCs w:val="20"/>
        </w:rPr>
        <w:t>.</w:t>
      </w:r>
    </w:p>
    <w:p w14:paraId="68382264" w14:textId="77777777" w:rsidR="006E57F4" w:rsidRPr="009C0C29" w:rsidRDefault="006E57F4" w:rsidP="00DF21EC">
      <w:pPr>
        <w:spacing w:after="240" w:line="240" w:lineRule="auto"/>
        <w:ind w:left="1418"/>
        <w:jc w:val="both"/>
        <w:rPr>
          <w:rFonts w:cs="Times New Roman"/>
          <w:b/>
          <w:bCs/>
          <w:szCs w:val="20"/>
          <w:lang w:val="en-IE"/>
        </w:rPr>
      </w:pPr>
      <w:r w:rsidRPr="009C0C29">
        <w:rPr>
          <w:rFonts w:cs="Times New Roman"/>
          <w:b/>
          <w:bCs/>
          <w:szCs w:val="20"/>
          <w:lang w:val="en-IE"/>
        </w:rPr>
        <w:t>February 2020 meeting</w:t>
      </w:r>
    </w:p>
    <w:p w14:paraId="4C8C4D50" w14:textId="572910DF" w:rsidR="006E57F4" w:rsidRPr="0043431B" w:rsidRDefault="006E57F4" w:rsidP="00DF21EC">
      <w:pPr>
        <w:spacing w:after="240" w:line="240" w:lineRule="auto"/>
        <w:ind w:left="1418"/>
        <w:jc w:val="both"/>
        <w:rPr>
          <w:rFonts w:cs="Times New Roman"/>
          <w:szCs w:val="20"/>
          <w:lang w:val="en-IE"/>
        </w:rPr>
      </w:pPr>
      <w:r w:rsidRPr="0043431B">
        <w:rPr>
          <w:rFonts w:cs="Times New Roman"/>
          <w:szCs w:val="20"/>
          <w:lang w:val="en-IE"/>
        </w:rPr>
        <w:t xml:space="preserve">The </w:t>
      </w:r>
      <w:r w:rsidR="00116CF3" w:rsidRPr="0043431B">
        <w:rPr>
          <w:rFonts w:cs="Times New Roman"/>
          <w:szCs w:val="20"/>
        </w:rPr>
        <w:t xml:space="preserve">Commission </w:t>
      </w:r>
      <w:r w:rsidRPr="0043431B">
        <w:rPr>
          <w:rFonts w:cs="Times New Roman"/>
          <w:szCs w:val="20"/>
          <w:lang w:val="en-IE"/>
        </w:rPr>
        <w:t xml:space="preserve">noted that all </w:t>
      </w:r>
      <w:r w:rsidR="00667405" w:rsidRPr="0043431B">
        <w:rPr>
          <w:rFonts w:cs="Times New Roman"/>
          <w:szCs w:val="20"/>
          <w:lang w:val="en-IE"/>
        </w:rPr>
        <w:t xml:space="preserve">comments received </w:t>
      </w:r>
      <w:r w:rsidRPr="0043431B">
        <w:rPr>
          <w:rFonts w:cs="Times New Roman"/>
          <w:szCs w:val="20"/>
          <w:lang w:val="en-IE"/>
        </w:rPr>
        <w:t xml:space="preserve">supported the listing of </w:t>
      </w:r>
      <w:r w:rsidR="00667405" w:rsidRPr="0043431B">
        <w:rPr>
          <w:rFonts w:cs="Times New Roman"/>
          <w:szCs w:val="20"/>
          <w:lang w:val="en-IE"/>
        </w:rPr>
        <w:t>infection with DIV1</w:t>
      </w:r>
      <w:r w:rsidRPr="0043431B">
        <w:rPr>
          <w:rFonts w:cs="Times New Roman"/>
          <w:szCs w:val="20"/>
          <w:lang w:val="en-IE"/>
        </w:rPr>
        <w:t xml:space="preserve">. </w:t>
      </w:r>
    </w:p>
    <w:p w14:paraId="3D7EE0FC" w14:textId="441282F8" w:rsidR="006E57F4" w:rsidRDefault="006E57F4" w:rsidP="00DF21EC">
      <w:pPr>
        <w:spacing w:after="240" w:line="240" w:lineRule="auto"/>
        <w:ind w:left="1418"/>
        <w:jc w:val="both"/>
        <w:rPr>
          <w:rFonts w:cs="Times New Roman"/>
          <w:szCs w:val="20"/>
          <w:lang w:val="en-IE"/>
        </w:rPr>
      </w:pPr>
      <w:r w:rsidRPr="0043431B">
        <w:rPr>
          <w:rFonts w:cs="Times New Roman"/>
          <w:szCs w:val="20"/>
          <w:lang w:val="en-IE"/>
        </w:rPr>
        <w:t xml:space="preserve">In response to a request to consider introducing acronyms in the list of diseases, the </w:t>
      </w:r>
      <w:r w:rsidR="001A3C31" w:rsidRPr="0043431B">
        <w:rPr>
          <w:rFonts w:cs="Times New Roman"/>
          <w:szCs w:val="20"/>
        </w:rPr>
        <w:t xml:space="preserve">Commission </w:t>
      </w:r>
      <w:r w:rsidRPr="0043431B">
        <w:rPr>
          <w:rFonts w:cs="Times New Roman"/>
          <w:szCs w:val="20"/>
          <w:lang w:val="en-IE"/>
        </w:rPr>
        <w:t>noted that this is not the convention</w:t>
      </w:r>
      <w:r w:rsidR="00E81526" w:rsidRPr="0043431B">
        <w:rPr>
          <w:rFonts w:cs="Times New Roman"/>
          <w:szCs w:val="20"/>
          <w:lang w:val="en-IE"/>
        </w:rPr>
        <w:t xml:space="preserve"> for Chapter </w:t>
      </w:r>
      <w:r w:rsidR="008D4BA9" w:rsidRPr="0043431B">
        <w:rPr>
          <w:rFonts w:cs="Times New Roman"/>
          <w:szCs w:val="20"/>
          <w:lang w:val="en-IE"/>
        </w:rPr>
        <w:t>1.3 but</w:t>
      </w:r>
      <w:r w:rsidRPr="0043431B">
        <w:rPr>
          <w:rFonts w:cs="Times New Roman"/>
          <w:szCs w:val="20"/>
          <w:lang w:val="en-IE"/>
        </w:rPr>
        <w:t xml:space="preserve"> </w:t>
      </w:r>
      <w:r w:rsidR="00E81526" w:rsidRPr="0043431B">
        <w:rPr>
          <w:rFonts w:cs="Times New Roman"/>
          <w:szCs w:val="20"/>
          <w:lang w:val="en-IE"/>
        </w:rPr>
        <w:t xml:space="preserve">emphasised </w:t>
      </w:r>
      <w:r w:rsidRPr="0043431B">
        <w:rPr>
          <w:rFonts w:cs="Times New Roman"/>
          <w:szCs w:val="20"/>
          <w:lang w:val="en-IE"/>
        </w:rPr>
        <w:t xml:space="preserve">that acronyms and common disease names are used in </w:t>
      </w:r>
      <w:r w:rsidR="00636FF3">
        <w:rPr>
          <w:rFonts w:cs="Times New Roman"/>
          <w:szCs w:val="20"/>
          <w:lang w:val="en-IE"/>
        </w:rPr>
        <w:t xml:space="preserve">the </w:t>
      </w:r>
      <w:r w:rsidRPr="0043431B">
        <w:rPr>
          <w:rFonts w:cs="Times New Roman"/>
          <w:szCs w:val="20"/>
          <w:lang w:val="en-IE"/>
        </w:rPr>
        <w:t xml:space="preserve">disease-specific chapters. </w:t>
      </w:r>
    </w:p>
    <w:p w14:paraId="1E9CBE79" w14:textId="1DE963AC" w:rsidR="00DE698E" w:rsidRDefault="006E57F4" w:rsidP="00DF21EC">
      <w:pPr>
        <w:pStyle w:val="para11"/>
        <w:ind w:left="1440"/>
        <w:rPr>
          <w:lang w:val="en-IE"/>
        </w:rPr>
      </w:pPr>
      <w:bookmarkStart w:id="16" w:name="_Hlk33011316"/>
      <w:r w:rsidRPr="008D4BA9">
        <w:rPr>
          <w:lang w:val="en-IE"/>
        </w:rPr>
        <w:t xml:space="preserve">The revised </w:t>
      </w:r>
      <w:r w:rsidR="00C06EFE" w:rsidRPr="008D4BA9">
        <w:rPr>
          <w:lang w:val="en-IE"/>
        </w:rPr>
        <w:t xml:space="preserve">Article 1.3.3 of </w:t>
      </w:r>
      <w:r w:rsidRPr="008D4BA9">
        <w:rPr>
          <w:lang w:val="en-IE"/>
        </w:rPr>
        <w:t xml:space="preserve">Chapter 1.3, Diseases listed by the OIE, </w:t>
      </w:r>
      <w:bookmarkEnd w:id="16"/>
      <w:r w:rsidR="0021303D" w:rsidRPr="008D4BA9">
        <w:rPr>
          <w:lang w:val="en-IE"/>
        </w:rPr>
        <w:t xml:space="preserve">is presented in </w:t>
      </w:r>
      <w:hyperlink w:anchor="_Annex_4" w:history="1">
        <w:r w:rsidR="00790765" w:rsidRPr="001677E0">
          <w:rPr>
            <w:rStyle w:val="Lienhypertexte"/>
            <w:lang w:val="en-IE"/>
          </w:rPr>
          <w:t xml:space="preserve">Annex </w:t>
        </w:r>
        <w:r w:rsidR="00790765">
          <w:rPr>
            <w:rStyle w:val="Lienhypertexte"/>
            <w:lang w:val="en-IE"/>
          </w:rPr>
          <w:t>3</w:t>
        </w:r>
        <w:r w:rsidR="00790765" w:rsidRPr="001677E0">
          <w:rPr>
            <w:rStyle w:val="Lienhypertexte"/>
            <w:lang w:val="en-IE"/>
          </w:rPr>
          <w:t xml:space="preserve"> </w:t>
        </w:r>
      </w:hyperlink>
      <w:r w:rsidR="004B6EE4" w:rsidRPr="00F422BE">
        <w:rPr>
          <w:lang w:val="en-IE"/>
        </w:rPr>
        <w:t>for</w:t>
      </w:r>
      <w:r w:rsidR="004B6EE4" w:rsidRPr="008D4BA9">
        <w:rPr>
          <w:u w:val="single"/>
          <w:lang w:val="en-IE"/>
        </w:rPr>
        <w:t xml:space="preserve"> </w:t>
      </w:r>
      <w:r w:rsidR="004B6EE4" w:rsidRPr="00F422BE">
        <w:rPr>
          <w:lang w:val="en-IE"/>
        </w:rPr>
        <w:t>Member comments</w:t>
      </w:r>
      <w:r w:rsidR="005D6CE3">
        <w:rPr>
          <w:lang w:val="en-IE"/>
        </w:rPr>
        <w:t xml:space="preserve"> (see also Item 7.3.4.)</w:t>
      </w:r>
      <w:r w:rsidR="008D4BA9" w:rsidRPr="00F422BE">
        <w:rPr>
          <w:lang w:val="en-IE"/>
        </w:rPr>
        <w:t>.</w:t>
      </w:r>
      <w:r w:rsidR="002E572B">
        <w:rPr>
          <w:lang w:val="en-IE"/>
        </w:rPr>
        <w:t xml:space="preserve"> </w:t>
      </w:r>
    </w:p>
    <w:p w14:paraId="4B6DBD77" w14:textId="616C9BAA" w:rsidR="000F45B2" w:rsidRDefault="00DE698E" w:rsidP="00DF21EC">
      <w:pPr>
        <w:pStyle w:val="para11"/>
        <w:ind w:left="1440"/>
        <w:rPr>
          <w:lang w:val="en-SG"/>
        </w:rPr>
      </w:pPr>
      <w:r>
        <w:rPr>
          <w:lang w:val="en-IE"/>
        </w:rPr>
        <w:t xml:space="preserve">Note: </w:t>
      </w:r>
      <w:r w:rsidR="008D4BA9" w:rsidRPr="000F45B2">
        <w:rPr>
          <w:lang w:val="en-IE"/>
        </w:rPr>
        <w:t xml:space="preserve">The adoption has been postponed until the </w:t>
      </w:r>
      <w:r w:rsidR="000F45B2" w:rsidRPr="000F45B2">
        <w:rPr>
          <w:lang w:val="en-SG"/>
        </w:rPr>
        <w:t>89th</w:t>
      </w:r>
      <w:r w:rsidR="000F45B2" w:rsidRPr="008D4BA9">
        <w:rPr>
          <w:lang w:val="en-SG"/>
        </w:rPr>
        <w:t xml:space="preserve"> </w:t>
      </w:r>
      <w:r w:rsidR="000F45B2">
        <w:rPr>
          <w:lang w:val="en-SG"/>
        </w:rPr>
        <w:t>General Session in May 2021. As the Article has already undergone extensive consultation, Members are requested to only submit comments to address s</w:t>
      </w:r>
      <w:r w:rsidR="000F45B2" w:rsidRPr="00F63BCB">
        <w:rPr>
          <w:lang w:val="en-SG"/>
        </w:rPr>
        <w:t xml:space="preserve">ubstantive </w:t>
      </w:r>
      <w:r w:rsidR="000F45B2">
        <w:rPr>
          <w:lang w:val="en-SG"/>
        </w:rPr>
        <w:t>issues</w:t>
      </w:r>
      <w:r w:rsidR="000F45B2" w:rsidRPr="00F63BCB">
        <w:rPr>
          <w:lang w:val="en-SG"/>
        </w:rPr>
        <w:t xml:space="preserve"> that ha</w:t>
      </w:r>
      <w:r w:rsidR="000F45B2">
        <w:rPr>
          <w:lang w:val="en-SG"/>
        </w:rPr>
        <w:t xml:space="preserve">ve </w:t>
      </w:r>
      <w:r w:rsidR="000F45B2" w:rsidRPr="00F63BCB">
        <w:rPr>
          <w:lang w:val="en-SG"/>
        </w:rPr>
        <w:t xml:space="preserve">not been </w:t>
      </w:r>
      <w:r w:rsidR="000F45B2">
        <w:rPr>
          <w:lang w:val="en-SG"/>
        </w:rPr>
        <w:t xml:space="preserve">considered </w:t>
      </w:r>
      <w:r w:rsidR="000F45B2" w:rsidRPr="00F63BCB">
        <w:rPr>
          <w:lang w:val="en-SG"/>
        </w:rPr>
        <w:t>previously</w:t>
      </w:r>
      <w:r w:rsidR="000F45B2">
        <w:rPr>
          <w:lang w:val="en-SG"/>
        </w:rPr>
        <w:t xml:space="preserve">. </w:t>
      </w:r>
    </w:p>
    <w:p w14:paraId="5A21CB6B" w14:textId="14C58B1D" w:rsidR="00E81526" w:rsidRPr="0043431B" w:rsidRDefault="006E57F4" w:rsidP="00DF21EC">
      <w:pPr>
        <w:pStyle w:val="Titre3"/>
        <w:spacing w:before="0" w:after="240"/>
        <w:ind w:left="1418" w:hanging="608"/>
        <w:jc w:val="both"/>
        <w:rPr>
          <w:rStyle w:val="Titre3Car"/>
          <w:rFonts w:cs="Times New Roman"/>
          <w:b/>
          <w:i/>
        </w:rPr>
      </w:pPr>
      <w:bookmarkStart w:id="17" w:name="_Toc38028622"/>
      <w:r w:rsidRPr="000F45B2">
        <w:rPr>
          <w:rFonts w:cs="Times New Roman"/>
          <w:b/>
          <w:i w:val="0"/>
          <w:szCs w:val="20"/>
        </w:rPr>
        <w:t>7</w:t>
      </w:r>
      <w:r w:rsidRPr="000F45B2">
        <w:rPr>
          <w:rStyle w:val="Titre3Car"/>
          <w:rFonts w:cs="Times New Roman"/>
          <w:b/>
        </w:rPr>
        <w:t>.1.3.</w:t>
      </w:r>
      <w:r w:rsidRPr="000F45B2">
        <w:rPr>
          <w:rStyle w:val="Titre3Car"/>
          <w:rFonts w:cs="Times New Roman"/>
          <w:b/>
        </w:rPr>
        <w:tab/>
        <w:t xml:space="preserve">Model Article 10.X.13 </w:t>
      </w:r>
      <w:r w:rsidR="00E81526" w:rsidRPr="000F45B2">
        <w:rPr>
          <w:rStyle w:val="Titre3Car"/>
          <w:rFonts w:cs="Times New Roman"/>
          <w:b/>
        </w:rPr>
        <w:t>for the fish disease-specific Chapters 10.5, 10.6 and 10.10 (and Article</w:t>
      </w:r>
      <w:r w:rsidR="00DF21EC">
        <w:rPr>
          <w:rStyle w:val="Titre3Car"/>
          <w:rFonts w:cs="Times New Roman"/>
          <w:b/>
        </w:rPr>
        <w:t> </w:t>
      </w:r>
      <w:r w:rsidR="00E81526" w:rsidRPr="000F45B2">
        <w:rPr>
          <w:rStyle w:val="Titre3Car"/>
          <w:rFonts w:cs="Times New Roman"/>
          <w:b/>
        </w:rPr>
        <w:t>10.4.17 for Chapter 10.4)</w:t>
      </w:r>
      <w:bookmarkEnd w:id="17"/>
    </w:p>
    <w:p w14:paraId="6B9F2905" w14:textId="77777777" w:rsidR="00E81526" w:rsidRPr="0043431B" w:rsidRDefault="00E81526" w:rsidP="00DF21EC">
      <w:pPr>
        <w:pStyle w:val="paragraph"/>
        <w:spacing w:before="0" w:beforeAutospacing="0" w:after="240" w:afterAutospacing="0"/>
        <w:ind w:left="1418"/>
        <w:jc w:val="both"/>
        <w:textAlignment w:val="baseline"/>
        <w:rPr>
          <w:rStyle w:val="normaltextrun"/>
          <w:sz w:val="20"/>
          <w:szCs w:val="20"/>
        </w:rPr>
      </w:pPr>
      <w:r w:rsidRPr="0043431B">
        <w:rPr>
          <w:rStyle w:val="normaltextrun"/>
          <w:sz w:val="20"/>
          <w:szCs w:val="20"/>
        </w:rPr>
        <w:t xml:space="preserve">Comments were received from Australia, Chile, Chinese Taipei and the EU. </w:t>
      </w:r>
    </w:p>
    <w:p w14:paraId="53F586D2" w14:textId="77777777" w:rsidR="006E57F4" w:rsidRPr="00E27870" w:rsidRDefault="006E57F4" w:rsidP="00DF21EC">
      <w:pPr>
        <w:spacing w:after="240"/>
        <w:ind w:left="698" w:firstLine="720"/>
        <w:jc w:val="both"/>
        <w:rPr>
          <w:rStyle w:val="normaltextrun"/>
          <w:rFonts w:cs="Times New Roman"/>
          <w:i/>
          <w:iCs/>
          <w:szCs w:val="20"/>
        </w:rPr>
      </w:pPr>
      <w:bookmarkStart w:id="18" w:name="_Toc34120818"/>
      <w:bookmarkStart w:id="19" w:name="_Toc36627865"/>
      <w:r w:rsidRPr="00E27870">
        <w:rPr>
          <w:rStyle w:val="normaltextrun"/>
          <w:rFonts w:cs="Times New Roman"/>
          <w:i/>
          <w:iCs/>
          <w:szCs w:val="20"/>
        </w:rPr>
        <w:t>Background</w:t>
      </w:r>
      <w:bookmarkEnd w:id="18"/>
      <w:bookmarkEnd w:id="19"/>
    </w:p>
    <w:p w14:paraId="0D42169C" w14:textId="72F50227" w:rsidR="006E57F4" w:rsidRPr="0043431B" w:rsidRDefault="00636FF3" w:rsidP="00DF21EC">
      <w:pPr>
        <w:pStyle w:val="paragraph"/>
        <w:spacing w:before="0" w:beforeAutospacing="0" w:after="240" w:afterAutospacing="0"/>
        <w:ind w:left="1418"/>
        <w:jc w:val="both"/>
        <w:textAlignment w:val="baseline"/>
        <w:rPr>
          <w:sz w:val="20"/>
          <w:szCs w:val="20"/>
        </w:rPr>
      </w:pPr>
      <w:r>
        <w:rPr>
          <w:rStyle w:val="normaltextrun"/>
          <w:sz w:val="20"/>
          <w:szCs w:val="20"/>
        </w:rPr>
        <w:t>Revision of</w:t>
      </w:r>
      <w:r w:rsidR="006E57F4" w:rsidRPr="0043431B">
        <w:rPr>
          <w:rStyle w:val="normaltextrun"/>
          <w:sz w:val="20"/>
          <w:szCs w:val="20"/>
        </w:rPr>
        <w:t xml:space="preserve"> Article 10.X.13</w:t>
      </w:r>
      <w:r w:rsidR="00E81526" w:rsidRPr="0043431B">
        <w:rPr>
          <w:rStyle w:val="normaltextrun"/>
          <w:sz w:val="20"/>
          <w:szCs w:val="20"/>
        </w:rPr>
        <w:t>,</w:t>
      </w:r>
      <w:r w:rsidR="006E57F4" w:rsidRPr="0043431B">
        <w:rPr>
          <w:rStyle w:val="normaltextrun"/>
          <w:sz w:val="20"/>
          <w:szCs w:val="20"/>
        </w:rPr>
        <w:t xml:space="preserve"> </w:t>
      </w:r>
      <w:r w:rsidR="00E81526" w:rsidRPr="0043431B">
        <w:rPr>
          <w:rStyle w:val="normaltextrun"/>
          <w:sz w:val="20"/>
          <w:szCs w:val="20"/>
        </w:rPr>
        <w:t xml:space="preserve">Importation of disinfected eggs for aquaculture from a country, zone or compartment not declared free from infection with pathogenic agent X, </w:t>
      </w:r>
      <w:r w:rsidR="004553A8" w:rsidRPr="009C0C29">
        <w:rPr>
          <w:rStyle w:val="Titre3Car"/>
          <w:rFonts w:cs="Times New Roman"/>
          <w:i w:val="0"/>
        </w:rPr>
        <w:t>for the fish disease-specific Chapters 10.5, 10.6 and 10.10 (and Article 10.4.17 for Chapter 10.4</w:t>
      </w:r>
      <w:r w:rsidR="004553A8">
        <w:rPr>
          <w:rStyle w:val="Titre3Car"/>
          <w:rFonts w:cs="Times New Roman"/>
          <w:i w:val="0"/>
        </w:rPr>
        <w:t>)</w:t>
      </w:r>
      <w:r>
        <w:rPr>
          <w:rStyle w:val="Titre3Car"/>
          <w:rFonts w:cs="Times New Roman"/>
          <w:i w:val="0"/>
        </w:rPr>
        <w:t>,</w:t>
      </w:r>
      <w:r w:rsidR="004553A8">
        <w:rPr>
          <w:rStyle w:val="Titre3Car"/>
          <w:rFonts w:cs="Times New Roman"/>
          <w:i w:val="0"/>
        </w:rPr>
        <w:t xml:space="preserve"> </w:t>
      </w:r>
      <w:r w:rsidR="006E57F4" w:rsidRPr="0043431B">
        <w:rPr>
          <w:rStyle w:val="normaltextrun"/>
          <w:sz w:val="20"/>
          <w:szCs w:val="20"/>
        </w:rPr>
        <w:t>was initiated by the Aquatic Animals Commission in February 2019 in response to requests to clarify the intended purpose of th</w:t>
      </w:r>
      <w:r w:rsidR="00DD4B13" w:rsidRPr="0043431B">
        <w:rPr>
          <w:rStyle w:val="normaltextrun"/>
          <w:sz w:val="20"/>
          <w:szCs w:val="20"/>
        </w:rPr>
        <w:t>is article</w:t>
      </w:r>
      <w:r w:rsidR="006E57F4" w:rsidRPr="0043431B">
        <w:rPr>
          <w:rStyle w:val="normaltextrun"/>
          <w:sz w:val="20"/>
          <w:szCs w:val="20"/>
        </w:rPr>
        <w:t xml:space="preserve">. The </w:t>
      </w:r>
      <w:r w:rsidR="00E81526" w:rsidRPr="0043431B">
        <w:rPr>
          <w:rStyle w:val="normaltextrun"/>
          <w:sz w:val="20"/>
          <w:szCs w:val="20"/>
        </w:rPr>
        <w:t xml:space="preserve">model article has been </w:t>
      </w:r>
      <w:r w:rsidR="006E57F4" w:rsidRPr="0043431B">
        <w:rPr>
          <w:rStyle w:val="normaltextrun"/>
          <w:sz w:val="20"/>
          <w:szCs w:val="20"/>
        </w:rPr>
        <w:t xml:space="preserve">circulated </w:t>
      </w:r>
      <w:r w:rsidR="00E81526" w:rsidRPr="0043431B">
        <w:rPr>
          <w:rStyle w:val="normaltextrun"/>
          <w:sz w:val="20"/>
          <w:szCs w:val="20"/>
        </w:rPr>
        <w:t xml:space="preserve">twice </w:t>
      </w:r>
      <w:r w:rsidR="006E57F4" w:rsidRPr="0043431B">
        <w:rPr>
          <w:rStyle w:val="normaltextrun"/>
          <w:sz w:val="20"/>
          <w:szCs w:val="20"/>
        </w:rPr>
        <w:t xml:space="preserve">for comments. </w:t>
      </w:r>
    </w:p>
    <w:p w14:paraId="3B6A1CDD" w14:textId="77777777" w:rsidR="00CC2019" w:rsidRPr="0043431B" w:rsidRDefault="009C0C29" w:rsidP="00DF21EC">
      <w:pPr>
        <w:spacing w:after="240" w:line="240" w:lineRule="auto"/>
        <w:ind w:left="1440"/>
        <w:jc w:val="both"/>
        <w:rPr>
          <w:rFonts w:cs="Times New Roman"/>
          <w:b/>
          <w:bCs/>
          <w:szCs w:val="20"/>
        </w:rPr>
      </w:pPr>
      <w:bookmarkStart w:id="20" w:name="_Hlk34140946"/>
      <w:r>
        <w:rPr>
          <w:rFonts w:cs="Times New Roman"/>
          <w:b/>
          <w:bCs/>
          <w:szCs w:val="20"/>
        </w:rPr>
        <w:t>Previous Commission reports where this item was discussed</w:t>
      </w:r>
      <w:r w:rsidR="00CC2019" w:rsidRPr="0043431B">
        <w:rPr>
          <w:rFonts w:cs="Times New Roman"/>
          <w:b/>
          <w:bCs/>
          <w:szCs w:val="20"/>
        </w:rPr>
        <w:t>:</w:t>
      </w:r>
    </w:p>
    <w:bookmarkEnd w:id="20"/>
    <w:p w14:paraId="2D320113" w14:textId="231B8A8F" w:rsidR="006E57F4" w:rsidRPr="0043431B" w:rsidRDefault="00CC2019" w:rsidP="00DF21EC">
      <w:pPr>
        <w:spacing w:after="240" w:line="240" w:lineRule="auto"/>
        <w:ind w:left="1440"/>
        <w:jc w:val="both"/>
        <w:rPr>
          <w:rStyle w:val="normaltextrun"/>
          <w:b/>
          <w:bCs/>
          <w:szCs w:val="20"/>
        </w:rPr>
      </w:pPr>
      <w:r w:rsidRPr="0043431B">
        <w:rPr>
          <w:rFonts w:cs="Times New Roman"/>
          <w:szCs w:val="20"/>
        </w:rPr>
        <w:t xml:space="preserve">September 2019 report </w:t>
      </w:r>
      <w:r w:rsidR="009C0C29">
        <w:rPr>
          <w:rFonts w:cs="Times New Roman"/>
          <w:szCs w:val="20"/>
        </w:rPr>
        <w:t>(</w:t>
      </w:r>
      <w:r w:rsidRPr="0043431B">
        <w:rPr>
          <w:rFonts w:cs="Times New Roman"/>
          <w:szCs w:val="20"/>
        </w:rPr>
        <w:t xml:space="preserve">Item 6.3, </w:t>
      </w:r>
      <w:r w:rsidR="009910BA" w:rsidRPr="0043431B">
        <w:rPr>
          <w:rFonts w:cs="Times New Roman"/>
          <w:szCs w:val="20"/>
        </w:rPr>
        <w:t>page 47</w:t>
      </w:r>
      <w:r w:rsidR="009C0C29" w:rsidRPr="00DF21EC">
        <w:rPr>
          <w:rFonts w:cs="Times New Roman"/>
          <w:szCs w:val="20"/>
        </w:rPr>
        <w:t>)</w:t>
      </w:r>
      <w:r w:rsidR="00685B5C">
        <w:rPr>
          <w:rFonts w:cs="Times New Roman"/>
          <w:szCs w:val="20"/>
        </w:rPr>
        <w:t>;</w:t>
      </w:r>
      <w:r w:rsidR="00DF21EC" w:rsidRPr="00DF21EC">
        <w:rPr>
          <w:rFonts w:cs="Times New Roman"/>
          <w:szCs w:val="20"/>
        </w:rPr>
        <w:t xml:space="preserve"> </w:t>
      </w:r>
      <w:r w:rsidR="006E57F4" w:rsidRPr="00DF21EC">
        <w:rPr>
          <w:rStyle w:val="normaltextrun"/>
          <w:bCs/>
          <w:szCs w:val="20"/>
        </w:rPr>
        <w:t>February 2020 meeting</w:t>
      </w:r>
      <w:r w:rsidR="00DF21EC">
        <w:rPr>
          <w:rStyle w:val="normaltextrun"/>
          <w:bCs/>
          <w:szCs w:val="20"/>
        </w:rPr>
        <w:t>.</w:t>
      </w:r>
    </w:p>
    <w:p w14:paraId="72601356" w14:textId="77777777" w:rsidR="00FD7121" w:rsidRDefault="00FD7121" w:rsidP="00B53FEA">
      <w:pPr>
        <w:pStyle w:val="paragraph"/>
        <w:spacing w:before="0" w:beforeAutospacing="0" w:after="240" w:afterAutospacing="0"/>
        <w:ind w:left="1418"/>
        <w:jc w:val="both"/>
        <w:textAlignment w:val="baseline"/>
        <w:rPr>
          <w:rStyle w:val="normaltextrun"/>
          <w:sz w:val="20"/>
          <w:szCs w:val="20"/>
        </w:rPr>
      </w:pPr>
      <w:r>
        <w:rPr>
          <w:rStyle w:val="normaltextrun"/>
          <w:sz w:val="20"/>
          <w:szCs w:val="20"/>
        </w:rPr>
        <w:t xml:space="preserve">The </w:t>
      </w:r>
      <w:r>
        <w:rPr>
          <w:sz w:val="20"/>
          <w:szCs w:val="20"/>
        </w:rPr>
        <w:t xml:space="preserve">Commission </w:t>
      </w:r>
      <w:r>
        <w:rPr>
          <w:rStyle w:val="normaltextrun"/>
          <w:sz w:val="20"/>
          <w:szCs w:val="20"/>
        </w:rPr>
        <w:t xml:space="preserve">noted that comments received supported the proposed amendments and included some amendments of an editorial nature. </w:t>
      </w:r>
    </w:p>
    <w:p w14:paraId="6AD2B77C" w14:textId="5B3EE46F" w:rsidR="006E57F4" w:rsidRPr="0043431B" w:rsidRDefault="006E57F4" w:rsidP="00B53FEA">
      <w:pPr>
        <w:pStyle w:val="paragraph"/>
        <w:spacing w:before="0" w:beforeAutospacing="0" w:after="240" w:afterAutospacing="0"/>
        <w:ind w:left="1418"/>
        <w:jc w:val="both"/>
        <w:textAlignment w:val="baseline"/>
        <w:rPr>
          <w:rStyle w:val="normaltextrun"/>
          <w:sz w:val="20"/>
          <w:szCs w:val="20"/>
        </w:rPr>
      </w:pPr>
      <w:r w:rsidRPr="0043431B">
        <w:rPr>
          <w:rStyle w:val="normaltextrun"/>
          <w:sz w:val="20"/>
          <w:szCs w:val="20"/>
        </w:rPr>
        <w:lastRenderedPageBreak/>
        <w:t xml:space="preserve">The </w:t>
      </w:r>
      <w:r w:rsidR="001A3C31" w:rsidRPr="0043431B">
        <w:rPr>
          <w:sz w:val="20"/>
          <w:szCs w:val="20"/>
        </w:rPr>
        <w:t xml:space="preserve">Commission </w:t>
      </w:r>
      <w:r w:rsidRPr="0043431B">
        <w:rPr>
          <w:rStyle w:val="normaltextrun"/>
          <w:sz w:val="20"/>
          <w:szCs w:val="20"/>
        </w:rPr>
        <w:t xml:space="preserve">agreed to include </w:t>
      </w:r>
      <w:r w:rsidR="00636FF3" w:rsidRPr="0043431B">
        <w:rPr>
          <w:rStyle w:val="normaltextrun"/>
          <w:sz w:val="20"/>
          <w:szCs w:val="20"/>
        </w:rPr>
        <w:t xml:space="preserve">in the first paragraph </w:t>
      </w:r>
      <w:r w:rsidRPr="0043431B">
        <w:rPr>
          <w:rStyle w:val="normaltextrun"/>
          <w:sz w:val="20"/>
          <w:szCs w:val="20"/>
        </w:rPr>
        <w:t xml:space="preserve">a cross reference to Chapter 4.4, Recommendation for surface disinfection of salmonid eggs, to provide guidance to Members on disinfection protocols.  </w:t>
      </w:r>
    </w:p>
    <w:p w14:paraId="30D609F5" w14:textId="6DAE2EB7" w:rsidR="001A3C31" w:rsidRPr="0043431B" w:rsidRDefault="006E57F4" w:rsidP="00B53FEA">
      <w:pPr>
        <w:pStyle w:val="paragraph"/>
        <w:spacing w:before="0" w:beforeAutospacing="0" w:after="240" w:afterAutospacing="0"/>
        <w:ind w:left="1418"/>
        <w:jc w:val="both"/>
        <w:textAlignment w:val="baseline"/>
        <w:rPr>
          <w:rStyle w:val="normaltextrun"/>
          <w:sz w:val="20"/>
          <w:szCs w:val="20"/>
        </w:rPr>
      </w:pPr>
      <w:r w:rsidRPr="0043431B">
        <w:rPr>
          <w:rStyle w:val="normaltextrun"/>
          <w:sz w:val="20"/>
          <w:szCs w:val="20"/>
        </w:rPr>
        <w:t xml:space="preserve">For point 1, the </w:t>
      </w:r>
      <w:r w:rsidR="001A3C31" w:rsidRPr="0043431B">
        <w:rPr>
          <w:sz w:val="20"/>
          <w:szCs w:val="20"/>
        </w:rPr>
        <w:t xml:space="preserve">Commission </w:t>
      </w:r>
      <w:r w:rsidRPr="0043431B">
        <w:rPr>
          <w:rStyle w:val="normaltextrun"/>
          <w:sz w:val="20"/>
          <w:szCs w:val="20"/>
        </w:rPr>
        <w:t xml:space="preserve">did not agree to include a recommendation for Competent Authorities of importing countries to gain assurances from the Competent Authority of the exporting country because it considered </w:t>
      </w:r>
      <w:r w:rsidR="00DD4B13" w:rsidRPr="0043431B">
        <w:rPr>
          <w:rStyle w:val="normaltextrun"/>
          <w:sz w:val="20"/>
          <w:szCs w:val="20"/>
        </w:rPr>
        <w:t xml:space="preserve">this to be </w:t>
      </w:r>
      <w:r w:rsidRPr="0043431B">
        <w:rPr>
          <w:rStyle w:val="normaltextrun"/>
          <w:sz w:val="20"/>
          <w:szCs w:val="20"/>
        </w:rPr>
        <w:t xml:space="preserve">implicit in the current text. </w:t>
      </w:r>
    </w:p>
    <w:p w14:paraId="1E48C3DD" w14:textId="6A981A0C" w:rsidR="006E57F4" w:rsidRPr="0043431B" w:rsidRDefault="006E57F4" w:rsidP="00B53FEA">
      <w:pPr>
        <w:pStyle w:val="paragraph"/>
        <w:spacing w:before="0" w:beforeAutospacing="0" w:after="240" w:afterAutospacing="0"/>
        <w:ind w:left="1418"/>
        <w:jc w:val="both"/>
        <w:textAlignment w:val="baseline"/>
        <w:rPr>
          <w:rStyle w:val="normaltextrun"/>
          <w:sz w:val="20"/>
          <w:szCs w:val="20"/>
        </w:rPr>
      </w:pPr>
      <w:r w:rsidRPr="0043431B">
        <w:rPr>
          <w:rStyle w:val="normaltextrun"/>
          <w:sz w:val="20"/>
          <w:szCs w:val="20"/>
        </w:rPr>
        <w:t xml:space="preserve">The </w:t>
      </w:r>
      <w:r w:rsidR="001A3C31" w:rsidRPr="0043431B">
        <w:rPr>
          <w:sz w:val="20"/>
          <w:szCs w:val="20"/>
        </w:rPr>
        <w:t xml:space="preserve">Commission </w:t>
      </w:r>
      <w:r w:rsidRPr="0043431B">
        <w:rPr>
          <w:rStyle w:val="normaltextrun"/>
          <w:sz w:val="20"/>
          <w:szCs w:val="20"/>
        </w:rPr>
        <w:t xml:space="preserve">did not agree to refer to the protocol in </w:t>
      </w:r>
      <w:r w:rsidR="00DD4B13" w:rsidRPr="0043431B">
        <w:rPr>
          <w:rStyle w:val="normaltextrun"/>
          <w:sz w:val="20"/>
          <w:szCs w:val="20"/>
        </w:rPr>
        <w:t xml:space="preserve">point 1 a) of </w:t>
      </w:r>
      <w:r w:rsidRPr="0043431B">
        <w:rPr>
          <w:rStyle w:val="normaltextrun"/>
          <w:sz w:val="20"/>
          <w:szCs w:val="20"/>
        </w:rPr>
        <w:t xml:space="preserve">Article 4.4.2 </w:t>
      </w:r>
      <w:r w:rsidR="00DD4B13" w:rsidRPr="0043431B">
        <w:rPr>
          <w:rStyle w:val="normaltextrun"/>
          <w:sz w:val="20"/>
          <w:szCs w:val="20"/>
        </w:rPr>
        <w:t>(</w:t>
      </w:r>
      <w:r w:rsidRPr="0043431B">
        <w:rPr>
          <w:rStyle w:val="normaltextrun"/>
          <w:sz w:val="20"/>
          <w:szCs w:val="20"/>
        </w:rPr>
        <w:t>of Chapter</w:t>
      </w:r>
      <w:r w:rsidR="001A3C31" w:rsidRPr="0043431B">
        <w:rPr>
          <w:rStyle w:val="normaltextrun"/>
          <w:sz w:val="20"/>
          <w:szCs w:val="20"/>
        </w:rPr>
        <w:t> </w:t>
      </w:r>
      <w:r w:rsidRPr="0043431B">
        <w:rPr>
          <w:rStyle w:val="normaltextrun"/>
          <w:sz w:val="20"/>
          <w:szCs w:val="20"/>
        </w:rPr>
        <w:t>4.4</w:t>
      </w:r>
      <w:r w:rsidR="00DD4B13" w:rsidRPr="0043431B">
        <w:rPr>
          <w:rStyle w:val="normaltextrun"/>
          <w:sz w:val="20"/>
          <w:szCs w:val="20"/>
        </w:rPr>
        <w:t>)</w:t>
      </w:r>
      <w:r w:rsidRPr="0043431B">
        <w:rPr>
          <w:rStyle w:val="normaltextrun"/>
          <w:sz w:val="20"/>
          <w:szCs w:val="20"/>
        </w:rPr>
        <w:t xml:space="preserve"> because other protocols may </w:t>
      </w:r>
      <w:r w:rsidR="0064696C">
        <w:rPr>
          <w:rStyle w:val="normaltextrun"/>
          <w:sz w:val="20"/>
          <w:szCs w:val="20"/>
        </w:rPr>
        <w:t xml:space="preserve">be equally </w:t>
      </w:r>
      <w:r w:rsidR="000F45B2">
        <w:rPr>
          <w:rStyle w:val="normaltextrun"/>
          <w:sz w:val="20"/>
          <w:szCs w:val="20"/>
        </w:rPr>
        <w:t>effective</w:t>
      </w:r>
      <w:r w:rsidRPr="0043431B">
        <w:rPr>
          <w:rStyle w:val="normaltextrun"/>
          <w:sz w:val="20"/>
          <w:szCs w:val="20"/>
        </w:rPr>
        <w:t xml:space="preserve">. It also </w:t>
      </w:r>
      <w:r w:rsidR="00DD4B13" w:rsidRPr="0043431B">
        <w:rPr>
          <w:rStyle w:val="normaltextrun"/>
          <w:sz w:val="20"/>
          <w:szCs w:val="20"/>
        </w:rPr>
        <w:t>did not agree</w:t>
      </w:r>
      <w:r w:rsidRPr="0043431B">
        <w:rPr>
          <w:rStyle w:val="normaltextrun"/>
          <w:sz w:val="20"/>
          <w:szCs w:val="20"/>
        </w:rPr>
        <w:t xml:space="preserve"> to include text referring to Article 4.4.1</w:t>
      </w:r>
      <w:r w:rsidR="0064696C">
        <w:rPr>
          <w:rStyle w:val="normaltextrun"/>
          <w:sz w:val="20"/>
          <w:szCs w:val="20"/>
        </w:rPr>
        <w:t>)</w:t>
      </w:r>
      <w:r w:rsidR="0064696C" w:rsidRPr="0064696C">
        <w:rPr>
          <w:rStyle w:val="normaltextrun"/>
          <w:sz w:val="20"/>
          <w:szCs w:val="20"/>
        </w:rPr>
        <w:t xml:space="preserve"> </w:t>
      </w:r>
      <w:r w:rsidR="0064696C" w:rsidRPr="0043431B">
        <w:rPr>
          <w:rStyle w:val="normaltextrun"/>
          <w:sz w:val="20"/>
          <w:szCs w:val="20"/>
        </w:rPr>
        <w:t>(of Chapter 4.4)</w:t>
      </w:r>
      <w:r w:rsidRPr="0043431B">
        <w:rPr>
          <w:rStyle w:val="normaltextrun"/>
          <w:sz w:val="20"/>
          <w:szCs w:val="20"/>
        </w:rPr>
        <w:t xml:space="preserve"> in point c) as it considered this unnecessar</w:t>
      </w:r>
      <w:r w:rsidR="00DD4B13" w:rsidRPr="0043431B">
        <w:rPr>
          <w:rStyle w:val="normaltextrun"/>
          <w:sz w:val="20"/>
          <w:szCs w:val="20"/>
        </w:rPr>
        <w:t>y</w:t>
      </w:r>
      <w:r w:rsidRPr="0043431B">
        <w:rPr>
          <w:rStyle w:val="normaltextrun"/>
          <w:sz w:val="20"/>
          <w:szCs w:val="20"/>
        </w:rPr>
        <w:t xml:space="preserve"> detail</w:t>
      </w:r>
      <w:r w:rsidR="0064696C">
        <w:rPr>
          <w:rStyle w:val="normaltextrun"/>
          <w:sz w:val="20"/>
          <w:szCs w:val="20"/>
        </w:rPr>
        <w:t xml:space="preserve"> and the reference to Chapter 4.4 in the leading text for point 1) was sufficient</w:t>
      </w:r>
      <w:r w:rsidRPr="0043431B">
        <w:rPr>
          <w:rStyle w:val="normaltextrun"/>
          <w:sz w:val="20"/>
          <w:szCs w:val="20"/>
        </w:rPr>
        <w:t xml:space="preserve">. </w:t>
      </w:r>
    </w:p>
    <w:p w14:paraId="688EB02D" w14:textId="77777777" w:rsidR="006E57F4" w:rsidRPr="0043431B" w:rsidRDefault="006E57F4" w:rsidP="00685B5C">
      <w:pPr>
        <w:pStyle w:val="paragraph"/>
        <w:spacing w:before="0" w:beforeAutospacing="0" w:after="240" w:afterAutospacing="0"/>
        <w:ind w:left="1418"/>
        <w:jc w:val="both"/>
        <w:textAlignment w:val="baseline"/>
        <w:rPr>
          <w:rStyle w:val="normaltextrun"/>
          <w:sz w:val="20"/>
          <w:szCs w:val="20"/>
        </w:rPr>
      </w:pPr>
      <w:r w:rsidRPr="0043431B">
        <w:rPr>
          <w:rStyle w:val="normaltextrun"/>
          <w:sz w:val="20"/>
          <w:szCs w:val="20"/>
        </w:rPr>
        <w:t xml:space="preserve">The </w:t>
      </w:r>
      <w:r w:rsidR="001A3C31" w:rsidRPr="0043431B">
        <w:rPr>
          <w:sz w:val="20"/>
          <w:szCs w:val="20"/>
        </w:rPr>
        <w:t xml:space="preserve">Commission </w:t>
      </w:r>
      <w:r w:rsidRPr="0043431B">
        <w:rPr>
          <w:rStyle w:val="normaltextrun"/>
          <w:sz w:val="20"/>
          <w:szCs w:val="20"/>
        </w:rPr>
        <w:t xml:space="preserve">amended the first sentence of point 2 to clarify that the Competent Authority of the importing country cannot itself apply measures pre-import, as acknowledged in </w:t>
      </w:r>
      <w:r w:rsidR="00DD4B13" w:rsidRPr="0043431B">
        <w:rPr>
          <w:rStyle w:val="normaltextrun"/>
          <w:sz w:val="20"/>
          <w:szCs w:val="20"/>
        </w:rPr>
        <w:t>A</w:t>
      </w:r>
      <w:r w:rsidRPr="0043431B">
        <w:rPr>
          <w:rStyle w:val="normaltextrun"/>
          <w:sz w:val="20"/>
          <w:szCs w:val="20"/>
        </w:rPr>
        <w:t xml:space="preserve">rticle 3. </w:t>
      </w:r>
    </w:p>
    <w:p w14:paraId="4509A5B5" w14:textId="06810EEE" w:rsidR="00CC2019" w:rsidRDefault="00CC2019" w:rsidP="00685B5C">
      <w:pPr>
        <w:pStyle w:val="paragraph"/>
        <w:spacing w:before="0" w:beforeAutospacing="0" w:after="240" w:afterAutospacing="0"/>
        <w:ind w:left="1418" w:firstLine="22"/>
        <w:jc w:val="both"/>
        <w:textAlignment w:val="baseline"/>
        <w:rPr>
          <w:rStyle w:val="normaltextrun"/>
          <w:sz w:val="20"/>
          <w:szCs w:val="20"/>
        </w:rPr>
      </w:pPr>
      <w:r w:rsidRPr="0043431B">
        <w:rPr>
          <w:rStyle w:val="normaltextrun"/>
          <w:sz w:val="20"/>
          <w:szCs w:val="20"/>
        </w:rPr>
        <w:t xml:space="preserve">For point 2, the Commission did not agree to include procedures for species other than for salmonids. It reiterated that it had asked Members on several occasions to provide protocols for other species, </w:t>
      </w:r>
      <w:r w:rsidR="0064696C">
        <w:rPr>
          <w:rStyle w:val="normaltextrun"/>
          <w:sz w:val="20"/>
          <w:szCs w:val="20"/>
        </w:rPr>
        <w:t xml:space="preserve">but to date </w:t>
      </w:r>
      <w:r w:rsidRPr="0043431B">
        <w:rPr>
          <w:rStyle w:val="normaltextrun"/>
          <w:sz w:val="20"/>
          <w:szCs w:val="20"/>
        </w:rPr>
        <w:t xml:space="preserve">without response. </w:t>
      </w:r>
    </w:p>
    <w:p w14:paraId="580AE37B" w14:textId="0E5FD700" w:rsidR="00CC2019" w:rsidRPr="0043431B" w:rsidRDefault="00CC2019" w:rsidP="00685B5C">
      <w:pPr>
        <w:pStyle w:val="paragraph"/>
        <w:spacing w:before="0" w:beforeAutospacing="0" w:after="240" w:afterAutospacing="0"/>
        <w:ind w:left="1418"/>
        <w:jc w:val="both"/>
        <w:textAlignment w:val="baseline"/>
        <w:rPr>
          <w:rStyle w:val="normaltextrun"/>
          <w:sz w:val="20"/>
          <w:szCs w:val="20"/>
        </w:rPr>
      </w:pPr>
      <w:r w:rsidRPr="0043431B">
        <w:rPr>
          <w:rStyle w:val="normaltextrun"/>
          <w:sz w:val="20"/>
          <w:szCs w:val="20"/>
        </w:rPr>
        <w:t xml:space="preserve">The Commission did not agree to remove ‘including’ </w:t>
      </w:r>
      <w:r w:rsidR="00F74C6F" w:rsidRPr="0043431B">
        <w:rPr>
          <w:rStyle w:val="normaltextrun"/>
          <w:sz w:val="20"/>
          <w:szCs w:val="20"/>
        </w:rPr>
        <w:t>in point 2</w:t>
      </w:r>
      <w:r w:rsidR="006A3D11" w:rsidRPr="0043431B">
        <w:rPr>
          <w:rStyle w:val="normaltextrun"/>
          <w:sz w:val="20"/>
          <w:szCs w:val="20"/>
        </w:rPr>
        <w:t>. It noted</w:t>
      </w:r>
      <w:r w:rsidRPr="0043431B">
        <w:rPr>
          <w:rStyle w:val="normaltextrun"/>
          <w:sz w:val="20"/>
          <w:szCs w:val="20"/>
        </w:rPr>
        <w:t xml:space="preserve"> its use allows for additional measures than those listed, and removing it would limit the options. The Commission decided that disinfection upon arrival should not be a requirement</w:t>
      </w:r>
      <w:r w:rsidR="0064696C">
        <w:rPr>
          <w:rStyle w:val="normaltextrun"/>
          <w:sz w:val="20"/>
          <w:szCs w:val="20"/>
        </w:rPr>
        <w:t>,</w:t>
      </w:r>
      <w:r w:rsidRPr="0043431B">
        <w:rPr>
          <w:rStyle w:val="normaltextrun"/>
          <w:sz w:val="20"/>
          <w:szCs w:val="20"/>
        </w:rPr>
        <w:t xml:space="preserve"> but a post-importation measure that a Member should consider. </w:t>
      </w:r>
    </w:p>
    <w:p w14:paraId="24734546" w14:textId="7E9C4B75" w:rsidR="00CC2019" w:rsidRPr="0043431B" w:rsidRDefault="00CC2019" w:rsidP="00022158">
      <w:pPr>
        <w:pStyle w:val="paragraph"/>
        <w:spacing w:before="0" w:beforeAutospacing="0" w:after="240" w:afterAutospacing="0"/>
        <w:ind w:left="1418"/>
        <w:jc w:val="both"/>
        <w:textAlignment w:val="baseline"/>
        <w:rPr>
          <w:rStyle w:val="normaltextrun"/>
          <w:sz w:val="20"/>
          <w:szCs w:val="20"/>
        </w:rPr>
      </w:pPr>
      <w:r w:rsidRPr="0043431B">
        <w:rPr>
          <w:rStyle w:val="normaltextrun"/>
          <w:sz w:val="20"/>
          <w:szCs w:val="20"/>
        </w:rPr>
        <w:t>The Commission amended point 3 to restrict the</w:t>
      </w:r>
      <w:r w:rsidR="0064696C">
        <w:rPr>
          <w:rStyle w:val="normaltextrun"/>
          <w:sz w:val="20"/>
          <w:szCs w:val="20"/>
        </w:rPr>
        <w:t xml:space="preserve"> application of international health certification</w:t>
      </w:r>
      <w:r w:rsidRPr="0043431B">
        <w:rPr>
          <w:rStyle w:val="normaltextrun"/>
          <w:sz w:val="20"/>
          <w:szCs w:val="20"/>
        </w:rPr>
        <w:t xml:space="preserve"> to point 2 a) and b), because internal measures also given in point 2 are not relevant to international certification. </w:t>
      </w:r>
    </w:p>
    <w:p w14:paraId="0E540B55" w14:textId="55C21BAD" w:rsidR="00DE698E" w:rsidRDefault="00CC2019" w:rsidP="00022158">
      <w:pPr>
        <w:pStyle w:val="para11"/>
        <w:ind w:left="1440"/>
        <w:rPr>
          <w:lang w:val="en-IE"/>
        </w:rPr>
      </w:pPr>
      <w:r w:rsidRPr="0043431B">
        <w:rPr>
          <w:lang w:val="en-IE"/>
        </w:rPr>
        <w:t xml:space="preserve">The revised Model Article 10.X.13 </w:t>
      </w:r>
      <w:r w:rsidR="00DD4B13" w:rsidRPr="0043431B">
        <w:rPr>
          <w:lang w:val="en-IE"/>
        </w:rPr>
        <w:t xml:space="preserve">for the fish disease-specific Chapters 10.5, 10.6 and 10.10 (and Article 10.4.17 for Chapter 10.4) </w:t>
      </w:r>
      <w:r w:rsidRPr="0043431B">
        <w:rPr>
          <w:lang w:val="en-IE"/>
        </w:rPr>
        <w:t xml:space="preserve">is presented in </w:t>
      </w:r>
      <w:hyperlink w:anchor="_Annex_5" w:history="1">
        <w:r w:rsidR="00790765" w:rsidRPr="000D7670">
          <w:rPr>
            <w:rStyle w:val="Lienhypertexte"/>
            <w:lang w:val="en-IE"/>
          </w:rPr>
          <w:t xml:space="preserve">Annex </w:t>
        </w:r>
        <w:r w:rsidR="00790765">
          <w:rPr>
            <w:rStyle w:val="Lienhypertexte"/>
            <w:lang w:val="en-IE"/>
          </w:rPr>
          <w:t>4</w:t>
        </w:r>
      </w:hyperlink>
      <w:r w:rsidR="00790765" w:rsidRPr="0043431B">
        <w:rPr>
          <w:lang w:val="en-IE"/>
        </w:rPr>
        <w:t xml:space="preserve"> </w:t>
      </w:r>
      <w:r w:rsidR="00750C92">
        <w:rPr>
          <w:lang w:val="en-IE"/>
        </w:rPr>
        <w:t>for Member comments</w:t>
      </w:r>
      <w:r w:rsidR="000F45B2">
        <w:rPr>
          <w:lang w:val="en-IE"/>
        </w:rPr>
        <w:t>.</w:t>
      </w:r>
      <w:r w:rsidR="00750C92">
        <w:rPr>
          <w:lang w:val="en-IE"/>
        </w:rPr>
        <w:t xml:space="preserve"> </w:t>
      </w:r>
    </w:p>
    <w:p w14:paraId="0B77E013" w14:textId="3AF07C70" w:rsidR="000F45B2" w:rsidRDefault="00DE698E" w:rsidP="00B53FEA">
      <w:pPr>
        <w:pStyle w:val="para11"/>
        <w:spacing w:after="120"/>
        <w:ind w:left="1440"/>
        <w:rPr>
          <w:lang w:val="en-SG"/>
        </w:rPr>
      </w:pPr>
      <w:r>
        <w:rPr>
          <w:lang w:val="en-IE"/>
        </w:rPr>
        <w:t xml:space="preserve">Note: </w:t>
      </w:r>
      <w:r w:rsidR="000F45B2" w:rsidRPr="000F45B2">
        <w:rPr>
          <w:lang w:val="en-IE"/>
        </w:rPr>
        <w:t xml:space="preserve">The adoption has been postponed until the </w:t>
      </w:r>
      <w:r w:rsidR="000F45B2" w:rsidRPr="000F45B2">
        <w:rPr>
          <w:lang w:val="en-SG"/>
        </w:rPr>
        <w:t>89th</w:t>
      </w:r>
      <w:r w:rsidR="000F45B2" w:rsidRPr="008D4BA9">
        <w:rPr>
          <w:lang w:val="en-SG"/>
        </w:rPr>
        <w:t xml:space="preserve"> </w:t>
      </w:r>
      <w:r w:rsidR="000F45B2">
        <w:rPr>
          <w:lang w:val="en-SG"/>
        </w:rPr>
        <w:t>General Session in May 2021. As the Article has already undergone extensive consultation, Members are requested to only submit comments to address s</w:t>
      </w:r>
      <w:r w:rsidR="000F45B2" w:rsidRPr="00F63BCB">
        <w:rPr>
          <w:lang w:val="en-SG"/>
        </w:rPr>
        <w:t xml:space="preserve">ubstantive </w:t>
      </w:r>
      <w:r w:rsidR="000F45B2">
        <w:rPr>
          <w:lang w:val="en-SG"/>
        </w:rPr>
        <w:t>issues</w:t>
      </w:r>
      <w:r w:rsidR="000F45B2" w:rsidRPr="00F63BCB">
        <w:rPr>
          <w:lang w:val="en-SG"/>
        </w:rPr>
        <w:t xml:space="preserve"> that ha</w:t>
      </w:r>
      <w:r w:rsidR="000F45B2">
        <w:rPr>
          <w:lang w:val="en-SG"/>
        </w:rPr>
        <w:t xml:space="preserve">ve </w:t>
      </w:r>
      <w:r w:rsidR="000F45B2" w:rsidRPr="00F63BCB">
        <w:rPr>
          <w:lang w:val="en-SG"/>
        </w:rPr>
        <w:t xml:space="preserve">not been </w:t>
      </w:r>
      <w:r w:rsidR="000F45B2">
        <w:rPr>
          <w:lang w:val="en-SG"/>
        </w:rPr>
        <w:t xml:space="preserve">considered </w:t>
      </w:r>
      <w:r w:rsidR="000F45B2" w:rsidRPr="00F63BCB">
        <w:rPr>
          <w:lang w:val="en-SG"/>
        </w:rPr>
        <w:t>previously</w:t>
      </w:r>
      <w:r w:rsidR="000F45B2">
        <w:rPr>
          <w:lang w:val="en-SG"/>
        </w:rPr>
        <w:t xml:space="preserve">. </w:t>
      </w:r>
    </w:p>
    <w:p w14:paraId="0B9E76D5" w14:textId="10BF712A" w:rsidR="006E57F4" w:rsidRPr="0043431B" w:rsidRDefault="006E57F4" w:rsidP="00B53FEA">
      <w:pPr>
        <w:pStyle w:val="Titre3"/>
        <w:spacing w:before="0" w:after="120" w:line="240" w:lineRule="auto"/>
        <w:ind w:left="1418" w:hanging="518"/>
        <w:jc w:val="both"/>
        <w:rPr>
          <w:rFonts w:cs="Times New Roman"/>
          <w:b/>
          <w:i w:val="0"/>
        </w:rPr>
      </w:pPr>
      <w:bookmarkStart w:id="21" w:name="_Toc38028623"/>
      <w:r w:rsidRPr="0043431B">
        <w:rPr>
          <w:rFonts w:cs="Times New Roman"/>
          <w:b/>
          <w:i w:val="0"/>
        </w:rPr>
        <w:t>7.1.4.</w:t>
      </w:r>
      <w:r w:rsidRPr="0043431B">
        <w:rPr>
          <w:rFonts w:cs="Times New Roman"/>
          <w:b/>
          <w:i w:val="0"/>
        </w:rPr>
        <w:tab/>
        <w:t xml:space="preserve">Article 10.9.2 of Chapter 10.9 Infection with spring viraemia of carp </w:t>
      </w:r>
      <w:r w:rsidR="005E0333" w:rsidRPr="0043431B">
        <w:rPr>
          <w:rFonts w:cs="Times New Roman"/>
          <w:b/>
          <w:i w:val="0"/>
        </w:rPr>
        <w:t>v</w:t>
      </w:r>
      <w:r w:rsidRPr="0043431B">
        <w:rPr>
          <w:rFonts w:cs="Times New Roman"/>
          <w:b/>
          <w:i w:val="0"/>
        </w:rPr>
        <w:t>irus</w:t>
      </w:r>
      <w:bookmarkEnd w:id="21"/>
    </w:p>
    <w:p w14:paraId="3EA50326" w14:textId="77777777" w:rsidR="00ED35A8" w:rsidRPr="0043431B" w:rsidRDefault="00F6008E" w:rsidP="00B53FEA">
      <w:pPr>
        <w:spacing w:after="120" w:line="240" w:lineRule="auto"/>
        <w:ind w:left="1418"/>
        <w:jc w:val="both"/>
        <w:rPr>
          <w:rStyle w:val="normaltextrun"/>
          <w:rFonts w:eastAsiaTheme="majorEastAsia" w:cs="Times New Roman"/>
          <w:i/>
          <w:szCs w:val="20"/>
          <w:u w:val="single"/>
        </w:rPr>
      </w:pPr>
      <w:r w:rsidRPr="0043431B">
        <w:rPr>
          <w:rFonts w:cs="Times New Roman"/>
          <w:szCs w:val="20"/>
        </w:rPr>
        <w:t>Comments were received from Canada, China (People's Rep. of), Chinese Taipei and the USA.</w:t>
      </w:r>
    </w:p>
    <w:p w14:paraId="5B7690A9" w14:textId="77777777" w:rsidR="00D8588A" w:rsidRPr="009C0C29" w:rsidRDefault="00D8588A" w:rsidP="00B53FEA">
      <w:pPr>
        <w:pStyle w:val="paragraph"/>
        <w:spacing w:before="0" w:beforeAutospacing="0" w:after="120" w:afterAutospacing="0"/>
        <w:ind w:left="1418"/>
        <w:jc w:val="both"/>
        <w:textAlignment w:val="baseline"/>
        <w:rPr>
          <w:rStyle w:val="normaltextrun"/>
          <w:i/>
          <w:iCs/>
          <w:sz w:val="20"/>
          <w:szCs w:val="20"/>
        </w:rPr>
      </w:pPr>
      <w:r w:rsidRPr="009C0C29">
        <w:rPr>
          <w:rStyle w:val="normaltextrun"/>
          <w:i/>
          <w:iCs/>
          <w:sz w:val="20"/>
          <w:szCs w:val="20"/>
        </w:rPr>
        <w:t>Background</w:t>
      </w:r>
    </w:p>
    <w:p w14:paraId="6E9884A6" w14:textId="6A0EDED3" w:rsidR="00D8588A" w:rsidRPr="0043431B" w:rsidRDefault="00D8588A" w:rsidP="00B53FEA">
      <w:pPr>
        <w:spacing w:after="120" w:line="240" w:lineRule="auto"/>
        <w:ind w:left="1418"/>
        <w:jc w:val="both"/>
        <w:rPr>
          <w:rFonts w:cs="Times New Roman"/>
          <w:szCs w:val="20"/>
        </w:rPr>
      </w:pPr>
      <w:r w:rsidRPr="0043431B">
        <w:rPr>
          <w:rFonts w:cs="Times New Roman"/>
          <w:szCs w:val="20"/>
        </w:rPr>
        <w:t xml:space="preserve">The </w:t>
      </w:r>
      <w:r w:rsidR="00F6008E" w:rsidRPr="0043431B">
        <w:rPr>
          <w:rFonts w:cs="Times New Roman"/>
          <w:szCs w:val="20"/>
        </w:rPr>
        <w:t xml:space="preserve">revised </w:t>
      </w:r>
      <w:r w:rsidRPr="0043431B">
        <w:rPr>
          <w:rFonts w:cs="Times New Roman"/>
          <w:szCs w:val="20"/>
        </w:rPr>
        <w:t>list of susceptible species in Article 10.9.2</w:t>
      </w:r>
      <w:r w:rsidR="00F6008E" w:rsidRPr="0043431B">
        <w:rPr>
          <w:rFonts w:cs="Times New Roman"/>
          <w:szCs w:val="20"/>
        </w:rPr>
        <w:t xml:space="preserve"> of Chapter 10.9</w:t>
      </w:r>
      <w:r w:rsidRPr="0043431B">
        <w:rPr>
          <w:rFonts w:cs="Times New Roman"/>
          <w:szCs w:val="20"/>
        </w:rPr>
        <w:t>, Infection with spring viraemia of carp virus (SVCV)</w:t>
      </w:r>
      <w:r w:rsidR="000F45B2">
        <w:rPr>
          <w:rFonts w:cs="Times New Roman"/>
          <w:szCs w:val="20"/>
        </w:rPr>
        <w:t>,</w:t>
      </w:r>
      <w:r w:rsidRPr="0043431B">
        <w:rPr>
          <w:rFonts w:cs="Times New Roman"/>
          <w:szCs w:val="20"/>
        </w:rPr>
        <w:t xml:space="preserve"> was adopted at the 87th General Session in May 2019. </w:t>
      </w:r>
      <w:r w:rsidR="00F6008E" w:rsidRPr="0043431B">
        <w:rPr>
          <w:rFonts w:cs="Times New Roman"/>
          <w:szCs w:val="20"/>
        </w:rPr>
        <w:t xml:space="preserve">However, in </w:t>
      </w:r>
      <w:r w:rsidRPr="0043431B">
        <w:rPr>
          <w:rFonts w:cs="Times New Roman"/>
          <w:szCs w:val="20"/>
        </w:rPr>
        <w:t xml:space="preserve">light of new scientific evidence on the susceptibility of zebrafish to infection with SVCV, the </w:t>
      </w:r>
      <w:r w:rsidR="00750C92" w:rsidRPr="0043431B">
        <w:rPr>
          <w:rFonts w:cs="Times New Roman"/>
          <w:szCs w:val="20"/>
        </w:rPr>
        <w:t xml:space="preserve">Aquatic Animals </w:t>
      </w:r>
      <w:r w:rsidRPr="0043431B">
        <w:rPr>
          <w:rFonts w:cs="Times New Roman"/>
          <w:szCs w:val="20"/>
        </w:rPr>
        <w:t xml:space="preserve">Commission reviewed </w:t>
      </w:r>
      <w:r w:rsidR="00F6008E" w:rsidRPr="0043431B">
        <w:rPr>
          <w:rFonts w:cs="Times New Roman"/>
          <w:szCs w:val="20"/>
        </w:rPr>
        <w:t>the</w:t>
      </w:r>
      <w:r w:rsidRPr="0043431B">
        <w:rPr>
          <w:rFonts w:cs="Times New Roman"/>
          <w:szCs w:val="20"/>
        </w:rPr>
        <w:t xml:space="preserve"> previous assessment </w:t>
      </w:r>
      <w:r w:rsidR="00F6008E" w:rsidRPr="0043431B">
        <w:rPr>
          <w:rFonts w:cs="Times New Roman"/>
          <w:szCs w:val="20"/>
        </w:rPr>
        <w:t xml:space="preserve">for </w:t>
      </w:r>
      <w:r w:rsidRPr="0043431B">
        <w:rPr>
          <w:rFonts w:cs="Times New Roman"/>
          <w:szCs w:val="20"/>
        </w:rPr>
        <w:t>this species and agreed that zebrafish did meet the criteria for listing as a susceptible species and should</w:t>
      </w:r>
      <w:r w:rsidR="0064696C">
        <w:rPr>
          <w:rFonts w:cs="Times New Roman"/>
          <w:szCs w:val="20"/>
        </w:rPr>
        <w:t>,</w:t>
      </w:r>
      <w:r w:rsidRPr="0043431B">
        <w:rPr>
          <w:rFonts w:cs="Times New Roman"/>
          <w:szCs w:val="20"/>
        </w:rPr>
        <w:t xml:space="preserve"> </w:t>
      </w:r>
      <w:r w:rsidR="00F6008E" w:rsidRPr="0043431B">
        <w:rPr>
          <w:rFonts w:cs="Times New Roman"/>
          <w:szCs w:val="20"/>
        </w:rPr>
        <w:t>therefore</w:t>
      </w:r>
      <w:r w:rsidR="0064696C">
        <w:rPr>
          <w:rFonts w:cs="Times New Roman"/>
          <w:szCs w:val="20"/>
        </w:rPr>
        <w:t>,</w:t>
      </w:r>
      <w:r w:rsidR="00F6008E" w:rsidRPr="0043431B">
        <w:rPr>
          <w:rFonts w:cs="Times New Roman"/>
          <w:szCs w:val="20"/>
        </w:rPr>
        <w:t xml:space="preserve"> </w:t>
      </w:r>
      <w:r w:rsidRPr="0043431B">
        <w:rPr>
          <w:rFonts w:cs="Times New Roman"/>
          <w:szCs w:val="20"/>
        </w:rPr>
        <w:t>be included in Article</w:t>
      </w:r>
      <w:r w:rsidR="00B53FEA">
        <w:rPr>
          <w:rFonts w:cs="Times New Roman"/>
          <w:szCs w:val="20"/>
        </w:rPr>
        <w:t> </w:t>
      </w:r>
      <w:r w:rsidRPr="0043431B">
        <w:rPr>
          <w:rFonts w:cs="Times New Roman"/>
          <w:szCs w:val="20"/>
        </w:rPr>
        <w:t xml:space="preserve">10.9.2. This proposal was </w:t>
      </w:r>
      <w:r w:rsidR="00F6008E" w:rsidRPr="0043431B">
        <w:rPr>
          <w:rFonts w:cs="Times New Roman"/>
          <w:szCs w:val="20"/>
        </w:rPr>
        <w:t xml:space="preserve">circulated </w:t>
      </w:r>
      <w:r w:rsidRPr="0043431B">
        <w:rPr>
          <w:rFonts w:cs="Times New Roman"/>
          <w:szCs w:val="20"/>
        </w:rPr>
        <w:t xml:space="preserve">for comment in the </w:t>
      </w:r>
      <w:r w:rsidR="00F6008E" w:rsidRPr="0043431B">
        <w:rPr>
          <w:rFonts w:cs="Times New Roman"/>
          <w:szCs w:val="20"/>
        </w:rPr>
        <w:t xml:space="preserve">Commission’s </w:t>
      </w:r>
      <w:r w:rsidRPr="0043431B">
        <w:rPr>
          <w:rFonts w:cs="Times New Roman"/>
          <w:szCs w:val="20"/>
        </w:rPr>
        <w:t xml:space="preserve">September 2019 report. </w:t>
      </w:r>
    </w:p>
    <w:p w14:paraId="6C25CBAA" w14:textId="77777777" w:rsidR="00D8588A" w:rsidRPr="009C0C29" w:rsidRDefault="00D8588A" w:rsidP="00B53FEA">
      <w:pPr>
        <w:spacing w:after="120" w:line="240" w:lineRule="auto"/>
        <w:ind w:left="1418"/>
        <w:jc w:val="both"/>
        <w:rPr>
          <w:rFonts w:cs="Times New Roman"/>
          <w:b/>
          <w:bCs/>
          <w:szCs w:val="20"/>
        </w:rPr>
      </w:pPr>
      <w:r w:rsidRPr="009C0C29">
        <w:rPr>
          <w:rFonts w:cs="Times New Roman"/>
          <w:b/>
          <w:bCs/>
          <w:szCs w:val="20"/>
        </w:rPr>
        <w:t>February 2020 meeting</w:t>
      </w:r>
    </w:p>
    <w:p w14:paraId="0103203D" w14:textId="66683A94" w:rsidR="00B91E49" w:rsidRPr="00B53FEA" w:rsidRDefault="00F74C6F" w:rsidP="00B53FEA">
      <w:pPr>
        <w:spacing w:after="240" w:line="240" w:lineRule="auto"/>
        <w:ind w:left="1418"/>
        <w:jc w:val="both"/>
        <w:rPr>
          <w:rFonts w:cs="Times New Roman"/>
          <w:szCs w:val="20"/>
        </w:rPr>
      </w:pPr>
      <w:r w:rsidRPr="0043431B">
        <w:rPr>
          <w:rFonts w:cs="Times New Roman"/>
          <w:szCs w:val="20"/>
        </w:rPr>
        <w:t xml:space="preserve">The Commission noted that </w:t>
      </w:r>
      <w:r w:rsidR="007A5DAA" w:rsidRPr="0043431B">
        <w:rPr>
          <w:rFonts w:cs="Times New Roman"/>
          <w:szCs w:val="20"/>
        </w:rPr>
        <w:t xml:space="preserve">Members supported </w:t>
      </w:r>
      <w:r w:rsidR="00B91E49" w:rsidRPr="0043431B">
        <w:rPr>
          <w:rFonts w:cs="Times New Roman"/>
          <w:szCs w:val="20"/>
        </w:rPr>
        <w:t xml:space="preserve">zebrafish </w:t>
      </w:r>
      <w:r w:rsidR="009C0C29" w:rsidRPr="00B53FEA">
        <w:rPr>
          <w:rFonts w:cs="Times New Roman"/>
          <w:i/>
          <w:szCs w:val="20"/>
        </w:rPr>
        <w:t>(</w:t>
      </w:r>
      <w:r w:rsidR="009C0C29" w:rsidRPr="00B53FEA">
        <w:rPr>
          <w:rFonts w:cs="Times New Roman"/>
          <w:i/>
          <w:iCs/>
          <w:szCs w:val="20"/>
        </w:rPr>
        <w:t>Danio rerio</w:t>
      </w:r>
      <w:r w:rsidR="009C0C29" w:rsidRPr="00B53FEA">
        <w:rPr>
          <w:rFonts w:cs="Times New Roman"/>
          <w:i/>
          <w:szCs w:val="20"/>
        </w:rPr>
        <w:t xml:space="preserve">) </w:t>
      </w:r>
      <w:r w:rsidR="00B91E49" w:rsidRPr="00B53FEA">
        <w:rPr>
          <w:rFonts w:cs="Times New Roman"/>
          <w:szCs w:val="20"/>
        </w:rPr>
        <w:t xml:space="preserve">being included </w:t>
      </w:r>
      <w:r w:rsidR="007A5DAA" w:rsidRPr="00B53FEA">
        <w:rPr>
          <w:rFonts w:cs="Times New Roman"/>
          <w:szCs w:val="20"/>
        </w:rPr>
        <w:t>in</w:t>
      </w:r>
      <w:r w:rsidR="004553A8" w:rsidRPr="00B53FEA">
        <w:rPr>
          <w:rFonts w:cs="Times New Roman"/>
          <w:szCs w:val="20"/>
        </w:rPr>
        <w:t xml:space="preserve"> the list of susceptible species in </w:t>
      </w:r>
      <w:r w:rsidR="00B91E49" w:rsidRPr="00B53FEA">
        <w:rPr>
          <w:rFonts w:cs="Times New Roman"/>
          <w:szCs w:val="20"/>
        </w:rPr>
        <w:t xml:space="preserve">Article 10.9.2. </w:t>
      </w:r>
    </w:p>
    <w:p w14:paraId="25EBE06F" w14:textId="77777777" w:rsidR="00BC5907" w:rsidRDefault="00BC5907">
      <w:pPr>
        <w:rPr>
          <w:rFonts w:cs="Times New Roman"/>
          <w:szCs w:val="20"/>
        </w:rPr>
      </w:pPr>
      <w:r>
        <w:rPr>
          <w:rFonts w:cs="Times New Roman"/>
          <w:szCs w:val="20"/>
        </w:rPr>
        <w:br w:type="page"/>
      </w:r>
    </w:p>
    <w:p w14:paraId="6FF871CA" w14:textId="5D0CF68D" w:rsidR="00167972" w:rsidRDefault="003800EB" w:rsidP="00831075">
      <w:pPr>
        <w:spacing w:line="240" w:lineRule="auto"/>
        <w:ind w:left="1440"/>
        <w:jc w:val="both"/>
        <w:rPr>
          <w:rFonts w:cs="Times New Roman"/>
          <w:szCs w:val="20"/>
        </w:rPr>
      </w:pPr>
      <w:r>
        <w:rPr>
          <w:rFonts w:cs="Times New Roman"/>
          <w:szCs w:val="20"/>
        </w:rPr>
        <w:lastRenderedPageBreak/>
        <w:t>A</w:t>
      </w:r>
      <w:r w:rsidR="00167972">
        <w:rPr>
          <w:rFonts w:cs="Times New Roman"/>
          <w:szCs w:val="20"/>
        </w:rPr>
        <w:t xml:space="preserve"> </w:t>
      </w:r>
      <w:r>
        <w:rPr>
          <w:rFonts w:cs="Times New Roman"/>
          <w:szCs w:val="20"/>
        </w:rPr>
        <w:t xml:space="preserve">request was made </w:t>
      </w:r>
      <w:r w:rsidR="00D8588A" w:rsidRPr="0043431B">
        <w:rPr>
          <w:rFonts w:cs="Times New Roman"/>
          <w:szCs w:val="20"/>
        </w:rPr>
        <w:t>to list</w:t>
      </w:r>
      <w:r w:rsidR="00167972">
        <w:rPr>
          <w:rFonts w:cs="Times New Roman"/>
          <w:szCs w:val="20"/>
        </w:rPr>
        <w:t xml:space="preserve"> </w:t>
      </w:r>
      <w:r w:rsidR="00D8588A" w:rsidRPr="0043431B">
        <w:rPr>
          <w:rFonts w:cs="Times New Roman"/>
          <w:szCs w:val="20"/>
        </w:rPr>
        <w:t xml:space="preserve">yellow Perch </w:t>
      </w:r>
      <w:r w:rsidR="00D8588A" w:rsidRPr="0043431B">
        <w:rPr>
          <w:rFonts w:cs="Times New Roman"/>
          <w:i/>
          <w:szCs w:val="20"/>
        </w:rPr>
        <w:t>(</w:t>
      </w:r>
      <w:r w:rsidR="00D8588A" w:rsidRPr="0043431B">
        <w:rPr>
          <w:rFonts w:cs="Times New Roman"/>
          <w:i/>
          <w:iCs/>
          <w:szCs w:val="20"/>
        </w:rPr>
        <w:t>Perca flavescens</w:t>
      </w:r>
      <w:r w:rsidR="00D8588A" w:rsidRPr="0043431B">
        <w:rPr>
          <w:rFonts w:cs="Times New Roman"/>
          <w:i/>
          <w:szCs w:val="20"/>
        </w:rPr>
        <w:t>)</w:t>
      </w:r>
      <w:r w:rsidR="00D8588A" w:rsidRPr="0043431B">
        <w:rPr>
          <w:rFonts w:cs="Times New Roman"/>
          <w:szCs w:val="20"/>
        </w:rPr>
        <w:t xml:space="preserve"> and sockeye salmon </w:t>
      </w:r>
      <w:r w:rsidR="00D8588A" w:rsidRPr="0043431B">
        <w:rPr>
          <w:rFonts w:cs="Times New Roman"/>
          <w:i/>
          <w:szCs w:val="20"/>
        </w:rPr>
        <w:t>(</w:t>
      </w:r>
      <w:r w:rsidR="00D8588A" w:rsidRPr="0043431B">
        <w:rPr>
          <w:rFonts w:cs="Times New Roman"/>
          <w:i/>
          <w:iCs/>
          <w:szCs w:val="20"/>
        </w:rPr>
        <w:t>Oncorhynchus nerka</w:t>
      </w:r>
      <w:r w:rsidR="00D8588A" w:rsidRPr="0043431B">
        <w:rPr>
          <w:rFonts w:cs="Times New Roman"/>
          <w:i/>
          <w:szCs w:val="20"/>
        </w:rPr>
        <w:t>)</w:t>
      </w:r>
      <w:r w:rsidR="00D8588A" w:rsidRPr="0043431B">
        <w:rPr>
          <w:rFonts w:cs="Times New Roman"/>
          <w:szCs w:val="20"/>
        </w:rPr>
        <w:t xml:space="preserve"> </w:t>
      </w:r>
      <w:r w:rsidR="00F6008E" w:rsidRPr="0043431B">
        <w:rPr>
          <w:rFonts w:cs="Times New Roman"/>
          <w:szCs w:val="20"/>
        </w:rPr>
        <w:t>as susceptible species</w:t>
      </w:r>
      <w:r>
        <w:rPr>
          <w:rFonts w:cs="Times New Roman"/>
          <w:szCs w:val="20"/>
        </w:rPr>
        <w:t xml:space="preserve"> for infection with SVCV</w:t>
      </w:r>
      <w:r w:rsidR="00F6008E" w:rsidRPr="0043431B">
        <w:rPr>
          <w:rFonts w:cs="Times New Roman"/>
          <w:szCs w:val="20"/>
        </w:rPr>
        <w:t xml:space="preserve"> in Article 10.9.2 </w:t>
      </w:r>
      <w:r w:rsidR="00D8588A" w:rsidRPr="0043431B">
        <w:rPr>
          <w:rFonts w:cs="Times New Roman"/>
          <w:szCs w:val="20"/>
        </w:rPr>
        <w:t xml:space="preserve">based on </w:t>
      </w:r>
      <w:r w:rsidR="00167972">
        <w:rPr>
          <w:rFonts w:cs="Times New Roman"/>
          <w:szCs w:val="20"/>
        </w:rPr>
        <w:t>evidence in the</w:t>
      </w:r>
      <w:r w:rsidR="00D8588A" w:rsidRPr="0043431B">
        <w:rPr>
          <w:rFonts w:cs="Times New Roman"/>
          <w:szCs w:val="20"/>
        </w:rPr>
        <w:t xml:space="preserve"> study </w:t>
      </w:r>
      <w:r w:rsidR="00167972">
        <w:rPr>
          <w:rFonts w:cs="Times New Roman"/>
          <w:szCs w:val="20"/>
        </w:rPr>
        <w:t xml:space="preserve">by </w:t>
      </w:r>
      <w:r w:rsidR="00D8588A" w:rsidRPr="0043431B">
        <w:rPr>
          <w:rFonts w:cs="Times New Roman"/>
          <w:szCs w:val="20"/>
        </w:rPr>
        <w:t xml:space="preserve">Emmenegger </w:t>
      </w:r>
      <w:r w:rsidR="00D8588A" w:rsidRPr="0043431B">
        <w:rPr>
          <w:rFonts w:cs="Times New Roman"/>
          <w:i/>
          <w:iCs/>
          <w:szCs w:val="20"/>
        </w:rPr>
        <w:t xml:space="preserve">et al., </w:t>
      </w:r>
      <w:r w:rsidR="00D8588A" w:rsidRPr="0043431B">
        <w:rPr>
          <w:rFonts w:cs="Times New Roman"/>
          <w:szCs w:val="20"/>
        </w:rPr>
        <w:t>2016</w:t>
      </w:r>
      <w:r>
        <w:rPr>
          <w:rFonts w:cs="Times New Roman"/>
          <w:szCs w:val="20"/>
        </w:rPr>
        <w:t>. In response,</w:t>
      </w:r>
      <w:r w:rsidR="00167972">
        <w:rPr>
          <w:rFonts w:cs="Times New Roman"/>
          <w:szCs w:val="20"/>
        </w:rPr>
        <w:t xml:space="preserve"> t</w:t>
      </w:r>
      <w:r w:rsidR="00F6008E" w:rsidRPr="0043431B">
        <w:rPr>
          <w:rFonts w:cs="Times New Roman"/>
          <w:szCs w:val="20"/>
        </w:rPr>
        <w:t xml:space="preserve">he Commission </w:t>
      </w:r>
      <w:r w:rsidR="00167972">
        <w:rPr>
          <w:rFonts w:cs="Times New Roman"/>
          <w:szCs w:val="20"/>
        </w:rPr>
        <w:t xml:space="preserve">reminded Members </w:t>
      </w:r>
      <w:r w:rsidR="00F6008E" w:rsidRPr="0043431B">
        <w:rPr>
          <w:rFonts w:cs="Times New Roman"/>
          <w:szCs w:val="20"/>
        </w:rPr>
        <w:t xml:space="preserve">that the assessments for </w:t>
      </w:r>
      <w:r w:rsidR="00D8588A" w:rsidRPr="0043431B">
        <w:rPr>
          <w:rFonts w:cs="Times New Roman"/>
          <w:szCs w:val="20"/>
        </w:rPr>
        <w:t xml:space="preserve">these </w:t>
      </w:r>
      <w:r w:rsidR="00F6008E" w:rsidRPr="0043431B">
        <w:rPr>
          <w:rFonts w:cs="Times New Roman"/>
          <w:szCs w:val="20"/>
        </w:rPr>
        <w:t xml:space="preserve">two </w:t>
      </w:r>
      <w:r w:rsidR="00D8588A" w:rsidRPr="0043431B">
        <w:rPr>
          <w:rFonts w:cs="Times New Roman"/>
          <w:szCs w:val="20"/>
        </w:rPr>
        <w:t xml:space="preserve">species </w:t>
      </w:r>
      <w:r w:rsidR="00167972">
        <w:rPr>
          <w:rFonts w:cs="Times New Roman"/>
          <w:szCs w:val="20"/>
        </w:rPr>
        <w:t xml:space="preserve">conducted </w:t>
      </w:r>
      <w:r w:rsidR="00D8588A" w:rsidRPr="0043431B">
        <w:rPr>
          <w:rFonts w:cs="Times New Roman"/>
          <w:szCs w:val="20"/>
        </w:rPr>
        <w:t xml:space="preserve">by the </w:t>
      </w:r>
      <w:r w:rsidR="00D8588A" w:rsidRPr="0043431B">
        <w:rPr>
          <w:rFonts w:cs="Times New Roman"/>
          <w:i/>
          <w:iCs/>
          <w:szCs w:val="20"/>
        </w:rPr>
        <w:t>ad hoc</w:t>
      </w:r>
      <w:r w:rsidR="00D8588A" w:rsidRPr="0043431B">
        <w:rPr>
          <w:rFonts w:cs="Times New Roman"/>
          <w:szCs w:val="20"/>
        </w:rPr>
        <w:t xml:space="preserve"> Group on Susceptibility of fish species to OIE listed diseases in November 2017</w:t>
      </w:r>
      <w:r w:rsidR="00F6008E" w:rsidRPr="0043431B">
        <w:rPr>
          <w:rFonts w:cs="Times New Roman"/>
          <w:szCs w:val="20"/>
        </w:rPr>
        <w:t xml:space="preserve"> had considered this </w:t>
      </w:r>
      <w:r w:rsidR="00167972">
        <w:rPr>
          <w:rFonts w:cs="Times New Roman"/>
          <w:szCs w:val="20"/>
        </w:rPr>
        <w:t>paper</w:t>
      </w:r>
      <w:r w:rsidR="00130658" w:rsidRPr="0043431B">
        <w:rPr>
          <w:rFonts w:cs="Times New Roman"/>
          <w:szCs w:val="20"/>
        </w:rPr>
        <w:t xml:space="preserve">. The </w:t>
      </w:r>
      <w:r w:rsidR="00130658" w:rsidRPr="0043431B">
        <w:rPr>
          <w:rFonts w:cs="Times New Roman"/>
          <w:i/>
          <w:iCs/>
          <w:szCs w:val="20"/>
        </w:rPr>
        <w:t>ad hoc</w:t>
      </w:r>
      <w:r w:rsidR="00130658" w:rsidRPr="0043431B">
        <w:rPr>
          <w:rFonts w:cs="Times New Roman"/>
          <w:szCs w:val="20"/>
        </w:rPr>
        <w:t xml:space="preserve"> Group</w:t>
      </w:r>
      <w:r w:rsidR="00F6008E" w:rsidRPr="0043431B">
        <w:rPr>
          <w:rFonts w:cs="Times New Roman"/>
          <w:szCs w:val="20"/>
        </w:rPr>
        <w:t xml:space="preserve"> had concluded that </w:t>
      </w:r>
      <w:r w:rsidR="00167972">
        <w:rPr>
          <w:rFonts w:cs="Times New Roman"/>
          <w:szCs w:val="20"/>
        </w:rPr>
        <w:t>these species</w:t>
      </w:r>
      <w:r w:rsidR="00167972" w:rsidRPr="0043431B">
        <w:rPr>
          <w:rFonts w:cs="Times New Roman"/>
          <w:szCs w:val="20"/>
        </w:rPr>
        <w:t xml:space="preserve"> </w:t>
      </w:r>
      <w:r>
        <w:rPr>
          <w:rFonts w:cs="Times New Roman"/>
          <w:szCs w:val="20"/>
        </w:rPr>
        <w:t>did not meet the criteria for susceptibility</w:t>
      </w:r>
      <w:r w:rsidR="00D8588A" w:rsidRPr="0043431B">
        <w:rPr>
          <w:rFonts w:cs="Times New Roman"/>
          <w:szCs w:val="20"/>
        </w:rPr>
        <w:t xml:space="preserve"> because the route of experimental infection </w:t>
      </w:r>
      <w:r w:rsidR="002E74BC">
        <w:rPr>
          <w:rFonts w:cs="Times New Roman"/>
          <w:szCs w:val="20"/>
        </w:rPr>
        <w:t xml:space="preserve">described in the study </w:t>
      </w:r>
      <w:r w:rsidR="00D8588A" w:rsidRPr="0043431B">
        <w:rPr>
          <w:rFonts w:cs="Times New Roman"/>
          <w:szCs w:val="20"/>
        </w:rPr>
        <w:t xml:space="preserve">was invasive. </w:t>
      </w:r>
      <w:r w:rsidR="00167972">
        <w:rPr>
          <w:rFonts w:cs="Times New Roman"/>
          <w:szCs w:val="20"/>
        </w:rPr>
        <w:t xml:space="preserve">The Commission reiterated its previous decision not to list these two species as susceptible. </w:t>
      </w:r>
    </w:p>
    <w:p w14:paraId="293243FA" w14:textId="7EED3479" w:rsidR="00167972" w:rsidRDefault="00167972" w:rsidP="00831075">
      <w:pPr>
        <w:spacing w:line="240" w:lineRule="auto"/>
        <w:ind w:left="1440"/>
        <w:jc w:val="both"/>
        <w:rPr>
          <w:rFonts w:cs="Times New Roman"/>
          <w:szCs w:val="20"/>
        </w:rPr>
      </w:pPr>
      <w:r>
        <w:rPr>
          <w:rFonts w:cs="Times New Roman"/>
          <w:szCs w:val="20"/>
        </w:rPr>
        <w:t xml:space="preserve">The Commission informed </w:t>
      </w:r>
      <w:r w:rsidR="00D8588A" w:rsidRPr="0043431B">
        <w:rPr>
          <w:rFonts w:cs="Times New Roman"/>
          <w:szCs w:val="20"/>
        </w:rPr>
        <w:t xml:space="preserve">Members </w:t>
      </w:r>
      <w:r>
        <w:rPr>
          <w:rFonts w:cs="Times New Roman"/>
          <w:szCs w:val="20"/>
        </w:rPr>
        <w:t xml:space="preserve">that if they </w:t>
      </w:r>
      <w:r w:rsidR="00F6008E" w:rsidRPr="0043431B">
        <w:rPr>
          <w:rFonts w:cs="Times New Roman"/>
          <w:szCs w:val="20"/>
        </w:rPr>
        <w:t>wish to propose the listing of additional species</w:t>
      </w:r>
      <w:r w:rsidR="00130658" w:rsidRPr="0043431B">
        <w:rPr>
          <w:rFonts w:cs="Times New Roman"/>
          <w:szCs w:val="20"/>
        </w:rPr>
        <w:t>,</w:t>
      </w:r>
      <w:r w:rsidR="00F6008E" w:rsidRPr="0043431B">
        <w:rPr>
          <w:rFonts w:cs="Times New Roman"/>
          <w:szCs w:val="20"/>
        </w:rPr>
        <w:t xml:space="preserve"> they </w:t>
      </w:r>
      <w:r w:rsidR="00D8588A" w:rsidRPr="0043431B">
        <w:rPr>
          <w:rFonts w:cs="Times New Roman"/>
          <w:szCs w:val="20"/>
        </w:rPr>
        <w:t>are encouraged to read</w:t>
      </w:r>
      <w:r w:rsidR="00F6008E" w:rsidRPr="0043431B">
        <w:rPr>
          <w:rFonts w:cs="Times New Roman"/>
          <w:szCs w:val="20"/>
        </w:rPr>
        <w:t xml:space="preserve"> relevant </w:t>
      </w:r>
      <w:r w:rsidR="00D8588A" w:rsidRPr="0043431B">
        <w:rPr>
          <w:rFonts w:cs="Times New Roman"/>
          <w:i/>
          <w:szCs w:val="20"/>
        </w:rPr>
        <w:t>ad hoc</w:t>
      </w:r>
      <w:r w:rsidR="00D8588A" w:rsidRPr="0043431B">
        <w:rPr>
          <w:rFonts w:cs="Times New Roman"/>
          <w:szCs w:val="20"/>
        </w:rPr>
        <w:t xml:space="preserve"> </w:t>
      </w:r>
      <w:r w:rsidR="00F6008E" w:rsidRPr="0043431B">
        <w:rPr>
          <w:rFonts w:cs="Times New Roman"/>
          <w:szCs w:val="20"/>
        </w:rPr>
        <w:t>G</w:t>
      </w:r>
      <w:r w:rsidR="00D8588A" w:rsidRPr="0043431B">
        <w:rPr>
          <w:rFonts w:cs="Times New Roman"/>
          <w:szCs w:val="20"/>
        </w:rPr>
        <w:t xml:space="preserve">roup </w:t>
      </w:r>
      <w:r w:rsidR="00D8588A" w:rsidRPr="000F45B2">
        <w:rPr>
          <w:rFonts w:cs="Times New Roman"/>
          <w:szCs w:val="20"/>
        </w:rPr>
        <w:t xml:space="preserve">reports </w:t>
      </w:r>
      <w:r w:rsidR="004D2358">
        <w:rPr>
          <w:rFonts w:cs="Times New Roman"/>
          <w:szCs w:val="20"/>
        </w:rPr>
        <w:t>(</w:t>
      </w:r>
      <w:hyperlink r:id="rId10" w:history="1">
        <w:r w:rsidR="000F45B2" w:rsidRPr="000F45B2">
          <w:rPr>
            <w:rStyle w:val="Lienhypertexte"/>
            <w:rFonts w:cs="Times New Roman"/>
            <w:szCs w:val="20"/>
          </w:rPr>
          <w:t>https://www.oie.int/en/standard-setting/specialists-commissions-working-ad-hoc-groups/ad-hoc-groups-reports/</w:t>
        </w:r>
      </w:hyperlink>
      <w:r w:rsidR="004D2358">
        <w:rPr>
          <w:rFonts w:cs="Times New Roman"/>
          <w:szCs w:val="20"/>
        </w:rPr>
        <w:t>)</w:t>
      </w:r>
      <w:r w:rsidRPr="000F45B2">
        <w:rPr>
          <w:rFonts w:cs="Times New Roman"/>
          <w:szCs w:val="20"/>
        </w:rPr>
        <w:t>,</w:t>
      </w:r>
      <w:r w:rsidR="00D8588A" w:rsidRPr="0043431B">
        <w:rPr>
          <w:rFonts w:cs="Times New Roman"/>
          <w:szCs w:val="20"/>
        </w:rPr>
        <w:t xml:space="preserve"> and </w:t>
      </w:r>
      <w:r>
        <w:rPr>
          <w:rFonts w:cs="Times New Roman"/>
          <w:szCs w:val="20"/>
        </w:rPr>
        <w:t xml:space="preserve">to </w:t>
      </w:r>
      <w:r w:rsidR="00D8588A" w:rsidRPr="0043431B">
        <w:rPr>
          <w:rFonts w:cs="Times New Roman"/>
          <w:szCs w:val="20"/>
        </w:rPr>
        <w:t xml:space="preserve">submit </w:t>
      </w:r>
      <w:r w:rsidR="00F6008E" w:rsidRPr="0043431B">
        <w:rPr>
          <w:rFonts w:cs="Times New Roman"/>
          <w:szCs w:val="20"/>
        </w:rPr>
        <w:t xml:space="preserve">new </w:t>
      </w:r>
      <w:r w:rsidR="00D8588A" w:rsidRPr="0043431B">
        <w:rPr>
          <w:rFonts w:cs="Times New Roman"/>
          <w:szCs w:val="20"/>
        </w:rPr>
        <w:t>scientific evidence</w:t>
      </w:r>
      <w:r>
        <w:rPr>
          <w:rFonts w:cs="Times New Roman"/>
          <w:szCs w:val="20"/>
        </w:rPr>
        <w:t xml:space="preserve"> in support of their proposal</w:t>
      </w:r>
      <w:r w:rsidR="00D8588A" w:rsidRPr="0043431B">
        <w:rPr>
          <w:rFonts w:cs="Times New Roman"/>
          <w:szCs w:val="20"/>
        </w:rPr>
        <w:t xml:space="preserve">. </w:t>
      </w:r>
    </w:p>
    <w:p w14:paraId="08669AED" w14:textId="3F677481" w:rsidR="00454CB8" w:rsidRPr="00454CB8" w:rsidRDefault="00454CB8" w:rsidP="00831075">
      <w:pPr>
        <w:spacing w:line="240" w:lineRule="auto"/>
        <w:ind w:left="1440"/>
        <w:jc w:val="both"/>
        <w:rPr>
          <w:rFonts w:cs="Times New Roman"/>
          <w:szCs w:val="20"/>
        </w:rPr>
      </w:pPr>
      <w:r>
        <w:rPr>
          <w:rFonts w:cs="Times New Roman"/>
          <w:szCs w:val="20"/>
        </w:rPr>
        <w:t xml:space="preserve">Reference: </w:t>
      </w:r>
      <w:r w:rsidRPr="00454CB8">
        <w:rPr>
          <w:rFonts w:cs="Times New Roman"/>
          <w:szCs w:val="20"/>
        </w:rPr>
        <w:t xml:space="preserve">Emmenegger, A. J., Sanders, G. E., Conway, C. M., Binkowski, F. P., WintonJ. R. </w:t>
      </w:r>
      <w:r>
        <w:rPr>
          <w:rFonts w:cs="Times New Roman"/>
          <w:szCs w:val="20"/>
        </w:rPr>
        <w:t xml:space="preserve">and </w:t>
      </w:r>
      <w:r w:rsidRPr="00454CB8">
        <w:rPr>
          <w:rFonts w:cs="Times New Roman"/>
          <w:szCs w:val="20"/>
        </w:rPr>
        <w:t>Kurath, G. (2016). Experimental infection of six North American fish species with the North Carolina strain of spring Viremia of Carp Virus. Aquaculture, 450, 273</w:t>
      </w:r>
      <w:r w:rsidR="00060F5F">
        <w:rPr>
          <w:rFonts w:cs="Times New Roman"/>
          <w:szCs w:val="20"/>
        </w:rPr>
        <w:t>‒</w:t>
      </w:r>
      <w:r w:rsidRPr="00454CB8">
        <w:rPr>
          <w:rFonts w:cs="Times New Roman"/>
          <w:szCs w:val="20"/>
        </w:rPr>
        <w:t xml:space="preserve">282. </w:t>
      </w:r>
    </w:p>
    <w:p w14:paraId="246B3440" w14:textId="1BAA6121" w:rsidR="00CF60E5" w:rsidRDefault="00D8588A" w:rsidP="00831075">
      <w:pPr>
        <w:pStyle w:val="para11"/>
        <w:spacing w:after="160"/>
        <w:ind w:left="1440"/>
        <w:rPr>
          <w:lang w:val="en-SG"/>
        </w:rPr>
      </w:pPr>
      <w:r w:rsidRPr="00CF60E5">
        <w:t xml:space="preserve">The revised Article 10.9.2 of Chapter 10.9, Infection with spring viraemia of carp virus, is presented </w:t>
      </w:r>
      <w:r w:rsidRPr="006A2D15">
        <w:t xml:space="preserve">as </w:t>
      </w:r>
      <w:hyperlink w:anchor="_Annex_6" w:history="1">
        <w:r w:rsidR="00790765" w:rsidRPr="001677E0">
          <w:rPr>
            <w:rStyle w:val="Lienhypertexte"/>
          </w:rPr>
          <w:t xml:space="preserve">Annex </w:t>
        </w:r>
        <w:r w:rsidR="00790765">
          <w:rPr>
            <w:rStyle w:val="Lienhypertexte"/>
          </w:rPr>
          <w:t>5</w:t>
        </w:r>
      </w:hyperlink>
      <w:r w:rsidR="00790765" w:rsidRPr="001677E0">
        <w:t xml:space="preserve"> </w:t>
      </w:r>
      <w:r w:rsidR="00750C92" w:rsidRPr="001677E0">
        <w:t>fo</w:t>
      </w:r>
      <w:r w:rsidR="00750C92" w:rsidRPr="006A2D15">
        <w:t>r Me</w:t>
      </w:r>
      <w:r w:rsidR="00750C92" w:rsidRPr="00CF60E5">
        <w:t>mber comments</w:t>
      </w:r>
      <w:r w:rsidR="00CF60E5">
        <w:t xml:space="preserve">. </w:t>
      </w:r>
      <w:r w:rsidR="00CF60E5" w:rsidRPr="000F45B2">
        <w:rPr>
          <w:lang w:val="en-IE"/>
        </w:rPr>
        <w:t xml:space="preserve">The adoption has been postponed until the </w:t>
      </w:r>
      <w:r w:rsidR="00CF60E5" w:rsidRPr="000F45B2">
        <w:rPr>
          <w:lang w:val="en-SG"/>
        </w:rPr>
        <w:t>89th</w:t>
      </w:r>
      <w:r w:rsidR="00CF60E5" w:rsidRPr="008D4BA9">
        <w:rPr>
          <w:lang w:val="en-SG"/>
        </w:rPr>
        <w:t xml:space="preserve"> </w:t>
      </w:r>
      <w:r w:rsidR="00CF60E5">
        <w:rPr>
          <w:lang w:val="en-SG"/>
        </w:rPr>
        <w:t>General Session in May 2021. As the Article has already undergone extensive consultation, Members are requested to only submit comments to address s</w:t>
      </w:r>
      <w:r w:rsidR="00CF60E5" w:rsidRPr="00F63BCB">
        <w:rPr>
          <w:lang w:val="en-SG"/>
        </w:rPr>
        <w:t xml:space="preserve">ubstantive </w:t>
      </w:r>
      <w:r w:rsidR="00CF60E5">
        <w:rPr>
          <w:lang w:val="en-SG"/>
        </w:rPr>
        <w:t>issues</w:t>
      </w:r>
      <w:r w:rsidR="00CF60E5" w:rsidRPr="00F63BCB">
        <w:rPr>
          <w:lang w:val="en-SG"/>
        </w:rPr>
        <w:t xml:space="preserve"> that ha</w:t>
      </w:r>
      <w:r w:rsidR="00CF60E5">
        <w:rPr>
          <w:lang w:val="en-SG"/>
        </w:rPr>
        <w:t xml:space="preserve">ve </w:t>
      </w:r>
      <w:r w:rsidR="00CF60E5" w:rsidRPr="00F63BCB">
        <w:rPr>
          <w:lang w:val="en-SG"/>
        </w:rPr>
        <w:t xml:space="preserve">not been </w:t>
      </w:r>
      <w:r w:rsidR="00CF60E5">
        <w:rPr>
          <w:lang w:val="en-SG"/>
        </w:rPr>
        <w:t xml:space="preserve">considered </w:t>
      </w:r>
      <w:r w:rsidR="00CF60E5" w:rsidRPr="00F63BCB">
        <w:rPr>
          <w:lang w:val="en-SG"/>
        </w:rPr>
        <w:t>previously</w:t>
      </w:r>
      <w:r w:rsidR="00CF60E5">
        <w:rPr>
          <w:lang w:val="en-SG"/>
        </w:rPr>
        <w:t xml:space="preserve">. </w:t>
      </w:r>
    </w:p>
    <w:p w14:paraId="1EC8476F" w14:textId="292FB37D" w:rsidR="006E57F4" w:rsidRPr="0043431B" w:rsidRDefault="006E57F4" w:rsidP="00831075">
      <w:pPr>
        <w:pStyle w:val="Titre3"/>
        <w:spacing w:before="0" w:after="160" w:line="240" w:lineRule="auto"/>
        <w:ind w:left="1440" w:hanging="540"/>
        <w:jc w:val="both"/>
        <w:rPr>
          <w:rFonts w:cs="Times New Roman"/>
          <w:b/>
          <w:i w:val="0"/>
        </w:rPr>
      </w:pPr>
      <w:bookmarkStart w:id="22" w:name="_Toc38028624"/>
      <w:r w:rsidRPr="0043431B">
        <w:rPr>
          <w:rFonts w:cs="Times New Roman"/>
          <w:b/>
          <w:i w:val="0"/>
        </w:rPr>
        <w:t>7.1.5.</w:t>
      </w:r>
      <w:r w:rsidRPr="0043431B">
        <w:rPr>
          <w:rFonts w:cs="Times New Roman"/>
          <w:b/>
          <w:i w:val="0"/>
        </w:rPr>
        <w:tab/>
        <w:t>Article 10.10.2 of Chapter 10.10 Infection with viral haemorrhagic septicaemia virus</w:t>
      </w:r>
      <w:bookmarkEnd w:id="22"/>
      <w:r w:rsidRPr="0043431B">
        <w:rPr>
          <w:rFonts w:cs="Times New Roman"/>
          <w:b/>
          <w:i w:val="0"/>
        </w:rPr>
        <w:t xml:space="preserve"> </w:t>
      </w:r>
    </w:p>
    <w:p w14:paraId="046929F2" w14:textId="7C714497" w:rsidR="006B1E5E" w:rsidRPr="0043431B" w:rsidRDefault="006B1E5E" w:rsidP="00831075">
      <w:pPr>
        <w:spacing w:line="240" w:lineRule="auto"/>
        <w:ind w:left="1440"/>
        <w:jc w:val="both"/>
        <w:rPr>
          <w:rFonts w:cs="Times New Roman"/>
          <w:szCs w:val="20"/>
          <w:lang w:val="en-IE"/>
        </w:rPr>
      </w:pPr>
      <w:r w:rsidRPr="0043431B">
        <w:rPr>
          <w:rFonts w:cs="Times New Roman"/>
          <w:szCs w:val="20"/>
          <w:lang w:val="en-IE"/>
        </w:rPr>
        <w:t xml:space="preserve">Comments were received from Canada, Korea (Rep. of), Thailand, </w:t>
      </w:r>
      <w:r w:rsidR="004D2358" w:rsidRPr="0043431B">
        <w:rPr>
          <w:rFonts w:cs="Times New Roman"/>
          <w:szCs w:val="20"/>
          <w:lang w:val="en-IE"/>
        </w:rPr>
        <w:t xml:space="preserve">the USA and </w:t>
      </w:r>
      <w:r w:rsidRPr="0043431B">
        <w:rPr>
          <w:rFonts w:cs="Times New Roman"/>
          <w:szCs w:val="20"/>
          <w:lang w:val="en-IE"/>
        </w:rPr>
        <w:t>the EU.</w:t>
      </w:r>
    </w:p>
    <w:p w14:paraId="71181D7D" w14:textId="77777777" w:rsidR="005E0333" w:rsidRPr="00454CB8" w:rsidRDefault="005E0333" w:rsidP="00831075">
      <w:pPr>
        <w:pStyle w:val="paragraph"/>
        <w:spacing w:before="0" w:beforeAutospacing="0" w:after="160" w:afterAutospacing="0"/>
        <w:ind w:left="1418"/>
        <w:jc w:val="both"/>
        <w:textAlignment w:val="baseline"/>
        <w:rPr>
          <w:rStyle w:val="normaltextrun"/>
          <w:i/>
          <w:iCs/>
          <w:sz w:val="20"/>
          <w:szCs w:val="20"/>
        </w:rPr>
      </w:pPr>
      <w:r w:rsidRPr="00454CB8">
        <w:rPr>
          <w:rStyle w:val="normaltextrun"/>
          <w:i/>
          <w:iCs/>
          <w:sz w:val="20"/>
          <w:szCs w:val="20"/>
        </w:rPr>
        <w:t>Background</w:t>
      </w:r>
    </w:p>
    <w:p w14:paraId="45304057" w14:textId="155C9040" w:rsidR="005E0333" w:rsidRPr="0043431B" w:rsidRDefault="005E0333" w:rsidP="00831075">
      <w:pPr>
        <w:spacing w:line="240" w:lineRule="auto"/>
        <w:ind w:left="1418"/>
        <w:jc w:val="both"/>
        <w:rPr>
          <w:rFonts w:cs="Times New Roman"/>
          <w:szCs w:val="20"/>
          <w:lang w:val="en-IE"/>
        </w:rPr>
      </w:pPr>
      <w:r w:rsidRPr="0043431B">
        <w:rPr>
          <w:rFonts w:cs="Times New Roman"/>
          <w:szCs w:val="20"/>
          <w:lang w:val="en-IE"/>
        </w:rPr>
        <w:t>Th</w:t>
      </w:r>
      <w:r w:rsidR="006B1E5E" w:rsidRPr="0043431B">
        <w:rPr>
          <w:rFonts w:cs="Times New Roman"/>
          <w:szCs w:val="20"/>
          <w:lang w:val="en-IE"/>
        </w:rPr>
        <w:t>e</w:t>
      </w:r>
      <w:r w:rsidRPr="0043431B">
        <w:rPr>
          <w:rFonts w:cs="Times New Roman"/>
          <w:szCs w:val="20"/>
          <w:lang w:val="en-IE"/>
        </w:rPr>
        <w:t xml:space="preserve"> </w:t>
      </w:r>
      <w:r w:rsidRPr="0043431B">
        <w:rPr>
          <w:rFonts w:cs="Times New Roman"/>
          <w:i/>
          <w:iCs/>
          <w:szCs w:val="20"/>
          <w:lang w:val="en-IE"/>
        </w:rPr>
        <w:t xml:space="preserve">ad hoc </w:t>
      </w:r>
      <w:r w:rsidRPr="0043431B">
        <w:rPr>
          <w:rFonts w:cs="Times New Roman"/>
          <w:szCs w:val="20"/>
          <w:lang w:val="en-IE"/>
        </w:rPr>
        <w:t>Group on Susceptibility of fish species to OIE listed diseases</w:t>
      </w:r>
      <w:r w:rsidRPr="0043431B">
        <w:rPr>
          <w:rFonts w:cs="Times New Roman"/>
        </w:rPr>
        <w:t xml:space="preserve"> </w:t>
      </w:r>
      <w:r w:rsidRPr="0043431B">
        <w:rPr>
          <w:rFonts w:cs="Times New Roman"/>
          <w:szCs w:val="20"/>
          <w:lang w:val="en-IE"/>
        </w:rPr>
        <w:t xml:space="preserve">had applied the criteria for listing species as susceptible to infection with </w:t>
      </w:r>
      <w:r w:rsidR="00167972" w:rsidRPr="00167972">
        <w:rPr>
          <w:rFonts w:cs="Times New Roman"/>
          <w:szCs w:val="20"/>
          <w:lang w:val="en-IE"/>
        </w:rPr>
        <w:t xml:space="preserve">viral haemorrhagic septicaemia virus </w:t>
      </w:r>
      <w:r w:rsidR="00167972">
        <w:rPr>
          <w:rFonts w:cs="Times New Roman"/>
          <w:szCs w:val="20"/>
          <w:lang w:val="en-IE"/>
        </w:rPr>
        <w:t>(</w:t>
      </w:r>
      <w:r w:rsidR="009910BA" w:rsidRPr="0043431B">
        <w:rPr>
          <w:rFonts w:cs="Times New Roman"/>
          <w:szCs w:val="20"/>
          <w:lang w:val="en-IE"/>
        </w:rPr>
        <w:t>VHSV</w:t>
      </w:r>
      <w:r w:rsidR="00167972">
        <w:rPr>
          <w:rFonts w:cs="Times New Roman"/>
          <w:szCs w:val="20"/>
          <w:lang w:val="en-IE"/>
        </w:rPr>
        <w:t>)</w:t>
      </w:r>
      <w:r w:rsidRPr="0043431B">
        <w:rPr>
          <w:rFonts w:cs="Times New Roman"/>
          <w:szCs w:val="20"/>
          <w:lang w:val="en-IE"/>
        </w:rPr>
        <w:t xml:space="preserve"> in accordance with Chapter 1.5</w:t>
      </w:r>
      <w:r w:rsidR="00130658" w:rsidRPr="0043431B">
        <w:rPr>
          <w:rFonts w:cs="Times New Roman"/>
          <w:szCs w:val="20"/>
          <w:lang w:val="en-IE"/>
        </w:rPr>
        <w:t>,</w:t>
      </w:r>
      <w:r w:rsidRPr="0043431B">
        <w:rPr>
          <w:rFonts w:cs="Times New Roman"/>
          <w:szCs w:val="20"/>
          <w:lang w:val="en-IE"/>
        </w:rPr>
        <w:t xml:space="preserve"> Criteria for listing species as susceptible to infection with a specific pathogen</w:t>
      </w:r>
      <w:r w:rsidR="007A31D9">
        <w:rPr>
          <w:rFonts w:cs="Times New Roman"/>
          <w:szCs w:val="20"/>
          <w:lang w:val="en-IE"/>
        </w:rPr>
        <w:t xml:space="preserve"> (report</w:t>
      </w:r>
      <w:r w:rsidR="006B1E5E" w:rsidRPr="0043431B">
        <w:rPr>
          <w:rFonts w:cs="Times New Roman"/>
          <w:iCs/>
          <w:szCs w:val="20"/>
          <w:lang w:val="en-IE"/>
        </w:rPr>
        <w:t xml:space="preserve"> available at </w:t>
      </w:r>
      <w:hyperlink r:id="rId11" w:history="1">
        <w:r w:rsidR="00431AE2" w:rsidRPr="00431AE2">
          <w:rPr>
            <w:rStyle w:val="Lienhypertexte"/>
            <w:rFonts w:cs="Times New Roman"/>
            <w:iCs/>
            <w:szCs w:val="20"/>
            <w:lang w:val="en-IE"/>
          </w:rPr>
          <w:t>https://www.oie.int/en/standard-setting/specialists-commissions-working-ad-hoc-groups/ad-hoc-groups-repo</w:t>
        </w:r>
        <w:r w:rsidR="00431AE2" w:rsidRPr="00431AE2">
          <w:rPr>
            <w:rStyle w:val="Lienhypertexte"/>
            <w:rFonts w:cs="Times New Roman"/>
            <w:iCs/>
            <w:szCs w:val="20"/>
            <w:lang w:val="en-IE"/>
          </w:rPr>
          <w:t>rts/</w:t>
        </w:r>
      </w:hyperlink>
      <w:r w:rsidR="004D2358">
        <w:rPr>
          <w:rFonts w:cs="Times New Roman"/>
          <w:iCs/>
          <w:szCs w:val="20"/>
          <w:lang w:val="en-IE"/>
        </w:rPr>
        <w:t>)</w:t>
      </w:r>
      <w:r w:rsidR="00130658" w:rsidRPr="0043431B">
        <w:rPr>
          <w:rFonts w:cs="Times New Roman"/>
          <w:iCs/>
          <w:szCs w:val="20"/>
          <w:lang w:val="en-IE"/>
        </w:rPr>
        <w:t xml:space="preserve">. </w:t>
      </w:r>
      <w:r w:rsidRPr="0043431B">
        <w:rPr>
          <w:rFonts w:cs="Times New Roman"/>
          <w:szCs w:val="20"/>
          <w:lang w:val="en-IE"/>
        </w:rPr>
        <w:t xml:space="preserve">The </w:t>
      </w:r>
      <w:r w:rsidR="009910BA" w:rsidRPr="0043431B">
        <w:rPr>
          <w:rFonts w:cs="Times New Roman"/>
          <w:szCs w:val="20"/>
          <w:lang w:val="en-IE"/>
        </w:rPr>
        <w:t>assessments were reviewed by the Commission at its September 2019 meeting</w:t>
      </w:r>
      <w:r w:rsidR="006B1E5E" w:rsidRPr="0043431B">
        <w:rPr>
          <w:rFonts w:cs="Times New Roman"/>
          <w:szCs w:val="20"/>
          <w:lang w:val="en-IE"/>
        </w:rPr>
        <w:t xml:space="preserve"> and the </w:t>
      </w:r>
      <w:r w:rsidR="009910BA" w:rsidRPr="0043431B">
        <w:rPr>
          <w:rFonts w:cs="Times New Roman"/>
          <w:szCs w:val="20"/>
          <w:lang w:val="en-IE"/>
        </w:rPr>
        <w:t>amend</w:t>
      </w:r>
      <w:r w:rsidR="006B1E5E" w:rsidRPr="0043431B">
        <w:rPr>
          <w:rFonts w:cs="Times New Roman"/>
          <w:szCs w:val="20"/>
          <w:lang w:val="en-IE"/>
        </w:rPr>
        <w:t xml:space="preserve">ed </w:t>
      </w:r>
      <w:r w:rsidR="009910BA" w:rsidRPr="0043431B">
        <w:rPr>
          <w:rFonts w:cs="Times New Roman"/>
          <w:szCs w:val="20"/>
          <w:lang w:val="en-IE"/>
        </w:rPr>
        <w:t xml:space="preserve">list of susceptible species in Article 10.10.2 </w:t>
      </w:r>
      <w:r w:rsidR="006B1E5E" w:rsidRPr="0043431B">
        <w:rPr>
          <w:rFonts w:cs="Times New Roman"/>
          <w:szCs w:val="20"/>
          <w:lang w:val="en-IE"/>
        </w:rPr>
        <w:t>w</w:t>
      </w:r>
      <w:r w:rsidR="003800EB">
        <w:rPr>
          <w:rFonts w:cs="Times New Roman"/>
          <w:szCs w:val="20"/>
          <w:lang w:val="en-IE"/>
        </w:rPr>
        <w:t>as</w:t>
      </w:r>
      <w:r w:rsidR="006B1E5E" w:rsidRPr="0043431B">
        <w:rPr>
          <w:rFonts w:cs="Times New Roman"/>
          <w:szCs w:val="20"/>
          <w:lang w:val="en-IE"/>
        </w:rPr>
        <w:t xml:space="preserve"> circulated for comment for the first time in the Commission’s September 2019 report.</w:t>
      </w:r>
      <w:r w:rsidR="009910BA" w:rsidRPr="0043431B">
        <w:rPr>
          <w:rFonts w:cs="Times New Roman"/>
          <w:szCs w:val="20"/>
          <w:lang w:val="en-IE"/>
        </w:rPr>
        <w:t xml:space="preserve"> </w:t>
      </w:r>
    </w:p>
    <w:p w14:paraId="6721343A" w14:textId="77777777" w:rsidR="00D73705" w:rsidRPr="0043431B" w:rsidRDefault="00D73705" w:rsidP="00831075">
      <w:pPr>
        <w:spacing w:line="240" w:lineRule="auto"/>
        <w:ind w:left="1440"/>
        <w:jc w:val="both"/>
        <w:rPr>
          <w:rFonts w:cs="Times New Roman"/>
          <w:b/>
          <w:bCs/>
          <w:szCs w:val="20"/>
        </w:rPr>
      </w:pPr>
      <w:r>
        <w:rPr>
          <w:rFonts w:cs="Times New Roman"/>
          <w:b/>
          <w:bCs/>
          <w:szCs w:val="20"/>
        </w:rPr>
        <w:t>Previous Commission reports where this item was discussed</w:t>
      </w:r>
      <w:r w:rsidRPr="0043431B">
        <w:rPr>
          <w:rFonts w:cs="Times New Roman"/>
          <w:b/>
          <w:bCs/>
          <w:szCs w:val="20"/>
        </w:rPr>
        <w:t>:</w:t>
      </w:r>
    </w:p>
    <w:p w14:paraId="7FDD811D" w14:textId="65E9F957" w:rsidR="009910BA" w:rsidRPr="0043431B" w:rsidRDefault="009910BA" w:rsidP="00831075">
      <w:pPr>
        <w:spacing w:line="240" w:lineRule="auto"/>
        <w:ind w:left="1440"/>
        <w:jc w:val="both"/>
        <w:rPr>
          <w:rFonts w:cs="Times New Roman"/>
          <w:szCs w:val="20"/>
        </w:rPr>
      </w:pPr>
      <w:r w:rsidRPr="0043431B">
        <w:rPr>
          <w:rFonts w:cs="Times New Roman"/>
          <w:szCs w:val="20"/>
        </w:rPr>
        <w:t>September 2019 report</w:t>
      </w:r>
      <w:r w:rsidR="00D73705">
        <w:rPr>
          <w:rFonts w:cs="Times New Roman"/>
          <w:szCs w:val="20"/>
        </w:rPr>
        <w:t xml:space="preserve"> (</w:t>
      </w:r>
      <w:r w:rsidRPr="0043431B">
        <w:rPr>
          <w:rFonts w:cs="Times New Roman"/>
          <w:szCs w:val="20"/>
        </w:rPr>
        <w:t>Item 6.4, page 49</w:t>
      </w:r>
      <w:r w:rsidR="00D73705">
        <w:rPr>
          <w:rFonts w:cs="Times New Roman"/>
          <w:szCs w:val="20"/>
        </w:rPr>
        <w:t>)</w:t>
      </w:r>
      <w:r w:rsidR="00060F5F">
        <w:rPr>
          <w:rFonts w:cs="Times New Roman"/>
          <w:szCs w:val="20"/>
        </w:rPr>
        <w:t>.</w:t>
      </w:r>
    </w:p>
    <w:p w14:paraId="6FAF32E3" w14:textId="77777777" w:rsidR="006E57F4" w:rsidRPr="00D73705" w:rsidRDefault="006E57F4" w:rsidP="00831075">
      <w:pPr>
        <w:spacing w:line="240" w:lineRule="auto"/>
        <w:ind w:left="1418"/>
        <w:jc w:val="both"/>
        <w:rPr>
          <w:rFonts w:cs="Times New Roman"/>
          <w:b/>
          <w:bCs/>
          <w:szCs w:val="20"/>
          <w:lang w:val="en-IE"/>
        </w:rPr>
      </w:pPr>
      <w:r w:rsidRPr="00D73705">
        <w:rPr>
          <w:rFonts w:cs="Times New Roman"/>
          <w:b/>
          <w:bCs/>
          <w:szCs w:val="20"/>
          <w:lang w:val="en-IE"/>
        </w:rPr>
        <w:t>February 2020 meeting</w:t>
      </w:r>
    </w:p>
    <w:p w14:paraId="2F402A53" w14:textId="6A690D5F" w:rsidR="00C74BE3" w:rsidRPr="0043431B" w:rsidRDefault="00C74BE3" w:rsidP="00831075">
      <w:pPr>
        <w:spacing w:line="240" w:lineRule="auto"/>
        <w:ind w:left="1440"/>
        <w:jc w:val="both"/>
        <w:rPr>
          <w:rFonts w:cs="Times New Roman"/>
          <w:szCs w:val="20"/>
        </w:rPr>
      </w:pPr>
      <w:bookmarkStart w:id="23" w:name="_Hlk32583512"/>
      <w:r w:rsidRPr="0043431B">
        <w:rPr>
          <w:rFonts w:cs="Times New Roman"/>
          <w:szCs w:val="20"/>
        </w:rPr>
        <w:t>The Commission confirmed that zebra fish</w:t>
      </w:r>
      <w:r w:rsidRPr="0043431B">
        <w:rPr>
          <w:rFonts w:cs="Times New Roman"/>
          <w:i/>
          <w:iCs/>
          <w:szCs w:val="20"/>
        </w:rPr>
        <w:t xml:space="preserve"> </w:t>
      </w:r>
      <w:r w:rsidRPr="00685B5C">
        <w:rPr>
          <w:rFonts w:cs="Times New Roman"/>
          <w:i/>
          <w:szCs w:val="20"/>
        </w:rPr>
        <w:t>(</w:t>
      </w:r>
      <w:r w:rsidRPr="00685B5C">
        <w:rPr>
          <w:rFonts w:cs="Times New Roman"/>
          <w:i/>
          <w:iCs/>
          <w:szCs w:val="20"/>
        </w:rPr>
        <w:t>Danio rerio</w:t>
      </w:r>
      <w:r w:rsidRPr="00685B5C">
        <w:rPr>
          <w:rFonts w:cs="Times New Roman"/>
          <w:i/>
          <w:szCs w:val="20"/>
        </w:rPr>
        <w:t>)</w:t>
      </w:r>
      <w:r w:rsidR="007A31D9">
        <w:rPr>
          <w:rFonts w:cs="Times New Roman"/>
          <w:szCs w:val="20"/>
        </w:rPr>
        <w:t xml:space="preserve"> does meet the criteria for listing as susceptible because </w:t>
      </w:r>
      <w:r w:rsidRPr="0043431B">
        <w:rPr>
          <w:rFonts w:cs="Times New Roman"/>
          <w:szCs w:val="20"/>
        </w:rPr>
        <w:t xml:space="preserve">infection has been </w:t>
      </w:r>
      <w:r w:rsidR="00663D21">
        <w:rPr>
          <w:rFonts w:cs="Times New Roman"/>
          <w:szCs w:val="20"/>
        </w:rPr>
        <w:t xml:space="preserve">demonstrated </w:t>
      </w:r>
      <w:r w:rsidRPr="0043431B">
        <w:rPr>
          <w:rFonts w:cs="Times New Roman"/>
          <w:szCs w:val="20"/>
        </w:rPr>
        <w:t xml:space="preserve">by </w:t>
      </w:r>
      <w:r w:rsidR="00663D21">
        <w:rPr>
          <w:rFonts w:cs="Times New Roman"/>
          <w:szCs w:val="20"/>
        </w:rPr>
        <w:t>a natural route of transmission (i</w:t>
      </w:r>
      <w:r w:rsidRPr="0043431B">
        <w:rPr>
          <w:rFonts w:cs="Times New Roman"/>
          <w:szCs w:val="20"/>
        </w:rPr>
        <w:t>mmersion</w:t>
      </w:r>
      <w:r w:rsidR="00663D21">
        <w:rPr>
          <w:rFonts w:cs="Times New Roman"/>
          <w:szCs w:val="20"/>
        </w:rPr>
        <w:t>)</w:t>
      </w:r>
      <w:r w:rsidRPr="0043431B">
        <w:rPr>
          <w:rFonts w:cs="Times New Roman"/>
          <w:szCs w:val="20"/>
        </w:rPr>
        <w:t xml:space="preserve"> </w:t>
      </w:r>
      <w:r w:rsidR="004628D5">
        <w:rPr>
          <w:rFonts w:cs="Times New Roman"/>
          <w:szCs w:val="20"/>
        </w:rPr>
        <w:t>by</w:t>
      </w:r>
      <w:r w:rsidR="004F798A">
        <w:rPr>
          <w:rFonts w:cs="Times New Roman"/>
          <w:szCs w:val="20"/>
        </w:rPr>
        <w:t xml:space="preserve"> Cho </w:t>
      </w:r>
      <w:r w:rsidR="004F798A">
        <w:rPr>
          <w:rFonts w:cs="Times New Roman"/>
          <w:i/>
          <w:iCs/>
          <w:szCs w:val="20"/>
        </w:rPr>
        <w:t>et al</w:t>
      </w:r>
      <w:r w:rsidR="00663D21">
        <w:rPr>
          <w:rFonts w:cs="Times New Roman"/>
          <w:i/>
          <w:iCs/>
          <w:szCs w:val="20"/>
        </w:rPr>
        <w:t xml:space="preserve">. </w:t>
      </w:r>
      <w:r w:rsidR="00663D21" w:rsidRPr="00685B5C">
        <w:rPr>
          <w:rFonts w:cs="Times New Roman"/>
          <w:iCs/>
          <w:szCs w:val="20"/>
        </w:rPr>
        <w:t>(</w:t>
      </w:r>
      <w:r w:rsidR="00534C99" w:rsidRPr="00663D21">
        <w:rPr>
          <w:rFonts w:cs="Times New Roman"/>
          <w:szCs w:val="20"/>
        </w:rPr>
        <w:t>2019</w:t>
      </w:r>
      <w:r w:rsidR="00663D21">
        <w:rPr>
          <w:rFonts w:cs="Times New Roman"/>
          <w:szCs w:val="20"/>
        </w:rPr>
        <w:t>); however,</w:t>
      </w:r>
      <w:r w:rsidR="004628D5">
        <w:rPr>
          <w:rFonts w:cs="Times New Roman"/>
          <w:szCs w:val="20"/>
        </w:rPr>
        <w:t xml:space="preserve"> </w:t>
      </w:r>
      <w:r w:rsidR="00534C99">
        <w:rPr>
          <w:rFonts w:cs="Times New Roman"/>
          <w:szCs w:val="20"/>
        </w:rPr>
        <w:t xml:space="preserve">this study had </w:t>
      </w:r>
      <w:r w:rsidR="004628D5">
        <w:rPr>
          <w:rFonts w:cs="Times New Roman"/>
          <w:szCs w:val="20"/>
        </w:rPr>
        <w:t xml:space="preserve">been </w:t>
      </w:r>
      <w:r w:rsidR="002E74BC">
        <w:rPr>
          <w:rFonts w:cs="Times New Roman"/>
          <w:szCs w:val="20"/>
        </w:rPr>
        <w:t>inadvertently</w:t>
      </w:r>
      <w:r w:rsidR="002E74BC" w:rsidRPr="00534C99">
        <w:rPr>
          <w:rFonts w:cs="Times New Roman"/>
          <w:szCs w:val="20"/>
        </w:rPr>
        <w:t xml:space="preserve"> </w:t>
      </w:r>
      <w:r w:rsidR="004628D5">
        <w:rPr>
          <w:rFonts w:cs="Times New Roman"/>
          <w:szCs w:val="20"/>
        </w:rPr>
        <w:t>left out of</w:t>
      </w:r>
      <w:r w:rsidR="00534C99">
        <w:rPr>
          <w:rFonts w:cs="Times New Roman"/>
          <w:szCs w:val="20"/>
        </w:rPr>
        <w:t xml:space="preserve"> the </w:t>
      </w:r>
      <w:r w:rsidR="00534C99" w:rsidRPr="0043431B">
        <w:rPr>
          <w:rFonts w:cs="Times New Roman"/>
          <w:i/>
          <w:iCs/>
          <w:szCs w:val="20"/>
          <w:lang w:val="en-IE"/>
        </w:rPr>
        <w:t xml:space="preserve">ad hoc </w:t>
      </w:r>
      <w:r w:rsidR="00534C99" w:rsidRPr="0043431B">
        <w:rPr>
          <w:rFonts w:cs="Times New Roman"/>
          <w:szCs w:val="20"/>
          <w:lang w:val="en-IE"/>
        </w:rPr>
        <w:t>Group</w:t>
      </w:r>
      <w:r w:rsidR="00534C99">
        <w:rPr>
          <w:rFonts w:cs="Times New Roman"/>
          <w:szCs w:val="20"/>
          <w:lang w:val="en-IE"/>
        </w:rPr>
        <w:t>’s report</w:t>
      </w:r>
      <w:r w:rsidRPr="0043431B">
        <w:rPr>
          <w:rFonts w:cs="Times New Roman"/>
          <w:szCs w:val="20"/>
        </w:rPr>
        <w:t>.</w:t>
      </w:r>
      <w:r w:rsidR="00534C99" w:rsidRPr="0043431B" w:rsidDel="00534C99">
        <w:rPr>
          <w:rFonts w:cs="Times New Roman"/>
          <w:szCs w:val="20"/>
        </w:rPr>
        <w:t xml:space="preserve"> </w:t>
      </w:r>
      <w:r w:rsidR="00534C99">
        <w:rPr>
          <w:rFonts w:cs="Times New Roman"/>
          <w:szCs w:val="20"/>
        </w:rPr>
        <w:t>S</w:t>
      </w:r>
      <w:r w:rsidRPr="0043431B">
        <w:rPr>
          <w:rFonts w:cs="Times New Roman"/>
          <w:szCs w:val="20"/>
        </w:rPr>
        <w:t xml:space="preserve">pecies can meet the criteria for listing as susceptible based on experimental studies </w:t>
      </w:r>
      <w:r w:rsidR="007A31D9">
        <w:rPr>
          <w:rFonts w:cs="Times New Roman"/>
          <w:szCs w:val="20"/>
        </w:rPr>
        <w:t xml:space="preserve">but in such </w:t>
      </w:r>
      <w:r w:rsidRPr="0043431B">
        <w:rPr>
          <w:rFonts w:cs="Times New Roman"/>
          <w:szCs w:val="20"/>
        </w:rPr>
        <w:t>cases, consideration needs to be given to whether experimental procedures (e.g. injection, infective load) mimic natural pathways for disease transmission.</w:t>
      </w:r>
    </w:p>
    <w:p w14:paraId="4BA46F5E" w14:textId="79407AF1" w:rsidR="006E57F4" w:rsidRPr="0043431B" w:rsidRDefault="006E57F4" w:rsidP="00060F5F">
      <w:pPr>
        <w:spacing w:after="200" w:line="240" w:lineRule="auto"/>
        <w:ind w:left="1418"/>
        <w:jc w:val="both"/>
        <w:rPr>
          <w:rFonts w:cs="Times New Roman"/>
          <w:szCs w:val="20"/>
          <w:lang w:val="en-IE"/>
        </w:rPr>
      </w:pPr>
      <w:r w:rsidRPr="0043431B">
        <w:rPr>
          <w:rFonts w:cs="Times New Roman"/>
          <w:szCs w:val="20"/>
          <w:lang w:val="en-IE"/>
        </w:rPr>
        <w:t>In response to a comment</w:t>
      </w:r>
      <w:r w:rsidR="006B1E5E" w:rsidRPr="0043431B">
        <w:rPr>
          <w:rFonts w:cs="Times New Roman"/>
          <w:szCs w:val="20"/>
          <w:lang w:val="en-IE"/>
        </w:rPr>
        <w:t xml:space="preserve"> </w:t>
      </w:r>
      <w:r w:rsidR="00B91E49" w:rsidRPr="0043431B">
        <w:rPr>
          <w:rFonts w:cs="Times New Roman"/>
          <w:szCs w:val="20"/>
          <w:lang w:val="en-IE"/>
        </w:rPr>
        <w:t>about the interpretation of the application of the criteria</w:t>
      </w:r>
      <w:r w:rsidR="007A31D9">
        <w:rPr>
          <w:rFonts w:cs="Times New Roman"/>
          <w:szCs w:val="20"/>
          <w:lang w:val="en-IE"/>
        </w:rPr>
        <w:t xml:space="preserve"> </w:t>
      </w:r>
      <w:r w:rsidR="007A31D9">
        <w:rPr>
          <w:rFonts w:cs="Times New Roman"/>
          <w:szCs w:val="20"/>
        </w:rPr>
        <w:t xml:space="preserve">for listing </w:t>
      </w:r>
      <w:r w:rsidR="00E30B90">
        <w:rPr>
          <w:rFonts w:cs="Times New Roman"/>
          <w:szCs w:val="20"/>
        </w:rPr>
        <w:t xml:space="preserve">species </w:t>
      </w:r>
      <w:r w:rsidR="007A31D9">
        <w:rPr>
          <w:rFonts w:cs="Times New Roman"/>
          <w:szCs w:val="20"/>
        </w:rPr>
        <w:t>as susceptible</w:t>
      </w:r>
      <w:r w:rsidRPr="0043431B">
        <w:rPr>
          <w:rFonts w:cs="Times New Roman"/>
          <w:szCs w:val="20"/>
          <w:lang w:val="en-IE"/>
        </w:rPr>
        <w:t xml:space="preserve">, the </w:t>
      </w:r>
      <w:r w:rsidR="001A3C31" w:rsidRPr="0043431B">
        <w:rPr>
          <w:rFonts w:cs="Times New Roman"/>
          <w:szCs w:val="20"/>
        </w:rPr>
        <w:t xml:space="preserve">Commission </w:t>
      </w:r>
      <w:r w:rsidR="006B1E5E" w:rsidRPr="0043431B">
        <w:rPr>
          <w:rFonts w:cs="Times New Roman"/>
          <w:szCs w:val="20"/>
          <w:lang w:val="en-IE"/>
        </w:rPr>
        <w:t xml:space="preserve">acknowledged </w:t>
      </w:r>
      <w:r w:rsidRPr="0043431B">
        <w:rPr>
          <w:rFonts w:cs="Times New Roman"/>
          <w:szCs w:val="20"/>
          <w:lang w:val="en-IE"/>
        </w:rPr>
        <w:t>that</w:t>
      </w:r>
      <w:r w:rsidR="00130658" w:rsidRPr="0043431B">
        <w:rPr>
          <w:rFonts w:cs="Times New Roman"/>
          <w:szCs w:val="20"/>
          <w:lang w:val="en-IE"/>
        </w:rPr>
        <w:t>,</w:t>
      </w:r>
      <w:r w:rsidRPr="0043431B">
        <w:rPr>
          <w:rFonts w:cs="Times New Roman"/>
          <w:szCs w:val="20"/>
          <w:lang w:val="en-IE"/>
        </w:rPr>
        <w:t xml:space="preserve"> </w:t>
      </w:r>
      <w:r w:rsidR="006B1E5E" w:rsidRPr="0043431B">
        <w:rPr>
          <w:rFonts w:cs="Times New Roman"/>
          <w:szCs w:val="20"/>
          <w:lang w:val="en-IE"/>
        </w:rPr>
        <w:t xml:space="preserve">although </w:t>
      </w:r>
      <w:r w:rsidRPr="0043431B">
        <w:rPr>
          <w:rFonts w:cs="Times New Roman"/>
          <w:szCs w:val="20"/>
          <w:lang w:val="en-IE"/>
        </w:rPr>
        <w:t xml:space="preserve">the interpretation of evidence required to </w:t>
      </w:r>
      <w:r w:rsidR="007A31D9">
        <w:rPr>
          <w:rFonts w:cs="Times New Roman"/>
          <w:szCs w:val="20"/>
          <w:lang w:val="en-IE"/>
        </w:rPr>
        <w:t>assess</w:t>
      </w:r>
      <w:r w:rsidR="007A31D9" w:rsidRPr="0043431B">
        <w:rPr>
          <w:rFonts w:cs="Times New Roman"/>
          <w:szCs w:val="20"/>
          <w:lang w:val="en-IE"/>
        </w:rPr>
        <w:t xml:space="preserve"> </w:t>
      </w:r>
      <w:r w:rsidRPr="0043431B">
        <w:rPr>
          <w:rFonts w:cs="Times New Roman"/>
          <w:szCs w:val="20"/>
          <w:lang w:val="en-IE"/>
        </w:rPr>
        <w:t xml:space="preserve">a species as susceptible had not changed, </w:t>
      </w:r>
      <w:r w:rsidR="006B1E5E" w:rsidRPr="0043431B">
        <w:rPr>
          <w:rFonts w:cs="Times New Roman"/>
          <w:szCs w:val="20"/>
          <w:lang w:val="en-IE"/>
        </w:rPr>
        <w:t xml:space="preserve">it agreed </w:t>
      </w:r>
      <w:r w:rsidRPr="0043431B">
        <w:rPr>
          <w:rFonts w:cs="Times New Roman"/>
          <w:szCs w:val="20"/>
          <w:lang w:val="en-IE"/>
        </w:rPr>
        <w:t xml:space="preserve">that it had not been sufficiently described in previous reports. </w:t>
      </w:r>
      <w:r w:rsidR="006B1E5E" w:rsidRPr="0043431B">
        <w:rPr>
          <w:rFonts w:cs="Times New Roman"/>
          <w:szCs w:val="20"/>
          <w:lang w:val="en-IE"/>
        </w:rPr>
        <w:t>The Commission emphasised that, as noted in the</w:t>
      </w:r>
      <w:r w:rsidRPr="0043431B">
        <w:rPr>
          <w:rFonts w:cs="Times New Roman"/>
          <w:szCs w:val="20"/>
          <w:lang w:val="en-IE"/>
        </w:rPr>
        <w:t xml:space="preserve"> </w:t>
      </w:r>
      <w:r w:rsidR="006F247B" w:rsidRPr="0043431B">
        <w:rPr>
          <w:rFonts w:cs="Times New Roman"/>
          <w:szCs w:val="20"/>
          <w:lang w:val="en-IE"/>
        </w:rPr>
        <w:t>September 2019</w:t>
      </w:r>
      <w:r w:rsidRPr="0043431B">
        <w:rPr>
          <w:rFonts w:cs="Times New Roman"/>
          <w:szCs w:val="20"/>
          <w:lang w:val="en-IE"/>
        </w:rPr>
        <w:t xml:space="preserve"> report</w:t>
      </w:r>
      <w:r w:rsidR="006B1E5E" w:rsidRPr="0043431B">
        <w:rPr>
          <w:rFonts w:cs="Times New Roman"/>
          <w:szCs w:val="20"/>
          <w:lang w:val="en-IE"/>
        </w:rPr>
        <w:t xml:space="preserve"> of </w:t>
      </w:r>
      <w:r w:rsidRPr="0043431B">
        <w:rPr>
          <w:rFonts w:cs="Times New Roman"/>
          <w:szCs w:val="20"/>
          <w:lang w:val="en-IE"/>
        </w:rPr>
        <w:t xml:space="preserve">the </w:t>
      </w:r>
      <w:r w:rsidRPr="0043431B">
        <w:rPr>
          <w:rFonts w:cs="Times New Roman"/>
          <w:i/>
          <w:iCs/>
          <w:szCs w:val="20"/>
          <w:lang w:val="en-IE"/>
        </w:rPr>
        <w:t>ad</w:t>
      </w:r>
      <w:r w:rsidRPr="0043431B">
        <w:rPr>
          <w:rFonts w:cs="Times New Roman"/>
          <w:szCs w:val="20"/>
          <w:lang w:val="en-IE"/>
        </w:rPr>
        <w:t xml:space="preserve"> </w:t>
      </w:r>
      <w:r w:rsidRPr="0043431B">
        <w:rPr>
          <w:rFonts w:cs="Times New Roman"/>
          <w:i/>
          <w:iCs/>
          <w:szCs w:val="20"/>
          <w:lang w:val="en-IE"/>
        </w:rPr>
        <w:t>hoc</w:t>
      </w:r>
      <w:r w:rsidRPr="0043431B">
        <w:rPr>
          <w:rFonts w:cs="Times New Roman"/>
          <w:szCs w:val="20"/>
          <w:lang w:val="en-IE"/>
        </w:rPr>
        <w:t xml:space="preserve"> Group </w:t>
      </w:r>
      <w:r w:rsidRPr="0043431B">
        <w:rPr>
          <w:rFonts w:cs="Times New Roman"/>
          <w:szCs w:val="20"/>
        </w:rPr>
        <w:t>on Susceptibility of fish species to infection with OIE listed diseases</w:t>
      </w:r>
      <w:r w:rsidR="007A31D9">
        <w:rPr>
          <w:rFonts w:cs="Times New Roman"/>
          <w:szCs w:val="20"/>
        </w:rPr>
        <w:t>,</w:t>
      </w:r>
      <w:r w:rsidRPr="0043431B">
        <w:rPr>
          <w:rFonts w:cs="Times New Roman"/>
          <w:szCs w:val="20"/>
          <w:lang w:val="en-IE"/>
        </w:rPr>
        <w:t xml:space="preserve"> if only a single study provided evidence for susceptibility of a species, some form of corroborating evidence was </w:t>
      </w:r>
      <w:r w:rsidR="00160C98" w:rsidRPr="0043431B">
        <w:rPr>
          <w:rFonts w:cs="Times New Roman"/>
          <w:szCs w:val="20"/>
          <w:lang w:val="en-IE"/>
        </w:rPr>
        <w:t xml:space="preserve">also </w:t>
      </w:r>
      <w:r w:rsidRPr="0043431B">
        <w:rPr>
          <w:rFonts w:cs="Times New Roman"/>
          <w:szCs w:val="20"/>
          <w:lang w:val="en-IE"/>
        </w:rPr>
        <w:t>required</w:t>
      </w:r>
      <w:r w:rsidR="004D1B9B">
        <w:rPr>
          <w:rFonts w:cs="Times New Roman"/>
          <w:szCs w:val="20"/>
          <w:lang w:val="en-IE"/>
        </w:rPr>
        <w:t xml:space="preserve"> to satisfy the criteria for susceptibility. Corroborating evidence may be found </w:t>
      </w:r>
      <w:r w:rsidR="004D1B9B" w:rsidRPr="0043431B">
        <w:rPr>
          <w:rFonts w:cs="Times New Roman"/>
          <w:szCs w:val="20"/>
          <w:lang w:val="en-IE"/>
        </w:rPr>
        <w:t>either within the scientific reference paper or in other papers</w:t>
      </w:r>
      <w:r w:rsidR="004D1B9B">
        <w:rPr>
          <w:rFonts w:cs="Times New Roman"/>
          <w:szCs w:val="20"/>
          <w:lang w:val="en-IE"/>
        </w:rPr>
        <w:t>.</w:t>
      </w:r>
    </w:p>
    <w:bookmarkEnd w:id="23"/>
    <w:p w14:paraId="14818387" w14:textId="77777777" w:rsidR="00831075" w:rsidRDefault="00831075" w:rsidP="004D1B9B">
      <w:pPr>
        <w:spacing w:after="240" w:line="240" w:lineRule="auto"/>
        <w:ind w:left="1440"/>
        <w:jc w:val="both"/>
        <w:rPr>
          <w:rFonts w:cs="Times New Roman"/>
          <w:szCs w:val="20"/>
          <w:lang w:val="en-IE"/>
        </w:rPr>
      </w:pPr>
      <w:r>
        <w:rPr>
          <w:rFonts w:cs="Times New Roman"/>
          <w:szCs w:val="20"/>
          <w:lang w:val="en-IE"/>
        </w:rPr>
        <w:br w:type="page"/>
      </w:r>
    </w:p>
    <w:p w14:paraId="7E515258" w14:textId="28746633" w:rsidR="006E57F4" w:rsidRPr="0043431B" w:rsidRDefault="006E57F4" w:rsidP="004D1B9B">
      <w:pPr>
        <w:spacing w:after="240" w:line="240" w:lineRule="auto"/>
        <w:ind w:left="1440"/>
        <w:jc w:val="both"/>
        <w:rPr>
          <w:rFonts w:cs="Times New Roman"/>
          <w:szCs w:val="20"/>
        </w:rPr>
      </w:pPr>
      <w:r w:rsidRPr="0043431B">
        <w:rPr>
          <w:rFonts w:cs="Times New Roman"/>
          <w:szCs w:val="20"/>
          <w:lang w:val="en-IE"/>
        </w:rPr>
        <w:lastRenderedPageBreak/>
        <w:t xml:space="preserve">Several Members commented on the </w:t>
      </w:r>
      <w:r w:rsidR="004D1B9B">
        <w:rPr>
          <w:rFonts w:cs="Times New Roman"/>
          <w:szCs w:val="20"/>
          <w:lang w:val="en-IE"/>
        </w:rPr>
        <w:t>listing</w:t>
      </w:r>
      <w:r w:rsidR="004D1B9B" w:rsidRPr="0043431B">
        <w:rPr>
          <w:rFonts w:cs="Times New Roman"/>
          <w:szCs w:val="20"/>
          <w:lang w:val="en-IE"/>
        </w:rPr>
        <w:t xml:space="preserve"> </w:t>
      </w:r>
      <w:r w:rsidRPr="0043431B">
        <w:rPr>
          <w:rFonts w:cs="Times New Roman"/>
          <w:szCs w:val="20"/>
          <w:lang w:val="en-IE"/>
        </w:rPr>
        <w:t xml:space="preserve">of </w:t>
      </w:r>
      <w:r w:rsidR="004D1B9B">
        <w:rPr>
          <w:rFonts w:cs="Times New Roman"/>
          <w:szCs w:val="20"/>
          <w:lang w:val="en-IE"/>
        </w:rPr>
        <w:t xml:space="preserve">VHSV </w:t>
      </w:r>
      <w:r w:rsidRPr="0043431B">
        <w:rPr>
          <w:rFonts w:cs="Times New Roman"/>
          <w:szCs w:val="20"/>
          <w:lang w:val="en-IE"/>
        </w:rPr>
        <w:t xml:space="preserve">genotypes </w:t>
      </w:r>
      <w:r w:rsidR="004D1B9B">
        <w:rPr>
          <w:rFonts w:cs="Times New Roman"/>
          <w:szCs w:val="20"/>
          <w:lang w:val="en-IE"/>
        </w:rPr>
        <w:t xml:space="preserve">in the table of susceptible species in </w:t>
      </w:r>
      <w:r w:rsidR="00060F5F">
        <w:rPr>
          <w:rFonts w:cs="Times New Roman"/>
          <w:szCs w:val="20"/>
          <w:lang w:val="en-IE"/>
        </w:rPr>
        <w:t>A</w:t>
      </w:r>
      <w:r w:rsidR="004D1B9B">
        <w:rPr>
          <w:rFonts w:cs="Times New Roman"/>
          <w:szCs w:val="20"/>
          <w:lang w:val="en-IE"/>
        </w:rPr>
        <w:t xml:space="preserve">rticle 10.10.2. </w:t>
      </w:r>
      <w:r w:rsidRPr="0043431B">
        <w:rPr>
          <w:rFonts w:cs="Times New Roman"/>
          <w:szCs w:val="20"/>
        </w:rPr>
        <w:t xml:space="preserve">The </w:t>
      </w:r>
      <w:r w:rsidR="001A3C31" w:rsidRPr="0043431B">
        <w:rPr>
          <w:rFonts w:cs="Times New Roman"/>
          <w:szCs w:val="20"/>
        </w:rPr>
        <w:t xml:space="preserve">Commission </w:t>
      </w:r>
      <w:r w:rsidRPr="0043431B">
        <w:rPr>
          <w:rFonts w:cs="Times New Roman"/>
          <w:szCs w:val="20"/>
        </w:rPr>
        <w:t xml:space="preserve">agreed </w:t>
      </w:r>
      <w:r w:rsidR="004D1B9B">
        <w:rPr>
          <w:rFonts w:cs="Times New Roman"/>
          <w:szCs w:val="20"/>
        </w:rPr>
        <w:t xml:space="preserve">to remove </w:t>
      </w:r>
      <w:r w:rsidRPr="0043431B">
        <w:rPr>
          <w:rFonts w:cs="Times New Roman"/>
          <w:szCs w:val="20"/>
        </w:rPr>
        <w:t xml:space="preserve">genotypes </w:t>
      </w:r>
      <w:r w:rsidR="004D1B9B">
        <w:rPr>
          <w:rFonts w:cs="Times New Roman"/>
          <w:szCs w:val="20"/>
        </w:rPr>
        <w:t xml:space="preserve">from the table </w:t>
      </w:r>
      <w:r w:rsidRPr="0043431B">
        <w:rPr>
          <w:rFonts w:cs="Times New Roman"/>
          <w:szCs w:val="20"/>
        </w:rPr>
        <w:t xml:space="preserve">because </w:t>
      </w:r>
      <w:r w:rsidR="004D1B9B">
        <w:rPr>
          <w:rFonts w:cs="Times New Roman"/>
          <w:szCs w:val="20"/>
        </w:rPr>
        <w:t>knowledge of species susceptibility by genotypes was incomplete and the</w:t>
      </w:r>
      <w:r w:rsidRPr="0043431B">
        <w:rPr>
          <w:rFonts w:cs="Times New Roman"/>
          <w:szCs w:val="20"/>
        </w:rPr>
        <w:t xml:space="preserve"> information was</w:t>
      </w:r>
      <w:r w:rsidR="004D1B9B">
        <w:rPr>
          <w:rFonts w:cs="Times New Roman"/>
          <w:szCs w:val="20"/>
        </w:rPr>
        <w:t xml:space="preserve"> not relevant </w:t>
      </w:r>
      <w:r w:rsidRPr="0043431B">
        <w:rPr>
          <w:rFonts w:cs="Times New Roman"/>
          <w:szCs w:val="20"/>
        </w:rPr>
        <w:t>for trade purposes. Any differentiation of trade measures based on genotype would require</w:t>
      </w:r>
      <w:r w:rsidR="00663D21">
        <w:rPr>
          <w:rFonts w:cs="Times New Roman"/>
          <w:szCs w:val="20"/>
        </w:rPr>
        <w:t xml:space="preserve"> that</w:t>
      </w:r>
      <w:r w:rsidR="003669EF">
        <w:rPr>
          <w:rFonts w:cs="Times New Roman"/>
          <w:szCs w:val="20"/>
        </w:rPr>
        <w:t xml:space="preserve"> the case for </w:t>
      </w:r>
      <w:r w:rsidR="00663D21">
        <w:rPr>
          <w:rFonts w:cs="Times New Roman"/>
          <w:szCs w:val="20"/>
        </w:rPr>
        <w:t xml:space="preserve">VHSV </w:t>
      </w:r>
      <w:r w:rsidR="003669EF">
        <w:rPr>
          <w:rFonts w:cs="Times New Roman"/>
          <w:szCs w:val="20"/>
        </w:rPr>
        <w:t>strain</w:t>
      </w:r>
      <w:r w:rsidR="00663D21">
        <w:rPr>
          <w:rFonts w:cs="Times New Roman"/>
          <w:szCs w:val="20"/>
        </w:rPr>
        <w:t xml:space="preserve"> differentiation </w:t>
      </w:r>
      <w:r w:rsidR="003669EF">
        <w:rPr>
          <w:rFonts w:cs="Times New Roman"/>
          <w:szCs w:val="20"/>
        </w:rPr>
        <w:t>be assessed</w:t>
      </w:r>
      <w:r w:rsidRPr="0043431B">
        <w:rPr>
          <w:rFonts w:cs="Times New Roman"/>
          <w:szCs w:val="20"/>
        </w:rPr>
        <w:t xml:space="preserve"> </w:t>
      </w:r>
      <w:r w:rsidR="003E3BF8">
        <w:rPr>
          <w:rFonts w:cs="Times New Roman"/>
          <w:szCs w:val="20"/>
        </w:rPr>
        <w:t xml:space="preserve">by the Commission </w:t>
      </w:r>
      <w:r w:rsidR="003669EF">
        <w:rPr>
          <w:rFonts w:cs="Times New Roman"/>
          <w:szCs w:val="20"/>
        </w:rPr>
        <w:t xml:space="preserve">using the </w:t>
      </w:r>
      <w:r w:rsidRPr="0043431B">
        <w:rPr>
          <w:rFonts w:cs="Times New Roman"/>
          <w:szCs w:val="20"/>
        </w:rPr>
        <w:t>approach that the Commission</w:t>
      </w:r>
      <w:r w:rsidR="003669EF">
        <w:rPr>
          <w:rFonts w:cs="Times New Roman"/>
          <w:szCs w:val="20"/>
        </w:rPr>
        <w:t xml:space="preserve"> </w:t>
      </w:r>
      <w:r w:rsidR="003E3BF8">
        <w:rPr>
          <w:rFonts w:cs="Times New Roman"/>
          <w:szCs w:val="20"/>
        </w:rPr>
        <w:t xml:space="preserve">had </w:t>
      </w:r>
      <w:r w:rsidRPr="0043431B">
        <w:rPr>
          <w:rFonts w:cs="Times New Roman"/>
          <w:szCs w:val="20"/>
        </w:rPr>
        <w:t xml:space="preserve">previously applied to ISAV. </w:t>
      </w:r>
    </w:p>
    <w:p w14:paraId="10D0FB13" w14:textId="4B790A45" w:rsidR="006E57F4" w:rsidRPr="0043431B" w:rsidRDefault="00B4304C" w:rsidP="00F47555">
      <w:pPr>
        <w:spacing w:after="240" w:line="240" w:lineRule="auto"/>
        <w:ind w:left="1440"/>
        <w:jc w:val="both"/>
        <w:rPr>
          <w:rFonts w:cs="Times New Roman"/>
          <w:szCs w:val="20"/>
        </w:rPr>
      </w:pPr>
      <w:r>
        <w:rPr>
          <w:rFonts w:cs="Times New Roman"/>
          <w:szCs w:val="20"/>
        </w:rPr>
        <w:t>However, t</w:t>
      </w:r>
      <w:r w:rsidRPr="0043431B">
        <w:rPr>
          <w:rFonts w:cs="Times New Roman"/>
          <w:szCs w:val="20"/>
        </w:rPr>
        <w:t xml:space="preserve">he </w:t>
      </w:r>
      <w:r w:rsidR="001A3C31" w:rsidRPr="0043431B">
        <w:rPr>
          <w:rFonts w:cs="Times New Roman"/>
          <w:szCs w:val="20"/>
        </w:rPr>
        <w:t>Commission</w:t>
      </w:r>
      <w:r w:rsidR="00160C98" w:rsidRPr="0043431B">
        <w:rPr>
          <w:rFonts w:cs="Times New Roman"/>
          <w:szCs w:val="20"/>
        </w:rPr>
        <w:t xml:space="preserve"> </w:t>
      </w:r>
      <w:r w:rsidR="000D32A5">
        <w:rPr>
          <w:rFonts w:cs="Times New Roman"/>
          <w:szCs w:val="20"/>
        </w:rPr>
        <w:t>agreed</w:t>
      </w:r>
      <w:r w:rsidR="000D32A5" w:rsidRPr="0043431B">
        <w:rPr>
          <w:rFonts w:cs="Times New Roman"/>
          <w:szCs w:val="20"/>
        </w:rPr>
        <w:t xml:space="preserve"> </w:t>
      </w:r>
      <w:r w:rsidR="006E57F4" w:rsidRPr="0043431B">
        <w:rPr>
          <w:rFonts w:cs="Times New Roman"/>
          <w:szCs w:val="20"/>
        </w:rPr>
        <w:t xml:space="preserve">that </w:t>
      </w:r>
      <w:r w:rsidR="003669EF">
        <w:rPr>
          <w:rFonts w:cs="Times New Roman"/>
          <w:szCs w:val="20"/>
        </w:rPr>
        <w:t xml:space="preserve">information on </w:t>
      </w:r>
      <w:r w:rsidR="006E57F4" w:rsidRPr="0043431B">
        <w:rPr>
          <w:rFonts w:cs="Times New Roman"/>
          <w:szCs w:val="20"/>
        </w:rPr>
        <w:t xml:space="preserve">VHSV genotypes should be included in the </w:t>
      </w:r>
      <w:r>
        <w:rPr>
          <w:rFonts w:cs="Times New Roman"/>
          <w:szCs w:val="20"/>
        </w:rPr>
        <w:t xml:space="preserve">VHSV </w:t>
      </w:r>
      <w:r w:rsidRPr="0043431B">
        <w:rPr>
          <w:rFonts w:cs="Times New Roman"/>
          <w:szCs w:val="20"/>
        </w:rPr>
        <w:t xml:space="preserve">chapter of the </w:t>
      </w:r>
      <w:r w:rsidRPr="0043431B">
        <w:rPr>
          <w:rFonts w:cs="Times New Roman"/>
          <w:i/>
          <w:iCs/>
          <w:szCs w:val="20"/>
        </w:rPr>
        <w:t>Aquatic Manual</w:t>
      </w:r>
      <w:r w:rsidRPr="0043431B">
        <w:rPr>
          <w:rFonts w:cs="Times New Roman"/>
          <w:szCs w:val="20"/>
        </w:rPr>
        <w:t xml:space="preserve"> </w:t>
      </w:r>
      <w:r>
        <w:rPr>
          <w:rFonts w:cs="Times New Roman"/>
          <w:szCs w:val="20"/>
        </w:rPr>
        <w:t xml:space="preserve">in the </w:t>
      </w:r>
      <w:r w:rsidR="006E57F4" w:rsidRPr="0043431B">
        <w:rPr>
          <w:rFonts w:cs="Times New Roman"/>
          <w:szCs w:val="20"/>
        </w:rPr>
        <w:t xml:space="preserve">list of </w:t>
      </w:r>
      <w:r w:rsidR="00060F5F">
        <w:rPr>
          <w:rFonts w:cs="Times New Roman"/>
          <w:szCs w:val="20"/>
        </w:rPr>
        <w:t>susceptible species (2.2.1</w:t>
      </w:r>
      <w:r w:rsidR="003669EF">
        <w:rPr>
          <w:rFonts w:cs="Times New Roman"/>
          <w:szCs w:val="20"/>
        </w:rPr>
        <w:t xml:space="preserve">) and </w:t>
      </w:r>
      <w:r>
        <w:rPr>
          <w:rFonts w:cs="Times New Roman"/>
          <w:szCs w:val="20"/>
        </w:rPr>
        <w:t xml:space="preserve">the list of </w:t>
      </w:r>
      <w:r w:rsidR="006E57F4" w:rsidRPr="0043431B">
        <w:rPr>
          <w:rFonts w:cs="Times New Roman"/>
          <w:szCs w:val="20"/>
        </w:rPr>
        <w:t>species</w:t>
      </w:r>
      <w:r w:rsidR="000D32A5" w:rsidRPr="000D32A5">
        <w:t xml:space="preserve"> </w:t>
      </w:r>
      <w:r w:rsidR="000D32A5">
        <w:t>w</w:t>
      </w:r>
      <w:r w:rsidR="000D32A5" w:rsidRPr="000D32A5">
        <w:rPr>
          <w:rFonts w:cs="Times New Roman"/>
          <w:szCs w:val="20"/>
        </w:rPr>
        <w:t>ith incomplete evidence for susceptibility</w:t>
      </w:r>
      <w:r w:rsidR="003669EF">
        <w:rPr>
          <w:rFonts w:cs="Times New Roman"/>
          <w:szCs w:val="20"/>
        </w:rPr>
        <w:t xml:space="preserve"> (</w:t>
      </w:r>
      <w:r w:rsidR="004729FD" w:rsidRPr="0043431B">
        <w:rPr>
          <w:rFonts w:cs="Times New Roman"/>
          <w:szCs w:val="20"/>
        </w:rPr>
        <w:t>2.2.2</w:t>
      </w:r>
      <w:r w:rsidR="003669EF">
        <w:rPr>
          <w:rFonts w:cs="Times New Roman"/>
          <w:szCs w:val="20"/>
        </w:rPr>
        <w:t>)</w:t>
      </w:r>
      <w:r w:rsidR="006E57F4" w:rsidRPr="0043431B">
        <w:rPr>
          <w:rFonts w:cs="Times New Roman"/>
          <w:szCs w:val="20"/>
        </w:rPr>
        <w:t>, as this is valuable epidemiological information. The</w:t>
      </w:r>
      <w:r w:rsidR="000D32A5">
        <w:rPr>
          <w:rFonts w:cs="Times New Roman"/>
          <w:szCs w:val="20"/>
        </w:rPr>
        <w:t xml:space="preserve"> Commission noted that the </w:t>
      </w:r>
      <w:r w:rsidR="006E57F4" w:rsidRPr="0043431B">
        <w:rPr>
          <w:rFonts w:cs="Times New Roman"/>
          <w:i/>
          <w:iCs/>
          <w:szCs w:val="20"/>
        </w:rPr>
        <w:t>Aquatic Manual</w:t>
      </w:r>
      <w:r w:rsidR="006E57F4" w:rsidRPr="0043431B">
        <w:rPr>
          <w:rFonts w:cs="Times New Roman"/>
          <w:szCs w:val="20"/>
        </w:rPr>
        <w:t xml:space="preserve"> </w:t>
      </w:r>
      <w:r w:rsidR="000D32A5">
        <w:rPr>
          <w:rFonts w:cs="Times New Roman"/>
          <w:szCs w:val="20"/>
        </w:rPr>
        <w:t>C</w:t>
      </w:r>
      <w:r w:rsidR="006E57F4" w:rsidRPr="0043431B">
        <w:rPr>
          <w:rFonts w:cs="Times New Roman"/>
          <w:szCs w:val="20"/>
        </w:rPr>
        <w:t xml:space="preserve">hapter </w:t>
      </w:r>
      <w:r w:rsidR="000D32A5">
        <w:rPr>
          <w:rFonts w:cs="Times New Roman"/>
          <w:szCs w:val="20"/>
        </w:rPr>
        <w:t xml:space="preserve">2.3.10, </w:t>
      </w:r>
      <w:r w:rsidR="000D32A5" w:rsidRPr="000D32A5">
        <w:rPr>
          <w:rFonts w:cs="Times New Roman"/>
          <w:szCs w:val="20"/>
        </w:rPr>
        <w:t>Viral haemorrhagic septicaemia</w:t>
      </w:r>
      <w:r w:rsidR="00D73705">
        <w:rPr>
          <w:rFonts w:cs="Times New Roman"/>
          <w:szCs w:val="20"/>
        </w:rPr>
        <w:t>,</w:t>
      </w:r>
      <w:r w:rsidR="000D32A5" w:rsidRPr="000D32A5" w:rsidDel="000D32A5">
        <w:rPr>
          <w:rFonts w:cs="Times New Roman"/>
          <w:szCs w:val="20"/>
        </w:rPr>
        <w:t xml:space="preserve"> </w:t>
      </w:r>
      <w:r w:rsidR="006E57F4" w:rsidRPr="0043431B">
        <w:rPr>
          <w:rFonts w:cs="Times New Roman"/>
          <w:szCs w:val="20"/>
        </w:rPr>
        <w:t xml:space="preserve">is currently being reformatted into the new template and the list of genotypes will be checked in accordance with </w:t>
      </w:r>
      <w:r w:rsidR="000D32A5">
        <w:rPr>
          <w:rFonts w:cs="Times New Roman"/>
          <w:szCs w:val="20"/>
        </w:rPr>
        <w:t>this proposal</w:t>
      </w:r>
      <w:r w:rsidR="00D73705">
        <w:rPr>
          <w:rFonts w:cs="Times New Roman"/>
          <w:szCs w:val="20"/>
        </w:rPr>
        <w:t xml:space="preserve"> by the OIE Secretariat</w:t>
      </w:r>
      <w:r w:rsidR="006E57F4" w:rsidRPr="0043431B">
        <w:rPr>
          <w:rFonts w:cs="Times New Roman"/>
          <w:szCs w:val="20"/>
        </w:rPr>
        <w:t xml:space="preserve">. </w:t>
      </w:r>
    </w:p>
    <w:p w14:paraId="3C3CBA2E" w14:textId="176FB04E" w:rsidR="00AF17A2" w:rsidRPr="0043431B" w:rsidRDefault="004729FD" w:rsidP="00AF17A2">
      <w:pPr>
        <w:spacing w:after="240" w:line="240" w:lineRule="auto"/>
        <w:ind w:left="1440"/>
        <w:jc w:val="both"/>
        <w:rPr>
          <w:rFonts w:cs="Times New Roman"/>
          <w:szCs w:val="20"/>
        </w:rPr>
      </w:pPr>
      <w:r w:rsidRPr="0043431B">
        <w:rPr>
          <w:rFonts w:cs="Times New Roman"/>
          <w:szCs w:val="20"/>
        </w:rPr>
        <w:t>T</w:t>
      </w:r>
      <w:r w:rsidR="00AF17A2" w:rsidRPr="0043431B">
        <w:rPr>
          <w:rFonts w:cs="Times New Roman"/>
          <w:szCs w:val="20"/>
        </w:rPr>
        <w:t xml:space="preserve">he Commission decided to clearly mark when there is </w:t>
      </w:r>
      <w:r w:rsidR="003E3BF8">
        <w:rPr>
          <w:rFonts w:cs="Times New Roman"/>
          <w:szCs w:val="20"/>
        </w:rPr>
        <w:t xml:space="preserve">a </w:t>
      </w:r>
      <w:r w:rsidR="00AF17A2" w:rsidRPr="0043431B">
        <w:rPr>
          <w:rFonts w:cs="Times New Roman"/>
          <w:szCs w:val="20"/>
        </w:rPr>
        <w:t xml:space="preserve">lack of information about genotype for a susceptible species to avoid confusion. </w:t>
      </w:r>
    </w:p>
    <w:p w14:paraId="00BF4BFC" w14:textId="64C592CF" w:rsidR="006E57F4" w:rsidRPr="0043431B" w:rsidRDefault="004729FD" w:rsidP="00F47555">
      <w:pPr>
        <w:spacing w:after="240" w:line="240" w:lineRule="auto"/>
        <w:ind w:left="1440"/>
        <w:jc w:val="both"/>
        <w:rPr>
          <w:rFonts w:cs="Times New Roman"/>
          <w:szCs w:val="20"/>
        </w:rPr>
      </w:pPr>
      <w:r w:rsidRPr="0043431B">
        <w:rPr>
          <w:rFonts w:cs="Times New Roman"/>
          <w:szCs w:val="20"/>
        </w:rPr>
        <w:t>T</w:t>
      </w:r>
      <w:r w:rsidR="006E57F4" w:rsidRPr="0043431B">
        <w:rPr>
          <w:rFonts w:cs="Times New Roman"/>
          <w:szCs w:val="20"/>
        </w:rPr>
        <w:t xml:space="preserve">he </w:t>
      </w:r>
      <w:r w:rsidR="001A3C31" w:rsidRPr="0043431B">
        <w:rPr>
          <w:rFonts w:cs="Times New Roman"/>
          <w:szCs w:val="20"/>
        </w:rPr>
        <w:t xml:space="preserve">Commission </w:t>
      </w:r>
      <w:r w:rsidR="00160C98" w:rsidRPr="0043431B">
        <w:rPr>
          <w:rFonts w:cs="Times New Roman"/>
          <w:szCs w:val="20"/>
        </w:rPr>
        <w:t xml:space="preserve">requested </w:t>
      </w:r>
      <w:r w:rsidR="006E57F4" w:rsidRPr="0043431B">
        <w:rPr>
          <w:rFonts w:cs="Times New Roman"/>
          <w:szCs w:val="20"/>
        </w:rPr>
        <w:t xml:space="preserve">the OIE Secretariat to review the </w:t>
      </w:r>
      <w:r w:rsidRPr="0043431B">
        <w:rPr>
          <w:rFonts w:cs="Times New Roman"/>
          <w:szCs w:val="20"/>
        </w:rPr>
        <w:t xml:space="preserve">list of references in the </w:t>
      </w:r>
      <w:r w:rsidRPr="0043431B">
        <w:rPr>
          <w:rFonts w:cs="Times New Roman"/>
          <w:i/>
          <w:iCs/>
          <w:szCs w:val="20"/>
        </w:rPr>
        <w:t>ad hoc</w:t>
      </w:r>
      <w:r w:rsidRPr="0043431B">
        <w:rPr>
          <w:rFonts w:cs="Times New Roman"/>
          <w:szCs w:val="20"/>
        </w:rPr>
        <w:t xml:space="preserve"> Group </w:t>
      </w:r>
      <w:r w:rsidR="006E57F4" w:rsidRPr="0043431B">
        <w:rPr>
          <w:rFonts w:cs="Times New Roman"/>
          <w:szCs w:val="20"/>
        </w:rPr>
        <w:t>report</w:t>
      </w:r>
      <w:r w:rsidRPr="0043431B">
        <w:rPr>
          <w:rFonts w:cs="Times New Roman"/>
          <w:szCs w:val="20"/>
        </w:rPr>
        <w:t xml:space="preserve"> to correct errors, </w:t>
      </w:r>
      <w:r w:rsidR="006E57F4" w:rsidRPr="0043431B">
        <w:rPr>
          <w:rFonts w:cs="Times New Roman"/>
          <w:szCs w:val="20"/>
        </w:rPr>
        <w:t xml:space="preserve">make necessary </w:t>
      </w:r>
      <w:r w:rsidR="00160C98" w:rsidRPr="0043431B">
        <w:rPr>
          <w:rFonts w:cs="Times New Roman"/>
          <w:szCs w:val="20"/>
        </w:rPr>
        <w:t xml:space="preserve">amendments and update the version on </w:t>
      </w:r>
      <w:r w:rsidR="006E57F4" w:rsidRPr="0043431B">
        <w:rPr>
          <w:rFonts w:cs="Times New Roman"/>
          <w:szCs w:val="20"/>
        </w:rPr>
        <w:t>the OIE website.</w:t>
      </w:r>
    </w:p>
    <w:p w14:paraId="45D2AAC9" w14:textId="0A9DEC30" w:rsidR="006E57F4" w:rsidRPr="0043431B" w:rsidRDefault="006E57F4" w:rsidP="00F47555">
      <w:pPr>
        <w:spacing w:after="240" w:line="240" w:lineRule="auto"/>
        <w:ind w:left="1440"/>
        <w:jc w:val="both"/>
        <w:rPr>
          <w:rFonts w:cs="Times New Roman"/>
          <w:szCs w:val="20"/>
        </w:rPr>
      </w:pPr>
      <w:r w:rsidRPr="0043431B">
        <w:rPr>
          <w:rFonts w:cs="Times New Roman"/>
          <w:szCs w:val="20"/>
        </w:rPr>
        <w:t xml:space="preserve">A Member requested </w:t>
      </w:r>
      <w:r w:rsidR="00160C98" w:rsidRPr="0043431B">
        <w:rPr>
          <w:rFonts w:cs="Times New Roman"/>
          <w:szCs w:val="20"/>
        </w:rPr>
        <w:t>that</w:t>
      </w:r>
      <w:r w:rsidR="00AF17A2" w:rsidRPr="0043431B">
        <w:rPr>
          <w:rFonts w:cs="Times New Roman"/>
          <w:szCs w:val="20"/>
        </w:rPr>
        <w:t xml:space="preserve"> brook trout</w:t>
      </w:r>
      <w:r w:rsidR="00160C98" w:rsidRPr="0043431B">
        <w:rPr>
          <w:rFonts w:cs="Times New Roman"/>
          <w:szCs w:val="20"/>
        </w:rPr>
        <w:t xml:space="preserve"> </w:t>
      </w:r>
      <w:r w:rsidR="00AF17A2" w:rsidRPr="00060F5F">
        <w:rPr>
          <w:rFonts w:cs="Times New Roman"/>
          <w:i/>
          <w:szCs w:val="20"/>
        </w:rPr>
        <w:t>(</w:t>
      </w:r>
      <w:r w:rsidRPr="00060F5F">
        <w:rPr>
          <w:rFonts w:cs="Times New Roman"/>
          <w:i/>
          <w:iCs/>
          <w:szCs w:val="20"/>
        </w:rPr>
        <w:t>Salvelinus fontinalis</w:t>
      </w:r>
      <w:r w:rsidR="00AF17A2" w:rsidRPr="00060F5F">
        <w:rPr>
          <w:rFonts w:cs="Times New Roman"/>
          <w:i/>
          <w:szCs w:val="20"/>
        </w:rPr>
        <w:t>)</w:t>
      </w:r>
      <w:r w:rsidRPr="0043431B">
        <w:rPr>
          <w:rFonts w:cs="Times New Roman"/>
          <w:szCs w:val="20"/>
        </w:rPr>
        <w:t xml:space="preserve"> and </w:t>
      </w:r>
      <w:r w:rsidR="00B91E49" w:rsidRPr="0043431B">
        <w:rPr>
          <w:rFonts w:cs="Times New Roman"/>
          <w:szCs w:val="20"/>
        </w:rPr>
        <w:t xml:space="preserve">burbot </w:t>
      </w:r>
      <w:r w:rsidR="00B91E49" w:rsidRPr="00060F5F">
        <w:rPr>
          <w:rFonts w:cs="Times New Roman"/>
          <w:i/>
          <w:szCs w:val="20"/>
        </w:rPr>
        <w:t>(</w:t>
      </w:r>
      <w:r w:rsidRPr="00060F5F">
        <w:rPr>
          <w:rFonts w:cs="Times New Roman"/>
          <w:i/>
          <w:iCs/>
          <w:szCs w:val="20"/>
        </w:rPr>
        <w:t>Lota lota</w:t>
      </w:r>
      <w:r w:rsidR="00B91E49" w:rsidRPr="00060F5F">
        <w:rPr>
          <w:rFonts w:cs="Times New Roman"/>
          <w:i/>
          <w:szCs w:val="20"/>
        </w:rPr>
        <w:t>)</w:t>
      </w:r>
      <w:r w:rsidRPr="0043431B">
        <w:rPr>
          <w:rFonts w:cs="Times New Roman"/>
          <w:szCs w:val="20"/>
        </w:rPr>
        <w:t xml:space="preserve"> be considered for listing as species susceptible to VHSV</w:t>
      </w:r>
      <w:r w:rsidR="00263423" w:rsidRPr="0043431B">
        <w:rPr>
          <w:rFonts w:cs="Times New Roman"/>
          <w:szCs w:val="20"/>
        </w:rPr>
        <w:t xml:space="preserve"> based on unpublished information</w:t>
      </w:r>
      <w:r w:rsidR="004729FD" w:rsidRPr="0043431B">
        <w:rPr>
          <w:rFonts w:cs="Times New Roman"/>
          <w:szCs w:val="20"/>
        </w:rPr>
        <w:t>.</w:t>
      </w:r>
      <w:r w:rsidRPr="0043431B">
        <w:rPr>
          <w:rFonts w:cs="Times New Roman"/>
          <w:szCs w:val="20"/>
        </w:rPr>
        <w:t xml:space="preserve"> The </w:t>
      </w:r>
      <w:r w:rsidR="001A3C31" w:rsidRPr="0043431B">
        <w:rPr>
          <w:rFonts w:cs="Times New Roman"/>
          <w:szCs w:val="20"/>
        </w:rPr>
        <w:t xml:space="preserve">Commission </w:t>
      </w:r>
      <w:r w:rsidR="00263423" w:rsidRPr="0043431B">
        <w:rPr>
          <w:rFonts w:cs="Times New Roman"/>
          <w:szCs w:val="20"/>
        </w:rPr>
        <w:t>reiterated that</w:t>
      </w:r>
      <w:r w:rsidR="003669EF">
        <w:rPr>
          <w:rFonts w:cs="Times New Roman"/>
          <w:szCs w:val="20"/>
        </w:rPr>
        <w:t xml:space="preserve"> i) the </w:t>
      </w:r>
      <w:r w:rsidR="003669EF">
        <w:rPr>
          <w:rFonts w:cs="Times New Roman"/>
          <w:i/>
          <w:iCs/>
          <w:szCs w:val="20"/>
        </w:rPr>
        <w:t xml:space="preserve">ad hoc </w:t>
      </w:r>
      <w:r w:rsidR="003669EF">
        <w:rPr>
          <w:rFonts w:cs="Times New Roman"/>
          <w:szCs w:val="20"/>
        </w:rPr>
        <w:t xml:space="preserve">Group can only consider published information and ii) </w:t>
      </w:r>
      <w:r w:rsidR="00263423" w:rsidRPr="0043431B">
        <w:rPr>
          <w:rFonts w:cs="Times New Roman"/>
          <w:szCs w:val="20"/>
        </w:rPr>
        <w:t xml:space="preserve">these two </w:t>
      </w:r>
      <w:r w:rsidRPr="0043431B">
        <w:rPr>
          <w:rFonts w:cs="Times New Roman"/>
          <w:szCs w:val="20"/>
        </w:rPr>
        <w:t xml:space="preserve">species had been assessed </w:t>
      </w:r>
      <w:r w:rsidR="00263423" w:rsidRPr="0043431B">
        <w:rPr>
          <w:rFonts w:cs="Times New Roman"/>
          <w:szCs w:val="20"/>
        </w:rPr>
        <w:t xml:space="preserve">by the </w:t>
      </w:r>
      <w:r w:rsidR="00263423" w:rsidRPr="0043431B">
        <w:rPr>
          <w:rFonts w:cs="Times New Roman"/>
          <w:i/>
          <w:szCs w:val="20"/>
        </w:rPr>
        <w:t>ad hoc</w:t>
      </w:r>
      <w:r w:rsidR="00263423" w:rsidRPr="0043431B">
        <w:rPr>
          <w:rFonts w:cs="Times New Roman"/>
          <w:szCs w:val="20"/>
        </w:rPr>
        <w:t xml:space="preserve"> Group </w:t>
      </w:r>
      <w:r w:rsidRPr="0043431B">
        <w:rPr>
          <w:rFonts w:cs="Times New Roman"/>
          <w:szCs w:val="20"/>
        </w:rPr>
        <w:t xml:space="preserve">and found not to meet the criteria </w:t>
      </w:r>
      <w:r w:rsidR="003669EF">
        <w:rPr>
          <w:rFonts w:cs="Times New Roman"/>
          <w:szCs w:val="20"/>
        </w:rPr>
        <w:t xml:space="preserve">for </w:t>
      </w:r>
      <w:r w:rsidRPr="0043431B">
        <w:rPr>
          <w:rFonts w:cs="Times New Roman"/>
          <w:szCs w:val="20"/>
        </w:rPr>
        <w:t xml:space="preserve">susceptibility. </w:t>
      </w:r>
      <w:r w:rsidR="00C74BE3" w:rsidRPr="0043431B">
        <w:rPr>
          <w:rFonts w:cs="Times New Roman"/>
          <w:szCs w:val="20"/>
        </w:rPr>
        <w:t xml:space="preserve">The Commission </w:t>
      </w:r>
      <w:r w:rsidRPr="0043431B">
        <w:rPr>
          <w:rFonts w:cs="Times New Roman"/>
          <w:szCs w:val="20"/>
        </w:rPr>
        <w:t xml:space="preserve">encouraged </w:t>
      </w:r>
      <w:r w:rsidR="00C74BE3" w:rsidRPr="0043431B">
        <w:rPr>
          <w:rFonts w:cs="Times New Roman"/>
          <w:szCs w:val="20"/>
        </w:rPr>
        <w:t xml:space="preserve">Members </w:t>
      </w:r>
      <w:r w:rsidRPr="0043431B">
        <w:rPr>
          <w:rFonts w:cs="Times New Roman"/>
          <w:szCs w:val="20"/>
        </w:rPr>
        <w:t xml:space="preserve">to provide </w:t>
      </w:r>
      <w:r w:rsidR="003E3BF8">
        <w:rPr>
          <w:rFonts w:cs="Times New Roman"/>
          <w:szCs w:val="20"/>
        </w:rPr>
        <w:t xml:space="preserve">any </w:t>
      </w:r>
      <w:r w:rsidRPr="0043431B">
        <w:rPr>
          <w:rFonts w:cs="Times New Roman"/>
          <w:szCs w:val="20"/>
        </w:rPr>
        <w:t xml:space="preserve">new scientific evidence to the Commission for its review. </w:t>
      </w:r>
    </w:p>
    <w:p w14:paraId="3DEEA941" w14:textId="3DF0C081" w:rsidR="006E57F4" w:rsidRPr="0043431B" w:rsidRDefault="006E57F4" w:rsidP="00F47555">
      <w:pPr>
        <w:spacing w:after="240" w:line="240" w:lineRule="auto"/>
        <w:ind w:left="1440"/>
        <w:jc w:val="both"/>
        <w:rPr>
          <w:rFonts w:cs="Times New Roman"/>
          <w:szCs w:val="20"/>
        </w:rPr>
      </w:pPr>
      <w:r w:rsidRPr="0043431B">
        <w:rPr>
          <w:rFonts w:cs="Times New Roman"/>
          <w:szCs w:val="20"/>
        </w:rPr>
        <w:t xml:space="preserve">The </w:t>
      </w:r>
      <w:r w:rsidR="001A3C31" w:rsidRPr="0043431B">
        <w:rPr>
          <w:rFonts w:cs="Times New Roman"/>
          <w:szCs w:val="20"/>
        </w:rPr>
        <w:t xml:space="preserve">Commission </w:t>
      </w:r>
      <w:r w:rsidRPr="0043431B">
        <w:rPr>
          <w:rFonts w:cs="Times New Roman"/>
          <w:szCs w:val="20"/>
        </w:rPr>
        <w:t>did not agree with a request to add ‘olive flounder</w:t>
      </w:r>
      <w:r w:rsidR="00C74BE3" w:rsidRPr="0043431B">
        <w:rPr>
          <w:rFonts w:cs="Times New Roman"/>
          <w:szCs w:val="20"/>
        </w:rPr>
        <w:t>’</w:t>
      </w:r>
      <w:r w:rsidRPr="0043431B">
        <w:rPr>
          <w:rFonts w:cs="Times New Roman"/>
          <w:szCs w:val="20"/>
        </w:rPr>
        <w:t xml:space="preserve"> as a common name for bastard halibut </w:t>
      </w:r>
      <w:r w:rsidRPr="0043431B">
        <w:rPr>
          <w:rFonts w:cs="Times New Roman"/>
          <w:i/>
          <w:szCs w:val="20"/>
        </w:rPr>
        <w:t>(</w:t>
      </w:r>
      <w:r w:rsidRPr="0043431B">
        <w:rPr>
          <w:rFonts w:cs="Times New Roman"/>
          <w:i/>
          <w:iCs/>
          <w:szCs w:val="20"/>
        </w:rPr>
        <w:t>Paralichthys olivaceus)</w:t>
      </w:r>
      <w:r w:rsidR="003669EF" w:rsidRPr="00060F5F">
        <w:rPr>
          <w:rFonts w:cs="Times New Roman"/>
          <w:iCs/>
          <w:szCs w:val="20"/>
        </w:rPr>
        <w:t>,</w:t>
      </w:r>
      <w:r w:rsidR="00130658" w:rsidRPr="00060F5F">
        <w:rPr>
          <w:rFonts w:cs="Times New Roman"/>
          <w:iCs/>
          <w:szCs w:val="20"/>
        </w:rPr>
        <w:t xml:space="preserve"> </w:t>
      </w:r>
      <w:r w:rsidR="00C74BE3" w:rsidRPr="0043431B">
        <w:rPr>
          <w:rFonts w:cs="Times New Roman"/>
          <w:szCs w:val="20"/>
        </w:rPr>
        <w:t xml:space="preserve">and reminded Members that it had agreed to </w:t>
      </w:r>
      <w:r w:rsidRPr="0043431B">
        <w:rPr>
          <w:rFonts w:cs="Times New Roman"/>
          <w:szCs w:val="20"/>
        </w:rPr>
        <w:t>refer to common names of fish species in line with FAOTERM (</w:t>
      </w:r>
      <w:hyperlink r:id="rId12" w:history="1">
        <w:r w:rsidR="00453D2B" w:rsidRPr="0020445B">
          <w:rPr>
            <w:rStyle w:val="Lienhypertexte"/>
            <w:rFonts w:cs="Times New Roman"/>
            <w:szCs w:val="20"/>
          </w:rPr>
          <w:t>http://www.fao.org/faoterm/collection/faoterm/en/</w:t>
        </w:r>
      </w:hyperlink>
      <w:r w:rsidRPr="0043431B">
        <w:rPr>
          <w:rFonts w:cs="Times New Roman"/>
          <w:szCs w:val="20"/>
        </w:rPr>
        <w:t>) and scientific fish names in line with Fishbase (</w:t>
      </w:r>
      <w:hyperlink r:id="rId13" w:history="1">
        <w:r w:rsidR="00453D2B" w:rsidRPr="0020445B">
          <w:rPr>
            <w:rStyle w:val="Lienhypertexte"/>
            <w:rFonts w:cs="Times New Roman"/>
            <w:szCs w:val="20"/>
          </w:rPr>
          <w:t>https://www.fishbase.se/search.php</w:t>
        </w:r>
      </w:hyperlink>
      <w:r w:rsidRPr="0043431B">
        <w:rPr>
          <w:rFonts w:cs="Times New Roman"/>
          <w:szCs w:val="20"/>
        </w:rPr>
        <w:t xml:space="preserve">).  </w:t>
      </w:r>
    </w:p>
    <w:p w14:paraId="07DFE574" w14:textId="2BF0C616" w:rsidR="006E57F4" w:rsidRDefault="006E57F4" w:rsidP="00F47555">
      <w:pPr>
        <w:spacing w:after="240" w:line="240" w:lineRule="auto"/>
        <w:ind w:left="1440"/>
        <w:jc w:val="both"/>
        <w:rPr>
          <w:rFonts w:cs="Times New Roman"/>
          <w:szCs w:val="20"/>
        </w:rPr>
      </w:pPr>
      <w:r w:rsidRPr="0043431B">
        <w:rPr>
          <w:rFonts w:cs="Times New Roman"/>
          <w:szCs w:val="20"/>
        </w:rPr>
        <w:t xml:space="preserve">The </w:t>
      </w:r>
      <w:r w:rsidR="001A3C31" w:rsidRPr="0043431B">
        <w:rPr>
          <w:rFonts w:cs="Times New Roman"/>
          <w:szCs w:val="20"/>
        </w:rPr>
        <w:t xml:space="preserve">Commission </w:t>
      </w:r>
      <w:r w:rsidRPr="0043431B">
        <w:rPr>
          <w:rFonts w:cs="Times New Roman"/>
          <w:szCs w:val="20"/>
        </w:rPr>
        <w:t xml:space="preserve">amended the scientific name of brown bullhead from </w:t>
      </w:r>
      <w:r w:rsidRPr="0043431B">
        <w:rPr>
          <w:rFonts w:cs="Times New Roman"/>
          <w:i/>
          <w:szCs w:val="20"/>
        </w:rPr>
        <w:t>‘</w:t>
      </w:r>
      <w:r w:rsidRPr="0043431B">
        <w:rPr>
          <w:rFonts w:cs="Times New Roman"/>
          <w:i/>
          <w:iCs/>
          <w:szCs w:val="20"/>
        </w:rPr>
        <w:t>Ictalurus nebulosus’</w:t>
      </w:r>
      <w:r w:rsidRPr="0043431B">
        <w:rPr>
          <w:rFonts w:cs="Times New Roman"/>
          <w:szCs w:val="20"/>
        </w:rPr>
        <w:t xml:space="preserve"> to </w:t>
      </w:r>
      <w:r w:rsidRPr="0043431B">
        <w:rPr>
          <w:rFonts w:cs="Times New Roman"/>
          <w:i/>
          <w:szCs w:val="20"/>
        </w:rPr>
        <w:t>‘</w:t>
      </w:r>
      <w:r w:rsidRPr="0043431B">
        <w:rPr>
          <w:rFonts w:cs="Times New Roman"/>
          <w:i/>
          <w:iCs/>
          <w:szCs w:val="20"/>
        </w:rPr>
        <w:t>Ameiurus nebulosus</w:t>
      </w:r>
      <w:r w:rsidRPr="0043431B">
        <w:rPr>
          <w:rFonts w:cs="Times New Roman"/>
          <w:i/>
          <w:szCs w:val="20"/>
        </w:rPr>
        <w:t>’</w:t>
      </w:r>
      <w:r w:rsidRPr="0043431B">
        <w:rPr>
          <w:rFonts w:cs="Times New Roman"/>
          <w:szCs w:val="20"/>
        </w:rPr>
        <w:t xml:space="preserve"> in line with the naming in Fishbase. </w:t>
      </w:r>
    </w:p>
    <w:p w14:paraId="4F07237A" w14:textId="287D4773" w:rsidR="00534C99" w:rsidRPr="00454CB8" w:rsidRDefault="00534C99" w:rsidP="00534C99">
      <w:pPr>
        <w:ind w:left="1440"/>
        <w:jc w:val="both"/>
        <w:rPr>
          <w:rFonts w:cs="Times New Roman"/>
          <w:szCs w:val="20"/>
        </w:rPr>
      </w:pPr>
      <w:r>
        <w:rPr>
          <w:rFonts w:cs="Times New Roman"/>
          <w:szCs w:val="20"/>
        </w:rPr>
        <w:t xml:space="preserve">Reference: Cho, S. Y., Protzman, R. A., Kim, Y. O., Vaidya, B., Oh, M. J., Kwon, J. and Kim, D. (2019). </w:t>
      </w:r>
      <w:r w:rsidRPr="00534C99">
        <w:rPr>
          <w:rFonts w:cs="Times New Roman"/>
          <w:szCs w:val="20"/>
        </w:rPr>
        <w:t>Elucidation of mechanism for host response to VHSV infection at varying</w:t>
      </w:r>
      <w:r>
        <w:rPr>
          <w:rFonts w:cs="Times New Roman"/>
          <w:szCs w:val="20"/>
        </w:rPr>
        <w:t xml:space="preserve"> </w:t>
      </w:r>
      <w:r w:rsidRPr="00534C99">
        <w:rPr>
          <w:rFonts w:cs="Times New Roman"/>
          <w:szCs w:val="20"/>
        </w:rPr>
        <w:t xml:space="preserve">temperatures </w:t>
      </w:r>
      <w:r w:rsidRPr="00453D2B">
        <w:rPr>
          <w:rFonts w:cs="Times New Roman"/>
          <w:i/>
          <w:iCs/>
          <w:szCs w:val="20"/>
        </w:rPr>
        <w:t>in vitro</w:t>
      </w:r>
      <w:r w:rsidRPr="00534C99">
        <w:rPr>
          <w:rFonts w:cs="Times New Roman"/>
          <w:szCs w:val="20"/>
        </w:rPr>
        <w:t xml:space="preserve"> and </w:t>
      </w:r>
      <w:r w:rsidRPr="00453D2B">
        <w:rPr>
          <w:rFonts w:cs="Times New Roman"/>
          <w:i/>
          <w:iCs/>
          <w:szCs w:val="20"/>
        </w:rPr>
        <w:t>in</w:t>
      </w:r>
      <w:r w:rsidRPr="00534C99">
        <w:rPr>
          <w:rFonts w:cs="Times New Roman"/>
          <w:szCs w:val="20"/>
        </w:rPr>
        <w:t xml:space="preserve"> </w:t>
      </w:r>
      <w:r w:rsidRPr="00453D2B">
        <w:rPr>
          <w:rFonts w:cs="Times New Roman"/>
          <w:i/>
          <w:iCs/>
          <w:szCs w:val="20"/>
        </w:rPr>
        <w:t>vivo</w:t>
      </w:r>
      <w:r w:rsidRPr="00534C99">
        <w:rPr>
          <w:rFonts w:cs="Times New Roman"/>
          <w:szCs w:val="20"/>
        </w:rPr>
        <w:t xml:space="preserve"> through proteomic analysis</w:t>
      </w:r>
      <w:r>
        <w:rPr>
          <w:rFonts w:cs="Times New Roman"/>
          <w:szCs w:val="20"/>
        </w:rPr>
        <w:t>. Fish and Shellfish Immunology</w:t>
      </w:r>
      <w:r w:rsidR="004628D5">
        <w:rPr>
          <w:rFonts w:cs="Times New Roman"/>
          <w:szCs w:val="20"/>
        </w:rPr>
        <w:t>, 88, 244</w:t>
      </w:r>
      <w:r w:rsidR="00060F5F">
        <w:rPr>
          <w:rFonts w:cs="Times New Roman"/>
          <w:szCs w:val="20"/>
        </w:rPr>
        <w:t>‒</w:t>
      </w:r>
      <w:r w:rsidR="004628D5">
        <w:rPr>
          <w:rFonts w:cs="Times New Roman"/>
          <w:szCs w:val="20"/>
        </w:rPr>
        <w:t xml:space="preserve">253. </w:t>
      </w:r>
      <w:r>
        <w:rPr>
          <w:rFonts w:cs="Times New Roman"/>
          <w:szCs w:val="20"/>
        </w:rPr>
        <w:t xml:space="preserve"> </w:t>
      </w:r>
    </w:p>
    <w:p w14:paraId="05FF1C97" w14:textId="74488B49" w:rsidR="006E6A85" w:rsidRDefault="006E57F4" w:rsidP="00F47555">
      <w:pPr>
        <w:spacing w:after="240" w:line="240" w:lineRule="auto"/>
        <w:ind w:left="1440"/>
        <w:jc w:val="both"/>
        <w:rPr>
          <w:rFonts w:cs="Times New Roman"/>
          <w:szCs w:val="20"/>
        </w:rPr>
      </w:pPr>
      <w:r w:rsidRPr="00453D2B">
        <w:rPr>
          <w:rFonts w:cs="Times New Roman"/>
          <w:szCs w:val="20"/>
        </w:rPr>
        <w:t xml:space="preserve">The revised </w:t>
      </w:r>
      <w:r w:rsidRPr="00453D2B">
        <w:rPr>
          <w:rFonts w:cs="Times New Roman"/>
          <w:szCs w:val="20"/>
          <w:lang w:val="en-IE"/>
        </w:rPr>
        <w:t>Article 10.10.2 of Chapter 10.10, Infection with</w:t>
      </w:r>
      <w:r w:rsidRPr="00453D2B">
        <w:rPr>
          <w:rFonts w:cs="Times New Roman"/>
          <w:szCs w:val="20"/>
        </w:rPr>
        <w:t xml:space="preserve"> </w:t>
      </w:r>
      <w:r w:rsidRPr="00453D2B">
        <w:rPr>
          <w:rFonts w:cs="Times New Roman"/>
          <w:szCs w:val="20"/>
          <w:lang w:val="en-IE"/>
        </w:rPr>
        <w:t xml:space="preserve">viral haemorrhagic septicaemia virus, </w:t>
      </w:r>
      <w:r w:rsidRPr="00453D2B">
        <w:rPr>
          <w:rFonts w:cs="Times New Roman"/>
          <w:szCs w:val="20"/>
        </w:rPr>
        <w:t>is pres</w:t>
      </w:r>
      <w:r w:rsidRPr="001677E0">
        <w:rPr>
          <w:rFonts w:cs="Times New Roman"/>
          <w:szCs w:val="20"/>
        </w:rPr>
        <w:t xml:space="preserve">ented as </w:t>
      </w:r>
      <w:hyperlink w:anchor="_Annex_7" w:history="1">
        <w:r w:rsidR="00790765" w:rsidRPr="001677E0">
          <w:rPr>
            <w:rStyle w:val="Lienhypertexte"/>
            <w:rFonts w:cs="Times New Roman"/>
            <w:szCs w:val="20"/>
          </w:rPr>
          <w:t xml:space="preserve">Annex </w:t>
        </w:r>
        <w:r w:rsidR="00790765">
          <w:rPr>
            <w:rStyle w:val="Lienhypertexte"/>
            <w:rFonts w:cs="Times New Roman"/>
            <w:szCs w:val="20"/>
          </w:rPr>
          <w:t>6</w:t>
        </w:r>
      </w:hyperlink>
      <w:r w:rsidR="00790765" w:rsidRPr="001677E0">
        <w:rPr>
          <w:rFonts w:cs="Times New Roman"/>
          <w:szCs w:val="20"/>
        </w:rPr>
        <w:t xml:space="preserve"> </w:t>
      </w:r>
      <w:r w:rsidR="004628D5" w:rsidRPr="001677E0">
        <w:rPr>
          <w:rFonts w:cs="Times New Roman"/>
          <w:szCs w:val="20"/>
        </w:rPr>
        <w:t>for Member comments</w:t>
      </w:r>
      <w:r w:rsidR="00453D2B" w:rsidRPr="001677E0">
        <w:rPr>
          <w:rFonts w:cs="Times New Roman"/>
          <w:szCs w:val="20"/>
        </w:rPr>
        <w:t xml:space="preserve">. </w:t>
      </w:r>
    </w:p>
    <w:p w14:paraId="33724784" w14:textId="22C63277" w:rsidR="006E57F4" w:rsidRPr="0043431B" w:rsidRDefault="006E6A85" w:rsidP="00F47555">
      <w:pPr>
        <w:spacing w:after="240" w:line="240" w:lineRule="auto"/>
        <w:ind w:left="1440"/>
        <w:jc w:val="both"/>
        <w:rPr>
          <w:rFonts w:cs="Times New Roman"/>
          <w:szCs w:val="20"/>
        </w:rPr>
      </w:pPr>
      <w:r>
        <w:rPr>
          <w:rFonts w:cs="Times New Roman"/>
          <w:szCs w:val="20"/>
        </w:rPr>
        <w:t xml:space="preserve">Note: </w:t>
      </w:r>
      <w:r w:rsidR="00453D2B" w:rsidRPr="001677E0">
        <w:rPr>
          <w:rFonts w:cs="Times New Roman"/>
          <w:szCs w:val="20"/>
        </w:rPr>
        <w:t>The adoption has been postponed until the 89th</w:t>
      </w:r>
      <w:r w:rsidR="00060F5F" w:rsidRPr="001677E0">
        <w:rPr>
          <w:rFonts w:cs="Times New Roman"/>
          <w:szCs w:val="20"/>
        </w:rPr>
        <w:t> </w:t>
      </w:r>
      <w:r w:rsidR="00453D2B" w:rsidRPr="001677E0">
        <w:rPr>
          <w:rFonts w:cs="Times New Roman"/>
          <w:szCs w:val="20"/>
        </w:rPr>
        <w:t>General Session in May</w:t>
      </w:r>
      <w:r w:rsidR="00453D2B" w:rsidRPr="00453D2B">
        <w:rPr>
          <w:rFonts w:cs="Times New Roman"/>
          <w:szCs w:val="20"/>
        </w:rPr>
        <w:t xml:space="preserve"> 2021. As the Article has already undergone extensive consultation, Members are requested to only submit comments to address substantive issues that have not been considered previously</w:t>
      </w:r>
      <w:r w:rsidR="006E57F4" w:rsidRPr="00453D2B">
        <w:rPr>
          <w:rFonts w:cs="Times New Roman"/>
          <w:szCs w:val="20"/>
        </w:rPr>
        <w:t>.</w:t>
      </w:r>
    </w:p>
    <w:p w14:paraId="422E6B85" w14:textId="77777777" w:rsidR="005C57E5" w:rsidRPr="000D32A5" w:rsidRDefault="005C57E5" w:rsidP="00060F5F">
      <w:pPr>
        <w:pStyle w:val="Titre3"/>
        <w:spacing w:before="0" w:after="120" w:line="240" w:lineRule="auto"/>
        <w:ind w:firstLine="810"/>
        <w:rPr>
          <w:rFonts w:cs="Times New Roman"/>
          <w:b/>
          <w:i w:val="0"/>
        </w:rPr>
      </w:pPr>
      <w:bookmarkStart w:id="24" w:name="_Toc38028625"/>
      <w:r w:rsidRPr="00F35D45">
        <w:rPr>
          <w:rFonts w:cs="Times New Roman"/>
          <w:b/>
          <w:i w:val="0"/>
        </w:rPr>
        <w:t>7.1.6.</w:t>
      </w:r>
      <w:r w:rsidRPr="00F35D45">
        <w:rPr>
          <w:rFonts w:cs="Times New Roman"/>
          <w:b/>
          <w:i w:val="0"/>
        </w:rPr>
        <w:tab/>
      </w:r>
      <w:r w:rsidR="0043054A" w:rsidRPr="00F35D45">
        <w:rPr>
          <w:rFonts w:cs="Times New Roman"/>
          <w:b/>
          <w:i w:val="0"/>
        </w:rPr>
        <w:t>Glossary definition</w:t>
      </w:r>
      <w:r w:rsidR="000D32A5" w:rsidRPr="00F35D45">
        <w:rPr>
          <w:rFonts w:cs="Times New Roman"/>
          <w:b/>
          <w:i w:val="0"/>
        </w:rPr>
        <w:t>s</w:t>
      </w:r>
      <w:r w:rsidR="0043054A" w:rsidRPr="00F35D45">
        <w:rPr>
          <w:rFonts w:cs="Times New Roman"/>
          <w:b/>
          <w:i w:val="0"/>
        </w:rPr>
        <w:t xml:space="preserve"> for </w:t>
      </w:r>
      <w:r w:rsidRPr="00F35D45">
        <w:rPr>
          <w:rFonts w:cs="Times New Roman"/>
          <w:b/>
          <w:i w:val="0"/>
        </w:rPr>
        <w:t xml:space="preserve">‘Aquatic animal waste’ </w:t>
      </w:r>
      <w:r w:rsidR="000D32A5" w:rsidRPr="00F35D45">
        <w:rPr>
          <w:rFonts w:cs="Times New Roman"/>
          <w:b/>
          <w:i w:val="0"/>
        </w:rPr>
        <w:t>and ‘</w:t>
      </w:r>
      <w:r w:rsidR="000D32A5" w:rsidRPr="00F35D45">
        <w:rPr>
          <w:rFonts w:cs="Times New Roman"/>
          <w:b/>
          <w:i w:val="0"/>
          <w:color w:val="000000" w:themeColor="text1"/>
          <w:szCs w:val="20"/>
          <w:lang w:val="en-IE"/>
        </w:rPr>
        <w:t>aquatic animal products’</w:t>
      </w:r>
      <w:bookmarkEnd w:id="24"/>
    </w:p>
    <w:p w14:paraId="6261CF1E" w14:textId="50EEE0FB" w:rsidR="0043054A" w:rsidRPr="0043431B" w:rsidRDefault="0043054A" w:rsidP="00060F5F">
      <w:pPr>
        <w:spacing w:after="120" w:line="240" w:lineRule="auto"/>
        <w:ind w:left="1440"/>
        <w:jc w:val="both"/>
        <w:rPr>
          <w:rFonts w:cs="Times New Roman"/>
          <w:szCs w:val="20"/>
          <w:lang w:val="en-NZ"/>
        </w:rPr>
      </w:pPr>
      <w:r w:rsidRPr="0043431B">
        <w:rPr>
          <w:rFonts w:cs="Times New Roman"/>
          <w:szCs w:val="20"/>
          <w:lang w:val="en-NZ"/>
        </w:rPr>
        <w:t>Comments were received from Chile</w:t>
      </w:r>
      <w:r w:rsidR="004628D5">
        <w:rPr>
          <w:rFonts w:cs="Times New Roman"/>
          <w:szCs w:val="20"/>
          <w:lang w:val="en-NZ"/>
        </w:rPr>
        <w:t>,</w:t>
      </w:r>
      <w:r w:rsidRPr="0043431B">
        <w:rPr>
          <w:rFonts w:cs="Times New Roman"/>
          <w:szCs w:val="20"/>
          <w:lang w:val="en-NZ"/>
        </w:rPr>
        <w:t xml:space="preserve"> Canada, New Zealand, the EU and AU-IBAR.</w:t>
      </w:r>
    </w:p>
    <w:p w14:paraId="5D53A01E" w14:textId="77777777" w:rsidR="005C57E5" w:rsidRPr="00D73705" w:rsidRDefault="005C57E5" w:rsidP="00060F5F">
      <w:pPr>
        <w:spacing w:after="120" w:line="240" w:lineRule="auto"/>
        <w:ind w:left="1440"/>
        <w:jc w:val="both"/>
        <w:rPr>
          <w:rFonts w:cs="Times New Roman"/>
          <w:i/>
          <w:iCs/>
          <w:szCs w:val="20"/>
          <w:lang w:val="en-NZ"/>
        </w:rPr>
      </w:pPr>
      <w:r w:rsidRPr="00D73705">
        <w:rPr>
          <w:rFonts w:cs="Times New Roman"/>
          <w:i/>
          <w:iCs/>
          <w:szCs w:val="20"/>
          <w:lang w:val="en-NZ"/>
        </w:rPr>
        <w:t xml:space="preserve">Background </w:t>
      </w:r>
    </w:p>
    <w:p w14:paraId="6C328027" w14:textId="3135A6C5" w:rsidR="005C57E5" w:rsidRPr="0043431B" w:rsidRDefault="005C57E5" w:rsidP="00060F5F">
      <w:pPr>
        <w:spacing w:after="120" w:line="240" w:lineRule="auto"/>
        <w:ind w:left="1440"/>
        <w:jc w:val="both"/>
        <w:rPr>
          <w:rFonts w:cs="Times New Roman"/>
          <w:szCs w:val="20"/>
          <w:lang w:val="en-IE"/>
        </w:rPr>
      </w:pPr>
      <w:r w:rsidRPr="0043431B">
        <w:rPr>
          <w:rFonts w:cs="Times New Roman"/>
          <w:szCs w:val="20"/>
          <w:lang w:val="en-IE"/>
        </w:rPr>
        <w:t>At its September 2019 me</w:t>
      </w:r>
      <w:bookmarkStart w:id="25" w:name="_GoBack"/>
      <w:bookmarkEnd w:id="25"/>
      <w:r w:rsidRPr="0043431B">
        <w:rPr>
          <w:rFonts w:cs="Times New Roman"/>
          <w:szCs w:val="20"/>
          <w:lang w:val="en-IE"/>
        </w:rPr>
        <w:t xml:space="preserve">eting, the Aquatic Animals Commission proposed a new Glossary definition </w:t>
      </w:r>
      <w:r w:rsidR="00A6217D" w:rsidRPr="0043431B">
        <w:rPr>
          <w:rFonts w:cs="Times New Roman"/>
          <w:szCs w:val="20"/>
          <w:lang w:val="en-IE"/>
        </w:rPr>
        <w:t>for</w:t>
      </w:r>
      <w:r w:rsidRPr="0043431B">
        <w:rPr>
          <w:rFonts w:cs="Times New Roman"/>
          <w:szCs w:val="20"/>
          <w:lang w:val="en-IE"/>
        </w:rPr>
        <w:t xml:space="preserve"> ‘aquatic animal waste’ </w:t>
      </w:r>
      <w:r w:rsidR="00A6217D" w:rsidRPr="0043431B">
        <w:rPr>
          <w:rFonts w:cs="Times New Roman"/>
          <w:szCs w:val="20"/>
          <w:lang w:val="en-IE"/>
        </w:rPr>
        <w:t xml:space="preserve">given that </w:t>
      </w:r>
      <w:r w:rsidRPr="0043431B">
        <w:rPr>
          <w:rFonts w:cs="Times New Roman"/>
          <w:szCs w:val="20"/>
          <w:lang w:val="en-IE"/>
        </w:rPr>
        <w:t xml:space="preserve">the term is used extensively in the new draft chapter on Biosecurity for </w:t>
      </w:r>
      <w:r w:rsidR="00F35D45">
        <w:rPr>
          <w:rFonts w:cs="Times New Roman"/>
          <w:szCs w:val="20"/>
          <w:lang w:val="en-IE"/>
        </w:rPr>
        <w:t>a</w:t>
      </w:r>
      <w:r w:rsidRPr="0043431B">
        <w:rPr>
          <w:rFonts w:cs="Times New Roman"/>
          <w:szCs w:val="20"/>
          <w:lang w:val="en-IE"/>
        </w:rPr>
        <w:t xml:space="preserve">quaculture </w:t>
      </w:r>
      <w:r w:rsidR="00F35D45">
        <w:rPr>
          <w:rFonts w:cs="Times New Roman"/>
          <w:szCs w:val="20"/>
          <w:lang w:val="en-IE"/>
        </w:rPr>
        <w:t>e</w:t>
      </w:r>
      <w:r w:rsidRPr="0043431B">
        <w:rPr>
          <w:rFonts w:cs="Times New Roman"/>
          <w:szCs w:val="20"/>
          <w:lang w:val="en-IE"/>
        </w:rPr>
        <w:t xml:space="preserve">stablishments (Chapter 4.X) as well as in Chapter 4.7, Handling, disposal and treatment of aquatic animal waste. </w:t>
      </w:r>
      <w:r w:rsidR="00A6217D" w:rsidRPr="0043431B">
        <w:rPr>
          <w:rFonts w:cs="Times New Roman"/>
          <w:szCs w:val="20"/>
          <w:lang w:val="en-IE"/>
        </w:rPr>
        <w:t>The new Glossary definition was circulated for comment in the Commission’s September 2019 report.</w:t>
      </w:r>
    </w:p>
    <w:p w14:paraId="686B4F87" w14:textId="67C5F5F7" w:rsidR="00D73705" w:rsidRPr="0043431B" w:rsidRDefault="00060F5F" w:rsidP="001D5EB7">
      <w:pPr>
        <w:spacing w:after="240" w:line="240" w:lineRule="auto"/>
        <w:ind w:left="1440"/>
        <w:jc w:val="both"/>
        <w:rPr>
          <w:rFonts w:cs="Times New Roman"/>
          <w:b/>
          <w:bCs/>
          <w:szCs w:val="20"/>
        </w:rPr>
      </w:pPr>
      <w:r>
        <w:rPr>
          <w:rFonts w:cs="Times New Roman"/>
          <w:b/>
          <w:bCs/>
          <w:szCs w:val="20"/>
        </w:rPr>
        <w:br w:type="page"/>
      </w:r>
      <w:r w:rsidR="00D73705">
        <w:rPr>
          <w:rFonts w:cs="Times New Roman"/>
          <w:b/>
          <w:bCs/>
          <w:szCs w:val="20"/>
        </w:rPr>
        <w:lastRenderedPageBreak/>
        <w:t xml:space="preserve">Previous </w:t>
      </w:r>
      <w:r w:rsidR="00D73705" w:rsidRPr="001D5EB7">
        <w:rPr>
          <w:rFonts w:cs="Times New Roman"/>
          <w:b/>
          <w:bCs/>
          <w:szCs w:val="20"/>
          <w:lang w:val="en-NZ"/>
        </w:rPr>
        <w:t>Commission</w:t>
      </w:r>
      <w:r w:rsidR="00D73705">
        <w:rPr>
          <w:rFonts w:cs="Times New Roman"/>
          <w:b/>
          <w:bCs/>
          <w:szCs w:val="20"/>
        </w:rPr>
        <w:t xml:space="preserve"> reports where this item was discussed</w:t>
      </w:r>
      <w:r w:rsidR="00D73705" w:rsidRPr="0043431B">
        <w:rPr>
          <w:rFonts w:cs="Times New Roman"/>
          <w:b/>
          <w:bCs/>
          <w:szCs w:val="20"/>
        </w:rPr>
        <w:t>:</w:t>
      </w:r>
    </w:p>
    <w:p w14:paraId="77D6D584" w14:textId="5A78320D" w:rsidR="005C57E5" w:rsidRPr="0043431B" w:rsidRDefault="005C57E5" w:rsidP="008F75D3">
      <w:pPr>
        <w:spacing w:after="240" w:line="240" w:lineRule="auto"/>
        <w:ind w:left="1440"/>
        <w:jc w:val="both"/>
        <w:rPr>
          <w:rFonts w:cs="Times New Roman"/>
          <w:szCs w:val="20"/>
        </w:rPr>
      </w:pPr>
      <w:r w:rsidRPr="0043431B">
        <w:rPr>
          <w:rFonts w:cs="Times New Roman"/>
          <w:szCs w:val="20"/>
        </w:rPr>
        <w:t xml:space="preserve">September 2019 report </w:t>
      </w:r>
      <w:r w:rsidR="00D73705">
        <w:rPr>
          <w:rFonts w:cs="Times New Roman"/>
          <w:szCs w:val="20"/>
        </w:rPr>
        <w:t>(</w:t>
      </w:r>
      <w:r w:rsidRPr="0043431B">
        <w:rPr>
          <w:rFonts w:cs="Times New Roman"/>
          <w:szCs w:val="20"/>
        </w:rPr>
        <w:t>Item 6.7, page 79</w:t>
      </w:r>
      <w:r w:rsidR="00D73705">
        <w:rPr>
          <w:rFonts w:cs="Times New Roman"/>
          <w:szCs w:val="20"/>
        </w:rPr>
        <w:t>)</w:t>
      </w:r>
      <w:r w:rsidR="00060F5F">
        <w:rPr>
          <w:rFonts w:cs="Times New Roman"/>
          <w:szCs w:val="20"/>
        </w:rPr>
        <w:t>.</w:t>
      </w:r>
    </w:p>
    <w:p w14:paraId="07CA233D" w14:textId="77777777" w:rsidR="005C57E5" w:rsidRPr="00D73705" w:rsidRDefault="005C57E5" w:rsidP="008F75D3">
      <w:pPr>
        <w:spacing w:after="240" w:line="240" w:lineRule="auto"/>
        <w:ind w:left="1440"/>
        <w:jc w:val="both"/>
        <w:rPr>
          <w:rFonts w:cs="Times New Roman"/>
          <w:b/>
          <w:bCs/>
          <w:szCs w:val="20"/>
          <w:lang w:val="en-NZ"/>
        </w:rPr>
      </w:pPr>
      <w:r w:rsidRPr="00D73705">
        <w:rPr>
          <w:rFonts w:cs="Times New Roman"/>
          <w:b/>
          <w:bCs/>
          <w:szCs w:val="20"/>
          <w:lang w:val="en-NZ"/>
        </w:rPr>
        <w:t>February 2020 meeting</w:t>
      </w:r>
    </w:p>
    <w:p w14:paraId="70B69F6B" w14:textId="1CCCB8A1" w:rsidR="005C57E5" w:rsidRPr="0043431B" w:rsidRDefault="005C57E5" w:rsidP="008F75D3">
      <w:pPr>
        <w:spacing w:after="240" w:line="240" w:lineRule="auto"/>
        <w:ind w:left="1440"/>
        <w:jc w:val="both"/>
        <w:rPr>
          <w:rFonts w:cs="Times New Roman"/>
          <w:color w:val="000000" w:themeColor="text1"/>
          <w:szCs w:val="20"/>
          <w:lang w:val="en-IE"/>
        </w:rPr>
      </w:pPr>
      <w:r w:rsidRPr="0043431B">
        <w:rPr>
          <w:rFonts w:cs="Times New Roman"/>
          <w:color w:val="000000" w:themeColor="text1"/>
          <w:szCs w:val="20"/>
          <w:lang w:val="en-IE"/>
        </w:rPr>
        <w:t xml:space="preserve">The </w:t>
      </w:r>
      <w:r w:rsidRPr="0043431B">
        <w:rPr>
          <w:rFonts w:cs="Times New Roman"/>
          <w:szCs w:val="20"/>
          <w:lang w:val="en-IE"/>
        </w:rPr>
        <w:t xml:space="preserve">Commission </w:t>
      </w:r>
      <w:r w:rsidR="00A6217D" w:rsidRPr="0043431B">
        <w:rPr>
          <w:rFonts w:cs="Times New Roman"/>
          <w:szCs w:val="20"/>
          <w:lang w:val="en-IE"/>
        </w:rPr>
        <w:t xml:space="preserve">considered comments and </w:t>
      </w:r>
      <w:r w:rsidRPr="0043431B">
        <w:rPr>
          <w:rFonts w:cs="Times New Roman"/>
          <w:color w:val="000000" w:themeColor="text1"/>
          <w:szCs w:val="20"/>
          <w:lang w:val="en-IE"/>
        </w:rPr>
        <w:t xml:space="preserve">amended </w:t>
      </w:r>
      <w:r w:rsidR="00A6217D" w:rsidRPr="0043431B">
        <w:rPr>
          <w:rFonts w:cs="Times New Roman"/>
          <w:color w:val="000000" w:themeColor="text1"/>
          <w:szCs w:val="20"/>
          <w:lang w:val="en-IE"/>
        </w:rPr>
        <w:t xml:space="preserve">the </w:t>
      </w:r>
      <w:r w:rsidRPr="0043431B">
        <w:rPr>
          <w:rFonts w:cs="Times New Roman"/>
          <w:color w:val="000000" w:themeColor="text1"/>
          <w:szCs w:val="20"/>
          <w:lang w:val="en-IE"/>
        </w:rPr>
        <w:t>definition</w:t>
      </w:r>
      <w:r w:rsidR="00E72D4D">
        <w:rPr>
          <w:rFonts w:cs="Times New Roman"/>
          <w:color w:val="000000" w:themeColor="text1"/>
          <w:szCs w:val="20"/>
          <w:lang w:val="en-IE"/>
        </w:rPr>
        <w:t xml:space="preserve"> of ‘aquatic animal waste’</w:t>
      </w:r>
      <w:r w:rsidRPr="0043431B">
        <w:rPr>
          <w:rFonts w:cs="Times New Roman"/>
          <w:color w:val="000000" w:themeColor="text1"/>
          <w:szCs w:val="20"/>
          <w:lang w:val="en-IE"/>
        </w:rPr>
        <w:t xml:space="preserve"> to make the distinction between aquatic animal products and aquatic animal waste</w:t>
      </w:r>
      <w:r w:rsidR="00E72D4D">
        <w:rPr>
          <w:rFonts w:cs="Times New Roman"/>
          <w:color w:val="000000" w:themeColor="text1"/>
          <w:szCs w:val="20"/>
          <w:lang w:val="en-IE"/>
        </w:rPr>
        <w:t>,</w:t>
      </w:r>
      <w:r w:rsidRPr="0043431B">
        <w:rPr>
          <w:rFonts w:cs="Times New Roman"/>
          <w:color w:val="000000" w:themeColor="text1"/>
          <w:szCs w:val="20"/>
          <w:lang w:val="en-IE"/>
        </w:rPr>
        <w:t xml:space="preserve"> and to distinguish aquatic animal waste from </w:t>
      </w:r>
      <w:r w:rsidR="00A6217D" w:rsidRPr="0043431B">
        <w:rPr>
          <w:rFonts w:cs="Times New Roman"/>
          <w:color w:val="000000" w:themeColor="text1"/>
          <w:szCs w:val="20"/>
          <w:lang w:val="en-IE"/>
        </w:rPr>
        <w:t xml:space="preserve">aquatic animal </w:t>
      </w:r>
      <w:r w:rsidRPr="0043431B">
        <w:rPr>
          <w:rFonts w:cs="Times New Roman"/>
          <w:color w:val="000000" w:themeColor="text1"/>
          <w:szCs w:val="20"/>
          <w:lang w:val="en-IE"/>
        </w:rPr>
        <w:t>by-products. As a consequence of th</w:t>
      </w:r>
      <w:r w:rsidR="00A6217D" w:rsidRPr="0043431B">
        <w:rPr>
          <w:rFonts w:cs="Times New Roman"/>
          <w:color w:val="000000" w:themeColor="text1"/>
          <w:szCs w:val="20"/>
          <w:lang w:val="en-IE"/>
        </w:rPr>
        <w:t>ese amendments</w:t>
      </w:r>
      <w:r w:rsidRPr="0043431B">
        <w:rPr>
          <w:rFonts w:cs="Times New Roman"/>
          <w:color w:val="000000" w:themeColor="text1"/>
          <w:szCs w:val="20"/>
          <w:lang w:val="en-IE"/>
        </w:rPr>
        <w:t xml:space="preserve">, the </w:t>
      </w:r>
      <w:r w:rsidRPr="0043431B">
        <w:rPr>
          <w:rFonts w:cs="Times New Roman"/>
          <w:szCs w:val="20"/>
          <w:lang w:val="en-IE"/>
        </w:rPr>
        <w:t xml:space="preserve">Commission </w:t>
      </w:r>
      <w:r w:rsidRPr="0043431B">
        <w:rPr>
          <w:rFonts w:cs="Times New Roman"/>
          <w:color w:val="000000" w:themeColor="text1"/>
          <w:szCs w:val="20"/>
          <w:lang w:val="en-IE"/>
        </w:rPr>
        <w:t>also made changes to the definition of ‘aquatic animal products’</w:t>
      </w:r>
      <w:r w:rsidR="007A5DAA" w:rsidRPr="0043431B">
        <w:rPr>
          <w:rFonts w:cs="Times New Roman"/>
          <w:color w:val="000000" w:themeColor="text1"/>
          <w:szCs w:val="20"/>
          <w:lang w:val="en-IE"/>
        </w:rPr>
        <w:t xml:space="preserve"> to align it with the new definition of ‘aquatic animal waste’</w:t>
      </w:r>
      <w:r w:rsidRPr="0043431B">
        <w:rPr>
          <w:rFonts w:cs="Times New Roman"/>
          <w:color w:val="000000" w:themeColor="text1"/>
          <w:szCs w:val="20"/>
          <w:lang w:val="en-IE"/>
        </w:rPr>
        <w:t xml:space="preserve">.  </w:t>
      </w:r>
    </w:p>
    <w:p w14:paraId="290EB7EB" w14:textId="43835997" w:rsidR="00A6217D" w:rsidRPr="0043431B" w:rsidRDefault="00A6217D" w:rsidP="008F75D3">
      <w:pPr>
        <w:spacing w:after="240" w:line="240" w:lineRule="auto"/>
        <w:ind w:left="1440"/>
        <w:jc w:val="both"/>
        <w:rPr>
          <w:rFonts w:cs="Times New Roman"/>
          <w:szCs w:val="20"/>
          <w:lang w:val="en-IE"/>
        </w:rPr>
      </w:pPr>
      <w:r w:rsidRPr="0043431B">
        <w:rPr>
          <w:rFonts w:cs="Times New Roman"/>
          <w:szCs w:val="20"/>
          <w:lang w:val="en-IE"/>
        </w:rPr>
        <w:t>The Commission noted that, as per convention, o</w:t>
      </w:r>
      <w:r w:rsidR="005C57E5" w:rsidRPr="0043431B">
        <w:rPr>
          <w:rFonts w:cs="Times New Roman"/>
          <w:szCs w:val="20"/>
          <w:lang w:val="en-IE"/>
        </w:rPr>
        <w:t xml:space="preserve">nce the new Glossary definition </w:t>
      </w:r>
      <w:r w:rsidRPr="0043431B">
        <w:rPr>
          <w:rFonts w:cs="Times New Roman"/>
          <w:szCs w:val="20"/>
          <w:lang w:val="en-IE"/>
        </w:rPr>
        <w:t xml:space="preserve">for ‘aquatic animal waste’ </w:t>
      </w:r>
      <w:r w:rsidR="005C57E5" w:rsidRPr="0043431B">
        <w:rPr>
          <w:rFonts w:cs="Times New Roman"/>
          <w:szCs w:val="20"/>
          <w:lang w:val="en-IE"/>
        </w:rPr>
        <w:t>is adopted, the definition for ‘aquatic animal waste’ in Article 4.7.3 will be deleted</w:t>
      </w:r>
      <w:r w:rsidRPr="0043431B">
        <w:rPr>
          <w:rFonts w:cs="Times New Roman"/>
          <w:szCs w:val="20"/>
          <w:lang w:val="en-IE"/>
        </w:rPr>
        <w:t>.</w:t>
      </w:r>
    </w:p>
    <w:p w14:paraId="37504458" w14:textId="77777777" w:rsidR="00F35D45" w:rsidRDefault="00A6217D" w:rsidP="008F75D3">
      <w:pPr>
        <w:spacing w:after="240" w:line="240" w:lineRule="auto"/>
        <w:ind w:left="1440"/>
        <w:jc w:val="both"/>
        <w:rPr>
          <w:rFonts w:cs="Times New Roman"/>
          <w:szCs w:val="20"/>
          <w:lang w:val="en-IE"/>
        </w:rPr>
      </w:pPr>
      <w:r w:rsidRPr="0043431B">
        <w:rPr>
          <w:rFonts w:cs="Times New Roman"/>
          <w:szCs w:val="20"/>
          <w:lang w:val="en-IE"/>
        </w:rPr>
        <w:t xml:space="preserve">The Commission also reviewed the use of the term ‘waste’ throughout the </w:t>
      </w:r>
      <w:r w:rsidRPr="0043431B">
        <w:rPr>
          <w:rFonts w:cs="Times New Roman"/>
          <w:i/>
          <w:szCs w:val="20"/>
          <w:lang w:val="en-IE"/>
        </w:rPr>
        <w:t>Aquatic Cod</w:t>
      </w:r>
      <w:r w:rsidRPr="00F5355A">
        <w:rPr>
          <w:rFonts w:cs="Times New Roman"/>
          <w:i/>
          <w:szCs w:val="20"/>
          <w:lang w:val="en-IE"/>
        </w:rPr>
        <w:t>e</w:t>
      </w:r>
      <w:r w:rsidRPr="0043431B">
        <w:rPr>
          <w:rFonts w:cs="Times New Roman"/>
          <w:szCs w:val="20"/>
          <w:lang w:val="en-IE"/>
        </w:rPr>
        <w:t xml:space="preserve"> and proposed that once the new definition </w:t>
      </w:r>
      <w:r w:rsidR="000D32A5">
        <w:rPr>
          <w:rFonts w:cs="Times New Roman"/>
          <w:szCs w:val="20"/>
          <w:lang w:val="en-IE"/>
        </w:rPr>
        <w:t xml:space="preserve">for </w:t>
      </w:r>
      <w:r w:rsidR="000D32A5" w:rsidRPr="0043431B">
        <w:rPr>
          <w:rFonts w:cs="Times New Roman"/>
          <w:szCs w:val="20"/>
          <w:lang w:val="en-IE"/>
        </w:rPr>
        <w:t>‘aquatic animal waste’ is adopted</w:t>
      </w:r>
      <w:r w:rsidR="00F35D45">
        <w:rPr>
          <w:rFonts w:cs="Times New Roman"/>
          <w:szCs w:val="20"/>
          <w:lang w:val="en-IE"/>
        </w:rPr>
        <w:t>,</w:t>
      </w:r>
      <w:r w:rsidR="000D32A5">
        <w:rPr>
          <w:rFonts w:cs="Times New Roman"/>
          <w:szCs w:val="20"/>
          <w:lang w:val="en-IE"/>
        </w:rPr>
        <w:t xml:space="preserve"> </w:t>
      </w:r>
      <w:r w:rsidRPr="0043431B">
        <w:rPr>
          <w:rFonts w:cs="Times New Roman"/>
          <w:szCs w:val="20"/>
          <w:lang w:val="en-IE"/>
        </w:rPr>
        <w:t xml:space="preserve">the term ‘waste’ </w:t>
      </w:r>
      <w:r w:rsidR="000D32A5">
        <w:rPr>
          <w:rFonts w:cs="Times New Roman"/>
          <w:szCs w:val="20"/>
          <w:lang w:val="en-IE"/>
        </w:rPr>
        <w:t xml:space="preserve">will </w:t>
      </w:r>
      <w:r w:rsidRPr="0043431B">
        <w:rPr>
          <w:rFonts w:cs="Times New Roman"/>
          <w:szCs w:val="20"/>
          <w:lang w:val="en-IE"/>
        </w:rPr>
        <w:t>be amended to the italicised term ‘aquatic animal waste’</w:t>
      </w:r>
      <w:r w:rsidR="000D32A5">
        <w:rPr>
          <w:rFonts w:cs="Times New Roman"/>
          <w:szCs w:val="20"/>
          <w:lang w:val="en-IE"/>
        </w:rPr>
        <w:t>, where relevant,</w:t>
      </w:r>
      <w:r w:rsidRPr="0043431B">
        <w:rPr>
          <w:rFonts w:cs="Times New Roman"/>
          <w:szCs w:val="20"/>
          <w:lang w:val="en-IE"/>
        </w:rPr>
        <w:t xml:space="preserve"> to reflect the defined term</w:t>
      </w:r>
      <w:r w:rsidR="000555E1" w:rsidRPr="0043431B">
        <w:rPr>
          <w:rFonts w:cs="Times New Roman"/>
          <w:szCs w:val="20"/>
          <w:lang w:val="en-IE"/>
        </w:rPr>
        <w:t xml:space="preserve">. </w:t>
      </w:r>
    </w:p>
    <w:p w14:paraId="389AD9A7" w14:textId="66A95D5C" w:rsidR="006E6A85" w:rsidRDefault="005C57E5" w:rsidP="008F75D3">
      <w:pPr>
        <w:spacing w:after="240" w:line="240" w:lineRule="auto"/>
        <w:ind w:left="1440"/>
        <w:jc w:val="both"/>
        <w:rPr>
          <w:rFonts w:cs="Times New Roman"/>
          <w:szCs w:val="20"/>
        </w:rPr>
      </w:pPr>
      <w:r w:rsidRPr="00A5604D">
        <w:rPr>
          <w:rFonts w:cs="Times New Roman"/>
          <w:szCs w:val="20"/>
        </w:rPr>
        <w:t xml:space="preserve">The revised Glossary definitions for ‘aquatic animal waste’ and </w:t>
      </w:r>
      <w:r w:rsidRPr="00A5604D">
        <w:rPr>
          <w:rFonts w:cs="Times New Roman"/>
          <w:color w:val="000000" w:themeColor="text1"/>
          <w:szCs w:val="20"/>
          <w:lang w:val="en-IE"/>
        </w:rPr>
        <w:t>‘aquatic animal products’ are</w:t>
      </w:r>
      <w:r w:rsidRPr="00A5604D">
        <w:rPr>
          <w:rFonts w:cs="Times New Roman"/>
          <w:szCs w:val="20"/>
        </w:rPr>
        <w:t xml:space="preserve"> presented in </w:t>
      </w:r>
      <w:hyperlink w:anchor="_Annex_7_1" w:history="1">
        <w:r w:rsidR="00790765" w:rsidRPr="00B022A4">
          <w:rPr>
            <w:rStyle w:val="Lienhypertexte"/>
            <w:rFonts w:cs="Times New Roman"/>
            <w:szCs w:val="20"/>
          </w:rPr>
          <w:t xml:space="preserve">Annex </w:t>
        </w:r>
        <w:r w:rsidR="00790765">
          <w:rPr>
            <w:rStyle w:val="Lienhypertexte"/>
            <w:rFonts w:cs="Times New Roman"/>
            <w:szCs w:val="20"/>
          </w:rPr>
          <w:t>7</w:t>
        </w:r>
      </w:hyperlink>
      <w:r w:rsidR="00790765" w:rsidRPr="00A5604D">
        <w:rPr>
          <w:rFonts w:cs="Times New Roman"/>
          <w:szCs w:val="20"/>
        </w:rPr>
        <w:t xml:space="preserve"> </w:t>
      </w:r>
      <w:r w:rsidR="004628D5" w:rsidRPr="00A5604D">
        <w:rPr>
          <w:rFonts w:cs="Times New Roman"/>
          <w:szCs w:val="20"/>
        </w:rPr>
        <w:t>for Member comments</w:t>
      </w:r>
      <w:r w:rsidR="00F35D45" w:rsidRPr="00A5604D">
        <w:rPr>
          <w:rFonts w:cs="Times New Roman"/>
          <w:szCs w:val="20"/>
        </w:rPr>
        <w:t xml:space="preserve">. </w:t>
      </w:r>
    </w:p>
    <w:p w14:paraId="405249F2" w14:textId="66429F01" w:rsidR="005C57E5" w:rsidRPr="00A5604D" w:rsidRDefault="006E6A85" w:rsidP="00022158">
      <w:pPr>
        <w:spacing w:after="240" w:line="240" w:lineRule="auto"/>
        <w:ind w:left="1440"/>
        <w:jc w:val="both"/>
        <w:rPr>
          <w:rFonts w:cs="Times New Roman"/>
          <w:szCs w:val="20"/>
        </w:rPr>
      </w:pPr>
      <w:r>
        <w:rPr>
          <w:rFonts w:cs="Times New Roman"/>
          <w:szCs w:val="20"/>
        </w:rPr>
        <w:t xml:space="preserve">Note: </w:t>
      </w:r>
      <w:r w:rsidR="00F35D45" w:rsidRPr="00A5604D">
        <w:rPr>
          <w:rFonts w:cs="Times New Roman"/>
          <w:szCs w:val="20"/>
          <w:lang w:val="en-IE"/>
        </w:rPr>
        <w:t xml:space="preserve">The adoption has been postponed until the </w:t>
      </w:r>
      <w:r w:rsidR="00F35D45" w:rsidRPr="00060F5F">
        <w:rPr>
          <w:rFonts w:cs="Times New Roman"/>
          <w:szCs w:val="20"/>
          <w:lang w:val="en-SG"/>
        </w:rPr>
        <w:t>89th</w:t>
      </w:r>
      <w:r w:rsidR="00060F5F">
        <w:rPr>
          <w:rFonts w:cs="Times New Roman"/>
          <w:szCs w:val="20"/>
          <w:lang w:val="en-SG"/>
        </w:rPr>
        <w:t> </w:t>
      </w:r>
      <w:r w:rsidR="00F35D45" w:rsidRPr="00A5604D">
        <w:rPr>
          <w:rFonts w:cs="Times New Roman"/>
          <w:szCs w:val="20"/>
          <w:lang w:val="en-SG"/>
        </w:rPr>
        <w:t>General Session in May 2021. As the Glossary definitions have already undergone extensive consultation, Members are requested to only submit comments to address substantive issues that have not been considered previously</w:t>
      </w:r>
      <w:r w:rsidR="005C57E5" w:rsidRPr="00A5604D">
        <w:rPr>
          <w:rFonts w:cs="Times New Roman"/>
          <w:szCs w:val="20"/>
        </w:rPr>
        <w:t xml:space="preserve">. </w:t>
      </w:r>
    </w:p>
    <w:p w14:paraId="2FEB9D36" w14:textId="77777777" w:rsidR="006E57F4" w:rsidRPr="0043431B" w:rsidRDefault="006E57F4" w:rsidP="00022158">
      <w:pPr>
        <w:pStyle w:val="Titre2"/>
        <w:spacing w:before="0" w:after="240" w:line="240" w:lineRule="auto"/>
        <w:ind w:left="851" w:hanging="425"/>
        <w:jc w:val="both"/>
        <w:rPr>
          <w:rFonts w:cs="Times New Roman"/>
          <w:b/>
          <w:bCs/>
          <w:szCs w:val="20"/>
        </w:rPr>
      </w:pPr>
      <w:bookmarkStart w:id="26" w:name="_Toc38028626"/>
      <w:r w:rsidRPr="0043431B">
        <w:rPr>
          <w:rFonts w:cs="Times New Roman"/>
          <w:b/>
          <w:bCs/>
          <w:szCs w:val="20"/>
        </w:rPr>
        <w:t>7.2.</w:t>
      </w:r>
      <w:r w:rsidRPr="0043431B">
        <w:rPr>
          <w:rFonts w:cs="Times New Roman"/>
          <w:b/>
          <w:bCs/>
          <w:szCs w:val="20"/>
        </w:rPr>
        <w:tab/>
        <w:t xml:space="preserve">Texts </w:t>
      </w:r>
      <w:r w:rsidR="00D3180A" w:rsidRPr="0043431B">
        <w:rPr>
          <w:rFonts w:cs="Times New Roman"/>
          <w:b/>
          <w:bCs/>
          <w:szCs w:val="20"/>
        </w:rPr>
        <w:t xml:space="preserve">for </w:t>
      </w:r>
      <w:r w:rsidRPr="0043431B">
        <w:rPr>
          <w:rFonts w:cs="Times New Roman"/>
          <w:b/>
          <w:bCs/>
          <w:szCs w:val="20"/>
        </w:rPr>
        <w:t>Member comments</w:t>
      </w:r>
      <w:bookmarkEnd w:id="26"/>
    </w:p>
    <w:p w14:paraId="7CFAE15A" w14:textId="77777777" w:rsidR="003447A3" w:rsidRPr="00A5604D" w:rsidRDefault="003447A3" w:rsidP="00022158">
      <w:pPr>
        <w:pStyle w:val="Titre3"/>
        <w:spacing w:before="0" w:after="240"/>
        <w:ind w:firstLine="900"/>
        <w:jc w:val="both"/>
        <w:rPr>
          <w:rFonts w:cs="Times New Roman"/>
          <w:b/>
          <w:bCs/>
          <w:i w:val="0"/>
          <w:iCs/>
        </w:rPr>
      </w:pPr>
      <w:bookmarkStart w:id="27" w:name="_Toc38028627"/>
      <w:r w:rsidRPr="00A5604D">
        <w:rPr>
          <w:rFonts w:cs="Times New Roman"/>
          <w:b/>
          <w:bCs/>
          <w:i w:val="0"/>
          <w:iCs/>
        </w:rPr>
        <w:t>7.2.</w:t>
      </w:r>
      <w:r w:rsidR="005C57E5" w:rsidRPr="00A5604D">
        <w:rPr>
          <w:rFonts w:cs="Times New Roman"/>
          <w:b/>
          <w:bCs/>
          <w:i w:val="0"/>
          <w:iCs/>
        </w:rPr>
        <w:t>1</w:t>
      </w:r>
      <w:r w:rsidRPr="00A5604D">
        <w:rPr>
          <w:rFonts w:cs="Times New Roman"/>
          <w:b/>
          <w:bCs/>
          <w:i w:val="0"/>
          <w:iCs/>
        </w:rPr>
        <w:t>.</w:t>
      </w:r>
      <w:r w:rsidRPr="00A5604D">
        <w:rPr>
          <w:rFonts w:cs="Times New Roman"/>
          <w:b/>
          <w:bCs/>
          <w:i w:val="0"/>
          <w:iCs/>
        </w:rPr>
        <w:tab/>
        <w:t>Revised Glossary definition for ‘vector’</w:t>
      </w:r>
      <w:bookmarkEnd w:id="27"/>
    </w:p>
    <w:p w14:paraId="19F20271" w14:textId="278D9F73" w:rsidR="003447A3" w:rsidRPr="0043431B" w:rsidRDefault="003447A3" w:rsidP="00022158">
      <w:pPr>
        <w:spacing w:after="240" w:line="240" w:lineRule="auto"/>
        <w:ind w:left="1440"/>
        <w:jc w:val="both"/>
        <w:rPr>
          <w:rFonts w:cs="Times New Roman"/>
          <w:i/>
          <w:iCs/>
          <w:color w:val="000000"/>
          <w:szCs w:val="20"/>
          <w:shd w:val="clear" w:color="auto" w:fill="FFFFFF"/>
        </w:rPr>
      </w:pPr>
      <w:r w:rsidRPr="0043431B">
        <w:rPr>
          <w:rFonts w:cs="Times New Roman"/>
          <w:szCs w:val="20"/>
        </w:rPr>
        <w:t xml:space="preserve">In response to a request </w:t>
      </w:r>
      <w:r w:rsidR="00712A50" w:rsidRPr="0043431B">
        <w:rPr>
          <w:rFonts w:cs="Times New Roman"/>
          <w:szCs w:val="20"/>
        </w:rPr>
        <w:t xml:space="preserve">from </w:t>
      </w:r>
      <w:r w:rsidRPr="0043431B">
        <w:rPr>
          <w:rFonts w:cs="Times New Roman"/>
          <w:szCs w:val="20"/>
        </w:rPr>
        <w:t xml:space="preserve">the </w:t>
      </w:r>
      <w:r w:rsidRPr="0043431B">
        <w:rPr>
          <w:rFonts w:cs="Times New Roman"/>
          <w:i/>
          <w:iCs/>
          <w:szCs w:val="20"/>
        </w:rPr>
        <w:t>ad hoc</w:t>
      </w:r>
      <w:r w:rsidRPr="0043431B">
        <w:rPr>
          <w:rFonts w:cs="Times New Roman"/>
          <w:szCs w:val="20"/>
        </w:rPr>
        <w:t xml:space="preserve"> Group on Susceptibility of mollusc species</w:t>
      </w:r>
      <w:r w:rsidR="00A5604D">
        <w:rPr>
          <w:rFonts w:cs="Times New Roman"/>
          <w:szCs w:val="20"/>
        </w:rPr>
        <w:t xml:space="preserve"> to </w:t>
      </w:r>
      <w:r w:rsidR="008A1F78">
        <w:rPr>
          <w:rFonts w:cs="Times New Roman"/>
          <w:szCs w:val="20"/>
        </w:rPr>
        <w:t xml:space="preserve">infection with </w:t>
      </w:r>
      <w:r w:rsidR="00A5604D">
        <w:rPr>
          <w:rFonts w:cs="Times New Roman"/>
          <w:szCs w:val="20"/>
        </w:rPr>
        <w:t>OIE listed diseases</w:t>
      </w:r>
      <w:r w:rsidRPr="0043431B">
        <w:rPr>
          <w:rFonts w:cs="Times New Roman"/>
          <w:szCs w:val="20"/>
        </w:rPr>
        <w:t xml:space="preserve">, the </w:t>
      </w:r>
      <w:r w:rsidR="001A3C31" w:rsidRPr="0043431B">
        <w:rPr>
          <w:rFonts w:cs="Times New Roman"/>
          <w:szCs w:val="20"/>
          <w:lang w:val="en-IE"/>
        </w:rPr>
        <w:t xml:space="preserve">Commission </w:t>
      </w:r>
      <w:r w:rsidR="00712A50" w:rsidRPr="0043431B">
        <w:rPr>
          <w:rFonts w:cs="Times New Roman"/>
          <w:szCs w:val="20"/>
        </w:rPr>
        <w:t xml:space="preserve">amended </w:t>
      </w:r>
      <w:r w:rsidRPr="0043431B">
        <w:rPr>
          <w:rFonts w:cs="Times New Roman"/>
          <w:szCs w:val="20"/>
        </w:rPr>
        <w:t xml:space="preserve">the </w:t>
      </w:r>
      <w:r w:rsidR="00712A50" w:rsidRPr="0043431B">
        <w:rPr>
          <w:rFonts w:cs="Times New Roman"/>
          <w:szCs w:val="20"/>
        </w:rPr>
        <w:t xml:space="preserve">Glossary </w:t>
      </w:r>
      <w:r w:rsidRPr="0043431B">
        <w:rPr>
          <w:rFonts w:cs="Times New Roman"/>
          <w:szCs w:val="20"/>
        </w:rPr>
        <w:t xml:space="preserve">definition of </w:t>
      </w:r>
      <w:r w:rsidR="00A5604D">
        <w:rPr>
          <w:rFonts w:cs="Times New Roman"/>
          <w:szCs w:val="20"/>
        </w:rPr>
        <w:t>‘</w:t>
      </w:r>
      <w:r w:rsidRPr="00A5604D">
        <w:rPr>
          <w:rFonts w:cs="Times New Roman"/>
          <w:szCs w:val="20"/>
        </w:rPr>
        <w:t>vector</w:t>
      </w:r>
      <w:r w:rsidR="00A5604D">
        <w:rPr>
          <w:rFonts w:cs="Times New Roman"/>
          <w:szCs w:val="20"/>
        </w:rPr>
        <w:t>’</w:t>
      </w:r>
      <w:r w:rsidRPr="0043431B">
        <w:rPr>
          <w:rFonts w:cs="Times New Roman"/>
          <w:bCs/>
          <w:szCs w:val="20"/>
          <w:lang w:val="en-US"/>
        </w:rPr>
        <w:t xml:space="preserve"> to </w:t>
      </w:r>
      <w:r w:rsidR="00E72D4D">
        <w:rPr>
          <w:rFonts w:cs="Times New Roman"/>
          <w:bCs/>
          <w:szCs w:val="20"/>
          <w:lang w:val="en-US"/>
        </w:rPr>
        <w:t xml:space="preserve">make </w:t>
      </w:r>
      <w:r w:rsidR="00A5604D">
        <w:rPr>
          <w:rFonts w:cs="Times New Roman"/>
          <w:bCs/>
          <w:szCs w:val="20"/>
          <w:lang w:val="en-US"/>
        </w:rPr>
        <w:t xml:space="preserve">it </w:t>
      </w:r>
      <w:r w:rsidR="00E72D4D">
        <w:rPr>
          <w:rFonts w:cs="Times New Roman"/>
          <w:bCs/>
          <w:szCs w:val="20"/>
          <w:lang w:val="en-US"/>
        </w:rPr>
        <w:t xml:space="preserve">clear that </w:t>
      </w:r>
      <w:r w:rsidRPr="0043431B">
        <w:rPr>
          <w:rFonts w:cs="Times New Roman"/>
          <w:bCs/>
          <w:szCs w:val="20"/>
          <w:lang w:val="en-US"/>
        </w:rPr>
        <w:t xml:space="preserve">vectors </w:t>
      </w:r>
      <w:r w:rsidR="00E72D4D">
        <w:rPr>
          <w:rFonts w:cs="Times New Roman"/>
          <w:bCs/>
          <w:szCs w:val="20"/>
          <w:lang w:val="en-US"/>
        </w:rPr>
        <w:t xml:space="preserve">for a specified </w:t>
      </w:r>
      <w:r w:rsidR="005D7252">
        <w:rPr>
          <w:rFonts w:cs="Times New Roman"/>
          <w:bCs/>
          <w:szCs w:val="20"/>
          <w:lang w:val="en-US"/>
        </w:rPr>
        <w:t xml:space="preserve">infectious agent </w:t>
      </w:r>
      <w:r w:rsidR="00E72D4D">
        <w:rPr>
          <w:rFonts w:cs="Times New Roman"/>
          <w:bCs/>
          <w:szCs w:val="20"/>
          <w:lang w:val="en-US"/>
        </w:rPr>
        <w:t>cannot be</w:t>
      </w:r>
      <w:r w:rsidR="00A5604D">
        <w:rPr>
          <w:rFonts w:cs="Times New Roman"/>
          <w:bCs/>
          <w:szCs w:val="20"/>
          <w:lang w:val="en-US"/>
        </w:rPr>
        <w:t xml:space="preserve"> listed as</w:t>
      </w:r>
      <w:r w:rsidR="00E72D4D">
        <w:rPr>
          <w:rFonts w:cs="Times New Roman"/>
          <w:bCs/>
          <w:szCs w:val="20"/>
          <w:lang w:val="en-US"/>
        </w:rPr>
        <w:t xml:space="preserve"> </w:t>
      </w:r>
      <w:r w:rsidR="005D7252">
        <w:rPr>
          <w:rFonts w:cs="Times New Roman"/>
          <w:bCs/>
          <w:szCs w:val="20"/>
          <w:lang w:val="en-US"/>
        </w:rPr>
        <w:t xml:space="preserve">a </w:t>
      </w:r>
      <w:r w:rsidRPr="0043431B">
        <w:rPr>
          <w:rFonts w:cs="Times New Roman"/>
          <w:bCs/>
          <w:szCs w:val="20"/>
          <w:lang w:val="en-US"/>
        </w:rPr>
        <w:t>susceptible species</w:t>
      </w:r>
      <w:r w:rsidR="005D7252">
        <w:rPr>
          <w:rFonts w:cs="Times New Roman"/>
          <w:bCs/>
          <w:szCs w:val="20"/>
          <w:lang w:val="en-US"/>
        </w:rPr>
        <w:t xml:space="preserve"> for the same agent</w:t>
      </w:r>
      <w:r w:rsidRPr="0043431B">
        <w:rPr>
          <w:rFonts w:cs="Times New Roman"/>
          <w:bCs/>
          <w:szCs w:val="20"/>
          <w:lang w:val="en-US"/>
        </w:rPr>
        <w:t xml:space="preserve">. </w:t>
      </w:r>
    </w:p>
    <w:p w14:paraId="745473D4" w14:textId="0CE00660" w:rsidR="003447A3" w:rsidRDefault="003447A3" w:rsidP="00022158">
      <w:pPr>
        <w:spacing w:after="240" w:line="240" w:lineRule="auto"/>
        <w:ind w:left="1440"/>
        <w:jc w:val="both"/>
        <w:rPr>
          <w:rFonts w:cs="Times New Roman"/>
          <w:szCs w:val="20"/>
        </w:rPr>
      </w:pPr>
      <w:r w:rsidRPr="00A5604D">
        <w:rPr>
          <w:rFonts w:cs="Times New Roman"/>
          <w:szCs w:val="20"/>
        </w:rPr>
        <w:t>The revised Glossary definition for ‘</w:t>
      </w:r>
      <w:r w:rsidRPr="00A5604D">
        <w:rPr>
          <w:rFonts w:cs="Times New Roman"/>
          <w:iCs/>
          <w:szCs w:val="20"/>
        </w:rPr>
        <w:t>vector’</w:t>
      </w:r>
      <w:r w:rsidRPr="00A5604D">
        <w:rPr>
          <w:rFonts w:cs="Times New Roman"/>
          <w:szCs w:val="20"/>
        </w:rPr>
        <w:t xml:space="preserve"> is presented in </w:t>
      </w:r>
      <w:hyperlink w:anchor="_Annex_9" w:history="1">
        <w:r w:rsidR="00790765" w:rsidRPr="006718E6">
          <w:rPr>
            <w:rStyle w:val="Lienhypertexte"/>
            <w:rFonts w:cs="Times New Roman"/>
            <w:szCs w:val="20"/>
          </w:rPr>
          <w:t xml:space="preserve">Annex </w:t>
        </w:r>
        <w:r w:rsidR="00790765">
          <w:rPr>
            <w:rStyle w:val="Lienhypertexte"/>
            <w:rFonts w:cs="Times New Roman"/>
            <w:szCs w:val="20"/>
          </w:rPr>
          <w:t>8</w:t>
        </w:r>
      </w:hyperlink>
      <w:r w:rsidR="00790765" w:rsidRPr="008F75D3">
        <w:rPr>
          <w:rFonts w:cs="Times New Roman"/>
          <w:szCs w:val="20"/>
        </w:rPr>
        <w:t xml:space="preserve"> </w:t>
      </w:r>
      <w:r w:rsidRPr="008F75D3">
        <w:rPr>
          <w:rFonts w:cs="Times New Roman"/>
          <w:szCs w:val="20"/>
        </w:rPr>
        <w:t>f</w:t>
      </w:r>
      <w:r w:rsidRPr="00A5604D">
        <w:rPr>
          <w:rFonts w:cs="Times New Roman"/>
          <w:szCs w:val="20"/>
        </w:rPr>
        <w:t>or Member comments.</w:t>
      </w:r>
    </w:p>
    <w:p w14:paraId="58C922A6" w14:textId="6ADCDCF0" w:rsidR="00CB0171" w:rsidRPr="0043431B" w:rsidRDefault="00CB0171" w:rsidP="00022158">
      <w:pPr>
        <w:pStyle w:val="Titre2"/>
        <w:spacing w:before="0" w:after="240" w:line="240" w:lineRule="auto"/>
        <w:ind w:firstLine="993"/>
        <w:jc w:val="both"/>
        <w:rPr>
          <w:rFonts w:cs="Times New Roman"/>
          <w:b/>
          <w:bCs/>
          <w:szCs w:val="20"/>
        </w:rPr>
      </w:pPr>
      <w:bookmarkStart w:id="28" w:name="_Toc38028628"/>
      <w:r w:rsidRPr="00CB0171">
        <w:rPr>
          <w:rFonts w:cs="Times New Roman"/>
          <w:b/>
          <w:bCs/>
          <w:szCs w:val="20"/>
        </w:rPr>
        <w:t>7.2.2. Approaches for determining periods required to demonstrate disease freedom</w:t>
      </w:r>
      <w:bookmarkEnd w:id="28"/>
    </w:p>
    <w:p w14:paraId="37431591" w14:textId="77777777" w:rsidR="00CB0171" w:rsidRPr="002A507E" w:rsidRDefault="00CB0171" w:rsidP="00022158">
      <w:pPr>
        <w:spacing w:after="240" w:line="240" w:lineRule="auto"/>
        <w:ind w:left="1440"/>
        <w:jc w:val="both"/>
        <w:rPr>
          <w:rFonts w:cs="Times New Roman"/>
          <w:i/>
          <w:iCs/>
          <w:szCs w:val="20"/>
        </w:rPr>
      </w:pPr>
      <w:r w:rsidRPr="002A507E">
        <w:rPr>
          <w:rFonts w:cs="Times New Roman"/>
          <w:i/>
          <w:iCs/>
          <w:szCs w:val="20"/>
        </w:rPr>
        <w:t>Background</w:t>
      </w:r>
    </w:p>
    <w:p w14:paraId="239F3EA8" w14:textId="77777777" w:rsidR="00CB0171" w:rsidRDefault="00CB0171" w:rsidP="00022158">
      <w:pPr>
        <w:spacing w:after="240" w:line="240" w:lineRule="auto"/>
        <w:ind w:left="1440"/>
        <w:jc w:val="both"/>
        <w:rPr>
          <w:rFonts w:cs="Times New Roman"/>
          <w:szCs w:val="20"/>
          <w:lang w:val="en-US"/>
        </w:rPr>
      </w:pPr>
      <w:r w:rsidRPr="002A507E">
        <w:rPr>
          <w:rFonts w:cs="Times New Roman"/>
          <w:szCs w:val="20"/>
          <w:lang w:val="en-US"/>
        </w:rPr>
        <w:t xml:space="preserve">A discussion paper on approaches for determining periods required to demonstrate disease freedom, developed by the </w:t>
      </w:r>
      <w:r>
        <w:rPr>
          <w:rFonts w:cs="Times New Roman"/>
          <w:szCs w:val="20"/>
          <w:lang w:val="en-US"/>
        </w:rPr>
        <w:t xml:space="preserve">Aquatic Animals </w:t>
      </w:r>
      <w:r w:rsidRPr="002A507E">
        <w:rPr>
          <w:rFonts w:cs="Times New Roman"/>
          <w:szCs w:val="20"/>
          <w:lang w:val="en-US"/>
        </w:rPr>
        <w:t>Commission, was first circulated for comments in the Commission’s September 2018 report. The Commission considered comments received and circulated a revised discussion paper in its September 2019 report.</w:t>
      </w:r>
    </w:p>
    <w:p w14:paraId="67627C2C" w14:textId="77777777" w:rsidR="00CB0171" w:rsidRPr="0043431B" w:rsidRDefault="00CB0171" w:rsidP="00022158">
      <w:pPr>
        <w:spacing w:after="240" w:line="240" w:lineRule="auto"/>
        <w:ind w:left="1440"/>
        <w:jc w:val="both"/>
        <w:rPr>
          <w:rFonts w:cs="Times New Roman"/>
          <w:b/>
          <w:bCs/>
          <w:szCs w:val="20"/>
        </w:rPr>
      </w:pPr>
      <w:r>
        <w:rPr>
          <w:rFonts w:cs="Times New Roman"/>
          <w:b/>
          <w:bCs/>
          <w:szCs w:val="20"/>
        </w:rPr>
        <w:t>Previous Commission reports where this item was discussed</w:t>
      </w:r>
      <w:r w:rsidRPr="0043431B">
        <w:rPr>
          <w:rFonts w:cs="Times New Roman"/>
          <w:b/>
          <w:bCs/>
          <w:szCs w:val="20"/>
        </w:rPr>
        <w:t>:</w:t>
      </w:r>
    </w:p>
    <w:p w14:paraId="48429FEA" w14:textId="52A45411" w:rsidR="00CB0171" w:rsidRDefault="00CB0171" w:rsidP="00022158">
      <w:pPr>
        <w:spacing w:after="240" w:line="240" w:lineRule="auto"/>
        <w:ind w:left="1440"/>
        <w:jc w:val="both"/>
        <w:rPr>
          <w:rFonts w:cs="Times New Roman"/>
          <w:szCs w:val="20"/>
        </w:rPr>
      </w:pPr>
      <w:r w:rsidRPr="002A507E">
        <w:rPr>
          <w:rFonts w:cs="Times New Roman"/>
          <w:szCs w:val="20"/>
        </w:rPr>
        <w:t>September 2018 report (Item 2.10, page 71); September 2019 report (Item 6.6, page 55)</w:t>
      </w:r>
      <w:r w:rsidR="008F75D3">
        <w:rPr>
          <w:rFonts w:cs="Times New Roman"/>
          <w:szCs w:val="20"/>
        </w:rPr>
        <w:t>.</w:t>
      </w:r>
    </w:p>
    <w:p w14:paraId="278152CC" w14:textId="77777777" w:rsidR="00CB0171" w:rsidRPr="002A507E" w:rsidRDefault="00CB0171" w:rsidP="00022158">
      <w:pPr>
        <w:spacing w:after="240" w:line="240" w:lineRule="auto"/>
        <w:ind w:left="1440"/>
        <w:jc w:val="both"/>
        <w:rPr>
          <w:rFonts w:cs="Times New Roman"/>
          <w:b/>
          <w:bCs/>
          <w:szCs w:val="20"/>
        </w:rPr>
      </w:pPr>
      <w:r w:rsidRPr="002A507E">
        <w:rPr>
          <w:rFonts w:cs="Times New Roman"/>
          <w:b/>
          <w:bCs/>
          <w:szCs w:val="20"/>
        </w:rPr>
        <w:t>February 2020 meeting</w:t>
      </w:r>
    </w:p>
    <w:p w14:paraId="275214FB" w14:textId="77777777" w:rsidR="00CB0171" w:rsidRDefault="00CB0171" w:rsidP="00022158">
      <w:pPr>
        <w:spacing w:after="240" w:line="240" w:lineRule="auto"/>
        <w:ind w:left="1440"/>
        <w:jc w:val="both"/>
        <w:rPr>
          <w:rFonts w:cs="Times New Roman"/>
          <w:szCs w:val="20"/>
          <w:lang w:val="en-US"/>
        </w:rPr>
      </w:pPr>
      <w:r w:rsidRPr="002A507E">
        <w:rPr>
          <w:rFonts w:cs="Times New Roman"/>
          <w:szCs w:val="20"/>
          <w:lang w:val="en-US"/>
        </w:rPr>
        <w:t>Comments were received from Australia, Canada, Chile, China (People’s Rep. of), Japan, Nicaragua, New Zealand, Norway, Thailand, the USA</w:t>
      </w:r>
      <w:r>
        <w:rPr>
          <w:rFonts w:cs="Times New Roman"/>
          <w:szCs w:val="20"/>
          <w:lang w:val="en-US"/>
        </w:rPr>
        <w:t xml:space="preserve"> and</w:t>
      </w:r>
      <w:r w:rsidRPr="002A507E">
        <w:rPr>
          <w:rFonts w:cs="Times New Roman"/>
          <w:szCs w:val="20"/>
          <w:lang w:val="en-US"/>
        </w:rPr>
        <w:t xml:space="preserve"> the EU.</w:t>
      </w:r>
    </w:p>
    <w:p w14:paraId="5D7C4FC6" w14:textId="1A3BB26F" w:rsidR="00CB0171" w:rsidRDefault="00CB0171" w:rsidP="00022158">
      <w:pPr>
        <w:spacing w:after="240" w:line="240" w:lineRule="auto"/>
        <w:ind w:left="1440"/>
        <w:jc w:val="both"/>
        <w:rPr>
          <w:rFonts w:cs="Times New Roman"/>
          <w:szCs w:val="20"/>
          <w:lang w:val="en-US"/>
        </w:rPr>
      </w:pPr>
      <w:r w:rsidRPr="002A507E">
        <w:rPr>
          <w:rFonts w:cs="Times New Roman"/>
          <w:szCs w:val="20"/>
          <w:lang w:val="en-US"/>
        </w:rPr>
        <w:lastRenderedPageBreak/>
        <w:t xml:space="preserve">The Commission acknowledged the constructive comments submitted on the discussion paper and concluded that the paper had served its purpose. Based on the comments, the Commission focused on revising model Articles X.X.4, X.X.5 and X.X.6 in the disease-specific chapters of the </w:t>
      </w:r>
      <w:r w:rsidRPr="002A507E">
        <w:rPr>
          <w:rFonts w:cs="Times New Roman"/>
          <w:i/>
          <w:iCs/>
          <w:szCs w:val="20"/>
          <w:lang w:val="en-US"/>
        </w:rPr>
        <w:t>Aquatic Code</w:t>
      </w:r>
      <w:r w:rsidRPr="002A507E">
        <w:rPr>
          <w:rFonts w:cs="Times New Roman"/>
          <w:szCs w:val="20"/>
          <w:lang w:val="en-US"/>
        </w:rPr>
        <w:t xml:space="preserve"> on disease freedom and Chapter 1.4. </w:t>
      </w:r>
    </w:p>
    <w:p w14:paraId="6994F4B9" w14:textId="77777777" w:rsidR="00CB0171" w:rsidRPr="002A507E" w:rsidRDefault="00CB0171" w:rsidP="00022158">
      <w:pPr>
        <w:spacing w:after="240" w:line="240" w:lineRule="auto"/>
        <w:ind w:left="1440"/>
        <w:jc w:val="both"/>
        <w:rPr>
          <w:rFonts w:cs="Times New Roman"/>
          <w:szCs w:val="20"/>
          <w:lang w:val="en-US"/>
        </w:rPr>
      </w:pPr>
      <w:r>
        <w:rPr>
          <w:rFonts w:cs="Times New Roman"/>
          <w:szCs w:val="20"/>
          <w:lang w:val="en-US"/>
        </w:rPr>
        <w:t>M</w:t>
      </w:r>
      <w:r w:rsidRPr="002A507E">
        <w:rPr>
          <w:rFonts w:cs="Times New Roman"/>
          <w:szCs w:val="20"/>
          <w:lang w:val="en-US"/>
        </w:rPr>
        <w:t>odel article</w:t>
      </w:r>
      <w:r>
        <w:rPr>
          <w:rFonts w:cs="Times New Roman"/>
          <w:szCs w:val="20"/>
          <w:lang w:val="en-US"/>
        </w:rPr>
        <w:t>s</w:t>
      </w:r>
      <w:r w:rsidRPr="002A507E">
        <w:rPr>
          <w:rFonts w:cs="Times New Roman"/>
          <w:szCs w:val="20"/>
          <w:lang w:val="en-US"/>
        </w:rPr>
        <w:t xml:space="preserve"> for disease-specific chapters </w:t>
      </w:r>
      <w:r>
        <w:rPr>
          <w:rFonts w:cs="Times New Roman"/>
          <w:szCs w:val="20"/>
          <w:lang w:val="en-US"/>
        </w:rPr>
        <w:t>were</w:t>
      </w:r>
      <w:r w:rsidRPr="002A507E">
        <w:rPr>
          <w:rFonts w:cs="Times New Roman"/>
          <w:szCs w:val="20"/>
          <w:lang w:val="en-US"/>
        </w:rPr>
        <w:t xml:space="preserve"> drafted to cover issues related to establishing disease freedom at country, zone and compartment level, e.g. vaccination and basic biosecurity conditions, which will be cross-referenced in relevant articles in Chapter 1.4. </w:t>
      </w:r>
    </w:p>
    <w:p w14:paraId="6E447903" w14:textId="6D94F839" w:rsidR="00CB0171" w:rsidRDefault="00CB0171" w:rsidP="00022158">
      <w:pPr>
        <w:spacing w:after="240" w:line="240" w:lineRule="auto"/>
        <w:ind w:left="1440"/>
        <w:jc w:val="both"/>
        <w:rPr>
          <w:rFonts w:cs="Times New Roman"/>
          <w:szCs w:val="20"/>
          <w:lang w:val="en-US"/>
        </w:rPr>
      </w:pPr>
      <w:r w:rsidRPr="002A507E">
        <w:rPr>
          <w:rFonts w:cs="Times New Roman"/>
          <w:szCs w:val="20"/>
          <w:lang w:val="en-US"/>
        </w:rPr>
        <w:t>The structure of existing model Articles X.X.4 to X.X.6 will be retained but revisions are proposed. The absence of susceptible species will not be available as a pathway for disease freedom for pathogens with a broad host range (currently this pathway is not available for infection with</w:t>
      </w:r>
      <w:r>
        <w:rPr>
          <w:rFonts w:cs="Times New Roman"/>
          <w:szCs w:val="20"/>
          <w:lang w:val="en-US"/>
        </w:rPr>
        <w:t xml:space="preserve"> </w:t>
      </w:r>
      <w:r w:rsidR="00CC4FCF" w:rsidRPr="00685B5C">
        <w:rPr>
          <w:rFonts w:cs="Times New Roman"/>
          <w:i/>
          <w:iCs/>
          <w:szCs w:val="20"/>
          <w:lang w:val="en-US"/>
        </w:rPr>
        <w:t>Aphanomyces invadans</w:t>
      </w:r>
      <w:r w:rsidR="00CC4FCF">
        <w:rPr>
          <w:rFonts w:cs="Times New Roman"/>
          <w:szCs w:val="20"/>
          <w:lang w:val="en-US"/>
        </w:rPr>
        <w:t xml:space="preserve"> (</w:t>
      </w:r>
      <w:r w:rsidRPr="00D93FD2">
        <w:rPr>
          <w:rFonts w:cs="Times New Roman"/>
          <w:szCs w:val="20"/>
          <w:lang w:val="en-US"/>
        </w:rPr>
        <w:t>Epizootic ulcerative syndrome</w:t>
      </w:r>
      <w:r w:rsidR="00CC4FCF">
        <w:rPr>
          <w:rFonts w:cs="Times New Roman"/>
          <w:szCs w:val="20"/>
          <w:lang w:val="en-US"/>
        </w:rPr>
        <w:t>)</w:t>
      </w:r>
      <w:r w:rsidRPr="002A507E">
        <w:rPr>
          <w:rFonts w:cs="Times New Roman"/>
          <w:szCs w:val="20"/>
          <w:lang w:val="en-US"/>
        </w:rPr>
        <w:t xml:space="preserve"> and</w:t>
      </w:r>
      <w:r>
        <w:rPr>
          <w:rFonts w:cs="Times New Roman"/>
          <w:szCs w:val="20"/>
          <w:lang w:val="en-US"/>
        </w:rPr>
        <w:t xml:space="preserve"> </w:t>
      </w:r>
      <w:r w:rsidR="00CC4FCF">
        <w:rPr>
          <w:rFonts w:cs="Times New Roman"/>
          <w:szCs w:val="20"/>
          <w:lang w:val="en-US"/>
        </w:rPr>
        <w:t xml:space="preserve">infection with </w:t>
      </w:r>
      <w:r w:rsidR="004B1DBD">
        <w:rPr>
          <w:rFonts w:cs="Times New Roman"/>
          <w:szCs w:val="20"/>
          <w:lang w:val="en-US"/>
        </w:rPr>
        <w:t>v</w:t>
      </w:r>
      <w:r w:rsidRPr="00D93FD2">
        <w:rPr>
          <w:rFonts w:cs="Times New Roman"/>
          <w:szCs w:val="20"/>
          <w:lang w:val="en-US"/>
        </w:rPr>
        <w:t>iral h</w:t>
      </w:r>
      <w:r w:rsidR="00D34446">
        <w:rPr>
          <w:rFonts w:cs="Times New Roman"/>
          <w:szCs w:val="20"/>
          <w:lang w:val="en-US"/>
        </w:rPr>
        <w:t>a</w:t>
      </w:r>
      <w:r w:rsidRPr="00D93FD2">
        <w:rPr>
          <w:rFonts w:cs="Times New Roman"/>
          <w:szCs w:val="20"/>
          <w:lang w:val="en-US"/>
        </w:rPr>
        <w:t>emorrhagic septic</w:t>
      </w:r>
      <w:r w:rsidR="00D34446">
        <w:rPr>
          <w:rFonts w:cs="Times New Roman"/>
          <w:szCs w:val="20"/>
          <w:lang w:val="en-US"/>
        </w:rPr>
        <w:t>a</w:t>
      </w:r>
      <w:r w:rsidRPr="00D93FD2">
        <w:rPr>
          <w:rFonts w:cs="Times New Roman"/>
          <w:szCs w:val="20"/>
          <w:lang w:val="en-US"/>
        </w:rPr>
        <w:t>emia</w:t>
      </w:r>
      <w:r>
        <w:rPr>
          <w:rFonts w:cs="Times New Roman"/>
          <w:szCs w:val="20"/>
          <w:lang w:val="en-US"/>
        </w:rPr>
        <w:t xml:space="preserve"> virus</w:t>
      </w:r>
      <w:r w:rsidRPr="002A507E">
        <w:rPr>
          <w:rFonts w:cs="Times New Roman"/>
          <w:szCs w:val="20"/>
          <w:lang w:val="en-US"/>
        </w:rPr>
        <w:t xml:space="preserve"> </w:t>
      </w:r>
      <w:r>
        <w:rPr>
          <w:rFonts w:cs="Times New Roman"/>
          <w:szCs w:val="20"/>
          <w:lang w:val="en-US"/>
        </w:rPr>
        <w:t>[</w:t>
      </w:r>
      <w:r w:rsidRPr="002A507E">
        <w:rPr>
          <w:rFonts w:cs="Times New Roman"/>
          <w:szCs w:val="20"/>
          <w:lang w:val="en-US"/>
        </w:rPr>
        <w:t>VHSV</w:t>
      </w:r>
      <w:r>
        <w:rPr>
          <w:rFonts w:cs="Times New Roman"/>
          <w:szCs w:val="20"/>
          <w:lang w:val="en-US"/>
        </w:rPr>
        <w:t>]</w:t>
      </w:r>
      <w:r w:rsidRPr="002A507E">
        <w:rPr>
          <w:rFonts w:cs="Times New Roman"/>
          <w:szCs w:val="20"/>
          <w:lang w:val="en-US"/>
        </w:rPr>
        <w:t xml:space="preserve">). Separate articles have been drafted for establishing disease freedom for a zone and compartment and a new article on restoring freedom at compartment level has been included. The Commission decided that targeted surveillance is always required to establish freedom for a compartment (historic freedom and absence of susceptible species are not appropriate pathways for disease freedom at compartment level). </w:t>
      </w:r>
    </w:p>
    <w:p w14:paraId="5513C334" w14:textId="3251043F" w:rsidR="00CB0171" w:rsidRDefault="00CB0171" w:rsidP="00022158">
      <w:pPr>
        <w:spacing w:after="240" w:line="240" w:lineRule="auto"/>
        <w:ind w:left="1440"/>
        <w:jc w:val="both"/>
        <w:rPr>
          <w:rFonts w:cs="Times New Roman"/>
          <w:szCs w:val="20"/>
          <w:lang w:val="en-US"/>
        </w:rPr>
      </w:pPr>
      <w:r w:rsidRPr="002A507E">
        <w:rPr>
          <w:rFonts w:cs="Times New Roman"/>
          <w:szCs w:val="20"/>
          <w:lang w:val="en-US"/>
        </w:rPr>
        <w:t xml:space="preserve">Chapter 1.4 will be revised to focus on supporting provisions of the disease-specific </w:t>
      </w:r>
      <w:r w:rsidRPr="002A507E">
        <w:rPr>
          <w:rFonts w:cs="Times New Roman"/>
          <w:i/>
          <w:iCs/>
          <w:szCs w:val="20"/>
          <w:lang w:val="en-US"/>
        </w:rPr>
        <w:t>Aquatic Code</w:t>
      </w:r>
      <w:r w:rsidRPr="002A507E">
        <w:rPr>
          <w:rFonts w:cs="Times New Roman"/>
          <w:szCs w:val="20"/>
          <w:lang w:val="en-US"/>
        </w:rPr>
        <w:t xml:space="preserve"> chapters. The current Article 1.4.6 will be expanded into multiple articles and include criteria and approaches set out in the discussion paper (e.g. guidance on surveillance to achieve disease freedom).</w:t>
      </w:r>
      <w:r>
        <w:rPr>
          <w:rFonts w:cs="Times New Roman"/>
          <w:szCs w:val="20"/>
          <w:lang w:val="en-US"/>
        </w:rPr>
        <w:t xml:space="preserve"> </w:t>
      </w:r>
      <w:r w:rsidRPr="002A507E">
        <w:rPr>
          <w:rFonts w:cs="Times New Roman"/>
          <w:szCs w:val="20"/>
          <w:lang w:val="en-US"/>
        </w:rPr>
        <w:t>The generic information on surveillance and examples of surveillance systems</w:t>
      </w:r>
      <w:r>
        <w:rPr>
          <w:rFonts w:cs="Times New Roman"/>
          <w:szCs w:val="20"/>
          <w:lang w:val="en-US"/>
        </w:rPr>
        <w:t xml:space="preserve"> in the current Chapter</w:t>
      </w:r>
      <w:r w:rsidR="00C50EA5">
        <w:rPr>
          <w:rFonts w:cs="Times New Roman"/>
          <w:szCs w:val="20"/>
          <w:lang w:val="en-US"/>
        </w:rPr>
        <w:t> </w:t>
      </w:r>
      <w:r>
        <w:rPr>
          <w:rFonts w:cs="Times New Roman"/>
          <w:szCs w:val="20"/>
          <w:lang w:val="en-US"/>
        </w:rPr>
        <w:t>1.4</w:t>
      </w:r>
      <w:r w:rsidRPr="002A507E">
        <w:rPr>
          <w:rFonts w:cs="Times New Roman"/>
          <w:szCs w:val="20"/>
          <w:lang w:val="en-US"/>
        </w:rPr>
        <w:t xml:space="preserve"> will be considerably shortened or removed.</w:t>
      </w:r>
    </w:p>
    <w:p w14:paraId="639819CD" w14:textId="0961513E" w:rsidR="00CB0171" w:rsidRPr="002A507E" w:rsidRDefault="00CB0171" w:rsidP="00022158">
      <w:pPr>
        <w:spacing w:after="240" w:line="240" w:lineRule="auto"/>
        <w:ind w:left="1440"/>
        <w:jc w:val="both"/>
        <w:rPr>
          <w:rFonts w:cs="Times New Roman"/>
          <w:szCs w:val="20"/>
          <w:lang w:val="en-US"/>
        </w:rPr>
      </w:pPr>
      <w:r w:rsidRPr="002A507E">
        <w:rPr>
          <w:rFonts w:cs="Times New Roman"/>
          <w:szCs w:val="20"/>
          <w:lang w:val="en-US"/>
        </w:rPr>
        <w:t xml:space="preserve">Model Articles X.X.4, X.X.5 and X.X.6 for the disease-specific chapters of the </w:t>
      </w:r>
      <w:r w:rsidRPr="002A507E">
        <w:rPr>
          <w:rFonts w:cs="Times New Roman"/>
          <w:i/>
          <w:iCs/>
          <w:szCs w:val="20"/>
          <w:lang w:val="en-US"/>
        </w:rPr>
        <w:t>Aquatic Code</w:t>
      </w:r>
      <w:r w:rsidRPr="002A507E">
        <w:rPr>
          <w:rFonts w:cs="Times New Roman"/>
          <w:szCs w:val="20"/>
          <w:lang w:val="en-US"/>
        </w:rPr>
        <w:t xml:space="preserve"> are presented in </w:t>
      </w:r>
      <w:hyperlink w:anchor="_Annex_10" w:history="1">
        <w:r w:rsidR="00790765" w:rsidRPr="001677E0">
          <w:rPr>
            <w:rStyle w:val="Lienhypertexte"/>
            <w:rFonts w:cs="Times New Roman"/>
            <w:szCs w:val="20"/>
            <w:lang w:val="en-US"/>
          </w:rPr>
          <w:t xml:space="preserve">Annex </w:t>
        </w:r>
        <w:r w:rsidR="00790765">
          <w:rPr>
            <w:rStyle w:val="Lienhypertexte"/>
            <w:rFonts w:cs="Times New Roman"/>
            <w:szCs w:val="20"/>
            <w:lang w:val="en-US"/>
          </w:rPr>
          <w:t>9</w:t>
        </w:r>
        <w:r w:rsidR="00790765" w:rsidRPr="00FD65D0">
          <w:rPr>
            <w:rStyle w:val="Lienhypertexte"/>
            <w:rFonts w:cs="Times New Roman"/>
            <w:szCs w:val="20"/>
            <w:u w:val="none"/>
            <w:lang w:val="en-US"/>
          </w:rPr>
          <w:t xml:space="preserve"> </w:t>
        </w:r>
      </w:hyperlink>
      <w:r w:rsidRPr="002A507E">
        <w:rPr>
          <w:rFonts w:cs="Times New Roman"/>
          <w:szCs w:val="20"/>
          <w:lang w:val="en-US"/>
        </w:rPr>
        <w:t>for Member comment</w:t>
      </w:r>
      <w:r>
        <w:rPr>
          <w:rFonts w:cs="Times New Roman"/>
          <w:szCs w:val="20"/>
          <w:lang w:val="en-US"/>
        </w:rPr>
        <w:t>s</w:t>
      </w:r>
      <w:r w:rsidRPr="002A507E">
        <w:rPr>
          <w:rFonts w:cs="Times New Roman"/>
          <w:szCs w:val="20"/>
          <w:lang w:val="en-US"/>
        </w:rPr>
        <w:t>.</w:t>
      </w:r>
    </w:p>
    <w:p w14:paraId="66EC707E" w14:textId="217B56A8" w:rsidR="003447A3" w:rsidRDefault="003447A3" w:rsidP="00C50EA5">
      <w:pPr>
        <w:pStyle w:val="Titre2"/>
        <w:spacing w:before="0" w:after="240" w:line="240" w:lineRule="auto"/>
        <w:ind w:left="851" w:hanging="425"/>
        <w:jc w:val="both"/>
        <w:rPr>
          <w:rFonts w:cs="Times New Roman"/>
          <w:b/>
          <w:bCs/>
          <w:szCs w:val="20"/>
        </w:rPr>
      </w:pPr>
      <w:bookmarkStart w:id="29" w:name="_Toc38028629"/>
      <w:r w:rsidRPr="0043431B">
        <w:rPr>
          <w:rFonts w:cs="Times New Roman"/>
          <w:b/>
          <w:bCs/>
          <w:szCs w:val="20"/>
        </w:rPr>
        <w:t>7.3.</w:t>
      </w:r>
      <w:r w:rsidRPr="0043431B">
        <w:rPr>
          <w:rFonts w:cs="Times New Roman"/>
          <w:b/>
          <w:bCs/>
          <w:szCs w:val="20"/>
        </w:rPr>
        <w:tab/>
        <w:t xml:space="preserve">Texts </w:t>
      </w:r>
      <w:r w:rsidR="00D3180A" w:rsidRPr="0043431B">
        <w:rPr>
          <w:rFonts w:cs="Times New Roman"/>
          <w:b/>
          <w:bCs/>
          <w:szCs w:val="20"/>
        </w:rPr>
        <w:t>for</w:t>
      </w:r>
      <w:r w:rsidRPr="0043431B">
        <w:rPr>
          <w:rFonts w:cs="Times New Roman"/>
          <w:b/>
          <w:bCs/>
          <w:szCs w:val="20"/>
        </w:rPr>
        <w:t xml:space="preserve"> Member </w:t>
      </w:r>
      <w:r w:rsidR="00ED35A8" w:rsidRPr="0043431B">
        <w:rPr>
          <w:rFonts w:cs="Times New Roman"/>
          <w:b/>
          <w:bCs/>
          <w:szCs w:val="20"/>
        </w:rPr>
        <w:t>information</w:t>
      </w:r>
      <w:bookmarkEnd w:id="29"/>
    </w:p>
    <w:p w14:paraId="5CADD115" w14:textId="141A8718" w:rsidR="009B0518" w:rsidRDefault="009B0518" w:rsidP="00022158">
      <w:pPr>
        <w:pStyle w:val="Titre3"/>
        <w:spacing w:before="0" w:after="240"/>
        <w:ind w:left="1440" w:hanging="540"/>
        <w:jc w:val="both"/>
        <w:rPr>
          <w:rFonts w:cs="Times New Roman"/>
          <w:b/>
          <w:bCs/>
          <w:i w:val="0"/>
          <w:iCs/>
        </w:rPr>
      </w:pPr>
      <w:bookmarkStart w:id="30" w:name="_Toc38028630"/>
      <w:r w:rsidRPr="00A5604D">
        <w:rPr>
          <w:rFonts w:cs="Times New Roman"/>
          <w:b/>
          <w:bCs/>
          <w:i w:val="0"/>
          <w:iCs/>
        </w:rPr>
        <w:t>7.3.1</w:t>
      </w:r>
      <w:r>
        <w:rPr>
          <w:rFonts w:cs="Times New Roman"/>
          <w:b/>
          <w:bCs/>
          <w:i w:val="0"/>
          <w:iCs/>
        </w:rPr>
        <w:t>.</w:t>
      </w:r>
      <w:r>
        <w:rPr>
          <w:rFonts w:cs="Times New Roman"/>
          <w:b/>
          <w:bCs/>
          <w:i w:val="0"/>
          <w:iCs/>
        </w:rPr>
        <w:tab/>
      </w:r>
      <w:r w:rsidRPr="009B0518">
        <w:rPr>
          <w:rFonts w:cs="Times New Roman"/>
          <w:b/>
          <w:bCs/>
          <w:i w:val="0"/>
          <w:iCs/>
        </w:rPr>
        <w:t>De-listing of infection with infectious hypodermal and haematopoietic necrosis virus (IHHNV) ‒ Revised Article 1.3.3 of Chapter 1.3</w:t>
      </w:r>
      <w:bookmarkEnd w:id="30"/>
    </w:p>
    <w:p w14:paraId="12EDD84D" w14:textId="2897170A" w:rsidR="009B0518" w:rsidRPr="009B0518" w:rsidRDefault="009B0518" w:rsidP="00022158">
      <w:pPr>
        <w:spacing w:after="240"/>
        <w:ind w:left="1440"/>
        <w:jc w:val="both"/>
        <w:rPr>
          <w:rFonts w:cs="Times New Roman"/>
          <w:szCs w:val="20"/>
          <w:lang w:val="en-NZ"/>
        </w:rPr>
      </w:pPr>
      <w:r w:rsidRPr="009B0518">
        <w:rPr>
          <w:rFonts w:cs="Times New Roman"/>
          <w:szCs w:val="20"/>
          <w:lang w:val="en-NZ"/>
        </w:rPr>
        <w:t>The Commission had received a request from a Member to remove infection with infectious hypodermal and haematopoietic necrosis virus (IHHNV) from the list of diseases in Article 1.3.3 of Chapter 1.3, Diseases listed by the OIE. The Commission agreed to consider the issue further at its September 2020 meeting. It requested that Members provide any available information relevant to the Criteria for Listing Aquatic Animal Diseases; specifically listing criteria 4b</w:t>
      </w:r>
      <w:r>
        <w:rPr>
          <w:rFonts w:cs="Times New Roman"/>
          <w:szCs w:val="20"/>
          <w:lang w:val="en-NZ"/>
        </w:rPr>
        <w:t>)</w:t>
      </w:r>
      <w:r w:rsidRPr="009B0518">
        <w:rPr>
          <w:rFonts w:cs="Times New Roman"/>
          <w:szCs w:val="20"/>
          <w:lang w:val="en-NZ"/>
        </w:rPr>
        <w:t xml:space="preserve"> and 4c</w:t>
      </w:r>
      <w:r>
        <w:rPr>
          <w:rFonts w:cs="Times New Roman"/>
          <w:szCs w:val="20"/>
          <w:lang w:val="en-NZ"/>
        </w:rPr>
        <w:t>)</w:t>
      </w:r>
      <w:r w:rsidRPr="009B0518">
        <w:rPr>
          <w:rFonts w:cs="Times New Roman"/>
          <w:szCs w:val="20"/>
          <w:lang w:val="en-NZ"/>
        </w:rPr>
        <w:t xml:space="preserve"> of Article</w:t>
      </w:r>
      <w:r w:rsidR="00C50EA5">
        <w:rPr>
          <w:rFonts w:cs="Times New Roman"/>
          <w:szCs w:val="20"/>
          <w:lang w:val="en-NZ"/>
        </w:rPr>
        <w:t> </w:t>
      </w:r>
      <w:r w:rsidRPr="009B0518">
        <w:rPr>
          <w:rFonts w:cs="Times New Roman"/>
          <w:szCs w:val="20"/>
          <w:lang w:val="en-NZ"/>
        </w:rPr>
        <w:t xml:space="preserve">1.2.2 (consequences for cultured or wild aquatic animals respectively). </w:t>
      </w:r>
    </w:p>
    <w:p w14:paraId="287BB699" w14:textId="0A0F86AE" w:rsidR="009B0518" w:rsidRPr="009B0518" w:rsidRDefault="009B0518" w:rsidP="00022158">
      <w:pPr>
        <w:spacing w:after="240" w:line="240" w:lineRule="auto"/>
        <w:ind w:left="1440"/>
        <w:jc w:val="both"/>
        <w:rPr>
          <w:rFonts w:cs="Times New Roman"/>
          <w:szCs w:val="20"/>
          <w:lang w:val="en-NZ"/>
        </w:rPr>
      </w:pPr>
      <w:r w:rsidRPr="009B0518">
        <w:rPr>
          <w:rFonts w:cs="Times New Roman"/>
          <w:szCs w:val="20"/>
          <w:lang w:val="en-NZ"/>
        </w:rPr>
        <w:t xml:space="preserve">The Commission wished to advise </w:t>
      </w:r>
      <w:r>
        <w:rPr>
          <w:rFonts w:cs="Times New Roman"/>
          <w:szCs w:val="20"/>
          <w:lang w:val="en-NZ"/>
        </w:rPr>
        <w:t>M</w:t>
      </w:r>
      <w:r w:rsidRPr="009B0518">
        <w:rPr>
          <w:rFonts w:cs="Times New Roman"/>
          <w:szCs w:val="20"/>
          <w:lang w:val="en-NZ"/>
        </w:rPr>
        <w:t>embers that any recommendation to de-list IHHNV would be provided to Members for consideration</w:t>
      </w:r>
      <w:r w:rsidR="00C50EA5">
        <w:rPr>
          <w:rFonts w:cs="Times New Roman"/>
          <w:szCs w:val="20"/>
          <w:lang w:val="en-NZ"/>
        </w:rPr>
        <w:t xml:space="preserve"> </w:t>
      </w:r>
      <w:r w:rsidR="00D31BA5">
        <w:rPr>
          <w:rFonts w:cs="Times New Roman"/>
          <w:szCs w:val="20"/>
          <w:lang w:val="en-NZ"/>
        </w:rPr>
        <w:t xml:space="preserve">‒ </w:t>
      </w:r>
      <w:r w:rsidRPr="009B0518">
        <w:rPr>
          <w:rFonts w:cs="Times New Roman"/>
          <w:szCs w:val="20"/>
          <w:lang w:val="en-NZ"/>
        </w:rPr>
        <w:t>together with an assessment against the listing criteria.   </w:t>
      </w:r>
    </w:p>
    <w:p w14:paraId="17A481F2" w14:textId="541D97BF" w:rsidR="006E57F4" w:rsidRPr="00A5604D" w:rsidRDefault="003447A3" w:rsidP="00022158">
      <w:pPr>
        <w:pStyle w:val="Titre3"/>
        <w:spacing w:before="0" w:after="240"/>
        <w:ind w:left="1440" w:hanging="540"/>
        <w:jc w:val="both"/>
        <w:rPr>
          <w:rFonts w:cs="Times New Roman"/>
          <w:b/>
          <w:bCs/>
          <w:i w:val="0"/>
          <w:iCs/>
        </w:rPr>
      </w:pPr>
      <w:bookmarkStart w:id="31" w:name="_Toc38028631"/>
      <w:r w:rsidRPr="00A5604D">
        <w:rPr>
          <w:rFonts w:cs="Times New Roman"/>
          <w:b/>
          <w:bCs/>
          <w:i w:val="0"/>
          <w:iCs/>
        </w:rPr>
        <w:t>7.</w:t>
      </w:r>
      <w:r w:rsidR="005C57E5" w:rsidRPr="00A5604D">
        <w:rPr>
          <w:rFonts w:cs="Times New Roman"/>
          <w:b/>
          <w:bCs/>
          <w:i w:val="0"/>
          <w:iCs/>
        </w:rPr>
        <w:t>3</w:t>
      </w:r>
      <w:r w:rsidRPr="00A5604D">
        <w:rPr>
          <w:rFonts w:cs="Times New Roman"/>
          <w:b/>
          <w:bCs/>
          <w:i w:val="0"/>
          <w:iCs/>
        </w:rPr>
        <w:t>.</w:t>
      </w:r>
      <w:r w:rsidR="009B0518">
        <w:rPr>
          <w:rFonts w:cs="Times New Roman"/>
          <w:b/>
          <w:bCs/>
          <w:i w:val="0"/>
          <w:iCs/>
        </w:rPr>
        <w:t>2</w:t>
      </w:r>
      <w:r w:rsidRPr="00A5604D">
        <w:rPr>
          <w:rFonts w:cs="Times New Roman"/>
          <w:b/>
          <w:bCs/>
          <w:i w:val="0"/>
          <w:iCs/>
        </w:rPr>
        <w:t>.</w:t>
      </w:r>
      <w:r w:rsidRPr="00A5604D">
        <w:rPr>
          <w:rFonts w:cs="Times New Roman"/>
          <w:b/>
          <w:bCs/>
          <w:i w:val="0"/>
          <w:iCs/>
        </w:rPr>
        <w:tab/>
      </w:r>
      <w:r w:rsidR="00712A50" w:rsidRPr="00A5604D">
        <w:rPr>
          <w:rFonts w:cs="Times New Roman"/>
          <w:b/>
          <w:bCs/>
          <w:i w:val="0"/>
          <w:iCs/>
        </w:rPr>
        <w:t>N</w:t>
      </w:r>
      <w:r w:rsidRPr="00A5604D">
        <w:rPr>
          <w:rFonts w:cs="Times New Roman"/>
          <w:b/>
          <w:bCs/>
          <w:i w:val="0"/>
          <w:iCs/>
        </w:rPr>
        <w:t xml:space="preserve">ew </w:t>
      </w:r>
      <w:r w:rsidR="00712A50" w:rsidRPr="00A5604D">
        <w:rPr>
          <w:rFonts w:cs="Times New Roman"/>
          <w:b/>
          <w:bCs/>
          <w:i w:val="0"/>
          <w:iCs/>
        </w:rPr>
        <w:t xml:space="preserve">draft </w:t>
      </w:r>
      <w:r w:rsidRPr="00A5604D">
        <w:rPr>
          <w:rFonts w:cs="Times New Roman"/>
          <w:b/>
          <w:bCs/>
          <w:i w:val="0"/>
          <w:iCs/>
        </w:rPr>
        <w:t>chapters on emergency disease preparedness and disease outbreak management</w:t>
      </w:r>
      <w:bookmarkEnd w:id="31"/>
      <w:r w:rsidR="00712A50" w:rsidRPr="00A5604D">
        <w:rPr>
          <w:rFonts w:cs="Times New Roman"/>
          <w:b/>
          <w:bCs/>
          <w:i w:val="0"/>
          <w:iCs/>
        </w:rPr>
        <w:t xml:space="preserve"> </w:t>
      </w:r>
    </w:p>
    <w:p w14:paraId="027A3791" w14:textId="64446A08" w:rsidR="003447A3" w:rsidRPr="0043431B" w:rsidRDefault="003447A3" w:rsidP="00022158">
      <w:pPr>
        <w:spacing w:after="240" w:line="240" w:lineRule="auto"/>
        <w:ind w:left="1440"/>
        <w:jc w:val="both"/>
        <w:rPr>
          <w:rFonts w:cs="Times New Roman"/>
          <w:szCs w:val="20"/>
          <w:lang w:val="en-NZ"/>
        </w:rPr>
      </w:pPr>
      <w:r w:rsidRPr="0043431B">
        <w:rPr>
          <w:rFonts w:cs="Times New Roman"/>
          <w:szCs w:val="20"/>
          <w:lang w:val="en-NZ"/>
        </w:rPr>
        <w:t xml:space="preserve">The Commission </w:t>
      </w:r>
      <w:r w:rsidR="00712A50" w:rsidRPr="0043431B">
        <w:rPr>
          <w:rFonts w:cs="Times New Roman"/>
          <w:szCs w:val="20"/>
          <w:lang w:val="en-NZ"/>
        </w:rPr>
        <w:t xml:space="preserve">agreed to </w:t>
      </w:r>
      <w:r w:rsidRPr="0043431B">
        <w:rPr>
          <w:rFonts w:cs="Times New Roman"/>
          <w:szCs w:val="20"/>
          <w:lang w:val="en-NZ"/>
        </w:rPr>
        <w:t xml:space="preserve">commence work on </w:t>
      </w:r>
      <w:r w:rsidR="005D7252">
        <w:rPr>
          <w:rFonts w:cs="Times New Roman"/>
          <w:szCs w:val="20"/>
          <w:lang w:val="en-NZ"/>
        </w:rPr>
        <w:t>two</w:t>
      </w:r>
      <w:r w:rsidRPr="0043431B">
        <w:rPr>
          <w:rFonts w:cs="Times New Roman"/>
          <w:szCs w:val="20"/>
          <w:lang w:val="en-NZ"/>
        </w:rPr>
        <w:t xml:space="preserve"> </w:t>
      </w:r>
      <w:r w:rsidR="00712A50" w:rsidRPr="0043431B">
        <w:rPr>
          <w:rFonts w:cs="Times New Roman"/>
          <w:szCs w:val="20"/>
          <w:lang w:val="en-NZ"/>
        </w:rPr>
        <w:t xml:space="preserve">new </w:t>
      </w:r>
      <w:r w:rsidRPr="0043431B">
        <w:rPr>
          <w:rFonts w:cs="Times New Roman"/>
          <w:szCs w:val="20"/>
          <w:lang w:val="en-NZ"/>
        </w:rPr>
        <w:t>chapters for the revis</w:t>
      </w:r>
      <w:r w:rsidR="00712A50" w:rsidRPr="0043431B">
        <w:rPr>
          <w:rFonts w:cs="Times New Roman"/>
          <w:szCs w:val="20"/>
          <w:lang w:val="en-NZ"/>
        </w:rPr>
        <w:t>ed</w:t>
      </w:r>
      <w:r w:rsidRPr="0043431B">
        <w:rPr>
          <w:rFonts w:cs="Times New Roman"/>
          <w:szCs w:val="20"/>
          <w:lang w:val="en-NZ"/>
        </w:rPr>
        <w:t xml:space="preserve"> Section</w:t>
      </w:r>
      <w:r w:rsidR="001A3C31" w:rsidRPr="0043431B">
        <w:rPr>
          <w:rFonts w:cs="Times New Roman"/>
          <w:szCs w:val="20"/>
          <w:lang w:val="en-NZ"/>
        </w:rPr>
        <w:t> </w:t>
      </w:r>
      <w:r w:rsidRPr="0043431B">
        <w:rPr>
          <w:rFonts w:cs="Times New Roman"/>
          <w:szCs w:val="20"/>
          <w:lang w:val="en-NZ"/>
        </w:rPr>
        <w:t>4, Disease Prevention and Control</w:t>
      </w:r>
      <w:r w:rsidR="005D7252">
        <w:rPr>
          <w:rFonts w:cs="Times New Roman"/>
          <w:szCs w:val="20"/>
          <w:lang w:val="en-NZ"/>
        </w:rPr>
        <w:t>: i)</w:t>
      </w:r>
      <w:r w:rsidR="007D25A6" w:rsidRPr="0043431B">
        <w:rPr>
          <w:rFonts w:cs="Times New Roman"/>
          <w:szCs w:val="20"/>
          <w:lang w:val="en-NZ"/>
        </w:rPr>
        <w:t xml:space="preserve"> </w:t>
      </w:r>
      <w:r w:rsidR="00712A50" w:rsidRPr="0043431B">
        <w:rPr>
          <w:rFonts w:cs="Times New Roman"/>
          <w:szCs w:val="20"/>
          <w:lang w:val="en-NZ"/>
        </w:rPr>
        <w:t>E</w:t>
      </w:r>
      <w:r w:rsidRPr="0043431B">
        <w:rPr>
          <w:rFonts w:cs="Times New Roman"/>
          <w:szCs w:val="20"/>
          <w:lang w:val="en-NZ"/>
        </w:rPr>
        <w:t xml:space="preserve">mergency disease preparedness and </w:t>
      </w:r>
      <w:r w:rsidR="005D7252">
        <w:rPr>
          <w:rFonts w:cs="Times New Roman"/>
          <w:szCs w:val="20"/>
          <w:lang w:val="en-NZ"/>
        </w:rPr>
        <w:t xml:space="preserve">ii) </w:t>
      </w:r>
      <w:r w:rsidR="00712A50" w:rsidRPr="0043431B">
        <w:rPr>
          <w:rFonts w:cs="Times New Roman"/>
          <w:szCs w:val="20"/>
          <w:lang w:val="en-NZ"/>
        </w:rPr>
        <w:t>D</w:t>
      </w:r>
      <w:r w:rsidRPr="0043431B">
        <w:rPr>
          <w:rFonts w:cs="Times New Roman"/>
          <w:szCs w:val="20"/>
          <w:lang w:val="en-NZ"/>
        </w:rPr>
        <w:t xml:space="preserve">isease outbreak management. The Commission agreed </w:t>
      </w:r>
      <w:r w:rsidR="00712A50" w:rsidRPr="0043431B">
        <w:rPr>
          <w:rFonts w:cs="Times New Roman"/>
          <w:szCs w:val="20"/>
          <w:lang w:val="en-NZ"/>
        </w:rPr>
        <w:t xml:space="preserve">to </w:t>
      </w:r>
      <w:r w:rsidRPr="0043431B">
        <w:rPr>
          <w:rFonts w:cs="Times New Roman"/>
          <w:szCs w:val="20"/>
          <w:lang w:val="en-NZ"/>
        </w:rPr>
        <w:t xml:space="preserve">define the article structure </w:t>
      </w:r>
      <w:r w:rsidR="00712A50" w:rsidRPr="0043431B">
        <w:rPr>
          <w:rFonts w:cs="Times New Roman"/>
          <w:szCs w:val="20"/>
          <w:lang w:val="en-NZ"/>
        </w:rPr>
        <w:t xml:space="preserve">for </w:t>
      </w:r>
      <w:r w:rsidRPr="0043431B">
        <w:rPr>
          <w:rFonts w:cs="Times New Roman"/>
          <w:szCs w:val="20"/>
          <w:lang w:val="en-NZ"/>
        </w:rPr>
        <w:t>both chapters</w:t>
      </w:r>
      <w:r w:rsidR="00A5604D">
        <w:rPr>
          <w:rFonts w:cs="Times New Roman"/>
          <w:szCs w:val="20"/>
          <w:lang w:val="en-NZ"/>
        </w:rPr>
        <w:t>,</w:t>
      </w:r>
      <w:r w:rsidRPr="0043431B">
        <w:rPr>
          <w:rFonts w:cs="Times New Roman"/>
          <w:szCs w:val="20"/>
          <w:lang w:val="en-NZ"/>
        </w:rPr>
        <w:t xml:space="preserve"> </w:t>
      </w:r>
      <w:r w:rsidR="00712A50" w:rsidRPr="0043431B">
        <w:rPr>
          <w:rFonts w:cs="Times New Roman"/>
          <w:szCs w:val="20"/>
          <w:lang w:val="en-NZ"/>
        </w:rPr>
        <w:t xml:space="preserve">given how </w:t>
      </w:r>
      <w:r w:rsidR="00750BF3" w:rsidRPr="0043431B">
        <w:rPr>
          <w:rFonts w:cs="Times New Roman"/>
          <w:szCs w:val="20"/>
          <w:lang w:val="en-NZ"/>
        </w:rPr>
        <w:t xml:space="preserve">closely </w:t>
      </w:r>
      <w:r w:rsidR="00712A50" w:rsidRPr="0043431B">
        <w:rPr>
          <w:rFonts w:cs="Times New Roman"/>
          <w:szCs w:val="20"/>
          <w:lang w:val="en-NZ"/>
        </w:rPr>
        <w:t>the two chapters are linked</w:t>
      </w:r>
      <w:r w:rsidR="00A5604D">
        <w:rPr>
          <w:rFonts w:cs="Times New Roman"/>
          <w:szCs w:val="20"/>
          <w:lang w:val="en-NZ"/>
        </w:rPr>
        <w:t>,</w:t>
      </w:r>
      <w:r w:rsidR="00750BF3" w:rsidRPr="0043431B">
        <w:rPr>
          <w:rFonts w:cs="Times New Roman"/>
          <w:szCs w:val="20"/>
          <w:lang w:val="en-NZ"/>
        </w:rPr>
        <w:t xml:space="preserve"> </w:t>
      </w:r>
      <w:r w:rsidRPr="0043431B">
        <w:rPr>
          <w:rFonts w:cs="Times New Roman"/>
          <w:szCs w:val="20"/>
          <w:lang w:val="en-NZ"/>
        </w:rPr>
        <w:t xml:space="preserve">and </w:t>
      </w:r>
      <w:r w:rsidR="00750BF3" w:rsidRPr="0043431B">
        <w:rPr>
          <w:rFonts w:cs="Times New Roman"/>
          <w:szCs w:val="20"/>
          <w:lang w:val="en-NZ"/>
        </w:rPr>
        <w:t xml:space="preserve">to review this work at its </w:t>
      </w:r>
      <w:r w:rsidR="00523676">
        <w:rPr>
          <w:rFonts w:cs="Times New Roman"/>
          <w:szCs w:val="20"/>
          <w:lang w:val="en-NZ"/>
        </w:rPr>
        <w:t>September</w:t>
      </w:r>
      <w:r w:rsidR="00750BF3" w:rsidRPr="0043431B">
        <w:rPr>
          <w:rFonts w:cs="Times New Roman"/>
          <w:szCs w:val="20"/>
          <w:lang w:val="en-NZ"/>
        </w:rPr>
        <w:t xml:space="preserve"> 2020 meeting</w:t>
      </w:r>
      <w:r w:rsidRPr="0043431B">
        <w:rPr>
          <w:rFonts w:cs="Times New Roman"/>
          <w:szCs w:val="20"/>
          <w:lang w:val="en-NZ"/>
        </w:rPr>
        <w:t xml:space="preserve">. </w:t>
      </w:r>
    </w:p>
    <w:p w14:paraId="5380A697" w14:textId="77777777" w:rsidR="00C50EA5" w:rsidRDefault="00C50EA5">
      <w:pPr>
        <w:rPr>
          <w:rFonts w:eastAsiaTheme="majorEastAsia" w:cs="Times New Roman"/>
          <w:b/>
          <w:bCs/>
          <w:iCs/>
          <w:szCs w:val="24"/>
        </w:rPr>
      </w:pPr>
      <w:bookmarkStart w:id="32" w:name="_Toc38028632"/>
      <w:r>
        <w:rPr>
          <w:rFonts w:cs="Times New Roman"/>
          <w:b/>
          <w:bCs/>
          <w:i/>
          <w:iCs/>
        </w:rPr>
        <w:br w:type="page"/>
      </w:r>
    </w:p>
    <w:p w14:paraId="25B25A18" w14:textId="30C01209" w:rsidR="003447A3" w:rsidRPr="00A5604D" w:rsidRDefault="003447A3" w:rsidP="00022158">
      <w:pPr>
        <w:pStyle w:val="Titre3"/>
        <w:spacing w:before="0" w:after="240"/>
        <w:ind w:firstLine="900"/>
        <w:jc w:val="both"/>
        <w:rPr>
          <w:rFonts w:cs="Times New Roman"/>
          <w:b/>
          <w:bCs/>
          <w:i w:val="0"/>
          <w:iCs/>
        </w:rPr>
      </w:pPr>
      <w:r w:rsidRPr="00A5604D">
        <w:rPr>
          <w:rFonts w:cs="Times New Roman"/>
          <w:b/>
          <w:bCs/>
          <w:i w:val="0"/>
          <w:iCs/>
        </w:rPr>
        <w:lastRenderedPageBreak/>
        <w:t>7.</w:t>
      </w:r>
      <w:r w:rsidR="005C57E5" w:rsidRPr="00A5604D">
        <w:rPr>
          <w:rFonts w:cs="Times New Roman"/>
          <w:b/>
          <w:bCs/>
          <w:i w:val="0"/>
          <w:iCs/>
        </w:rPr>
        <w:t>3</w:t>
      </w:r>
      <w:r w:rsidRPr="00A5604D">
        <w:rPr>
          <w:rFonts w:cs="Times New Roman"/>
          <w:b/>
          <w:bCs/>
          <w:i w:val="0"/>
          <w:iCs/>
        </w:rPr>
        <w:t>.</w:t>
      </w:r>
      <w:r w:rsidR="009B0518">
        <w:rPr>
          <w:rFonts w:cs="Times New Roman"/>
          <w:b/>
          <w:bCs/>
          <w:i w:val="0"/>
          <w:iCs/>
        </w:rPr>
        <w:t>3</w:t>
      </w:r>
      <w:r w:rsidRPr="00A5604D">
        <w:rPr>
          <w:rFonts w:cs="Times New Roman"/>
          <w:b/>
          <w:bCs/>
          <w:i w:val="0"/>
          <w:iCs/>
        </w:rPr>
        <w:t>.</w:t>
      </w:r>
      <w:r w:rsidRPr="00A5604D">
        <w:rPr>
          <w:rFonts w:cs="Times New Roman"/>
          <w:b/>
          <w:bCs/>
          <w:i w:val="0"/>
          <w:iCs/>
        </w:rPr>
        <w:tab/>
        <w:t>Infection with Carp edema virus (CEV)</w:t>
      </w:r>
      <w:bookmarkEnd w:id="32"/>
    </w:p>
    <w:p w14:paraId="485ADA79" w14:textId="0703864A" w:rsidR="003447A3" w:rsidRPr="0043431B" w:rsidRDefault="003447A3" w:rsidP="00022158">
      <w:pPr>
        <w:spacing w:after="240" w:line="240" w:lineRule="auto"/>
        <w:ind w:left="1440"/>
        <w:jc w:val="both"/>
        <w:rPr>
          <w:rFonts w:cs="Times New Roman"/>
          <w:szCs w:val="20"/>
          <w:lang w:val="en-US"/>
        </w:rPr>
      </w:pPr>
      <w:r w:rsidRPr="0043431B">
        <w:rPr>
          <w:rFonts w:cs="Times New Roman"/>
          <w:szCs w:val="20"/>
          <w:lang w:val="en-US"/>
        </w:rPr>
        <w:t xml:space="preserve">The Commission reviewed </w:t>
      </w:r>
      <w:r w:rsidR="00750BF3" w:rsidRPr="0043431B">
        <w:rPr>
          <w:rFonts w:cs="Times New Roman"/>
          <w:szCs w:val="20"/>
          <w:lang w:val="en-US"/>
        </w:rPr>
        <w:t xml:space="preserve">scientific </w:t>
      </w:r>
      <w:r w:rsidRPr="0043431B">
        <w:rPr>
          <w:rFonts w:cs="Times New Roman"/>
          <w:szCs w:val="20"/>
          <w:lang w:val="en-US"/>
        </w:rPr>
        <w:t>information on infection with carp edema virus (CEV)</w:t>
      </w:r>
      <w:r w:rsidR="00750BF3" w:rsidRPr="0043431B">
        <w:rPr>
          <w:rFonts w:cs="Times New Roman"/>
        </w:rPr>
        <w:t xml:space="preserve"> </w:t>
      </w:r>
      <w:r w:rsidR="00750BF3" w:rsidRPr="0043431B">
        <w:rPr>
          <w:rFonts w:cs="Times New Roman"/>
          <w:szCs w:val="20"/>
          <w:lang w:val="en-US"/>
        </w:rPr>
        <w:t>given that it has been reported</w:t>
      </w:r>
      <w:r w:rsidR="004729FD" w:rsidRPr="0043431B">
        <w:rPr>
          <w:rFonts w:cs="Times New Roman"/>
          <w:szCs w:val="20"/>
          <w:lang w:val="en-US"/>
        </w:rPr>
        <w:t xml:space="preserve"> recently</w:t>
      </w:r>
      <w:r w:rsidR="00750BF3" w:rsidRPr="0043431B">
        <w:rPr>
          <w:rFonts w:cs="Times New Roman"/>
          <w:szCs w:val="20"/>
          <w:lang w:val="en-US"/>
        </w:rPr>
        <w:t xml:space="preserve"> in several countries in the Asia-Pacific region and appears to be extending its geographic range. The Commission noted that </w:t>
      </w:r>
      <w:r w:rsidR="00B3131F">
        <w:rPr>
          <w:rFonts w:cs="Times New Roman"/>
          <w:szCs w:val="20"/>
          <w:lang w:val="en-US"/>
        </w:rPr>
        <w:t>the disease</w:t>
      </w:r>
      <w:r w:rsidR="00B3131F" w:rsidRPr="0043431B">
        <w:rPr>
          <w:rFonts w:cs="Times New Roman"/>
          <w:szCs w:val="20"/>
          <w:lang w:val="en-US"/>
        </w:rPr>
        <w:t xml:space="preserve"> </w:t>
      </w:r>
      <w:r w:rsidR="00750BF3" w:rsidRPr="0043431B">
        <w:rPr>
          <w:rFonts w:cs="Times New Roman"/>
          <w:szCs w:val="20"/>
          <w:lang w:val="en-US"/>
        </w:rPr>
        <w:t xml:space="preserve">was </w:t>
      </w:r>
      <w:r w:rsidRPr="0043431B">
        <w:rPr>
          <w:rFonts w:cs="Times New Roman"/>
          <w:szCs w:val="20"/>
          <w:lang w:val="en-US"/>
        </w:rPr>
        <w:t xml:space="preserve">listed as a notifiable disease </w:t>
      </w:r>
      <w:r w:rsidR="00750BF3" w:rsidRPr="0043431B">
        <w:rPr>
          <w:rFonts w:cs="Times New Roman"/>
          <w:szCs w:val="20"/>
          <w:lang w:val="en-US"/>
        </w:rPr>
        <w:t xml:space="preserve">by </w:t>
      </w:r>
      <w:r w:rsidR="00114EE7">
        <w:rPr>
          <w:rFonts w:cs="Times New Roman"/>
          <w:szCs w:val="20"/>
          <w:lang w:val="en-US"/>
        </w:rPr>
        <w:t xml:space="preserve">the </w:t>
      </w:r>
      <w:r w:rsidR="00114EE7" w:rsidRPr="00114EE7">
        <w:rPr>
          <w:rFonts w:cs="Times New Roman"/>
          <w:szCs w:val="20"/>
          <w:lang w:val="en-US"/>
        </w:rPr>
        <w:t xml:space="preserve">Network of Aquaculture Centres in Asia-Pacific </w:t>
      </w:r>
      <w:r w:rsidR="00114EE7">
        <w:rPr>
          <w:rFonts w:cs="Times New Roman"/>
          <w:szCs w:val="20"/>
          <w:lang w:val="en-US"/>
        </w:rPr>
        <w:t>(</w:t>
      </w:r>
      <w:r w:rsidR="00750BF3" w:rsidRPr="0043431B">
        <w:rPr>
          <w:rFonts w:cs="Times New Roman"/>
          <w:szCs w:val="20"/>
          <w:lang w:val="en-US"/>
        </w:rPr>
        <w:t>NACA</w:t>
      </w:r>
      <w:r w:rsidR="00114EE7">
        <w:rPr>
          <w:rFonts w:cs="Times New Roman"/>
          <w:szCs w:val="20"/>
          <w:lang w:val="en-US"/>
        </w:rPr>
        <w:t>)</w:t>
      </w:r>
      <w:r w:rsidR="00750BF3" w:rsidRPr="0043431B">
        <w:rPr>
          <w:rFonts w:cs="Times New Roman"/>
          <w:szCs w:val="20"/>
          <w:lang w:val="en-US"/>
        </w:rPr>
        <w:t xml:space="preserve"> in </w:t>
      </w:r>
      <w:r w:rsidRPr="0043431B">
        <w:rPr>
          <w:rFonts w:cs="Times New Roman"/>
          <w:szCs w:val="20"/>
          <w:lang w:val="en-US"/>
        </w:rPr>
        <w:t xml:space="preserve">2017 and </w:t>
      </w:r>
      <w:r w:rsidR="00A5604D">
        <w:rPr>
          <w:rFonts w:cs="Times New Roman"/>
          <w:szCs w:val="20"/>
          <w:lang w:val="en-US"/>
        </w:rPr>
        <w:t xml:space="preserve">that it </w:t>
      </w:r>
      <w:r w:rsidR="00750BF3" w:rsidRPr="0043431B">
        <w:rPr>
          <w:rFonts w:cs="Times New Roman"/>
          <w:szCs w:val="20"/>
          <w:lang w:val="en-US"/>
        </w:rPr>
        <w:t xml:space="preserve">has been reported to significantly </w:t>
      </w:r>
      <w:r w:rsidRPr="0043431B">
        <w:rPr>
          <w:rFonts w:cs="Times New Roman"/>
          <w:szCs w:val="20"/>
          <w:lang w:val="en-US"/>
        </w:rPr>
        <w:t>impact carp production,</w:t>
      </w:r>
      <w:r w:rsidR="00750BF3" w:rsidRPr="0043431B">
        <w:rPr>
          <w:rFonts w:cs="Times New Roman"/>
          <w:szCs w:val="20"/>
          <w:lang w:val="en-US"/>
        </w:rPr>
        <w:t xml:space="preserve"> </w:t>
      </w:r>
      <w:r w:rsidRPr="0043431B">
        <w:rPr>
          <w:rFonts w:cs="Times New Roman"/>
          <w:szCs w:val="20"/>
          <w:lang w:val="en-US"/>
        </w:rPr>
        <w:t xml:space="preserve">which is the largest fish production in the world. </w:t>
      </w:r>
    </w:p>
    <w:p w14:paraId="19D2BBCE" w14:textId="10B06B03" w:rsidR="003447A3" w:rsidRDefault="00750BF3" w:rsidP="00022158">
      <w:pPr>
        <w:spacing w:after="240" w:line="240" w:lineRule="auto"/>
        <w:ind w:left="1440"/>
        <w:jc w:val="both"/>
        <w:rPr>
          <w:rFonts w:cs="Times New Roman"/>
          <w:szCs w:val="20"/>
          <w:lang w:val="en-US"/>
        </w:rPr>
      </w:pPr>
      <w:r w:rsidRPr="0043431B">
        <w:rPr>
          <w:rFonts w:cs="Times New Roman"/>
          <w:szCs w:val="20"/>
          <w:lang w:val="en-US"/>
        </w:rPr>
        <w:t>Based on available scientific information, the</w:t>
      </w:r>
      <w:r w:rsidR="003447A3" w:rsidRPr="0043431B">
        <w:rPr>
          <w:rFonts w:cs="Times New Roman"/>
          <w:szCs w:val="20"/>
          <w:lang w:val="en-US"/>
        </w:rPr>
        <w:t xml:space="preserve"> </w:t>
      </w:r>
      <w:r w:rsidR="001A3C31" w:rsidRPr="0043431B">
        <w:rPr>
          <w:rFonts w:cs="Times New Roman"/>
          <w:szCs w:val="20"/>
          <w:lang w:val="en-IE"/>
        </w:rPr>
        <w:t xml:space="preserve">Commission </w:t>
      </w:r>
      <w:r w:rsidR="003447A3" w:rsidRPr="0043431B">
        <w:rPr>
          <w:rFonts w:cs="Times New Roman"/>
          <w:szCs w:val="20"/>
          <w:lang w:val="en-US"/>
        </w:rPr>
        <w:t xml:space="preserve">agreed that </w:t>
      </w:r>
      <w:r w:rsidR="00114EE7">
        <w:rPr>
          <w:rFonts w:cs="Times New Roman"/>
          <w:szCs w:val="20"/>
          <w:lang w:val="en-US"/>
        </w:rPr>
        <w:t xml:space="preserve">infection with </w:t>
      </w:r>
      <w:r w:rsidRPr="0043431B">
        <w:rPr>
          <w:rFonts w:cs="Times New Roman"/>
          <w:szCs w:val="20"/>
          <w:lang w:val="en-US"/>
        </w:rPr>
        <w:t>CEV</w:t>
      </w:r>
      <w:r w:rsidR="003447A3" w:rsidRPr="0043431B">
        <w:rPr>
          <w:rFonts w:cs="Times New Roman"/>
          <w:szCs w:val="20"/>
          <w:lang w:val="en-US"/>
        </w:rPr>
        <w:t xml:space="preserve"> meets the </w:t>
      </w:r>
      <w:r w:rsidRPr="0043431B">
        <w:rPr>
          <w:rFonts w:cs="Times New Roman"/>
          <w:szCs w:val="20"/>
          <w:lang w:val="en-US"/>
        </w:rPr>
        <w:t xml:space="preserve">OIE </w:t>
      </w:r>
      <w:r w:rsidR="003447A3" w:rsidRPr="0043431B">
        <w:rPr>
          <w:rFonts w:cs="Times New Roman"/>
          <w:szCs w:val="20"/>
          <w:lang w:val="en-US"/>
        </w:rPr>
        <w:t xml:space="preserve">definition of an </w:t>
      </w:r>
      <w:r w:rsidR="001A3C31" w:rsidRPr="0043431B">
        <w:rPr>
          <w:rFonts w:cs="Times New Roman"/>
          <w:szCs w:val="20"/>
          <w:lang w:val="en-US"/>
        </w:rPr>
        <w:t>‘</w:t>
      </w:r>
      <w:r w:rsidR="003447A3" w:rsidRPr="0043431B">
        <w:rPr>
          <w:rFonts w:cs="Times New Roman"/>
          <w:szCs w:val="20"/>
          <w:lang w:val="en-US"/>
        </w:rPr>
        <w:t>emerging disease</w:t>
      </w:r>
      <w:r w:rsidR="001A3C31" w:rsidRPr="0043431B">
        <w:rPr>
          <w:rFonts w:cs="Times New Roman"/>
          <w:szCs w:val="20"/>
          <w:lang w:val="en-US"/>
        </w:rPr>
        <w:t>’</w:t>
      </w:r>
      <w:r w:rsidR="003447A3" w:rsidRPr="0043431B">
        <w:rPr>
          <w:rFonts w:cs="Times New Roman"/>
          <w:szCs w:val="20"/>
          <w:lang w:val="en-US"/>
        </w:rPr>
        <w:t xml:space="preserve"> and, as such, </w:t>
      </w:r>
      <w:r w:rsidRPr="0043431B">
        <w:rPr>
          <w:rFonts w:cs="Times New Roman"/>
          <w:szCs w:val="20"/>
          <w:lang w:val="en-US"/>
        </w:rPr>
        <w:t xml:space="preserve">Members </w:t>
      </w:r>
      <w:r w:rsidR="003447A3" w:rsidRPr="0043431B">
        <w:rPr>
          <w:rFonts w:cs="Times New Roman"/>
          <w:szCs w:val="20"/>
          <w:lang w:val="en-US"/>
        </w:rPr>
        <w:t xml:space="preserve">should report </w:t>
      </w:r>
      <w:r w:rsidR="00A5604D">
        <w:rPr>
          <w:rFonts w:cs="Times New Roman"/>
          <w:szCs w:val="20"/>
          <w:lang w:val="en-US"/>
        </w:rPr>
        <w:t>it in</w:t>
      </w:r>
      <w:r w:rsidR="003447A3" w:rsidRPr="0043431B">
        <w:rPr>
          <w:rFonts w:cs="Times New Roman"/>
          <w:szCs w:val="20"/>
          <w:lang w:val="en-US"/>
        </w:rPr>
        <w:t xml:space="preserve"> accordance with Article 1.1.4 of the </w:t>
      </w:r>
      <w:r w:rsidR="003447A3" w:rsidRPr="0043431B">
        <w:rPr>
          <w:rFonts w:cs="Times New Roman"/>
          <w:i/>
          <w:iCs/>
          <w:szCs w:val="20"/>
          <w:lang w:val="en-US"/>
        </w:rPr>
        <w:t>Aquatic Code</w:t>
      </w:r>
      <w:r w:rsidR="003447A3" w:rsidRPr="0043431B">
        <w:rPr>
          <w:rFonts w:cs="Times New Roman"/>
          <w:szCs w:val="20"/>
          <w:lang w:val="en-US"/>
        </w:rPr>
        <w:t xml:space="preserve">. </w:t>
      </w:r>
      <w:r w:rsidRPr="0043431B">
        <w:rPr>
          <w:rFonts w:cs="Times New Roman"/>
          <w:szCs w:val="20"/>
          <w:lang w:val="en-US"/>
        </w:rPr>
        <w:t xml:space="preserve">The Commission </w:t>
      </w:r>
      <w:r w:rsidR="003447A3" w:rsidRPr="0043431B">
        <w:rPr>
          <w:rFonts w:cs="Times New Roman"/>
          <w:szCs w:val="20"/>
          <w:lang w:val="en-US"/>
        </w:rPr>
        <w:t>also encouraged Members to investigate mortality and morbidity events linked to th</w:t>
      </w:r>
      <w:r w:rsidRPr="0043431B">
        <w:rPr>
          <w:rFonts w:cs="Times New Roman"/>
          <w:szCs w:val="20"/>
          <w:lang w:val="en-US"/>
        </w:rPr>
        <w:t>is</w:t>
      </w:r>
      <w:r w:rsidR="003447A3" w:rsidRPr="0043431B">
        <w:rPr>
          <w:rFonts w:cs="Times New Roman"/>
          <w:szCs w:val="20"/>
          <w:lang w:val="en-US"/>
        </w:rPr>
        <w:t xml:space="preserve"> disease, </w:t>
      </w:r>
      <w:r w:rsidR="003447A3" w:rsidRPr="0043431B">
        <w:rPr>
          <w:rFonts w:cs="Times New Roman"/>
          <w:szCs w:val="20"/>
          <w:lang w:val="en-NZ"/>
        </w:rPr>
        <w:t>emphasising</w:t>
      </w:r>
      <w:r w:rsidR="003447A3" w:rsidRPr="0043431B">
        <w:rPr>
          <w:rFonts w:cs="Times New Roman"/>
          <w:szCs w:val="20"/>
          <w:lang w:val="en-US"/>
        </w:rPr>
        <w:t xml:space="preserve"> that a better understanding of the virus is essential for efforts to control its possible spread. Members are encouraged to submit information on their experiences with infection with CEV and its impacts to the Commission</w:t>
      </w:r>
      <w:r w:rsidR="005D7252">
        <w:rPr>
          <w:rFonts w:cs="Times New Roman"/>
          <w:szCs w:val="20"/>
          <w:lang w:val="en-US"/>
        </w:rPr>
        <w:t>, which</w:t>
      </w:r>
      <w:r w:rsidR="003447A3" w:rsidRPr="0043431B">
        <w:rPr>
          <w:rFonts w:cs="Times New Roman"/>
          <w:szCs w:val="20"/>
          <w:lang w:val="en-US"/>
        </w:rPr>
        <w:t xml:space="preserve"> will </w:t>
      </w:r>
      <w:r w:rsidRPr="0043431B">
        <w:rPr>
          <w:rFonts w:cs="Times New Roman"/>
          <w:szCs w:val="20"/>
          <w:lang w:val="en-US"/>
        </w:rPr>
        <w:t xml:space="preserve">review the situation </w:t>
      </w:r>
      <w:r w:rsidR="003447A3" w:rsidRPr="0043431B">
        <w:rPr>
          <w:rFonts w:cs="Times New Roman"/>
          <w:szCs w:val="20"/>
          <w:lang w:val="en-US"/>
        </w:rPr>
        <w:t xml:space="preserve">at its </w:t>
      </w:r>
      <w:r w:rsidR="00523676">
        <w:rPr>
          <w:rFonts w:cs="Times New Roman"/>
          <w:szCs w:val="20"/>
          <w:lang w:val="en-US"/>
        </w:rPr>
        <w:t>September</w:t>
      </w:r>
      <w:r w:rsidR="003447A3" w:rsidRPr="0043431B">
        <w:rPr>
          <w:rFonts w:cs="Times New Roman"/>
          <w:szCs w:val="20"/>
          <w:lang w:val="en-US"/>
        </w:rPr>
        <w:t xml:space="preserve"> 2020 meeting.  </w:t>
      </w:r>
    </w:p>
    <w:p w14:paraId="12A5AB1E" w14:textId="705B6806" w:rsidR="00790765" w:rsidRPr="00A5604D" w:rsidRDefault="00790765" w:rsidP="00022158">
      <w:pPr>
        <w:pStyle w:val="Titre3"/>
        <w:spacing w:before="0" w:after="240" w:line="240" w:lineRule="auto"/>
        <w:ind w:left="1440" w:hanging="540"/>
        <w:jc w:val="both"/>
        <w:rPr>
          <w:rFonts w:cs="Times New Roman"/>
          <w:b/>
          <w:bCs/>
          <w:i w:val="0"/>
          <w:iCs/>
        </w:rPr>
      </w:pPr>
      <w:r w:rsidRPr="00A5604D">
        <w:rPr>
          <w:rFonts w:cs="Times New Roman"/>
          <w:b/>
          <w:bCs/>
          <w:i w:val="0"/>
          <w:iCs/>
        </w:rPr>
        <w:t>7.3.</w:t>
      </w:r>
      <w:r>
        <w:rPr>
          <w:rFonts w:cs="Times New Roman"/>
          <w:b/>
          <w:bCs/>
          <w:i w:val="0"/>
          <w:iCs/>
        </w:rPr>
        <w:t>4</w:t>
      </w:r>
      <w:r w:rsidRPr="00A5604D">
        <w:rPr>
          <w:rFonts w:cs="Times New Roman"/>
          <w:b/>
          <w:bCs/>
          <w:i w:val="0"/>
          <w:iCs/>
        </w:rPr>
        <w:t>.</w:t>
      </w:r>
      <w:r w:rsidRPr="00A5604D">
        <w:rPr>
          <w:rFonts w:cs="Times New Roman"/>
          <w:b/>
          <w:bCs/>
          <w:i w:val="0"/>
          <w:iCs/>
        </w:rPr>
        <w:tab/>
      </w:r>
      <w:r>
        <w:rPr>
          <w:rFonts w:cs="Times New Roman"/>
          <w:b/>
          <w:bCs/>
          <w:i w:val="0"/>
          <w:iCs/>
        </w:rPr>
        <w:t>A</w:t>
      </w:r>
      <w:r w:rsidRPr="00790765">
        <w:rPr>
          <w:rFonts w:cs="Times New Roman"/>
          <w:b/>
          <w:bCs/>
          <w:i w:val="0"/>
          <w:iCs/>
        </w:rPr>
        <w:t xml:space="preserve">ssessment of infection </w:t>
      </w:r>
      <w:r w:rsidR="005D6CE3" w:rsidRPr="005D6CE3">
        <w:rPr>
          <w:rFonts w:cs="Times New Roman"/>
          <w:b/>
          <w:bCs/>
          <w:i w:val="0"/>
          <w:iCs/>
        </w:rPr>
        <w:t xml:space="preserve">with decapod iridescent virus 1 </w:t>
      </w:r>
      <w:r w:rsidR="005D6CE3">
        <w:rPr>
          <w:rFonts w:cs="Times New Roman"/>
          <w:b/>
          <w:bCs/>
          <w:i w:val="0"/>
          <w:iCs/>
        </w:rPr>
        <w:t>(</w:t>
      </w:r>
      <w:r w:rsidRPr="00790765">
        <w:rPr>
          <w:rFonts w:cs="Times New Roman"/>
          <w:b/>
          <w:bCs/>
          <w:i w:val="0"/>
          <w:iCs/>
        </w:rPr>
        <w:t>DIV1</w:t>
      </w:r>
      <w:r w:rsidR="005D6CE3">
        <w:rPr>
          <w:rFonts w:cs="Times New Roman"/>
          <w:b/>
          <w:bCs/>
          <w:i w:val="0"/>
          <w:iCs/>
        </w:rPr>
        <w:t>)</w:t>
      </w:r>
      <w:r>
        <w:rPr>
          <w:rFonts w:cs="Times New Roman"/>
          <w:b/>
          <w:bCs/>
          <w:i w:val="0"/>
          <w:iCs/>
        </w:rPr>
        <w:t xml:space="preserve"> for listing in Chapter 1.3 of the </w:t>
      </w:r>
      <w:r w:rsidRPr="001D5EB7">
        <w:rPr>
          <w:rFonts w:cs="Times New Roman"/>
          <w:b/>
          <w:bCs/>
          <w:iCs/>
        </w:rPr>
        <w:t>Aquatic Code</w:t>
      </w:r>
    </w:p>
    <w:p w14:paraId="06091EC7" w14:textId="77777777" w:rsidR="005D6CE3" w:rsidRDefault="00790765" w:rsidP="00022158">
      <w:pPr>
        <w:spacing w:after="240" w:line="240" w:lineRule="auto"/>
        <w:ind w:left="1418"/>
        <w:jc w:val="both"/>
        <w:rPr>
          <w:rFonts w:cs="Times New Roman"/>
          <w:szCs w:val="20"/>
          <w:lang w:val="en-IE"/>
        </w:rPr>
      </w:pPr>
      <w:r w:rsidRPr="0043431B">
        <w:rPr>
          <w:rFonts w:cs="Times New Roman"/>
          <w:szCs w:val="20"/>
          <w:lang w:val="en-IE"/>
        </w:rPr>
        <w:t xml:space="preserve">The </w:t>
      </w:r>
      <w:r w:rsidRPr="0043431B">
        <w:rPr>
          <w:rFonts w:cs="Times New Roman"/>
          <w:szCs w:val="20"/>
        </w:rPr>
        <w:t xml:space="preserve">Commission </w:t>
      </w:r>
      <w:r w:rsidR="005D6CE3">
        <w:rPr>
          <w:rFonts w:cs="Times New Roman"/>
          <w:szCs w:val="20"/>
        </w:rPr>
        <w:t xml:space="preserve">accepted most of the comments received on the assessment of infection </w:t>
      </w:r>
      <w:r w:rsidRPr="0043431B">
        <w:rPr>
          <w:rFonts w:cs="Times New Roman"/>
          <w:szCs w:val="20"/>
          <w:lang w:val="en-IE"/>
        </w:rPr>
        <w:t>with DIV1</w:t>
      </w:r>
      <w:r w:rsidR="005D6CE3">
        <w:rPr>
          <w:rFonts w:cs="Times New Roman"/>
          <w:szCs w:val="20"/>
          <w:lang w:val="en-IE"/>
        </w:rPr>
        <w:t xml:space="preserve"> </w:t>
      </w:r>
      <w:r w:rsidR="005D6CE3" w:rsidRPr="005D6CE3">
        <w:rPr>
          <w:rFonts w:cs="Times New Roman"/>
          <w:szCs w:val="20"/>
          <w:lang w:val="en-IE"/>
        </w:rPr>
        <w:t>against the criteria for listing aquatic animal diseases in Article 1.2.</w:t>
      </w:r>
      <w:r w:rsidR="005D6CE3">
        <w:rPr>
          <w:rFonts w:cs="Times New Roman"/>
          <w:szCs w:val="20"/>
          <w:lang w:val="en-IE"/>
        </w:rPr>
        <w:t xml:space="preserve">2, Criteria for listing aquatic animal diseases, </w:t>
      </w:r>
      <w:r w:rsidRPr="0043431B">
        <w:rPr>
          <w:rFonts w:cs="Times New Roman"/>
          <w:szCs w:val="20"/>
          <w:lang w:val="en-IE"/>
        </w:rPr>
        <w:t>to improve clarity</w:t>
      </w:r>
    </w:p>
    <w:p w14:paraId="3F8B05F7" w14:textId="7B30F27F" w:rsidR="00790765" w:rsidRPr="0043431B" w:rsidRDefault="005D6CE3" w:rsidP="00022158">
      <w:pPr>
        <w:spacing w:after="240" w:line="240" w:lineRule="auto"/>
        <w:ind w:left="1418"/>
        <w:jc w:val="both"/>
        <w:rPr>
          <w:rFonts w:cs="Times New Roman"/>
          <w:szCs w:val="20"/>
          <w:lang w:val="en-IE"/>
        </w:rPr>
      </w:pPr>
      <w:r w:rsidRPr="001D5EB7">
        <w:rPr>
          <w:rFonts w:cs="Times New Roman"/>
          <w:szCs w:val="20"/>
          <w:lang w:val="en-IE"/>
        </w:rPr>
        <w:t xml:space="preserve">The revised assessment of infection with DIV1 is presented in </w:t>
      </w:r>
      <w:hyperlink w:anchor="_Annex_10_2" w:history="1">
        <w:r w:rsidRPr="006B071F">
          <w:rPr>
            <w:rStyle w:val="Lienhypertexte"/>
            <w:rFonts w:cs="Times New Roman"/>
            <w:szCs w:val="20"/>
            <w:lang w:val="en-IE"/>
          </w:rPr>
          <w:t>Annex 10</w:t>
        </w:r>
        <w:r w:rsidRPr="0062639E">
          <w:rPr>
            <w:rStyle w:val="Lienhypertexte"/>
            <w:rFonts w:cs="Times New Roman"/>
            <w:szCs w:val="20"/>
            <w:u w:val="none"/>
            <w:lang w:val="en-IE"/>
          </w:rPr>
          <w:t xml:space="preserve"> </w:t>
        </w:r>
      </w:hyperlink>
      <w:r w:rsidRPr="001D5EB7">
        <w:rPr>
          <w:rFonts w:cs="Times New Roman"/>
          <w:szCs w:val="20"/>
          <w:lang w:val="en-IE"/>
        </w:rPr>
        <w:t>for Member information (see also Item 7.1.2.).</w:t>
      </w:r>
    </w:p>
    <w:p w14:paraId="7705A024" w14:textId="77777777" w:rsidR="003447A3" w:rsidRPr="0043431B" w:rsidRDefault="003447A3" w:rsidP="006A2D15">
      <w:pPr>
        <w:pStyle w:val="Titre1"/>
        <w:spacing w:before="0" w:after="240" w:line="240" w:lineRule="auto"/>
        <w:ind w:left="284" w:hanging="284"/>
        <w:rPr>
          <w:rFonts w:ascii="Times New Roman" w:hAnsi="Times New Roman" w:cs="Times New Roman"/>
          <w:b/>
          <w:bCs/>
          <w:caps/>
          <w:color w:val="auto"/>
          <w:sz w:val="20"/>
          <w:szCs w:val="20"/>
        </w:rPr>
      </w:pPr>
      <w:bookmarkStart w:id="33" w:name="_Toc38028633"/>
      <w:r w:rsidRPr="0043431B">
        <w:rPr>
          <w:rFonts w:ascii="Times New Roman" w:hAnsi="Times New Roman" w:cs="Times New Roman"/>
          <w:b/>
          <w:bCs/>
          <w:color w:val="auto"/>
          <w:sz w:val="20"/>
          <w:szCs w:val="20"/>
        </w:rPr>
        <w:t>8.</w:t>
      </w:r>
      <w:r w:rsidRPr="0043431B">
        <w:rPr>
          <w:rFonts w:ascii="Times New Roman" w:hAnsi="Times New Roman" w:cs="Times New Roman"/>
          <w:b/>
          <w:bCs/>
          <w:color w:val="auto"/>
          <w:sz w:val="20"/>
          <w:szCs w:val="20"/>
        </w:rPr>
        <w:tab/>
      </w:r>
      <w:r w:rsidR="001A3C31" w:rsidRPr="0043431B">
        <w:rPr>
          <w:rFonts w:ascii="Times New Roman" w:hAnsi="Times New Roman" w:cs="Times New Roman"/>
          <w:b/>
          <w:bCs/>
          <w:caps/>
          <w:color w:val="auto"/>
          <w:sz w:val="20"/>
          <w:szCs w:val="20"/>
        </w:rPr>
        <w:t xml:space="preserve">OIE </w:t>
      </w:r>
      <w:r w:rsidR="001A3C31" w:rsidRPr="0043431B">
        <w:rPr>
          <w:rFonts w:ascii="Times New Roman" w:hAnsi="Times New Roman" w:cs="Times New Roman"/>
          <w:b/>
          <w:bCs/>
          <w:i/>
          <w:caps/>
          <w:color w:val="auto"/>
          <w:sz w:val="20"/>
          <w:szCs w:val="20"/>
          <w:lang w:val="en"/>
        </w:rPr>
        <w:t>Manual of Diagnostic Tests for Aquatic Animals</w:t>
      </w:r>
      <w:bookmarkEnd w:id="33"/>
    </w:p>
    <w:p w14:paraId="193FC7C0" w14:textId="6EF3BB08" w:rsidR="00053BBB" w:rsidRDefault="00053BBB" w:rsidP="00C50EA5">
      <w:pPr>
        <w:pStyle w:val="Titre2"/>
        <w:tabs>
          <w:tab w:val="left" w:pos="810"/>
        </w:tabs>
        <w:spacing w:before="0" w:after="240" w:line="240" w:lineRule="auto"/>
        <w:ind w:firstLine="270"/>
        <w:jc w:val="both"/>
        <w:rPr>
          <w:rFonts w:eastAsia="MS Mincho"/>
          <w:b/>
          <w:bCs/>
          <w:lang w:eastAsia="ja-JP"/>
        </w:rPr>
      </w:pPr>
      <w:bookmarkStart w:id="34" w:name="_Toc38028634"/>
      <w:r w:rsidRPr="001650EB">
        <w:rPr>
          <w:b/>
          <w:bCs/>
        </w:rPr>
        <w:t>8.1.</w:t>
      </w:r>
      <w:r w:rsidRPr="001650EB">
        <w:rPr>
          <w:rFonts w:eastAsia="MS Mincho"/>
          <w:b/>
          <w:bCs/>
          <w:lang w:eastAsia="ja-JP"/>
        </w:rPr>
        <w:tab/>
        <w:t xml:space="preserve">Status of </w:t>
      </w:r>
      <w:r w:rsidRPr="001650EB">
        <w:rPr>
          <w:rFonts w:eastAsia="MS Mincho"/>
          <w:b/>
          <w:bCs/>
          <w:i/>
          <w:iCs/>
          <w:lang w:eastAsia="ja-JP"/>
        </w:rPr>
        <w:t>Aquatic Manual</w:t>
      </w:r>
      <w:r w:rsidRPr="001650EB">
        <w:rPr>
          <w:rFonts w:eastAsia="MS Mincho"/>
          <w:b/>
          <w:bCs/>
          <w:lang w:eastAsia="ja-JP"/>
        </w:rPr>
        <w:t xml:space="preserve"> revisions</w:t>
      </w:r>
      <w:bookmarkEnd w:id="34"/>
    </w:p>
    <w:p w14:paraId="3EDEC62D" w14:textId="77777777" w:rsidR="00053BBB" w:rsidRDefault="00053BBB" w:rsidP="00C50EA5">
      <w:pPr>
        <w:pStyle w:val="para11"/>
        <w:ind w:left="850"/>
        <w:rPr>
          <w:lang w:val="en-IE"/>
        </w:rPr>
      </w:pPr>
      <w:r w:rsidRPr="007C0B52">
        <w:rPr>
          <w:bCs/>
          <w:lang w:val="en-IE"/>
        </w:rPr>
        <w:t xml:space="preserve">The </w:t>
      </w:r>
      <w:r w:rsidRPr="007C0B52">
        <w:rPr>
          <w:lang w:val="en-IE"/>
        </w:rPr>
        <w:t xml:space="preserve">Aquatic Animals </w:t>
      </w:r>
      <w:r w:rsidRPr="007C0B52">
        <w:rPr>
          <w:bCs/>
          <w:lang w:val="en-IE"/>
        </w:rPr>
        <w:t>Commission examined the status of chapters that had previously been identified for substantive revision</w:t>
      </w:r>
      <w:r w:rsidRPr="007C0B52">
        <w:rPr>
          <w:color w:val="000000"/>
          <w:lang w:val="en-IE"/>
        </w:rPr>
        <w:t>. These chapters include those in Section 2.3</w:t>
      </w:r>
      <w:r>
        <w:rPr>
          <w:color w:val="000000"/>
          <w:lang w:val="en-IE"/>
        </w:rPr>
        <w:t>,</w:t>
      </w:r>
      <w:r w:rsidRPr="007C0B52">
        <w:rPr>
          <w:color w:val="000000"/>
          <w:lang w:val="en-IE"/>
        </w:rPr>
        <w:t xml:space="preserve"> Diseases of Fish</w:t>
      </w:r>
      <w:r>
        <w:rPr>
          <w:color w:val="000000"/>
          <w:lang w:val="en-IE"/>
        </w:rPr>
        <w:t>,</w:t>
      </w:r>
      <w:r w:rsidRPr="007C0B52">
        <w:rPr>
          <w:color w:val="000000"/>
          <w:lang w:val="en-IE"/>
        </w:rPr>
        <w:t xml:space="preserve"> and a new chapter </w:t>
      </w:r>
      <w:r>
        <w:rPr>
          <w:color w:val="000000"/>
          <w:lang w:val="en-IE"/>
        </w:rPr>
        <w:t>on</w:t>
      </w:r>
      <w:r w:rsidRPr="007C0B52">
        <w:rPr>
          <w:color w:val="000000"/>
          <w:lang w:val="en-IE"/>
        </w:rPr>
        <w:t xml:space="preserve"> Infection with </w:t>
      </w:r>
      <w:r w:rsidRPr="007C0B52">
        <w:rPr>
          <w:i/>
          <w:color w:val="000000"/>
          <w:lang w:val="en-IE"/>
        </w:rPr>
        <w:t>Batrachochytrium salamandrivorans</w:t>
      </w:r>
      <w:r w:rsidRPr="007C0B52">
        <w:rPr>
          <w:lang w:val="en-IE"/>
        </w:rPr>
        <w:t xml:space="preserve">. The Commission agreed to a target of circulating first drafts of the remaining fish disease chapters, </w:t>
      </w:r>
      <w:r>
        <w:rPr>
          <w:lang w:val="en-IE"/>
        </w:rPr>
        <w:t xml:space="preserve">which are </w:t>
      </w:r>
      <w:r w:rsidRPr="007C0B52">
        <w:rPr>
          <w:lang w:val="en-IE"/>
        </w:rPr>
        <w:t>revised using the new template, for review at the September 2020 meeting.</w:t>
      </w:r>
    </w:p>
    <w:p w14:paraId="03657362" w14:textId="77777777" w:rsidR="00053BBB" w:rsidRDefault="00053BBB" w:rsidP="00C50EA5">
      <w:pPr>
        <w:pStyle w:val="para11"/>
        <w:ind w:left="850"/>
        <w:rPr>
          <w:lang w:val="en-IE"/>
        </w:rPr>
      </w:pPr>
      <w:r w:rsidRPr="00AE3422">
        <w:rPr>
          <w:bCs/>
          <w:lang w:val="en-IE"/>
        </w:rPr>
        <w:t>The Commission</w:t>
      </w:r>
      <w:r>
        <w:rPr>
          <w:bCs/>
          <w:lang w:val="en-IE"/>
        </w:rPr>
        <w:t xml:space="preserve"> reiterated the decision to no longer revise the chapters on delisted diseases and to remove them from the </w:t>
      </w:r>
      <w:r w:rsidRPr="009269A5">
        <w:rPr>
          <w:bCs/>
          <w:i/>
          <w:iCs/>
          <w:lang w:val="en-IE"/>
        </w:rPr>
        <w:t>Aquatic Manual</w:t>
      </w:r>
      <w:r>
        <w:rPr>
          <w:bCs/>
          <w:lang w:val="en-IE"/>
        </w:rPr>
        <w:t xml:space="preserve"> following the General Session in May 2021. The Commission noted that it was important to focus available resources on maintaining the quality of chapters for listed diseases. The chapters for delisted diseases would remain available in previously published versions of the </w:t>
      </w:r>
      <w:r w:rsidRPr="007C0B52">
        <w:rPr>
          <w:bCs/>
          <w:i/>
          <w:iCs/>
          <w:lang w:val="en-IE"/>
        </w:rPr>
        <w:t>Aquatic Manual</w:t>
      </w:r>
      <w:r>
        <w:rPr>
          <w:bCs/>
          <w:lang w:val="en-IE"/>
        </w:rPr>
        <w:t>.</w:t>
      </w:r>
    </w:p>
    <w:p w14:paraId="66083191" w14:textId="491B4CD6" w:rsidR="00053BBB" w:rsidRDefault="00053BBB" w:rsidP="00C50EA5">
      <w:pPr>
        <w:pStyle w:val="Titre2"/>
        <w:tabs>
          <w:tab w:val="left" w:pos="810"/>
        </w:tabs>
        <w:spacing w:before="0" w:after="240" w:line="240" w:lineRule="auto"/>
        <w:ind w:left="450" w:hanging="180"/>
        <w:jc w:val="both"/>
        <w:rPr>
          <w:rFonts w:eastAsia="MS Mincho"/>
          <w:b/>
          <w:bCs/>
          <w:lang w:val="en-IE" w:eastAsia="ja-JP"/>
        </w:rPr>
      </w:pPr>
      <w:bookmarkStart w:id="35" w:name="_Toc38028635"/>
      <w:r w:rsidRPr="001650EB">
        <w:rPr>
          <w:b/>
          <w:bCs/>
        </w:rPr>
        <w:t>8.2.</w:t>
      </w:r>
      <w:r w:rsidRPr="001650EB">
        <w:rPr>
          <w:rFonts w:eastAsia="MS Mincho"/>
          <w:b/>
          <w:bCs/>
          <w:lang w:eastAsia="ja-JP"/>
        </w:rPr>
        <w:tab/>
      </w:r>
      <w:r w:rsidRPr="001650EB">
        <w:rPr>
          <w:b/>
          <w:bCs/>
        </w:rPr>
        <w:t xml:space="preserve">Texts </w:t>
      </w:r>
      <w:r w:rsidR="009A7DDA">
        <w:rPr>
          <w:rFonts w:eastAsia="MS Mincho"/>
          <w:b/>
          <w:bCs/>
          <w:lang w:val="en-IE" w:eastAsia="ja-JP"/>
        </w:rPr>
        <w:t>to be proposed for adoption in May 2021</w:t>
      </w:r>
      <w:bookmarkEnd w:id="35"/>
    </w:p>
    <w:p w14:paraId="7053F4DC" w14:textId="77777777" w:rsidR="00996660" w:rsidRDefault="00996660" w:rsidP="00996660">
      <w:pPr>
        <w:spacing w:after="240" w:line="240" w:lineRule="auto"/>
        <w:ind w:left="810"/>
        <w:jc w:val="both"/>
        <w:rPr>
          <w:rFonts w:cs="Times New Roman"/>
          <w:bCs/>
          <w:szCs w:val="20"/>
          <w:lang w:val="en-IE" w:bidi="en-US"/>
        </w:rPr>
      </w:pPr>
      <w:r>
        <w:rPr>
          <w:rFonts w:cs="Times New Roman"/>
          <w:bCs/>
          <w:szCs w:val="20"/>
          <w:lang w:val="en-IE" w:bidi="en-US"/>
        </w:rPr>
        <w:t xml:space="preserve">Horizontal amendments </w:t>
      </w:r>
    </w:p>
    <w:p w14:paraId="63628601" w14:textId="07A78348" w:rsidR="00053BBB" w:rsidRPr="00053BBB" w:rsidRDefault="00053BBB" w:rsidP="00C50EA5">
      <w:pPr>
        <w:spacing w:after="240" w:line="240" w:lineRule="auto"/>
        <w:ind w:left="810"/>
        <w:jc w:val="both"/>
        <w:rPr>
          <w:rFonts w:cs="Times New Roman"/>
          <w:bCs/>
          <w:szCs w:val="20"/>
          <w:lang w:val="en-IE" w:bidi="en-US"/>
        </w:rPr>
      </w:pPr>
      <w:r w:rsidRPr="00053BBB">
        <w:rPr>
          <w:rFonts w:cs="Times New Roman"/>
          <w:bCs/>
          <w:szCs w:val="20"/>
          <w:lang w:val="en-IE" w:bidi="en-US"/>
        </w:rPr>
        <w:t xml:space="preserve">The Aquatic Animals Commission agreed to a proposal to add the word ‘apparently’ in the title </w:t>
      </w:r>
      <w:r w:rsidRPr="00053BBB">
        <w:rPr>
          <w:rFonts w:cs="Times New Roman"/>
          <w:bCs/>
          <w:iCs/>
          <w:szCs w:val="20"/>
          <w:lang w:val="en-IE" w:bidi="en-US"/>
        </w:rPr>
        <w:t xml:space="preserve">of </w:t>
      </w:r>
      <w:r w:rsidRPr="00053BBB">
        <w:rPr>
          <w:rFonts w:cs="Times New Roman"/>
          <w:bCs/>
          <w:szCs w:val="20"/>
          <w:lang w:val="en-IE" w:bidi="en-US"/>
        </w:rPr>
        <w:t xml:space="preserve">Table 4.1, </w:t>
      </w:r>
      <w:r w:rsidRPr="00053BBB">
        <w:rPr>
          <w:rFonts w:cs="Times New Roman"/>
          <w:bCs/>
          <w:iCs/>
          <w:szCs w:val="20"/>
          <w:lang w:val="en-IE" w:bidi="en-US"/>
        </w:rPr>
        <w:t>OIE recommended</w:t>
      </w:r>
      <w:r w:rsidRPr="00053BBB">
        <w:rPr>
          <w:rFonts w:cs="Times New Roman"/>
          <w:iCs/>
          <w:szCs w:val="20"/>
          <w:lang w:val="en-IE" w:bidi="en-US"/>
        </w:rPr>
        <w:t xml:space="preserve"> </w:t>
      </w:r>
      <w:r w:rsidRPr="00053BBB">
        <w:rPr>
          <w:rFonts w:cs="Times New Roman"/>
          <w:bCs/>
          <w:iCs/>
          <w:szCs w:val="20"/>
          <w:lang w:val="en-IE" w:bidi="en-US"/>
        </w:rPr>
        <w:t>diagnostic methods and their level of validation for surveillance of healthy animals and investigation of clinically affected animals</w:t>
      </w:r>
      <w:r w:rsidRPr="00053BBB">
        <w:rPr>
          <w:rFonts w:cs="Times New Roman"/>
          <w:bCs/>
          <w:i/>
          <w:szCs w:val="20"/>
          <w:lang w:val="en-IE" w:bidi="en-US"/>
        </w:rPr>
        <w:t>,</w:t>
      </w:r>
      <w:r w:rsidRPr="00053BBB">
        <w:rPr>
          <w:rFonts w:cs="Times New Roman"/>
          <w:bCs/>
          <w:szCs w:val="20"/>
          <w:lang w:val="en-IE" w:bidi="en-US"/>
        </w:rPr>
        <w:t xml:space="preserve"> before the words ‘healthy animals’. This amendment will be made horizontally to all </w:t>
      </w:r>
      <w:r w:rsidRPr="00053BBB">
        <w:rPr>
          <w:rFonts w:cs="Times New Roman"/>
          <w:bCs/>
          <w:i/>
          <w:iCs/>
          <w:szCs w:val="20"/>
          <w:lang w:val="en-IE" w:bidi="en-US"/>
        </w:rPr>
        <w:t>Aquatic Manual</w:t>
      </w:r>
      <w:r w:rsidRPr="00053BBB">
        <w:rPr>
          <w:rFonts w:cs="Times New Roman"/>
          <w:bCs/>
          <w:szCs w:val="20"/>
          <w:lang w:val="en-IE" w:bidi="en-US"/>
        </w:rPr>
        <w:t xml:space="preserve"> chapters and to the template. </w:t>
      </w:r>
    </w:p>
    <w:p w14:paraId="55BBB7A4" w14:textId="77777777" w:rsidR="00053BBB" w:rsidRPr="00053BBB" w:rsidRDefault="00053BBB" w:rsidP="00C50EA5">
      <w:pPr>
        <w:spacing w:after="240"/>
        <w:ind w:left="810"/>
        <w:jc w:val="both"/>
        <w:rPr>
          <w:rFonts w:cs="Times New Roman"/>
          <w:bCs/>
          <w:szCs w:val="20"/>
          <w:lang w:val="en-IE" w:bidi="en-US"/>
        </w:rPr>
      </w:pPr>
      <w:r w:rsidRPr="00053BBB">
        <w:rPr>
          <w:rFonts w:eastAsia="SimSun" w:cs="Times New Roman"/>
          <w:bCs/>
          <w:szCs w:val="20"/>
          <w:lang w:val="en-IE" w:eastAsia="fr-FR" w:bidi="en-US"/>
        </w:rPr>
        <w:t xml:space="preserve">The Commission did not agree </w:t>
      </w:r>
      <w:r w:rsidRPr="00053BBB">
        <w:rPr>
          <w:rFonts w:cs="Times New Roman"/>
          <w:bCs/>
          <w:iCs/>
          <w:szCs w:val="20"/>
          <w:lang w:val="en-IE" w:bidi="en-US"/>
        </w:rPr>
        <w:t xml:space="preserve">to combine test methods in the rows of </w:t>
      </w:r>
      <w:r w:rsidRPr="00053BBB">
        <w:rPr>
          <w:rFonts w:cs="Times New Roman"/>
          <w:bCs/>
          <w:szCs w:val="20"/>
          <w:lang w:val="en-IE" w:bidi="en-US"/>
        </w:rPr>
        <w:t xml:space="preserve">Table 4.1, </w:t>
      </w:r>
      <w:r w:rsidRPr="00053BBB">
        <w:rPr>
          <w:rFonts w:cs="Times New Roman"/>
          <w:bCs/>
          <w:iCs/>
          <w:szCs w:val="20"/>
          <w:lang w:val="en-IE" w:bidi="en-US"/>
        </w:rPr>
        <w:t>for example</w:t>
      </w:r>
      <w:r w:rsidRPr="00053BBB">
        <w:rPr>
          <w:rFonts w:cs="Times New Roman"/>
          <w:bCs/>
          <w:szCs w:val="20"/>
          <w:lang w:val="en-IE" w:bidi="en-US"/>
        </w:rPr>
        <w:t xml:space="preserve"> to combine cell culture and a molecular or immunological method in the same row. The Commission reminded Members that test methods are listed separately in Table 4.1, and that combinations of test methods, necessary to define a suspect or confirmed case, are given in Section 6, </w:t>
      </w:r>
      <w:r w:rsidRPr="00053BBB">
        <w:rPr>
          <w:rFonts w:cs="Times New Roman"/>
          <w:szCs w:val="20"/>
        </w:rPr>
        <w:t>Corroborative diagnostic criteria</w:t>
      </w:r>
      <w:r w:rsidRPr="00053BBB">
        <w:rPr>
          <w:rFonts w:cs="Times New Roman"/>
          <w:bCs/>
          <w:szCs w:val="20"/>
          <w:lang w:val="en-IE" w:bidi="en-US"/>
        </w:rPr>
        <w:t xml:space="preserve">. </w:t>
      </w:r>
    </w:p>
    <w:p w14:paraId="1D810245" w14:textId="753EBC24" w:rsidR="00053BBB" w:rsidRPr="00053BBB" w:rsidRDefault="00053BBB" w:rsidP="001D5EB7">
      <w:pPr>
        <w:pStyle w:val="para11"/>
        <w:spacing w:after="120"/>
        <w:ind w:left="850"/>
        <w:rPr>
          <w:rFonts w:eastAsia="SimSun"/>
          <w:lang w:val="en-IE" w:eastAsia="fr-FR"/>
        </w:rPr>
      </w:pPr>
      <w:r w:rsidRPr="00053BBB">
        <w:rPr>
          <w:rFonts w:eastAsia="SimSun"/>
          <w:lang w:val="en-IE" w:eastAsia="fr-FR"/>
        </w:rPr>
        <w:lastRenderedPageBreak/>
        <w:t xml:space="preserve">In response to a number of comments regarding the use of abbreviations, the </w:t>
      </w:r>
      <w:r w:rsidRPr="00053BBB">
        <w:rPr>
          <w:bCs/>
          <w:lang w:val="en-IE"/>
        </w:rPr>
        <w:t>Commission</w:t>
      </w:r>
      <w:r w:rsidRPr="00053BBB">
        <w:rPr>
          <w:rFonts w:eastAsia="SimSun"/>
          <w:lang w:val="en-IE" w:eastAsia="fr-FR"/>
        </w:rPr>
        <w:t xml:space="preserve"> reiterated that in the </w:t>
      </w:r>
      <w:r w:rsidRPr="00053BBB">
        <w:rPr>
          <w:rFonts w:eastAsia="SimSun"/>
          <w:i/>
          <w:iCs/>
          <w:lang w:val="en-IE" w:eastAsia="fr-FR"/>
        </w:rPr>
        <w:t>Aquatic Manual</w:t>
      </w:r>
      <w:r w:rsidRPr="00053BBB">
        <w:rPr>
          <w:rFonts w:eastAsia="SimSun"/>
          <w:lang w:val="en-IE" w:eastAsia="fr-FR"/>
        </w:rPr>
        <w:t xml:space="preserve">, </w:t>
      </w:r>
      <w:r w:rsidRPr="00053BBB">
        <w:t xml:space="preserve">the abbreviation ‘RT-PCR’ is reserved for reverse-transcription polymerase chain reaction methods; ‘real-time PCR’ is always stated in full. The term ‘conventional PCR’ is used throughout the </w:t>
      </w:r>
      <w:r w:rsidRPr="00053BBB">
        <w:rPr>
          <w:rFonts w:eastAsia="SimSun"/>
          <w:i/>
          <w:iCs/>
          <w:lang w:val="en-IE" w:eastAsia="fr-FR"/>
        </w:rPr>
        <w:t xml:space="preserve">Aquatic Manual, </w:t>
      </w:r>
      <w:r w:rsidRPr="00053BBB">
        <w:rPr>
          <w:rFonts w:eastAsia="SimSun"/>
          <w:lang w:val="en-IE" w:eastAsia="fr-FR"/>
        </w:rPr>
        <w:t>including in Table 4.1 and the title of Section 4.4.2.</w:t>
      </w:r>
    </w:p>
    <w:p w14:paraId="7940D5EC" w14:textId="77777777" w:rsidR="00053BBB" w:rsidRPr="00053BBB" w:rsidRDefault="00053BBB" w:rsidP="001D5EB7">
      <w:pPr>
        <w:pStyle w:val="para11"/>
        <w:spacing w:after="120"/>
        <w:ind w:left="850"/>
        <w:rPr>
          <w:rFonts w:eastAsia="SimSun"/>
          <w:lang w:val="en-IE" w:eastAsia="fr-FR"/>
        </w:rPr>
      </w:pPr>
      <w:r w:rsidRPr="00053BBB">
        <w:rPr>
          <w:rFonts w:eastAsia="SimSun"/>
          <w:lang w:val="en-IE" w:eastAsia="fr-FR"/>
        </w:rPr>
        <w:t xml:space="preserve">The </w:t>
      </w:r>
      <w:r w:rsidRPr="00053BBB">
        <w:rPr>
          <w:bCs/>
          <w:lang w:val="en-IE"/>
        </w:rPr>
        <w:t>Commission</w:t>
      </w:r>
      <w:r w:rsidRPr="00053BBB">
        <w:rPr>
          <w:rFonts w:eastAsia="SimSun"/>
          <w:lang w:val="en-IE" w:eastAsia="fr-FR"/>
        </w:rPr>
        <w:t xml:space="preserve"> accepted a request to delete ‘serological’ from the title of Section 4.10, </w:t>
      </w:r>
      <w:r w:rsidRPr="00053BBB">
        <w:rPr>
          <w:lang w:bidi="en-US"/>
        </w:rPr>
        <w:t xml:space="preserve">Other serological methods, as the other methods should not be limited to serological ones. This change </w:t>
      </w:r>
      <w:r w:rsidRPr="00053BBB">
        <w:rPr>
          <w:bCs/>
          <w:lang w:val="en-IE" w:bidi="en-US"/>
        </w:rPr>
        <w:t xml:space="preserve">will be made horizontally to all the </w:t>
      </w:r>
      <w:r w:rsidRPr="00053BBB">
        <w:rPr>
          <w:bCs/>
          <w:i/>
          <w:iCs/>
          <w:lang w:val="en-IE" w:bidi="en-US"/>
        </w:rPr>
        <w:t>Aquatic Manual</w:t>
      </w:r>
      <w:r w:rsidRPr="00053BBB">
        <w:rPr>
          <w:bCs/>
          <w:lang w:val="en-IE" w:bidi="en-US"/>
        </w:rPr>
        <w:t xml:space="preserve"> chapters and to the template.</w:t>
      </w:r>
    </w:p>
    <w:p w14:paraId="475BBC2A" w14:textId="77777777" w:rsidR="00053BBB" w:rsidRPr="00053BBB" w:rsidRDefault="00053BBB" w:rsidP="001D5EB7">
      <w:pPr>
        <w:pStyle w:val="para11"/>
        <w:spacing w:after="120"/>
        <w:ind w:left="850"/>
        <w:rPr>
          <w:bCs/>
        </w:rPr>
      </w:pPr>
      <w:r w:rsidRPr="00053BBB">
        <w:rPr>
          <w:rFonts w:eastAsia="SimSun"/>
          <w:lang w:val="en-IE" w:eastAsia="fr-FR"/>
        </w:rPr>
        <w:t xml:space="preserve">The </w:t>
      </w:r>
      <w:r w:rsidRPr="00053BBB">
        <w:rPr>
          <w:bCs/>
          <w:lang w:val="en-IE"/>
        </w:rPr>
        <w:t>Commission</w:t>
      </w:r>
      <w:r w:rsidRPr="00053BBB">
        <w:rPr>
          <w:rFonts w:eastAsia="SimSun"/>
          <w:lang w:val="en-IE" w:eastAsia="fr-FR"/>
        </w:rPr>
        <w:t xml:space="preserve"> did not agree with </w:t>
      </w:r>
      <w:r w:rsidRPr="00053BBB">
        <w:rPr>
          <w:bCs/>
        </w:rPr>
        <w:t xml:space="preserve">a number of proposed changes to the text in Section 6, </w:t>
      </w:r>
      <w:bookmarkStart w:id="36" w:name="_Hlk20833055"/>
      <w:r w:rsidRPr="00053BBB">
        <w:t>Corroborative diagnostic criteria</w:t>
      </w:r>
      <w:bookmarkEnd w:id="36"/>
      <w:r w:rsidRPr="00053BBB">
        <w:t xml:space="preserve">. The text in this Section is given in the chapter template and is standard throughout all the chapters. </w:t>
      </w:r>
    </w:p>
    <w:p w14:paraId="254E73CC" w14:textId="08713D90" w:rsidR="00053BBB" w:rsidRDefault="00053BBB" w:rsidP="001D5EB7">
      <w:pPr>
        <w:pStyle w:val="para11"/>
        <w:spacing w:after="120"/>
        <w:ind w:left="850"/>
        <w:rPr>
          <w:bCs/>
          <w:lang w:val="en-IE" w:bidi="en-US"/>
        </w:rPr>
      </w:pPr>
      <w:r w:rsidRPr="00053BBB">
        <w:rPr>
          <w:lang w:val="en-IE"/>
        </w:rPr>
        <w:t xml:space="preserve">The </w:t>
      </w:r>
      <w:r w:rsidRPr="00053BBB">
        <w:rPr>
          <w:bCs/>
          <w:lang w:val="en-IE"/>
        </w:rPr>
        <w:t>Commission</w:t>
      </w:r>
      <w:r w:rsidRPr="00053BBB">
        <w:rPr>
          <w:lang w:val="en-IE"/>
        </w:rPr>
        <w:t xml:space="preserve"> agreed with a comment to add an explanation of the purpose of Table 6.1, Diagnostic performance of tests recommended for surveillance or diagnosis, given in Section 6.3, </w:t>
      </w:r>
      <w:r w:rsidRPr="00053BBB">
        <w:rPr>
          <w:lang w:eastAsia="fr-FR"/>
        </w:rPr>
        <w:t xml:space="preserve">Diagnostic sensitivity and specificity for diagnostic tests. </w:t>
      </w:r>
      <w:r w:rsidR="0016179E" w:rsidRPr="00053BBB">
        <w:rPr>
          <w:lang w:bidi="en-US"/>
        </w:rPr>
        <w:t xml:space="preserve">This change </w:t>
      </w:r>
      <w:r w:rsidR="0016179E" w:rsidRPr="00053BBB">
        <w:rPr>
          <w:bCs/>
          <w:lang w:val="en-IE" w:bidi="en-US"/>
        </w:rPr>
        <w:t xml:space="preserve">will be made horizontally to all the </w:t>
      </w:r>
      <w:r w:rsidR="0016179E" w:rsidRPr="00053BBB">
        <w:rPr>
          <w:bCs/>
          <w:i/>
          <w:iCs/>
          <w:lang w:val="en-IE" w:bidi="en-US"/>
        </w:rPr>
        <w:t>Aquatic Manual</w:t>
      </w:r>
      <w:r w:rsidR="0016179E" w:rsidRPr="00053BBB">
        <w:rPr>
          <w:bCs/>
          <w:lang w:val="en-IE" w:bidi="en-US"/>
        </w:rPr>
        <w:t xml:space="preserve"> chapters and to the template.</w:t>
      </w:r>
      <w:r w:rsidR="0016179E">
        <w:rPr>
          <w:rFonts w:eastAsia="SimSun"/>
          <w:lang w:val="en-IE" w:eastAsia="fr-FR"/>
        </w:rPr>
        <w:t xml:space="preserve"> </w:t>
      </w:r>
      <w:r w:rsidRPr="00053BBB">
        <w:rPr>
          <w:lang w:eastAsia="fr-FR"/>
        </w:rPr>
        <w:t xml:space="preserve">The </w:t>
      </w:r>
      <w:r w:rsidR="0016179E">
        <w:rPr>
          <w:lang w:eastAsia="fr-FR"/>
        </w:rPr>
        <w:t xml:space="preserve">Commission reiterated that the </w:t>
      </w:r>
      <w:r w:rsidRPr="00053BBB">
        <w:rPr>
          <w:lang w:eastAsia="fr-FR"/>
        </w:rPr>
        <w:t>information included in the table is important for the interpretation of test results; where there is no information available to complete the table (due to a lack of estimates for diagnostic sensitivity and specificity), this will be stated in this section</w:t>
      </w:r>
      <w:r w:rsidRPr="00053BBB">
        <w:rPr>
          <w:bCs/>
          <w:lang w:val="en-IE" w:bidi="en-US"/>
        </w:rPr>
        <w:t>.</w:t>
      </w:r>
    </w:p>
    <w:p w14:paraId="4DBD1919" w14:textId="16761F05" w:rsidR="00053BBB" w:rsidRDefault="00053BBB" w:rsidP="001D5EB7">
      <w:pPr>
        <w:pStyle w:val="Titre3"/>
        <w:spacing w:before="0" w:after="120" w:line="240" w:lineRule="auto"/>
        <w:ind w:firstLine="810"/>
        <w:rPr>
          <w:rFonts w:eastAsia="Arial"/>
          <w:b/>
          <w:bCs/>
          <w:i w:val="0"/>
          <w:iCs/>
          <w:lang w:val="en-IE"/>
        </w:rPr>
      </w:pPr>
      <w:bookmarkStart w:id="37" w:name="_Toc38028636"/>
      <w:r w:rsidRPr="001650EB">
        <w:rPr>
          <w:rFonts w:eastAsia="Arial"/>
          <w:b/>
          <w:bCs/>
          <w:i w:val="0"/>
          <w:iCs/>
          <w:lang w:val="en-IE"/>
        </w:rPr>
        <w:t>8.2.1.</w:t>
      </w:r>
      <w:r w:rsidRPr="001650EB">
        <w:rPr>
          <w:rFonts w:eastAsia="Arial"/>
          <w:b/>
          <w:bCs/>
          <w:i w:val="0"/>
          <w:iCs/>
          <w:lang w:val="en-IE"/>
        </w:rPr>
        <w:tab/>
        <w:t>Infection with spring viraemia of carp virus (Chapter 2.3.9)</w:t>
      </w:r>
      <w:bookmarkEnd w:id="37"/>
    </w:p>
    <w:p w14:paraId="6A78B290" w14:textId="77777777" w:rsidR="00053BBB" w:rsidRDefault="00053BBB" w:rsidP="001D5EB7">
      <w:pPr>
        <w:pStyle w:val="NormalWeb"/>
        <w:spacing w:before="0" w:beforeAutospacing="0" w:after="120" w:afterAutospacing="0"/>
        <w:ind w:left="1418"/>
        <w:jc w:val="both"/>
        <w:rPr>
          <w:sz w:val="20"/>
          <w:szCs w:val="20"/>
          <w:lang w:val="en-IE"/>
        </w:rPr>
      </w:pPr>
      <w:r w:rsidRPr="008C6DDD">
        <w:rPr>
          <w:sz w:val="20"/>
          <w:szCs w:val="20"/>
          <w:lang w:val="en-US"/>
        </w:rPr>
        <w:t xml:space="preserve">Comments were received from </w:t>
      </w:r>
      <w:r>
        <w:rPr>
          <w:sz w:val="20"/>
          <w:szCs w:val="20"/>
          <w:lang w:val="en-US"/>
        </w:rPr>
        <w:t xml:space="preserve">Australia, </w:t>
      </w:r>
      <w:r w:rsidRPr="00124EB5">
        <w:rPr>
          <w:sz w:val="20"/>
          <w:szCs w:val="20"/>
          <w:lang w:val="en-IE"/>
        </w:rPr>
        <w:t xml:space="preserve">Canada, </w:t>
      </w:r>
      <w:r>
        <w:rPr>
          <w:sz w:val="20"/>
          <w:szCs w:val="20"/>
          <w:lang w:val="en-IE"/>
        </w:rPr>
        <w:t xml:space="preserve">Chinese Taipei, </w:t>
      </w:r>
      <w:r w:rsidRPr="00124EB5">
        <w:rPr>
          <w:sz w:val="20"/>
          <w:szCs w:val="20"/>
          <w:lang w:val="en-IE"/>
        </w:rPr>
        <w:t>China (People’s Rep. of), Korea (Rep. of)</w:t>
      </w:r>
      <w:r>
        <w:rPr>
          <w:sz w:val="20"/>
          <w:szCs w:val="20"/>
          <w:lang w:val="en-IE"/>
        </w:rPr>
        <w:t>,</w:t>
      </w:r>
      <w:r w:rsidRPr="00124EB5">
        <w:rPr>
          <w:sz w:val="20"/>
          <w:szCs w:val="20"/>
          <w:lang w:val="en-IE"/>
        </w:rPr>
        <w:t xml:space="preserve"> Singapore</w:t>
      </w:r>
      <w:r>
        <w:rPr>
          <w:sz w:val="20"/>
          <w:szCs w:val="20"/>
          <w:lang w:val="en-IE"/>
        </w:rPr>
        <w:t>,</w:t>
      </w:r>
      <w:r w:rsidRPr="00124EB5">
        <w:rPr>
          <w:sz w:val="20"/>
          <w:szCs w:val="20"/>
          <w:lang w:val="en-IE"/>
        </w:rPr>
        <w:t xml:space="preserve"> Thailand</w:t>
      </w:r>
      <w:r>
        <w:rPr>
          <w:sz w:val="20"/>
          <w:szCs w:val="20"/>
          <w:lang w:val="en-IE"/>
        </w:rPr>
        <w:t>,</w:t>
      </w:r>
      <w:r w:rsidRPr="00124EB5">
        <w:rPr>
          <w:sz w:val="20"/>
          <w:szCs w:val="20"/>
          <w:lang w:val="en-IE"/>
        </w:rPr>
        <w:t xml:space="preserve"> the EU</w:t>
      </w:r>
      <w:r>
        <w:rPr>
          <w:sz w:val="20"/>
          <w:szCs w:val="20"/>
          <w:lang w:val="en-IE"/>
        </w:rPr>
        <w:t xml:space="preserve"> and </w:t>
      </w:r>
      <w:r>
        <w:rPr>
          <w:sz w:val="20"/>
          <w:szCs w:val="20"/>
          <w:lang w:val="en-US"/>
        </w:rPr>
        <w:t>AU-IBAR</w:t>
      </w:r>
      <w:r w:rsidRPr="00124EB5">
        <w:rPr>
          <w:sz w:val="20"/>
          <w:szCs w:val="20"/>
          <w:lang w:val="en-IE"/>
        </w:rPr>
        <w:t>.</w:t>
      </w:r>
    </w:p>
    <w:p w14:paraId="33674064" w14:textId="77777777" w:rsidR="00053BBB" w:rsidRDefault="00053BBB" w:rsidP="001D5EB7">
      <w:pPr>
        <w:pStyle w:val="para11"/>
        <w:spacing w:after="120"/>
        <w:ind w:left="1417"/>
        <w:rPr>
          <w:bCs/>
          <w:lang w:val="en-IE" w:eastAsia="fr-FR"/>
        </w:rPr>
      </w:pPr>
      <w:r>
        <w:rPr>
          <w:lang w:val="en-IE"/>
        </w:rPr>
        <w:t>The Aquatic Animals Commission did not agree with a comment proposing to delete the fire belly newt (</w:t>
      </w:r>
      <w:r w:rsidRPr="00D734ED">
        <w:rPr>
          <w:i/>
          <w:iCs/>
          <w:lang w:val="en-IE"/>
        </w:rPr>
        <w:t xml:space="preserve">Cynops </w:t>
      </w:r>
      <w:r>
        <w:rPr>
          <w:lang w:val="en-IE"/>
        </w:rPr>
        <w:t>spp.) and the white leg shrimp (</w:t>
      </w:r>
      <w:r w:rsidRPr="00A12DF6">
        <w:rPr>
          <w:i/>
          <w:iCs/>
        </w:rPr>
        <w:t>Penaeus vannamei</w:t>
      </w:r>
      <w:r>
        <w:t>)</w:t>
      </w:r>
      <w:r>
        <w:rPr>
          <w:lang w:val="en-IE"/>
        </w:rPr>
        <w:t xml:space="preserve">, from </w:t>
      </w:r>
      <w:r w:rsidRPr="009070B3">
        <w:rPr>
          <w:bCs/>
          <w:lang w:val="en-IE"/>
        </w:rPr>
        <w:t>Section 2.2.2</w:t>
      </w:r>
      <w:r>
        <w:rPr>
          <w:bCs/>
          <w:lang w:val="en-IE"/>
        </w:rPr>
        <w:t>,</w:t>
      </w:r>
      <w:r w:rsidRPr="009070B3">
        <w:rPr>
          <w:bCs/>
          <w:lang w:val="en-IE"/>
        </w:rPr>
        <w:t xml:space="preserve"> </w:t>
      </w:r>
      <w:r w:rsidRPr="0041367F">
        <w:rPr>
          <w:iCs/>
          <w:lang w:val="en-IE"/>
        </w:rPr>
        <w:t>Species with incomplete evidence for susceptibility</w:t>
      </w:r>
      <w:r>
        <w:rPr>
          <w:iCs/>
          <w:lang w:val="en-IE"/>
        </w:rPr>
        <w:t>,</w:t>
      </w:r>
      <w:r w:rsidRPr="00A12DF6">
        <w:rPr>
          <w:lang w:val="en-IE"/>
        </w:rPr>
        <w:t xml:space="preserve"> </w:t>
      </w:r>
      <w:r>
        <w:rPr>
          <w:lang w:val="en-IE"/>
        </w:rPr>
        <w:t xml:space="preserve">because </w:t>
      </w:r>
      <w:r>
        <w:rPr>
          <w:bCs/>
          <w:lang w:val="en-IE" w:eastAsia="fr-FR"/>
        </w:rPr>
        <w:t>these are not finfish species.</w:t>
      </w:r>
      <w:r>
        <w:rPr>
          <w:lang w:val="en-IE"/>
        </w:rPr>
        <w:t xml:space="preserve"> </w:t>
      </w:r>
      <w:r>
        <w:rPr>
          <w:bCs/>
          <w:lang w:val="en-IE" w:eastAsia="fr-FR"/>
        </w:rPr>
        <w:t xml:space="preserve">The </w:t>
      </w:r>
      <w:r w:rsidRPr="007C0B52">
        <w:rPr>
          <w:bCs/>
          <w:lang w:val="en-IE"/>
        </w:rPr>
        <w:t>Commission</w:t>
      </w:r>
      <w:r w:rsidDel="00F4019E">
        <w:rPr>
          <w:bCs/>
          <w:lang w:val="en-IE" w:eastAsia="fr-FR"/>
        </w:rPr>
        <w:t xml:space="preserve"> </w:t>
      </w:r>
      <w:r>
        <w:rPr>
          <w:bCs/>
          <w:lang w:val="en-IE" w:eastAsia="fr-FR"/>
        </w:rPr>
        <w:t xml:space="preserve">noted that the </w:t>
      </w:r>
      <w:r w:rsidRPr="005F33D4">
        <w:rPr>
          <w:bCs/>
          <w:i/>
          <w:iCs/>
          <w:lang w:val="en-IE"/>
        </w:rPr>
        <w:t xml:space="preserve">ad hoc </w:t>
      </w:r>
      <w:r w:rsidRPr="005F33D4">
        <w:rPr>
          <w:bCs/>
          <w:lang w:val="en-IE"/>
        </w:rPr>
        <w:t xml:space="preserve">Group on </w:t>
      </w:r>
      <w:r>
        <w:rPr>
          <w:bCs/>
          <w:lang w:val="en-IE"/>
        </w:rPr>
        <w:t>s</w:t>
      </w:r>
      <w:r w:rsidRPr="005F33D4">
        <w:rPr>
          <w:bCs/>
          <w:lang w:val="en-IE"/>
        </w:rPr>
        <w:t>usceptibility of fish species to infection with OIE listed diseases</w:t>
      </w:r>
      <w:r>
        <w:rPr>
          <w:bCs/>
          <w:lang w:val="en-IE"/>
        </w:rPr>
        <w:t xml:space="preserve"> had found that these species met the criteria for inclusion in this section. The</w:t>
      </w:r>
      <w:r>
        <w:rPr>
          <w:bCs/>
          <w:lang w:val="en-IE" w:eastAsia="fr-FR"/>
        </w:rPr>
        <w:t xml:space="preserve"> </w:t>
      </w:r>
      <w:r w:rsidRPr="007C0B52">
        <w:rPr>
          <w:bCs/>
          <w:lang w:val="en-IE"/>
        </w:rPr>
        <w:t>Commission</w:t>
      </w:r>
      <w:r>
        <w:rPr>
          <w:bCs/>
          <w:lang w:val="en-IE" w:eastAsia="fr-FR"/>
        </w:rPr>
        <w:t xml:space="preserve"> stressed that the purpose of this Section is to provide information that may be relevant to risk assessment and to highlight issues that may warrant further research. </w:t>
      </w:r>
    </w:p>
    <w:p w14:paraId="1B1DFC65" w14:textId="77777777" w:rsidR="00053BBB" w:rsidRDefault="00053BBB" w:rsidP="001D5EB7">
      <w:pPr>
        <w:pStyle w:val="para11"/>
        <w:spacing w:after="120"/>
        <w:ind w:left="1417"/>
        <w:rPr>
          <w:bCs/>
          <w:lang w:val="en-IE"/>
        </w:rPr>
      </w:pPr>
      <w:r>
        <w:rPr>
          <w:lang w:val="en-IE"/>
        </w:rPr>
        <w:t xml:space="preserve">The Commission did not agree with the proposal to move rainbow trout </w:t>
      </w:r>
      <w:r w:rsidRPr="00691F4A">
        <w:rPr>
          <w:i/>
          <w:lang w:val="en-IE"/>
        </w:rPr>
        <w:t>(</w:t>
      </w:r>
      <w:r w:rsidRPr="00691F4A">
        <w:rPr>
          <w:i/>
          <w:iCs/>
          <w:lang w:val="en-IE"/>
        </w:rPr>
        <w:t>Oncorhynchus mykiss</w:t>
      </w:r>
      <w:r w:rsidRPr="00691F4A">
        <w:rPr>
          <w:i/>
          <w:lang w:val="en-IE"/>
        </w:rPr>
        <w:t>)</w:t>
      </w:r>
      <w:r>
        <w:rPr>
          <w:lang w:val="en-IE"/>
        </w:rPr>
        <w:t xml:space="preserve"> from </w:t>
      </w:r>
      <w:r w:rsidRPr="009070B3">
        <w:rPr>
          <w:bCs/>
          <w:lang w:val="en-IE"/>
        </w:rPr>
        <w:t>Section 2.2.2</w:t>
      </w:r>
      <w:r>
        <w:rPr>
          <w:bCs/>
          <w:lang w:val="en-IE"/>
        </w:rPr>
        <w:t>,</w:t>
      </w:r>
      <w:r w:rsidRPr="009070B3">
        <w:rPr>
          <w:bCs/>
          <w:lang w:val="en-IE"/>
        </w:rPr>
        <w:t xml:space="preserve"> </w:t>
      </w:r>
      <w:r w:rsidRPr="00F11E67">
        <w:rPr>
          <w:iCs/>
          <w:lang w:val="en-IE"/>
        </w:rPr>
        <w:t>Species with incomplete evidence for susceptibility</w:t>
      </w:r>
      <w:r>
        <w:rPr>
          <w:bCs/>
          <w:lang w:val="en-IE" w:eastAsia="fr-FR"/>
        </w:rPr>
        <w:t xml:space="preserve">, </w:t>
      </w:r>
      <w:r>
        <w:rPr>
          <w:bCs/>
          <w:lang w:val="en-IE"/>
        </w:rPr>
        <w:t>to</w:t>
      </w:r>
      <w:r>
        <w:rPr>
          <w:lang w:val="en-IE"/>
        </w:rPr>
        <w:t xml:space="preserve"> </w:t>
      </w:r>
      <w:r w:rsidRPr="009070B3">
        <w:rPr>
          <w:lang w:val="en-IE"/>
        </w:rPr>
        <w:t>Section 2.2.1</w:t>
      </w:r>
      <w:r>
        <w:rPr>
          <w:lang w:val="en-IE"/>
        </w:rPr>
        <w:t>,</w:t>
      </w:r>
      <w:r w:rsidRPr="009070B3">
        <w:rPr>
          <w:lang w:val="en-IE"/>
        </w:rPr>
        <w:t xml:space="preserve"> </w:t>
      </w:r>
      <w:r w:rsidRPr="00F11E67">
        <w:rPr>
          <w:iCs/>
          <w:lang w:val="en-IE"/>
        </w:rPr>
        <w:t>Susceptible host species</w:t>
      </w:r>
      <w:r>
        <w:rPr>
          <w:iCs/>
          <w:lang w:val="en-IE"/>
        </w:rPr>
        <w:t>,</w:t>
      </w:r>
      <w:r>
        <w:rPr>
          <w:lang w:val="en-IE"/>
        </w:rPr>
        <w:t xml:space="preserve"> as the Member had not provided any new evidence that would justify a re-consideration of the </w:t>
      </w:r>
      <w:r w:rsidRPr="005F33D4">
        <w:rPr>
          <w:bCs/>
          <w:i/>
          <w:iCs/>
          <w:lang w:val="en-IE"/>
        </w:rPr>
        <w:t xml:space="preserve">ad hoc </w:t>
      </w:r>
      <w:r w:rsidRPr="005F33D4">
        <w:rPr>
          <w:bCs/>
          <w:lang w:val="en-IE"/>
        </w:rPr>
        <w:t>Group</w:t>
      </w:r>
      <w:r>
        <w:rPr>
          <w:bCs/>
          <w:lang w:val="en-IE"/>
        </w:rPr>
        <w:t>’s conclusions.</w:t>
      </w:r>
    </w:p>
    <w:p w14:paraId="68686DC7" w14:textId="77777777" w:rsidR="00053BBB" w:rsidRDefault="00053BBB" w:rsidP="001D5EB7">
      <w:pPr>
        <w:pStyle w:val="para11"/>
        <w:spacing w:after="120"/>
        <w:ind w:left="1417"/>
        <w:rPr>
          <w:bCs/>
          <w:lang w:val="en-IE"/>
        </w:rPr>
      </w:pPr>
      <w:r>
        <w:rPr>
          <w:bCs/>
          <w:lang w:val="en-IE"/>
        </w:rPr>
        <w:t xml:space="preserve">In reply to a Member comment to add more recent information to Section 2.4.6, </w:t>
      </w:r>
      <w:r w:rsidRPr="00F11E67">
        <w:rPr>
          <w:bCs/>
          <w:lang w:val="en-IE"/>
        </w:rPr>
        <w:t>Disinfection of eggs and larvae</w:t>
      </w:r>
      <w:r w:rsidRPr="0047359D">
        <w:rPr>
          <w:bCs/>
          <w:i/>
          <w:iCs/>
          <w:lang w:val="en-IE"/>
        </w:rPr>
        <w:t>,</w:t>
      </w:r>
      <w:r>
        <w:rPr>
          <w:bCs/>
          <w:lang w:val="en-IE"/>
        </w:rPr>
        <w:t xml:space="preserve"> the Commission confirmed that the current reference is valid and that it was not aware of any more recent scientific studies on this matter. </w:t>
      </w:r>
    </w:p>
    <w:p w14:paraId="09486940" w14:textId="77777777" w:rsidR="00053BBB" w:rsidRDefault="00053BBB" w:rsidP="001D5EB7">
      <w:pPr>
        <w:pStyle w:val="para11"/>
        <w:spacing w:after="120"/>
        <w:ind w:left="1417"/>
        <w:rPr>
          <w:rFonts w:eastAsia="SimSun"/>
          <w:lang w:val="en-IE" w:eastAsia="fr-FR"/>
        </w:rPr>
      </w:pPr>
      <w:r>
        <w:rPr>
          <w:bCs/>
          <w:lang w:val="en-IE"/>
        </w:rPr>
        <w:t xml:space="preserve">In response to a request to expand the information given in Section 3.5.3, </w:t>
      </w:r>
      <w:r w:rsidRPr="0041367F">
        <w:rPr>
          <w:lang w:val="en-IE"/>
        </w:rPr>
        <w:t xml:space="preserve">Fixed samples for histopathology, immunohistochemistry or </w:t>
      </w:r>
      <w:r w:rsidRPr="00410133">
        <w:rPr>
          <w:lang w:val="en-IE"/>
        </w:rPr>
        <w:t>in-situ</w:t>
      </w:r>
      <w:r w:rsidRPr="0041367F">
        <w:rPr>
          <w:lang w:val="en-IE"/>
        </w:rPr>
        <w:t xml:space="preserve"> hybridisation</w:t>
      </w:r>
      <w:r>
        <w:rPr>
          <w:bCs/>
          <w:lang w:val="en-IE"/>
        </w:rPr>
        <w:t xml:space="preserve">, the </w:t>
      </w:r>
      <w:r>
        <w:rPr>
          <w:lang w:val="en-IE"/>
        </w:rPr>
        <w:t>Commission</w:t>
      </w:r>
      <w:r>
        <w:rPr>
          <w:bCs/>
          <w:lang w:val="en-IE"/>
        </w:rPr>
        <w:t xml:space="preserve"> indicated that generic information on fixation techniques is given in Chapter 3.2.0, </w:t>
      </w:r>
      <w:r w:rsidRPr="0041367F">
        <w:rPr>
          <w:bCs/>
          <w:lang w:val="en-IE"/>
        </w:rPr>
        <w:t>General information</w:t>
      </w:r>
      <w:r>
        <w:rPr>
          <w:rFonts w:eastAsia="SimSun"/>
          <w:lang w:val="en-IE" w:eastAsia="fr-FR"/>
        </w:rPr>
        <w:t xml:space="preserve">. There was no rationale given for repeating the information in this chapter or for providing guidance specifically relevant to </w:t>
      </w:r>
      <w:r w:rsidRPr="009C699A">
        <w:rPr>
          <w:rFonts w:eastAsia="SimSun"/>
          <w:lang w:val="en-IE" w:eastAsia="fr-FR"/>
        </w:rPr>
        <w:t>spring viraemia of carp virus</w:t>
      </w:r>
      <w:r>
        <w:rPr>
          <w:rFonts w:eastAsia="SimSun"/>
          <w:lang w:val="en-IE" w:eastAsia="fr-FR"/>
        </w:rPr>
        <w:t>.</w:t>
      </w:r>
    </w:p>
    <w:p w14:paraId="39FA7CB0" w14:textId="77777777" w:rsidR="00053BBB" w:rsidRDefault="00053BBB" w:rsidP="001D5EB7">
      <w:pPr>
        <w:pStyle w:val="para11"/>
        <w:spacing w:after="120"/>
        <w:ind w:left="1417"/>
        <w:rPr>
          <w:rFonts w:eastAsia="SimSun"/>
          <w:lang w:val="en-IE" w:eastAsia="fr-FR"/>
        </w:rPr>
      </w:pPr>
      <w:bookmarkStart w:id="38" w:name="_Hlk33607525"/>
      <w:r w:rsidRPr="0041367F">
        <w:rPr>
          <w:rFonts w:eastAsia="SimSun"/>
          <w:lang w:val="en-IE" w:eastAsia="fr-FR"/>
        </w:rPr>
        <w:t>A Member proposed adding a sentence to Section 3.6</w:t>
      </w:r>
      <w:r>
        <w:rPr>
          <w:rFonts w:eastAsia="SimSun"/>
          <w:lang w:val="en-IE" w:eastAsia="fr-FR"/>
        </w:rPr>
        <w:t>,</w:t>
      </w:r>
      <w:r w:rsidRPr="0041367F">
        <w:rPr>
          <w:rFonts w:eastAsia="SimSun"/>
          <w:lang w:val="en-IE" w:eastAsia="fr-FR"/>
        </w:rPr>
        <w:t xml:space="preserve"> Pooling of samples, on the need to consider the impact of pooling on decisions related to trade. The </w:t>
      </w:r>
      <w:r w:rsidRPr="0041367F">
        <w:rPr>
          <w:bCs/>
          <w:lang w:val="en-IE"/>
        </w:rPr>
        <w:t>Commission</w:t>
      </w:r>
      <w:r w:rsidRPr="0041367F">
        <w:rPr>
          <w:rFonts w:eastAsia="SimSun"/>
          <w:lang w:val="en-IE" w:eastAsia="fr-FR"/>
        </w:rPr>
        <w:t xml:space="preserve"> noted that as the </w:t>
      </w:r>
      <w:r w:rsidRPr="0041367F">
        <w:rPr>
          <w:rFonts w:eastAsia="SimSun"/>
          <w:i/>
          <w:iCs/>
          <w:lang w:val="en-IE" w:eastAsia="fr-FR"/>
        </w:rPr>
        <w:t>Aquatic Manual</w:t>
      </w:r>
      <w:r w:rsidRPr="0041367F">
        <w:rPr>
          <w:rFonts w:eastAsia="SimSun"/>
          <w:lang w:val="en-IE" w:eastAsia="fr-FR"/>
        </w:rPr>
        <w:t xml:space="preserve"> principally provides diagnostic test methods, it is not the appropriate text for provisions on trade.</w:t>
      </w:r>
    </w:p>
    <w:bookmarkEnd w:id="38"/>
    <w:p w14:paraId="598E4DDE" w14:textId="77777777" w:rsidR="00053BBB" w:rsidRDefault="00053BBB" w:rsidP="00053BBB">
      <w:pPr>
        <w:pStyle w:val="para11"/>
        <w:ind w:left="1417"/>
        <w:rPr>
          <w:rFonts w:eastAsia="SimSun"/>
          <w:lang w:val="en-IE" w:eastAsia="fr-FR"/>
        </w:rPr>
      </w:pPr>
      <w:r>
        <w:rPr>
          <w:rFonts w:eastAsia="SimSun"/>
          <w:lang w:val="en-IE" w:eastAsia="fr-FR"/>
        </w:rPr>
        <w:t xml:space="preserve">For </w:t>
      </w:r>
      <w:r w:rsidRPr="00A85693">
        <w:rPr>
          <w:bCs/>
          <w:lang w:val="en-IE" w:bidi="en-US"/>
        </w:rPr>
        <w:t>Table 4.1</w:t>
      </w:r>
      <w:r>
        <w:rPr>
          <w:bCs/>
          <w:lang w:val="en-IE" w:bidi="en-US"/>
        </w:rPr>
        <w:t>,</w:t>
      </w:r>
      <w:r w:rsidRPr="00A85693">
        <w:rPr>
          <w:bCs/>
          <w:lang w:val="en-IE" w:bidi="en-US"/>
        </w:rPr>
        <w:t xml:space="preserve"> </w:t>
      </w:r>
      <w:r w:rsidRPr="00F11E67">
        <w:rPr>
          <w:bCs/>
          <w:iCs/>
          <w:lang w:val="en-IE" w:bidi="en-US"/>
        </w:rPr>
        <w:t>OIE recommended</w:t>
      </w:r>
      <w:r w:rsidRPr="00F11E67">
        <w:rPr>
          <w:iCs/>
          <w:lang w:val="en-IE" w:bidi="en-US"/>
        </w:rPr>
        <w:t xml:space="preserve"> </w:t>
      </w:r>
      <w:r w:rsidRPr="00F11E67">
        <w:rPr>
          <w:bCs/>
          <w:iCs/>
          <w:lang w:val="en-IE" w:bidi="en-US"/>
        </w:rPr>
        <w:t>diagnostic methods and their level of validation for surveillance of healthy animals and investigation of clinically affected animals,</w:t>
      </w:r>
      <w:r>
        <w:rPr>
          <w:bCs/>
          <w:i/>
          <w:lang w:val="en-IE" w:bidi="en-US"/>
        </w:rPr>
        <w:t xml:space="preserve"> </w:t>
      </w:r>
      <w:r>
        <w:rPr>
          <w:bCs/>
          <w:iCs/>
          <w:lang w:val="en-IE" w:bidi="en-US"/>
        </w:rPr>
        <w:t xml:space="preserve">a Member </w:t>
      </w:r>
      <w:r>
        <w:rPr>
          <w:bCs/>
          <w:lang w:val="en-IE" w:bidi="en-US"/>
        </w:rPr>
        <w:t xml:space="preserve">proposed that the level of validation noted for cell culture should be raised from 1 to 3 because it has been used for many years. The </w:t>
      </w:r>
      <w:r w:rsidRPr="007C0B52">
        <w:rPr>
          <w:bCs/>
          <w:lang w:val="en-IE"/>
        </w:rPr>
        <w:t>Commission</w:t>
      </w:r>
      <w:r w:rsidDel="009C699A">
        <w:rPr>
          <w:bCs/>
          <w:lang w:val="en-IE" w:bidi="en-US"/>
        </w:rPr>
        <w:t xml:space="preserve"> </w:t>
      </w:r>
      <w:r>
        <w:rPr>
          <w:bCs/>
          <w:lang w:val="en-IE" w:bidi="en-US"/>
        </w:rPr>
        <w:t xml:space="preserve">noted that levels of validation are based on studies published in peer-reviewed journals and in accordance with the OIE Validation Pathway given in Chapter 1.1.2, </w:t>
      </w:r>
      <w:r w:rsidRPr="0041367F">
        <w:rPr>
          <w:bCs/>
          <w:lang w:val="en-IE" w:bidi="en-US"/>
        </w:rPr>
        <w:t>Principles and methods of validation of diagnostic assays for infectious diseases</w:t>
      </w:r>
      <w:r>
        <w:rPr>
          <w:bCs/>
          <w:lang w:val="en-IE" w:bidi="en-US"/>
        </w:rPr>
        <w:t>.</w:t>
      </w:r>
    </w:p>
    <w:p w14:paraId="434E26FF" w14:textId="79AB6F1B" w:rsidR="00053BBB" w:rsidRDefault="00053BBB" w:rsidP="00053BBB">
      <w:pPr>
        <w:pStyle w:val="para11"/>
        <w:ind w:left="1417"/>
        <w:rPr>
          <w:rFonts w:eastAsia="SimSun"/>
          <w:lang w:eastAsia="fr-FR"/>
        </w:rPr>
      </w:pPr>
      <w:r w:rsidRPr="0041367F">
        <w:rPr>
          <w:rFonts w:eastAsia="SimSun"/>
          <w:lang w:val="en-IE" w:eastAsia="fr-FR"/>
        </w:rPr>
        <w:lastRenderedPageBreak/>
        <w:t xml:space="preserve">The </w:t>
      </w:r>
      <w:r w:rsidRPr="0041367F">
        <w:rPr>
          <w:bCs/>
          <w:lang w:val="en-IE"/>
        </w:rPr>
        <w:t>Commission</w:t>
      </w:r>
      <w:r w:rsidRPr="0041367F">
        <w:rPr>
          <w:rFonts w:eastAsia="SimSun"/>
          <w:lang w:val="en-IE" w:eastAsia="fr-FR"/>
        </w:rPr>
        <w:t xml:space="preserve"> did not agree to add a sentence to Section 4.3</w:t>
      </w:r>
      <w:r>
        <w:rPr>
          <w:rFonts w:eastAsia="SimSun"/>
          <w:lang w:val="en-IE" w:eastAsia="fr-FR"/>
        </w:rPr>
        <w:t>,</w:t>
      </w:r>
      <w:r w:rsidRPr="0041367F">
        <w:rPr>
          <w:rFonts w:eastAsia="SimSun"/>
          <w:lang w:val="en-IE" w:eastAsia="fr-FR"/>
        </w:rPr>
        <w:t xml:space="preserve"> </w:t>
      </w:r>
      <w:r w:rsidRPr="0041367F">
        <w:rPr>
          <w:rFonts w:eastAsia="SimSun"/>
          <w:lang w:eastAsia="fr-FR"/>
        </w:rPr>
        <w:t xml:space="preserve">Cell or artificial media culture for isolation, </w:t>
      </w:r>
      <w:r w:rsidRPr="0041367F">
        <w:rPr>
          <w:rFonts w:eastAsia="SimSun"/>
          <w:lang w:val="en-IE" w:eastAsia="fr-FR"/>
        </w:rPr>
        <w:t xml:space="preserve">stating that a test can be declared negative if no cytopathic effect (CPE) occurs, </w:t>
      </w:r>
      <w:r w:rsidRPr="0041367F">
        <w:rPr>
          <w:rFonts w:eastAsia="SimSun"/>
          <w:lang w:eastAsia="fr-FR"/>
        </w:rPr>
        <w:t>because of the risk of false positive results from unclear or atypical CPE.</w:t>
      </w:r>
    </w:p>
    <w:p w14:paraId="283AED50" w14:textId="1A92B52B" w:rsidR="00053BBB" w:rsidRPr="00455C90" w:rsidRDefault="00053BBB" w:rsidP="00053BBB">
      <w:pPr>
        <w:pStyle w:val="para11"/>
        <w:ind w:left="1417"/>
        <w:rPr>
          <w:rFonts w:eastAsia="SimSun"/>
          <w:lang w:val="en-IE" w:eastAsia="fr-FR"/>
        </w:rPr>
      </w:pPr>
      <w:r w:rsidRPr="0041367F">
        <w:rPr>
          <w:rFonts w:eastAsia="SimSun"/>
          <w:lang w:val="en-IE" w:eastAsia="fr-FR"/>
        </w:rPr>
        <w:t xml:space="preserve">The </w:t>
      </w:r>
      <w:r w:rsidRPr="0041367F">
        <w:rPr>
          <w:bCs/>
          <w:lang w:val="en-IE"/>
        </w:rPr>
        <w:t>Commission</w:t>
      </w:r>
      <w:r w:rsidRPr="0041367F">
        <w:rPr>
          <w:rFonts w:eastAsia="SimSun"/>
          <w:lang w:val="en-IE" w:eastAsia="fr-FR"/>
        </w:rPr>
        <w:t xml:space="preserve"> did not agree to include a paragraph in Section </w:t>
      </w:r>
      <w:r w:rsidRPr="0041367F">
        <w:rPr>
          <w:lang w:bidi="en-US"/>
        </w:rPr>
        <w:t>5</w:t>
      </w:r>
      <w:r>
        <w:rPr>
          <w:lang w:bidi="en-US"/>
        </w:rPr>
        <w:t>,</w:t>
      </w:r>
      <w:r w:rsidRPr="0041367F">
        <w:rPr>
          <w:lang w:bidi="en-US"/>
        </w:rPr>
        <w:t xml:space="preserve"> </w:t>
      </w:r>
      <w:r w:rsidRPr="0041367F">
        <w:t>Test(s) recommended for surveillance to demonstrate freedom in apparently healthy populations</w:t>
      </w:r>
      <w:r>
        <w:rPr>
          <w:lang w:bidi="en-US"/>
        </w:rPr>
        <w:t>,</w:t>
      </w:r>
      <w:r w:rsidRPr="0041367F">
        <w:rPr>
          <w:lang w:bidi="en-US"/>
        </w:rPr>
        <w:t xml:space="preserve"> indicating that the </w:t>
      </w:r>
      <w:r w:rsidRPr="0041367F">
        <w:rPr>
          <w:lang w:val="en-IE" w:bidi="en-US"/>
        </w:rPr>
        <w:t xml:space="preserve">tests described in the chapter are insufficient to achieve freedom. Again, the </w:t>
      </w:r>
      <w:r w:rsidRPr="0041367F">
        <w:rPr>
          <w:rFonts w:eastAsia="SimSun"/>
          <w:i/>
          <w:iCs/>
          <w:lang w:val="en-IE" w:eastAsia="fr-FR"/>
        </w:rPr>
        <w:t>Aquatic Manual</w:t>
      </w:r>
      <w:r w:rsidRPr="0041367F">
        <w:rPr>
          <w:rFonts w:eastAsia="SimSun"/>
          <w:lang w:val="en-IE" w:eastAsia="fr-FR"/>
        </w:rPr>
        <w:t xml:space="preserve"> is not the appropriate text for such statements.</w:t>
      </w:r>
    </w:p>
    <w:p w14:paraId="77AEE662" w14:textId="6837D0E2" w:rsidR="00053BBB" w:rsidRPr="008C6DDD" w:rsidRDefault="00053BBB" w:rsidP="00053BBB">
      <w:pPr>
        <w:pStyle w:val="NormalWeb"/>
        <w:spacing w:before="0" w:beforeAutospacing="0" w:after="240" w:afterAutospacing="0"/>
        <w:ind w:left="1417"/>
        <w:jc w:val="both"/>
        <w:rPr>
          <w:b/>
          <w:sz w:val="20"/>
          <w:szCs w:val="20"/>
          <w:lang w:val="en-IE"/>
        </w:rPr>
      </w:pPr>
      <w:r w:rsidRPr="008C6DDD">
        <w:rPr>
          <w:rFonts w:eastAsiaTheme="minorHAnsi"/>
          <w:sz w:val="20"/>
          <w:szCs w:val="20"/>
          <w:lang w:val="en-IE"/>
        </w:rPr>
        <w:t xml:space="preserve">The revised </w:t>
      </w:r>
      <w:r w:rsidRPr="008C6DDD">
        <w:rPr>
          <w:sz w:val="20"/>
          <w:szCs w:val="20"/>
          <w:lang w:val="en-IE"/>
        </w:rPr>
        <w:t xml:space="preserve">Chapter </w:t>
      </w:r>
      <w:r w:rsidRPr="00552248">
        <w:rPr>
          <w:rFonts w:eastAsiaTheme="minorHAnsi"/>
          <w:sz w:val="20"/>
          <w:szCs w:val="20"/>
          <w:lang w:val="en-IE"/>
        </w:rPr>
        <w:t>2.3.9</w:t>
      </w:r>
      <w:r>
        <w:rPr>
          <w:rFonts w:eastAsiaTheme="minorHAnsi"/>
          <w:sz w:val="20"/>
          <w:szCs w:val="20"/>
          <w:lang w:val="en-IE"/>
        </w:rPr>
        <w:t xml:space="preserve">, </w:t>
      </w:r>
      <w:r w:rsidRPr="0041367F">
        <w:rPr>
          <w:rFonts w:eastAsia="Arial"/>
          <w:bCs/>
          <w:sz w:val="20"/>
          <w:szCs w:val="20"/>
          <w:lang w:val="en-IE"/>
        </w:rPr>
        <w:t>Infection with spring viraemia of carp virus</w:t>
      </w:r>
      <w:r>
        <w:rPr>
          <w:rFonts w:eastAsia="Arial"/>
          <w:bCs/>
          <w:sz w:val="20"/>
          <w:szCs w:val="20"/>
          <w:lang w:val="en-IE"/>
        </w:rPr>
        <w:t>,</w:t>
      </w:r>
      <w:r w:rsidRPr="00F5780B">
        <w:rPr>
          <w:rFonts w:eastAsia="Arial"/>
          <w:b/>
          <w:sz w:val="20"/>
          <w:szCs w:val="20"/>
          <w:lang w:val="en-IE"/>
        </w:rPr>
        <w:t xml:space="preserve"> </w:t>
      </w:r>
      <w:r w:rsidRPr="008C6DDD">
        <w:rPr>
          <w:rFonts w:eastAsiaTheme="minorHAnsi"/>
          <w:sz w:val="20"/>
          <w:szCs w:val="20"/>
          <w:lang w:val="en-IE"/>
        </w:rPr>
        <w:t xml:space="preserve">is </w:t>
      </w:r>
      <w:r>
        <w:rPr>
          <w:rFonts w:eastAsiaTheme="minorHAnsi"/>
          <w:sz w:val="20"/>
          <w:szCs w:val="20"/>
          <w:lang w:val="en-IE"/>
        </w:rPr>
        <w:t xml:space="preserve">presented in </w:t>
      </w:r>
      <w:hyperlink w:anchor="_Annex_11" w:history="1">
        <w:r w:rsidRPr="001677E0">
          <w:rPr>
            <w:rStyle w:val="Lienhypertexte"/>
            <w:rFonts w:eastAsiaTheme="minorHAnsi"/>
            <w:sz w:val="20"/>
            <w:szCs w:val="20"/>
            <w:lang w:val="en-IE"/>
          </w:rPr>
          <w:t>Annex </w:t>
        </w:r>
        <w:r w:rsidR="00F422BE" w:rsidRPr="001677E0">
          <w:rPr>
            <w:rStyle w:val="Lienhypertexte"/>
            <w:rFonts w:eastAsiaTheme="minorHAnsi"/>
            <w:sz w:val="20"/>
            <w:szCs w:val="20"/>
            <w:lang w:val="en-IE"/>
          </w:rPr>
          <w:t>11</w:t>
        </w:r>
      </w:hyperlink>
      <w:r w:rsidR="00F422BE" w:rsidRPr="00691F4A">
        <w:rPr>
          <w:rFonts w:eastAsiaTheme="minorHAnsi"/>
          <w:sz w:val="20"/>
          <w:szCs w:val="20"/>
          <w:lang w:val="en-IE"/>
        </w:rPr>
        <w:t xml:space="preserve"> </w:t>
      </w:r>
      <w:r w:rsidRPr="001730A0">
        <w:rPr>
          <w:rFonts w:eastAsiaTheme="minorHAnsi"/>
          <w:sz w:val="20"/>
          <w:szCs w:val="20"/>
          <w:lang w:val="en-IE"/>
        </w:rPr>
        <w:t>for Member comments. The adoption of the revised chapter has been postponed until the 89th General Session in May 2021. As the revised chapter has already undergone extensive consultation, Members are requested to only submit comments to address substantive issues that have not been considered previously.</w:t>
      </w:r>
    </w:p>
    <w:p w14:paraId="0BC93305" w14:textId="4C21A768" w:rsidR="00053BBB" w:rsidRDefault="00053BBB" w:rsidP="001650EB">
      <w:pPr>
        <w:pStyle w:val="Titre3"/>
        <w:spacing w:before="0" w:after="240" w:line="240" w:lineRule="auto"/>
        <w:ind w:firstLine="900"/>
        <w:rPr>
          <w:rFonts w:eastAsia="Arial Unicode MS"/>
          <w:b/>
          <w:bCs/>
          <w:i w:val="0"/>
          <w:iCs/>
          <w:u w:color="000000"/>
          <w:bdr w:val="nil"/>
          <w:lang w:val="en-IE" w:eastAsia="en-GB"/>
        </w:rPr>
      </w:pPr>
      <w:bookmarkStart w:id="39" w:name="_Toc38028637"/>
      <w:r w:rsidRPr="001650EB">
        <w:rPr>
          <w:rFonts w:eastAsia="Arial"/>
          <w:b/>
          <w:bCs/>
          <w:i w:val="0"/>
          <w:iCs/>
          <w:lang w:val="en-IE"/>
        </w:rPr>
        <w:t>8.2.2.</w:t>
      </w:r>
      <w:r w:rsidRPr="001650EB">
        <w:rPr>
          <w:rFonts w:eastAsia="Arial"/>
          <w:b/>
          <w:bCs/>
          <w:i w:val="0"/>
          <w:iCs/>
          <w:lang w:val="en-IE"/>
        </w:rPr>
        <w:tab/>
        <w:t xml:space="preserve">Infection with </w:t>
      </w:r>
      <w:r w:rsidRPr="001650EB">
        <w:rPr>
          <w:rFonts w:eastAsia="Arial Unicode MS"/>
          <w:b/>
          <w:bCs/>
          <w:u w:color="000000"/>
          <w:bdr w:val="nil"/>
          <w:lang w:val="en-IE" w:eastAsia="en-GB"/>
        </w:rPr>
        <w:t>Batrachochytrium salamandrivorans</w:t>
      </w:r>
      <w:r w:rsidRPr="001650EB">
        <w:rPr>
          <w:rFonts w:eastAsia="Arial Unicode MS"/>
          <w:b/>
          <w:bCs/>
          <w:i w:val="0"/>
          <w:iCs/>
          <w:u w:color="000000"/>
          <w:bdr w:val="nil"/>
          <w:lang w:val="en-IE" w:eastAsia="en-GB"/>
        </w:rPr>
        <w:t xml:space="preserve"> (Chapter 2.1.3)</w:t>
      </w:r>
      <w:bookmarkEnd w:id="39"/>
    </w:p>
    <w:p w14:paraId="40B6EC35" w14:textId="77777777" w:rsidR="00053BBB" w:rsidRDefault="00053BBB" w:rsidP="001650EB">
      <w:pPr>
        <w:pStyle w:val="NormalWeb"/>
        <w:spacing w:before="0" w:beforeAutospacing="0" w:after="240" w:afterAutospacing="0"/>
        <w:ind w:left="1417"/>
        <w:jc w:val="both"/>
        <w:rPr>
          <w:sz w:val="20"/>
          <w:szCs w:val="20"/>
          <w:lang w:val="en-IE"/>
        </w:rPr>
      </w:pPr>
      <w:r w:rsidRPr="008C6DDD">
        <w:rPr>
          <w:sz w:val="20"/>
          <w:szCs w:val="20"/>
          <w:lang w:val="en-US"/>
        </w:rPr>
        <w:t xml:space="preserve">Comments were received from </w:t>
      </w:r>
      <w:r w:rsidRPr="00E507D8">
        <w:rPr>
          <w:sz w:val="20"/>
          <w:szCs w:val="20"/>
          <w:lang w:val="en-US"/>
        </w:rPr>
        <w:t xml:space="preserve">Australia, </w:t>
      </w:r>
      <w:r w:rsidRPr="00E507D8">
        <w:rPr>
          <w:sz w:val="20"/>
          <w:szCs w:val="20"/>
          <w:lang w:val="en-IE"/>
        </w:rPr>
        <w:t>Canada, China (People’s Rep. of), Thailand</w:t>
      </w:r>
      <w:r>
        <w:rPr>
          <w:sz w:val="20"/>
          <w:szCs w:val="20"/>
          <w:lang w:val="en-US"/>
        </w:rPr>
        <w:t xml:space="preserve">, </w:t>
      </w:r>
      <w:r w:rsidRPr="00E507D8">
        <w:rPr>
          <w:sz w:val="20"/>
          <w:szCs w:val="20"/>
          <w:lang w:val="en-IE"/>
        </w:rPr>
        <w:t>the EU</w:t>
      </w:r>
      <w:r>
        <w:rPr>
          <w:sz w:val="20"/>
          <w:szCs w:val="20"/>
          <w:lang w:val="en-IE"/>
        </w:rPr>
        <w:t xml:space="preserve"> and</w:t>
      </w:r>
      <w:r w:rsidRPr="00E507D8">
        <w:rPr>
          <w:sz w:val="20"/>
          <w:szCs w:val="20"/>
          <w:lang w:val="en-US"/>
        </w:rPr>
        <w:t xml:space="preserve"> AU</w:t>
      </w:r>
      <w:r>
        <w:rPr>
          <w:sz w:val="20"/>
          <w:szCs w:val="20"/>
          <w:lang w:val="en-US"/>
        </w:rPr>
        <w:t>-IBAR</w:t>
      </w:r>
      <w:r w:rsidRPr="00124EB5">
        <w:rPr>
          <w:sz w:val="20"/>
          <w:szCs w:val="20"/>
          <w:lang w:val="en-IE"/>
        </w:rPr>
        <w:t>.</w:t>
      </w:r>
    </w:p>
    <w:p w14:paraId="4490793B" w14:textId="77777777" w:rsidR="00053BBB" w:rsidRDefault="00053BBB" w:rsidP="00053BBB">
      <w:pPr>
        <w:pStyle w:val="para11"/>
        <w:ind w:left="1417"/>
        <w:rPr>
          <w:lang w:val="en-IE"/>
        </w:rPr>
      </w:pPr>
      <w:r>
        <w:rPr>
          <w:lang w:val="en-IE"/>
        </w:rPr>
        <w:t xml:space="preserve">A number of minor editorial comments were received, and the chapter was amended accordingly. </w:t>
      </w:r>
    </w:p>
    <w:p w14:paraId="7587AD50" w14:textId="77777777" w:rsidR="00053BBB" w:rsidRPr="0057473E" w:rsidRDefault="00053BBB" w:rsidP="00053BBB">
      <w:pPr>
        <w:pStyle w:val="para11"/>
        <w:ind w:left="1417"/>
        <w:rPr>
          <w:lang w:val="en-IE"/>
        </w:rPr>
      </w:pPr>
      <w:r w:rsidRPr="0057473E">
        <w:rPr>
          <w:rFonts w:eastAsia="SimSun"/>
          <w:lang w:val="en-IE" w:eastAsia="fr-FR"/>
        </w:rPr>
        <w:t xml:space="preserve">In </w:t>
      </w:r>
      <w:r w:rsidRPr="0057473E">
        <w:rPr>
          <w:bCs/>
          <w:lang w:val="en-IE" w:bidi="en-US"/>
        </w:rPr>
        <w:t>Table 4.1</w:t>
      </w:r>
      <w:r>
        <w:rPr>
          <w:bCs/>
          <w:lang w:val="en-IE" w:bidi="en-US"/>
        </w:rPr>
        <w:t>,</w:t>
      </w:r>
      <w:r w:rsidRPr="0057473E">
        <w:rPr>
          <w:bCs/>
          <w:lang w:val="en-IE" w:bidi="en-US"/>
        </w:rPr>
        <w:t xml:space="preserve"> </w:t>
      </w:r>
      <w:r w:rsidRPr="00F11E67">
        <w:rPr>
          <w:bCs/>
          <w:iCs/>
          <w:lang w:val="en-IE" w:bidi="en-US"/>
        </w:rPr>
        <w:t>OIE recommended</w:t>
      </w:r>
      <w:r w:rsidRPr="00F11E67">
        <w:rPr>
          <w:iCs/>
          <w:lang w:val="en-IE" w:bidi="en-US"/>
        </w:rPr>
        <w:t xml:space="preserve"> </w:t>
      </w:r>
      <w:r w:rsidRPr="00F11E67">
        <w:rPr>
          <w:bCs/>
          <w:iCs/>
          <w:lang w:val="en-IE" w:bidi="en-US"/>
        </w:rPr>
        <w:t>diagnostic methods and their level of validation for surveillance of healthy animals and investigation of clinically affected animals,</w:t>
      </w:r>
      <w:r w:rsidRPr="0057473E">
        <w:rPr>
          <w:bCs/>
          <w:i/>
          <w:lang w:val="en-IE" w:bidi="en-US"/>
        </w:rPr>
        <w:t xml:space="preserve"> </w:t>
      </w:r>
      <w:r w:rsidRPr="0041367F">
        <w:rPr>
          <w:bCs/>
          <w:lang w:val="en-IE" w:bidi="en-US"/>
        </w:rPr>
        <w:t>the</w:t>
      </w:r>
      <w:r>
        <w:rPr>
          <w:bCs/>
          <w:i/>
          <w:lang w:val="en-IE" w:bidi="en-US"/>
        </w:rPr>
        <w:t xml:space="preserve"> </w:t>
      </w:r>
      <w:r w:rsidRPr="007C0B52">
        <w:rPr>
          <w:lang w:val="en-IE"/>
        </w:rPr>
        <w:t xml:space="preserve">Aquatic Animals </w:t>
      </w:r>
      <w:r w:rsidRPr="007C0B52">
        <w:rPr>
          <w:bCs/>
          <w:lang w:val="en-IE"/>
        </w:rPr>
        <w:t>Commission</w:t>
      </w:r>
      <w:r w:rsidRPr="0057473E">
        <w:rPr>
          <w:lang w:val="en-IE"/>
        </w:rPr>
        <w:t xml:space="preserve"> agreed to delete the lateral flow assay from column A</w:t>
      </w:r>
      <w:r>
        <w:rPr>
          <w:lang w:val="en-IE"/>
        </w:rPr>
        <w:t>,</w:t>
      </w:r>
      <w:r w:rsidRPr="0057473E">
        <w:rPr>
          <w:lang w:val="en-IE"/>
        </w:rPr>
        <w:t xml:space="preserve"> </w:t>
      </w:r>
      <w:r w:rsidRPr="00F11E67">
        <w:rPr>
          <w:lang w:val="en-IE"/>
        </w:rPr>
        <w:t>Surveillance of apparently health animals</w:t>
      </w:r>
      <w:r w:rsidRPr="00C40F6B">
        <w:rPr>
          <w:lang w:val="en-IE"/>
        </w:rPr>
        <w:t>,</w:t>
      </w:r>
      <w:r w:rsidRPr="0057473E">
        <w:rPr>
          <w:lang w:val="en-IE"/>
        </w:rPr>
        <w:t xml:space="preserve"> and to lower its rating in column B</w:t>
      </w:r>
      <w:r>
        <w:rPr>
          <w:lang w:val="en-IE"/>
        </w:rPr>
        <w:t>,</w:t>
      </w:r>
      <w:r>
        <w:rPr>
          <w:szCs w:val="18"/>
        </w:rPr>
        <w:t> </w:t>
      </w:r>
      <w:r w:rsidRPr="00F11E67">
        <w:rPr>
          <w:szCs w:val="18"/>
        </w:rPr>
        <w:t>Presumptive diagnosis of clinically affected animals</w:t>
      </w:r>
      <w:r>
        <w:rPr>
          <w:szCs w:val="18"/>
        </w:rPr>
        <w:t>,</w:t>
      </w:r>
      <w:r>
        <w:rPr>
          <w:i/>
          <w:iCs/>
          <w:szCs w:val="18"/>
        </w:rPr>
        <w:t xml:space="preserve"> </w:t>
      </w:r>
      <w:r>
        <w:rPr>
          <w:szCs w:val="18"/>
        </w:rPr>
        <w:t xml:space="preserve">because of the method’s low specificity. As a consequence, the method was removed from Section </w:t>
      </w:r>
      <w:r w:rsidRPr="00E27DA5">
        <w:t>6.1.1</w:t>
      </w:r>
      <w:r>
        <w:t xml:space="preserve">, </w:t>
      </w:r>
      <w:r w:rsidRPr="00F11E67">
        <w:t>Definition of suspect case in apparently healthy animals</w:t>
      </w:r>
      <w:r>
        <w:rPr>
          <w:i/>
          <w:iCs/>
        </w:rPr>
        <w:t>.</w:t>
      </w:r>
    </w:p>
    <w:p w14:paraId="7110D0F1" w14:textId="18280378" w:rsidR="00053BBB" w:rsidRPr="008C6DDD" w:rsidRDefault="00053BBB" w:rsidP="00053BBB">
      <w:pPr>
        <w:pStyle w:val="NormalWeb"/>
        <w:spacing w:before="0" w:beforeAutospacing="0" w:after="240" w:afterAutospacing="0"/>
        <w:ind w:left="1417"/>
        <w:jc w:val="both"/>
        <w:rPr>
          <w:b/>
          <w:sz w:val="20"/>
          <w:szCs w:val="20"/>
          <w:lang w:val="en-IE"/>
        </w:rPr>
      </w:pPr>
      <w:r w:rsidRPr="008C6DDD">
        <w:rPr>
          <w:rFonts w:eastAsiaTheme="minorHAnsi"/>
          <w:sz w:val="20"/>
          <w:szCs w:val="20"/>
          <w:lang w:val="en-IE"/>
        </w:rPr>
        <w:t xml:space="preserve">The revised </w:t>
      </w:r>
      <w:r w:rsidRPr="008C6DDD">
        <w:rPr>
          <w:sz w:val="20"/>
          <w:szCs w:val="20"/>
          <w:lang w:val="en-IE"/>
        </w:rPr>
        <w:t xml:space="preserve">Chapter </w:t>
      </w:r>
      <w:r w:rsidRPr="00552248">
        <w:rPr>
          <w:rFonts w:eastAsiaTheme="minorHAnsi"/>
          <w:sz w:val="20"/>
          <w:szCs w:val="20"/>
          <w:lang w:val="en-IE"/>
        </w:rPr>
        <w:t>2.</w:t>
      </w:r>
      <w:r>
        <w:rPr>
          <w:rFonts w:eastAsiaTheme="minorHAnsi"/>
          <w:sz w:val="20"/>
          <w:szCs w:val="20"/>
          <w:lang w:val="en-IE"/>
        </w:rPr>
        <w:t xml:space="preserve">1.3, </w:t>
      </w:r>
      <w:r w:rsidRPr="0041367F">
        <w:rPr>
          <w:rFonts w:eastAsia="Arial"/>
          <w:bCs/>
          <w:sz w:val="20"/>
          <w:szCs w:val="20"/>
          <w:lang w:val="en-IE"/>
        </w:rPr>
        <w:t>Infection with</w:t>
      </w:r>
      <w:r w:rsidRPr="00552248">
        <w:rPr>
          <w:rFonts w:eastAsia="Arial"/>
          <w:bCs/>
          <w:i/>
          <w:iCs/>
          <w:sz w:val="20"/>
          <w:szCs w:val="20"/>
          <w:lang w:val="en-IE"/>
        </w:rPr>
        <w:t xml:space="preserve"> </w:t>
      </w:r>
      <w:r w:rsidRPr="00AC481B">
        <w:rPr>
          <w:rFonts w:eastAsia="Arial Unicode MS"/>
          <w:i/>
          <w:color w:val="000000"/>
          <w:sz w:val="20"/>
          <w:szCs w:val="20"/>
          <w:u w:color="000000"/>
          <w:bdr w:val="nil"/>
          <w:lang w:val="en-IE" w:eastAsia="en-GB"/>
        </w:rPr>
        <w:t>Batrachochytrium salamandrivorans</w:t>
      </w:r>
      <w:r>
        <w:rPr>
          <w:rFonts w:eastAsia="Arial Unicode MS"/>
          <w:i/>
          <w:color w:val="000000"/>
          <w:sz w:val="20"/>
          <w:szCs w:val="20"/>
          <w:u w:color="000000"/>
          <w:bdr w:val="nil"/>
          <w:lang w:val="en-IE" w:eastAsia="en-GB"/>
        </w:rPr>
        <w:t>,</w:t>
      </w:r>
      <w:r w:rsidRPr="00AC481B">
        <w:rPr>
          <w:rFonts w:eastAsiaTheme="minorHAnsi"/>
          <w:b/>
          <w:bCs/>
          <w:sz w:val="20"/>
          <w:szCs w:val="20"/>
          <w:lang w:val="en-IE"/>
        </w:rPr>
        <w:t xml:space="preserve"> </w:t>
      </w:r>
      <w:r w:rsidRPr="008C6DDD">
        <w:rPr>
          <w:rFonts w:eastAsiaTheme="minorHAnsi"/>
          <w:sz w:val="20"/>
          <w:szCs w:val="20"/>
          <w:lang w:val="en-IE"/>
        </w:rPr>
        <w:t xml:space="preserve">is </w:t>
      </w:r>
      <w:r>
        <w:rPr>
          <w:rFonts w:eastAsiaTheme="minorHAnsi"/>
          <w:sz w:val="20"/>
          <w:szCs w:val="20"/>
          <w:lang w:val="en-IE"/>
        </w:rPr>
        <w:t>presented in</w:t>
      </w:r>
      <w:r w:rsidRPr="008C6DDD">
        <w:rPr>
          <w:rFonts w:eastAsiaTheme="minorHAnsi"/>
          <w:sz w:val="20"/>
          <w:szCs w:val="20"/>
          <w:lang w:val="en-IE"/>
        </w:rPr>
        <w:t xml:space="preserve"> </w:t>
      </w:r>
      <w:hyperlink w:anchor="_Annex_12" w:history="1">
        <w:r w:rsidRPr="001677E0">
          <w:rPr>
            <w:rStyle w:val="Lienhypertexte"/>
            <w:rFonts w:eastAsiaTheme="minorHAnsi"/>
            <w:sz w:val="20"/>
            <w:szCs w:val="20"/>
            <w:lang w:val="en-IE"/>
          </w:rPr>
          <w:t>Annex </w:t>
        </w:r>
        <w:r w:rsidR="00F422BE" w:rsidRPr="001677E0">
          <w:rPr>
            <w:rStyle w:val="Lienhypertexte"/>
            <w:rFonts w:eastAsiaTheme="minorHAnsi"/>
            <w:sz w:val="20"/>
            <w:szCs w:val="20"/>
            <w:lang w:val="en-IE"/>
          </w:rPr>
          <w:t>12</w:t>
        </w:r>
        <w:r w:rsidRPr="00FD65D0">
          <w:rPr>
            <w:rStyle w:val="Lienhypertexte"/>
            <w:rFonts w:eastAsiaTheme="minorHAnsi"/>
            <w:sz w:val="20"/>
            <w:szCs w:val="20"/>
            <w:u w:val="none"/>
            <w:lang w:val="en-IE"/>
          </w:rPr>
          <w:t xml:space="preserve"> </w:t>
        </w:r>
      </w:hyperlink>
      <w:r w:rsidRPr="001730A0">
        <w:rPr>
          <w:rFonts w:eastAsiaTheme="minorHAnsi"/>
          <w:sz w:val="20"/>
          <w:szCs w:val="20"/>
          <w:lang w:val="en-IE"/>
        </w:rPr>
        <w:t>for Member comments. The adoption of the revised chapter has been postponed until the 89th General Session in May 2021. As the revised chapter has already undergone extensive consultation, Members are requested to only submit comments to address substantive issues that have not been considered previously.</w:t>
      </w:r>
    </w:p>
    <w:p w14:paraId="2D2CA98F" w14:textId="0DFB9284" w:rsidR="00053BBB" w:rsidRDefault="00053BBB" w:rsidP="001650EB">
      <w:pPr>
        <w:pStyle w:val="Titre3"/>
        <w:spacing w:before="0" w:after="240" w:line="240" w:lineRule="auto"/>
        <w:ind w:firstLine="900"/>
        <w:rPr>
          <w:rFonts w:eastAsia="Arial"/>
          <w:b/>
          <w:bCs/>
          <w:i w:val="0"/>
          <w:iCs/>
          <w:lang w:val="en-IE"/>
        </w:rPr>
      </w:pPr>
      <w:bookmarkStart w:id="40" w:name="_Toc38028638"/>
      <w:r w:rsidRPr="001650EB">
        <w:rPr>
          <w:rFonts w:eastAsia="Arial"/>
          <w:b/>
          <w:bCs/>
          <w:i w:val="0"/>
          <w:iCs/>
          <w:lang w:val="en-IE"/>
        </w:rPr>
        <w:t>8.2.3.</w:t>
      </w:r>
      <w:r w:rsidRPr="001650EB">
        <w:rPr>
          <w:rFonts w:eastAsia="Arial"/>
          <w:b/>
          <w:bCs/>
          <w:i w:val="0"/>
          <w:iCs/>
          <w:lang w:val="en-IE"/>
        </w:rPr>
        <w:tab/>
        <w:t>Infection with infectious haematopoietic necrosis virus (Chapter 2.3.4)</w:t>
      </w:r>
      <w:bookmarkEnd w:id="40"/>
    </w:p>
    <w:p w14:paraId="25719E1B" w14:textId="77777777" w:rsidR="00053BBB" w:rsidRPr="00C50A6F" w:rsidRDefault="00053BBB" w:rsidP="001650EB">
      <w:pPr>
        <w:pStyle w:val="NormalWeb"/>
        <w:spacing w:before="0" w:beforeAutospacing="0" w:after="240" w:afterAutospacing="0"/>
        <w:ind w:left="1417"/>
        <w:jc w:val="both"/>
        <w:rPr>
          <w:sz w:val="20"/>
          <w:szCs w:val="20"/>
          <w:lang w:val="en-IE"/>
        </w:rPr>
      </w:pPr>
      <w:r w:rsidRPr="00C50A6F">
        <w:rPr>
          <w:sz w:val="20"/>
          <w:szCs w:val="20"/>
          <w:lang w:val="en-US"/>
        </w:rPr>
        <w:t xml:space="preserve">Comments were received from </w:t>
      </w:r>
      <w:r w:rsidRPr="00C50A6F">
        <w:rPr>
          <w:sz w:val="20"/>
          <w:szCs w:val="20"/>
          <w:lang w:val="en-IE"/>
        </w:rPr>
        <w:t>Canada, China (People’s Rep. of), Korea (Rep. of), Thailand</w:t>
      </w:r>
      <w:r>
        <w:rPr>
          <w:sz w:val="20"/>
          <w:szCs w:val="20"/>
          <w:lang w:val="en-IE"/>
        </w:rPr>
        <w:t>,</w:t>
      </w:r>
      <w:r w:rsidRPr="00432201">
        <w:rPr>
          <w:sz w:val="20"/>
          <w:szCs w:val="20"/>
          <w:lang w:val="en-IE"/>
        </w:rPr>
        <w:t xml:space="preserve"> </w:t>
      </w:r>
      <w:r>
        <w:rPr>
          <w:sz w:val="20"/>
          <w:szCs w:val="20"/>
          <w:lang w:val="en-IE"/>
        </w:rPr>
        <w:t xml:space="preserve">the </w:t>
      </w:r>
      <w:r w:rsidRPr="00C50A6F">
        <w:rPr>
          <w:sz w:val="20"/>
          <w:szCs w:val="20"/>
          <w:lang w:val="en-IE"/>
        </w:rPr>
        <w:t>EU</w:t>
      </w:r>
      <w:r>
        <w:rPr>
          <w:sz w:val="20"/>
          <w:szCs w:val="20"/>
          <w:lang w:val="en-IE"/>
        </w:rPr>
        <w:t xml:space="preserve"> and AU-IBAR</w:t>
      </w:r>
      <w:r w:rsidRPr="00C50A6F">
        <w:rPr>
          <w:sz w:val="20"/>
          <w:szCs w:val="20"/>
          <w:lang w:val="en-IE"/>
        </w:rPr>
        <w:t>.</w:t>
      </w:r>
    </w:p>
    <w:p w14:paraId="12CB2C68" w14:textId="77777777" w:rsidR="00053BBB" w:rsidRDefault="00053BBB" w:rsidP="00053BBB">
      <w:pPr>
        <w:pStyle w:val="NormalWeb"/>
        <w:spacing w:before="0" w:beforeAutospacing="0" w:after="240" w:afterAutospacing="0"/>
        <w:ind w:left="1417"/>
        <w:jc w:val="both"/>
        <w:rPr>
          <w:sz w:val="20"/>
          <w:szCs w:val="20"/>
          <w:lang w:val="en-IE"/>
        </w:rPr>
      </w:pPr>
      <w:r>
        <w:rPr>
          <w:sz w:val="20"/>
          <w:szCs w:val="20"/>
          <w:lang w:val="en-IE"/>
        </w:rPr>
        <w:t xml:space="preserve">To ensure consistency, the </w:t>
      </w:r>
      <w:r w:rsidRPr="007C0B52">
        <w:rPr>
          <w:sz w:val="20"/>
          <w:szCs w:val="20"/>
          <w:lang w:val="en-IE"/>
        </w:rPr>
        <w:t xml:space="preserve">Aquatic Animals </w:t>
      </w:r>
      <w:r w:rsidRPr="007C0B52">
        <w:rPr>
          <w:bCs/>
          <w:sz w:val="20"/>
          <w:szCs w:val="20"/>
          <w:lang w:val="en-IE"/>
        </w:rPr>
        <w:t>Commission</w:t>
      </w:r>
      <w:r>
        <w:rPr>
          <w:sz w:val="20"/>
          <w:szCs w:val="20"/>
          <w:lang w:val="en-IE"/>
        </w:rPr>
        <w:t xml:space="preserve"> reviewed this chapter together with </w:t>
      </w:r>
      <w:r w:rsidRPr="00C50A6F">
        <w:rPr>
          <w:rFonts w:eastAsia="Arial"/>
          <w:bCs/>
          <w:sz w:val="20"/>
          <w:szCs w:val="20"/>
          <w:lang w:val="en-IE"/>
        </w:rPr>
        <w:t>Chapter 2.3.10</w:t>
      </w:r>
      <w:r>
        <w:rPr>
          <w:rFonts w:eastAsia="Arial"/>
          <w:bCs/>
          <w:sz w:val="20"/>
          <w:szCs w:val="20"/>
          <w:lang w:val="en-IE"/>
        </w:rPr>
        <w:t>,</w:t>
      </w:r>
      <w:r w:rsidRPr="00C50A6F">
        <w:rPr>
          <w:rFonts w:eastAsia="Arial"/>
          <w:bCs/>
          <w:sz w:val="20"/>
          <w:szCs w:val="20"/>
          <w:lang w:val="en-IE"/>
        </w:rPr>
        <w:t xml:space="preserve"> </w:t>
      </w:r>
      <w:r w:rsidRPr="0041367F">
        <w:rPr>
          <w:rFonts w:eastAsia="Arial"/>
          <w:bCs/>
          <w:sz w:val="20"/>
          <w:szCs w:val="20"/>
          <w:lang w:val="en-IE"/>
        </w:rPr>
        <w:t>Infection with viral haemorrhagic septicaemia virus</w:t>
      </w:r>
      <w:r>
        <w:rPr>
          <w:rFonts w:eastAsia="Arial"/>
          <w:bCs/>
          <w:sz w:val="20"/>
          <w:szCs w:val="20"/>
          <w:lang w:val="en-IE"/>
        </w:rPr>
        <w:t>,</w:t>
      </w:r>
      <w:r w:rsidRPr="00C50A6F">
        <w:rPr>
          <w:sz w:val="20"/>
          <w:szCs w:val="20"/>
          <w:lang w:val="en-IE"/>
        </w:rPr>
        <w:t xml:space="preserve"> because of the similarities between the two chapters</w:t>
      </w:r>
      <w:r>
        <w:rPr>
          <w:sz w:val="20"/>
          <w:szCs w:val="20"/>
          <w:lang w:val="en-IE"/>
        </w:rPr>
        <w:t>.</w:t>
      </w:r>
    </w:p>
    <w:p w14:paraId="177346E9" w14:textId="77777777" w:rsidR="00053BBB" w:rsidRDefault="00053BBB" w:rsidP="00053BBB">
      <w:pPr>
        <w:pStyle w:val="NormalWeb"/>
        <w:spacing w:before="0" w:beforeAutospacing="0" w:after="240" w:afterAutospacing="0"/>
        <w:ind w:left="1417"/>
        <w:jc w:val="both"/>
        <w:rPr>
          <w:sz w:val="20"/>
          <w:szCs w:val="20"/>
          <w:lang w:val="en-IE"/>
        </w:rPr>
      </w:pPr>
      <w:r>
        <w:rPr>
          <w:sz w:val="20"/>
          <w:szCs w:val="20"/>
          <w:lang w:val="en-IE"/>
        </w:rPr>
        <w:t xml:space="preserve">The Commission agreed to extend the geographical range of infection with </w:t>
      </w:r>
      <w:r w:rsidRPr="00942215">
        <w:rPr>
          <w:sz w:val="20"/>
          <w:szCs w:val="20"/>
          <w:lang w:val="en-IE"/>
        </w:rPr>
        <w:t xml:space="preserve">infectious haematopoietic necrosis virus </w:t>
      </w:r>
      <w:r>
        <w:rPr>
          <w:sz w:val="20"/>
          <w:szCs w:val="20"/>
          <w:lang w:val="en-IE"/>
        </w:rPr>
        <w:t>(IHNV) to include Africa and to add the published reference to the chapter.</w:t>
      </w:r>
    </w:p>
    <w:p w14:paraId="3C7403CE" w14:textId="77777777" w:rsidR="00053BBB" w:rsidRDefault="00053BBB" w:rsidP="00053BBB">
      <w:pPr>
        <w:pStyle w:val="NormalWeb"/>
        <w:spacing w:before="0" w:beforeAutospacing="0" w:after="240" w:afterAutospacing="0"/>
        <w:ind w:left="1417"/>
        <w:jc w:val="both"/>
        <w:rPr>
          <w:sz w:val="20"/>
          <w:szCs w:val="20"/>
          <w:lang w:val="en-IE"/>
        </w:rPr>
      </w:pPr>
      <w:r w:rsidRPr="00592542">
        <w:rPr>
          <w:sz w:val="20"/>
          <w:szCs w:val="20"/>
          <w:lang w:val="en-IE"/>
        </w:rPr>
        <w:t xml:space="preserve">The </w:t>
      </w:r>
      <w:r w:rsidRPr="007C0B52">
        <w:rPr>
          <w:bCs/>
          <w:sz w:val="20"/>
          <w:szCs w:val="20"/>
          <w:lang w:val="en-IE"/>
        </w:rPr>
        <w:t>Commission</w:t>
      </w:r>
      <w:r w:rsidRPr="00592542">
        <w:rPr>
          <w:sz w:val="20"/>
          <w:szCs w:val="20"/>
          <w:lang w:val="en-IE"/>
        </w:rPr>
        <w:t xml:space="preserve"> modified a proposed amendment to Section 2.3.4</w:t>
      </w:r>
      <w:r>
        <w:rPr>
          <w:sz w:val="20"/>
          <w:szCs w:val="20"/>
          <w:lang w:val="en-IE"/>
        </w:rPr>
        <w:t>,</w:t>
      </w:r>
      <w:r w:rsidRPr="00592542">
        <w:rPr>
          <w:sz w:val="20"/>
          <w:szCs w:val="20"/>
          <w:lang w:val="en-IE"/>
        </w:rPr>
        <w:t xml:space="preserve"> </w:t>
      </w:r>
      <w:r w:rsidRPr="0041367F">
        <w:rPr>
          <w:sz w:val="20"/>
          <w:szCs w:val="20"/>
          <w:lang w:val="en-IE"/>
        </w:rPr>
        <w:t>Modes of transmission and life cycle</w:t>
      </w:r>
      <w:r>
        <w:rPr>
          <w:sz w:val="20"/>
          <w:szCs w:val="20"/>
          <w:lang w:val="en-IE"/>
        </w:rPr>
        <w:t>, to clearly state that there is insufficient evidence to demonstrate true vertical transmission of IHNV, and to make the role of disinfection in preventing transmission more explicit.</w:t>
      </w:r>
      <w:r w:rsidRPr="00592542">
        <w:rPr>
          <w:sz w:val="20"/>
          <w:szCs w:val="20"/>
          <w:lang w:val="en-IE"/>
        </w:rPr>
        <w:t xml:space="preserve"> </w:t>
      </w:r>
    </w:p>
    <w:p w14:paraId="49C2C14A" w14:textId="5830D059" w:rsidR="00053BBB" w:rsidRDefault="00053BBB" w:rsidP="00053BBB">
      <w:pPr>
        <w:pStyle w:val="NormalWeb"/>
        <w:spacing w:before="0" w:beforeAutospacing="0" w:after="240" w:afterAutospacing="0"/>
        <w:ind w:left="1417"/>
        <w:jc w:val="both"/>
        <w:rPr>
          <w:rFonts w:cs="Arial"/>
          <w:sz w:val="20"/>
          <w:szCs w:val="20"/>
          <w:lang w:val="en-US"/>
        </w:rPr>
      </w:pPr>
      <w:r w:rsidRPr="00FE5C51">
        <w:rPr>
          <w:sz w:val="20"/>
          <w:szCs w:val="20"/>
          <w:lang w:val="en-IE"/>
        </w:rPr>
        <w:t xml:space="preserve">A proposal to add the words </w:t>
      </w:r>
      <w:r w:rsidR="00F80F5A">
        <w:rPr>
          <w:sz w:val="20"/>
          <w:szCs w:val="20"/>
          <w:lang w:val="en-IE"/>
        </w:rPr>
        <w:t>‘</w:t>
      </w:r>
      <w:r w:rsidRPr="00F11E67">
        <w:rPr>
          <w:rFonts w:cs="Arial"/>
          <w:sz w:val="20"/>
          <w:szCs w:val="20"/>
          <w:lang w:val="en-US"/>
        </w:rPr>
        <w:t xml:space="preserve">of the </w:t>
      </w:r>
      <w:r w:rsidRPr="00F11E67">
        <w:rPr>
          <w:rFonts w:cs="Arial"/>
          <w:i/>
          <w:sz w:val="20"/>
          <w:szCs w:val="20"/>
          <w:lang w:val="en-US"/>
        </w:rPr>
        <w:t>Aquatic Manual</w:t>
      </w:r>
      <w:r w:rsidR="00F80F5A" w:rsidRPr="00F80F5A">
        <w:rPr>
          <w:rFonts w:cs="Arial"/>
          <w:sz w:val="20"/>
          <w:szCs w:val="20"/>
          <w:lang w:val="en-US"/>
        </w:rPr>
        <w:t>’</w:t>
      </w:r>
      <w:r w:rsidRPr="00FE5C51">
        <w:rPr>
          <w:sz w:val="20"/>
          <w:szCs w:val="20"/>
          <w:lang w:val="en-IE"/>
        </w:rPr>
        <w:t xml:space="preserve"> </w:t>
      </w:r>
      <w:r>
        <w:rPr>
          <w:sz w:val="20"/>
          <w:szCs w:val="20"/>
          <w:lang w:val="en-IE"/>
        </w:rPr>
        <w:t xml:space="preserve">after </w:t>
      </w:r>
      <w:r w:rsidR="00F80F5A">
        <w:rPr>
          <w:sz w:val="20"/>
          <w:szCs w:val="20"/>
          <w:lang w:val="en-IE"/>
        </w:rPr>
        <w:t>‘</w:t>
      </w:r>
      <w:r>
        <w:rPr>
          <w:sz w:val="20"/>
          <w:szCs w:val="20"/>
          <w:lang w:val="en-IE"/>
        </w:rPr>
        <w:t>2.4</w:t>
      </w:r>
      <w:r w:rsidR="00F80F5A">
        <w:rPr>
          <w:sz w:val="20"/>
          <w:szCs w:val="20"/>
          <w:lang w:val="en-IE"/>
        </w:rPr>
        <w:t>’</w:t>
      </w:r>
      <w:r>
        <w:rPr>
          <w:sz w:val="20"/>
          <w:szCs w:val="20"/>
          <w:lang w:val="en-IE"/>
        </w:rPr>
        <w:t xml:space="preserve"> in the sentence “</w:t>
      </w:r>
      <w:r w:rsidRPr="00FE5C51">
        <w:rPr>
          <w:rFonts w:cs="Arial"/>
          <w:sz w:val="20"/>
          <w:szCs w:val="20"/>
          <w:lang w:val="en-US"/>
        </w:rPr>
        <w:t>This section draws on information in Sections 2.2, 2.3 and 2.4 to identify populations, individuals and samples which are most likely to be infected</w:t>
      </w:r>
      <w:r>
        <w:rPr>
          <w:rFonts w:cs="Arial"/>
          <w:sz w:val="20"/>
          <w:szCs w:val="20"/>
          <w:lang w:val="en-US"/>
        </w:rPr>
        <w:t>.” was rejected as the Sections referred to are within the chapter itself</w:t>
      </w:r>
      <w:r w:rsidRPr="00FE5C51">
        <w:rPr>
          <w:rFonts w:cs="Arial"/>
          <w:sz w:val="20"/>
          <w:szCs w:val="20"/>
          <w:lang w:val="en-US"/>
        </w:rPr>
        <w:t>.</w:t>
      </w:r>
      <w:r>
        <w:rPr>
          <w:rFonts w:cs="Arial"/>
          <w:sz w:val="20"/>
          <w:szCs w:val="20"/>
          <w:lang w:val="en-US"/>
        </w:rPr>
        <w:t xml:space="preserve"> </w:t>
      </w:r>
    </w:p>
    <w:p w14:paraId="4F7E0A59" w14:textId="62455C5F" w:rsidR="00053BBB" w:rsidRDefault="00053BBB" w:rsidP="00053BBB">
      <w:pPr>
        <w:pStyle w:val="NormalWeb"/>
        <w:spacing w:before="0" w:beforeAutospacing="0" w:after="240" w:afterAutospacing="0"/>
        <w:ind w:left="1417"/>
        <w:jc w:val="both"/>
        <w:rPr>
          <w:rFonts w:eastAsiaTheme="minorEastAsia" w:cs="Arial"/>
          <w:sz w:val="20"/>
          <w:szCs w:val="20"/>
          <w:lang w:val="en-IE" w:eastAsia="zh-CN"/>
        </w:rPr>
      </w:pPr>
      <w:r w:rsidRPr="00750313">
        <w:rPr>
          <w:sz w:val="20"/>
          <w:szCs w:val="20"/>
          <w:lang w:val="en-IE"/>
        </w:rPr>
        <w:lastRenderedPageBreak/>
        <w:t>In Section 3.5</w:t>
      </w:r>
      <w:r>
        <w:rPr>
          <w:sz w:val="20"/>
          <w:szCs w:val="20"/>
          <w:lang w:val="en-IE"/>
        </w:rPr>
        <w:t>,</w:t>
      </w:r>
      <w:r w:rsidRPr="00750313">
        <w:rPr>
          <w:sz w:val="20"/>
          <w:szCs w:val="20"/>
          <w:lang w:val="en-IE"/>
        </w:rPr>
        <w:t xml:space="preserve"> </w:t>
      </w:r>
      <w:r w:rsidRPr="0041367F">
        <w:rPr>
          <w:sz w:val="20"/>
          <w:szCs w:val="20"/>
          <w:lang w:val="en-IE"/>
        </w:rPr>
        <w:t>Preservation of samples for submission</w:t>
      </w:r>
      <w:r w:rsidRPr="00750313">
        <w:rPr>
          <w:sz w:val="20"/>
          <w:szCs w:val="20"/>
          <w:lang w:val="en-IE"/>
        </w:rPr>
        <w:t>, a Member requested deletion of a reference to Chapter 2.3.0</w:t>
      </w:r>
      <w:r>
        <w:rPr>
          <w:sz w:val="20"/>
          <w:szCs w:val="20"/>
          <w:lang w:val="en-IE"/>
        </w:rPr>
        <w:t>,</w:t>
      </w:r>
      <w:r w:rsidRPr="00750313">
        <w:rPr>
          <w:sz w:val="20"/>
          <w:szCs w:val="20"/>
          <w:lang w:val="en-IE"/>
        </w:rPr>
        <w:t xml:space="preserve"> </w:t>
      </w:r>
      <w:r w:rsidRPr="00F11E67">
        <w:rPr>
          <w:sz w:val="20"/>
          <w:szCs w:val="20"/>
          <w:lang w:val="en-IE"/>
        </w:rPr>
        <w:t>General</w:t>
      </w:r>
      <w:r w:rsidRPr="00750313">
        <w:rPr>
          <w:i/>
          <w:iCs/>
          <w:sz w:val="20"/>
          <w:szCs w:val="20"/>
          <w:lang w:val="en-IE"/>
        </w:rPr>
        <w:t xml:space="preserve"> </w:t>
      </w:r>
      <w:r w:rsidRPr="00F11E67">
        <w:rPr>
          <w:sz w:val="20"/>
          <w:szCs w:val="20"/>
          <w:lang w:val="en-IE"/>
        </w:rPr>
        <w:t>information</w:t>
      </w:r>
      <w:r>
        <w:rPr>
          <w:sz w:val="20"/>
          <w:szCs w:val="20"/>
          <w:lang w:val="en-IE"/>
        </w:rPr>
        <w:t>,</w:t>
      </w:r>
      <w:r w:rsidRPr="00750313">
        <w:rPr>
          <w:sz w:val="20"/>
          <w:szCs w:val="20"/>
          <w:lang w:val="en-IE"/>
        </w:rPr>
        <w:t xml:space="preserve"> stating that the chapter does not provide details of viral sample preservation. The </w:t>
      </w:r>
      <w:r w:rsidRPr="007C0B52">
        <w:rPr>
          <w:bCs/>
          <w:sz w:val="20"/>
          <w:szCs w:val="20"/>
          <w:lang w:val="en-IE"/>
        </w:rPr>
        <w:t>Commission</w:t>
      </w:r>
      <w:r w:rsidRPr="00750313">
        <w:rPr>
          <w:sz w:val="20"/>
          <w:szCs w:val="20"/>
          <w:lang w:val="en-IE"/>
        </w:rPr>
        <w:t xml:space="preserve"> noted that Section 2.2</w:t>
      </w:r>
      <w:r>
        <w:rPr>
          <w:sz w:val="20"/>
          <w:szCs w:val="20"/>
          <w:lang w:val="en-IE"/>
        </w:rPr>
        <w:t xml:space="preserve">, </w:t>
      </w:r>
      <w:r w:rsidRPr="0041367F">
        <w:rPr>
          <w:sz w:val="20"/>
          <w:szCs w:val="20"/>
          <w:lang w:val="en-GB"/>
        </w:rPr>
        <w:t>Virological examination</w:t>
      </w:r>
      <w:r>
        <w:rPr>
          <w:sz w:val="20"/>
          <w:szCs w:val="20"/>
          <w:lang w:val="en-GB"/>
        </w:rPr>
        <w:t>,</w:t>
      </w:r>
      <w:r w:rsidRPr="00750313">
        <w:rPr>
          <w:sz w:val="20"/>
          <w:szCs w:val="20"/>
          <w:lang w:val="en-GB"/>
        </w:rPr>
        <w:t xml:space="preserve"> of Chapter 2.3.0 </w:t>
      </w:r>
      <w:r w:rsidRPr="00750313">
        <w:rPr>
          <w:rFonts w:eastAsiaTheme="minorEastAsia" w:cs="Arial" w:hint="eastAsia"/>
          <w:sz w:val="20"/>
          <w:szCs w:val="20"/>
          <w:lang w:val="en-IE" w:eastAsia="zh-CN"/>
        </w:rPr>
        <w:t>descri</w:t>
      </w:r>
      <w:r>
        <w:rPr>
          <w:rFonts w:eastAsiaTheme="minorEastAsia" w:cs="Arial"/>
          <w:sz w:val="20"/>
          <w:szCs w:val="20"/>
          <w:lang w:val="en-IE" w:eastAsia="zh-CN"/>
        </w:rPr>
        <w:t>bes t</w:t>
      </w:r>
      <w:r w:rsidRPr="00750313">
        <w:rPr>
          <w:rFonts w:eastAsiaTheme="minorEastAsia" w:cs="Arial"/>
          <w:sz w:val="20"/>
          <w:szCs w:val="20"/>
          <w:lang w:val="en-IE" w:eastAsia="zh-CN"/>
        </w:rPr>
        <w:t>ransportation and antibiotic treatment of samples</w:t>
      </w:r>
      <w:r w:rsidRPr="00750313">
        <w:rPr>
          <w:rFonts w:eastAsiaTheme="minorEastAsia" w:cs="Arial" w:hint="eastAsia"/>
          <w:sz w:val="20"/>
          <w:szCs w:val="20"/>
          <w:lang w:val="en-IE" w:eastAsia="zh-CN"/>
        </w:rPr>
        <w:t xml:space="preserve"> for virological examination</w:t>
      </w:r>
      <w:r>
        <w:rPr>
          <w:rFonts w:eastAsiaTheme="minorEastAsia" w:cs="Arial"/>
          <w:sz w:val="20"/>
          <w:szCs w:val="20"/>
          <w:lang w:val="en-IE" w:eastAsia="zh-CN"/>
        </w:rPr>
        <w:t>, and therefore concluded that retaining reference to Chapter 2.3.0 is appropriate.</w:t>
      </w:r>
    </w:p>
    <w:p w14:paraId="315FE9B3" w14:textId="77777777" w:rsidR="00053BBB" w:rsidRDefault="00053BBB" w:rsidP="00053BBB">
      <w:pPr>
        <w:pStyle w:val="para11"/>
        <w:ind w:left="1417"/>
        <w:rPr>
          <w:rFonts w:eastAsia="SimSun"/>
          <w:lang w:val="en-IE" w:eastAsia="fr-FR"/>
        </w:rPr>
      </w:pPr>
      <w:r>
        <w:rPr>
          <w:rFonts w:eastAsia="SimSun"/>
          <w:lang w:val="en-IE" w:eastAsia="fr-FR"/>
        </w:rPr>
        <w:t xml:space="preserve">The </w:t>
      </w:r>
      <w:r w:rsidRPr="007C0B52">
        <w:rPr>
          <w:bCs/>
          <w:lang w:val="en-IE"/>
        </w:rPr>
        <w:t>Commission</w:t>
      </w:r>
      <w:r>
        <w:rPr>
          <w:rFonts w:eastAsia="SimSun"/>
          <w:lang w:val="en-IE" w:eastAsia="fr-FR"/>
        </w:rPr>
        <w:t xml:space="preserve"> accepted the proposal to add the standard text to Section 3.6, </w:t>
      </w:r>
      <w:r w:rsidRPr="0041367F">
        <w:rPr>
          <w:rFonts w:eastAsia="SimSun"/>
          <w:lang w:val="en-IE" w:eastAsia="fr-FR"/>
        </w:rPr>
        <w:t>Pooling of samples</w:t>
      </w:r>
      <w:r>
        <w:rPr>
          <w:rFonts w:eastAsia="SimSun"/>
          <w:i/>
          <w:iCs/>
          <w:lang w:val="en-IE" w:eastAsia="fr-FR"/>
        </w:rPr>
        <w:t xml:space="preserve">. </w:t>
      </w:r>
      <w:r>
        <w:rPr>
          <w:rFonts w:eastAsia="SimSun"/>
          <w:lang w:val="en-IE" w:eastAsia="fr-FR"/>
        </w:rPr>
        <w:t xml:space="preserve">The Commission did not agree however, to include a sentence on the need to consider the impact of pooling on decisions related to trade. </w:t>
      </w:r>
      <w:r w:rsidRPr="0041367F">
        <w:rPr>
          <w:rFonts w:eastAsia="SimSun"/>
          <w:lang w:val="en-IE" w:eastAsia="fr-FR"/>
        </w:rPr>
        <w:t xml:space="preserve">The </w:t>
      </w:r>
      <w:r w:rsidRPr="0041367F">
        <w:rPr>
          <w:bCs/>
          <w:lang w:val="en-IE"/>
        </w:rPr>
        <w:t>Commission</w:t>
      </w:r>
      <w:r w:rsidRPr="0041367F">
        <w:rPr>
          <w:rFonts w:eastAsia="SimSun"/>
          <w:lang w:val="en-IE" w:eastAsia="fr-FR"/>
        </w:rPr>
        <w:t xml:space="preserve"> reaffirmed that as the </w:t>
      </w:r>
      <w:r w:rsidRPr="0041367F">
        <w:rPr>
          <w:rFonts w:eastAsia="SimSun"/>
          <w:i/>
          <w:iCs/>
          <w:lang w:val="en-IE" w:eastAsia="fr-FR"/>
        </w:rPr>
        <w:t>Aquatic Manual</w:t>
      </w:r>
      <w:r w:rsidRPr="0041367F">
        <w:rPr>
          <w:rFonts w:eastAsia="SimSun"/>
          <w:lang w:val="en-IE" w:eastAsia="fr-FR"/>
        </w:rPr>
        <w:t xml:space="preserve"> principally provides diagnostic test methods, it is not the appropriate text for provisions on trade.</w:t>
      </w:r>
    </w:p>
    <w:p w14:paraId="47954B0C" w14:textId="366AB109" w:rsidR="00053BBB" w:rsidRDefault="00053BBB" w:rsidP="00053BBB">
      <w:pPr>
        <w:pStyle w:val="para11"/>
        <w:ind w:left="1417"/>
        <w:rPr>
          <w:rFonts w:eastAsia="SimSun"/>
          <w:lang w:val="en-IE" w:eastAsia="fr-FR"/>
        </w:rPr>
      </w:pPr>
      <w:r>
        <w:rPr>
          <w:bCs/>
          <w:lang w:val="en-IE" w:bidi="en-US"/>
        </w:rPr>
        <w:t xml:space="preserve">The </w:t>
      </w:r>
      <w:r w:rsidRPr="007C0B52">
        <w:rPr>
          <w:bCs/>
          <w:lang w:val="en-IE"/>
        </w:rPr>
        <w:t>Commission</w:t>
      </w:r>
      <w:r>
        <w:rPr>
          <w:bCs/>
          <w:lang w:val="en-IE" w:bidi="en-US"/>
        </w:rPr>
        <w:t xml:space="preserve"> reviewed and amended or added some of the levels of validation given in Table</w:t>
      </w:r>
      <w:r w:rsidR="00F80F5A">
        <w:rPr>
          <w:bCs/>
          <w:lang w:val="en-IE" w:bidi="en-US"/>
        </w:rPr>
        <w:t> </w:t>
      </w:r>
      <w:r>
        <w:rPr>
          <w:bCs/>
          <w:lang w:val="en-IE" w:bidi="en-US"/>
        </w:rPr>
        <w:t>4.1,</w:t>
      </w:r>
      <w:r w:rsidRPr="00CF56ED">
        <w:rPr>
          <w:bCs/>
          <w:i/>
          <w:lang w:val="en-IE" w:bidi="en-US"/>
        </w:rPr>
        <w:t xml:space="preserve"> </w:t>
      </w:r>
      <w:r w:rsidRPr="00F11E67">
        <w:rPr>
          <w:bCs/>
          <w:iCs/>
          <w:lang w:val="en-IE" w:bidi="en-US"/>
        </w:rPr>
        <w:t>OIE recommended</w:t>
      </w:r>
      <w:r w:rsidRPr="00F11E67">
        <w:rPr>
          <w:iCs/>
          <w:lang w:val="en-IE" w:bidi="en-US"/>
        </w:rPr>
        <w:t xml:space="preserve"> </w:t>
      </w:r>
      <w:r w:rsidRPr="00F11E67">
        <w:rPr>
          <w:bCs/>
          <w:iCs/>
          <w:lang w:val="en-IE" w:bidi="en-US"/>
        </w:rPr>
        <w:t>diagnostic methods and their level of validation for surveillance of healthy animals and investigation of clinically affected animals.</w:t>
      </w:r>
    </w:p>
    <w:p w14:paraId="456CEF17" w14:textId="63E5069D" w:rsidR="00053BBB" w:rsidRPr="008C6DDD" w:rsidRDefault="00053BBB" w:rsidP="00053BBB">
      <w:pPr>
        <w:pStyle w:val="NormalWeb"/>
        <w:spacing w:before="0" w:beforeAutospacing="0" w:after="240" w:afterAutospacing="0"/>
        <w:ind w:left="1417"/>
        <w:jc w:val="both"/>
        <w:rPr>
          <w:b/>
          <w:sz w:val="20"/>
          <w:szCs w:val="20"/>
          <w:lang w:val="en-IE"/>
        </w:rPr>
      </w:pPr>
      <w:r w:rsidRPr="008C6DDD">
        <w:rPr>
          <w:rFonts w:eastAsiaTheme="minorHAnsi"/>
          <w:sz w:val="20"/>
          <w:szCs w:val="20"/>
          <w:lang w:val="en-IE"/>
        </w:rPr>
        <w:t xml:space="preserve">The revised </w:t>
      </w:r>
      <w:r w:rsidRPr="008C6DDD">
        <w:rPr>
          <w:sz w:val="20"/>
          <w:szCs w:val="20"/>
          <w:lang w:val="en-IE"/>
        </w:rPr>
        <w:t xml:space="preserve">Chapter </w:t>
      </w:r>
      <w:r w:rsidRPr="00590D33">
        <w:rPr>
          <w:rFonts w:eastAsia="Arial"/>
          <w:sz w:val="20"/>
          <w:szCs w:val="20"/>
          <w:lang w:val="en-IE"/>
        </w:rPr>
        <w:t>2.3.4</w:t>
      </w:r>
      <w:r>
        <w:rPr>
          <w:rFonts w:eastAsia="Arial"/>
          <w:sz w:val="20"/>
          <w:szCs w:val="20"/>
          <w:lang w:val="en-IE"/>
        </w:rPr>
        <w:t>,</w:t>
      </w:r>
      <w:r w:rsidRPr="00590D33">
        <w:rPr>
          <w:rFonts w:eastAsia="Arial"/>
          <w:sz w:val="20"/>
          <w:szCs w:val="20"/>
          <w:lang w:val="en-IE"/>
        </w:rPr>
        <w:t xml:space="preserve"> Infection with infectious haematopoietic necrosis virus</w:t>
      </w:r>
      <w:r>
        <w:rPr>
          <w:rFonts w:eastAsia="Arial"/>
          <w:sz w:val="20"/>
          <w:szCs w:val="20"/>
          <w:lang w:val="en-IE"/>
        </w:rPr>
        <w:t>,</w:t>
      </w:r>
      <w:r w:rsidRPr="00590D33">
        <w:rPr>
          <w:rFonts w:eastAsiaTheme="minorHAnsi"/>
          <w:sz w:val="20"/>
          <w:szCs w:val="20"/>
          <w:lang w:val="en-IE"/>
        </w:rPr>
        <w:t xml:space="preserve"> </w:t>
      </w:r>
      <w:r w:rsidRPr="008C6DDD">
        <w:rPr>
          <w:rFonts w:eastAsiaTheme="minorHAnsi"/>
          <w:sz w:val="20"/>
          <w:szCs w:val="20"/>
          <w:lang w:val="en-IE"/>
        </w:rPr>
        <w:t xml:space="preserve">is </w:t>
      </w:r>
      <w:r>
        <w:rPr>
          <w:rFonts w:eastAsiaTheme="minorHAnsi"/>
          <w:sz w:val="20"/>
          <w:szCs w:val="20"/>
          <w:lang w:val="en-IE"/>
        </w:rPr>
        <w:t>presented in</w:t>
      </w:r>
      <w:r w:rsidRPr="008C6DDD">
        <w:rPr>
          <w:rFonts w:eastAsiaTheme="minorHAnsi"/>
          <w:sz w:val="20"/>
          <w:szCs w:val="20"/>
          <w:lang w:val="en-IE"/>
        </w:rPr>
        <w:t xml:space="preserve"> </w:t>
      </w:r>
      <w:hyperlink w:anchor="_Annex_13" w:history="1">
        <w:r w:rsidRPr="001677E0">
          <w:rPr>
            <w:rStyle w:val="Lienhypertexte"/>
            <w:rFonts w:eastAsiaTheme="minorHAnsi"/>
            <w:sz w:val="20"/>
            <w:szCs w:val="20"/>
            <w:lang w:val="en-IE"/>
          </w:rPr>
          <w:t>Annex </w:t>
        </w:r>
        <w:r w:rsidR="00F422BE" w:rsidRPr="001677E0">
          <w:rPr>
            <w:rStyle w:val="Lienhypertexte"/>
            <w:rFonts w:eastAsiaTheme="minorHAnsi"/>
            <w:sz w:val="20"/>
            <w:szCs w:val="20"/>
            <w:lang w:val="en-IE"/>
          </w:rPr>
          <w:t>13</w:t>
        </w:r>
        <w:r w:rsidRPr="00FD65D0">
          <w:rPr>
            <w:rStyle w:val="Lienhypertexte"/>
            <w:rFonts w:eastAsiaTheme="minorHAnsi"/>
            <w:sz w:val="20"/>
            <w:szCs w:val="20"/>
            <w:u w:val="none"/>
            <w:lang w:val="en-IE"/>
          </w:rPr>
          <w:t xml:space="preserve"> </w:t>
        </w:r>
      </w:hyperlink>
      <w:r w:rsidRPr="001730A0">
        <w:rPr>
          <w:rFonts w:eastAsiaTheme="minorHAnsi"/>
          <w:sz w:val="20"/>
          <w:szCs w:val="20"/>
          <w:lang w:val="en-IE"/>
        </w:rPr>
        <w:t>for Member comments. The adoption of the revised chapter has been postponed until the 89th General Session in May 2021. As the revised chapter has already undergone extensive consultation, Members are requested to only submit comments to address substantive issues that have not been considered previously.</w:t>
      </w:r>
    </w:p>
    <w:p w14:paraId="7F1D1620" w14:textId="6C84D6E5" w:rsidR="00053BBB" w:rsidRDefault="00053BBB" w:rsidP="001650EB">
      <w:pPr>
        <w:pStyle w:val="Titre3"/>
        <w:spacing w:before="0" w:after="240" w:line="240" w:lineRule="auto"/>
        <w:ind w:firstLine="900"/>
        <w:rPr>
          <w:rFonts w:eastAsia="Arial"/>
          <w:b/>
          <w:bCs/>
          <w:i w:val="0"/>
          <w:iCs/>
          <w:lang w:val="en-IE"/>
        </w:rPr>
      </w:pPr>
      <w:bookmarkStart w:id="41" w:name="_Toc38028639"/>
      <w:r w:rsidRPr="001650EB">
        <w:rPr>
          <w:rFonts w:eastAsia="Arial"/>
          <w:b/>
          <w:bCs/>
          <w:i w:val="0"/>
          <w:iCs/>
          <w:lang w:val="en-IE"/>
        </w:rPr>
        <w:t>8.2.4.</w:t>
      </w:r>
      <w:r w:rsidRPr="001650EB">
        <w:rPr>
          <w:rFonts w:eastAsia="Arial"/>
          <w:b/>
          <w:bCs/>
          <w:i w:val="0"/>
          <w:iCs/>
          <w:lang w:val="en-IE"/>
        </w:rPr>
        <w:tab/>
        <w:t>Infection with viral haemorrhagic se</w:t>
      </w:r>
      <w:r w:rsidR="00F80F5A">
        <w:rPr>
          <w:rFonts w:eastAsia="Arial"/>
          <w:b/>
          <w:bCs/>
          <w:i w:val="0"/>
          <w:iCs/>
          <w:lang w:val="en-IE"/>
        </w:rPr>
        <w:t>pticaemia virus (Chapter 2.3.10</w:t>
      </w:r>
      <w:r w:rsidRPr="001650EB">
        <w:rPr>
          <w:rFonts w:eastAsia="Arial"/>
          <w:b/>
          <w:bCs/>
          <w:i w:val="0"/>
          <w:iCs/>
          <w:lang w:val="en-IE"/>
        </w:rPr>
        <w:t>)</w:t>
      </w:r>
      <w:bookmarkEnd w:id="41"/>
    </w:p>
    <w:p w14:paraId="19E6C27D" w14:textId="77777777" w:rsidR="00053BBB" w:rsidRPr="00C50A6F" w:rsidRDefault="00053BBB" w:rsidP="001650EB">
      <w:pPr>
        <w:pStyle w:val="NormalWeb"/>
        <w:spacing w:before="0" w:beforeAutospacing="0" w:after="240" w:afterAutospacing="0"/>
        <w:ind w:left="1417"/>
        <w:jc w:val="both"/>
        <w:rPr>
          <w:sz w:val="20"/>
          <w:szCs w:val="20"/>
          <w:lang w:val="en-IE"/>
        </w:rPr>
      </w:pPr>
      <w:r>
        <w:rPr>
          <w:sz w:val="20"/>
          <w:szCs w:val="20"/>
          <w:lang w:val="en-US"/>
        </w:rPr>
        <w:t xml:space="preserve">The chapter had been updated with the assistance of all three OIE Reference Laboratories for VHS. </w:t>
      </w:r>
      <w:r w:rsidRPr="00C50A6F">
        <w:rPr>
          <w:sz w:val="20"/>
          <w:szCs w:val="20"/>
          <w:lang w:val="en-US"/>
        </w:rPr>
        <w:t xml:space="preserve">Comments were received from </w:t>
      </w:r>
      <w:r w:rsidRPr="00F76358">
        <w:rPr>
          <w:sz w:val="20"/>
          <w:szCs w:val="20"/>
          <w:lang w:val="en-IE"/>
        </w:rPr>
        <w:t>Canada, China (People’s Rep. of), Korea (Rep. of), Thailand</w:t>
      </w:r>
      <w:r>
        <w:rPr>
          <w:sz w:val="20"/>
          <w:szCs w:val="20"/>
          <w:lang w:val="en-IE"/>
        </w:rPr>
        <w:t>, the EU</w:t>
      </w:r>
      <w:r w:rsidRPr="00806C40">
        <w:rPr>
          <w:sz w:val="20"/>
          <w:szCs w:val="20"/>
          <w:lang w:val="en-IE"/>
        </w:rPr>
        <w:t xml:space="preserve"> </w:t>
      </w:r>
      <w:r>
        <w:rPr>
          <w:sz w:val="20"/>
          <w:szCs w:val="20"/>
          <w:lang w:val="en-IE"/>
        </w:rPr>
        <w:t>and AU-IBAR</w:t>
      </w:r>
      <w:r w:rsidRPr="00F76358">
        <w:rPr>
          <w:sz w:val="20"/>
          <w:szCs w:val="20"/>
          <w:lang w:val="en-IE"/>
        </w:rPr>
        <w:t>.</w:t>
      </w:r>
    </w:p>
    <w:p w14:paraId="44BFE870" w14:textId="77777777" w:rsidR="00053BBB" w:rsidRDefault="00053BBB" w:rsidP="00053BBB">
      <w:pPr>
        <w:pStyle w:val="NormalWeb"/>
        <w:spacing w:before="0" w:beforeAutospacing="0" w:after="240" w:afterAutospacing="0"/>
        <w:ind w:left="1417"/>
        <w:jc w:val="both"/>
        <w:rPr>
          <w:sz w:val="20"/>
          <w:szCs w:val="20"/>
          <w:lang w:val="en-IE"/>
        </w:rPr>
      </w:pPr>
      <w:r>
        <w:rPr>
          <w:sz w:val="20"/>
          <w:szCs w:val="20"/>
          <w:lang w:val="en-IE"/>
        </w:rPr>
        <w:t xml:space="preserve">To ensure consistency, the </w:t>
      </w:r>
      <w:r w:rsidRPr="007C0B52">
        <w:rPr>
          <w:sz w:val="20"/>
          <w:szCs w:val="20"/>
          <w:lang w:val="en-IE"/>
        </w:rPr>
        <w:t xml:space="preserve">Aquatic Animals </w:t>
      </w:r>
      <w:r w:rsidRPr="007C0B52">
        <w:rPr>
          <w:bCs/>
          <w:sz w:val="20"/>
          <w:szCs w:val="20"/>
          <w:lang w:val="en-IE"/>
        </w:rPr>
        <w:t>Commission</w:t>
      </w:r>
      <w:r>
        <w:rPr>
          <w:sz w:val="20"/>
          <w:szCs w:val="20"/>
          <w:lang w:val="en-IE"/>
        </w:rPr>
        <w:t xml:space="preserve"> reviewed this chapter together with </w:t>
      </w:r>
      <w:r w:rsidRPr="00C50A6F">
        <w:rPr>
          <w:rFonts w:eastAsia="Arial"/>
          <w:bCs/>
          <w:sz w:val="20"/>
          <w:szCs w:val="20"/>
          <w:lang w:val="en-IE"/>
        </w:rPr>
        <w:t>Chapter 2.3.</w:t>
      </w:r>
      <w:r>
        <w:rPr>
          <w:rFonts w:eastAsia="Arial"/>
          <w:bCs/>
          <w:sz w:val="20"/>
          <w:szCs w:val="20"/>
          <w:lang w:val="en-IE"/>
        </w:rPr>
        <w:t>4,</w:t>
      </w:r>
      <w:r w:rsidRPr="00C50A6F">
        <w:rPr>
          <w:rFonts w:eastAsia="Arial"/>
          <w:bCs/>
          <w:sz w:val="20"/>
          <w:szCs w:val="20"/>
          <w:lang w:val="en-IE"/>
        </w:rPr>
        <w:t xml:space="preserve"> </w:t>
      </w:r>
      <w:r w:rsidRPr="0041367F">
        <w:rPr>
          <w:rFonts w:eastAsia="Arial"/>
          <w:bCs/>
          <w:sz w:val="20"/>
          <w:szCs w:val="20"/>
          <w:lang w:val="en-GB"/>
        </w:rPr>
        <w:t>Infection with infectious haematopoietic necrosis virus</w:t>
      </w:r>
      <w:r>
        <w:rPr>
          <w:rFonts w:eastAsia="Arial"/>
          <w:bCs/>
          <w:sz w:val="20"/>
          <w:szCs w:val="20"/>
          <w:lang w:val="en-GB"/>
        </w:rPr>
        <w:t>,</w:t>
      </w:r>
      <w:r w:rsidRPr="00C50A6F">
        <w:rPr>
          <w:sz w:val="20"/>
          <w:szCs w:val="20"/>
          <w:lang w:val="en-IE"/>
        </w:rPr>
        <w:t xml:space="preserve"> because of the similarities between the two chapters</w:t>
      </w:r>
      <w:r>
        <w:rPr>
          <w:sz w:val="20"/>
          <w:szCs w:val="20"/>
          <w:lang w:val="en-IE"/>
        </w:rPr>
        <w:t>.</w:t>
      </w:r>
    </w:p>
    <w:p w14:paraId="1144DEEA" w14:textId="5CC1B21F" w:rsidR="00053BBB" w:rsidRDefault="00053BBB" w:rsidP="00053BBB">
      <w:pPr>
        <w:pStyle w:val="para11"/>
        <w:ind w:left="1417"/>
        <w:rPr>
          <w:bCs/>
          <w:lang w:val="en-IE"/>
        </w:rPr>
      </w:pPr>
      <w:r w:rsidRPr="00745BB4">
        <w:rPr>
          <w:lang w:val="en-IE"/>
        </w:rPr>
        <w:t xml:space="preserve">A Member proposed </w:t>
      </w:r>
      <w:r>
        <w:rPr>
          <w:lang w:val="en-IE"/>
        </w:rPr>
        <w:t xml:space="preserve">editing </w:t>
      </w:r>
      <w:r w:rsidRPr="00745BB4">
        <w:rPr>
          <w:lang w:val="en-IE"/>
        </w:rPr>
        <w:t>Section 2.</w:t>
      </w:r>
      <w:r>
        <w:rPr>
          <w:lang w:val="en-IE"/>
        </w:rPr>
        <w:t>2.</w:t>
      </w:r>
      <w:r w:rsidRPr="00745BB4">
        <w:rPr>
          <w:lang w:val="en-IE"/>
        </w:rPr>
        <w:t>1</w:t>
      </w:r>
      <w:r>
        <w:rPr>
          <w:lang w:val="en-IE"/>
        </w:rPr>
        <w:t>,</w:t>
      </w:r>
      <w:r w:rsidRPr="00745BB4">
        <w:rPr>
          <w:lang w:val="en-IE"/>
        </w:rPr>
        <w:t xml:space="preserve"> </w:t>
      </w:r>
      <w:r w:rsidRPr="00F11E67">
        <w:rPr>
          <w:rFonts w:eastAsia="Times New Roman"/>
          <w:lang w:val="en-IE" w:eastAsia="fr-FR"/>
        </w:rPr>
        <w:t>Susceptible host species</w:t>
      </w:r>
      <w:r>
        <w:rPr>
          <w:rFonts w:eastAsia="Times New Roman"/>
          <w:lang w:val="en-IE" w:eastAsia="fr-FR"/>
        </w:rPr>
        <w:t>,</w:t>
      </w:r>
      <w:r>
        <w:rPr>
          <w:rFonts w:eastAsia="Times New Roman"/>
          <w:i/>
          <w:iCs/>
          <w:lang w:val="en-IE" w:eastAsia="fr-FR"/>
        </w:rPr>
        <w:t xml:space="preserve"> </w:t>
      </w:r>
      <w:r>
        <w:rPr>
          <w:rFonts w:eastAsia="Times New Roman"/>
          <w:lang w:val="en-IE" w:eastAsia="fr-FR"/>
        </w:rPr>
        <w:t xml:space="preserve">to note susceptibility of </w:t>
      </w:r>
      <w:r w:rsidRPr="00745BB4">
        <w:rPr>
          <w:i/>
          <w:iCs/>
          <w:lang w:val="en-IE"/>
        </w:rPr>
        <w:t>Clupea harengus</w:t>
      </w:r>
      <w:r w:rsidRPr="00745BB4">
        <w:rPr>
          <w:lang w:val="en-IE"/>
        </w:rPr>
        <w:t xml:space="preserve"> (Atlantic herring)</w:t>
      </w:r>
      <w:r>
        <w:rPr>
          <w:rFonts w:eastAsia="Times New Roman"/>
          <w:lang w:val="en-IE" w:eastAsia="fr-FR"/>
        </w:rPr>
        <w:t xml:space="preserve"> to </w:t>
      </w:r>
      <w:r w:rsidRPr="00745BB4">
        <w:rPr>
          <w:lang w:val="en-IE"/>
        </w:rPr>
        <w:t>genotype IVa</w:t>
      </w:r>
      <w:r>
        <w:rPr>
          <w:lang w:val="en-IE"/>
        </w:rPr>
        <w:t xml:space="preserve"> (in addition to genotype Ib and III)</w:t>
      </w:r>
      <w:r>
        <w:rPr>
          <w:rFonts w:eastAsia="Times New Roman"/>
          <w:i/>
          <w:iCs/>
          <w:lang w:val="en-IE" w:eastAsia="fr-FR"/>
        </w:rPr>
        <w:t xml:space="preserve">. </w:t>
      </w:r>
      <w:r w:rsidRPr="00745BB4">
        <w:rPr>
          <w:rFonts w:eastAsia="Times New Roman"/>
          <w:lang w:val="en-IE" w:eastAsia="fr-FR"/>
        </w:rPr>
        <w:t xml:space="preserve">After reviewing the </w:t>
      </w:r>
      <w:r w:rsidRPr="001C048C">
        <w:rPr>
          <w:bCs/>
          <w:lang w:val="en-US" w:eastAsia="fr-FR"/>
        </w:rPr>
        <w:t>scientific information</w:t>
      </w:r>
      <w:r w:rsidRPr="00745BB4">
        <w:rPr>
          <w:rFonts w:eastAsia="Times New Roman"/>
          <w:lang w:val="en-IE" w:eastAsia="fr-FR"/>
        </w:rPr>
        <w:t xml:space="preserve">, the </w:t>
      </w:r>
      <w:r w:rsidRPr="007C0B52">
        <w:rPr>
          <w:bCs/>
          <w:lang w:val="en-IE"/>
        </w:rPr>
        <w:t>Commission</w:t>
      </w:r>
      <w:r w:rsidRPr="00745BB4">
        <w:rPr>
          <w:rFonts w:eastAsia="Times New Roman"/>
          <w:lang w:val="en-IE" w:eastAsia="fr-FR"/>
        </w:rPr>
        <w:t xml:space="preserve"> concluded that</w:t>
      </w:r>
      <w:r w:rsidRPr="00745BB4">
        <w:rPr>
          <w:lang w:val="en-IE"/>
        </w:rPr>
        <w:t xml:space="preserve"> </w:t>
      </w:r>
      <w:r>
        <w:rPr>
          <w:lang w:val="en-IE"/>
        </w:rPr>
        <w:t xml:space="preserve">it did not agree with the proposal as </w:t>
      </w:r>
      <w:r w:rsidRPr="001C048C">
        <w:rPr>
          <w:bCs/>
          <w:lang w:val="en-US" w:eastAsia="fr-FR"/>
        </w:rPr>
        <w:t xml:space="preserve">there is incomplete evidence for susceptibility for </w:t>
      </w:r>
      <w:r w:rsidRPr="00745BB4">
        <w:rPr>
          <w:i/>
          <w:iCs/>
          <w:lang w:val="en-IE"/>
        </w:rPr>
        <w:t xml:space="preserve">C. harengus </w:t>
      </w:r>
      <w:r w:rsidRPr="001C048C">
        <w:rPr>
          <w:bCs/>
          <w:lang w:val="en-ZA" w:eastAsia="fr-FR"/>
        </w:rPr>
        <w:t xml:space="preserve">to the genotype IVa of infection with </w:t>
      </w:r>
      <w:r>
        <w:rPr>
          <w:bCs/>
          <w:lang w:val="en-ZA" w:eastAsia="fr-FR"/>
        </w:rPr>
        <w:t xml:space="preserve">viral haemorrhagic </w:t>
      </w:r>
      <w:r w:rsidRPr="00942215">
        <w:rPr>
          <w:bCs/>
          <w:lang w:val="en-ZA" w:eastAsia="fr-FR"/>
        </w:rPr>
        <w:t xml:space="preserve">septicaemia virus </w:t>
      </w:r>
      <w:r>
        <w:rPr>
          <w:bCs/>
          <w:lang w:val="en-ZA" w:eastAsia="fr-FR"/>
        </w:rPr>
        <w:t>(</w:t>
      </w:r>
      <w:r w:rsidRPr="001C048C">
        <w:rPr>
          <w:bCs/>
          <w:lang w:val="en-ZA" w:eastAsia="fr-FR"/>
        </w:rPr>
        <w:t>VHSV</w:t>
      </w:r>
      <w:r>
        <w:rPr>
          <w:bCs/>
          <w:lang w:val="en-ZA" w:eastAsia="fr-FR"/>
        </w:rPr>
        <w:t>)</w:t>
      </w:r>
      <w:r>
        <w:rPr>
          <w:bCs/>
          <w:lang w:val="en-IE"/>
        </w:rPr>
        <w:t xml:space="preserve">. The Commission also informed </w:t>
      </w:r>
      <w:r w:rsidR="003A7CD0">
        <w:rPr>
          <w:bCs/>
          <w:lang w:val="en-IE"/>
        </w:rPr>
        <w:t xml:space="preserve">Members </w:t>
      </w:r>
      <w:r>
        <w:rPr>
          <w:bCs/>
          <w:lang w:val="en-IE"/>
        </w:rPr>
        <w:t xml:space="preserve">that </w:t>
      </w:r>
      <w:bookmarkStart w:id="42" w:name="_Hlk37945424"/>
      <w:r>
        <w:rPr>
          <w:bCs/>
          <w:lang w:val="en-IE"/>
        </w:rPr>
        <w:t xml:space="preserve">there is no differentiation of genotypes for infection with VHSV </w:t>
      </w:r>
      <w:bookmarkEnd w:id="42"/>
      <w:r>
        <w:rPr>
          <w:bCs/>
          <w:lang w:val="en-IE"/>
        </w:rPr>
        <w:t xml:space="preserve">and that C. </w:t>
      </w:r>
      <w:r w:rsidRPr="00745BB4">
        <w:rPr>
          <w:i/>
          <w:iCs/>
          <w:lang w:val="en-IE"/>
        </w:rPr>
        <w:t>harengus</w:t>
      </w:r>
      <w:r>
        <w:rPr>
          <w:lang w:val="en-IE"/>
        </w:rPr>
        <w:t xml:space="preserve"> </w:t>
      </w:r>
      <w:r>
        <w:rPr>
          <w:bCs/>
          <w:lang w:val="en-IE"/>
        </w:rPr>
        <w:t xml:space="preserve">consequently should be deleted from the table in Section 2.2.2. </w:t>
      </w:r>
    </w:p>
    <w:p w14:paraId="1A2882C3" w14:textId="77777777" w:rsidR="00053BBB" w:rsidRDefault="00053BBB" w:rsidP="00053BBB">
      <w:pPr>
        <w:pStyle w:val="para11"/>
        <w:ind w:left="1417"/>
        <w:rPr>
          <w:lang w:val="en-IE"/>
        </w:rPr>
      </w:pPr>
      <w:r w:rsidRPr="00745BB4">
        <w:rPr>
          <w:lang w:val="en-IE"/>
        </w:rPr>
        <w:t xml:space="preserve">The </w:t>
      </w:r>
      <w:r w:rsidRPr="007C0B52">
        <w:rPr>
          <w:bCs/>
          <w:lang w:val="en-IE"/>
        </w:rPr>
        <w:t>Commission</w:t>
      </w:r>
      <w:r w:rsidRPr="00745BB4">
        <w:rPr>
          <w:lang w:val="en-IE"/>
        </w:rPr>
        <w:t xml:space="preserve"> did not agree</w:t>
      </w:r>
      <w:r w:rsidRPr="00745BB4">
        <w:rPr>
          <w:rFonts w:eastAsia="Times New Roman"/>
          <w:lang w:bidi="en-US"/>
        </w:rPr>
        <w:t xml:space="preserve"> </w:t>
      </w:r>
      <w:r>
        <w:rPr>
          <w:rFonts w:eastAsia="Times New Roman"/>
          <w:lang w:bidi="en-US"/>
        </w:rPr>
        <w:t xml:space="preserve">to add </w:t>
      </w:r>
      <w:r w:rsidRPr="00745BB4">
        <w:rPr>
          <w:rFonts w:eastAsia="Times New Roman"/>
          <w:i/>
          <w:lang w:bidi="en-US"/>
        </w:rPr>
        <w:t xml:space="preserve">Salvelinus fontinalis </w:t>
      </w:r>
      <w:r w:rsidRPr="00745BB4">
        <w:rPr>
          <w:rFonts w:eastAsia="Times New Roman"/>
          <w:lang w:bidi="en-US"/>
        </w:rPr>
        <w:t>and</w:t>
      </w:r>
      <w:r w:rsidRPr="00745BB4">
        <w:rPr>
          <w:rFonts w:eastAsia="Times New Roman"/>
          <w:i/>
          <w:lang w:bidi="en-US"/>
        </w:rPr>
        <w:t xml:space="preserve"> Lota lota</w:t>
      </w:r>
      <w:r w:rsidRPr="00745BB4">
        <w:rPr>
          <w:rFonts w:eastAsia="Times New Roman"/>
          <w:lang w:bidi="en-US"/>
        </w:rPr>
        <w:t xml:space="preserve"> </w:t>
      </w:r>
      <w:r w:rsidRPr="00745BB4">
        <w:rPr>
          <w:lang w:val="en-IE"/>
        </w:rPr>
        <w:t>to Section 2.</w:t>
      </w:r>
      <w:r>
        <w:rPr>
          <w:lang w:val="en-IE"/>
        </w:rPr>
        <w:t>2.1,</w:t>
      </w:r>
      <w:r w:rsidRPr="00745BB4">
        <w:rPr>
          <w:lang w:val="en-IE"/>
        </w:rPr>
        <w:t xml:space="preserve"> </w:t>
      </w:r>
      <w:r>
        <w:rPr>
          <w:lang w:val="en-IE"/>
        </w:rPr>
        <w:t>because the request was not substantiated by</w:t>
      </w:r>
      <w:r w:rsidRPr="00745BB4">
        <w:rPr>
          <w:lang w:val="en-IE"/>
        </w:rPr>
        <w:t xml:space="preserve"> published scientific information. </w:t>
      </w:r>
    </w:p>
    <w:p w14:paraId="1F2D3ED2" w14:textId="67D73C6C" w:rsidR="00053BBB" w:rsidRPr="00182FE5" w:rsidRDefault="00053BBB" w:rsidP="00053BBB">
      <w:pPr>
        <w:pStyle w:val="para11"/>
        <w:ind w:left="1417"/>
        <w:rPr>
          <w:bCs/>
          <w:strike/>
          <w:lang w:val="en-IE"/>
        </w:rPr>
      </w:pPr>
      <w:r>
        <w:rPr>
          <w:lang w:val="en-IE"/>
        </w:rPr>
        <w:t>In response to a comment to change the c</w:t>
      </w:r>
      <w:r w:rsidRPr="00745BB4">
        <w:rPr>
          <w:rFonts w:eastAsia="휴먼명조"/>
        </w:rPr>
        <w:t xml:space="preserve">ommon name for </w:t>
      </w:r>
      <w:r w:rsidRPr="00745BB4">
        <w:rPr>
          <w:rFonts w:eastAsiaTheme="minorEastAsia"/>
          <w:i/>
        </w:rPr>
        <w:t>Paralichthys olivaceus</w:t>
      </w:r>
      <w:r w:rsidRPr="00745BB4">
        <w:rPr>
          <w:rFonts w:eastAsia="휴먼명조"/>
        </w:rPr>
        <w:t xml:space="preserve"> </w:t>
      </w:r>
      <w:r w:rsidR="00F80F5A">
        <w:rPr>
          <w:rFonts w:eastAsia="휴먼명조"/>
        </w:rPr>
        <w:t>to ‘</w:t>
      </w:r>
      <w:r w:rsidRPr="00745BB4">
        <w:rPr>
          <w:rFonts w:eastAsia="휴먼명조"/>
        </w:rPr>
        <w:t>Olive flounder</w:t>
      </w:r>
      <w:r w:rsidR="00F80F5A">
        <w:rPr>
          <w:rFonts w:eastAsia="휴먼명조"/>
        </w:rPr>
        <w:t>’</w:t>
      </w:r>
      <w:r>
        <w:rPr>
          <w:rFonts w:eastAsia="휴먼명조"/>
        </w:rPr>
        <w:t>, the Commission did not agree. While acknow</w:t>
      </w:r>
      <w:r w:rsidR="00F80F5A">
        <w:rPr>
          <w:rFonts w:eastAsia="휴먼명조"/>
        </w:rPr>
        <w:t>ledging that ‘</w:t>
      </w:r>
      <w:r w:rsidRPr="00745BB4">
        <w:rPr>
          <w:rFonts w:eastAsia="휴먼명조"/>
        </w:rPr>
        <w:t>Olive flounder</w:t>
      </w:r>
      <w:r w:rsidR="00F80F5A">
        <w:rPr>
          <w:rFonts w:eastAsia="휴먼명조"/>
        </w:rPr>
        <w:t>’</w:t>
      </w:r>
      <w:r>
        <w:rPr>
          <w:rFonts w:eastAsia="휴먼명조"/>
        </w:rPr>
        <w:t xml:space="preserve"> is a more acceptable name, the </w:t>
      </w:r>
      <w:r w:rsidRPr="007C0B52">
        <w:rPr>
          <w:bCs/>
          <w:lang w:val="en-IE"/>
        </w:rPr>
        <w:t>Commission</w:t>
      </w:r>
      <w:r>
        <w:rPr>
          <w:rFonts w:eastAsia="휴먼명조"/>
        </w:rPr>
        <w:t xml:space="preserve"> wished to remind Members that the </w:t>
      </w:r>
      <w:r w:rsidRPr="00823524">
        <w:rPr>
          <w:rFonts w:eastAsia="휴먼명조"/>
          <w:iCs/>
        </w:rPr>
        <w:t>Commission uses</w:t>
      </w:r>
      <w:r w:rsidRPr="0058028F">
        <w:rPr>
          <w:rFonts w:eastAsia="휴먼명조"/>
        </w:rPr>
        <w:t xml:space="preserve"> the</w:t>
      </w:r>
      <w:r>
        <w:rPr>
          <w:rFonts w:eastAsia="휴먼명조"/>
        </w:rPr>
        <w:t xml:space="preserve"> common names provided for species in the FAO Terminology Database.</w:t>
      </w:r>
    </w:p>
    <w:p w14:paraId="25CFB8CF" w14:textId="77777777" w:rsidR="00053BBB" w:rsidRPr="009808D6" w:rsidRDefault="00053BBB" w:rsidP="00053BBB">
      <w:pPr>
        <w:pStyle w:val="NormalWeb"/>
        <w:spacing w:before="0" w:beforeAutospacing="0" w:after="240" w:afterAutospacing="0"/>
        <w:ind w:left="1417"/>
        <w:jc w:val="both"/>
        <w:rPr>
          <w:bCs/>
          <w:sz w:val="20"/>
          <w:szCs w:val="20"/>
          <w:lang w:val="en-IE"/>
        </w:rPr>
      </w:pPr>
      <w:r w:rsidRPr="009808D6">
        <w:rPr>
          <w:bCs/>
          <w:sz w:val="20"/>
          <w:szCs w:val="20"/>
          <w:lang w:val="en-IE"/>
        </w:rPr>
        <w:t>The Commission did not agree to delete the text in Section 2.4.4</w:t>
      </w:r>
      <w:r>
        <w:rPr>
          <w:bCs/>
          <w:sz w:val="20"/>
          <w:szCs w:val="20"/>
          <w:lang w:val="en-IE"/>
        </w:rPr>
        <w:t>,</w:t>
      </w:r>
      <w:r w:rsidRPr="009808D6">
        <w:rPr>
          <w:bCs/>
          <w:sz w:val="20"/>
          <w:szCs w:val="20"/>
          <w:lang w:val="en-IE"/>
        </w:rPr>
        <w:t xml:space="preserve"> </w:t>
      </w:r>
      <w:r w:rsidRPr="0041367F">
        <w:rPr>
          <w:bCs/>
          <w:sz w:val="20"/>
          <w:szCs w:val="20"/>
          <w:lang w:val="en-IE"/>
        </w:rPr>
        <w:t>Breeding resistant strains</w:t>
      </w:r>
      <w:r>
        <w:rPr>
          <w:bCs/>
          <w:sz w:val="20"/>
          <w:szCs w:val="20"/>
          <w:lang w:val="en-IE"/>
        </w:rPr>
        <w:t xml:space="preserve">, as it contains relevant and useful information. </w:t>
      </w:r>
    </w:p>
    <w:p w14:paraId="2CF1B1B8" w14:textId="77777777" w:rsidR="00053BBB" w:rsidRDefault="00053BBB" w:rsidP="00053BBB">
      <w:pPr>
        <w:pStyle w:val="NormalWeb"/>
        <w:spacing w:before="0" w:beforeAutospacing="0" w:after="240" w:afterAutospacing="0"/>
        <w:ind w:left="1417"/>
        <w:jc w:val="both"/>
        <w:rPr>
          <w:sz w:val="20"/>
          <w:szCs w:val="20"/>
          <w:lang w:val="en-IE"/>
        </w:rPr>
      </w:pPr>
      <w:r w:rsidRPr="009808D6">
        <w:rPr>
          <w:bCs/>
          <w:sz w:val="20"/>
          <w:szCs w:val="20"/>
          <w:lang w:val="en-IE"/>
        </w:rPr>
        <w:t xml:space="preserve">The Commission did not agree to </w:t>
      </w:r>
      <w:r>
        <w:rPr>
          <w:bCs/>
          <w:sz w:val="20"/>
          <w:szCs w:val="20"/>
          <w:lang w:val="en-IE"/>
        </w:rPr>
        <w:t xml:space="preserve">proposed amendments to </w:t>
      </w:r>
      <w:r w:rsidRPr="00E46611">
        <w:rPr>
          <w:sz w:val="20"/>
          <w:szCs w:val="20"/>
          <w:lang w:val="en-IE"/>
        </w:rPr>
        <w:t>Section 3.1</w:t>
      </w:r>
      <w:r>
        <w:rPr>
          <w:sz w:val="20"/>
          <w:szCs w:val="20"/>
          <w:lang w:val="en-IE"/>
        </w:rPr>
        <w:t>,</w:t>
      </w:r>
      <w:r w:rsidRPr="00E46611">
        <w:rPr>
          <w:sz w:val="20"/>
          <w:szCs w:val="20"/>
          <w:lang w:val="en-IE"/>
        </w:rPr>
        <w:t xml:space="preserve"> </w:t>
      </w:r>
      <w:r w:rsidRPr="0041367F">
        <w:rPr>
          <w:sz w:val="20"/>
          <w:szCs w:val="20"/>
          <w:lang w:val="en-IE"/>
        </w:rPr>
        <w:t>Selection of populations and individual specimens</w:t>
      </w:r>
      <w:r>
        <w:rPr>
          <w:i/>
          <w:iCs/>
          <w:sz w:val="20"/>
          <w:szCs w:val="20"/>
          <w:lang w:val="en-IE"/>
        </w:rPr>
        <w:t>,</w:t>
      </w:r>
      <w:r w:rsidRPr="00E46611">
        <w:rPr>
          <w:sz w:val="20"/>
          <w:szCs w:val="20"/>
          <w:lang w:val="en-IE"/>
        </w:rPr>
        <w:t xml:space="preserve"> </w:t>
      </w:r>
      <w:r>
        <w:rPr>
          <w:sz w:val="20"/>
          <w:szCs w:val="20"/>
          <w:lang w:val="en-IE"/>
        </w:rPr>
        <w:t xml:space="preserve">as the text provides useful guidance. The Section was </w:t>
      </w:r>
      <w:r w:rsidRPr="00E46611">
        <w:rPr>
          <w:sz w:val="20"/>
          <w:szCs w:val="20"/>
          <w:lang w:val="en-IE"/>
        </w:rPr>
        <w:t>harmonise</w:t>
      </w:r>
      <w:r>
        <w:rPr>
          <w:sz w:val="20"/>
          <w:szCs w:val="20"/>
          <w:lang w:val="en-IE"/>
        </w:rPr>
        <w:t xml:space="preserve">d </w:t>
      </w:r>
      <w:r w:rsidRPr="00E46611">
        <w:rPr>
          <w:sz w:val="20"/>
          <w:szCs w:val="20"/>
          <w:lang w:val="en-IE"/>
        </w:rPr>
        <w:t>with the corresponding Section in Chapter</w:t>
      </w:r>
      <w:r>
        <w:rPr>
          <w:sz w:val="20"/>
          <w:szCs w:val="20"/>
          <w:lang w:val="en-IE"/>
        </w:rPr>
        <w:t xml:space="preserve"> 2.3.4.</w:t>
      </w:r>
    </w:p>
    <w:p w14:paraId="4714B350" w14:textId="77777777" w:rsidR="001D5EB7" w:rsidRDefault="001D5EB7">
      <w:pPr>
        <w:rPr>
          <w:rFonts w:eastAsia="Arial" w:cs="Times New Roman"/>
          <w:bCs/>
          <w:szCs w:val="20"/>
          <w:lang w:val="en-IE" w:eastAsia="fr-FR"/>
        </w:rPr>
      </w:pPr>
      <w:r>
        <w:rPr>
          <w:rFonts w:eastAsia="Arial"/>
          <w:bCs/>
          <w:szCs w:val="20"/>
          <w:lang w:val="en-IE"/>
        </w:rPr>
        <w:br w:type="page"/>
      </w:r>
    </w:p>
    <w:p w14:paraId="4F3BB57C" w14:textId="0C377874" w:rsidR="00053BBB" w:rsidRDefault="00053BBB" w:rsidP="00053BBB">
      <w:pPr>
        <w:pStyle w:val="NormalWeb"/>
        <w:spacing w:before="0" w:beforeAutospacing="0" w:after="240" w:afterAutospacing="0"/>
        <w:ind w:left="1417"/>
        <w:jc w:val="both"/>
        <w:rPr>
          <w:rFonts w:eastAsia="Arial"/>
          <w:bCs/>
          <w:sz w:val="20"/>
          <w:szCs w:val="20"/>
          <w:lang w:val="en-IE"/>
        </w:rPr>
      </w:pPr>
      <w:r>
        <w:rPr>
          <w:rFonts w:eastAsia="Arial"/>
          <w:bCs/>
          <w:sz w:val="20"/>
          <w:szCs w:val="20"/>
          <w:lang w:val="en-IE"/>
        </w:rPr>
        <w:lastRenderedPageBreak/>
        <w:t xml:space="preserve">Proposed deletions to paragraphs in Section 3.5.1, </w:t>
      </w:r>
      <w:r w:rsidRPr="0041367F">
        <w:rPr>
          <w:rFonts w:eastAsia="Arial"/>
          <w:bCs/>
          <w:sz w:val="20"/>
          <w:szCs w:val="20"/>
          <w:lang w:val="en-IE"/>
        </w:rPr>
        <w:t>Samples for pathogen isolation</w:t>
      </w:r>
      <w:r>
        <w:rPr>
          <w:rFonts w:eastAsia="Arial"/>
          <w:bCs/>
          <w:sz w:val="20"/>
          <w:szCs w:val="20"/>
          <w:lang w:val="en-IE"/>
        </w:rPr>
        <w:t>, were not accepted as no rationale was provided and the text was considered valuable.</w:t>
      </w:r>
    </w:p>
    <w:p w14:paraId="40AE477D" w14:textId="77777777" w:rsidR="00053BBB" w:rsidRPr="0050410C" w:rsidRDefault="00053BBB" w:rsidP="00053BBB">
      <w:pPr>
        <w:pStyle w:val="NormalWeb"/>
        <w:spacing w:before="0" w:beforeAutospacing="0" w:after="240" w:afterAutospacing="0"/>
        <w:ind w:left="1417"/>
        <w:jc w:val="both"/>
        <w:rPr>
          <w:rFonts w:eastAsia="Arial"/>
          <w:bCs/>
          <w:sz w:val="20"/>
          <w:szCs w:val="20"/>
          <w:lang w:val="en-IE"/>
        </w:rPr>
      </w:pPr>
      <w:r w:rsidRPr="0050410C">
        <w:rPr>
          <w:rFonts w:eastAsia="Arial"/>
          <w:bCs/>
          <w:sz w:val="20"/>
          <w:szCs w:val="20"/>
          <w:lang w:val="en-IE"/>
        </w:rPr>
        <w:t>Technical comments on Section 4.4</w:t>
      </w:r>
      <w:r>
        <w:rPr>
          <w:rFonts w:eastAsia="Arial"/>
          <w:bCs/>
          <w:sz w:val="20"/>
          <w:szCs w:val="20"/>
          <w:lang w:val="en-IE"/>
        </w:rPr>
        <w:t>,</w:t>
      </w:r>
      <w:r w:rsidRPr="0050410C">
        <w:rPr>
          <w:rFonts w:eastAsia="Arial"/>
          <w:bCs/>
          <w:sz w:val="20"/>
          <w:szCs w:val="20"/>
          <w:lang w:val="en-IE"/>
        </w:rPr>
        <w:t xml:space="preserve"> </w:t>
      </w:r>
      <w:r w:rsidRPr="0041367F">
        <w:rPr>
          <w:rFonts w:eastAsia="Arial"/>
          <w:bCs/>
          <w:sz w:val="20"/>
          <w:szCs w:val="20"/>
          <w:lang w:val="en-IE"/>
        </w:rPr>
        <w:t>Nucleic acid amplification</w:t>
      </w:r>
      <w:r>
        <w:rPr>
          <w:rFonts w:eastAsia="Arial"/>
          <w:bCs/>
          <w:sz w:val="20"/>
          <w:szCs w:val="20"/>
          <w:lang w:val="en-IE"/>
        </w:rPr>
        <w:t>,</w:t>
      </w:r>
      <w:r w:rsidRPr="0050410C">
        <w:rPr>
          <w:rFonts w:eastAsia="Arial"/>
          <w:bCs/>
          <w:sz w:val="20"/>
          <w:szCs w:val="20"/>
          <w:lang w:val="en-IE"/>
        </w:rPr>
        <w:t xml:space="preserve"> and Section </w:t>
      </w:r>
      <w:r w:rsidRPr="0050410C">
        <w:rPr>
          <w:bCs/>
          <w:sz w:val="20"/>
          <w:szCs w:val="20"/>
          <w:lang w:val="en-IE"/>
        </w:rPr>
        <w:t>4.9.2</w:t>
      </w:r>
      <w:r>
        <w:rPr>
          <w:bCs/>
          <w:sz w:val="20"/>
          <w:szCs w:val="20"/>
          <w:lang w:val="en-IE"/>
        </w:rPr>
        <w:t>,</w:t>
      </w:r>
      <w:r w:rsidRPr="0050410C">
        <w:rPr>
          <w:bCs/>
          <w:sz w:val="20"/>
          <w:szCs w:val="20"/>
          <w:lang w:val="en-IE"/>
        </w:rPr>
        <w:t xml:space="preserve"> </w:t>
      </w:r>
      <w:r w:rsidRPr="0041367F">
        <w:rPr>
          <w:bCs/>
          <w:sz w:val="20"/>
          <w:szCs w:val="20"/>
          <w:lang w:val="en-IE"/>
        </w:rPr>
        <w:t>Indirect fluorescent antibody</w:t>
      </w:r>
      <w:r w:rsidRPr="0050410C">
        <w:rPr>
          <w:bCs/>
          <w:i/>
          <w:iCs/>
          <w:sz w:val="20"/>
          <w:szCs w:val="20"/>
          <w:lang w:val="en-IE"/>
        </w:rPr>
        <w:t xml:space="preserve"> </w:t>
      </w:r>
      <w:r w:rsidRPr="00F11E67">
        <w:rPr>
          <w:bCs/>
          <w:sz w:val="20"/>
          <w:szCs w:val="20"/>
          <w:lang w:val="en-IE"/>
        </w:rPr>
        <w:t>test</w:t>
      </w:r>
      <w:r>
        <w:rPr>
          <w:rFonts w:eastAsia="Arial"/>
          <w:bCs/>
          <w:sz w:val="20"/>
          <w:szCs w:val="20"/>
          <w:lang w:val="en-IE"/>
        </w:rPr>
        <w:t>,</w:t>
      </w:r>
      <w:r w:rsidRPr="0050410C">
        <w:rPr>
          <w:rFonts w:eastAsia="Arial"/>
          <w:bCs/>
          <w:sz w:val="20"/>
          <w:szCs w:val="20"/>
          <w:lang w:val="en-IE"/>
        </w:rPr>
        <w:t xml:space="preserve"> were referred to the OIE Reference Laboratory experts. </w:t>
      </w:r>
    </w:p>
    <w:p w14:paraId="78F96065" w14:textId="77777777" w:rsidR="00053BBB" w:rsidRDefault="00053BBB" w:rsidP="00053BBB">
      <w:pPr>
        <w:pStyle w:val="NormalWeb"/>
        <w:spacing w:before="0" w:beforeAutospacing="0" w:after="240" w:afterAutospacing="0"/>
        <w:ind w:left="1417"/>
        <w:jc w:val="both"/>
        <w:rPr>
          <w:rFonts w:eastAsia="Arial"/>
          <w:bCs/>
          <w:sz w:val="20"/>
          <w:szCs w:val="20"/>
          <w:lang w:val="en-IE"/>
        </w:rPr>
      </w:pPr>
      <w:r>
        <w:rPr>
          <w:rFonts w:eastAsia="Arial"/>
          <w:bCs/>
          <w:sz w:val="20"/>
          <w:szCs w:val="20"/>
          <w:lang w:val="en-IE"/>
        </w:rPr>
        <w:t xml:space="preserve">In Section 4.4.1, </w:t>
      </w:r>
      <w:r w:rsidRPr="00F11E67">
        <w:rPr>
          <w:sz w:val="20"/>
          <w:szCs w:val="20"/>
          <w:lang w:val="en-IE"/>
        </w:rPr>
        <w:t>Real-time RT-PCR</w:t>
      </w:r>
      <w:r w:rsidRPr="00F4112A">
        <w:rPr>
          <w:sz w:val="20"/>
          <w:szCs w:val="20"/>
          <w:lang w:val="en-IE"/>
        </w:rPr>
        <w:t xml:space="preserve">, </w:t>
      </w:r>
      <w:r>
        <w:rPr>
          <w:sz w:val="20"/>
          <w:szCs w:val="20"/>
          <w:lang w:val="en-IE"/>
        </w:rPr>
        <w:t xml:space="preserve">the Commission did not agree with </w:t>
      </w:r>
      <w:r w:rsidRPr="00F4112A">
        <w:rPr>
          <w:sz w:val="20"/>
          <w:szCs w:val="20"/>
          <w:lang w:val="en-IE"/>
        </w:rPr>
        <w:t>a</w:t>
      </w:r>
      <w:r w:rsidRPr="00F4112A">
        <w:rPr>
          <w:rFonts w:eastAsia="Arial"/>
          <w:bCs/>
          <w:sz w:val="20"/>
          <w:szCs w:val="20"/>
          <w:lang w:val="en-IE"/>
        </w:rPr>
        <w:t xml:space="preserve"> request to remove mention</w:t>
      </w:r>
      <w:r>
        <w:rPr>
          <w:rFonts w:eastAsia="Arial"/>
          <w:bCs/>
          <w:sz w:val="20"/>
          <w:szCs w:val="20"/>
          <w:lang w:val="en-IE"/>
        </w:rPr>
        <w:t>ing</w:t>
      </w:r>
      <w:r w:rsidRPr="00F4112A">
        <w:rPr>
          <w:rFonts w:eastAsia="Arial"/>
          <w:bCs/>
          <w:sz w:val="20"/>
          <w:szCs w:val="20"/>
          <w:lang w:val="en-IE"/>
        </w:rPr>
        <w:t xml:space="preserve"> of a commercial kit as the assay was validated using the kit</w:t>
      </w:r>
      <w:r>
        <w:rPr>
          <w:rFonts w:eastAsia="Arial"/>
          <w:bCs/>
          <w:sz w:val="20"/>
          <w:szCs w:val="20"/>
          <w:lang w:val="en-IE"/>
        </w:rPr>
        <w:t>. However, the Commission did note that its preference was to not refer to commercial products unless specific mention is warranted.</w:t>
      </w:r>
    </w:p>
    <w:p w14:paraId="11F408AB" w14:textId="77777777" w:rsidR="00053BBB" w:rsidRPr="0050410C" w:rsidRDefault="00053BBB" w:rsidP="00053BBB">
      <w:pPr>
        <w:pStyle w:val="NormalWeb"/>
        <w:spacing w:before="0" w:beforeAutospacing="0" w:after="240" w:afterAutospacing="0"/>
        <w:ind w:left="1417"/>
        <w:jc w:val="both"/>
        <w:rPr>
          <w:rFonts w:eastAsia="Arial"/>
          <w:bCs/>
          <w:sz w:val="20"/>
          <w:szCs w:val="20"/>
          <w:lang w:val="en-IE"/>
        </w:rPr>
      </w:pPr>
      <w:r w:rsidRPr="0050410C">
        <w:rPr>
          <w:rFonts w:eastAsia="Arial"/>
          <w:bCs/>
          <w:sz w:val="20"/>
          <w:szCs w:val="20"/>
          <w:lang w:val="en-IE"/>
        </w:rPr>
        <w:t xml:space="preserve">The </w:t>
      </w:r>
      <w:r w:rsidRPr="007C0B52">
        <w:rPr>
          <w:bCs/>
          <w:sz w:val="20"/>
          <w:szCs w:val="20"/>
          <w:lang w:val="en-IE"/>
        </w:rPr>
        <w:t>Commission</w:t>
      </w:r>
      <w:r w:rsidRPr="0050410C">
        <w:rPr>
          <w:rFonts w:eastAsia="Arial"/>
          <w:bCs/>
          <w:sz w:val="20"/>
          <w:szCs w:val="20"/>
          <w:lang w:val="en-IE"/>
        </w:rPr>
        <w:t xml:space="preserve"> did not agree to add </w:t>
      </w:r>
      <w:r>
        <w:rPr>
          <w:rFonts w:eastAsia="Arial"/>
          <w:bCs/>
          <w:sz w:val="20"/>
          <w:szCs w:val="20"/>
          <w:lang w:val="en-IE"/>
        </w:rPr>
        <w:t>a statement</w:t>
      </w:r>
      <w:r w:rsidRPr="0050410C">
        <w:rPr>
          <w:rFonts w:eastAsia="Arial"/>
          <w:bCs/>
          <w:sz w:val="20"/>
          <w:szCs w:val="20"/>
          <w:lang w:val="en-IE"/>
        </w:rPr>
        <w:t xml:space="preserve"> that the test has not been validated to Section 4.7</w:t>
      </w:r>
      <w:r>
        <w:rPr>
          <w:rFonts w:eastAsia="Arial"/>
          <w:bCs/>
          <w:sz w:val="20"/>
          <w:szCs w:val="20"/>
          <w:lang w:val="en-IE"/>
        </w:rPr>
        <w:t>,</w:t>
      </w:r>
      <w:r w:rsidRPr="0050410C">
        <w:rPr>
          <w:rFonts w:eastAsia="Arial"/>
          <w:bCs/>
          <w:sz w:val="20"/>
          <w:szCs w:val="20"/>
          <w:lang w:val="en-IE"/>
        </w:rPr>
        <w:t xml:space="preserve"> </w:t>
      </w:r>
      <w:r w:rsidRPr="0041367F">
        <w:rPr>
          <w:sz w:val="20"/>
          <w:szCs w:val="20"/>
          <w:lang w:val="en-IE"/>
        </w:rPr>
        <w:t>Real-time RT-PCR</w:t>
      </w:r>
      <w:r>
        <w:rPr>
          <w:sz w:val="20"/>
          <w:szCs w:val="20"/>
          <w:lang w:val="en-IE"/>
        </w:rPr>
        <w:t>,</w:t>
      </w:r>
      <w:r>
        <w:rPr>
          <w:i/>
          <w:iCs/>
          <w:sz w:val="20"/>
          <w:szCs w:val="20"/>
          <w:lang w:val="en-IE"/>
        </w:rPr>
        <w:t xml:space="preserve"> </w:t>
      </w:r>
      <w:r>
        <w:rPr>
          <w:sz w:val="20"/>
          <w:szCs w:val="20"/>
          <w:lang w:val="en-IE"/>
        </w:rPr>
        <w:t>because diagnostic performance has been partially evaluated and performance of the test has been compared with cell culture.</w:t>
      </w:r>
    </w:p>
    <w:p w14:paraId="59FD32E7" w14:textId="64F82378" w:rsidR="00053BBB" w:rsidRPr="005E78EF" w:rsidRDefault="00053BBB" w:rsidP="00053BBB">
      <w:pPr>
        <w:pStyle w:val="NormalWeb"/>
        <w:spacing w:before="0" w:beforeAutospacing="0" w:after="240" w:afterAutospacing="0"/>
        <w:ind w:left="1417"/>
        <w:jc w:val="both"/>
        <w:rPr>
          <w:rFonts w:eastAsia="Arial"/>
          <w:sz w:val="20"/>
          <w:szCs w:val="20"/>
          <w:lang w:val="en-IE"/>
        </w:rPr>
      </w:pPr>
      <w:r w:rsidRPr="0044501C">
        <w:rPr>
          <w:rFonts w:eastAsiaTheme="minorHAnsi"/>
          <w:sz w:val="20"/>
          <w:szCs w:val="20"/>
          <w:lang w:val="en-GB"/>
        </w:rPr>
        <w:t xml:space="preserve">The revised </w:t>
      </w:r>
      <w:r w:rsidRPr="005E78EF">
        <w:rPr>
          <w:sz w:val="20"/>
          <w:szCs w:val="20"/>
          <w:lang w:val="en-IE"/>
        </w:rPr>
        <w:t>Chapter 2.</w:t>
      </w:r>
      <w:r>
        <w:rPr>
          <w:sz w:val="20"/>
          <w:szCs w:val="20"/>
          <w:lang w:val="en-IE"/>
        </w:rPr>
        <w:t>3.10,</w:t>
      </w:r>
      <w:r w:rsidRPr="005E78EF">
        <w:rPr>
          <w:sz w:val="20"/>
          <w:szCs w:val="20"/>
          <w:lang w:val="en-IE"/>
        </w:rPr>
        <w:t xml:space="preserve"> </w:t>
      </w:r>
      <w:r w:rsidRPr="0041367F">
        <w:rPr>
          <w:rFonts w:eastAsia="Arial"/>
          <w:iCs/>
          <w:sz w:val="20"/>
          <w:szCs w:val="20"/>
          <w:lang w:val="en-IE"/>
        </w:rPr>
        <w:t>Infection with viral haemorrhagic septicaemia virus</w:t>
      </w:r>
      <w:r>
        <w:rPr>
          <w:rFonts w:eastAsia="Arial"/>
          <w:iCs/>
          <w:sz w:val="20"/>
          <w:szCs w:val="20"/>
          <w:lang w:val="en-IE"/>
        </w:rPr>
        <w:t>,</w:t>
      </w:r>
      <w:r w:rsidRPr="0044501C">
        <w:rPr>
          <w:rFonts w:eastAsiaTheme="minorHAnsi"/>
          <w:sz w:val="20"/>
          <w:szCs w:val="20"/>
          <w:lang w:val="en-GB"/>
        </w:rPr>
        <w:t xml:space="preserve"> </w:t>
      </w:r>
      <w:r w:rsidRPr="008C6DDD">
        <w:rPr>
          <w:rFonts w:eastAsiaTheme="minorHAnsi"/>
          <w:sz w:val="20"/>
          <w:szCs w:val="20"/>
          <w:lang w:val="en-IE"/>
        </w:rPr>
        <w:t xml:space="preserve">is </w:t>
      </w:r>
      <w:r>
        <w:rPr>
          <w:rFonts w:eastAsiaTheme="minorHAnsi"/>
          <w:sz w:val="20"/>
          <w:szCs w:val="20"/>
          <w:lang w:val="en-IE"/>
        </w:rPr>
        <w:t>presented in</w:t>
      </w:r>
      <w:r w:rsidRPr="008C6DDD">
        <w:rPr>
          <w:rFonts w:eastAsiaTheme="minorHAnsi"/>
          <w:sz w:val="20"/>
          <w:szCs w:val="20"/>
          <w:lang w:val="en-IE"/>
        </w:rPr>
        <w:t xml:space="preserve"> </w:t>
      </w:r>
      <w:hyperlink w:anchor="_Annex_14" w:history="1">
        <w:r w:rsidRPr="001677E0">
          <w:rPr>
            <w:rStyle w:val="Lienhypertexte"/>
            <w:rFonts w:eastAsiaTheme="minorHAnsi"/>
            <w:sz w:val="20"/>
            <w:szCs w:val="20"/>
            <w:lang w:val="en-IE"/>
          </w:rPr>
          <w:t>Annex </w:t>
        </w:r>
        <w:r w:rsidR="00F422BE" w:rsidRPr="001677E0">
          <w:rPr>
            <w:rStyle w:val="Lienhypertexte"/>
            <w:rFonts w:eastAsiaTheme="minorHAnsi"/>
            <w:sz w:val="20"/>
            <w:szCs w:val="20"/>
            <w:lang w:val="en-IE"/>
          </w:rPr>
          <w:t>14</w:t>
        </w:r>
        <w:r w:rsidRPr="00FD65D0">
          <w:rPr>
            <w:rStyle w:val="Lienhypertexte"/>
            <w:u w:val="none"/>
            <w:lang w:val="en-GB"/>
          </w:rPr>
          <w:t xml:space="preserve"> </w:t>
        </w:r>
      </w:hyperlink>
      <w:r w:rsidRPr="001730A0">
        <w:rPr>
          <w:rFonts w:eastAsiaTheme="minorHAnsi"/>
          <w:sz w:val="20"/>
          <w:szCs w:val="20"/>
          <w:lang w:val="en-IE"/>
        </w:rPr>
        <w:t>for Member comments. The adoption of the revised chapter has been postponed until the 89th General Session in May 2021. As the revised chapter has already undergone extensive consultation, Members are requested to only submit comments to address substantive issues that have not been considered previously</w:t>
      </w:r>
      <w:r w:rsidRPr="0044501C">
        <w:rPr>
          <w:rFonts w:eastAsiaTheme="minorHAnsi"/>
          <w:sz w:val="20"/>
          <w:szCs w:val="20"/>
          <w:lang w:val="en-GB"/>
        </w:rPr>
        <w:t>.</w:t>
      </w:r>
    </w:p>
    <w:p w14:paraId="6196BD41" w14:textId="54288DE3" w:rsidR="00053BBB" w:rsidRDefault="00053BBB" w:rsidP="001650EB">
      <w:pPr>
        <w:pStyle w:val="Titre2"/>
        <w:spacing w:before="0" w:after="240" w:line="240" w:lineRule="auto"/>
        <w:ind w:firstLine="270"/>
        <w:rPr>
          <w:b/>
          <w:bCs/>
          <w:lang w:val="en-IE"/>
        </w:rPr>
      </w:pPr>
      <w:bookmarkStart w:id="43" w:name="_Toc38028640"/>
      <w:r w:rsidRPr="001650EB">
        <w:rPr>
          <w:rFonts w:eastAsia="Arial"/>
          <w:b/>
          <w:bCs/>
          <w:lang w:val="en-IE"/>
        </w:rPr>
        <w:t>8.3.</w:t>
      </w:r>
      <w:r w:rsidRPr="001650EB">
        <w:rPr>
          <w:rFonts w:eastAsia="Arial"/>
          <w:b/>
          <w:bCs/>
          <w:lang w:val="en-IE"/>
        </w:rPr>
        <w:tab/>
      </w:r>
      <w:r w:rsidR="009A7DDA">
        <w:rPr>
          <w:b/>
          <w:bCs/>
          <w:lang w:val="en-IE"/>
        </w:rPr>
        <w:t>Texts for Member comments</w:t>
      </w:r>
      <w:bookmarkEnd w:id="43"/>
    </w:p>
    <w:p w14:paraId="6EE751AF" w14:textId="77777777" w:rsidR="00053BBB" w:rsidRDefault="00053BBB" w:rsidP="001650EB">
      <w:pPr>
        <w:pStyle w:val="para11"/>
        <w:ind w:left="720"/>
        <w:rPr>
          <w:lang w:val="en-IE"/>
        </w:rPr>
      </w:pPr>
      <w:r>
        <w:rPr>
          <w:lang w:val="en-IE"/>
        </w:rPr>
        <w:t xml:space="preserve">Members were reminded that the Aquatic Animals Commission has commenced the process of progressively reformatting the disease-specific chapters of the </w:t>
      </w:r>
      <w:r w:rsidRPr="00E068D8">
        <w:rPr>
          <w:i/>
          <w:lang w:val="en-IE"/>
        </w:rPr>
        <w:t>Aquatic Manual</w:t>
      </w:r>
      <w:r>
        <w:rPr>
          <w:lang w:val="en-IE"/>
        </w:rPr>
        <w:t xml:space="preserve"> into a new template. As the reformatted and updated chapters have substantial changes, at the last meeting in September 2019, the Commission agreed that only clean versions of the chapters would be provided in the report. Subsequent changes made to these initial revisions following </w:t>
      </w:r>
      <w:r w:rsidRPr="00933D72">
        <w:rPr>
          <w:lang w:val="en-IE"/>
        </w:rPr>
        <w:t xml:space="preserve">Member </w:t>
      </w:r>
      <w:r>
        <w:rPr>
          <w:lang w:val="en-IE"/>
        </w:rPr>
        <w:t xml:space="preserve">comment would be indicated in the usual style (i.e. strikethrough for deletions and double underline for additions). </w:t>
      </w:r>
    </w:p>
    <w:p w14:paraId="3B359611" w14:textId="5AC50990" w:rsidR="00053BBB" w:rsidRPr="002F065D" w:rsidRDefault="00053BBB" w:rsidP="001650EB">
      <w:pPr>
        <w:pStyle w:val="para11"/>
        <w:ind w:left="720"/>
        <w:rPr>
          <w:lang w:val="en-IE"/>
        </w:rPr>
      </w:pPr>
      <w:r w:rsidRPr="002F065D">
        <w:rPr>
          <w:lang w:val="en-IE"/>
        </w:rPr>
        <w:t>A software generated document that compares the adopted version of a chapter and the proposed new text will be created. This comparison document will not be included in the Commission’s report but will be available on request from the OIE Standards Dep</w:t>
      </w:r>
      <w:r w:rsidR="009871A7">
        <w:rPr>
          <w:lang w:val="en-IE"/>
        </w:rPr>
        <w:t>artment</w:t>
      </w:r>
      <w:r w:rsidRPr="002F065D">
        <w:rPr>
          <w:lang w:val="en-IE"/>
        </w:rPr>
        <w:t xml:space="preserve"> (</w:t>
      </w:r>
      <w:hyperlink r:id="rId14" w:history="1">
        <w:r w:rsidRPr="002F065D">
          <w:rPr>
            <w:color w:val="0000FF"/>
            <w:u w:val="single"/>
            <w:lang w:eastAsia="en-GB"/>
          </w:rPr>
          <w:t>standards.dept@oie.int</w:t>
        </w:r>
      </w:hyperlink>
      <w:r w:rsidRPr="002F065D">
        <w:rPr>
          <w:lang w:eastAsia="en-GB"/>
        </w:rPr>
        <w:t>)</w:t>
      </w:r>
      <w:r w:rsidRPr="002F065D">
        <w:rPr>
          <w:lang w:val="en-IE"/>
        </w:rPr>
        <w:t xml:space="preserve">. </w:t>
      </w:r>
    </w:p>
    <w:p w14:paraId="11CAEECF" w14:textId="4503702A" w:rsidR="00053BBB" w:rsidRDefault="00053BBB" w:rsidP="00192F3E">
      <w:pPr>
        <w:pStyle w:val="Titre3"/>
        <w:spacing w:before="0" w:after="240" w:line="240" w:lineRule="auto"/>
        <w:ind w:firstLine="810"/>
        <w:rPr>
          <w:b/>
          <w:bCs/>
          <w:i w:val="0"/>
          <w:iCs/>
        </w:rPr>
      </w:pPr>
      <w:bookmarkStart w:id="44" w:name="_Toc38028641"/>
      <w:r w:rsidRPr="00192F3E">
        <w:rPr>
          <w:rFonts w:eastAsia="Arial"/>
          <w:b/>
          <w:bCs/>
          <w:i w:val="0"/>
          <w:iCs/>
          <w:lang w:val="en-IE"/>
        </w:rPr>
        <w:t>8.3.1.</w:t>
      </w:r>
      <w:r w:rsidRPr="00192F3E">
        <w:rPr>
          <w:rFonts w:eastAsia="Arial"/>
          <w:b/>
          <w:bCs/>
          <w:i w:val="0"/>
          <w:iCs/>
          <w:lang w:val="en-IE"/>
        </w:rPr>
        <w:tab/>
      </w:r>
      <w:r w:rsidRPr="00192F3E">
        <w:rPr>
          <w:b/>
          <w:bCs/>
          <w:i w:val="0"/>
          <w:iCs/>
        </w:rPr>
        <w:t xml:space="preserve">Infection with </w:t>
      </w:r>
      <w:r w:rsidRPr="00192F3E">
        <w:rPr>
          <w:b/>
          <w:bCs/>
        </w:rPr>
        <w:t>Gyrodactylus salaris</w:t>
      </w:r>
      <w:r w:rsidRPr="00192F3E">
        <w:rPr>
          <w:b/>
          <w:bCs/>
          <w:i w:val="0"/>
          <w:iCs/>
        </w:rPr>
        <w:t xml:space="preserve"> (Chapter 2.3.3)</w:t>
      </w:r>
      <w:bookmarkEnd w:id="44"/>
    </w:p>
    <w:p w14:paraId="31382C81" w14:textId="77777777" w:rsidR="00053BBB" w:rsidRDefault="00053BBB" w:rsidP="00192F3E">
      <w:pPr>
        <w:pStyle w:val="para11"/>
        <w:ind w:left="1440"/>
        <w:rPr>
          <w:rFonts w:eastAsia="Arial"/>
        </w:rPr>
      </w:pPr>
      <w:r w:rsidRPr="0044501C">
        <w:t>The Commission reviewed Chapter 2.3.</w:t>
      </w:r>
      <w:r>
        <w:t>3,</w:t>
      </w:r>
      <w:r w:rsidRPr="0044501C">
        <w:t xml:space="preserve"> </w:t>
      </w:r>
      <w:r w:rsidRPr="0041367F">
        <w:rPr>
          <w:rFonts w:eastAsia="Arial"/>
          <w:iCs/>
        </w:rPr>
        <w:t xml:space="preserve">Infection with </w:t>
      </w:r>
      <w:r w:rsidRPr="0041367F">
        <w:rPr>
          <w:bCs/>
          <w:i/>
        </w:rPr>
        <w:t>Gyrodactylus</w:t>
      </w:r>
      <w:r w:rsidRPr="00932CAC">
        <w:rPr>
          <w:bCs/>
          <w:iCs/>
        </w:rPr>
        <w:t xml:space="preserve"> </w:t>
      </w:r>
      <w:r w:rsidRPr="0041367F">
        <w:rPr>
          <w:bCs/>
          <w:i/>
        </w:rPr>
        <w:t>salaris</w:t>
      </w:r>
      <w:r w:rsidRPr="0044501C">
        <w:rPr>
          <w:rFonts w:eastAsia="Arial"/>
        </w:rPr>
        <w:t xml:space="preserve">, which had been updated </w:t>
      </w:r>
      <w:r>
        <w:rPr>
          <w:lang w:val="en-IE"/>
        </w:rPr>
        <w:t>with the assistance of</w:t>
      </w:r>
      <w:r w:rsidRPr="005E78EF">
        <w:rPr>
          <w:lang w:val="en-IE"/>
        </w:rPr>
        <w:t xml:space="preserve"> </w:t>
      </w:r>
      <w:r>
        <w:rPr>
          <w:lang w:val="en-IE"/>
        </w:rPr>
        <w:t xml:space="preserve">the OIE Reference Laboratory </w:t>
      </w:r>
      <w:r w:rsidRPr="005E78EF">
        <w:rPr>
          <w:lang w:val="en-IE"/>
        </w:rPr>
        <w:t xml:space="preserve">expert </w:t>
      </w:r>
      <w:r w:rsidRPr="0044501C">
        <w:rPr>
          <w:rFonts w:eastAsia="Arial"/>
        </w:rPr>
        <w:t xml:space="preserve">and reformatted using the new disease chapter template. </w:t>
      </w:r>
      <w:r>
        <w:rPr>
          <w:rFonts w:eastAsia="Arial"/>
        </w:rPr>
        <w:t xml:space="preserve">The main amendments include an explanatory text on the taxonomy of </w:t>
      </w:r>
      <w:r w:rsidRPr="00ED4D21">
        <w:rPr>
          <w:rFonts w:eastAsia="Arial"/>
          <w:i/>
          <w:iCs/>
        </w:rPr>
        <w:t>G</w:t>
      </w:r>
      <w:r>
        <w:rPr>
          <w:rFonts w:eastAsia="Arial"/>
          <w:i/>
          <w:iCs/>
        </w:rPr>
        <w:t>. </w:t>
      </w:r>
      <w:r w:rsidRPr="00ED4D21">
        <w:rPr>
          <w:rFonts w:eastAsia="Arial"/>
          <w:i/>
          <w:iCs/>
        </w:rPr>
        <w:t>thymalli</w:t>
      </w:r>
      <w:r>
        <w:rPr>
          <w:rFonts w:eastAsia="Arial"/>
          <w:i/>
          <w:iCs/>
        </w:rPr>
        <w:t xml:space="preserve"> </w:t>
      </w:r>
      <w:r w:rsidRPr="002F065D">
        <w:rPr>
          <w:rFonts w:eastAsia="Arial"/>
        </w:rPr>
        <w:t>and</w:t>
      </w:r>
      <w:r>
        <w:rPr>
          <w:rFonts w:eastAsia="Arial"/>
          <w:i/>
          <w:iCs/>
        </w:rPr>
        <w:t xml:space="preserve"> </w:t>
      </w:r>
      <w:r w:rsidRPr="00591EFE">
        <w:rPr>
          <w:i/>
          <w:iCs/>
          <w:lang w:val="en-ZA"/>
        </w:rPr>
        <w:t>G</w:t>
      </w:r>
      <w:r>
        <w:rPr>
          <w:i/>
          <w:iCs/>
          <w:lang w:val="en-ZA"/>
        </w:rPr>
        <w:t>.</w:t>
      </w:r>
      <w:r>
        <w:t> </w:t>
      </w:r>
      <w:r w:rsidRPr="00591EFE">
        <w:rPr>
          <w:i/>
          <w:iCs/>
          <w:lang w:val="en-ZA"/>
        </w:rPr>
        <w:t>salaris</w:t>
      </w:r>
      <w:r>
        <w:rPr>
          <w:rFonts w:eastAsia="Arial"/>
        </w:rPr>
        <w:t xml:space="preserve"> and the approach taken in the </w:t>
      </w:r>
      <w:r w:rsidRPr="00ED4D21">
        <w:rPr>
          <w:rFonts w:eastAsia="Arial"/>
          <w:i/>
          <w:iCs/>
        </w:rPr>
        <w:t>Aquatic Manual</w:t>
      </w:r>
      <w:r w:rsidRPr="00D36760">
        <w:rPr>
          <w:rFonts w:eastAsia="Arial"/>
        </w:rPr>
        <w:t xml:space="preserve"> </w:t>
      </w:r>
      <w:r>
        <w:rPr>
          <w:rFonts w:eastAsia="Arial"/>
        </w:rPr>
        <w:t>to distinguish these species</w:t>
      </w:r>
      <w:r w:rsidRPr="00823524">
        <w:rPr>
          <w:bCs/>
          <w:iCs/>
          <w:lang w:val="en-IE"/>
        </w:rPr>
        <w:t>;</w:t>
      </w:r>
      <w:r>
        <w:rPr>
          <w:bCs/>
          <w:lang w:val="en-IE"/>
        </w:rPr>
        <w:t xml:space="preserve"> an updated section on </w:t>
      </w:r>
      <w:r w:rsidRPr="007F35B1">
        <w:rPr>
          <w:lang w:val="en-IE"/>
        </w:rPr>
        <w:t>specimen selection, sample collection, transportation and handling</w:t>
      </w:r>
      <w:r>
        <w:rPr>
          <w:bCs/>
          <w:lang w:val="en-IE"/>
        </w:rPr>
        <w:t xml:space="preserve">; inclusion of an eDNA </w:t>
      </w:r>
      <w:r w:rsidRPr="00591EFE">
        <w:rPr>
          <w:lang w:val="en-ZA"/>
        </w:rPr>
        <w:t xml:space="preserve">method for the detection of </w:t>
      </w:r>
      <w:r w:rsidRPr="00591EFE">
        <w:rPr>
          <w:i/>
          <w:iCs/>
          <w:lang w:val="en-ZA"/>
        </w:rPr>
        <w:t>G</w:t>
      </w:r>
      <w:r>
        <w:rPr>
          <w:i/>
          <w:iCs/>
          <w:lang w:val="en-ZA"/>
        </w:rPr>
        <w:t>.</w:t>
      </w:r>
      <w:r>
        <w:t> </w:t>
      </w:r>
      <w:r w:rsidRPr="00591EFE">
        <w:rPr>
          <w:i/>
          <w:iCs/>
          <w:lang w:val="en-ZA"/>
        </w:rPr>
        <w:t>salaris</w:t>
      </w:r>
      <w:r>
        <w:rPr>
          <w:bCs/>
          <w:lang w:val="en-IE"/>
        </w:rPr>
        <w:t xml:space="preserve">; and revised definitions of suspect and confirmed cases in apparently healthy and clinically affected animals. </w:t>
      </w:r>
    </w:p>
    <w:p w14:paraId="53101845" w14:textId="4BCEB698" w:rsidR="00053BBB" w:rsidRPr="00775FC4" w:rsidRDefault="00053BBB" w:rsidP="00053BBB">
      <w:pPr>
        <w:pStyle w:val="para11"/>
        <w:ind w:left="1440"/>
        <w:rPr>
          <w:rFonts w:eastAsia="Arial"/>
          <w:lang w:val="en-IE"/>
        </w:rPr>
      </w:pPr>
      <w:r w:rsidRPr="0044501C">
        <w:rPr>
          <w:rFonts w:eastAsiaTheme="minorHAnsi"/>
        </w:rPr>
        <w:t xml:space="preserve">The revised </w:t>
      </w:r>
      <w:r w:rsidRPr="0044501C">
        <w:t xml:space="preserve">Chapter </w:t>
      </w:r>
      <w:r w:rsidRPr="00EB22E3">
        <w:rPr>
          <w:rFonts w:eastAsia="Arial"/>
          <w:lang w:val="en-IE"/>
        </w:rPr>
        <w:t>2</w:t>
      </w:r>
      <w:r w:rsidRPr="006E2D9B">
        <w:rPr>
          <w:rFonts w:eastAsia="Arial"/>
          <w:lang w:val="en-IE"/>
        </w:rPr>
        <w:t>.3.</w:t>
      </w:r>
      <w:r>
        <w:rPr>
          <w:rFonts w:eastAsia="Arial"/>
          <w:lang w:val="en-IE"/>
        </w:rPr>
        <w:t>3,</w:t>
      </w:r>
      <w:r w:rsidRPr="006E2D9B">
        <w:rPr>
          <w:rFonts w:eastAsia="Arial"/>
          <w:lang w:val="en-IE"/>
        </w:rPr>
        <w:t xml:space="preserve"> </w:t>
      </w:r>
      <w:r w:rsidRPr="00E916F1">
        <w:rPr>
          <w:rFonts w:eastAsia="Arial"/>
          <w:iCs/>
        </w:rPr>
        <w:t xml:space="preserve">Infection with </w:t>
      </w:r>
      <w:r w:rsidRPr="00E916F1">
        <w:rPr>
          <w:bCs/>
          <w:i/>
        </w:rPr>
        <w:t>Gyrodactylus</w:t>
      </w:r>
      <w:r w:rsidRPr="00932CAC">
        <w:rPr>
          <w:bCs/>
          <w:iCs/>
        </w:rPr>
        <w:t xml:space="preserve"> </w:t>
      </w:r>
      <w:r w:rsidRPr="00E916F1">
        <w:rPr>
          <w:bCs/>
          <w:i/>
        </w:rPr>
        <w:t>salaris</w:t>
      </w:r>
      <w:r>
        <w:rPr>
          <w:bCs/>
          <w:i/>
        </w:rPr>
        <w:t>,</w:t>
      </w:r>
      <w:r w:rsidRPr="00932CAC" w:rsidDel="00932CAC">
        <w:rPr>
          <w:rFonts w:eastAsia="Arial"/>
          <w:i/>
        </w:rPr>
        <w:t xml:space="preserve"> </w:t>
      </w:r>
      <w:r w:rsidRPr="0044501C">
        <w:rPr>
          <w:rFonts w:eastAsiaTheme="minorHAnsi"/>
        </w:rPr>
        <w:t xml:space="preserve">is </w:t>
      </w:r>
      <w:r w:rsidRPr="0044501C">
        <w:rPr>
          <w:lang w:eastAsia="en-GB"/>
        </w:rPr>
        <w:t xml:space="preserve">presented </w:t>
      </w:r>
      <w:r>
        <w:rPr>
          <w:lang w:eastAsia="en-GB"/>
        </w:rPr>
        <w:t xml:space="preserve">in </w:t>
      </w:r>
      <w:hyperlink w:anchor="_Annex_15" w:history="1">
        <w:r w:rsidRPr="001677E0">
          <w:rPr>
            <w:rStyle w:val="Lienhypertexte"/>
            <w:rFonts w:eastAsiaTheme="minorHAnsi"/>
            <w:bCs/>
          </w:rPr>
          <w:t>Annex </w:t>
        </w:r>
        <w:r w:rsidR="00F422BE" w:rsidRPr="001677E0">
          <w:rPr>
            <w:rStyle w:val="Lienhypertexte"/>
            <w:rFonts w:eastAsiaTheme="minorHAnsi"/>
            <w:bCs/>
          </w:rPr>
          <w:t>15</w:t>
        </w:r>
        <w:r w:rsidRPr="0062639E">
          <w:rPr>
            <w:rStyle w:val="Lienhypertexte"/>
            <w:rFonts w:eastAsiaTheme="minorHAnsi"/>
            <w:b/>
            <w:u w:val="none"/>
          </w:rPr>
          <w:t xml:space="preserve"> </w:t>
        </w:r>
      </w:hyperlink>
      <w:r w:rsidRPr="00626F1C">
        <w:rPr>
          <w:rFonts w:eastAsiaTheme="minorHAnsi"/>
        </w:rPr>
        <w:t>f</w:t>
      </w:r>
      <w:r w:rsidRPr="0044501C">
        <w:rPr>
          <w:rFonts w:eastAsiaTheme="minorHAnsi"/>
        </w:rPr>
        <w:t>or Member comment</w:t>
      </w:r>
      <w:r>
        <w:rPr>
          <w:rFonts w:eastAsiaTheme="minorHAnsi"/>
        </w:rPr>
        <w:t>s</w:t>
      </w:r>
      <w:r w:rsidRPr="0044501C">
        <w:rPr>
          <w:rFonts w:eastAsiaTheme="minorHAnsi"/>
        </w:rPr>
        <w:t>.</w:t>
      </w:r>
    </w:p>
    <w:p w14:paraId="2B7FECE1" w14:textId="67BF0C6A" w:rsidR="00053BBB" w:rsidRDefault="00053BBB" w:rsidP="00192F3E">
      <w:pPr>
        <w:pStyle w:val="Titre3"/>
        <w:tabs>
          <w:tab w:val="left" w:pos="1440"/>
        </w:tabs>
        <w:spacing w:before="0" w:after="240" w:line="240" w:lineRule="auto"/>
        <w:ind w:left="180" w:firstLine="630"/>
        <w:rPr>
          <w:b/>
          <w:bCs/>
          <w:i w:val="0"/>
          <w:iCs/>
        </w:rPr>
      </w:pPr>
      <w:bookmarkStart w:id="45" w:name="_Toc38028642"/>
      <w:r w:rsidRPr="00192F3E">
        <w:rPr>
          <w:rFonts w:eastAsia="Arial"/>
          <w:b/>
          <w:bCs/>
          <w:i w:val="0"/>
          <w:iCs/>
          <w:lang w:val="en-IE"/>
        </w:rPr>
        <w:t>8.3.2.</w:t>
      </w:r>
      <w:r w:rsidRPr="00192F3E">
        <w:rPr>
          <w:rFonts w:eastAsia="Arial"/>
          <w:b/>
          <w:bCs/>
          <w:i w:val="0"/>
          <w:iCs/>
          <w:lang w:val="en-IE"/>
        </w:rPr>
        <w:tab/>
      </w:r>
      <w:r w:rsidRPr="00192F3E">
        <w:rPr>
          <w:b/>
          <w:bCs/>
          <w:i w:val="0"/>
          <w:iCs/>
        </w:rPr>
        <w:t>Infection with salmonid alphavirus (Chapter 2.3.6)</w:t>
      </w:r>
      <w:bookmarkEnd w:id="45"/>
    </w:p>
    <w:p w14:paraId="65AF3719" w14:textId="77777777" w:rsidR="00053BBB" w:rsidRPr="005E4590" w:rsidRDefault="00053BBB" w:rsidP="00192F3E">
      <w:pPr>
        <w:pStyle w:val="NormalWeb"/>
        <w:spacing w:before="0" w:beforeAutospacing="0" w:after="240" w:afterAutospacing="0"/>
        <w:ind w:left="1418"/>
        <w:jc w:val="both"/>
        <w:rPr>
          <w:sz w:val="20"/>
          <w:szCs w:val="20"/>
          <w:lang w:val="en-IE"/>
        </w:rPr>
      </w:pPr>
      <w:r w:rsidRPr="005E4590">
        <w:rPr>
          <w:sz w:val="20"/>
          <w:szCs w:val="20"/>
          <w:lang w:val="en-IE"/>
        </w:rPr>
        <w:t>The Commission reviewed Chapter 2.3.6</w:t>
      </w:r>
      <w:r>
        <w:rPr>
          <w:sz w:val="20"/>
          <w:szCs w:val="20"/>
          <w:lang w:val="en-IE"/>
        </w:rPr>
        <w:t>,</w:t>
      </w:r>
      <w:r w:rsidRPr="005E4590">
        <w:rPr>
          <w:sz w:val="20"/>
          <w:szCs w:val="20"/>
          <w:lang w:val="en-IE"/>
        </w:rPr>
        <w:t xml:space="preserve"> </w:t>
      </w:r>
      <w:r w:rsidRPr="0041367F">
        <w:rPr>
          <w:rFonts w:eastAsia="Arial"/>
          <w:iCs/>
          <w:sz w:val="20"/>
          <w:szCs w:val="20"/>
          <w:lang w:val="en-IE"/>
        </w:rPr>
        <w:t xml:space="preserve">Infection with </w:t>
      </w:r>
      <w:r w:rsidRPr="0041367F">
        <w:rPr>
          <w:iCs/>
          <w:sz w:val="20"/>
          <w:szCs w:val="20"/>
          <w:lang w:val="en-GB"/>
        </w:rPr>
        <w:t>salmonid alphavirus</w:t>
      </w:r>
      <w:r w:rsidRPr="005E4590">
        <w:rPr>
          <w:rFonts w:eastAsia="Arial"/>
          <w:sz w:val="20"/>
          <w:szCs w:val="20"/>
          <w:lang w:val="en-IE"/>
        </w:rPr>
        <w:t xml:space="preserve">, which had been updated </w:t>
      </w:r>
      <w:r w:rsidRPr="005E4590">
        <w:rPr>
          <w:sz w:val="20"/>
          <w:szCs w:val="20"/>
          <w:lang w:val="en-IE"/>
        </w:rPr>
        <w:t xml:space="preserve">by the OIE Reference Laboratory expert </w:t>
      </w:r>
      <w:r w:rsidRPr="005E4590">
        <w:rPr>
          <w:rFonts w:eastAsia="Arial"/>
          <w:sz w:val="20"/>
          <w:szCs w:val="20"/>
          <w:lang w:val="en-IE"/>
        </w:rPr>
        <w:t xml:space="preserve">and reformatted using the new disease chapter template. The main amendments include updated Sections on </w:t>
      </w:r>
      <w:r w:rsidRPr="005E4590">
        <w:rPr>
          <w:sz w:val="20"/>
          <w:szCs w:val="20"/>
          <w:lang w:val="en-IE"/>
        </w:rPr>
        <w:t>host factors</w:t>
      </w:r>
      <w:r>
        <w:rPr>
          <w:sz w:val="20"/>
          <w:szCs w:val="20"/>
          <w:lang w:val="en-IE"/>
        </w:rPr>
        <w:t>;</w:t>
      </w:r>
      <w:r w:rsidRPr="005E4590">
        <w:rPr>
          <w:sz w:val="20"/>
          <w:szCs w:val="20"/>
          <w:lang w:val="en-IE"/>
        </w:rPr>
        <w:t xml:space="preserve"> disease pattern</w:t>
      </w:r>
      <w:r>
        <w:rPr>
          <w:sz w:val="20"/>
          <w:szCs w:val="20"/>
          <w:lang w:val="en-IE"/>
        </w:rPr>
        <w:t>;</w:t>
      </w:r>
      <w:r w:rsidRPr="005E4590">
        <w:rPr>
          <w:rFonts w:eastAsia="Arial"/>
          <w:sz w:val="20"/>
          <w:szCs w:val="20"/>
          <w:lang w:val="en-IE"/>
        </w:rPr>
        <w:t xml:space="preserve"> </w:t>
      </w:r>
      <w:r w:rsidRPr="005E4590">
        <w:rPr>
          <w:sz w:val="20"/>
          <w:szCs w:val="20"/>
          <w:lang w:val="en-IE"/>
        </w:rPr>
        <w:t>and specimen selection, sample collection, transportation and handling</w:t>
      </w:r>
      <w:r w:rsidRPr="005E4590">
        <w:rPr>
          <w:bCs/>
          <w:sz w:val="20"/>
          <w:szCs w:val="20"/>
          <w:lang w:val="en-IE"/>
        </w:rPr>
        <w:t xml:space="preserve">; </w:t>
      </w:r>
      <w:r>
        <w:rPr>
          <w:bCs/>
          <w:sz w:val="20"/>
          <w:szCs w:val="20"/>
          <w:lang w:val="en-IE"/>
        </w:rPr>
        <w:t xml:space="preserve">updated text on histopathology and cytopathology; </w:t>
      </w:r>
      <w:r w:rsidRPr="005E4590">
        <w:rPr>
          <w:bCs/>
          <w:sz w:val="20"/>
          <w:szCs w:val="20"/>
          <w:lang w:val="en-IE"/>
        </w:rPr>
        <w:t>and revised definitions of suspect and confirmed case</w:t>
      </w:r>
      <w:r>
        <w:rPr>
          <w:bCs/>
          <w:sz w:val="20"/>
          <w:szCs w:val="20"/>
          <w:lang w:val="en-IE"/>
        </w:rPr>
        <w:t>s</w:t>
      </w:r>
      <w:r w:rsidRPr="005E4590">
        <w:rPr>
          <w:bCs/>
          <w:sz w:val="20"/>
          <w:szCs w:val="20"/>
          <w:lang w:val="en-IE"/>
        </w:rPr>
        <w:t xml:space="preserve"> in apparently healthy and clinically affected animals.</w:t>
      </w:r>
    </w:p>
    <w:p w14:paraId="0DE19F3D" w14:textId="65D3F755" w:rsidR="00053BBB" w:rsidRPr="00775FC4" w:rsidRDefault="00053BBB" w:rsidP="00053BBB">
      <w:pPr>
        <w:pStyle w:val="para11"/>
        <w:ind w:left="1418"/>
        <w:rPr>
          <w:rFonts w:eastAsia="Arial"/>
          <w:lang w:val="en-IE"/>
        </w:rPr>
      </w:pPr>
      <w:r w:rsidRPr="0044501C">
        <w:rPr>
          <w:rFonts w:eastAsiaTheme="minorHAnsi"/>
        </w:rPr>
        <w:lastRenderedPageBreak/>
        <w:t xml:space="preserve">The revised </w:t>
      </w:r>
      <w:r w:rsidRPr="0044501C">
        <w:t xml:space="preserve">Chapter </w:t>
      </w:r>
      <w:r w:rsidRPr="00EB22E3">
        <w:rPr>
          <w:rFonts w:eastAsia="Arial"/>
          <w:lang w:val="en-IE"/>
        </w:rPr>
        <w:t>2</w:t>
      </w:r>
      <w:r w:rsidRPr="006E2D9B">
        <w:rPr>
          <w:rFonts w:eastAsia="Arial"/>
          <w:lang w:val="en-IE"/>
        </w:rPr>
        <w:t>.3.</w:t>
      </w:r>
      <w:r>
        <w:rPr>
          <w:rFonts w:eastAsia="Arial"/>
          <w:lang w:val="en-IE"/>
        </w:rPr>
        <w:t>6,</w:t>
      </w:r>
      <w:r w:rsidRPr="006E2D9B">
        <w:rPr>
          <w:rFonts w:eastAsia="Arial"/>
          <w:lang w:val="en-IE"/>
        </w:rPr>
        <w:t xml:space="preserve"> </w:t>
      </w:r>
      <w:r w:rsidRPr="00932CAC">
        <w:rPr>
          <w:rFonts w:eastAsia="Arial"/>
          <w:iCs/>
        </w:rPr>
        <w:t>Infection with</w:t>
      </w:r>
      <w:r w:rsidRPr="0041367F">
        <w:rPr>
          <w:rFonts w:eastAsia="Arial"/>
          <w:iCs/>
        </w:rPr>
        <w:t xml:space="preserve"> </w:t>
      </w:r>
      <w:r w:rsidRPr="00932CAC">
        <w:rPr>
          <w:iCs/>
        </w:rPr>
        <w:t>salmonid alphavirus</w:t>
      </w:r>
      <w:r>
        <w:rPr>
          <w:iCs/>
        </w:rPr>
        <w:t>,</w:t>
      </w:r>
      <w:r w:rsidRPr="0044501C">
        <w:rPr>
          <w:rFonts w:eastAsiaTheme="minorHAnsi"/>
        </w:rPr>
        <w:t xml:space="preserve"> is </w:t>
      </w:r>
      <w:r w:rsidRPr="0044501C">
        <w:rPr>
          <w:lang w:eastAsia="en-GB"/>
        </w:rPr>
        <w:t xml:space="preserve">presented </w:t>
      </w:r>
      <w:r>
        <w:rPr>
          <w:lang w:eastAsia="en-GB"/>
        </w:rPr>
        <w:t xml:space="preserve">in </w:t>
      </w:r>
      <w:hyperlink w:anchor="_Annex_16" w:history="1">
        <w:r w:rsidRPr="001677E0">
          <w:rPr>
            <w:rStyle w:val="Lienhypertexte"/>
            <w:rFonts w:eastAsiaTheme="minorHAnsi"/>
            <w:bCs/>
          </w:rPr>
          <w:t>Annex </w:t>
        </w:r>
        <w:r w:rsidR="00F422BE" w:rsidRPr="001677E0">
          <w:rPr>
            <w:rStyle w:val="Lienhypertexte"/>
            <w:rFonts w:eastAsiaTheme="minorHAnsi"/>
            <w:bCs/>
          </w:rPr>
          <w:t>16</w:t>
        </w:r>
        <w:r w:rsidRPr="0062639E">
          <w:rPr>
            <w:rStyle w:val="Lienhypertexte"/>
            <w:rFonts w:eastAsiaTheme="minorHAnsi"/>
            <w:b/>
            <w:u w:val="none"/>
          </w:rPr>
          <w:t xml:space="preserve"> </w:t>
        </w:r>
      </w:hyperlink>
      <w:r w:rsidRPr="00626F1C">
        <w:rPr>
          <w:rFonts w:eastAsiaTheme="minorHAnsi"/>
        </w:rPr>
        <w:t>f</w:t>
      </w:r>
      <w:r w:rsidRPr="0044501C">
        <w:rPr>
          <w:rFonts w:eastAsiaTheme="minorHAnsi"/>
        </w:rPr>
        <w:t>or Member comment</w:t>
      </w:r>
      <w:r>
        <w:rPr>
          <w:rFonts w:eastAsiaTheme="minorHAnsi"/>
        </w:rPr>
        <w:t>s</w:t>
      </w:r>
      <w:r w:rsidRPr="0044501C">
        <w:rPr>
          <w:rFonts w:eastAsiaTheme="minorHAnsi"/>
        </w:rPr>
        <w:t>.</w:t>
      </w:r>
    </w:p>
    <w:p w14:paraId="25A14CEB" w14:textId="0F29EAEE" w:rsidR="009A7DDA" w:rsidRDefault="00053BBB" w:rsidP="005774B5">
      <w:pPr>
        <w:pStyle w:val="Titre2"/>
        <w:spacing w:before="0" w:after="240" w:line="240" w:lineRule="auto"/>
        <w:ind w:left="810" w:hanging="540"/>
        <w:jc w:val="both"/>
        <w:rPr>
          <w:b/>
          <w:bCs/>
        </w:rPr>
      </w:pPr>
      <w:bookmarkStart w:id="46" w:name="_Toc38028643"/>
      <w:r w:rsidRPr="00192F3E">
        <w:rPr>
          <w:b/>
          <w:bCs/>
          <w:lang w:bidi="en-US"/>
        </w:rPr>
        <w:t>8.4.</w:t>
      </w:r>
      <w:r w:rsidRPr="00192F3E">
        <w:rPr>
          <w:b/>
          <w:bCs/>
        </w:rPr>
        <w:tab/>
      </w:r>
      <w:r w:rsidR="009A7DDA">
        <w:rPr>
          <w:b/>
          <w:bCs/>
        </w:rPr>
        <w:t>Texts for Member information</w:t>
      </w:r>
      <w:bookmarkEnd w:id="46"/>
    </w:p>
    <w:p w14:paraId="23A6A2E1" w14:textId="0207AE91" w:rsidR="00053BBB" w:rsidRDefault="009A7DDA" w:rsidP="005774B5">
      <w:pPr>
        <w:pStyle w:val="Titre3"/>
        <w:tabs>
          <w:tab w:val="left" w:pos="1440"/>
        </w:tabs>
        <w:spacing w:before="0" w:after="240" w:line="240" w:lineRule="auto"/>
        <w:ind w:left="180" w:firstLine="630"/>
        <w:jc w:val="both"/>
        <w:rPr>
          <w:b/>
          <w:bCs/>
          <w:i w:val="0"/>
          <w:iCs/>
        </w:rPr>
      </w:pPr>
      <w:bookmarkStart w:id="47" w:name="_Toc38028644"/>
      <w:r w:rsidRPr="009A7DDA">
        <w:rPr>
          <w:b/>
          <w:bCs/>
          <w:i w:val="0"/>
          <w:iCs/>
        </w:rPr>
        <w:t>8.4.1.</w:t>
      </w:r>
      <w:r w:rsidR="005774B5">
        <w:rPr>
          <w:b/>
          <w:bCs/>
          <w:i w:val="0"/>
          <w:iCs/>
        </w:rPr>
        <w:tab/>
      </w:r>
      <w:r w:rsidR="00053BBB" w:rsidRPr="009A7DDA">
        <w:rPr>
          <w:b/>
          <w:bCs/>
          <w:i w:val="0"/>
          <w:iCs/>
        </w:rPr>
        <w:t xml:space="preserve">Updating the introductory chapters for each host group: amphibians, crustaceans, fish and </w:t>
      </w:r>
      <w:r w:rsidR="001D5EB7">
        <w:rPr>
          <w:b/>
          <w:bCs/>
          <w:i w:val="0"/>
          <w:iCs/>
        </w:rPr>
        <w:tab/>
      </w:r>
      <w:r w:rsidR="00053BBB" w:rsidRPr="009A7DDA">
        <w:rPr>
          <w:b/>
          <w:bCs/>
          <w:i w:val="0"/>
          <w:iCs/>
        </w:rPr>
        <w:t>molluscs (Chapters 2.1.0, 2.2.0, 2.3.0 and 2.4.0, respectively)</w:t>
      </w:r>
      <w:bookmarkEnd w:id="47"/>
      <w:r w:rsidR="00053BBB" w:rsidRPr="009A7DDA">
        <w:rPr>
          <w:b/>
          <w:bCs/>
          <w:i w:val="0"/>
          <w:iCs/>
        </w:rPr>
        <w:t xml:space="preserve"> </w:t>
      </w:r>
    </w:p>
    <w:p w14:paraId="4AC362A9" w14:textId="0F86EA2D" w:rsidR="00053BBB" w:rsidRPr="00AC44A6" w:rsidRDefault="00053BBB" w:rsidP="005774B5">
      <w:pPr>
        <w:pStyle w:val="NormalWeb"/>
        <w:spacing w:before="0" w:beforeAutospacing="0" w:after="240" w:afterAutospacing="0"/>
        <w:ind w:left="1418"/>
        <w:jc w:val="both"/>
        <w:rPr>
          <w:sz w:val="20"/>
          <w:szCs w:val="20"/>
          <w:lang w:val="en-IE"/>
        </w:rPr>
      </w:pPr>
      <w:r>
        <w:rPr>
          <w:sz w:val="20"/>
          <w:szCs w:val="20"/>
          <w:lang w:val="en-IE"/>
        </w:rPr>
        <w:t xml:space="preserve">The </w:t>
      </w:r>
      <w:r w:rsidRPr="007C0B52">
        <w:rPr>
          <w:sz w:val="20"/>
          <w:szCs w:val="20"/>
          <w:lang w:val="en-IE"/>
        </w:rPr>
        <w:t xml:space="preserve">Aquatic Animals </w:t>
      </w:r>
      <w:r w:rsidRPr="007C0B52">
        <w:rPr>
          <w:bCs/>
          <w:sz w:val="20"/>
          <w:szCs w:val="20"/>
          <w:lang w:val="en-IE"/>
        </w:rPr>
        <w:t>Commission</w:t>
      </w:r>
      <w:r>
        <w:rPr>
          <w:sz w:val="20"/>
          <w:szCs w:val="20"/>
          <w:lang w:val="en-IE"/>
        </w:rPr>
        <w:t xml:space="preserve"> identified the need to update the introductory chapters on general information</w:t>
      </w:r>
      <w:r w:rsidRPr="00F25CC0">
        <w:rPr>
          <w:sz w:val="20"/>
          <w:szCs w:val="20"/>
          <w:lang w:val="en-IE"/>
        </w:rPr>
        <w:t xml:space="preserve"> </w:t>
      </w:r>
      <w:r>
        <w:rPr>
          <w:sz w:val="20"/>
          <w:szCs w:val="20"/>
          <w:lang w:val="en-IE"/>
        </w:rPr>
        <w:t>for each host species. Chapter 2.3.0, General information, for fish diseases will be the first chapter to be updated. The Commission will request the assistance of all OIE Reference Laboratory experts for fish diseases in this revision. The experts will be asked to nominate a leader, who would gather input from the group to ensure that the resulting text is as complete and informative as possible. The Commission anticipates circulating a revised Chapter 2.3.0 in its September 2020 report.</w:t>
      </w:r>
    </w:p>
    <w:p w14:paraId="44ACCDD4" w14:textId="5F99090A" w:rsidR="00053BBB" w:rsidRPr="005774B5" w:rsidRDefault="00053BBB" w:rsidP="005774B5">
      <w:pPr>
        <w:pStyle w:val="Titre3"/>
        <w:tabs>
          <w:tab w:val="left" w:pos="1440"/>
        </w:tabs>
        <w:spacing w:before="0" w:after="240" w:line="240" w:lineRule="auto"/>
        <w:ind w:left="180" w:firstLine="630"/>
        <w:jc w:val="both"/>
        <w:rPr>
          <w:rStyle w:val="Titre3Car"/>
          <w:b/>
          <w:bCs/>
        </w:rPr>
      </w:pPr>
      <w:bookmarkStart w:id="48" w:name="_Toc38028645"/>
      <w:r w:rsidRPr="005774B5">
        <w:rPr>
          <w:b/>
          <w:bCs/>
          <w:i w:val="0"/>
          <w:lang w:bidi="en-US"/>
        </w:rPr>
        <w:t>8</w:t>
      </w:r>
      <w:r w:rsidRPr="005774B5">
        <w:rPr>
          <w:rStyle w:val="Titre3Car"/>
          <w:b/>
          <w:bCs/>
          <w:i/>
        </w:rPr>
        <w:t>.</w:t>
      </w:r>
      <w:r w:rsidR="009A7DDA" w:rsidRPr="005774B5">
        <w:rPr>
          <w:rStyle w:val="Titre3Car"/>
          <w:b/>
          <w:bCs/>
        </w:rPr>
        <w:t>4</w:t>
      </w:r>
      <w:r w:rsidRPr="005774B5">
        <w:rPr>
          <w:rStyle w:val="Titre3Car"/>
          <w:b/>
          <w:bCs/>
        </w:rPr>
        <w:t>.</w:t>
      </w:r>
      <w:r w:rsidR="009A7DDA" w:rsidRPr="005774B5">
        <w:rPr>
          <w:rStyle w:val="Titre3Car"/>
          <w:b/>
          <w:bCs/>
        </w:rPr>
        <w:t>2.</w:t>
      </w:r>
      <w:r w:rsidRPr="005774B5">
        <w:rPr>
          <w:rStyle w:val="Titre3Car"/>
          <w:b/>
          <w:bCs/>
        </w:rPr>
        <w:tab/>
        <w:t xml:space="preserve">The </w:t>
      </w:r>
      <w:r w:rsidRPr="005774B5">
        <w:rPr>
          <w:b/>
          <w:i w:val="0"/>
          <w:iCs/>
        </w:rPr>
        <w:t>use</w:t>
      </w:r>
      <w:r w:rsidRPr="005774B5">
        <w:rPr>
          <w:rStyle w:val="Titre3Car"/>
          <w:b/>
          <w:bCs/>
        </w:rPr>
        <w:t xml:space="preserve"> of environmental DNA methods for aquatic animal disease surveillance</w:t>
      </w:r>
      <w:bookmarkEnd w:id="48"/>
      <w:r w:rsidRPr="005774B5">
        <w:rPr>
          <w:rStyle w:val="Titre3Car"/>
          <w:b/>
          <w:bCs/>
        </w:rPr>
        <w:t xml:space="preserve"> </w:t>
      </w:r>
    </w:p>
    <w:p w14:paraId="34610F17" w14:textId="6ECD5A25" w:rsidR="00053BBB" w:rsidRDefault="00053BBB" w:rsidP="005774B5">
      <w:pPr>
        <w:pStyle w:val="NormalWeb"/>
        <w:spacing w:before="0" w:beforeAutospacing="0" w:after="240" w:afterAutospacing="0"/>
        <w:ind w:left="1418"/>
        <w:jc w:val="both"/>
        <w:rPr>
          <w:i/>
          <w:iCs/>
          <w:sz w:val="20"/>
          <w:szCs w:val="20"/>
          <w:lang w:val="en-ZA"/>
        </w:rPr>
      </w:pPr>
      <w:r w:rsidRPr="00591EFE">
        <w:rPr>
          <w:sz w:val="20"/>
          <w:szCs w:val="20"/>
          <w:lang w:val="en-ZA"/>
        </w:rPr>
        <w:t>The monitoring of aquatic systems using environmental DNA (eDNA) is a rapidly advancing research field that will provide opportunities for rapid, cost</w:t>
      </w:r>
      <w:r>
        <w:rPr>
          <w:sz w:val="20"/>
          <w:szCs w:val="20"/>
          <w:lang w:val="en-ZA"/>
        </w:rPr>
        <w:t>-</w:t>
      </w:r>
      <w:r w:rsidRPr="00591EFE">
        <w:rPr>
          <w:sz w:val="20"/>
          <w:szCs w:val="20"/>
          <w:lang w:val="en-ZA"/>
        </w:rPr>
        <w:t>effective, non-destructive methods to screen for pathogens</w:t>
      </w:r>
      <w:r>
        <w:rPr>
          <w:sz w:val="20"/>
          <w:szCs w:val="20"/>
          <w:lang w:val="en-ZA"/>
        </w:rPr>
        <w:t>,</w:t>
      </w:r>
      <w:r w:rsidRPr="00591EFE">
        <w:rPr>
          <w:sz w:val="20"/>
          <w:szCs w:val="20"/>
          <w:lang w:val="en-ZA"/>
        </w:rPr>
        <w:t xml:space="preserve"> especially in wild aquatic populations where samples may be difficult or undesirable to obtain. The </w:t>
      </w:r>
      <w:r w:rsidRPr="007C0B52">
        <w:rPr>
          <w:sz w:val="20"/>
          <w:szCs w:val="20"/>
          <w:lang w:val="en-IE"/>
        </w:rPr>
        <w:t xml:space="preserve">Aquatic Animals </w:t>
      </w:r>
      <w:r w:rsidRPr="007C0B52">
        <w:rPr>
          <w:bCs/>
          <w:sz w:val="20"/>
          <w:szCs w:val="20"/>
          <w:lang w:val="en-IE"/>
        </w:rPr>
        <w:t>Commission</w:t>
      </w:r>
      <w:r w:rsidRPr="00591EFE">
        <w:rPr>
          <w:sz w:val="20"/>
          <w:szCs w:val="20"/>
          <w:lang w:val="en-ZA"/>
        </w:rPr>
        <w:t xml:space="preserve"> is aware that eDNA </w:t>
      </w:r>
      <w:r>
        <w:rPr>
          <w:sz w:val="20"/>
          <w:szCs w:val="20"/>
          <w:lang w:val="en-ZA"/>
        </w:rPr>
        <w:t>methods</w:t>
      </w:r>
      <w:r w:rsidRPr="00591EFE">
        <w:rPr>
          <w:sz w:val="20"/>
          <w:szCs w:val="20"/>
          <w:lang w:val="en-ZA"/>
        </w:rPr>
        <w:t xml:space="preserve"> exist </w:t>
      </w:r>
      <w:r>
        <w:rPr>
          <w:sz w:val="20"/>
          <w:szCs w:val="20"/>
          <w:lang w:val="en-ZA"/>
        </w:rPr>
        <w:t>for</w:t>
      </w:r>
      <w:r w:rsidRPr="00591EFE">
        <w:rPr>
          <w:sz w:val="20"/>
          <w:szCs w:val="20"/>
          <w:lang w:val="en-ZA"/>
        </w:rPr>
        <w:t xml:space="preserve"> detect</w:t>
      </w:r>
      <w:r>
        <w:rPr>
          <w:sz w:val="20"/>
          <w:szCs w:val="20"/>
          <w:lang w:val="en-ZA"/>
        </w:rPr>
        <w:t>ing</w:t>
      </w:r>
      <w:r w:rsidRPr="00591EFE">
        <w:rPr>
          <w:sz w:val="20"/>
          <w:szCs w:val="20"/>
          <w:lang w:val="en-ZA"/>
        </w:rPr>
        <w:t xml:space="preserve"> pathogenic agents of </w:t>
      </w:r>
      <w:r>
        <w:rPr>
          <w:sz w:val="20"/>
          <w:szCs w:val="20"/>
          <w:lang w:val="en-ZA"/>
        </w:rPr>
        <w:t xml:space="preserve">several </w:t>
      </w:r>
      <w:r w:rsidRPr="00591EFE">
        <w:rPr>
          <w:sz w:val="20"/>
          <w:szCs w:val="20"/>
          <w:lang w:val="en-ZA"/>
        </w:rPr>
        <w:t xml:space="preserve">listed diseases including </w:t>
      </w:r>
      <w:r w:rsidRPr="00591EFE">
        <w:rPr>
          <w:i/>
          <w:iCs/>
          <w:sz w:val="20"/>
          <w:szCs w:val="20"/>
          <w:lang w:val="en-ZA"/>
        </w:rPr>
        <w:t>Xenohaliotis californiensis</w:t>
      </w:r>
      <w:r w:rsidRPr="00591EFE">
        <w:rPr>
          <w:sz w:val="20"/>
          <w:szCs w:val="20"/>
          <w:lang w:val="en-ZA"/>
        </w:rPr>
        <w:t xml:space="preserve">, </w:t>
      </w:r>
      <w:r w:rsidRPr="00591EFE">
        <w:rPr>
          <w:i/>
          <w:iCs/>
          <w:sz w:val="20"/>
          <w:szCs w:val="20"/>
          <w:lang w:val="en-ZA"/>
        </w:rPr>
        <w:t>Batrachochytrium dendrobatidis</w:t>
      </w:r>
      <w:r w:rsidRPr="00591EFE">
        <w:rPr>
          <w:sz w:val="20"/>
          <w:szCs w:val="20"/>
          <w:lang w:val="en-ZA"/>
        </w:rPr>
        <w:t xml:space="preserve">, </w:t>
      </w:r>
      <w:r w:rsidRPr="00591EFE">
        <w:rPr>
          <w:i/>
          <w:iCs/>
          <w:sz w:val="20"/>
          <w:szCs w:val="20"/>
          <w:lang w:val="en-ZA"/>
        </w:rPr>
        <w:t>Aphanomyces astaci</w:t>
      </w:r>
      <w:r w:rsidRPr="00591EFE">
        <w:rPr>
          <w:sz w:val="20"/>
          <w:szCs w:val="20"/>
          <w:lang w:val="en-ZA"/>
        </w:rPr>
        <w:t xml:space="preserve"> and </w:t>
      </w:r>
      <w:r w:rsidRPr="00591EFE">
        <w:rPr>
          <w:i/>
          <w:iCs/>
          <w:sz w:val="20"/>
          <w:szCs w:val="20"/>
          <w:lang w:val="en-ZA"/>
        </w:rPr>
        <w:t xml:space="preserve">Gyrodactylus salaris. </w:t>
      </w:r>
    </w:p>
    <w:p w14:paraId="0A8CAD5D" w14:textId="77777777" w:rsidR="00053BBB" w:rsidRDefault="00053BBB" w:rsidP="005774B5">
      <w:pPr>
        <w:pStyle w:val="NormalWeb"/>
        <w:spacing w:before="0" w:beforeAutospacing="0" w:after="240" w:afterAutospacing="0"/>
        <w:ind w:left="1418"/>
        <w:jc w:val="both"/>
        <w:rPr>
          <w:sz w:val="20"/>
          <w:szCs w:val="20"/>
          <w:lang w:val="en-ZA"/>
        </w:rPr>
      </w:pPr>
      <w:r w:rsidRPr="00823524">
        <w:rPr>
          <w:iCs/>
          <w:sz w:val="20"/>
          <w:szCs w:val="20"/>
          <w:lang w:val="en-ZA"/>
        </w:rPr>
        <w:t>The Commission agreed that as these methods are available</w:t>
      </w:r>
      <w:r>
        <w:rPr>
          <w:iCs/>
          <w:sz w:val="20"/>
          <w:szCs w:val="20"/>
          <w:lang w:val="en-ZA"/>
        </w:rPr>
        <w:t xml:space="preserve"> and currently in use, it would be advisable for guidance to be provided on appropriate application and potential limitations. The Commission noted that </w:t>
      </w:r>
      <w:r>
        <w:rPr>
          <w:sz w:val="20"/>
          <w:szCs w:val="20"/>
          <w:lang w:val="en-ZA"/>
        </w:rPr>
        <w:t>as</w:t>
      </w:r>
      <w:r w:rsidRPr="00591EFE">
        <w:rPr>
          <w:sz w:val="20"/>
          <w:szCs w:val="20"/>
          <w:lang w:val="en-ZA"/>
        </w:rPr>
        <w:t xml:space="preserve"> accurate estimates of diagnostic performance are not available for designing surveillance program</w:t>
      </w:r>
      <w:r>
        <w:rPr>
          <w:sz w:val="20"/>
          <w:szCs w:val="20"/>
          <w:lang w:val="en-ZA"/>
        </w:rPr>
        <w:t>me</w:t>
      </w:r>
      <w:r w:rsidRPr="00591EFE">
        <w:rPr>
          <w:sz w:val="20"/>
          <w:szCs w:val="20"/>
          <w:lang w:val="en-ZA"/>
        </w:rPr>
        <w:t xml:space="preserve">s using eDNA assays, data </w:t>
      </w:r>
      <w:r>
        <w:rPr>
          <w:sz w:val="20"/>
          <w:szCs w:val="20"/>
          <w:lang w:val="en-ZA"/>
        </w:rPr>
        <w:t xml:space="preserve">obtained from eDNA methods </w:t>
      </w:r>
      <w:r w:rsidRPr="00591EFE">
        <w:rPr>
          <w:sz w:val="20"/>
          <w:szCs w:val="20"/>
          <w:lang w:val="en-ZA"/>
        </w:rPr>
        <w:t xml:space="preserve">may not be suitable to support declaration of freedom from </w:t>
      </w:r>
      <w:r>
        <w:rPr>
          <w:sz w:val="20"/>
          <w:szCs w:val="20"/>
          <w:lang w:val="en-ZA"/>
        </w:rPr>
        <w:t>listed</w:t>
      </w:r>
      <w:r w:rsidRPr="00591EFE">
        <w:rPr>
          <w:sz w:val="20"/>
          <w:szCs w:val="20"/>
          <w:lang w:val="en-ZA"/>
        </w:rPr>
        <w:t xml:space="preserve"> diseases. </w:t>
      </w:r>
      <w:r>
        <w:rPr>
          <w:sz w:val="20"/>
          <w:szCs w:val="20"/>
          <w:lang w:val="en-ZA"/>
        </w:rPr>
        <w:t xml:space="preserve">The Commission also noted that confirmation of infection by listed diseases could not be made using eDNA methods; however, positive results could be appropriate criteria for a suspect case.  </w:t>
      </w:r>
    </w:p>
    <w:p w14:paraId="51E3919D" w14:textId="5DE304F8" w:rsidR="00053BBB" w:rsidRPr="007835FD" w:rsidRDefault="00053BBB" w:rsidP="005774B5">
      <w:pPr>
        <w:pStyle w:val="NormalWeb"/>
        <w:spacing w:before="0" w:beforeAutospacing="0" w:after="240" w:afterAutospacing="0"/>
        <w:ind w:left="1418"/>
        <w:jc w:val="both"/>
        <w:rPr>
          <w:sz w:val="20"/>
          <w:szCs w:val="20"/>
          <w:lang w:val="en-ZA"/>
        </w:rPr>
      </w:pPr>
      <w:r>
        <w:rPr>
          <w:sz w:val="20"/>
          <w:szCs w:val="20"/>
          <w:lang w:val="en-ZA"/>
        </w:rPr>
        <w:t>The Commission agreed to develop a guidance document to outline considerations for</w:t>
      </w:r>
      <w:r w:rsidRPr="00591EFE">
        <w:rPr>
          <w:sz w:val="20"/>
          <w:szCs w:val="20"/>
          <w:lang w:val="en-ZA"/>
        </w:rPr>
        <w:t xml:space="preserve"> the </w:t>
      </w:r>
      <w:r>
        <w:rPr>
          <w:sz w:val="20"/>
          <w:szCs w:val="20"/>
          <w:lang w:val="en-ZA"/>
        </w:rPr>
        <w:t xml:space="preserve">appropriate purposes of </w:t>
      </w:r>
      <w:r w:rsidRPr="00591EFE">
        <w:rPr>
          <w:sz w:val="20"/>
          <w:szCs w:val="20"/>
          <w:lang w:val="en-ZA"/>
        </w:rPr>
        <w:t xml:space="preserve">use, benefits and limitations of eDNA </w:t>
      </w:r>
      <w:r>
        <w:rPr>
          <w:sz w:val="20"/>
          <w:szCs w:val="20"/>
          <w:lang w:val="en-ZA"/>
        </w:rPr>
        <w:t xml:space="preserve">methods. This document is intended to guide appropriate use of eDNA methods and </w:t>
      </w:r>
      <w:r w:rsidRPr="00591EFE">
        <w:rPr>
          <w:sz w:val="20"/>
          <w:szCs w:val="20"/>
          <w:lang w:val="en-ZA"/>
        </w:rPr>
        <w:t xml:space="preserve">will be </w:t>
      </w:r>
      <w:r>
        <w:rPr>
          <w:sz w:val="20"/>
          <w:szCs w:val="20"/>
          <w:lang w:val="en-ZA"/>
        </w:rPr>
        <w:t>reviewed by the C</w:t>
      </w:r>
      <w:r w:rsidRPr="00591EFE">
        <w:rPr>
          <w:sz w:val="20"/>
          <w:szCs w:val="20"/>
          <w:lang w:val="en-ZA"/>
        </w:rPr>
        <w:t xml:space="preserve">ommission </w:t>
      </w:r>
      <w:r>
        <w:rPr>
          <w:sz w:val="20"/>
          <w:szCs w:val="20"/>
          <w:lang w:val="en-ZA"/>
        </w:rPr>
        <w:t xml:space="preserve">at its next meeting in September 2020. </w:t>
      </w:r>
      <w:r w:rsidRPr="00591EFE">
        <w:rPr>
          <w:sz w:val="20"/>
          <w:szCs w:val="20"/>
          <w:lang w:val="en-ZA"/>
        </w:rPr>
        <w:t xml:space="preserve">The use of an eDNA method for the detection of </w:t>
      </w:r>
      <w:r w:rsidRPr="00591EFE">
        <w:rPr>
          <w:i/>
          <w:iCs/>
          <w:sz w:val="20"/>
          <w:szCs w:val="20"/>
          <w:lang w:val="en-ZA"/>
        </w:rPr>
        <w:t>Gyrodactylus salaris</w:t>
      </w:r>
      <w:r w:rsidRPr="00591EFE">
        <w:rPr>
          <w:sz w:val="20"/>
          <w:szCs w:val="20"/>
          <w:lang w:val="en-ZA"/>
        </w:rPr>
        <w:t xml:space="preserve"> is </w:t>
      </w:r>
      <w:r>
        <w:rPr>
          <w:sz w:val="20"/>
          <w:szCs w:val="20"/>
          <w:lang w:val="en-ZA"/>
        </w:rPr>
        <w:t>proposed for</w:t>
      </w:r>
      <w:r w:rsidRPr="00591EFE">
        <w:rPr>
          <w:sz w:val="20"/>
          <w:szCs w:val="20"/>
          <w:lang w:val="en-ZA"/>
        </w:rPr>
        <w:t xml:space="preserve"> inclu</w:t>
      </w:r>
      <w:r>
        <w:rPr>
          <w:sz w:val="20"/>
          <w:szCs w:val="20"/>
          <w:lang w:val="en-ZA"/>
        </w:rPr>
        <w:t xml:space="preserve">sion </w:t>
      </w:r>
      <w:r w:rsidRPr="00591EFE">
        <w:rPr>
          <w:sz w:val="20"/>
          <w:szCs w:val="20"/>
          <w:lang w:val="en-ZA"/>
        </w:rPr>
        <w:t>in the</w:t>
      </w:r>
      <w:r>
        <w:rPr>
          <w:sz w:val="20"/>
          <w:szCs w:val="20"/>
          <w:lang w:val="en-ZA"/>
        </w:rPr>
        <w:t xml:space="preserve"> </w:t>
      </w:r>
      <w:r w:rsidRPr="00C152D3">
        <w:rPr>
          <w:i/>
          <w:iCs/>
          <w:sz w:val="20"/>
          <w:szCs w:val="20"/>
          <w:lang w:val="en-ZA"/>
        </w:rPr>
        <w:t>Aquatic Manual</w:t>
      </w:r>
      <w:r w:rsidRPr="00591EFE">
        <w:rPr>
          <w:sz w:val="20"/>
          <w:szCs w:val="20"/>
          <w:lang w:val="en-ZA"/>
        </w:rPr>
        <w:t xml:space="preserve"> chapter </w:t>
      </w:r>
      <w:r>
        <w:rPr>
          <w:sz w:val="20"/>
          <w:szCs w:val="20"/>
          <w:lang w:val="en-ZA"/>
        </w:rPr>
        <w:t xml:space="preserve">for Infection with </w:t>
      </w:r>
      <w:r w:rsidRPr="00591EFE">
        <w:rPr>
          <w:i/>
          <w:iCs/>
          <w:sz w:val="20"/>
          <w:szCs w:val="20"/>
          <w:lang w:val="en-ZA"/>
        </w:rPr>
        <w:t>Gyrodactylus salaris</w:t>
      </w:r>
      <w:r w:rsidRPr="00591EFE">
        <w:rPr>
          <w:sz w:val="20"/>
          <w:szCs w:val="20"/>
          <w:lang w:val="en-ZA"/>
        </w:rPr>
        <w:t xml:space="preserve"> (</w:t>
      </w:r>
      <w:r>
        <w:rPr>
          <w:sz w:val="20"/>
          <w:szCs w:val="20"/>
          <w:lang w:val="en-ZA"/>
        </w:rPr>
        <w:t xml:space="preserve">see </w:t>
      </w:r>
      <w:r w:rsidRPr="00F422BE">
        <w:rPr>
          <w:sz w:val="20"/>
          <w:szCs w:val="20"/>
          <w:u w:val="single"/>
          <w:lang w:val="en-ZA"/>
        </w:rPr>
        <w:t xml:space="preserve">Annex </w:t>
      </w:r>
      <w:r w:rsidR="00F422BE" w:rsidRPr="00F422BE">
        <w:rPr>
          <w:sz w:val="20"/>
          <w:szCs w:val="20"/>
          <w:u w:val="single"/>
          <w:lang w:val="en-ZA"/>
        </w:rPr>
        <w:t>15</w:t>
      </w:r>
      <w:r w:rsidR="00F422BE">
        <w:rPr>
          <w:sz w:val="20"/>
          <w:szCs w:val="20"/>
          <w:lang w:val="en-ZA"/>
        </w:rPr>
        <w:t xml:space="preserve"> </w:t>
      </w:r>
      <w:r w:rsidRPr="00F422BE">
        <w:rPr>
          <w:sz w:val="20"/>
          <w:szCs w:val="20"/>
          <w:lang w:val="en-ZA"/>
        </w:rPr>
        <w:t>for</w:t>
      </w:r>
      <w:r w:rsidRPr="00591EFE">
        <w:rPr>
          <w:sz w:val="20"/>
          <w:szCs w:val="20"/>
          <w:lang w:val="en-ZA"/>
        </w:rPr>
        <w:t xml:space="preserve"> </w:t>
      </w:r>
      <w:r>
        <w:rPr>
          <w:sz w:val="20"/>
          <w:szCs w:val="20"/>
          <w:lang w:val="en-ZA"/>
        </w:rPr>
        <w:t xml:space="preserve">Member </w:t>
      </w:r>
      <w:r w:rsidRPr="00591EFE">
        <w:rPr>
          <w:sz w:val="20"/>
          <w:szCs w:val="20"/>
          <w:lang w:val="en-ZA"/>
        </w:rPr>
        <w:t>comment)</w:t>
      </w:r>
      <w:r>
        <w:rPr>
          <w:sz w:val="20"/>
          <w:szCs w:val="20"/>
          <w:lang w:val="en-ZA"/>
        </w:rPr>
        <w:t xml:space="preserve">. </w:t>
      </w:r>
    </w:p>
    <w:p w14:paraId="436704C3" w14:textId="67B1454F" w:rsidR="003447A3" w:rsidRPr="0043431B" w:rsidRDefault="003447A3" w:rsidP="00BC5907">
      <w:pPr>
        <w:pStyle w:val="Titre1"/>
        <w:spacing w:before="0" w:after="120" w:line="240" w:lineRule="auto"/>
        <w:ind w:left="426" w:hanging="426"/>
        <w:rPr>
          <w:rFonts w:ascii="Times New Roman" w:hAnsi="Times New Roman" w:cs="Times New Roman"/>
          <w:b/>
          <w:bCs/>
          <w:i/>
          <w:iCs/>
          <w:color w:val="auto"/>
          <w:sz w:val="20"/>
          <w:szCs w:val="20"/>
        </w:rPr>
      </w:pPr>
      <w:bookmarkStart w:id="49" w:name="_Toc38028646"/>
      <w:r w:rsidRPr="0043431B">
        <w:rPr>
          <w:rFonts w:ascii="Times New Roman" w:hAnsi="Times New Roman" w:cs="Times New Roman"/>
          <w:b/>
          <w:bCs/>
          <w:color w:val="auto"/>
          <w:sz w:val="20"/>
          <w:szCs w:val="20"/>
        </w:rPr>
        <w:t>9.</w:t>
      </w:r>
      <w:r w:rsidRPr="0043431B">
        <w:rPr>
          <w:rFonts w:ascii="Times New Roman" w:hAnsi="Times New Roman" w:cs="Times New Roman"/>
          <w:b/>
          <w:bCs/>
          <w:color w:val="auto"/>
          <w:sz w:val="20"/>
          <w:szCs w:val="20"/>
        </w:rPr>
        <w:tab/>
      </w:r>
      <w:r w:rsidR="001A3C31" w:rsidRPr="0043431B">
        <w:rPr>
          <w:rFonts w:ascii="Times New Roman" w:hAnsi="Times New Roman" w:cs="Times New Roman"/>
          <w:b/>
          <w:bCs/>
          <w:iCs/>
          <w:color w:val="auto"/>
          <w:sz w:val="20"/>
          <w:szCs w:val="20"/>
        </w:rPr>
        <w:t>OIE</w:t>
      </w:r>
      <w:r w:rsidR="001A3C31" w:rsidRPr="0043431B">
        <w:rPr>
          <w:rFonts w:ascii="Times New Roman" w:hAnsi="Times New Roman" w:cs="Times New Roman"/>
          <w:b/>
          <w:bCs/>
          <w:i/>
          <w:iCs/>
          <w:color w:val="auto"/>
          <w:sz w:val="20"/>
          <w:szCs w:val="20"/>
        </w:rPr>
        <w:t xml:space="preserve"> </w:t>
      </w:r>
      <w:r w:rsidRPr="0043431B">
        <w:rPr>
          <w:rFonts w:ascii="Times New Roman" w:hAnsi="Times New Roman" w:cs="Times New Roman"/>
          <w:b/>
          <w:bCs/>
          <w:i/>
          <w:iCs/>
          <w:color w:val="auto"/>
          <w:sz w:val="20"/>
          <w:szCs w:val="20"/>
        </w:rPr>
        <w:t xml:space="preserve">AD </w:t>
      </w:r>
      <w:r w:rsidRPr="00DB0A8D">
        <w:rPr>
          <w:rFonts w:ascii="Times New Roman" w:hAnsi="Times New Roman" w:cs="Times New Roman"/>
          <w:b/>
          <w:bCs/>
          <w:i/>
          <w:caps/>
          <w:color w:val="auto"/>
          <w:sz w:val="20"/>
          <w:szCs w:val="20"/>
        </w:rPr>
        <w:t>HOC</w:t>
      </w:r>
      <w:r w:rsidRPr="0043431B">
        <w:rPr>
          <w:rFonts w:ascii="Times New Roman" w:hAnsi="Times New Roman" w:cs="Times New Roman"/>
          <w:b/>
          <w:bCs/>
          <w:i/>
          <w:iCs/>
          <w:color w:val="auto"/>
          <w:sz w:val="20"/>
          <w:szCs w:val="20"/>
        </w:rPr>
        <w:t xml:space="preserve"> </w:t>
      </w:r>
      <w:r w:rsidRPr="00FA6BA0">
        <w:rPr>
          <w:rFonts w:ascii="Times New Roman" w:hAnsi="Times New Roman" w:cs="Times New Roman"/>
          <w:b/>
          <w:bCs/>
          <w:iCs/>
          <w:color w:val="auto"/>
          <w:sz w:val="20"/>
          <w:szCs w:val="20"/>
        </w:rPr>
        <w:t>GROUP</w:t>
      </w:r>
      <w:bookmarkEnd w:id="49"/>
      <w:r w:rsidR="0016179E">
        <w:rPr>
          <w:rFonts w:ascii="Times New Roman" w:hAnsi="Times New Roman" w:cs="Times New Roman"/>
          <w:b/>
          <w:bCs/>
          <w:iCs/>
          <w:color w:val="auto"/>
          <w:sz w:val="20"/>
          <w:szCs w:val="20"/>
        </w:rPr>
        <w:t>S</w:t>
      </w:r>
    </w:p>
    <w:p w14:paraId="622E9789" w14:textId="77777777" w:rsidR="00A932FB" w:rsidRPr="0043431B" w:rsidRDefault="00D3180A" w:rsidP="00BC5907">
      <w:pPr>
        <w:pStyle w:val="Titre2"/>
        <w:spacing w:before="0" w:after="120" w:line="240" w:lineRule="auto"/>
        <w:ind w:left="851" w:hanging="425"/>
        <w:rPr>
          <w:rFonts w:cs="Times New Roman"/>
          <w:b/>
          <w:bCs/>
          <w:szCs w:val="20"/>
        </w:rPr>
      </w:pPr>
      <w:bookmarkStart w:id="50" w:name="_Toc38028647"/>
      <w:r w:rsidRPr="0043431B">
        <w:rPr>
          <w:rFonts w:cs="Times New Roman"/>
          <w:b/>
          <w:bCs/>
          <w:szCs w:val="20"/>
        </w:rPr>
        <w:t>9.1.</w:t>
      </w:r>
      <w:r w:rsidRPr="0043431B">
        <w:rPr>
          <w:rFonts w:cs="Times New Roman"/>
          <w:b/>
          <w:bCs/>
          <w:szCs w:val="20"/>
        </w:rPr>
        <w:tab/>
      </w:r>
      <w:r w:rsidR="00A932FB" w:rsidRPr="0043431B">
        <w:rPr>
          <w:rFonts w:cs="Times New Roman"/>
          <w:b/>
          <w:bCs/>
          <w:szCs w:val="20"/>
        </w:rPr>
        <w:t xml:space="preserve">Electronic </w:t>
      </w:r>
      <w:r w:rsidR="00A932FB" w:rsidRPr="0043431B">
        <w:rPr>
          <w:rFonts w:cs="Times New Roman"/>
          <w:b/>
          <w:bCs/>
          <w:i/>
          <w:iCs/>
          <w:szCs w:val="20"/>
        </w:rPr>
        <w:t xml:space="preserve">ad hoc </w:t>
      </w:r>
      <w:r w:rsidR="00A932FB" w:rsidRPr="0043431B">
        <w:rPr>
          <w:rFonts w:cs="Times New Roman"/>
          <w:b/>
          <w:bCs/>
          <w:szCs w:val="20"/>
        </w:rPr>
        <w:t>Group on Tilapia lake virus</w:t>
      </w:r>
      <w:bookmarkEnd w:id="50"/>
    </w:p>
    <w:p w14:paraId="307855C9" w14:textId="4CB69DCA" w:rsidR="00D3180A" w:rsidRPr="00233054" w:rsidRDefault="00D3180A" w:rsidP="00BC5907">
      <w:pPr>
        <w:spacing w:after="120" w:line="240" w:lineRule="auto"/>
        <w:ind w:left="851"/>
        <w:jc w:val="both"/>
        <w:rPr>
          <w:rFonts w:cs="Times New Roman"/>
          <w:szCs w:val="20"/>
        </w:rPr>
      </w:pPr>
      <w:r w:rsidRPr="00233054">
        <w:rPr>
          <w:rFonts w:cs="Times New Roman"/>
          <w:szCs w:val="20"/>
        </w:rPr>
        <w:t xml:space="preserve">The Aquatic Animals Commission </w:t>
      </w:r>
      <w:r w:rsidR="00121DCD" w:rsidRPr="00233054">
        <w:rPr>
          <w:rFonts w:cs="Times New Roman"/>
          <w:szCs w:val="20"/>
        </w:rPr>
        <w:t xml:space="preserve">were informed that </w:t>
      </w:r>
      <w:r w:rsidRPr="00233054">
        <w:rPr>
          <w:rFonts w:cs="Times New Roman"/>
          <w:szCs w:val="20"/>
        </w:rPr>
        <w:t xml:space="preserve">the </w:t>
      </w:r>
      <w:r w:rsidRPr="00233054">
        <w:rPr>
          <w:rFonts w:cs="Times New Roman"/>
          <w:i/>
          <w:iCs/>
          <w:szCs w:val="20"/>
        </w:rPr>
        <w:t>ad hoc</w:t>
      </w:r>
      <w:r w:rsidRPr="00233054">
        <w:rPr>
          <w:rFonts w:cs="Times New Roman"/>
          <w:szCs w:val="20"/>
        </w:rPr>
        <w:t xml:space="preserve"> Group on Tilapia lake virus (TiLV) </w:t>
      </w:r>
      <w:r w:rsidR="00121DCD" w:rsidRPr="00233054">
        <w:rPr>
          <w:rFonts w:cs="Times New Roman"/>
          <w:szCs w:val="20"/>
        </w:rPr>
        <w:t xml:space="preserve">is continuing its work to </w:t>
      </w:r>
      <w:r w:rsidR="001A30A5" w:rsidRPr="00233054">
        <w:rPr>
          <w:rFonts w:cs="Times New Roman"/>
          <w:szCs w:val="20"/>
        </w:rPr>
        <w:t>evaluate available</w:t>
      </w:r>
      <w:r w:rsidRPr="00233054">
        <w:rPr>
          <w:rFonts w:cs="Times New Roman"/>
          <w:szCs w:val="20"/>
        </w:rPr>
        <w:t xml:space="preserve"> diagnostic test</w:t>
      </w:r>
      <w:r w:rsidR="001A30A5" w:rsidRPr="00233054">
        <w:rPr>
          <w:rFonts w:cs="Times New Roman"/>
          <w:szCs w:val="20"/>
        </w:rPr>
        <w:t>s</w:t>
      </w:r>
      <w:r w:rsidRPr="00233054">
        <w:rPr>
          <w:rFonts w:cs="Times New Roman"/>
          <w:szCs w:val="20"/>
        </w:rPr>
        <w:t xml:space="preserve"> for TiLV</w:t>
      </w:r>
      <w:r w:rsidR="00121DCD" w:rsidRPr="00233054">
        <w:rPr>
          <w:rFonts w:cs="Times New Roman"/>
          <w:szCs w:val="20"/>
        </w:rPr>
        <w:t xml:space="preserve"> and they will submit a </w:t>
      </w:r>
      <w:r w:rsidR="00C82C3A" w:rsidRPr="00233054">
        <w:rPr>
          <w:rFonts w:cs="Times New Roman"/>
          <w:szCs w:val="20"/>
        </w:rPr>
        <w:t xml:space="preserve">final report </w:t>
      </w:r>
      <w:r w:rsidR="00121DCD" w:rsidRPr="00233054">
        <w:rPr>
          <w:rFonts w:cs="Times New Roman"/>
          <w:szCs w:val="20"/>
        </w:rPr>
        <w:t xml:space="preserve">for the Commission’s </w:t>
      </w:r>
      <w:r w:rsidR="00523676" w:rsidRPr="00233054">
        <w:rPr>
          <w:rFonts w:cs="Times New Roman"/>
          <w:szCs w:val="20"/>
        </w:rPr>
        <w:t>September</w:t>
      </w:r>
      <w:r w:rsidR="00A932FB" w:rsidRPr="00233054">
        <w:rPr>
          <w:rFonts w:cs="Times New Roman"/>
          <w:szCs w:val="20"/>
        </w:rPr>
        <w:t xml:space="preserve"> 2020 meeting. </w:t>
      </w:r>
    </w:p>
    <w:p w14:paraId="137FD2E5" w14:textId="5C609187" w:rsidR="003447A3" w:rsidRPr="00233054" w:rsidRDefault="00A932FB" w:rsidP="00BC5907">
      <w:pPr>
        <w:pStyle w:val="Titre2"/>
        <w:spacing w:before="0" w:after="120" w:line="240" w:lineRule="auto"/>
        <w:ind w:left="851" w:hanging="425"/>
        <w:rPr>
          <w:rFonts w:cs="Times New Roman"/>
          <w:b/>
          <w:bCs/>
          <w:szCs w:val="20"/>
        </w:rPr>
      </w:pPr>
      <w:bookmarkStart w:id="51" w:name="_Toc38028648"/>
      <w:r w:rsidRPr="00233054">
        <w:rPr>
          <w:rFonts w:cs="Times New Roman"/>
          <w:b/>
          <w:bCs/>
          <w:szCs w:val="20"/>
        </w:rPr>
        <w:t>9.2.</w:t>
      </w:r>
      <w:r w:rsidRPr="00233054">
        <w:rPr>
          <w:rFonts w:cs="Times New Roman"/>
          <w:b/>
          <w:bCs/>
          <w:szCs w:val="20"/>
        </w:rPr>
        <w:tab/>
      </w:r>
      <w:r w:rsidRPr="00233054">
        <w:rPr>
          <w:rFonts w:cs="Times New Roman"/>
          <w:b/>
          <w:bCs/>
          <w:i/>
          <w:iCs/>
          <w:szCs w:val="20"/>
        </w:rPr>
        <w:t>Ad hoc</w:t>
      </w:r>
      <w:r w:rsidRPr="00233054">
        <w:rPr>
          <w:rFonts w:cs="Times New Roman"/>
          <w:b/>
          <w:bCs/>
          <w:szCs w:val="20"/>
        </w:rPr>
        <w:t xml:space="preserve"> Group on Susceptibility of mollusc species to </w:t>
      </w:r>
      <w:r w:rsidR="008A1F78" w:rsidRPr="00233054">
        <w:rPr>
          <w:rFonts w:cs="Times New Roman"/>
          <w:b/>
          <w:bCs/>
          <w:szCs w:val="20"/>
        </w:rPr>
        <w:t xml:space="preserve">infection with </w:t>
      </w:r>
      <w:r w:rsidRPr="00233054">
        <w:rPr>
          <w:rFonts w:cs="Times New Roman"/>
          <w:b/>
          <w:bCs/>
          <w:szCs w:val="20"/>
        </w:rPr>
        <w:t>OIE listed diseases</w:t>
      </w:r>
      <w:bookmarkEnd w:id="51"/>
    </w:p>
    <w:p w14:paraId="29CA4A9F" w14:textId="41B6E571" w:rsidR="00A932FB" w:rsidRDefault="00750BF3" w:rsidP="00BC5907">
      <w:pPr>
        <w:spacing w:after="120" w:line="240" w:lineRule="auto"/>
        <w:ind w:left="851"/>
        <w:jc w:val="both"/>
        <w:rPr>
          <w:rFonts w:cs="Times New Roman"/>
          <w:szCs w:val="20"/>
          <w:lang w:val="en-NZ"/>
        </w:rPr>
      </w:pPr>
      <w:r w:rsidRPr="00233054">
        <w:rPr>
          <w:rFonts w:cs="Times New Roman"/>
          <w:szCs w:val="20"/>
          <w:lang w:val="en-NZ"/>
        </w:rPr>
        <w:t>The Commission were informed that the</w:t>
      </w:r>
      <w:r w:rsidR="00A932FB" w:rsidRPr="00233054">
        <w:rPr>
          <w:rFonts w:cs="Times New Roman"/>
          <w:szCs w:val="20"/>
          <w:lang w:val="en-NZ"/>
        </w:rPr>
        <w:t xml:space="preserve"> </w:t>
      </w:r>
      <w:r w:rsidR="00A932FB" w:rsidRPr="00233054">
        <w:rPr>
          <w:rFonts w:cs="Times New Roman"/>
          <w:i/>
          <w:iCs/>
          <w:szCs w:val="20"/>
          <w:lang w:val="en-NZ"/>
        </w:rPr>
        <w:t>ad hoc</w:t>
      </w:r>
      <w:r w:rsidR="00A932FB" w:rsidRPr="00233054">
        <w:rPr>
          <w:rFonts w:cs="Times New Roman"/>
          <w:szCs w:val="20"/>
          <w:lang w:val="en-NZ"/>
        </w:rPr>
        <w:t xml:space="preserve"> Group on Susceptibility of mollusc species to infection with OIE listed diseases met for the first time in January 2020 to start work on the application of Chapter 1.5, Criteria for listing species as susceptible to infection</w:t>
      </w:r>
      <w:r w:rsidR="00A932FB" w:rsidRPr="0043431B">
        <w:rPr>
          <w:rFonts w:cs="Times New Roman"/>
          <w:szCs w:val="20"/>
          <w:lang w:val="en-NZ"/>
        </w:rPr>
        <w:t xml:space="preserve"> with a specific pathogen</w:t>
      </w:r>
      <w:r w:rsidRPr="0043431B">
        <w:rPr>
          <w:rFonts w:cs="Times New Roman"/>
          <w:szCs w:val="20"/>
          <w:lang w:val="en-NZ"/>
        </w:rPr>
        <w:t>,</w:t>
      </w:r>
      <w:r w:rsidR="00A932FB" w:rsidRPr="0043431B">
        <w:rPr>
          <w:rFonts w:cs="Times New Roman"/>
          <w:szCs w:val="20"/>
          <w:lang w:val="en-NZ"/>
        </w:rPr>
        <w:t xml:space="preserve"> to OIE listed mollusc diseases. The </w:t>
      </w:r>
      <w:r w:rsidR="00A932FB" w:rsidRPr="0043431B">
        <w:rPr>
          <w:rFonts w:cs="Times New Roman"/>
          <w:i/>
          <w:iCs/>
          <w:szCs w:val="20"/>
          <w:lang w:val="en-NZ"/>
        </w:rPr>
        <w:t>ad hoc</w:t>
      </w:r>
      <w:r w:rsidR="00A932FB" w:rsidRPr="0043431B">
        <w:rPr>
          <w:rFonts w:cs="Times New Roman"/>
          <w:szCs w:val="20"/>
          <w:lang w:val="en-NZ"/>
        </w:rPr>
        <w:t xml:space="preserve"> Group </w:t>
      </w:r>
      <w:r w:rsidRPr="0043431B">
        <w:rPr>
          <w:rFonts w:cs="Times New Roman"/>
          <w:szCs w:val="20"/>
          <w:lang w:val="en-NZ"/>
        </w:rPr>
        <w:t xml:space="preserve">will </w:t>
      </w:r>
      <w:r w:rsidR="00A932FB" w:rsidRPr="0043431B">
        <w:rPr>
          <w:rFonts w:cs="Times New Roman"/>
          <w:szCs w:val="20"/>
          <w:lang w:val="en-NZ"/>
        </w:rPr>
        <w:t>meet</w:t>
      </w:r>
      <w:r w:rsidRPr="0043431B">
        <w:rPr>
          <w:rFonts w:cs="Times New Roman"/>
          <w:szCs w:val="20"/>
          <w:lang w:val="en-NZ"/>
        </w:rPr>
        <w:t xml:space="preserve"> again</w:t>
      </w:r>
      <w:r w:rsidR="00A932FB" w:rsidRPr="0043431B">
        <w:rPr>
          <w:rFonts w:cs="Times New Roman"/>
          <w:szCs w:val="20"/>
          <w:lang w:val="en-NZ"/>
        </w:rPr>
        <w:t xml:space="preserve"> </w:t>
      </w:r>
      <w:r w:rsidR="00431AD1">
        <w:rPr>
          <w:rFonts w:cs="Times New Roman"/>
          <w:szCs w:val="20"/>
          <w:lang w:val="en-NZ"/>
        </w:rPr>
        <w:t xml:space="preserve">electronically </w:t>
      </w:r>
      <w:r w:rsidR="00A932FB" w:rsidRPr="0043431B">
        <w:rPr>
          <w:rFonts w:cs="Times New Roman"/>
          <w:szCs w:val="20"/>
          <w:lang w:val="en-NZ"/>
        </w:rPr>
        <w:t>in June 2020</w:t>
      </w:r>
      <w:r w:rsidRPr="0043431B">
        <w:rPr>
          <w:rFonts w:cs="Times New Roman"/>
          <w:szCs w:val="20"/>
          <w:lang w:val="en-NZ"/>
        </w:rPr>
        <w:t xml:space="preserve"> to progress its work</w:t>
      </w:r>
      <w:r w:rsidR="00A932FB" w:rsidRPr="0043431B">
        <w:rPr>
          <w:rFonts w:cs="Times New Roman"/>
          <w:szCs w:val="20"/>
          <w:lang w:val="en-NZ"/>
        </w:rPr>
        <w:t xml:space="preserve">. The Commission </w:t>
      </w:r>
      <w:r w:rsidRPr="0043431B">
        <w:rPr>
          <w:rFonts w:cs="Times New Roman"/>
          <w:szCs w:val="20"/>
          <w:lang w:val="en-NZ"/>
        </w:rPr>
        <w:t xml:space="preserve">thanked the </w:t>
      </w:r>
      <w:r w:rsidRPr="0043431B">
        <w:rPr>
          <w:rFonts w:cs="Times New Roman"/>
          <w:i/>
          <w:iCs/>
          <w:szCs w:val="20"/>
          <w:lang w:val="en-NZ"/>
        </w:rPr>
        <w:t>ad hoc</w:t>
      </w:r>
      <w:r w:rsidRPr="0043431B">
        <w:rPr>
          <w:rFonts w:cs="Times New Roman"/>
          <w:szCs w:val="20"/>
          <w:lang w:val="en-NZ"/>
        </w:rPr>
        <w:t xml:space="preserve"> Group for its work </w:t>
      </w:r>
      <w:r w:rsidR="000555E1" w:rsidRPr="0043431B">
        <w:rPr>
          <w:rFonts w:cs="Times New Roman"/>
          <w:szCs w:val="20"/>
          <w:lang w:val="en-NZ"/>
        </w:rPr>
        <w:t>to date</w:t>
      </w:r>
      <w:r w:rsidR="00A932FB" w:rsidRPr="0043431B">
        <w:rPr>
          <w:rFonts w:cs="Times New Roman"/>
          <w:szCs w:val="20"/>
          <w:lang w:val="en-NZ"/>
        </w:rPr>
        <w:t>.</w:t>
      </w:r>
    </w:p>
    <w:p w14:paraId="509D8EC7" w14:textId="43D436F7" w:rsidR="003447A3" w:rsidRDefault="003447A3" w:rsidP="00BC5907">
      <w:pPr>
        <w:pStyle w:val="Titre1"/>
        <w:spacing w:before="0" w:after="120" w:line="240" w:lineRule="auto"/>
        <w:ind w:left="426" w:hanging="426"/>
        <w:jc w:val="both"/>
        <w:rPr>
          <w:rFonts w:ascii="Times New Roman" w:hAnsi="Times New Roman" w:cs="Times New Roman"/>
          <w:b/>
          <w:bCs/>
          <w:iCs/>
          <w:color w:val="auto"/>
          <w:sz w:val="20"/>
          <w:szCs w:val="20"/>
        </w:rPr>
      </w:pPr>
      <w:bookmarkStart w:id="52" w:name="_Toc38028649"/>
      <w:r w:rsidRPr="0043431B">
        <w:rPr>
          <w:rFonts w:ascii="Times New Roman" w:hAnsi="Times New Roman" w:cs="Times New Roman"/>
          <w:b/>
          <w:bCs/>
          <w:color w:val="auto"/>
          <w:sz w:val="20"/>
          <w:szCs w:val="20"/>
        </w:rPr>
        <w:lastRenderedPageBreak/>
        <w:t>10.</w:t>
      </w:r>
      <w:r w:rsidRPr="0043431B">
        <w:rPr>
          <w:rFonts w:ascii="Times New Roman" w:hAnsi="Times New Roman" w:cs="Times New Roman"/>
          <w:b/>
          <w:bCs/>
          <w:color w:val="auto"/>
          <w:sz w:val="20"/>
          <w:szCs w:val="20"/>
        </w:rPr>
        <w:tab/>
        <w:t>OIE</w:t>
      </w:r>
      <w:r w:rsidRPr="0043431B">
        <w:rPr>
          <w:rFonts w:ascii="Times New Roman" w:hAnsi="Times New Roman" w:cs="Times New Roman"/>
          <w:b/>
          <w:bCs/>
          <w:i/>
          <w:iCs/>
          <w:color w:val="auto"/>
          <w:sz w:val="20"/>
          <w:szCs w:val="20"/>
        </w:rPr>
        <w:t xml:space="preserve"> </w:t>
      </w:r>
      <w:r w:rsidRPr="0043431B">
        <w:rPr>
          <w:rFonts w:ascii="Times New Roman" w:hAnsi="Times New Roman" w:cs="Times New Roman"/>
          <w:b/>
          <w:bCs/>
          <w:iCs/>
          <w:color w:val="auto"/>
          <w:sz w:val="20"/>
          <w:szCs w:val="20"/>
        </w:rPr>
        <w:t>REFERENCE CENTRES OR CHANGE OF EXPERT</w:t>
      </w:r>
      <w:bookmarkEnd w:id="52"/>
    </w:p>
    <w:p w14:paraId="6FA8C13A" w14:textId="369660FC" w:rsidR="00F97A0D" w:rsidRPr="008229BF" w:rsidRDefault="00F97A0D" w:rsidP="003E6AFD">
      <w:pPr>
        <w:pStyle w:val="Titre2"/>
        <w:spacing w:before="0" w:after="240" w:line="240" w:lineRule="auto"/>
        <w:ind w:left="992" w:hanging="567"/>
        <w:jc w:val="both"/>
        <w:rPr>
          <w:rFonts w:eastAsia="MS Mincho"/>
          <w:b/>
          <w:bCs/>
          <w:lang w:val="en-IE" w:eastAsia="ja-JP"/>
        </w:rPr>
      </w:pPr>
      <w:bookmarkStart w:id="53" w:name="_Toc38028650"/>
      <w:r w:rsidRPr="008229BF">
        <w:rPr>
          <w:b/>
          <w:bCs/>
          <w:lang w:val="en-IE"/>
        </w:rPr>
        <w:t>10.1.</w:t>
      </w:r>
      <w:r w:rsidRPr="008229BF">
        <w:rPr>
          <w:b/>
          <w:bCs/>
          <w:lang w:val="en-IE"/>
        </w:rPr>
        <w:tab/>
        <w:t>Evaluation of a</w:t>
      </w:r>
      <w:r w:rsidRPr="008229BF">
        <w:rPr>
          <w:rFonts w:eastAsia="MS Mincho"/>
          <w:b/>
          <w:bCs/>
          <w:lang w:val="en-IE" w:eastAsia="ja-JP"/>
        </w:rPr>
        <w:t>pplications for OIE Reference Centres for Aquatic Animal Health issues or change of experts</w:t>
      </w:r>
      <w:bookmarkEnd w:id="53"/>
      <w:r w:rsidRPr="008229BF">
        <w:rPr>
          <w:rFonts w:eastAsia="MS Mincho"/>
          <w:b/>
          <w:bCs/>
          <w:lang w:val="en-IE" w:eastAsia="ja-JP"/>
        </w:rPr>
        <w:t xml:space="preserve"> </w:t>
      </w:r>
    </w:p>
    <w:p w14:paraId="3809C655" w14:textId="77777777" w:rsidR="00F97A0D" w:rsidRPr="00053BBB" w:rsidRDefault="00F97A0D" w:rsidP="001D5EB7">
      <w:pPr>
        <w:pStyle w:val="para110"/>
        <w:ind w:left="993"/>
        <w:rPr>
          <w:lang w:val="en-IE"/>
        </w:rPr>
      </w:pPr>
      <w:r w:rsidRPr="00053BBB">
        <w:rPr>
          <w:lang w:val="en-IE"/>
        </w:rPr>
        <w:t>The Commission recommended acceptance of the following applications for OIE Reference Laboratory status:</w:t>
      </w:r>
    </w:p>
    <w:p w14:paraId="6A0A72E2" w14:textId="77777777" w:rsidR="00F97A0D" w:rsidRPr="00053BBB" w:rsidRDefault="00F97A0D" w:rsidP="00FA6BA0">
      <w:pPr>
        <w:pStyle w:val="para110"/>
        <w:spacing w:after="0"/>
        <w:ind w:left="993" w:firstLine="50"/>
        <w:jc w:val="left"/>
        <w:rPr>
          <w:i/>
          <w:iCs/>
          <w:lang w:val="en-IE"/>
        </w:rPr>
      </w:pPr>
      <w:r w:rsidRPr="00053BBB">
        <w:rPr>
          <w:iCs/>
          <w:lang w:val="en-IE"/>
        </w:rPr>
        <w:t>OIE</w:t>
      </w:r>
      <w:r w:rsidRPr="00053BBB">
        <w:rPr>
          <w:i/>
          <w:iCs/>
          <w:lang w:val="en-IE"/>
        </w:rPr>
        <w:t xml:space="preserve"> Reference Laboratory for </w:t>
      </w:r>
      <w:r w:rsidRPr="00053BBB">
        <w:rPr>
          <w:rStyle w:val="shorttext"/>
          <w:i/>
          <w:lang w:val="en-IE"/>
        </w:rPr>
        <w:t xml:space="preserve">Acute hepatopancreatic necrosis disease </w:t>
      </w:r>
    </w:p>
    <w:p w14:paraId="2DE6374C" w14:textId="77777777" w:rsidR="00F97A0D" w:rsidRPr="00053BBB" w:rsidRDefault="00F97A0D" w:rsidP="00BC5907">
      <w:pPr>
        <w:spacing w:after="120" w:line="240" w:lineRule="auto"/>
        <w:ind w:left="992"/>
        <w:rPr>
          <w:rFonts w:eastAsia="ArialMT" w:cs="Times New Roman"/>
          <w:szCs w:val="20"/>
          <w:lang w:val="en-IE"/>
        </w:rPr>
      </w:pPr>
      <w:r w:rsidRPr="00053BBB">
        <w:rPr>
          <w:rFonts w:eastAsia="ArialMT" w:cs="Times New Roman"/>
          <w:szCs w:val="20"/>
        </w:rPr>
        <w:t>Aquaculture Pathology Laboratory, School of Animal and Comparative Biomedical Sciences, University of Arizona, 1117 E Lowell St., Tucson, Arizona 85721, UNITED STATES OF AMERICA</w:t>
      </w:r>
      <w:r w:rsidRPr="00053BBB">
        <w:rPr>
          <w:rFonts w:eastAsia="ArialMT" w:cs="Times New Roman"/>
          <w:szCs w:val="20"/>
        </w:rPr>
        <w:br/>
        <w:t>Tel: +1-520 621 4438</w:t>
      </w:r>
      <w:r w:rsidRPr="00053BBB">
        <w:rPr>
          <w:rFonts w:eastAsia="ArialMT" w:cs="Times New Roman"/>
          <w:szCs w:val="20"/>
        </w:rPr>
        <w:br/>
        <w:t xml:space="preserve">Email: </w:t>
      </w:r>
      <w:hyperlink r:id="rId15" w:history="1">
        <w:r w:rsidRPr="00053BBB">
          <w:rPr>
            <w:rStyle w:val="Lienhypertexte"/>
            <w:rFonts w:eastAsia="ArialMT" w:cs="Times New Roman"/>
            <w:szCs w:val="20"/>
          </w:rPr>
          <w:t>aquapath@cals.arizona.edu</w:t>
        </w:r>
      </w:hyperlink>
      <w:r w:rsidRPr="00053BBB">
        <w:rPr>
          <w:rFonts w:eastAsia="ArialMT" w:cs="Times New Roman"/>
          <w:szCs w:val="20"/>
        </w:rPr>
        <w:t xml:space="preserve"> ; </w:t>
      </w:r>
      <w:hyperlink r:id="rId16" w:history="1">
        <w:r w:rsidRPr="00053BBB">
          <w:rPr>
            <w:rStyle w:val="Lienhypertexte"/>
            <w:rFonts w:eastAsia="ArialMT" w:cs="Times New Roman"/>
            <w:szCs w:val="20"/>
          </w:rPr>
          <w:t>adhar@email.arizona.edu</w:t>
        </w:r>
      </w:hyperlink>
    </w:p>
    <w:p w14:paraId="73E4275D" w14:textId="77777777" w:rsidR="00F97A0D" w:rsidRPr="00053BBB" w:rsidRDefault="00F97A0D" w:rsidP="001D5EB7">
      <w:pPr>
        <w:spacing w:after="240" w:line="240" w:lineRule="auto"/>
        <w:ind w:left="992"/>
        <w:rPr>
          <w:rFonts w:eastAsia="ArialMT" w:cs="Times New Roman"/>
          <w:szCs w:val="20"/>
          <w:lang w:val="en-IE"/>
        </w:rPr>
      </w:pPr>
      <w:r w:rsidRPr="00053BBB">
        <w:rPr>
          <w:rFonts w:eastAsia="ArialMT" w:cs="Times New Roman"/>
          <w:szCs w:val="20"/>
          <w:lang w:val="en-IE"/>
        </w:rPr>
        <w:t>Website: www.aquapath.lab.arizona.edu</w:t>
      </w:r>
    </w:p>
    <w:p w14:paraId="12C702F0" w14:textId="77777777" w:rsidR="00F97A0D" w:rsidRPr="00053BBB" w:rsidRDefault="00F97A0D" w:rsidP="00BC5907">
      <w:pPr>
        <w:tabs>
          <w:tab w:val="left" w:pos="5648"/>
        </w:tabs>
        <w:spacing w:after="120" w:line="240" w:lineRule="auto"/>
        <w:ind w:left="992"/>
        <w:rPr>
          <w:rFonts w:cs="Times New Roman"/>
          <w:szCs w:val="20"/>
          <w:lang w:val="en-IE"/>
        </w:rPr>
      </w:pPr>
      <w:r w:rsidRPr="00053BBB">
        <w:rPr>
          <w:rFonts w:cs="Times New Roman"/>
          <w:iCs/>
          <w:szCs w:val="20"/>
          <w:lang w:val="en-IE"/>
        </w:rPr>
        <w:t xml:space="preserve">Designated Reference Expert: </w:t>
      </w:r>
      <w:r w:rsidRPr="00053BBB">
        <w:rPr>
          <w:rFonts w:eastAsia="ArialMT" w:cs="Times New Roman"/>
          <w:szCs w:val="20"/>
        </w:rPr>
        <w:t>Dr Arun Dhar</w:t>
      </w:r>
    </w:p>
    <w:p w14:paraId="77C8773E" w14:textId="77777777" w:rsidR="00F97A0D" w:rsidRPr="00053BBB" w:rsidRDefault="00F97A0D" w:rsidP="00FA6BA0">
      <w:pPr>
        <w:pStyle w:val="para110"/>
        <w:spacing w:after="0"/>
        <w:ind w:left="993"/>
        <w:jc w:val="left"/>
        <w:rPr>
          <w:i/>
          <w:iCs/>
          <w:lang w:val="en-IE"/>
        </w:rPr>
      </w:pPr>
      <w:r w:rsidRPr="00053BBB">
        <w:rPr>
          <w:iCs/>
          <w:lang w:val="en-IE"/>
        </w:rPr>
        <w:t>OIE</w:t>
      </w:r>
      <w:r w:rsidRPr="00053BBB">
        <w:rPr>
          <w:i/>
          <w:iCs/>
          <w:lang w:val="en-IE"/>
        </w:rPr>
        <w:t xml:space="preserve"> Reference Laboratory for </w:t>
      </w:r>
      <w:r w:rsidRPr="00053BBB">
        <w:rPr>
          <w:rStyle w:val="shorttext"/>
          <w:i/>
          <w:lang w:val="en-IE"/>
        </w:rPr>
        <w:t xml:space="preserve">White spot syndrome virus </w:t>
      </w:r>
    </w:p>
    <w:p w14:paraId="60937F5B" w14:textId="77777777" w:rsidR="00F97A0D" w:rsidRPr="00053BBB" w:rsidRDefault="00F97A0D" w:rsidP="00FA6BA0">
      <w:pPr>
        <w:ind w:left="993"/>
        <w:rPr>
          <w:rFonts w:eastAsia="ArialMT" w:cs="Times New Roman"/>
          <w:szCs w:val="20"/>
          <w:lang w:val="en-IE"/>
        </w:rPr>
      </w:pPr>
      <w:r w:rsidRPr="00053BBB">
        <w:rPr>
          <w:rFonts w:eastAsia="ArialMT" w:cs="Times New Roman"/>
          <w:szCs w:val="20"/>
        </w:rPr>
        <w:t>Aquaculture Pathology Laboratory, School of Animal and Comparative Biomedical Sciences, University of Arizona, 1117 E Lowell St., Tucson, Arizona 85721, UNITED STATES OF AMERICA</w:t>
      </w:r>
      <w:r w:rsidRPr="00053BBB">
        <w:rPr>
          <w:rFonts w:eastAsia="ArialMT" w:cs="Times New Roman"/>
          <w:szCs w:val="20"/>
        </w:rPr>
        <w:br/>
        <w:t>Tel: +1-520 621 4438</w:t>
      </w:r>
      <w:r w:rsidRPr="00053BBB">
        <w:rPr>
          <w:rFonts w:eastAsia="ArialMT" w:cs="Times New Roman"/>
          <w:szCs w:val="20"/>
        </w:rPr>
        <w:br/>
        <w:t xml:space="preserve">Email: </w:t>
      </w:r>
      <w:hyperlink r:id="rId17" w:history="1">
        <w:r w:rsidRPr="00053BBB">
          <w:rPr>
            <w:rStyle w:val="Lienhypertexte"/>
            <w:rFonts w:eastAsia="ArialMT" w:cs="Times New Roman"/>
            <w:szCs w:val="20"/>
          </w:rPr>
          <w:t>aquapath@cals.arizona.edu</w:t>
        </w:r>
      </w:hyperlink>
      <w:r w:rsidRPr="00053BBB">
        <w:rPr>
          <w:rFonts w:eastAsia="ArialMT" w:cs="Times New Roman"/>
          <w:szCs w:val="20"/>
        </w:rPr>
        <w:t xml:space="preserve"> ; </w:t>
      </w:r>
      <w:hyperlink r:id="rId18" w:history="1">
        <w:r w:rsidRPr="00053BBB">
          <w:rPr>
            <w:rStyle w:val="Lienhypertexte"/>
            <w:rFonts w:eastAsia="ArialMT" w:cs="Times New Roman"/>
            <w:szCs w:val="20"/>
          </w:rPr>
          <w:t>adhar@email.arizona.edu</w:t>
        </w:r>
      </w:hyperlink>
    </w:p>
    <w:p w14:paraId="1589AD63" w14:textId="77777777" w:rsidR="00F97A0D" w:rsidRPr="00053BBB" w:rsidRDefault="00F97A0D" w:rsidP="001D5EB7">
      <w:pPr>
        <w:spacing w:after="240" w:line="240" w:lineRule="auto"/>
        <w:ind w:left="992"/>
        <w:rPr>
          <w:rFonts w:eastAsia="ArialMT" w:cs="Times New Roman"/>
          <w:szCs w:val="20"/>
          <w:lang w:val="en-IE"/>
        </w:rPr>
      </w:pPr>
      <w:r w:rsidRPr="00053BBB">
        <w:rPr>
          <w:rFonts w:eastAsia="ArialMT" w:cs="Times New Roman"/>
          <w:szCs w:val="20"/>
          <w:lang w:val="en-IE"/>
        </w:rPr>
        <w:t>Website: www.aquapath.lab.arizona.edu</w:t>
      </w:r>
    </w:p>
    <w:p w14:paraId="5DCD74F2" w14:textId="77777777" w:rsidR="00F97A0D" w:rsidRPr="00053BBB" w:rsidRDefault="00F97A0D" w:rsidP="00FA6BA0">
      <w:pPr>
        <w:tabs>
          <w:tab w:val="left" w:pos="5648"/>
        </w:tabs>
        <w:spacing w:after="240"/>
        <w:ind w:left="993"/>
        <w:rPr>
          <w:rFonts w:cs="Times New Roman"/>
          <w:szCs w:val="20"/>
          <w:lang w:val="en-IE"/>
        </w:rPr>
      </w:pPr>
      <w:r w:rsidRPr="00053BBB">
        <w:rPr>
          <w:rFonts w:cs="Times New Roman"/>
          <w:iCs/>
          <w:szCs w:val="20"/>
          <w:lang w:val="en-IE"/>
        </w:rPr>
        <w:t xml:space="preserve">Designated Reference Expert: </w:t>
      </w:r>
      <w:r w:rsidRPr="00053BBB">
        <w:rPr>
          <w:rFonts w:eastAsia="ArialMT" w:cs="Times New Roman"/>
          <w:szCs w:val="20"/>
        </w:rPr>
        <w:t>Dr Arun Dhar</w:t>
      </w:r>
    </w:p>
    <w:p w14:paraId="2E0C5AC8" w14:textId="77777777" w:rsidR="00F97A0D" w:rsidRPr="00053BBB" w:rsidRDefault="00F97A0D" w:rsidP="00FA6BA0">
      <w:pPr>
        <w:pStyle w:val="para110"/>
        <w:spacing w:after="0"/>
        <w:ind w:left="993"/>
        <w:jc w:val="left"/>
        <w:rPr>
          <w:i/>
          <w:iCs/>
          <w:lang w:val="en-IE"/>
        </w:rPr>
      </w:pPr>
      <w:r w:rsidRPr="00053BBB">
        <w:rPr>
          <w:iCs/>
          <w:lang w:val="en-IE"/>
        </w:rPr>
        <w:t>OIE</w:t>
      </w:r>
      <w:r w:rsidRPr="00053BBB">
        <w:rPr>
          <w:i/>
          <w:iCs/>
          <w:lang w:val="en-IE"/>
        </w:rPr>
        <w:t xml:space="preserve"> Reference Laboratory for </w:t>
      </w:r>
      <w:r w:rsidRPr="00053BBB">
        <w:rPr>
          <w:rStyle w:val="shorttext"/>
          <w:i/>
          <w:lang w:val="en-IE"/>
        </w:rPr>
        <w:t xml:space="preserve">Infectious hypodermal and haematopoietic necrosis </w:t>
      </w:r>
    </w:p>
    <w:p w14:paraId="2B036F98" w14:textId="77777777" w:rsidR="00F97A0D" w:rsidRPr="00053BBB" w:rsidRDefault="00F97A0D" w:rsidP="00FA6BA0">
      <w:pPr>
        <w:ind w:left="993"/>
        <w:rPr>
          <w:rFonts w:eastAsia="ArialMT" w:cs="Times New Roman"/>
          <w:szCs w:val="20"/>
          <w:lang w:val="en-IE"/>
        </w:rPr>
      </w:pPr>
      <w:r w:rsidRPr="00053BBB">
        <w:rPr>
          <w:rFonts w:eastAsia="ArialMT" w:cs="Times New Roman"/>
          <w:szCs w:val="20"/>
        </w:rPr>
        <w:t>Aquaculture Pathology Laboratory, School of Animal and Comparative Biomedical Sciences, University of Arizona, 1117 E Lowell St., Tucson, Arizona 85721, UNITED STATES OF AMERICA</w:t>
      </w:r>
      <w:r w:rsidRPr="00053BBB">
        <w:rPr>
          <w:rFonts w:eastAsia="ArialMT" w:cs="Times New Roman"/>
          <w:szCs w:val="20"/>
        </w:rPr>
        <w:br/>
        <w:t>Tel: +1-520 621 4438</w:t>
      </w:r>
      <w:r w:rsidRPr="00053BBB">
        <w:rPr>
          <w:rFonts w:eastAsia="ArialMT" w:cs="Times New Roman"/>
          <w:szCs w:val="20"/>
        </w:rPr>
        <w:br/>
        <w:t xml:space="preserve">Email: </w:t>
      </w:r>
      <w:hyperlink r:id="rId19" w:history="1">
        <w:r w:rsidRPr="00053BBB">
          <w:rPr>
            <w:rStyle w:val="Lienhypertexte"/>
            <w:rFonts w:eastAsia="ArialMT" w:cs="Times New Roman"/>
            <w:szCs w:val="20"/>
          </w:rPr>
          <w:t>aquapath@cals.arizona.edu</w:t>
        </w:r>
      </w:hyperlink>
      <w:r w:rsidRPr="00053BBB">
        <w:rPr>
          <w:rFonts w:eastAsia="ArialMT" w:cs="Times New Roman"/>
          <w:szCs w:val="20"/>
        </w:rPr>
        <w:t xml:space="preserve"> ; </w:t>
      </w:r>
      <w:hyperlink r:id="rId20" w:history="1">
        <w:r w:rsidRPr="00053BBB">
          <w:rPr>
            <w:rStyle w:val="Lienhypertexte"/>
            <w:rFonts w:eastAsia="ArialMT" w:cs="Times New Roman"/>
            <w:szCs w:val="20"/>
          </w:rPr>
          <w:t>adhar@email.arizona.edu</w:t>
        </w:r>
      </w:hyperlink>
    </w:p>
    <w:p w14:paraId="3DDCD1E4" w14:textId="7ECF2F08" w:rsidR="00F97A0D" w:rsidRDefault="00F97A0D" w:rsidP="00FA6BA0">
      <w:pPr>
        <w:ind w:left="993"/>
        <w:rPr>
          <w:rFonts w:eastAsia="ArialMT" w:cs="Times New Roman"/>
          <w:szCs w:val="20"/>
          <w:lang w:val="en-IE"/>
        </w:rPr>
      </w:pPr>
      <w:r w:rsidRPr="00053BBB">
        <w:rPr>
          <w:rFonts w:eastAsia="ArialMT" w:cs="Times New Roman"/>
          <w:szCs w:val="20"/>
          <w:lang w:val="en-IE"/>
        </w:rPr>
        <w:t xml:space="preserve">Website: </w:t>
      </w:r>
      <w:hyperlink r:id="rId21" w:history="1">
        <w:r w:rsidR="00BC5907" w:rsidRPr="00CC0F26">
          <w:rPr>
            <w:rStyle w:val="Lienhypertexte"/>
            <w:rFonts w:eastAsia="ArialMT" w:cs="Times New Roman"/>
            <w:szCs w:val="20"/>
            <w:lang w:val="en-IE"/>
          </w:rPr>
          <w:t>www.aquapath.lab.arizona.edu</w:t>
        </w:r>
      </w:hyperlink>
    </w:p>
    <w:p w14:paraId="5B6CF018" w14:textId="15CF6267" w:rsidR="00F97A0D" w:rsidRPr="00053BBB" w:rsidRDefault="00F97A0D" w:rsidP="001D5EB7">
      <w:pPr>
        <w:tabs>
          <w:tab w:val="left" w:pos="5648"/>
        </w:tabs>
        <w:spacing w:after="240" w:line="240" w:lineRule="auto"/>
        <w:ind w:left="992"/>
        <w:jc w:val="both"/>
        <w:rPr>
          <w:rFonts w:cs="Times New Roman"/>
          <w:szCs w:val="20"/>
          <w:lang w:val="en-IE"/>
        </w:rPr>
      </w:pPr>
      <w:r w:rsidRPr="00053BBB">
        <w:rPr>
          <w:rFonts w:cs="Times New Roman"/>
          <w:iCs/>
          <w:szCs w:val="20"/>
          <w:lang w:val="en-IE"/>
        </w:rPr>
        <w:t xml:space="preserve">Designated Reference Expert: </w:t>
      </w:r>
      <w:r w:rsidRPr="00053BBB">
        <w:rPr>
          <w:rFonts w:eastAsia="ArialMT" w:cs="Times New Roman"/>
          <w:szCs w:val="20"/>
        </w:rPr>
        <w:t>Dr Arun Dhar</w:t>
      </w:r>
    </w:p>
    <w:p w14:paraId="7D43A181" w14:textId="77777777" w:rsidR="00F97A0D" w:rsidRPr="00053BBB" w:rsidRDefault="00F97A0D" w:rsidP="00FA6BA0">
      <w:pPr>
        <w:pStyle w:val="para110"/>
        <w:spacing w:after="0"/>
        <w:ind w:left="993"/>
        <w:jc w:val="left"/>
        <w:rPr>
          <w:i/>
          <w:iCs/>
          <w:lang w:val="en-IE"/>
        </w:rPr>
      </w:pPr>
      <w:r w:rsidRPr="00053BBB">
        <w:rPr>
          <w:iCs/>
          <w:lang w:val="en-IE"/>
        </w:rPr>
        <w:t>OIE</w:t>
      </w:r>
      <w:r w:rsidRPr="00053BBB">
        <w:rPr>
          <w:i/>
          <w:iCs/>
          <w:lang w:val="en-IE"/>
        </w:rPr>
        <w:t xml:space="preserve"> Reference Laboratory for </w:t>
      </w:r>
      <w:r w:rsidRPr="00053BBB">
        <w:rPr>
          <w:lang w:val="en-GB"/>
        </w:rPr>
        <w:t>Hepatobacter penaei</w:t>
      </w:r>
      <w:r w:rsidRPr="00053BBB">
        <w:rPr>
          <w:i/>
          <w:iCs/>
          <w:lang w:val="en-GB"/>
        </w:rPr>
        <w:t xml:space="preserve"> </w:t>
      </w:r>
      <w:r w:rsidRPr="00053BBB">
        <w:rPr>
          <w:lang w:val="en-GB"/>
        </w:rPr>
        <w:t>(</w:t>
      </w:r>
      <w:r w:rsidRPr="00053BBB">
        <w:rPr>
          <w:i/>
          <w:iCs/>
          <w:lang w:val="en-GB"/>
        </w:rPr>
        <w:t>necrotising hepatopancreatitis</w:t>
      </w:r>
      <w:r w:rsidRPr="00053BBB">
        <w:rPr>
          <w:lang w:val="en-GB"/>
        </w:rPr>
        <w:t>)</w:t>
      </w:r>
    </w:p>
    <w:p w14:paraId="2697DB6F" w14:textId="77777777" w:rsidR="00F97A0D" w:rsidRPr="00053BBB" w:rsidRDefault="00F97A0D" w:rsidP="00BC5907">
      <w:pPr>
        <w:spacing w:after="120" w:line="240" w:lineRule="auto"/>
        <w:ind w:left="992"/>
        <w:rPr>
          <w:rFonts w:eastAsia="ArialMT" w:cs="Times New Roman"/>
          <w:szCs w:val="20"/>
          <w:lang w:val="en-IE"/>
        </w:rPr>
      </w:pPr>
      <w:r w:rsidRPr="00053BBB">
        <w:rPr>
          <w:rFonts w:eastAsia="ArialMT" w:cs="Times New Roman"/>
          <w:szCs w:val="20"/>
        </w:rPr>
        <w:t>Aquaculture Pathology Laboratory, School of Animal and Comparative Biomedical Sciences, University of Arizona, 1117 E Lowell St., Tucson, Arizona 85721, UNITED STATES OF AMERICA</w:t>
      </w:r>
      <w:r w:rsidRPr="00053BBB">
        <w:rPr>
          <w:rFonts w:eastAsia="ArialMT" w:cs="Times New Roman"/>
          <w:szCs w:val="20"/>
        </w:rPr>
        <w:br/>
        <w:t>Tel: +1-520 621 4438</w:t>
      </w:r>
      <w:r w:rsidRPr="00053BBB">
        <w:rPr>
          <w:rFonts w:eastAsia="ArialMT" w:cs="Times New Roman"/>
          <w:szCs w:val="20"/>
        </w:rPr>
        <w:br/>
        <w:t xml:space="preserve">Email: </w:t>
      </w:r>
      <w:hyperlink r:id="rId22" w:history="1">
        <w:r w:rsidRPr="00053BBB">
          <w:rPr>
            <w:rStyle w:val="Lienhypertexte"/>
            <w:rFonts w:eastAsia="ArialMT" w:cs="Times New Roman"/>
            <w:szCs w:val="20"/>
          </w:rPr>
          <w:t>lfarangu@email.arizona.edu</w:t>
        </w:r>
      </w:hyperlink>
      <w:r w:rsidRPr="00053BBB">
        <w:rPr>
          <w:rFonts w:eastAsia="ArialMT" w:cs="Times New Roman"/>
          <w:szCs w:val="20"/>
        </w:rPr>
        <w:t xml:space="preserve"> </w:t>
      </w:r>
      <w:r w:rsidRPr="00053BBB">
        <w:rPr>
          <w:rFonts w:eastAsia="ArialMT" w:cs="Times New Roman"/>
          <w:szCs w:val="20"/>
          <w:lang w:val="en-IE"/>
        </w:rPr>
        <w:t xml:space="preserve"> </w:t>
      </w:r>
    </w:p>
    <w:p w14:paraId="2AC9F7AF" w14:textId="77777777" w:rsidR="00F97A0D" w:rsidRPr="00053BBB" w:rsidRDefault="00F97A0D" w:rsidP="00BC5907">
      <w:pPr>
        <w:spacing w:after="120" w:line="240" w:lineRule="auto"/>
        <w:ind w:left="992"/>
        <w:jc w:val="both"/>
        <w:rPr>
          <w:rFonts w:eastAsia="ArialMT" w:cs="Times New Roman"/>
          <w:szCs w:val="20"/>
          <w:lang w:val="en-IE"/>
        </w:rPr>
      </w:pPr>
      <w:r w:rsidRPr="00053BBB">
        <w:rPr>
          <w:rFonts w:eastAsia="ArialMT" w:cs="Times New Roman"/>
          <w:szCs w:val="20"/>
          <w:lang w:val="en-IE"/>
        </w:rPr>
        <w:t>Website: www.aquapath.lab.arizona.edu</w:t>
      </w:r>
    </w:p>
    <w:p w14:paraId="212FBD8E" w14:textId="77777777" w:rsidR="00F97A0D" w:rsidRPr="00053BBB" w:rsidRDefault="00F97A0D" w:rsidP="00FA6BA0">
      <w:pPr>
        <w:tabs>
          <w:tab w:val="left" w:pos="5648"/>
        </w:tabs>
        <w:spacing w:after="240"/>
        <w:ind w:left="993"/>
        <w:jc w:val="both"/>
        <w:rPr>
          <w:rFonts w:cs="Times New Roman"/>
          <w:szCs w:val="20"/>
          <w:lang w:val="en-IE"/>
        </w:rPr>
      </w:pPr>
      <w:r w:rsidRPr="00053BBB">
        <w:rPr>
          <w:rFonts w:cs="Times New Roman"/>
          <w:iCs/>
          <w:szCs w:val="20"/>
          <w:lang w:val="en-IE"/>
        </w:rPr>
        <w:t xml:space="preserve">Designated Reference Expert: </w:t>
      </w:r>
      <w:r w:rsidRPr="00053BBB">
        <w:rPr>
          <w:rFonts w:eastAsia="ArialMT" w:cs="Times New Roman"/>
          <w:szCs w:val="20"/>
        </w:rPr>
        <w:t>Dr Luis Fernando Aranguren</w:t>
      </w:r>
    </w:p>
    <w:p w14:paraId="3F87C747" w14:textId="3079374B" w:rsidR="00F97A0D" w:rsidRDefault="00F97A0D" w:rsidP="00FA6BA0">
      <w:pPr>
        <w:pStyle w:val="Titre2"/>
        <w:spacing w:before="0" w:after="240" w:line="240" w:lineRule="auto"/>
        <w:ind w:left="993" w:hanging="567"/>
        <w:jc w:val="both"/>
        <w:rPr>
          <w:rFonts w:eastAsia="MS Mincho"/>
          <w:b/>
          <w:bCs/>
          <w:lang w:eastAsia="ja-JP"/>
        </w:rPr>
      </w:pPr>
      <w:bookmarkStart w:id="54" w:name="_Toc38028651"/>
      <w:r w:rsidRPr="00FD586B">
        <w:rPr>
          <w:rFonts w:eastAsia="MS Mincho"/>
          <w:b/>
          <w:bCs/>
          <w:lang w:eastAsia="ja-JP"/>
        </w:rPr>
        <w:t>10.2.</w:t>
      </w:r>
      <w:r w:rsidRPr="00FD586B">
        <w:rPr>
          <w:rFonts w:eastAsia="MS Mincho"/>
          <w:b/>
          <w:bCs/>
          <w:lang w:eastAsia="ja-JP"/>
        </w:rPr>
        <w:tab/>
        <w:t>Evaluation of annual reports from the OIE Reference Laboratories</w:t>
      </w:r>
      <w:bookmarkEnd w:id="54"/>
    </w:p>
    <w:p w14:paraId="56F4CEB3" w14:textId="77777777" w:rsidR="00F97A0D" w:rsidRPr="000232E4" w:rsidRDefault="00F97A0D" w:rsidP="00D31BA5">
      <w:pPr>
        <w:ind w:left="993"/>
        <w:jc w:val="both"/>
        <w:rPr>
          <w:rFonts w:cs="Times New Roman"/>
          <w:szCs w:val="20"/>
          <w:lang w:val="en-IE"/>
        </w:rPr>
      </w:pPr>
      <w:r w:rsidRPr="000232E4">
        <w:rPr>
          <w:rFonts w:cs="Times New Roman"/>
          <w:szCs w:val="20"/>
          <w:lang w:val="en-IE"/>
        </w:rPr>
        <w:t xml:space="preserve">Annual reports had been received from all but one OIE Reference Laboratory for diseases of aquatic animals and all Collaborating Centres for aquatic animal issues. A letter would be sent to the laboratory that did not submit a report reminding the expert of his obligations and asking that a report be submitted for review at the September 2020 meeting of the Aquatic Animals Commission. </w:t>
      </w:r>
    </w:p>
    <w:p w14:paraId="6579292C" w14:textId="77777777" w:rsidR="001D5EB7" w:rsidRDefault="001D5EB7">
      <w:pPr>
        <w:rPr>
          <w:rFonts w:cs="Times New Roman"/>
          <w:szCs w:val="20"/>
          <w:lang w:val="en-IE"/>
        </w:rPr>
      </w:pPr>
      <w:r>
        <w:rPr>
          <w:rFonts w:cs="Times New Roman"/>
          <w:szCs w:val="20"/>
          <w:lang w:val="en-IE"/>
        </w:rPr>
        <w:br w:type="page"/>
      </w:r>
    </w:p>
    <w:p w14:paraId="08AA960D" w14:textId="2FAEF1A6" w:rsidR="00F97A0D" w:rsidRPr="000232E4" w:rsidRDefault="00F97A0D" w:rsidP="00D31BA5">
      <w:pPr>
        <w:ind w:left="993"/>
        <w:jc w:val="both"/>
        <w:rPr>
          <w:rFonts w:cs="Times New Roman"/>
          <w:szCs w:val="20"/>
          <w:lang w:val="en-IE"/>
        </w:rPr>
      </w:pPr>
      <w:r w:rsidRPr="000232E4">
        <w:rPr>
          <w:rFonts w:cs="Times New Roman"/>
          <w:szCs w:val="20"/>
          <w:lang w:val="en-IE"/>
        </w:rPr>
        <w:lastRenderedPageBreak/>
        <w:t xml:space="preserve">In accordance with the adopted </w:t>
      </w:r>
      <w:r w:rsidRPr="000232E4">
        <w:rPr>
          <w:rFonts w:eastAsia="MS Mincho" w:cs="Times New Roman"/>
          <w:i/>
          <w:szCs w:val="20"/>
          <w:lang w:val="en-IE" w:eastAsia="ja-JP"/>
        </w:rPr>
        <w:t>Procedures for designation of OIE Reference Laboratories</w:t>
      </w:r>
      <w:r w:rsidRPr="000232E4">
        <w:rPr>
          <w:rFonts w:eastAsia="MS Mincho" w:cs="Times New Roman"/>
          <w:szCs w:val="20"/>
          <w:lang w:val="en-IE" w:eastAsia="ja-JP"/>
        </w:rPr>
        <w:t xml:space="preserve"> (the SOPs) (</w:t>
      </w:r>
      <w:hyperlink r:id="rId23" w:history="1">
        <w:r w:rsidRPr="000232E4">
          <w:rPr>
            <w:rStyle w:val="Lienhypertexte"/>
            <w:rFonts w:eastAsia="MS Mincho" w:cs="Times New Roman"/>
            <w:szCs w:val="20"/>
            <w:lang w:val="en-IE" w:eastAsia="ja-JP"/>
          </w:rPr>
          <w:t>http://www.oie.int/en/scientific-expertise/reference-laboratories/sops/</w:t>
        </w:r>
      </w:hyperlink>
      <w:r w:rsidRPr="000232E4">
        <w:rPr>
          <w:rFonts w:eastAsia="MS Mincho" w:cs="Times New Roman"/>
          <w:szCs w:val="20"/>
          <w:lang w:val="en-IE" w:eastAsia="ja-JP"/>
        </w:rPr>
        <w:t xml:space="preserve">) and the </w:t>
      </w:r>
      <w:r w:rsidRPr="000232E4">
        <w:rPr>
          <w:rFonts w:eastAsia="MS Mincho" w:cs="Times New Roman"/>
          <w:i/>
          <w:szCs w:val="20"/>
          <w:lang w:val="en-IE" w:eastAsia="ja-JP"/>
        </w:rPr>
        <w:t>Procedures for designation of OIE Collaborating Centres</w:t>
      </w:r>
      <w:r w:rsidRPr="000232E4">
        <w:rPr>
          <w:rFonts w:eastAsia="MS Mincho" w:cs="Times New Roman"/>
          <w:szCs w:val="20"/>
          <w:lang w:val="en-IE" w:eastAsia="ja-JP"/>
        </w:rPr>
        <w:t xml:space="preserve"> </w:t>
      </w:r>
      <w:hyperlink r:id="rId24" w:history="1">
        <w:r w:rsidRPr="000232E4">
          <w:rPr>
            <w:rStyle w:val="Lienhypertexte"/>
            <w:rFonts w:eastAsia="MS Mincho" w:cs="Times New Roman"/>
            <w:szCs w:val="20"/>
            <w:lang w:val="en-IE" w:eastAsia="ja-JP"/>
          </w:rPr>
          <w:t>http://www.oie.int/en/scientific-expertise/collaborating-centres/sops/</w:t>
        </w:r>
      </w:hyperlink>
      <w:r w:rsidRPr="000232E4">
        <w:rPr>
          <w:rFonts w:eastAsia="MS Mincho" w:cs="Times New Roman"/>
          <w:szCs w:val="20"/>
          <w:lang w:val="en-IE" w:eastAsia="ja-JP"/>
        </w:rPr>
        <w:t>, the</w:t>
      </w:r>
      <w:r w:rsidRPr="000232E4">
        <w:rPr>
          <w:rFonts w:cs="Times New Roman"/>
          <w:szCs w:val="20"/>
          <w:lang w:val="en-IE"/>
        </w:rPr>
        <w:t xml:space="preserve"> Commission reviewed all the reports received, noting in particular the performance of each Reference Centre with regard to fulfilling the Terms of Reference (ToR) to the benefit of OIE Members. </w:t>
      </w:r>
    </w:p>
    <w:p w14:paraId="134B2F37" w14:textId="77777777" w:rsidR="00F97A0D" w:rsidRPr="000232E4" w:rsidRDefault="00F97A0D" w:rsidP="00D31BA5">
      <w:pPr>
        <w:ind w:left="993"/>
        <w:jc w:val="both"/>
        <w:rPr>
          <w:rFonts w:cs="Times New Roman"/>
          <w:szCs w:val="20"/>
          <w:lang w:val="en-IE"/>
        </w:rPr>
      </w:pPr>
      <w:r w:rsidRPr="000232E4">
        <w:rPr>
          <w:rFonts w:cs="Times New Roman"/>
          <w:szCs w:val="20"/>
          <w:lang w:val="en-IE"/>
        </w:rPr>
        <w:t>The Commission noted the significant contributions that had been made by Reference Laboratories during 2019 and wished to thank designated experts for leading these valuable contributions to the OIE mission. The Commission did, however, identify one Reference Laboratory that was not complying with key ToR. The laboratory concerned would be requested to provide an explanation of their situation and possible reasons for the lack of activity; the Delegate will be in copy of all correspondence.</w:t>
      </w:r>
    </w:p>
    <w:p w14:paraId="465F1730" w14:textId="77777777" w:rsidR="00F97A0D" w:rsidRPr="000232E4" w:rsidRDefault="00F97A0D" w:rsidP="00D31BA5">
      <w:pPr>
        <w:ind w:left="993"/>
        <w:jc w:val="both"/>
        <w:rPr>
          <w:rFonts w:cs="Times New Roman"/>
          <w:szCs w:val="20"/>
          <w:lang w:val="en-IE"/>
        </w:rPr>
      </w:pPr>
      <w:r w:rsidRPr="000232E4">
        <w:rPr>
          <w:rFonts w:cs="Times New Roman"/>
          <w:szCs w:val="20"/>
          <w:lang w:val="en-IE"/>
        </w:rPr>
        <w:t xml:space="preserve">The Aquatic Animals Commission expressed its on-going appreciation for the enthusiastic support and expert advice given to the OIE by the Reference Centres. </w:t>
      </w:r>
    </w:p>
    <w:p w14:paraId="49096DD8" w14:textId="03AA2094" w:rsidR="00F97A0D" w:rsidRDefault="00F97A0D" w:rsidP="00D31BA5">
      <w:pPr>
        <w:pStyle w:val="Titre2"/>
        <w:spacing w:before="0" w:after="240" w:line="240" w:lineRule="auto"/>
        <w:ind w:left="990" w:hanging="540"/>
        <w:jc w:val="both"/>
        <w:rPr>
          <w:rFonts w:eastAsia="MS Mincho"/>
          <w:b/>
          <w:bCs/>
          <w:lang w:eastAsia="ja-JP"/>
        </w:rPr>
      </w:pPr>
      <w:bookmarkStart w:id="55" w:name="_Toc38028652"/>
      <w:r w:rsidRPr="00FD586B">
        <w:rPr>
          <w:rFonts w:eastAsia="MS Mincho"/>
          <w:b/>
          <w:bCs/>
          <w:lang w:eastAsia="ja-JP"/>
        </w:rPr>
        <w:t>10.3.</w:t>
      </w:r>
      <w:r w:rsidRPr="00FD586B">
        <w:rPr>
          <w:rFonts w:eastAsia="MS Mincho"/>
          <w:b/>
          <w:bCs/>
          <w:lang w:eastAsia="ja-JP"/>
        </w:rPr>
        <w:tab/>
        <w:t xml:space="preserve">Evaluation of the 5-year work plans from the OIE Collaborating Centres for </w:t>
      </w:r>
      <w:r w:rsidR="00FD65D0">
        <w:rPr>
          <w:rFonts w:eastAsia="MS Mincho"/>
          <w:b/>
          <w:bCs/>
          <w:lang w:eastAsia="ja-JP"/>
        </w:rPr>
        <w:t>D</w:t>
      </w:r>
      <w:r w:rsidRPr="00FD586B">
        <w:rPr>
          <w:rFonts w:eastAsia="MS Mincho"/>
          <w:b/>
          <w:bCs/>
          <w:lang w:eastAsia="ja-JP"/>
        </w:rPr>
        <w:t>isease of Aquatic Animals</w:t>
      </w:r>
      <w:bookmarkEnd w:id="55"/>
    </w:p>
    <w:p w14:paraId="09C7D668" w14:textId="77777777" w:rsidR="00F97A0D" w:rsidRPr="00096598" w:rsidRDefault="00F97A0D" w:rsidP="00D31BA5">
      <w:pPr>
        <w:pStyle w:val="para110"/>
        <w:widowControl w:val="0"/>
        <w:ind w:left="993"/>
        <w:rPr>
          <w:lang w:val="en-IE"/>
        </w:rPr>
      </w:pPr>
      <w:r w:rsidRPr="00096598">
        <w:rPr>
          <w:color w:val="000000"/>
          <w:lang w:val="en-IE"/>
        </w:rPr>
        <w:t xml:space="preserve">The </w:t>
      </w:r>
      <w:r w:rsidRPr="007C0B52">
        <w:rPr>
          <w:lang w:val="en-IE"/>
        </w:rPr>
        <w:t>Aquatic Animals Commission</w:t>
      </w:r>
      <w:r w:rsidRPr="00096598">
        <w:rPr>
          <w:color w:val="000000"/>
          <w:lang w:val="en-IE"/>
        </w:rPr>
        <w:t xml:space="preserve"> reviewed the 5-year work plans that had been received</w:t>
      </w:r>
      <w:r>
        <w:rPr>
          <w:color w:val="000000"/>
          <w:lang w:val="en-IE"/>
        </w:rPr>
        <w:t xml:space="preserve"> from two of the three Collaborating Centres. The </w:t>
      </w:r>
      <w:r w:rsidRPr="007C0B52">
        <w:rPr>
          <w:lang w:val="en-IE"/>
        </w:rPr>
        <w:t>Commission</w:t>
      </w:r>
      <w:r>
        <w:rPr>
          <w:color w:val="000000"/>
          <w:lang w:val="en-IE"/>
        </w:rPr>
        <w:t xml:space="preserve"> was impressed by the range of activities and their relevance to the OIE Aquatic Animal Health Strategy. The </w:t>
      </w:r>
      <w:r w:rsidRPr="007C0B52">
        <w:rPr>
          <w:lang w:val="en-IE"/>
        </w:rPr>
        <w:t>Commission</w:t>
      </w:r>
      <w:r>
        <w:rPr>
          <w:color w:val="000000"/>
          <w:lang w:val="en-IE"/>
        </w:rPr>
        <w:t xml:space="preserve"> provided feedback on the use of the work plan template to one of </w:t>
      </w:r>
      <w:r w:rsidRPr="00096598">
        <w:rPr>
          <w:color w:val="000000"/>
          <w:lang w:val="en-IE"/>
        </w:rPr>
        <w:t>th</w:t>
      </w:r>
      <w:r>
        <w:rPr>
          <w:color w:val="000000"/>
          <w:lang w:val="en-IE"/>
        </w:rPr>
        <w:t>es</w:t>
      </w:r>
      <w:r w:rsidRPr="00096598">
        <w:rPr>
          <w:color w:val="000000"/>
          <w:lang w:val="en-IE"/>
        </w:rPr>
        <w:t xml:space="preserve">e Collaborating Centres. </w:t>
      </w:r>
      <w:r>
        <w:rPr>
          <w:color w:val="000000"/>
          <w:lang w:val="en-IE"/>
        </w:rPr>
        <w:t xml:space="preserve">The remaining Centre would be asked to submit a work plan for review at the next </w:t>
      </w:r>
      <w:r w:rsidRPr="007C0B52">
        <w:rPr>
          <w:lang w:val="en-IE"/>
        </w:rPr>
        <w:t>Commission</w:t>
      </w:r>
      <w:r>
        <w:rPr>
          <w:color w:val="000000"/>
          <w:lang w:val="en-IE"/>
        </w:rPr>
        <w:t xml:space="preserve"> meeting in September 2020.</w:t>
      </w:r>
    </w:p>
    <w:p w14:paraId="477B3A0A" w14:textId="4187AF5E" w:rsidR="00B62AA5" w:rsidRPr="0043431B" w:rsidRDefault="00B62AA5" w:rsidP="00B62AA5">
      <w:pPr>
        <w:pStyle w:val="Titre1"/>
        <w:spacing w:before="0" w:after="240" w:line="240" w:lineRule="auto"/>
        <w:ind w:left="426" w:hanging="426"/>
        <w:rPr>
          <w:rFonts w:ascii="Times New Roman" w:hAnsi="Times New Roman" w:cs="Times New Roman"/>
          <w:b/>
          <w:bCs/>
          <w:color w:val="auto"/>
          <w:sz w:val="20"/>
          <w:szCs w:val="20"/>
        </w:rPr>
      </w:pPr>
      <w:bookmarkStart w:id="56" w:name="_Toc38028653"/>
      <w:bookmarkStart w:id="57" w:name="_Hlk33094633"/>
      <w:r w:rsidRPr="0043431B">
        <w:rPr>
          <w:rFonts w:ascii="Times New Roman" w:hAnsi="Times New Roman" w:cs="Times New Roman"/>
          <w:b/>
          <w:bCs/>
          <w:color w:val="auto"/>
          <w:sz w:val="20"/>
          <w:szCs w:val="20"/>
        </w:rPr>
        <w:t>11.</w:t>
      </w:r>
      <w:r w:rsidR="00022158">
        <w:rPr>
          <w:rFonts w:ascii="Times New Roman" w:hAnsi="Times New Roman" w:cs="Times New Roman"/>
          <w:b/>
          <w:bCs/>
          <w:color w:val="auto"/>
          <w:sz w:val="20"/>
          <w:szCs w:val="20"/>
        </w:rPr>
        <w:tab/>
      </w:r>
      <w:r w:rsidRPr="0043431B">
        <w:rPr>
          <w:rFonts w:ascii="Times New Roman" w:hAnsi="Times New Roman" w:cs="Times New Roman"/>
          <w:b/>
          <w:bCs/>
          <w:color w:val="auto"/>
          <w:sz w:val="20"/>
          <w:szCs w:val="20"/>
        </w:rPr>
        <w:t>OTHER ISSUES</w:t>
      </w:r>
      <w:bookmarkEnd w:id="56"/>
    </w:p>
    <w:p w14:paraId="5D6E71FD" w14:textId="2C976CB8" w:rsidR="00B62AA5" w:rsidRPr="0043431B" w:rsidRDefault="00B62AA5" w:rsidP="00053BBB">
      <w:pPr>
        <w:pStyle w:val="Titre2"/>
        <w:spacing w:before="0" w:after="240" w:line="240" w:lineRule="auto"/>
        <w:ind w:left="900" w:hanging="474"/>
        <w:rPr>
          <w:rFonts w:cs="Times New Roman"/>
          <w:b/>
          <w:bCs/>
          <w:szCs w:val="20"/>
        </w:rPr>
      </w:pPr>
      <w:bookmarkStart w:id="58" w:name="_Toc38028654"/>
      <w:r w:rsidRPr="0043431B">
        <w:rPr>
          <w:rFonts w:cs="Times New Roman"/>
          <w:b/>
          <w:bCs/>
          <w:szCs w:val="20"/>
        </w:rPr>
        <w:t>11.1</w:t>
      </w:r>
      <w:r w:rsidR="00053BBB">
        <w:rPr>
          <w:rFonts w:cs="Times New Roman"/>
          <w:b/>
          <w:bCs/>
          <w:szCs w:val="20"/>
        </w:rPr>
        <w:tab/>
      </w:r>
      <w:r w:rsidRPr="0043431B">
        <w:rPr>
          <w:rFonts w:cs="Times New Roman"/>
          <w:b/>
          <w:bCs/>
          <w:szCs w:val="20"/>
        </w:rPr>
        <w:t>Improvement of SOP for OIE Register of diagnostic kits</w:t>
      </w:r>
      <w:bookmarkEnd w:id="57"/>
      <w:bookmarkEnd w:id="58"/>
    </w:p>
    <w:p w14:paraId="7117E760" w14:textId="7F8170D8" w:rsidR="00B62AA5" w:rsidRPr="0043431B" w:rsidRDefault="00B62AA5" w:rsidP="00B62AA5">
      <w:pPr>
        <w:spacing w:after="240" w:line="240" w:lineRule="auto"/>
        <w:ind w:left="851"/>
        <w:jc w:val="both"/>
        <w:rPr>
          <w:rFonts w:cs="Times New Roman"/>
          <w:szCs w:val="20"/>
          <w:lang w:val="en-NZ"/>
        </w:rPr>
      </w:pPr>
      <w:r w:rsidRPr="0043431B">
        <w:rPr>
          <w:rFonts w:cs="Times New Roman"/>
          <w:szCs w:val="20"/>
          <w:lang w:val="en-NZ"/>
        </w:rPr>
        <w:t xml:space="preserve">The OIE Secretariat for the Registration of Diagnostic Kits (SRDK) provided a brief overview of </w:t>
      </w:r>
      <w:r w:rsidR="005D7252">
        <w:rPr>
          <w:rFonts w:cs="Times New Roman"/>
          <w:szCs w:val="20"/>
          <w:lang w:val="en-NZ"/>
        </w:rPr>
        <w:t>its</w:t>
      </w:r>
      <w:r w:rsidRPr="0043431B">
        <w:rPr>
          <w:rFonts w:cs="Times New Roman"/>
          <w:szCs w:val="20"/>
          <w:lang w:val="en-NZ"/>
        </w:rPr>
        <w:t xml:space="preserve"> registration procedure and </w:t>
      </w:r>
      <w:r w:rsidR="005D7252">
        <w:rPr>
          <w:rFonts w:cs="Times New Roman"/>
          <w:szCs w:val="20"/>
          <w:lang w:val="en-NZ"/>
        </w:rPr>
        <w:t>described</w:t>
      </w:r>
      <w:r w:rsidR="005D7252" w:rsidRPr="0043431B">
        <w:rPr>
          <w:rFonts w:cs="Times New Roman"/>
          <w:szCs w:val="20"/>
          <w:lang w:val="en-NZ"/>
        </w:rPr>
        <w:t xml:space="preserve"> </w:t>
      </w:r>
      <w:r w:rsidRPr="0043431B">
        <w:rPr>
          <w:rFonts w:cs="Times New Roman"/>
          <w:szCs w:val="20"/>
          <w:lang w:val="en-NZ"/>
        </w:rPr>
        <w:t xml:space="preserve">some recently introduced changes to </w:t>
      </w:r>
      <w:r w:rsidR="00FD1120">
        <w:rPr>
          <w:rFonts w:cs="Times New Roman"/>
          <w:szCs w:val="20"/>
          <w:lang w:val="en-NZ"/>
        </w:rPr>
        <w:t xml:space="preserve">provide clarity and transparency about the </w:t>
      </w:r>
      <w:r w:rsidRPr="0043431B">
        <w:rPr>
          <w:rFonts w:cs="Times New Roman"/>
          <w:szCs w:val="20"/>
          <w:lang w:val="en-NZ"/>
        </w:rPr>
        <w:t>registration procedure</w:t>
      </w:r>
      <w:r w:rsidR="00FD1120">
        <w:rPr>
          <w:rFonts w:cs="Times New Roman"/>
          <w:szCs w:val="20"/>
          <w:lang w:val="en-NZ"/>
        </w:rPr>
        <w:t xml:space="preserve"> itself and to </w:t>
      </w:r>
      <w:r w:rsidRPr="0043431B">
        <w:rPr>
          <w:rFonts w:cs="Times New Roman"/>
          <w:szCs w:val="20"/>
          <w:lang w:val="en-NZ"/>
        </w:rPr>
        <w:t xml:space="preserve">standardise reporting. </w:t>
      </w:r>
    </w:p>
    <w:p w14:paraId="0E7232D3" w14:textId="7249AAB2" w:rsidR="0094086E" w:rsidRDefault="00B62AA5" w:rsidP="00B62AA5">
      <w:pPr>
        <w:spacing w:after="240" w:line="240" w:lineRule="auto"/>
        <w:ind w:left="851"/>
        <w:jc w:val="both"/>
        <w:rPr>
          <w:rFonts w:cs="Times New Roman"/>
          <w:szCs w:val="20"/>
          <w:lang w:val="en-NZ"/>
        </w:rPr>
      </w:pPr>
      <w:r w:rsidRPr="0043431B">
        <w:rPr>
          <w:rFonts w:cs="Times New Roman"/>
          <w:szCs w:val="20"/>
          <w:lang w:val="en-NZ"/>
        </w:rPr>
        <w:t>The SR</w:t>
      </w:r>
      <w:r w:rsidR="00431AD1">
        <w:rPr>
          <w:rFonts w:cs="Times New Roman"/>
          <w:szCs w:val="20"/>
          <w:lang w:val="en-NZ"/>
        </w:rPr>
        <w:t>D</w:t>
      </w:r>
      <w:r w:rsidRPr="0043431B">
        <w:rPr>
          <w:rFonts w:cs="Times New Roman"/>
          <w:szCs w:val="20"/>
          <w:lang w:val="en-NZ"/>
        </w:rPr>
        <w:t xml:space="preserve">K has </w:t>
      </w:r>
      <w:r w:rsidR="00CF3724" w:rsidRPr="0043431B">
        <w:rPr>
          <w:rFonts w:cs="Times New Roman"/>
          <w:szCs w:val="20"/>
          <w:lang w:val="en-NZ"/>
        </w:rPr>
        <w:t xml:space="preserve">also </w:t>
      </w:r>
      <w:r w:rsidRPr="0043431B">
        <w:rPr>
          <w:rFonts w:cs="Times New Roman"/>
          <w:szCs w:val="20"/>
          <w:lang w:val="en-NZ"/>
        </w:rPr>
        <w:t>prepared a draft revision to the SOP for OIE Registration of Diagnostic Kits, which describes these changes, and provides expanded background information about the registration requirements</w:t>
      </w:r>
      <w:r w:rsidR="00223500">
        <w:rPr>
          <w:rFonts w:cs="Times New Roman"/>
          <w:szCs w:val="20"/>
          <w:lang w:val="en-NZ"/>
        </w:rPr>
        <w:t>.</w:t>
      </w:r>
      <w:r w:rsidR="00FD1120">
        <w:rPr>
          <w:rFonts w:cs="Times New Roman"/>
          <w:szCs w:val="20"/>
          <w:lang w:val="en-NZ"/>
        </w:rPr>
        <w:t xml:space="preserve"> The SOP</w:t>
      </w:r>
      <w:r w:rsidRPr="0043431B">
        <w:rPr>
          <w:rFonts w:cs="Times New Roman"/>
          <w:szCs w:val="20"/>
          <w:lang w:val="en-NZ"/>
        </w:rPr>
        <w:t xml:space="preserve"> was presented to the Commission for endorsement. </w:t>
      </w:r>
    </w:p>
    <w:p w14:paraId="13FB521B" w14:textId="227E10C4" w:rsidR="0016179E" w:rsidRDefault="0016179E" w:rsidP="0016179E">
      <w:pPr>
        <w:pStyle w:val="Titre1"/>
        <w:spacing w:before="0" w:after="240" w:line="240" w:lineRule="auto"/>
        <w:ind w:left="426" w:hanging="426"/>
        <w:rPr>
          <w:rFonts w:ascii="Times New Roman" w:hAnsi="Times New Roman" w:cs="Times New Roman"/>
          <w:b/>
          <w:bCs/>
          <w:color w:val="auto"/>
          <w:sz w:val="20"/>
          <w:szCs w:val="20"/>
        </w:rPr>
      </w:pPr>
      <w:r w:rsidRPr="0043431B">
        <w:rPr>
          <w:rFonts w:ascii="Times New Roman" w:hAnsi="Times New Roman" w:cs="Times New Roman"/>
          <w:b/>
          <w:bCs/>
          <w:color w:val="auto"/>
          <w:sz w:val="20"/>
          <w:szCs w:val="20"/>
        </w:rPr>
        <w:t>1</w:t>
      </w:r>
      <w:r w:rsidRPr="00BC5907">
        <w:rPr>
          <w:rFonts w:ascii="Times New Roman" w:hAnsi="Times New Roman" w:cs="Times New Roman"/>
          <w:b/>
          <w:bCs/>
          <w:color w:val="auto"/>
          <w:sz w:val="20"/>
          <w:szCs w:val="20"/>
        </w:rPr>
        <w:t>2</w:t>
      </w:r>
      <w:r w:rsidRPr="0043431B">
        <w:rPr>
          <w:rFonts w:ascii="Times New Roman" w:hAnsi="Times New Roman" w:cs="Times New Roman"/>
          <w:b/>
          <w:bCs/>
          <w:color w:val="auto"/>
          <w:sz w:val="20"/>
          <w:szCs w:val="20"/>
        </w:rPr>
        <w:t>.</w:t>
      </w:r>
      <w:r w:rsidR="008C0137">
        <w:rPr>
          <w:rFonts w:ascii="Times New Roman" w:hAnsi="Times New Roman" w:cs="Times New Roman"/>
          <w:b/>
          <w:bCs/>
          <w:color w:val="auto"/>
          <w:sz w:val="20"/>
          <w:szCs w:val="20"/>
        </w:rPr>
        <w:tab/>
      </w:r>
      <w:r w:rsidRPr="0016179E">
        <w:rPr>
          <w:rFonts w:ascii="Times New Roman" w:hAnsi="Times New Roman" w:cs="Times New Roman"/>
          <w:b/>
          <w:bCs/>
          <w:color w:val="auto"/>
          <w:sz w:val="20"/>
          <w:szCs w:val="20"/>
        </w:rPr>
        <w:t>DATE OF NEXT MEETING</w:t>
      </w:r>
    </w:p>
    <w:p w14:paraId="58CBAB84" w14:textId="19A13B1F" w:rsidR="0016179E" w:rsidRPr="00BC5907" w:rsidRDefault="0016179E" w:rsidP="00AC7D35">
      <w:pPr>
        <w:spacing w:after="240" w:line="240" w:lineRule="auto"/>
        <w:ind w:left="426"/>
        <w:jc w:val="both"/>
        <w:rPr>
          <w:rFonts w:cs="Times New Roman"/>
          <w:szCs w:val="20"/>
        </w:rPr>
      </w:pPr>
      <w:r w:rsidRPr="00BC5907">
        <w:rPr>
          <w:rFonts w:cs="Times New Roman"/>
          <w:szCs w:val="20"/>
        </w:rPr>
        <w:t xml:space="preserve">The next meeting </w:t>
      </w:r>
      <w:r w:rsidR="008C0137">
        <w:rPr>
          <w:rFonts w:cs="Times New Roman"/>
          <w:szCs w:val="20"/>
        </w:rPr>
        <w:t xml:space="preserve">of the Aquatic Animals Commission is scheduled for 26 August to 2 September 2020. </w:t>
      </w:r>
    </w:p>
    <w:p w14:paraId="40792F15" w14:textId="2B899952" w:rsidR="00D31BA5" w:rsidRPr="009B281E" w:rsidRDefault="00D31BA5" w:rsidP="00BC5907">
      <w:pPr>
        <w:pStyle w:val="Titre1"/>
        <w:spacing w:before="0" w:after="240" w:line="240" w:lineRule="auto"/>
        <w:ind w:left="426" w:hanging="426"/>
        <w:jc w:val="center"/>
        <w:rPr>
          <w:rFonts w:ascii="Times New Roman" w:hAnsi="Times New Roman" w:cs="Times New Roman"/>
          <w:b/>
          <w:bCs/>
          <w:sz w:val="20"/>
          <w:szCs w:val="20"/>
        </w:rPr>
      </w:pPr>
      <w:r w:rsidRPr="00BC5907">
        <w:rPr>
          <w:rFonts w:ascii="Times New Roman" w:hAnsi="Times New Roman" w:cs="Times New Roman"/>
          <w:b/>
          <w:bCs/>
          <w:color w:val="auto"/>
          <w:sz w:val="20"/>
          <w:szCs w:val="20"/>
        </w:rPr>
        <w:t>__________________________</w:t>
      </w:r>
    </w:p>
    <w:p w14:paraId="041021E8" w14:textId="77777777" w:rsidR="00D31BA5" w:rsidRPr="00D31BA5" w:rsidRDefault="00D31BA5" w:rsidP="00D31BA5">
      <w:pPr>
        <w:widowControl w:val="0"/>
        <w:spacing w:after="240" w:line="240" w:lineRule="auto"/>
        <w:jc w:val="both"/>
        <w:rPr>
          <w:rFonts w:eastAsia="Times New Roman" w:cs="Times New Roman"/>
          <w:szCs w:val="20"/>
          <w:lang w:eastAsia="en-GB"/>
        </w:rPr>
      </w:pPr>
    </w:p>
    <w:p w14:paraId="79F17C9F" w14:textId="77777777" w:rsidR="00D31BA5" w:rsidRPr="00D31BA5" w:rsidRDefault="00D31BA5" w:rsidP="00D31BA5">
      <w:pPr>
        <w:widowControl w:val="0"/>
        <w:spacing w:after="240" w:line="240" w:lineRule="auto"/>
        <w:ind w:left="164"/>
        <w:jc w:val="right"/>
        <w:rPr>
          <w:rFonts w:eastAsia="Times New Roman" w:cs="Times New Roman"/>
          <w:szCs w:val="20"/>
          <w:lang w:eastAsia="fr-FR"/>
        </w:rPr>
      </w:pPr>
      <w:r w:rsidRPr="00D31BA5">
        <w:rPr>
          <w:rFonts w:eastAsia="MS Mincho" w:cs="Times New Roman"/>
          <w:szCs w:val="20"/>
          <w:lang w:eastAsia="ja-JP"/>
        </w:rPr>
        <w:t>…/Annexes</w:t>
      </w:r>
    </w:p>
    <w:p w14:paraId="2FF8AB7C" w14:textId="77777777" w:rsidR="004C19EE" w:rsidRDefault="004C19EE" w:rsidP="00B62AA5">
      <w:pPr>
        <w:spacing w:after="240" w:line="240" w:lineRule="auto"/>
        <w:ind w:left="851"/>
        <w:jc w:val="both"/>
        <w:rPr>
          <w:rFonts w:cs="Times New Roman"/>
          <w:szCs w:val="20"/>
          <w:lang w:val="en-IE"/>
        </w:rPr>
      </w:pPr>
    </w:p>
    <w:p w14:paraId="7B0FD81C" w14:textId="77777777" w:rsidR="004C19EE" w:rsidRDefault="004C19EE" w:rsidP="00B62AA5">
      <w:pPr>
        <w:spacing w:after="240" w:line="240" w:lineRule="auto"/>
        <w:ind w:left="851"/>
        <w:jc w:val="both"/>
        <w:rPr>
          <w:rFonts w:cs="Times New Roman"/>
          <w:szCs w:val="20"/>
          <w:lang w:val="en-IE"/>
        </w:rPr>
        <w:sectPr w:rsidR="004C19EE" w:rsidSect="00F47555">
          <w:headerReference w:type="even" r:id="rId25"/>
          <w:headerReference w:type="default" r:id="rId26"/>
          <w:footerReference w:type="even" r:id="rId27"/>
          <w:footerReference w:type="default" r:id="rId28"/>
          <w:headerReference w:type="first" r:id="rId29"/>
          <w:footerReference w:type="first" r:id="rId30"/>
          <w:pgSz w:w="12240" w:h="15840" w:code="1"/>
          <w:pgMar w:top="1418" w:right="1418" w:bottom="1418" w:left="1418" w:header="709" w:footer="709" w:gutter="0"/>
          <w:cols w:space="720"/>
          <w:titlePg/>
          <w:docGrid w:linePitch="360"/>
        </w:sectPr>
      </w:pPr>
    </w:p>
    <w:p w14:paraId="3093DCA5" w14:textId="02C9281A" w:rsidR="002E572B" w:rsidRPr="003E513A" w:rsidRDefault="002E572B" w:rsidP="003E513A">
      <w:pPr>
        <w:pStyle w:val="Titre2"/>
        <w:spacing w:before="0" w:after="480" w:line="240" w:lineRule="auto"/>
        <w:ind w:right="48"/>
        <w:jc w:val="right"/>
        <w:rPr>
          <w:rFonts w:cs="Times New Roman"/>
          <w:iCs/>
          <w:szCs w:val="20"/>
          <w:u w:val="single"/>
        </w:rPr>
      </w:pPr>
      <w:bookmarkStart w:id="59" w:name="_Annex_1"/>
      <w:bookmarkEnd w:id="59"/>
      <w:r w:rsidRPr="003E513A">
        <w:rPr>
          <w:rFonts w:cs="Times New Roman"/>
          <w:iCs/>
          <w:szCs w:val="20"/>
          <w:u w:val="single"/>
        </w:rPr>
        <w:lastRenderedPageBreak/>
        <w:t>Annex 1</w:t>
      </w:r>
    </w:p>
    <w:p w14:paraId="7F2A7F02" w14:textId="77777777" w:rsidR="003E513A" w:rsidRDefault="004C19EE" w:rsidP="003E513A">
      <w:pPr>
        <w:pStyle w:val="Titre2"/>
        <w:spacing w:before="0" w:after="120" w:line="240" w:lineRule="auto"/>
        <w:ind w:right="-284"/>
        <w:jc w:val="center"/>
        <w:rPr>
          <w:rFonts w:ascii="Arial" w:hAnsi="Arial" w:cs="Arial"/>
          <w:b/>
          <w:szCs w:val="20"/>
        </w:rPr>
      </w:pPr>
      <w:r w:rsidRPr="003E513A">
        <w:rPr>
          <w:rFonts w:ascii="Arial" w:hAnsi="Arial" w:cs="Arial"/>
          <w:b/>
          <w:szCs w:val="20"/>
        </w:rPr>
        <w:t>MEETING OF THE OIE</w:t>
      </w:r>
      <w:r w:rsidRPr="003E513A">
        <w:rPr>
          <w:rFonts w:ascii="Arial" w:hAnsi="Arial" w:cs="Arial"/>
          <w:b/>
          <w:szCs w:val="20"/>
        </w:rPr>
        <w:br/>
        <w:t>AQUATIC ANIMAL HEALTH STANDARDS COMMISSION</w:t>
      </w:r>
    </w:p>
    <w:p w14:paraId="29E2ACC6" w14:textId="4BB3290C" w:rsidR="004C19EE" w:rsidRPr="003E513A" w:rsidRDefault="004C19EE" w:rsidP="003E513A">
      <w:pPr>
        <w:pStyle w:val="Titre2"/>
        <w:spacing w:before="0" w:after="240" w:line="240" w:lineRule="auto"/>
        <w:ind w:right="-284"/>
        <w:jc w:val="center"/>
        <w:rPr>
          <w:rFonts w:ascii="Arial" w:hAnsi="Arial" w:cs="Arial"/>
          <w:b/>
          <w:i/>
          <w:szCs w:val="20"/>
        </w:rPr>
      </w:pPr>
      <w:r w:rsidRPr="003E513A">
        <w:rPr>
          <w:rFonts w:ascii="Arial" w:hAnsi="Arial" w:cs="Arial"/>
          <w:b/>
          <w:szCs w:val="20"/>
        </w:rPr>
        <w:t xml:space="preserve">Paris, 19–26 February </w:t>
      </w:r>
      <w:r w:rsidR="00982229">
        <w:rPr>
          <w:rFonts w:ascii="Arial" w:hAnsi="Arial" w:cs="Arial"/>
          <w:b/>
          <w:szCs w:val="20"/>
        </w:rPr>
        <w:t>2020</w:t>
      </w:r>
    </w:p>
    <w:p w14:paraId="0AA9FFA2" w14:textId="77777777" w:rsidR="003E513A" w:rsidRPr="00F732B9" w:rsidRDefault="003E513A" w:rsidP="003E513A">
      <w:pPr>
        <w:tabs>
          <w:tab w:val="left" w:pos="432"/>
          <w:tab w:val="left" w:pos="864"/>
          <w:tab w:val="left" w:pos="1296"/>
          <w:tab w:val="left" w:pos="1728"/>
        </w:tabs>
        <w:spacing w:after="360"/>
        <w:jc w:val="center"/>
        <w:rPr>
          <w:rFonts w:ascii="Arial" w:hAnsi="Arial" w:cs="Arial"/>
          <w:b/>
        </w:rPr>
      </w:pPr>
      <w:r w:rsidRPr="00F732B9">
        <w:rPr>
          <w:rFonts w:ascii="Arial" w:hAnsi="Arial" w:cs="Arial"/>
          <w:b/>
        </w:rPr>
        <w:t>________</w:t>
      </w:r>
    </w:p>
    <w:p w14:paraId="36C095FC" w14:textId="77777777" w:rsidR="003E513A" w:rsidRPr="006C29BA" w:rsidRDefault="003E513A" w:rsidP="003E513A">
      <w:pPr>
        <w:tabs>
          <w:tab w:val="left" w:pos="432"/>
          <w:tab w:val="left" w:pos="864"/>
          <w:tab w:val="left" w:pos="1296"/>
          <w:tab w:val="left" w:pos="1728"/>
        </w:tabs>
        <w:spacing w:after="360" w:line="240" w:lineRule="auto"/>
        <w:jc w:val="center"/>
        <w:rPr>
          <w:rFonts w:ascii="Arial" w:hAnsi="Arial" w:cs="Arial"/>
          <w:b/>
        </w:rPr>
      </w:pPr>
      <w:r w:rsidRPr="006C29BA">
        <w:rPr>
          <w:rFonts w:ascii="Arial" w:hAnsi="Arial" w:cs="Arial"/>
          <w:b/>
        </w:rPr>
        <w:t>List of participants</w:t>
      </w:r>
      <w:r>
        <w:rPr>
          <w:rFonts w:ascii="Arial" w:hAnsi="Arial" w:cs="Arial"/>
          <w:b/>
        </w:rPr>
        <w:t xml:space="preserve"> </w:t>
      </w:r>
    </w:p>
    <w:p w14:paraId="01A60002" w14:textId="77777777" w:rsidR="004C19EE" w:rsidRPr="003E513A" w:rsidRDefault="004C19EE" w:rsidP="004C19EE">
      <w:pPr>
        <w:pBdr>
          <w:bottom w:val="single" w:sz="1" w:space="5" w:color="000000"/>
        </w:pBdr>
        <w:tabs>
          <w:tab w:val="left" w:pos="432"/>
          <w:tab w:val="right" w:pos="9072"/>
        </w:tabs>
        <w:spacing w:after="0"/>
        <w:ind w:right="-286"/>
        <w:rPr>
          <w:rFonts w:ascii="Arial Narrow" w:hAnsi="Arial Narrow"/>
          <w:b/>
          <w:sz w:val="18"/>
          <w:szCs w:val="18"/>
        </w:rPr>
      </w:pPr>
      <w:r w:rsidRPr="003E513A">
        <w:rPr>
          <w:rFonts w:ascii="Arial Narrow" w:hAnsi="Arial Narrow"/>
          <w:b/>
          <w:sz w:val="18"/>
          <w:szCs w:val="18"/>
        </w:rPr>
        <w:t>MEMBERS OF THE COMMISSION</w:t>
      </w:r>
      <w:r w:rsidRPr="003E513A">
        <w:rPr>
          <w:rFonts w:ascii="Arial Narrow" w:hAnsi="Arial Narrow"/>
          <w:b/>
          <w:sz w:val="18"/>
          <w:szCs w:val="18"/>
        </w:rPr>
        <w:tab/>
      </w:r>
    </w:p>
    <w:tbl>
      <w:tblPr>
        <w:tblW w:w="9498" w:type="dxa"/>
        <w:tblLayout w:type="fixed"/>
        <w:tblCellMar>
          <w:left w:w="70" w:type="dxa"/>
          <w:right w:w="70" w:type="dxa"/>
        </w:tblCellMar>
        <w:tblLook w:val="0000" w:firstRow="0" w:lastRow="0" w:firstColumn="0" w:lastColumn="0" w:noHBand="0" w:noVBand="0"/>
      </w:tblPr>
      <w:tblGrid>
        <w:gridCol w:w="3310"/>
        <w:gridCol w:w="3240"/>
        <w:gridCol w:w="2948"/>
      </w:tblGrid>
      <w:tr w:rsidR="004C19EE" w:rsidRPr="009B281E" w14:paraId="44BC0210" w14:textId="77777777" w:rsidTr="00BC5907">
        <w:trPr>
          <w:cantSplit/>
          <w:trHeight w:val="2824"/>
        </w:trPr>
        <w:tc>
          <w:tcPr>
            <w:tcW w:w="3310" w:type="dxa"/>
          </w:tcPr>
          <w:p w14:paraId="585B02D3" w14:textId="77777777" w:rsidR="004C19EE" w:rsidRPr="009B281E" w:rsidRDefault="004C19EE" w:rsidP="003E513A">
            <w:pPr>
              <w:spacing w:before="120" w:after="0" w:line="240" w:lineRule="auto"/>
              <w:ind w:left="-70" w:right="-286"/>
              <w:rPr>
                <w:rFonts w:ascii="Arial Narrow" w:hAnsi="Arial Narrow" w:cs="Arial"/>
                <w:b/>
                <w:sz w:val="18"/>
                <w:szCs w:val="18"/>
              </w:rPr>
            </w:pPr>
            <w:r w:rsidRPr="009B281E">
              <w:rPr>
                <w:rFonts w:ascii="Arial Narrow" w:hAnsi="Arial Narrow" w:cs="Arial"/>
                <w:b/>
                <w:sz w:val="18"/>
                <w:szCs w:val="18"/>
              </w:rPr>
              <w:t xml:space="preserve">Dr Ingo Ernst </w:t>
            </w:r>
          </w:p>
          <w:p w14:paraId="3688380A" w14:textId="77777777" w:rsidR="004C19EE" w:rsidRPr="009B281E" w:rsidRDefault="004C19EE" w:rsidP="003E513A">
            <w:pPr>
              <w:spacing w:after="0"/>
              <w:ind w:left="-70" w:right="-286"/>
              <w:rPr>
                <w:rFonts w:ascii="Arial Narrow" w:hAnsi="Arial Narrow" w:cs="Arial"/>
                <w:sz w:val="18"/>
                <w:szCs w:val="18"/>
              </w:rPr>
            </w:pPr>
            <w:r w:rsidRPr="009B281E">
              <w:rPr>
                <w:rFonts w:ascii="Arial Narrow" w:hAnsi="Arial Narrow" w:cs="Arial"/>
                <w:sz w:val="18"/>
                <w:szCs w:val="18"/>
              </w:rPr>
              <w:t>(President)</w:t>
            </w:r>
          </w:p>
          <w:p w14:paraId="22DA9F57" w14:textId="77777777" w:rsidR="004C19EE" w:rsidRPr="009B281E" w:rsidRDefault="004C19EE" w:rsidP="003E513A">
            <w:pPr>
              <w:spacing w:after="0"/>
              <w:ind w:left="-70" w:right="-286"/>
              <w:rPr>
                <w:rFonts w:ascii="Arial Narrow" w:hAnsi="Arial Narrow" w:cs="Arial"/>
                <w:sz w:val="18"/>
                <w:szCs w:val="18"/>
              </w:rPr>
            </w:pPr>
            <w:r w:rsidRPr="009B281E">
              <w:rPr>
                <w:rFonts w:ascii="Arial Narrow" w:hAnsi="Arial Narrow" w:cs="Arial"/>
                <w:sz w:val="18"/>
                <w:szCs w:val="18"/>
              </w:rPr>
              <w:t>Director Aquatic Pest and Health Policy</w:t>
            </w:r>
            <w:r w:rsidRPr="009B281E">
              <w:rPr>
                <w:rFonts w:ascii="Arial Narrow" w:hAnsi="Arial Narrow" w:cs="Arial"/>
                <w:sz w:val="18"/>
                <w:szCs w:val="18"/>
              </w:rPr>
              <w:br/>
              <w:t>Animal Division</w:t>
            </w:r>
          </w:p>
          <w:p w14:paraId="381F9FED" w14:textId="77777777" w:rsidR="004C19EE" w:rsidRPr="009B281E" w:rsidRDefault="004C19EE" w:rsidP="003E513A">
            <w:pPr>
              <w:spacing w:after="0"/>
              <w:ind w:left="-70" w:right="-286"/>
              <w:rPr>
                <w:rFonts w:ascii="Arial Narrow" w:hAnsi="Arial Narrow"/>
                <w:color w:val="000000"/>
                <w:sz w:val="18"/>
                <w:szCs w:val="18"/>
                <w:lang w:eastAsia="en-AU"/>
              </w:rPr>
            </w:pPr>
            <w:r w:rsidRPr="009B281E">
              <w:rPr>
                <w:rFonts w:ascii="Arial Narrow" w:hAnsi="Arial Narrow" w:cs="Arial"/>
                <w:sz w:val="18"/>
                <w:szCs w:val="18"/>
              </w:rPr>
              <w:t xml:space="preserve">Department of Agriculture </w:t>
            </w:r>
            <w:r w:rsidRPr="009B281E">
              <w:rPr>
                <w:rFonts w:ascii="Arial Narrow" w:hAnsi="Arial Narrow" w:cs="Arial"/>
                <w:sz w:val="18"/>
                <w:szCs w:val="18"/>
              </w:rPr>
              <w:br/>
              <w:t>GPO Box 858 Canberra ACT 2601</w:t>
            </w:r>
            <w:r w:rsidRPr="009B281E">
              <w:rPr>
                <w:rFonts w:ascii="Arial Narrow" w:hAnsi="Arial Narrow"/>
                <w:color w:val="000000"/>
                <w:sz w:val="18"/>
                <w:szCs w:val="18"/>
                <w:lang w:eastAsia="en-AU"/>
              </w:rPr>
              <w:t xml:space="preserve"> </w:t>
            </w:r>
          </w:p>
          <w:p w14:paraId="30472057" w14:textId="77777777" w:rsidR="004C19EE" w:rsidRPr="009B281E" w:rsidRDefault="004C19EE" w:rsidP="003E513A">
            <w:pPr>
              <w:spacing w:after="0"/>
              <w:ind w:left="-70" w:right="-286"/>
              <w:rPr>
                <w:rFonts w:ascii="Arial Narrow" w:hAnsi="Arial Narrow" w:cs="Arial"/>
                <w:sz w:val="18"/>
                <w:szCs w:val="18"/>
                <w:lang w:val="es-ES"/>
              </w:rPr>
            </w:pPr>
            <w:r w:rsidRPr="009B281E">
              <w:rPr>
                <w:rFonts w:ascii="Arial Narrow" w:hAnsi="Arial Narrow" w:cs="Arial"/>
                <w:sz w:val="18"/>
                <w:szCs w:val="18"/>
                <w:lang w:val="es-ES"/>
              </w:rPr>
              <w:t>AUSTRALIA</w:t>
            </w:r>
          </w:p>
          <w:p w14:paraId="33B069E5" w14:textId="77777777" w:rsidR="004C19EE" w:rsidRPr="009B281E" w:rsidRDefault="004C19EE" w:rsidP="003E513A">
            <w:pPr>
              <w:spacing w:after="0"/>
              <w:ind w:left="-70" w:right="-286"/>
              <w:rPr>
                <w:rFonts w:ascii="Arial Narrow" w:hAnsi="Arial Narrow" w:cs="Arial"/>
                <w:sz w:val="18"/>
                <w:szCs w:val="18"/>
                <w:lang w:val="es-ES"/>
              </w:rPr>
            </w:pPr>
            <w:r w:rsidRPr="009B281E">
              <w:rPr>
                <w:rFonts w:ascii="Arial Narrow" w:hAnsi="Arial Narrow" w:cs="Arial"/>
                <w:sz w:val="18"/>
                <w:szCs w:val="18"/>
                <w:lang w:val="es-ES"/>
              </w:rPr>
              <w:t xml:space="preserve">Tel.: +61 2 6272 5615 </w:t>
            </w:r>
          </w:p>
          <w:p w14:paraId="24B9DEAB" w14:textId="03D155A0" w:rsidR="004C19EE" w:rsidRPr="009B281E" w:rsidRDefault="004C19EE" w:rsidP="00D31BA5">
            <w:pPr>
              <w:spacing w:after="0"/>
              <w:ind w:left="-70" w:right="-286"/>
              <w:rPr>
                <w:rFonts w:ascii="Arial Narrow" w:hAnsi="Arial Narrow" w:cs="Arial"/>
                <w:b/>
                <w:sz w:val="18"/>
                <w:szCs w:val="18"/>
                <w:lang w:val="es-ES"/>
              </w:rPr>
            </w:pPr>
            <w:r w:rsidRPr="009B281E">
              <w:rPr>
                <w:rFonts w:ascii="Arial Narrow" w:hAnsi="Arial Narrow" w:cs="Arial"/>
                <w:sz w:val="18"/>
                <w:szCs w:val="18"/>
                <w:lang w:val="es-ES"/>
              </w:rPr>
              <w:t>ingo.ernst@awe.gov.au</w:t>
            </w:r>
          </w:p>
          <w:p w14:paraId="09A007B0" w14:textId="77777777" w:rsidR="004C19EE" w:rsidRPr="009B281E" w:rsidRDefault="004C19EE" w:rsidP="006B1133">
            <w:pPr>
              <w:pStyle w:val="bodytext"/>
              <w:spacing w:before="0" w:beforeAutospacing="0" w:after="0" w:afterAutospacing="0"/>
              <w:ind w:right="-286"/>
              <w:rPr>
                <w:rFonts w:ascii="Arial Narrow" w:hAnsi="Arial Narrow" w:cs="Arial"/>
                <w:b/>
                <w:sz w:val="18"/>
                <w:szCs w:val="18"/>
                <w:lang w:val="es-ES" w:eastAsia="en-US"/>
              </w:rPr>
            </w:pPr>
          </w:p>
          <w:p w14:paraId="5B539BF0" w14:textId="77777777" w:rsidR="004C19EE" w:rsidRPr="009B281E" w:rsidRDefault="004C19EE" w:rsidP="003E513A">
            <w:pPr>
              <w:pStyle w:val="bodytext"/>
              <w:spacing w:before="0" w:beforeAutospacing="0" w:after="0" w:afterAutospacing="0"/>
              <w:ind w:left="-70" w:right="-286"/>
              <w:rPr>
                <w:rFonts w:ascii="Arial Narrow" w:hAnsi="Arial Narrow" w:cs="Arial"/>
                <w:b/>
                <w:sz w:val="18"/>
                <w:szCs w:val="18"/>
                <w:lang w:val="en-GB" w:eastAsia="en-US"/>
              </w:rPr>
            </w:pPr>
            <w:r w:rsidRPr="009B281E">
              <w:rPr>
                <w:rFonts w:ascii="Arial Narrow" w:hAnsi="Arial Narrow" w:cs="Arial"/>
                <w:b/>
                <w:sz w:val="18"/>
                <w:szCs w:val="18"/>
                <w:lang w:val="en-GB" w:eastAsia="en-US"/>
              </w:rPr>
              <w:t>Dr Atle Lillehaug</w:t>
            </w:r>
          </w:p>
          <w:p w14:paraId="31923E73" w14:textId="77777777" w:rsidR="004C19EE" w:rsidRPr="009B281E" w:rsidRDefault="004C19EE" w:rsidP="003E513A">
            <w:pPr>
              <w:pStyle w:val="bodytext"/>
              <w:spacing w:before="0" w:beforeAutospacing="0" w:after="0" w:afterAutospacing="0"/>
              <w:ind w:left="-70" w:right="-286"/>
              <w:rPr>
                <w:rFonts w:ascii="Arial Narrow" w:hAnsi="Arial Narrow" w:cs="Arial"/>
                <w:sz w:val="18"/>
                <w:szCs w:val="18"/>
                <w:lang w:val="en-GB" w:eastAsia="en-US"/>
              </w:rPr>
            </w:pPr>
            <w:r w:rsidRPr="009B281E">
              <w:rPr>
                <w:rFonts w:ascii="Arial Narrow" w:hAnsi="Arial Narrow" w:cs="Arial"/>
                <w:sz w:val="18"/>
                <w:szCs w:val="18"/>
                <w:lang w:val="en-GB" w:eastAsia="en-US"/>
              </w:rPr>
              <w:t>Head of Section</w:t>
            </w:r>
          </w:p>
          <w:p w14:paraId="527289B5" w14:textId="77777777" w:rsidR="004C19EE" w:rsidRPr="009B281E" w:rsidRDefault="004C19EE" w:rsidP="003E513A">
            <w:pPr>
              <w:pStyle w:val="bodytext"/>
              <w:spacing w:before="0" w:beforeAutospacing="0" w:after="0" w:afterAutospacing="0"/>
              <w:ind w:left="-70" w:right="-286"/>
              <w:rPr>
                <w:rFonts w:ascii="Arial Narrow" w:hAnsi="Arial Narrow" w:cs="Arial"/>
                <w:sz w:val="18"/>
                <w:szCs w:val="18"/>
                <w:lang w:val="en-GB" w:eastAsia="en-US"/>
              </w:rPr>
            </w:pPr>
            <w:r w:rsidRPr="009B281E">
              <w:rPr>
                <w:rFonts w:ascii="Arial Narrow" w:hAnsi="Arial Narrow" w:cs="Arial"/>
                <w:sz w:val="18"/>
                <w:szCs w:val="18"/>
                <w:lang w:val="en-GB" w:eastAsia="en-US"/>
              </w:rPr>
              <w:t>Section for Fish Health and Biosecurity</w:t>
            </w:r>
          </w:p>
          <w:p w14:paraId="0F19CCFC" w14:textId="77777777" w:rsidR="004C19EE" w:rsidRPr="009B281E" w:rsidRDefault="004C19EE" w:rsidP="003E513A">
            <w:pPr>
              <w:pStyle w:val="bodytext"/>
              <w:spacing w:before="0" w:beforeAutospacing="0" w:after="0" w:afterAutospacing="0"/>
              <w:ind w:left="-70" w:right="-286"/>
              <w:rPr>
                <w:rFonts w:ascii="Arial Narrow" w:hAnsi="Arial Narrow" w:cs="Arial"/>
                <w:sz w:val="18"/>
                <w:szCs w:val="18"/>
                <w:lang w:val="nb-NO" w:eastAsia="en-US"/>
              </w:rPr>
            </w:pPr>
            <w:r w:rsidRPr="009B281E">
              <w:rPr>
                <w:rFonts w:ascii="Arial Narrow" w:hAnsi="Arial Narrow" w:cs="Arial"/>
                <w:sz w:val="18"/>
                <w:szCs w:val="18"/>
                <w:lang w:val="nb-NO" w:eastAsia="en-US"/>
              </w:rPr>
              <w:t>Norwegian Veterinary Institute</w:t>
            </w:r>
          </w:p>
          <w:p w14:paraId="6BD9860F" w14:textId="77777777" w:rsidR="004C19EE" w:rsidRPr="009B281E" w:rsidRDefault="004C19EE" w:rsidP="003E513A">
            <w:pPr>
              <w:pStyle w:val="bodytext"/>
              <w:spacing w:before="0" w:beforeAutospacing="0" w:after="0" w:afterAutospacing="0"/>
              <w:ind w:left="-70" w:right="-286"/>
              <w:rPr>
                <w:rFonts w:ascii="Arial Narrow" w:hAnsi="Arial Narrow" w:cs="Arial"/>
                <w:sz w:val="18"/>
                <w:szCs w:val="18"/>
                <w:lang w:val="nb-NO" w:eastAsia="en-US"/>
              </w:rPr>
            </w:pPr>
            <w:r w:rsidRPr="009B281E">
              <w:rPr>
                <w:rFonts w:ascii="Arial Narrow" w:hAnsi="Arial Narrow" w:cs="Arial"/>
                <w:sz w:val="18"/>
                <w:szCs w:val="18"/>
                <w:lang w:val="nb-NO" w:eastAsia="en-US"/>
              </w:rPr>
              <w:t>Ullevålsveien 68, 0454 Oslo</w:t>
            </w:r>
          </w:p>
          <w:p w14:paraId="12F8D53A" w14:textId="77777777" w:rsidR="004C19EE" w:rsidRPr="009B281E" w:rsidRDefault="004C19EE" w:rsidP="003E513A">
            <w:pPr>
              <w:pStyle w:val="bodytext"/>
              <w:spacing w:before="0" w:beforeAutospacing="0" w:after="0" w:afterAutospacing="0"/>
              <w:ind w:left="-70" w:right="-286"/>
              <w:rPr>
                <w:rFonts w:ascii="Arial Narrow" w:hAnsi="Arial Narrow" w:cs="Arial"/>
                <w:sz w:val="18"/>
                <w:szCs w:val="18"/>
                <w:lang w:val="nb-NO" w:eastAsia="en-US"/>
              </w:rPr>
            </w:pPr>
            <w:r w:rsidRPr="009B281E">
              <w:rPr>
                <w:rFonts w:ascii="Arial Narrow" w:hAnsi="Arial Narrow" w:cs="Arial"/>
                <w:sz w:val="18"/>
                <w:szCs w:val="18"/>
                <w:lang w:val="nb-NO" w:eastAsia="en-US"/>
              </w:rPr>
              <w:t>Pb 750 Sentrum, N-0106 Oslo</w:t>
            </w:r>
          </w:p>
          <w:p w14:paraId="6F18DB93" w14:textId="77777777" w:rsidR="004C19EE" w:rsidRPr="009B281E" w:rsidRDefault="004C19EE" w:rsidP="003E513A">
            <w:pPr>
              <w:pStyle w:val="NormalWeb"/>
              <w:spacing w:before="0" w:beforeAutospacing="0" w:after="0" w:afterAutospacing="0"/>
              <w:ind w:left="-70" w:right="-286"/>
              <w:rPr>
                <w:rFonts w:ascii="Arial Narrow" w:hAnsi="Arial Narrow" w:cs="Arial"/>
                <w:sz w:val="18"/>
                <w:szCs w:val="18"/>
                <w:lang w:val="nb-NO" w:eastAsia="en-US"/>
              </w:rPr>
            </w:pPr>
            <w:r w:rsidRPr="009B281E">
              <w:rPr>
                <w:rFonts w:ascii="Arial Narrow" w:hAnsi="Arial Narrow" w:cs="Arial"/>
                <w:sz w:val="18"/>
                <w:szCs w:val="18"/>
                <w:lang w:val="nb-NO" w:eastAsia="en-US"/>
              </w:rPr>
              <w:t>NORWAY</w:t>
            </w:r>
          </w:p>
          <w:p w14:paraId="27AC7783" w14:textId="77777777" w:rsidR="004C19EE" w:rsidRPr="009B281E" w:rsidRDefault="00831075" w:rsidP="003E513A">
            <w:pPr>
              <w:spacing w:after="0"/>
              <w:ind w:left="-70" w:right="-286"/>
              <w:rPr>
                <w:rFonts w:ascii="Arial Narrow" w:hAnsi="Arial Narrow" w:cs="Arial"/>
                <w:b/>
                <w:sz w:val="18"/>
                <w:szCs w:val="18"/>
                <w:lang w:val="es-ES"/>
              </w:rPr>
            </w:pPr>
            <w:hyperlink r:id="rId31" w:history="1">
              <w:r w:rsidR="004C19EE" w:rsidRPr="009B281E">
                <w:rPr>
                  <w:rFonts w:ascii="Arial Narrow" w:hAnsi="Arial Narrow" w:cs="Arial"/>
                  <w:sz w:val="18"/>
                  <w:szCs w:val="18"/>
                  <w:lang w:val="nb-NO"/>
                </w:rPr>
                <w:t>atle.lillehaug@vetinst.no</w:t>
              </w:r>
            </w:hyperlink>
          </w:p>
        </w:tc>
        <w:tc>
          <w:tcPr>
            <w:tcW w:w="3240" w:type="dxa"/>
          </w:tcPr>
          <w:p w14:paraId="1E719FA7" w14:textId="77777777" w:rsidR="004C19EE" w:rsidRPr="009B281E" w:rsidRDefault="004C19EE" w:rsidP="006B1133">
            <w:pPr>
              <w:pStyle w:val="bodytext"/>
              <w:spacing w:before="120" w:beforeAutospacing="0" w:after="0" w:afterAutospacing="0"/>
              <w:ind w:right="-286"/>
              <w:rPr>
                <w:rFonts w:ascii="Arial Narrow" w:hAnsi="Arial Narrow" w:cs="Arial"/>
                <w:sz w:val="18"/>
                <w:szCs w:val="18"/>
                <w:lang w:val="en-GB" w:eastAsia="en-US"/>
              </w:rPr>
            </w:pPr>
            <w:r w:rsidRPr="009B281E">
              <w:rPr>
                <w:rFonts w:ascii="Arial Narrow" w:hAnsi="Arial Narrow" w:cs="Arial"/>
                <w:b/>
                <w:sz w:val="18"/>
                <w:szCs w:val="18"/>
                <w:lang w:val="en-GB" w:eastAsia="en-US"/>
              </w:rPr>
              <w:t>Dr Kevin William Christison</w:t>
            </w:r>
            <w:r w:rsidRPr="009B281E">
              <w:rPr>
                <w:rFonts w:ascii="Arial Narrow" w:hAnsi="Arial Narrow" w:cs="Arial"/>
                <w:sz w:val="18"/>
                <w:szCs w:val="18"/>
                <w:lang w:val="en-GB" w:eastAsia="en-US"/>
              </w:rPr>
              <w:br/>
              <w:t>Department of Agriculture Forestry and Fisheries</w:t>
            </w:r>
            <w:r w:rsidRPr="009B281E">
              <w:rPr>
                <w:rFonts w:ascii="Arial Narrow" w:hAnsi="Arial Narrow" w:cs="Arial"/>
                <w:sz w:val="18"/>
                <w:szCs w:val="18"/>
                <w:lang w:val="en-GB" w:eastAsia="en-US"/>
              </w:rPr>
              <w:br/>
              <w:t>Directorate: Aquaculture Research and Development</w:t>
            </w:r>
            <w:r w:rsidRPr="009B281E">
              <w:rPr>
                <w:rFonts w:ascii="Arial Narrow" w:hAnsi="Arial Narrow" w:cs="Arial"/>
                <w:sz w:val="18"/>
                <w:szCs w:val="18"/>
                <w:lang w:val="en-GB" w:eastAsia="en-US"/>
              </w:rPr>
              <w:br/>
              <w:t>Private Bag X 2V</w:t>
            </w:r>
            <w:r w:rsidRPr="009B281E">
              <w:rPr>
                <w:rFonts w:ascii="Arial Narrow" w:hAnsi="Arial Narrow" w:cs="Arial"/>
                <w:sz w:val="18"/>
                <w:szCs w:val="18"/>
                <w:lang w:val="en-GB" w:eastAsia="en-US"/>
              </w:rPr>
              <w:br/>
              <w:t>Vlaeberg, 8018</w:t>
            </w:r>
            <w:r w:rsidRPr="009B281E">
              <w:rPr>
                <w:rFonts w:ascii="Arial Narrow" w:hAnsi="Arial Narrow" w:cs="Arial"/>
                <w:sz w:val="18"/>
                <w:szCs w:val="18"/>
                <w:lang w:val="en-GB" w:eastAsia="en-US"/>
              </w:rPr>
              <w:br/>
              <w:t>SOUTH AFRICA</w:t>
            </w:r>
            <w:r w:rsidRPr="009B281E">
              <w:rPr>
                <w:rFonts w:ascii="Arial Narrow" w:hAnsi="Arial Narrow" w:cs="Arial"/>
                <w:sz w:val="18"/>
                <w:szCs w:val="18"/>
                <w:lang w:val="en-GB" w:eastAsia="en-US"/>
              </w:rPr>
              <w:br/>
            </w:r>
            <w:hyperlink r:id="rId32" w:history="1">
              <w:r w:rsidRPr="009B281E">
                <w:rPr>
                  <w:rFonts w:ascii="Arial Narrow" w:hAnsi="Arial Narrow" w:cs="Arial"/>
                  <w:sz w:val="18"/>
                  <w:szCs w:val="18"/>
                  <w:lang w:val="en-GB" w:eastAsia="en-US"/>
                </w:rPr>
                <w:t>KevinCH@daff.gov.za</w:t>
              </w:r>
            </w:hyperlink>
          </w:p>
          <w:p w14:paraId="080692F4" w14:textId="77777777" w:rsidR="004C19EE" w:rsidRPr="009B281E" w:rsidRDefault="004C19EE" w:rsidP="006B1133">
            <w:pPr>
              <w:pStyle w:val="bodytext"/>
              <w:spacing w:before="0" w:beforeAutospacing="0" w:after="0" w:afterAutospacing="0"/>
              <w:ind w:right="-286"/>
              <w:rPr>
                <w:rFonts w:ascii="Arial Narrow" w:hAnsi="Arial Narrow" w:cs="Arial"/>
                <w:b/>
                <w:sz w:val="18"/>
                <w:szCs w:val="18"/>
                <w:lang w:val="en-GB" w:eastAsia="en-US"/>
              </w:rPr>
            </w:pPr>
          </w:p>
          <w:p w14:paraId="7F40407A" w14:textId="77777777" w:rsidR="004C19EE" w:rsidRPr="009B281E" w:rsidRDefault="004C19EE" w:rsidP="006B1133">
            <w:pPr>
              <w:pStyle w:val="bodytext"/>
              <w:spacing w:before="0" w:beforeAutospacing="0" w:after="0" w:afterAutospacing="0"/>
              <w:ind w:right="-286"/>
              <w:rPr>
                <w:rFonts w:ascii="Arial Narrow" w:hAnsi="Arial Narrow" w:cs="Arial"/>
                <w:b/>
                <w:sz w:val="18"/>
                <w:szCs w:val="18"/>
                <w:lang w:val="en-GB" w:eastAsia="en-US"/>
              </w:rPr>
            </w:pPr>
          </w:p>
          <w:p w14:paraId="3150C054" w14:textId="77777777" w:rsidR="004C19EE" w:rsidRPr="009B281E" w:rsidRDefault="004C19EE" w:rsidP="006B1133">
            <w:pPr>
              <w:pStyle w:val="bodytext"/>
              <w:spacing w:before="0" w:beforeAutospacing="0" w:after="0" w:afterAutospacing="0"/>
              <w:ind w:right="-286"/>
              <w:rPr>
                <w:rFonts w:ascii="Arial Narrow" w:hAnsi="Arial Narrow" w:cs="Arial"/>
                <w:b/>
                <w:sz w:val="18"/>
                <w:szCs w:val="18"/>
                <w:lang w:val="en-GB" w:eastAsia="en-US"/>
              </w:rPr>
            </w:pPr>
          </w:p>
          <w:p w14:paraId="01EF2D49" w14:textId="77777777" w:rsidR="004C19EE" w:rsidRPr="009B281E" w:rsidRDefault="004C19EE" w:rsidP="006B1133">
            <w:pPr>
              <w:pStyle w:val="bodytext"/>
              <w:spacing w:before="0" w:beforeAutospacing="0" w:after="0" w:afterAutospacing="0"/>
              <w:ind w:right="-286"/>
              <w:rPr>
                <w:rFonts w:ascii="Arial Narrow" w:hAnsi="Arial Narrow" w:cs="Arial"/>
                <w:sz w:val="18"/>
                <w:szCs w:val="18"/>
                <w:lang w:val="en-GB" w:eastAsia="en-US"/>
              </w:rPr>
            </w:pPr>
            <w:r w:rsidRPr="009B281E">
              <w:rPr>
                <w:rFonts w:ascii="Arial Narrow" w:hAnsi="Arial Narrow" w:cs="Arial"/>
                <w:b/>
                <w:sz w:val="18"/>
                <w:szCs w:val="18"/>
                <w:lang w:val="en-GB" w:eastAsia="en-US"/>
              </w:rPr>
              <w:t>Dr Prof. Hong Liu</w:t>
            </w:r>
            <w:r w:rsidRPr="009B281E">
              <w:rPr>
                <w:rFonts w:ascii="Arial Narrow" w:hAnsi="Arial Narrow" w:cs="Arial"/>
                <w:sz w:val="18"/>
                <w:szCs w:val="18"/>
                <w:lang w:val="en-GB" w:eastAsia="en-US"/>
              </w:rPr>
              <w:br/>
              <w:t>Deputy Director</w:t>
            </w:r>
          </w:p>
          <w:p w14:paraId="4FA90A08" w14:textId="77777777" w:rsidR="004C19EE" w:rsidRPr="009B281E" w:rsidRDefault="004C19EE" w:rsidP="006B1133">
            <w:pPr>
              <w:pStyle w:val="bodytext"/>
              <w:spacing w:before="0" w:beforeAutospacing="0" w:after="0" w:afterAutospacing="0"/>
              <w:ind w:right="-286"/>
              <w:rPr>
                <w:rFonts w:ascii="Arial Narrow" w:hAnsi="Arial Narrow" w:cs="Arial"/>
                <w:sz w:val="18"/>
                <w:szCs w:val="18"/>
                <w:lang w:val="en-GB" w:eastAsia="en-US"/>
              </w:rPr>
            </w:pPr>
            <w:r w:rsidRPr="009B281E">
              <w:rPr>
                <w:rFonts w:ascii="Arial Narrow" w:hAnsi="Arial Narrow" w:cs="Arial"/>
                <w:sz w:val="18"/>
                <w:szCs w:val="18"/>
                <w:lang w:val="en-GB" w:eastAsia="en-US"/>
              </w:rPr>
              <w:t>Animal and Plant Inspection and Quarantine Technical Center</w:t>
            </w:r>
          </w:p>
          <w:p w14:paraId="22F2BDCF" w14:textId="77777777" w:rsidR="004C19EE" w:rsidRPr="009B281E" w:rsidRDefault="004C19EE" w:rsidP="006B1133">
            <w:pPr>
              <w:pStyle w:val="bodytext"/>
              <w:spacing w:before="0" w:beforeAutospacing="0" w:after="0" w:afterAutospacing="0"/>
              <w:ind w:right="-286"/>
              <w:rPr>
                <w:rFonts w:ascii="Arial Narrow" w:hAnsi="Arial Narrow" w:cs="Arial"/>
                <w:sz w:val="18"/>
                <w:szCs w:val="18"/>
                <w:lang w:val="en-GB" w:eastAsia="en-US"/>
              </w:rPr>
            </w:pPr>
            <w:r w:rsidRPr="009B281E">
              <w:rPr>
                <w:rFonts w:ascii="Arial Narrow" w:hAnsi="Arial Narrow" w:cs="Arial"/>
                <w:sz w:val="18"/>
                <w:szCs w:val="18"/>
                <w:lang w:val="en-GB" w:eastAsia="en-US"/>
              </w:rPr>
              <w:t>Shenzhen Customs District</w:t>
            </w:r>
          </w:p>
          <w:p w14:paraId="55688411" w14:textId="77777777" w:rsidR="004C19EE" w:rsidRPr="009B281E" w:rsidRDefault="004C19EE" w:rsidP="006B1133">
            <w:pPr>
              <w:pStyle w:val="bodytext"/>
              <w:spacing w:before="0" w:beforeAutospacing="0" w:after="0" w:afterAutospacing="0"/>
              <w:ind w:right="-286"/>
              <w:rPr>
                <w:rFonts w:ascii="Arial Narrow" w:hAnsi="Arial Narrow" w:cs="Arial"/>
                <w:sz w:val="18"/>
                <w:szCs w:val="18"/>
                <w:lang w:val="en-GB" w:eastAsia="en-US"/>
              </w:rPr>
            </w:pPr>
            <w:r w:rsidRPr="009B281E">
              <w:rPr>
                <w:rFonts w:ascii="Arial Narrow" w:hAnsi="Arial Narrow" w:cs="Arial"/>
                <w:sz w:val="18"/>
                <w:szCs w:val="18"/>
                <w:lang w:val="en-GB" w:eastAsia="en-US"/>
              </w:rPr>
              <w:t xml:space="preserve">General Administration of Customs, </w:t>
            </w:r>
          </w:p>
          <w:p w14:paraId="259F6029" w14:textId="77777777" w:rsidR="004C19EE" w:rsidRPr="009B281E" w:rsidRDefault="004C19EE" w:rsidP="006B1133">
            <w:pPr>
              <w:pStyle w:val="bodytext"/>
              <w:spacing w:before="0" w:beforeAutospacing="0" w:after="0" w:afterAutospacing="0"/>
              <w:ind w:right="-286"/>
              <w:rPr>
                <w:rFonts w:ascii="Arial Narrow" w:hAnsi="Arial Narrow" w:cs="Arial"/>
                <w:sz w:val="18"/>
                <w:szCs w:val="18"/>
                <w:lang w:val="en-GB" w:eastAsia="en-US"/>
              </w:rPr>
            </w:pPr>
            <w:r w:rsidRPr="009B281E">
              <w:rPr>
                <w:rFonts w:ascii="Arial Narrow" w:hAnsi="Arial Narrow" w:cs="Arial"/>
                <w:sz w:val="18"/>
                <w:szCs w:val="18"/>
                <w:lang w:val="en-GB" w:eastAsia="en-US"/>
              </w:rPr>
              <w:t>1011 building of Fuqiang Road</w:t>
            </w:r>
          </w:p>
          <w:p w14:paraId="6E38D285" w14:textId="77777777" w:rsidR="004C19EE" w:rsidRPr="009B281E" w:rsidRDefault="004C19EE" w:rsidP="006B1133">
            <w:pPr>
              <w:pStyle w:val="bodytext"/>
              <w:spacing w:before="0" w:beforeAutospacing="0" w:after="0" w:afterAutospacing="0"/>
              <w:ind w:right="-286"/>
              <w:rPr>
                <w:rFonts w:ascii="Arial Narrow" w:hAnsi="Arial Narrow" w:cs="Arial"/>
                <w:sz w:val="18"/>
                <w:szCs w:val="18"/>
                <w:lang w:val="en-GB" w:eastAsia="en-US"/>
              </w:rPr>
            </w:pPr>
            <w:r w:rsidRPr="009B281E">
              <w:rPr>
                <w:rFonts w:ascii="Arial Narrow" w:hAnsi="Arial Narrow" w:cs="Arial"/>
                <w:sz w:val="18"/>
                <w:szCs w:val="18"/>
                <w:lang w:val="en-GB" w:eastAsia="en-US"/>
              </w:rPr>
              <w:t>Futianqu, Shenzhen City, Guangdong province</w:t>
            </w:r>
          </w:p>
          <w:p w14:paraId="14F1190D" w14:textId="77777777" w:rsidR="004C19EE" w:rsidRPr="009B281E" w:rsidRDefault="004C19EE" w:rsidP="006B1133">
            <w:pPr>
              <w:pStyle w:val="bodytext"/>
              <w:spacing w:before="0" w:beforeAutospacing="0" w:after="0" w:afterAutospacing="0"/>
              <w:ind w:right="-286"/>
              <w:rPr>
                <w:rFonts w:ascii="Arial Narrow" w:hAnsi="Arial Narrow" w:cs="Arial"/>
                <w:sz w:val="18"/>
                <w:szCs w:val="18"/>
                <w:lang w:val="en-GB" w:eastAsia="en-US"/>
              </w:rPr>
            </w:pPr>
            <w:r w:rsidRPr="009B281E">
              <w:rPr>
                <w:rFonts w:ascii="Arial Narrow" w:hAnsi="Arial Narrow" w:cs="Arial"/>
                <w:sz w:val="18"/>
                <w:szCs w:val="18"/>
                <w:lang w:val="en-GB" w:eastAsia="en-US"/>
              </w:rPr>
              <w:t>CHINA</w:t>
            </w:r>
            <w:r w:rsidRPr="009B281E">
              <w:rPr>
                <w:rFonts w:ascii="Arial Narrow" w:hAnsi="Arial Narrow" w:cs="Arial"/>
                <w:sz w:val="18"/>
                <w:szCs w:val="18"/>
                <w:lang w:val="en-GB" w:eastAsia="en-US"/>
              </w:rPr>
              <w:tab/>
              <w:t>(People’s Rep of)</w:t>
            </w:r>
          </w:p>
          <w:p w14:paraId="005ACE62" w14:textId="58DE2D34" w:rsidR="004C19EE" w:rsidRPr="009B281E" w:rsidRDefault="004C19EE" w:rsidP="006B1133">
            <w:pPr>
              <w:pStyle w:val="bodytext"/>
              <w:spacing w:before="0" w:beforeAutospacing="0" w:after="0" w:afterAutospacing="0"/>
              <w:ind w:right="-286"/>
              <w:rPr>
                <w:rFonts w:ascii="Arial Narrow" w:hAnsi="Arial Narrow" w:cs="Arial"/>
                <w:sz w:val="18"/>
                <w:szCs w:val="18"/>
                <w:lang w:val="en-GB"/>
              </w:rPr>
            </w:pPr>
            <w:r w:rsidRPr="009B281E">
              <w:rPr>
                <w:rFonts w:ascii="Arial Narrow" w:hAnsi="Arial Narrow" w:cs="Arial"/>
                <w:sz w:val="18"/>
                <w:szCs w:val="18"/>
                <w:lang w:val="en-GB" w:eastAsia="en-US"/>
              </w:rPr>
              <w:t>szc_liuhong@customs.gov.cn</w:t>
            </w:r>
            <w:r w:rsidRPr="009B281E">
              <w:rPr>
                <w:rFonts w:ascii="Arial Narrow" w:hAnsi="Arial Narrow" w:cs="Arial"/>
                <w:sz w:val="18"/>
                <w:szCs w:val="18"/>
                <w:lang w:val="en-GB" w:eastAsia="en-US"/>
              </w:rPr>
              <w:br/>
            </w:r>
            <w:r w:rsidRPr="009B281E">
              <w:rPr>
                <w:rFonts w:ascii="Arial Narrow" w:hAnsi="Arial Narrow" w:cs="Arial"/>
                <w:sz w:val="18"/>
                <w:szCs w:val="18"/>
                <w:lang w:val="en-US"/>
              </w:rPr>
              <w:t>709274714@qq.com</w:t>
            </w:r>
          </w:p>
        </w:tc>
        <w:tc>
          <w:tcPr>
            <w:tcW w:w="2948" w:type="dxa"/>
          </w:tcPr>
          <w:p w14:paraId="36AC4418" w14:textId="77777777" w:rsidR="004C19EE" w:rsidRPr="009B281E" w:rsidRDefault="004C19EE" w:rsidP="006B1133">
            <w:pPr>
              <w:spacing w:before="120" w:after="0" w:line="240" w:lineRule="auto"/>
              <w:ind w:left="113" w:right="-286"/>
              <w:rPr>
                <w:rFonts w:ascii="Arial Narrow" w:hAnsi="Arial Narrow" w:cs="Arial"/>
                <w:b/>
                <w:sz w:val="18"/>
                <w:szCs w:val="18"/>
                <w:lang w:val="es-ES"/>
              </w:rPr>
            </w:pPr>
            <w:r w:rsidRPr="009B281E">
              <w:rPr>
                <w:rFonts w:ascii="Arial Narrow" w:hAnsi="Arial Narrow" w:cs="Arial"/>
                <w:b/>
                <w:sz w:val="18"/>
                <w:szCs w:val="18"/>
                <w:lang w:val="es-ES"/>
              </w:rPr>
              <w:t>Dr Alicia Gallardo Lagno</w:t>
            </w:r>
          </w:p>
          <w:p w14:paraId="09BD12EF" w14:textId="2F2B94EF" w:rsidR="004C19EE" w:rsidRPr="009B281E" w:rsidRDefault="004C19EE" w:rsidP="006B1133">
            <w:pPr>
              <w:spacing w:after="0"/>
              <w:ind w:left="113" w:right="-286"/>
              <w:rPr>
                <w:rFonts w:ascii="Arial Narrow" w:hAnsi="Arial Narrow" w:cs="Arial"/>
                <w:sz w:val="18"/>
                <w:szCs w:val="18"/>
                <w:lang w:val="es-ES"/>
              </w:rPr>
            </w:pPr>
            <w:r w:rsidRPr="009B281E">
              <w:rPr>
                <w:rFonts w:ascii="Arial Narrow" w:hAnsi="Arial Narrow" w:cs="Arial"/>
                <w:noProof/>
                <w:sz w:val="18"/>
                <w:szCs w:val="18"/>
                <w:lang w:val="es-ES"/>
              </w:rPr>
              <w:t>(Vice-President)</w:t>
            </w:r>
            <w:r w:rsidRPr="009B281E">
              <w:rPr>
                <w:rFonts w:ascii="Arial Narrow" w:hAnsi="Arial Narrow" w:cs="Arial"/>
                <w:b/>
                <w:sz w:val="18"/>
                <w:szCs w:val="18"/>
                <w:lang w:val="es-ES"/>
              </w:rPr>
              <w:t xml:space="preserve"> </w:t>
            </w:r>
            <w:r w:rsidRPr="009B281E">
              <w:rPr>
                <w:rFonts w:ascii="Arial Narrow" w:hAnsi="Arial Narrow" w:cs="Arial"/>
                <w:sz w:val="18"/>
                <w:szCs w:val="18"/>
                <w:lang w:val="es-ES"/>
              </w:rPr>
              <w:br/>
              <w:t>Subdirectora nacional de acuicultura</w:t>
            </w:r>
            <w:r w:rsidRPr="009B281E">
              <w:rPr>
                <w:rFonts w:ascii="Arial Narrow" w:hAnsi="Arial Narrow" w:cs="Arial"/>
                <w:sz w:val="18"/>
                <w:szCs w:val="18"/>
                <w:lang w:val="es-ES"/>
              </w:rPr>
              <w:br/>
              <w:t>Servicio Nacional de Pesca y Acuicultura</w:t>
            </w:r>
            <w:r w:rsidRPr="009B281E">
              <w:rPr>
                <w:rFonts w:ascii="Arial Narrow" w:hAnsi="Arial Narrow" w:cs="Arial"/>
                <w:sz w:val="18"/>
                <w:szCs w:val="18"/>
                <w:lang w:val="es-ES"/>
              </w:rPr>
              <w:br/>
              <w:t>Calle Victoria 2832</w:t>
            </w:r>
            <w:r w:rsidRPr="009B281E">
              <w:rPr>
                <w:rFonts w:ascii="Arial Narrow" w:hAnsi="Arial Narrow" w:cs="Arial"/>
                <w:sz w:val="18"/>
                <w:szCs w:val="18"/>
                <w:lang w:val="es-ES"/>
              </w:rPr>
              <w:br/>
              <w:t>CHILE</w:t>
            </w:r>
            <w:r w:rsidRPr="009B281E">
              <w:rPr>
                <w:rFonts w:ascii="Arial Narrow" w:hAnsi="Arial Narrow" w:cs="Arial"/>
                <w:sz w:val="18"/>
                <w:szCs w:val="18"/>
                <w:lang w:val="es-ES"/>
              </w:rPr>
              <w:br/>
              <w:t>Tel.: +56 32 281 9282</w:t>
            </w:r>
            <w:r w:rsidRPr="009B281E">
              <w:rPr>
                <w:rFonts w:ascii="Arial Narrow" w:hAnsi="Arial Narrow" w:cs="Arial"/>
                <w:sz w:val="18"/>
                <w:szCs w:val="18"/>
                <w:lang w:val="es-ES"/>
              </w:rPr>
              <w:br/>
            </w:r>
            <w:r w:rsidR="0016179E" w:rsidRPr="009B281E">
              <w:rPr>
                <w:rFonts w:ascii="Arial Narrow" w:hAnsi="Arial Narrow"/>
                <w:sz w:val="18"/>
                <w:szCs w:val="18"/>
                <w:lang w:val="fr-FR"/>
              </w:rPr>
              <w:t>agallardol@sernapesca.cl</w:t>
            </w:r>
          </w:p>
          <w:p w14:paraId="358BFDE4" w14:textId="77777777" w:rsidR="004C19EE" w:rsidRPr="009B281E" w:rsidRDefault="004C19EE" w:rsidP="006B1133">
            <w:pPr>
              <w:spacing w:after="0"/>
              <w:ind w:left="92" w:right="-286"/>
              <w:rPr>
                <w:rFonts w:ascii="Arial Narrow" w:hAnsi="Arial Narrow" w:cs="Arial"/>
                <w:b/>
                <w:noProof/>
                <w:sz w:val="18"/>
                <w:szCs w:val="18"/>
                <w:lang w:val="es-ES"/>
              </w:rPr>
            </w:pPr>
          </w:p>
          <w:p w14:paraId="1D910A47" w14:textId="77777777" w:rsidR="004C19EE" w:rsidRPr="009B281E" w:rsidRDefault="004C19EE" w:rsidP="006B1133">
            <w:pPr>
              <w:spacing w:after="0"/>
              <w:ind w:left="92" w:right="-286"/>
              <w:rPr>
                <w:rFonts w:ascii="Arial Narrow" w:hAnsi="Arial Narrow" w:cs="Arial"/>
                <w:b/>
                <w:noProof/>
                <w:sz w:val="18"/>
                <w:szCs w:val="18"/>
                <w:lang w:val="es-ES"/>
              </w:rPr>
            </w:pPr>
          </w:p>
          <w:p w14:paraId="60440EB2" w14:textId="77777777" w:rsidR="004C19EE" w:rsidRPr="009B281E" w:rsidRDefault="004C19EE" w:rsidP="006B1133">
            <w:pPr>
              <w:spacing w:after="0"/>
              <w:ind w:left="92" w:right="-286"/>
              <w:rPr>
                <w:rFonts w:ascii="Arial Narrow" w:hAnsi="Arial Narrow" w:cs="Arial"/>
                <w:b/>
                <w:noProof/>
                <w:sz w:val="18"/>
                <w:szCs w:val="18"/>
              </w:rPr>
            </w:pPr>
            <w:r w:rsidRPr="009B281E">
              <w:rPr>
                <w:rFonts w:ascii="Arial Narrow" w:hAnsi="Arial Narrow" w:cs="Arial"/>
                <w:b/>
                <w:noProof/>
                <w:sz w:val="18"/>
                <w:szCs w:val="18"/>
              </w:rPr>
              <w:t xml:space="preserve">Dr Edmund Peeler </w:t>
            </w:r>
          </w:p>
          <w:p w14:paraId="2DF4B8C1" w14:textId="77777777" w:rsidR="004C19EE" w:rsidRPr="009B281E" w:rsidRDefault="004C19EE" w:rsidP="006B1133">
            <w:pPr>
              <w:spacing w:after="0"/>
              <w:ind w:left="92" w:right="-286"/>
              <w:rPr>
                <w:rFonts w:ascii="Arial Narrow" w:hAnsi="Arial Narrow" w:cs="Arial"/>
                <w:noProof/>
                <w:sz w:val="18"/>
                <w:szCs w:val="18"/>
              </w:rPr>
            </w:pPr>
            <w:r w:rsidRPr="009B281E">
              <w:rPr>
                <w:rFonts w:ascii="Arial Narrow" w:hAnsi="Arial Narrow" w:cs="Arial"/>
                <w:noProof/>
                <w:sz w:val="18"/>
                <w:szCs w:val="18"/>
              </w:rPr>
              <w:t>(Vice-President)</w:t>
            </w:r>
          </w:p>
          <w:p w14:paraId="206081C8" w14:textId="77777777" w:rsidR="004C19EE" w:rsidRPr="009B281E" w:rsidRDefault="004C19EE" w:rsidP="006B1133">
            <w:pPr>
              <w:spacing w:after="0"/>
              <w:ind w:left="92" w:right="-286"/>
              <w:rPr>
                <w:rFonts w:ascii="Arial Narrow" w:hAnsi="Arial Narrow" w:cs="Arial"/>
                <w:noProof/>
                <w:sz w:val="18"/>
                <w:szCs w:val="18"/>
              </w:rPr>
            </w:pPr>
            <w:r w:rsidRPr="009B281E">
              <w:rPr>
                <w:rFonts w:ascii="Arial Narrow" w:hAnsi="Arial Narrow" w:cs="Arial"/>
                <w:noProof/>
                <w:sz w:val="18"/>
                <w:szCs w:val="18"/>
              </w:rPr>
              <w:t xml:space="preserve">Group Manager Aquatic Pest &amp; </w:t>
            </w:r>
          </w:p>
          <w:p w14:paraId="315F9BF1" w14:textId="77777777" w:rsidR="004C19EE" w:rsidRPr="009B281E" w:rsidRDefault="004C19EE" w:rsidP="006B1133">
            <w:pPr>
              <w:spacing w:after="0"/>
              <w:ind w:left="92" w:right="-286"/>
              <w:rPr>
                <w:rFonts w:ascii="Arial Narrow" w:hAnsi="Arial Narrow" w:cs="Arial"/>
                <w:noProof/>
                <w:sz w:val="18"/>
                <w:szCs w:val="18"/>
              </w:rPr>
            </w:pPr>
            <w:r w:rsidRPr="009B281E">
              <w:rPr>
                <w:rFonts w:ascii="Arial Narrow" w:hAnsi="Arial Narrow" w:cs="Arial"/>
                <w:noProof/>
                <w:sz w:val="18"/>
                <w:szCs w:val="18"/>
              </w:rPr>
              <w:t>Pathogens</w:t>
            </w:r>
          </w:p>
          <w:p w14:paraId="3BEE2E90" w14:textId="77777777" w:rsidR="004C19EE" w:rsidRPr="009B281E" w:rsidRDefault="004C19EE" w:rsidP="006B1133">
            <w:pPr>
              <w:spacing w:after="0"/>
              <w:ind w:left="92" w:right="-286"/>
              <w:rPr>
                <w:rFonts w:ascii="Arial Narrow" w:hAnsi="Arial Narrow" w:cs="Arial"/>
                <w:noProof/>
                <w:sz w:val="18"/>
                <w:szCs w:val="18"/>
              </w:rPr>
            </w:pPr>
            <w:r w:rsidRPr="009B281E">
              <w:rPr>
                <w:rFonts w:ascii="Arial Narrow" w:hAnsi="Arial Narrow" w:cs="Arial"/>
                <w:noProof/>
                <w:sz w:val="18"/>
                <w:szCs w:val="18"/>
              </w:rPr>
              <w:t>CEFAS</w:t>
            </w:r>
          </w:p>
          <w:p w14:paraId="3B7D2520" w14:textId="77777777" w:rsidR="004C19EE" w:rsidRPr="009B281E" w:rsidRDefault="004C19EE" w:rsidP="006B1133">
            <w:pPr>
              <w:spacing w:after="0"/>
              <w:ind w:left="92" w:right="-286"/>
              <w:rPr>
                <w:rFonts w:ascii="Arial Narrow" w:hAnsi="Arial Narrow" w:cs="Arial"/>
                <w:noProof/>
                <w:sz w:val="18"/>
                <w:szCs w:val="18"/>
              </w:rPr>
            </w:pPr>
            <w:r w:rsidRPr="009B281E">
              <w:rPr>
                <w:rFonts w:ascii="Arial Narrow" w:hAnsi="Arial Narrow" w:cs="Arial"/>
                <w:noProof/>
                <w:sz w:val="18"/>
                <w:szCs w:val="18"/>
              </w:rPr>
              <w:t>Barrack Road, Weymouth</w:t>
            </w:r>
          </w:p>
          <w:p w14:paraId="4B061C29" w14:textId="77777777" w:rsidR="004C19EE" w:rsidRPr="009B281E" w:rsidRDefault="004C19EE" w:rsidP="006B1133">
            <w:pPr>
              <w:spacing w:after="0"/>
              <w:ind w:left="92" w:right="-286"/>
              <w:rPr>
                <w:rFonts w:ascii="Arial Narrow" w:hAnsi="Arial Narrow" w:cs="Arial"/>
                <w:noProof/>
                <w:sz w:val="18"/>
                <w:szCs w:val="18"/>
              </w:rPr>
            </w:pPr>
            <w:r w:rsidRPr="009B281E">
              <w:rPr>
                <w:rFonts w:ascii="Arial Narrow" w:hAnsi="Arial Narrow" w:cs="Arial"/>
                <w:noProof/>
                <w:sz w:val="18"/>
                <w:szCs w:val="18"/>
              </w:rPr>
              <w:t>Dorset, DT4 8UB UK</w:t>
            </w:r>
          </w:p>
          <w:p w14:paraId="44731B13" w14:textId="77777777" w:rsidR="004C19EE" w:rsidRPr="009B281E" w:rsidRDefault="004C19EE" w:rsidP="006B1133">
            <w:pPr>
              <w:spacing w:after="0"/>
              <w:ind w:left="92" w:right="-286"/>
              <w:rPr>
                <w:rFonts w:ascii="Arial Narrow" w:hAnsi="Arial Narrow" w:cs="Arial"/>
                <w:noProof/>
                <w:sz w:val="18"/>
                <w:szCs w:val="18"/>
              </w:rPr>
            </w:pPr>
            <w:r w:rsidRPr="009B281E">
              <w:rPr>
                <w:rFonts w:ascii="Arial Narrow" w:hAnsi="Arial Narrow" w:cs="Arial"/>
                <w:noProof/>
                <w:sz w:val="18"/>
                <w:szCs w:val="18"/>
              </w:rPr>
              <w:t>UNITED KINGDOM</w:t>
            </w:r>
          </w:p>
          <w:p w14:paraId="0EE27B00" w14:textId="77777777" w:rsidR="004C19EE" w:rsidRPr="009B281E" w:rsidRDefault="004C19EE" w:rsidP="006B1133">
            <w:pPr>
              <w:spacing w:after="0"/>
              <w:ind w:left="92" w:right="-286"/>
              <w:rPr>
                <w:rFonts w:ascii="Arial Narrow" w:hAnsi="Arial Narrow" w:cs="Arial"/>
                <w:noProof/>
                <w:sz w:val="18"/>
                <w:szCs w:val="18"/>
              </w:rPr>
            </w:pPr>
            <w:r w:rsidRPr="009B281E">
              <w:rPr>
                <w:rFonts w:ascii="Arial Narrow" w:hAnsi="Arial Narrow" w:cs="Arial"/>
                <w:sz w:val="18"/>
                <w:szCs w:val="18"/>
                <w:lang w:val="en-US"/>
              </w:rPr>
              <w:t xml:space="preserve">Tel.: </w:t>
            </w:r>
            <w:r w:rsidRPr="009B281E">
              <w:rPr>
                <w:rFonts w:ascii="Arial Narrow" w:hAnsi="Arial Narrow" w:cs="Arial"/>
                <w:noProof/>
                <w:sz w:val="18"/>
                <w:szCs w:val="18"/>
                <w:lang w:eastAsia="ja-JP"/>
              </w:rPr>
              <w:t>+44 (0)1305 206746</w:t>
            </w:r>
          </w:p>
          <w:p w14:paraId="21957356" w14:textId="77777777" w:rsidR="004C19EE" w:rsidRPr="009B281E" w:rsidRDefault="004C19EE" w:rsidP="006B1133">
            <w:pPr>
              <w:spacing w:after="0"/>
              <w:ind w:left="92" w:right="-286"/>
              <w:jc w:val="both"/>
              <w:rPr>
                <w:rFonts w:ascii="Arial Narrow" w:hAnsi="Arial Narrow" w:cs="Arial"/>
                <w:noProof/>
                <w:sz w:val="18"/>
                <w:szCs w:val="18"/>
              </w:rPr>
            </w:pPr>
            <w:r w:rsidRPr="009B281E">
              <w:rPr>
                <w:rFonts w:ascii="Arial Narrow" w:hAnsi="Arial Narrow" w:cs="Arial"/>
                <w:noProof/>
                <w:sz w:val="18"/>
                <w:szCs w:val="18"/>
              </w:rPr>
              <w:t>ed.peeler@cefas.co.uk</w:t>
            </w:r>
          </w:p>
          <w:p w14:paraId="7D7676E4" w14:textId="77777777" w:rsidR="004C19EE" w:rsidRPr="009B281E" w:rsidRDefault="004C19EE" w:rsidP="006B1133">
            <w:pPr>
              <w:spacing w:after="0"/>
              <w:ind w:left="-28" w:right="-286"/>
              <w:jc w:val="both"/>
              <w:rPr>
                <w:rFonts w:ascii="Arial Narrow" w:hAnsi="Arial Narrow" w:cs="Arial"/>
                <w:b/>
                <w:sz w:val="18"/>
                <w:szCs w:val="18"/>
              </w:rPr>
            </w:pPr>
          </w:p>
        </w:tc>
      </w:tr>
    </w:tbl>
    <w:p w14:paraId="7BA7F5C0" w14:textId="77777777" w:rsidR="004C19EE" w:rsidRPr="009B281E" w:rsidRDefault="004C19EE" w:rsidP="004C19EE">
      <w:pPr>
        <w:pBdr>
          <w:bottom w:val="single" w:sz="4" w:space="1" w:color="auto"/>
        </w:pBdr>
        <w:spacing w:after="0"/>
        <w:ind w:right="-286"/>
        <w:rPr>
          <w:rFonts w:ascii="Arial Narrow" w:hAnsi="Arial Narrow" w:cs="Arial"/>
          <w:b/>
          <w:sz w:val="18"/>
          <w:szCs w:val="18"/>
        </w:rPr>
      </w:pPr>
      <w:r w:rsidRPr="009B281E">
        <w:rPr>
          <w:rFonts w:ascii="Arial Narrow" w:hAnsi="Arial Narrow" w:cs="Arial"/>
          <w:b/>
          <w:sz w:val="18"/>
          <w:szCs w:val="18"/>
        </w:rPr>
        <w:t>OTHE PARTICIPANTS</w:t>
      </w:r>
    </w:p>
    <w:p w14:paraId="758BD410" w14:textId="77777777" w:rsidR="004C19EE" w:rsidRPr="009B281E" w:rsidRDefault="004C19EE" w:rsidP="004C19EE">
      <w:pPr>
        <w:pStyle w:val="bodytext"/>
        <w:spacing w:before="120" w:beforeAutospacing="0" w:after="0" w:afterAutospacing="0"/>
        <w:ind w:right="-286"/>
        <w:rPr>
          <w:rFonts w:ascii="Arial Narrow" w:hAnsi="Arial Narrow" w:cs="Arial"/>
          <w:b/>
          <w:sz w:val="18"/>
          <w:szCs w:val="18"/>
          <w:lang w:val="en-GB" w:eastAsia="en-US"/>
        </w:rPr>
      </w:pPr>
      <w:r w:rsidRPr="009B281E">
        <w:rPr>
          <w:rFonts w:ascii="Arial Narrow" w:hAnsi="Arial Narrow" w:cs="Arial"/>
          <w:b/>
          <w:sz w:val="18"/>
          <w:szCs w:val="18"/>
          <w:lang w:val="en-GB" w:eastAsia="en-US"/>
        </w:rPr>
        <w:t>Dr Chang Siow Foong</w:t>
      </w:r>
    </w:p>
    <w:p w14:paraId="105359D5" w14:textId="77777777" w:rsidR="004C19EE" w:rsidRPr="009B281E" w:rsidRDefault="004C19EE" w:rsidP="004C19EE">
      <w:pPr>
        <w:pStyle w:val="bodytext"/>
        <w:spacing w:before="0" w:beforeAutospacing="0" w:after="0" w:afterAutospacing="0"/>
        <w:ind w:right="-286"/>
        <w:rPr>
          <w:rFonts w:ascii="Arial Narrow" w:hAnsi="Arial Narrow" w:cs="Arial"/>
          <w:sz w:val="18"/>
          <w:szCs w:val="18"/>
          <w:lang w:val="en-GB" w:eastAsia="en-US"/>
        </w:rPr>
      </w:pPr>
      <w:r w:rsidRPr="009B281E">
        <w:rPr>
          <w:rFonts w:ascii="Arial Narrow" w:hAnsi="Arial Narrow" w:cs="Arial"/>
          <w:sz w:val="18"/>
          <w:szCs w:val="18"/>
          <w:lang w:val="en-GB" w:eastAsia="en-US"/>
        </w:rPr>
        <w:t>Group Director</w:t>
      </w:r>
    </w:p>
    <w:p w14:paraId="68AA0922" w14:textId="77777777" w:rsidR="004C19EE" w:rsidRPr="009B281E" w:rsidRDefault="004C19EE" w:rsidP="004C19EE">
      <w:pPr>
        <w:pStyle w:val="bodytext"/>
        <w:spacing w:before="0" w:beforeAutospacing="0" w:after="0" w:afterAutospacing="0"/>
        <w:ind w:right="-286"/>
        <w:rPr>
          <w:rFonts w:ascii="Arial Narrow" w:hAnsi="Arial Narrow" w:cs="Arial"/>
          <w:sz w:val="18"/>
          <w:szCs w:val="18"/>
          <w:lang w:val="en-GB" w:eastAsia="en-US"/>
        </w:rPr>
      </w:pPr>
      <w:r w:rsidRPr="009B281E">
        <w:rPr>
          <w:rFonts w:ascii="Arial Narrow" w:hAnsi="Arial Narrow" w:cs="Arial"/>
          <w:sz w:val="18"/>
          <w:szCs w:val="18"/>
          <w:lang w:val="en-GB" w:eastAsia="en-US"/>
        </w:rPr>
        <w:t>Professional &amp; Scientific Services</w:t>
      </w:r>
    </w:p>
    <w:p w14:paraId="5E2D4580" w14:textId="77777777" w:rsidR="004C19EE" w:rsidRPr="009B281E" w:rsidRDefault="004C19EE" w:rsidP="004C19EE">
      <w:pPr>
        <w:pStyle w:val="bodytext"/>
        <w:spacing w:before="0" w:beforeAutospacing="0" w:after="0" w:afterAutospacing="0"/>
        <w:ind w:right="-286"/>
        <w:rPr>
          <w:rFonts w:ascii="Arial Narrow" w:hAnsi="Arial Narrow" w:cs="Arial"/>
          <w:sz w:val="18"/>
          <w:szCs w:val="18"/>
          <w:lang w:val="en-GB" w:eastAsia="en-US"/>
        </w:rPr>
      </w:pPr>
      <w:r w:rsidRPr="009B281E">
        <w:rPr>
          <w:rFonts w:ascii="Arial Narrow" w:hAnsi="Arial Narrow" w:cs="Arial"/>
          <w:sz w:val="18"/>
          <w:szCs w:val="18"/>
          <w:lang w:val="en-GB" w:eastAsia="en-US"/>
        </w:rPr>
        <w:t>Animal and Veterinary Service</w:t>
      </w:r>
    </w:p>
    <w:p w14:paraId="09D02BC6" w14:textId="77777777" w:rsidR="004C19EE" w:rsidRPr="009B281E" w:rsidRDefault="004C19EE" w:rsidP="004C19EE">
      <w:pPr>
        <w:pStyle w:val="bodytext"/>
        <w:spacing w:before="0" w:beforeAutospacing="0" w:after="0" w:afterAutospacing="0"/>
        <w:ind w:right="-286"/>
        <w:rPr>
          <w:rFonts w:ascii="Arial Narrow" w:hAnsi="Arial Narrow" w:cs="Arial"/>
          <w:sz w:val="18"/>
          <w:szCs w:val="18"/>
          <w:lang w:val="en-GB" w:eastAsia="en-US"/>
        </w:rPr>
      </w:pPr>
      <w:r w:rsidRPr="009B281E">
        <w:rPr>
          <w:rFonts w:ascii="Arial Narrow" w:hAnsi="Arial Narrow" w:cs="Arial"/>
          <w:sz w:val="18"/>
          <w:szCs w:val="18"/>
          <w:lang w:val="en-GB" w:eastAsia="en-US"/>
        </w:rPr>
        <w:t>Ministry of National Development</w:t>
      </w:r>
    </w:p>
    <w:p w14:paraId="122C1077" w14:textId="77777777" w:rsidR="004C19EE" w:rsidRPr="009B281E" w:rsidRDefault="004C19EE" w:rsidP="004C19EE">
      <w:pPr>
        <w:pStyle w:val="bodytext"/>
        <w:spacing w:before="0" w:beforeAutospacing="0" w:after="0" w:afterAutospacing="0"/>
        <w:ind w:right="-286"/>
        <w:rPr>
          <w:rFonts w:ascii="Arial Narrow" w:hAnsi="Arial Narrow" w:cs="Arial"/>
          <w:sz w:val="18"/>
          <w:szCs w:val="18"/>
          <w:lang w:val="en-GB" w:eastAsia="en-US"/>
        </w:rPr>
      </w:pPr>
      <w:r w:rsidRPr="009B281E">
        <w:rPr>
          <w:rFonts w:ascii="Arial Narrow" w:hAnsi="Arial Narrow" w:cs="Arial"/>
          <w:sz w:val="18"/>
          <w:szCs w:val="18"/>
          <w:lang w:val="en-GB" w:eastAsia="en-US"/>
        </w:rPr>
        <w:t>Singapore</w:t>
      </w:r>
    </w:p>
    <w:p w14:paraId="3F806E49" w14:textId="77777777" w:rsidR="004C19EE" w:rsidRPr="009B281E" w:rsidRDefault="00831075" w:rsidP="004C19EE">
      <w:pPr>
        <w:pStyle w:val="bodytext"/>
        <w:spacing w:before="0" w:beforeAutospacing="0" w:after="0" w:afterAutospacing="0"/>
        <w:ind w:right="-286"/>
        <w:rPr>
          <w:rFonts w:ascii="Arial Narrow" w:hAnsi="Arial Narrow" w:cs="Arial"/>
          <w:sz w:val="18"/>
          <w:szCs w:val="18"/>
          <w:lang w:val="en-GB" w:eastAsia="en-US"/>
        </w:rPr>
      </w:pPr>
      <w:hyperlink r:id="rId33" w:history="1">
        <w:r w:rsidR="004C19EE" w:rsidRPr="009B281E">
          <w:rPr>
            <w:rFonts w:ascii="Arial Narrow" w:hAnsi="Arial Narrow" w:cs="Arial"/>
            <w:sz w:val="18"/>
            <w:szCs w:val="18"/>
            <w:lang w:val="en-GB" w:eastAsia="en-US"/>
          </w:rPr>
          <w:t>chang_siow_foong@nparks.gov.sg</w:t>
        </w:r>
      </w:hyperlink>
    </w:p>
    <w:p w14:paraId="3D13C42E" w14:textId="77777777" w:rsidR="004C19EE" w:rsidRPr="009B281E" w:rsidRDefault="004C19EE" w:rsidP="004C19EE">
      <w:pPr>
        <w:pStyle w:val="bodytext"/>
        <w:spacing w:before="0" w:beforeAutospacing="0" w:after="0" w:afterAutospacing="0"/>
        <w:ind w:right="-286"/>
        <w:rPr>
          <w:rFonts w:ascii="Arial Narrow" w:hAnsi="Arial Narrow" w:cs="Arial"/>
          <w:sz w:val="18"/>
          <w:szCs w:val="18"/>
          <w:lang w:val="en-GB" w:eastAsia="en-US"/>
        </w:rPr>
      </w:pPr>
    </w:p>
    <w:p w14:paraId="3A59F480" w14:textId="77777777" w:rsidR="004C19EE" w:rsidRPr="009B281E" w:rsidRDefault="004C19EE" w:rsidP="004C19EE">
      <w:pPr>
        <w:pBdr>
          <w:bottom w:val="single" w:sz="4" w:space="1" w:color="auto"/>
        </w:pBdr>
        <w:spacing w:after="0"/>
        <w:ind w:right="-286"/>
        <w:rPr>
          <w:rFonts w:ascii="Arial Narrow" w:hAnsi="Arial Narrow" w:cs="Arial"/>
          <w:sz w:val="18"/>
          <w:szCs w:val="18"/>
        </w:rPr>
      </w:pPr>
      <w:r w:rsidRPr="009B281E">
        <w:rPr>
          <w:rFonts w:ascii="Arial Narrow" w:hAnsi="Arial Narrow" w:cs="Arial"/>
          <w:b/>
          <w:sz w:val="18"/>
          <w:szCs w:val="18"/>
        </w:rPr>
        <w:t>OIE HEADQUARTERS</w:t>
      </w:r>
    </w:p>
    <w:tbl>
      <w:tblPr>
        <w:tblW w:w="9427" w:type="dxa"/>
        <w:tblInd w:w="-142" w:type="dxa"/>
        <w:tblLayout w:type="fixed"/>
        <w:tblCellMar>
          <w:left w:w="70" w:type="dxa"/>
          <w:right w:w="70" w:type="dxa"/>
        </w:tblCellMar>
        <w:tblLook w:val="0000" w:firstRow="0" w:lastRow="0" w:firstColumn="0" w:lastColumn="0" w:noHBand="0" w:noVBand="0"/>
      </w:tblPr>
      <w:tblGrid>
        <w:gridCol w:w="3332"/>
        <w:gridCol w:w="3240"/>
        <w:gridCol w:w="2855"/>
      </w:tblGrid>
      <w:tr w:rsidR="004C19EE" w:rsidRPr="009B281E" w14:paraId="6E0DD3EA" w14:textId="77777777" w:rsidTr="006B1133">
        <w:trPr>
          <w:cantSplit/>
        </w:trPr>
        <w:tc>
          <w:tcPr>
            <w:tcW w:w="3332" w:type="dxa"/>
          </w:tcPr>
          <w:p w14:paraId="28059989" w14:textId="77777777" w:rsidR="004C19EE" w:rsidRPr="009B281E" w:rsidRDefault="004C19EE" w:rsidP="00D31BA5">
            <w:pPr>
              <w:tabs>
                <w:tab w:val="left" w:pos="576"/>
                <w:tab w:val="left" w:pos="1152"/>
                <w:tab w:val="left" w:pos="3312"/>
              </w:tabs>
              <w:spacing w:before="120" w:after="0" w:line="240" w:lineRule="auto"/>
              <w:ind w:left="73" w:right="-286"/>
              <w:rPr>
                <w:rFonts w:ascii="Arial Narrow" w:hAnsi="Arial Narrow" w:cs="Arial"/>
                <w:b/>
                <w:sz w:val="18"/>
                <w:szCs w:val="18"/>
              </w:rPr>
            </w:pPr>
            <w:r w:rsidRPr="009B281E">
              <w:rPr>
                <w:rFonts w:ascii="Arial Narrow" w:hAnsi="Arial Narrow" w:cs="Arial"/>
                <w:b/>
                <w:sz w:val="18"/>
                <w:szCs w:val="18"/>
              </w:rPr>
              <w:t xml:space="preserve">Dr Gillian </w:t>
            </w:r>
            <w:r w:rsidRPr="009B281E">
              <w:rPr>
                <w:rFonts w:ascii="Arial Narrow" w:hAnsi="Arial Narrow" w:cs="Arial"/>
                <w:b/>
                <w:bCs/>
                <w:sz w:val="18"/>
                <w:szCs w:val="18"/>
                <w:lang w:val="en-US"/>
              </w:rPr>
              <w:t>Mylrea</w:t>
            </w:r>
          </w:p>
          <w:p w14:paraId="79DFD7BC" w14:textId="77777777" w:rsidR="004C19EE" w:rsidRPr="009B281E" w:rsidRDefault="004C19EE" w:rsidP="00D31BA5">
            <w:pPr>
              <w:tabs>
                <w:tab w:val="left" w:pos="576"/>
                <w:tab w:val="left" w:pos="1152"/>
                <w:tab w:val="left" w:pos="3312"/>
              </w:tabs>
              <w:spacing w:after="0"/>
              <w:ind w:left="73" w:right="-286" w:firstLine="2"/>
              <w:rPr>
                <w:rFonts w:ascii="Arial Narrow" w:hAnsi="Arial Narrow" w:cs="Arial"/>
                <w:sz w:val="18"/>
                <w:szCs w:val="18"/>
              </w:rPr>
            </w:pPr>
            <w:r w:rsidRPr="009B281E">
              <w:rPr>
                <w:rFonts w:ascii="Arial Narrow" w:hAnsi="Arial Narrow" w:cs="Arial"/>
                <w:sz w:val="18"/>
                <w:szCs w:val="18"/>
              </w:rPr>
              <w:t>Head</w:t>
            </w:r>
          </w:p>
          <w:p w14:paraId="1B6445A1" w14:textId="77777777" w:rsidR="004C19EE" w:rsidRPr="009B281E" w:rsidRDefault="004C19EE" w:rsidP="00D31BA5">
            <w:pPr>
              <w:tabs>
                <w:tab w:val="left" w:pos="284"/>
                <w:tab w:val="left" w:pos="1702"/>
              </w:tabs>
              <w:spacing w:after="0"/>
              <w:ind w:left="73" w:right="-286" w:firstLine="2"/>
              <w:rPr>
                <w:rFonts w:ascii="Arial Narrow" w:hAnsi="Arial Narrow" w:cs="Arial"/>
                <w:sz w:val="18"/>
                <w:szCs w:val="18"/>
                <w:lang w:val="en-US"/>
              </w:rPr>
            </w:pPr>
            <w:r w:rsidRPr="009B281E">
              <w:rPr>
                <w:rFonts w:ascii="Arial Narrow" w:hAnsi="Arial Narrow" w:cs="Arial"/>
                <w:sz w:val="18"/>
                <w:szCs w:val="18"/>
                <w:lang w:val="en-US"/>
              </w:rPr>
              <w:t>Standards Department</w:t>
            </w:r>
          </w:p>
          <w:p w14:paraId="70CFEE8D" w14:textId="35FD5929" w:rsidR="004C19EE" w:rsidRPr="009B281E" w:rsidRDefault="0016179E" w:rsidP="00D31BA5">
            <w:pPr>
              <w:tabs>
                <w:tab w:val="left" w:pos="284"/>
                <w:tab w:val="left" w:pos="1702"/>
              </w:tabs>
              <w:spacing w:after="0"/>
              <w:ind w:left="73" w:right="-286" w:firstLine="2"/>
              <w:rPr>
                <w:rStyle w:val="Lienhypertexte"/>
                <w:rFonts w:ascii="Arial Narrow" w:hAnsi="Arial Narrow" w:cs="Arial"/>
                <w:color w:val="auto"/>
                <w:sz w:val="18"/>
                <w:szCs w:val="18"/>
                <w:lang w:val="fr-FR"/>
              </w:rPr>
            </w:pPr>
            <w:r w:rsidRPr="009B281E">
              <w:rPr>
                <w:rFonts w:ascii="Arial Narrow" w:hAnsi="Arial Narrow" w:cs="Arial"/>
                <w:sz w:val="18"/>
                <w:szCs w:val="18"/>
                <w:lang w:val="nb-NO"/>
              </w:rPr>
              <w:t>g.mylrea@oie.int</w:t>
            </w:r>
          </w:p>
          <w:p w14:paraId="73FF98D9" w14:textId="77777777" w:rsidR="004C19EE" w:rsidRPr="009B281E" w:rsidRDefault="004C19EE" w:rsidP="00D31BA5">
            <w:pPr>
              <w:tabs>
                <w:tab w:val="left" w:pos="576"/>
                <w:tab w:val="left" w:pos="1152"/>
                <w:tab w:val="left" w:pos="3312"/>
              </w:tabs>
              <w:spacing w:after="0"/>
              <w:ind w:right="-286" w:firstLine="2"/>
              <w:rPr>
                <w:rFonts w:ascii="Arial Narrow" w:hAnsi="Arial Narrow" w:cs="Arial"/>
                <w:b/>
                <w:bCs/>
                <w:sz w:val="18"/>
                <w:szCs w:val="18"/>
                <w:lang w:val="fr-FR"/>
              </w:rPr>
            </w:pPr>
          </w:p>
          <w:p w14:paraId="2F979FF7" w14:textId="77777777" w:rsidR="004C19EE" w:rsidRPr="009B281E" w:rsidRDefault="004C19EE" w:rsidP="00D31BA5">
            <w:pPr>
              <w:tabs>
                <w:tab w:val="left" w:pos="576"/>
                <w:tab w:val="left" w:pos="1152"/>
                <w:tab w:val="left" w:pos="3312"/>
              </w:tabs>
              <w:spacing w:after="0"/>
              <w:ind w:left="73" w:right="-286" w:firstLine="2"/>
              <w:rPr>
                <w:rFonts w:ascii="Arial Narrow" w:hAnsi="Arial Narrow" w:cs="Arial"/>
                <w:b/>
                <w:bCs/>
                <w:sz w:val="18"/>
                <w:szCs w:val="18"/>
                <w:lang w:val="fr-FR"/>
              </w:rPr>
            </w:pPr>
            <w:r w:rsidRPr="009B281E">
              <w:rPr>
                <w:rFonts w:ascii="Arial Narrow" w:hAnsi="Arial Narrow" w:cs="Arial"/>
                <w:b/>
                <w:bCs/>
                <w:sz w:val="18"/>
                <w:szCs w:val="18"/>
                <w:lang w:val="fr-FR"/>
              </w:rPr>
              <w:t>Ms Sara Linnane</w:t>
            </w:r>
          </w:p>
          <w:p w14:paraId="66E08631" w14:textId="77777777" w:rsidR="004C19EE" w:rsidRPr="009B281E" w:rsidRDefault="004C19EE" w:rsidP="00D31BA5">
            <w:pPr>
              <w:tabs>
                <w:tab w:val="left" w:pos="576"/>
                <w:tab w:val="left" w:pos="1152"/>
                <w:tab w:val="left" w:pos="3312"/>
              </w:tabs>
              <w:spacing w:after="0"/>
              <w:ind w:left="73" w:right="-286" w:firstLine="2"/>
              <w:rPr>
                <w:rFonts w:ascii="Arial Narrow" w:hAnsi="Arial Narrow" w:cs="Arial"/>
                <w:bCs/>
                <w:sz w:val="18"/>
                <w:szCs w:val="18"/>
              </w:rPr>
            </w:pPr>
            <w:r w:rsidRPr="009B281E">
              <w:rPr>
                <w:rFonts w:ascii="Arial Narrow" w:hAnsi="Arial Narrow" w:cs="Arial"/>
                <w:bCs/>
                <w:sz w:val="18"/>
                <w:szCs w:val="18"/>
              </w:rPr>
              <w:t>Scientific editor</w:t>
            </w:r>
          </w:p>
          <w:p w14:paraId="4E89003C" w14:textId="056A1D07" w:rsidR="004C19EE" w:rsidRPr="009B281E" w:rsidRDefault="004C19EE" w:rsidP="00D31BA5">
            <w:pPr>
              <w:tabs>
                <w:tab w:val="left" w:pos="576"/>
                <w:tab w:val="left" w:pos="1152"/>
                <w:tab w:val="left" w:pos="3312"/>
              </w:tabs>
              <w:spacing w:after="0"/>
              <w:ind w:left="73" w:right="-286"/>
              <w:rPr>
                <w:rFonts w:ascii="Arial Narrow" w:hAnsi="Arial Narrow" w:cs="Arial"/>
                <w:bCs/>
                <w:sz w:val="18"/>
                <w:szCs w:val="18"/>
              </w:rPr>
            </w:pPr>
            <w:r w:rsidRPr="009B281E">
              <w:rPr>
                <w:rFonts w:ascii="Arial Narrow" w:hAnsi="Arial Narrow" w:cs="Arial"/>
                <w:bCs/>
                <w:sz w:val="18"/>
                <w:szCs w:val="18"/>
              </w:rPr>
              <w:t>Science Department </w:t>
            </w:r>
          </w:p>
          <w:p w14:paraId="78DACFFD" w14:textId="77777777" w:rsidR="004C19EE" w:rsidRPr="009B281E" w:rsidRDefault="004C19EE" w:rsidP="00D31BA5">
            <w:pPr>
              <w:tabs>
                <w:tab w:val="left" w:pos="576"/>
                <w:tab w:val="left" w:pos="1152"/>
                <w:tab w:val="left" w:pos="3312"/>
              </w:tabs>
              <w:spacing w:after="0"/>
              <w:ind w:left="73" w:right="-286"/>
              <w:rPr>
                <w:rFonts w:ascii="Arial Narrow" w:hAnsi="Arial Narrow" w:cs="Arial"/>
                <w:bCs/>
                <w:sz w:val="18"/>
                <w:szCs w:val="18"/>
              </w:rPr>
            </w:pPr>
            <w:r w:rsidRPr="009B281E">
              <w:rPr>
                <w:rFonts w:ascii="Arial Narrow" w:hAnsi="Arial Narrow" w:cs="Arial"/>
                <w:bCs/>
                <w:sz w:val="18"/>
                <w:szCs w:val="18"/>
              </w:rPr>
              <w:t>s.linnane@oie.int</w:t>
            </w:r>
          </w:p>
          <w:p w14:paraId="7D6A2713" w14:textId="77777777" w:rsidR="004C19EE" w:rsidRPr="009B281E" w:rsidRDefault="004C19EE" w:rsidP="006B1133">
            <w:pPr>
              <w:tabs>
                <w:tab w:val="left" w:pos="284"/>
                <w:tab w:val="left" w:pos="1702"/>
              </w:tabs>
              <w:spacing w:after="0"/>
              <w:ind w:left="-282" w:right="-286" w:firstLine="284"/>
              <w:rPr>
                <w:rFonts w:ascii="Arial Narrow" w:hAnsi="Arial Narrow" w:cs="Arial"/>
                <w:sz w:val="18"/>
                <w:szCs w:val="18"/>
              </w:rPr>
            </w:pPr>
          </w:p>
        </w:tc>
        <w:tc>
          <w:tcPr>
            <w:tcW w:w="3240" w:type="dxa"/>
          </w:tcPr>
          <w:p w14:paraId="6C6A0201" w14:textId="77777777" w:rsidR="004C19EE" w:rsidRPr="009B281E" w:rsidRDefault="004C19EE" w:rsidP="006B1133">
            <w:pPr>
              <w:tabs>
                <w:tab w:val="left" w:pos="576"/>
                <w:tab w:val="left" w:pos="1152"/>
                <w:tab w:val="left" w:pos="3312"/>
              </w:tabs>
              <w:spacing w:before="120" w:after="0" w:line="240" w:lineRule="auto"/>
              <w:ind w:right="-286"/>
              <w:rPr>
                <w:rFonts w:ascii="Arial Narrow" w:hAnsi="Arial Narrow" w:cs="Arial"/>
                <w:b/>
                <w:bCs/>
                <w:sz w:val="18"/>
                <w:szCs w:val="18"/>
                <w:lang w:val="fr-FR"/>
              </w:rPr>
            </w:pPr>
            <w:r w:rsidRPr="009B281E">
              <w:rPr>
                <w:rFonts w:ascii="Arial Narrow" w:hAnsi="Arial Narrow" w:cs="Arial"/>
                <w:b/>
                <w:bCs/>
                <w:sz w:val="18"/>
                <w:szCs w:val="18"/>
                <w:lang w:val="fr-FR"/>
              </w:rPr>
              <w:t xml:space="preserve">Jeannine Fischer </w:t>
            </w:r>
          </w:p>
          <w:p w14:paraId="39DBD52D" w14:textId="77777777" w:rsidR="004C19EE" w:rsidRPr="009B281E" w:rsidRDefault="004C19EE" w:rsidP="006B1133">
            <w:pPr>
              <w:tabs>
                <w:tab w:val="left" w:pos="284"/>
                <w:tab w:val="left" w:pos="1702"/>
              </w:tabs>
              <w:spacing w:after="0"/>
              <w:ind w:left="284" w:right="-286" w:hanging="284"/>
              <w:rPr>
                <w:rFonts w:ascii="Arial Narrow" w:hAnsi="Arial Narrow" w:cs="Arial"/>
                <w:sz w:val="18"/>
                <w:szCs w:val="18"/>
                <w:lang w:val="fr-FR"/>
              </w:rPr>
            </w:pPr>
            <w:r w:rsidRPr="009B281E">
              <w:rPr>
                <w:rFonts w:ascii="Arial Narrow" w:hAnsi="Arial Narrow" w:cs="Arial"/>
                <w:sz w:val="18"/>
                <w:szCs w:val="18"/>
                <w:lang w:val="fr-FR"/>
              </w:rPr>
              <w:t>Chargée de mission</w:t>
            </w:r>
          </w:p>
          <w:p w14:paraId="418E0015" w14:textId="77777777" w:rsidR="004C19EE" w:rsidRPr="009B281E" w:rsidRDefault="004C19EE" w:rsidP="006B1133">
            <w:pPr>
              <w:tabs>
                <w:tab w:val="left" w:pos="284"/>
                <w:tab w:val="left" w:pos="1702"/>
              </w:tabs>
              <w:spacing w:after="0"/>
              <w:ind w:left="284" w:right="-286" w:hanging="284"/>
              <w:rPr>
                <w:rFonts w:ascii="Arial Narrow" w:hAnsi="Arial Narrow" w:cs="Arial"/>
                <w:sz w:val="18"/>
                <w:szCs w:val="18"/>
                <w:lang w:val="fr-FR"/>
              </w:rPr>
            </w:pPr>
            <w:r w:rsidRPr="009B281E">
              <w:rPr>
                <w:rFonts w:ascii="Arial Narrow" w:hAnsi="Arial Narrow" w:cs="Arial"/>
                <w:sz w:val="18"/>
                <w:szCs w:val="18"/>
                <w:lang w:val="fr-FR"/>
              </w:rPr>
              <w:t>Standards Department</w:t>
            </w:r>
          </w:p>
          <w:p w14:paraId="7FA5EC35" w14:textId="77777777" w:rsidR="004C19EE" w:rsidRPr="009B281E" w:rsidRDefault="00831075" w:rsidP="006B1133">
            <w:pPr>
              <w:tabs>
                <w:tab w:val="left" w:pos="576"/>
                <w:tab w:val="left" w:pos="1152"/>
                <w:tab w:val="left" w:pos="3312"/>
              </w:tabs>
              <w:spacing w:after="0"/>
              <w:ind w:right="-286"/>
              <w:rPr>
                <w:rFonts w:ascii="Arial Narrow" w:hAnsi="Arial Narrow" w:cs="Arial"/>
                <w:sz w:val="18"/>
                <w:szCs w:val="18"/>
                <w:lang w:val="fr-FR"/>
              </w:rPr>
            </w:pPr>
            <w:hyperlink r:id="rId34" w:history="1">
              <w:r w:rsidR="004C19EE" w:rsidRPr="009B281E">
                <w:rPr>
                  <w:rFonts w:ascii="Arial Narrow" w:hAnsi="Arial Narrow" w:cs="Arial"/>
                  <w:sz w:val="18"/>
                  <w:szCs w:val="18"/>
                  <w:lang w:val="fr-FR"/>
                </w:rPr>
                <w:t>j.fischer@oie.int</w:t>
              </w:r>
            </w:hyperlink>
            <w:r w:rsidR="004C19EE" w:rsidRPr="009B281E">
              <w:rPr>
                <w:rFonts w:ascii="Arial Narrow" w:hAnsi="Arial Narrow" w:cs="Arial"/>
                <w:sz w:val="18"/>
                <w:szCs w:val="18"/>
                <w:lang w:val="fr-FR"/>
              </w:rPr>
              <w:t xml:space="preserve"> </w:t>
            </w:r>
          </w:p>
          <w:p w14:paraId="59862909" w14:textId="77777777" w:rsidR="004C19EE" w:rsidRPr="009B281E" w:rsidRDefault="004C19EE" w:rsidP="006B1133">
            <w:pPr>
              <w:spacing w:after="0"/>
              <w:ind w:right="-286"/>
              <w:rPr>
                <w:rFonts w:ascii="Arial Narrow" w:hAnsi="Arial Narrow" w:cs="Arial"/>
                <w:sz w:val="18"/>
                <w:szCs w:val="18"/>
                <w:lang w:val="fr-FR"/>
              </w:rPr>
            </w:pPr>
          </w:p>
          <w:p w14:paraId="57A59AF3" w14:textId="77777777" w:rsidR="004C19EE" w:rsidRPr="009B281E" w:rsidRDefault="004C19EE" w:rsidP="006B1133">
            <w:pPr>
              <w:spacing w:after="0"/>
              <w:ind w:right="-286"/>
              <w:rPr>
                <w:rFonts w:ascii="Arial Narrow" w:hAnsi="Arial Narrow" w:cs="Arial"/>
                <w:b/>
                <w:bCs/>
                <w:sz w:val="18"/>
                <w:szCs w:val="18"/>
                <w:lang w:val="fr-FR"/>
              </w:rPr>
            </w:pPr>
            <w:r w:rsidRPr="009B281E">
              <w:rPr>
                <w:rFonts w:ascii="Arial Narrow" w:hAnsi="Arial Narrow" w:cs="Arial"/>
                <w:b/>
                <w:bCs/>
                <w:sz w:val="18"/>
                <w:szCs w:val="18"/>
                <w:lang w:val="fr-FR"/>
              </w:rPr>
              <w:t>Dr Gounalan Pavade</w:t>
            </w:r>
          </w:p>
          <w:p w14:paraId="45EF2CC2" w14:textId="072246D5" w:rsidR="004C19EE" w:rsidRPr="009B281E" w:rsidRDefault="004C19EE" w:rsidP="004C19EE">
            <w:pPr>
              <w:tabs>
                <w:tab w:val="left" w:pos="284"/>
                <w:tab w:val="left" w:pos="1702"/>
              </w:tabs>
              <w:spacing w:after="0"/>
              <w:ind w:left="284" w:right="-286" w:hanging="284"/>
              <w:rPr>
                <w:rFonts w:ascii="Arial Narrow" w:hAnsi="Arial Narrow" w:cs="Arial"/>
                <w:sz w:val="18"/>
                <w:szCs w:val="18"/>
                <w:lang w:val="fr-FR"/>
              </w:rPr>
            </w:pPr>
            <w:r w:rsidRPr="009B281E">
              <w:rPr>
                <w:rFonts w:ascii="Arial Narrow" w:hAnsi="Arial Narrow" w:cs="Arial"/>
                <w:sz w:val="18"/>
                <w:szCs w:val="18"/>
                <w:lang w:val="fr-FR"/>
              </w:rPr>
              <w:t>Chargé de mission</w:t>
            </w:r>
          </w:p>
          <w:p w14:paraId="3645BF78" w14:textId="77777777" w:rsidR="004C19EE" w:rsidRPr="009B281E" w:rsidRDefault="004C19EE" w:rsidP="004C19EE">
            <w:pPr>
              <w:tabs>
                <w:tab w:val="left" w:pos="576"/>
                <w:tab w:val="left" w:pos="1152"/>
                <w:tab w:val="left" w:pos="3312"/>
              </w:tabs>
              <w:spacing w:after="0"/>
              <w:ind w:right="-286"/>
              <w:rPr>
                <w:rFonts w:ascii="Arial Narrow" w:hAnsi="Arial Narrow" w:cs="Arial"/>
                <w:bCs/>
                <w:sz w:val="18"/>
                <w:szCs w:val="18"/>
                <w:lang w:val="fr-FR"/>
              </w:rPr>
            </w:pPr>
            <w:r w:rsidRPr="009B281E">
              <w:rPr>
                <w:rFonts w:ascii="Arial Narrow" w:hAnsi="Arial Narrow" w:cs="Arial"/>
                <w:bCs/>
                <w:sz w:val="18"/>
                <w:szCs w:val="18"/>
                <w:lang w:val="fr-FR"/>
              </w:rPr>
              <w:t>Science Department </w:t>
            </w:r>
          </w:p>
          <w:p w14:paraId="1B63B181" w14:textId="68AC0031" w:rsidR="004C19EE" w:rsidRPr="009B281E" w:rsidRDefault="004C19EE" w:rsidP="006B1133">
            <w:pPr>
              <w:spacing w:after="0"/>
              <w:ind w:right="-286"/>
              <w:rPr>
                <w:rFonts w:ascii="Arial Narrow" w:hAnsi="Arial Narrow" w:cs="Arial"/>
                <w:sz w:val="18"/>
                <w:szCs w:val="18"/>
                <w:lang w:val="fr-FR"/>
              </w:rPr>
            </w:pPr>
            <w:r w:rsidRPr="009B281E">
              <w:rPr>
                <w:rFonts w:ascii="Arial Narrow" w:hAnsi="Arial Narrow" w:cs="Arial"/>
                <w:sz w:val="18"/>
                <w:szCs w:val="18"/>
                <w:lang w:val="fr-FR"/>
              </w:rPr>
              <w:t>g.pavade@oie.int</w:t>
            </w:r>
          </w:p>
        </w:tc>
        <w:tc>
          <w:tcPr>
            <w:tcW w:w="2855" w:type="dxa"/>
          </w:tcPr>
          <w:p w14:paraId="5A9D6C44" w14:textId="77777777" w:rsidR="004C19EE" w:rsidRPr="009B281E" w:rsidRDefault="004C19EE" w:rsidP="006B1133">
            <w:pPr>
              <w:tabs>
                <w:tab w:val="left" w:pos="1702"/>
              </w:tabs>
              <w:spacing w:before="120" w:after="0" w:line="240" w:lineRule="auto"/>
              <w:ind w:right="-286"/>
              <w:rPr>
                <w:rFonts w:ascii="Arial Narrow" w:hAnsi="Arial Narrow" w:cs="Arial"/>
                <w:b/>
                <w:sz w:val="18"/>
                <w:szCs w:val="18"/>
                <w:lang w:val="fr-FR"/>
              </w:rPr>
            </w:pPr>
            <w:r w:rsidRPr="009B281E">
              <w:rPr>
                <w:rFonts w:ascii="Arial Narrow" w:hAnsi="Arial Narrow" w:cs="Arial"/>
                <w:b/>
                <w:sz w:val="18"/>
                <w:szCs w:val="18"/>
                <w:lang w:val="fr-FR"/>
              </w:rPr>
              <w:t>Dr Stian Johnsen</w:t>
            </w:r>
          </w:p>
          <w:p w14:paraId="644F54B4" w14:textId="77777777" w:rsidR="004C19EE" w:rsidRPr="009B281E" w:rsidRDefault="004C19EE" w:rsidP="006B1133">
            <w:pPr>
              <w:tabs>
                <w:tab w:val="left" w:pos="284"/>
                <w:tab w:val="left" w:pos="1702"/>
              </w:tabs>
              <w:spacing w:after="0"/>
              <w:ind w:left="284" w:right="-286" w:hanging="284"/>
              <w:rPr>
                <w:rFonts w:ascii="Arial Narrow" w:hAnsi="Arial Narrow" w:cs="Arial"/>
                <w:sz w:val="18"/>
                <w:szCs w:val="18"/>
                <w:lang w:val="fr-FR"/>
              </w:rPr>
            </w:pPr>
            <w:r w:rsidRPr="009B281E">
              <w:rPr>
                <w:rFonts w:ascii="Arial Narrow" w:hAnsi="Arial Narrow" w:cs="Arial"/>
                <w:sz w:val="18"/>
                <w:szCs w:val="18"/>
                <w:lang w:val="fr-FR"/>
              </w:rPr>
              <w:t>Chargé de mission</w:t>
            </w:r>
          </w:p>
          <w:p w14:paraId="52715BB9" w14:textId="77777777" w:rsidR="004C19EE" w:rsidRPr="009B281E" w:rsidRDefault="004C19EE" w:rsidP="006B1133">
            <w:pPr>
              <w:tabs>
                <w:tab w:val="left" w:pos="284"/>
                <w:tab w:val="left" w:pos="1702"/>
              </w:tabs>
              <w:spacing w:after="0"/>
              <w:ind w:left="284" w:right="-286" w:hanging="284"/>
              <w:rPr>
                <w:rFonts w:ascii="Arial Narrow" w:hAnsi="Arial Narrow" w:cs="Arial"/>
                <w:sz w:val="18"/>
                <w:szCs w:val="18"/>
              </w:rPr>
            </w:pPr>
            <w:r w:rsidRPr="009B281E">
              <w:rPr>
                <w:rFonts w:ascii="Arial Narrow" w:hAnsi="Arial Narrow" w:cs="Arial"/>
                <w:sz w:val="18"/>
                <w:szCs w:val="18"/>
              </w:rPr>
              <w:t>Standards Department</w:t>
            </w:r>
          </w:p>
          <w:p w14:paraId="61D8BC58" w14:textId="77777777" w:rsidR="004C19EE" w:rsidRPr="009B281E" w:rsidRDefault="004C19EE" w:rsidP="006B1133">
            <w:pPr>
              <w:tabs>
                <w:tab w:val="left" w:pos="576"/>
                <w:tab w:val="left" w:pos="1152"/>
                <w:tab w:val="left" w:pos="3312"/>
              </w:tabs>
              <w:spacing w:after="0"/>
              <w:ind w:right="-286"/>
              <w:rPr>
                <w:rFonts w:ascii="Arial Narrow" w:hAnsi="Arial Narrow" w:cs="Arial"/>
                <w:sz w:val="18"/>
                <w:szCs w:val="18"/>
                <w:lang w:val="en-US"/>
              </w:rPr>
            </w:pPr>
            <w:r w:rsidRPr="009B281E">
              <w:rPr>
                <w:rFonts w:ascii="Arial Narrow" w:hAnsi="Arial Narrow" w:cs="Arial"/>
                <w:sz w:val="18"/>
                <w:szCs w:val="18"/>
                <w:lang w:val="en-US"/>
              </w:rPr>
              <w:t>s.johnsen@oie.int</w:t>
            </w:r>
          </w:p>
          <w:p w14:paraId="52BE6AA3" w14:textId="77777777" w:rsidR="004C19EE" w:rsidRPr="009B281E" w:rsidRDefault="004C19EE" w:rsidP="006B1133">
            <w:pPr>
              <w:tabs>
                <w:tab w:val="left" w:pos="1702"/>
              </w:tabs>
              <w:spacing w:after="0"/>
              <w:ind w:right="-286"/>
              <w:rPr>
                <w:rFonts w:ascii="Arial Narrow" w:hAnsi="Arial Narrow" w:cs="Arial"/>
                <w:sz w:val="18"/>
                <w:szCs w:val="18"/>
                <w:lang w:val="en-US"/>
              </w:rPr>
            </w:pPr>
          </w:p>
        </w:tc>
      </w:tr>
    </w:tbl>
    <w:p w14:paraId="2337B163" w14:textId="77777777" w:rsidR="00D31BA5" w:rsidRDefault="00D31BA5" w:rsidP="0094086E">
      <w:pPr>
        <w:pStyle w:val="Titre4"/>
        <w:ind w:left="720"/>
        <w:jc w:val="right"/>
        <w:rPr>
          <w:rFonts w:ascii="Times New Roman" w:hAnsi="Times New Roman" w:cs="Times New Roman"/>
          <w:color w:val="auto"/>
          <w:lang w:val="en-US"/>
        </w:rPr>
        <w:sectPr w:rsidR="00D31BA5" w:rsidSect="00F47555">
          <w:headerReference w:type="even" r:id="rId35"/>
          <w:headerReference w:type="default" r:id="rId36"/>
          <w:headerReference w:type="first" r:id="rId37"/>
          <w:footerReference w:type="first" r:id="rId38"/>
          <w:pgSz w:w="12240" w:h="15840" w:code="1"/>
          <w:pgMar w:top="1418" w:right="1418" w:bottom="1418" w:left="1418" w:header="709" w:footer="709" w:gutter="0"/>
          <w:cols w:space="720"/>
          <w:titlePg/>
          <w:docGrid w:linePitch="360"/>
        </w:sectPr>
      </w:pPr>
    </w:p>
    <w:p w14:paraId="4CF61E9B" w14:textId="3B2C07E5" w:rsidR="0094086E" w:rsidRPr="00D31BA5" w:rsidRDefault="0094086E" w:rsidP="00D31BA5">
      <w:pPr>
        <w:pStyle w:val="Titre4"/>
        <w:spacing w:before="0" w:after="480" w:line="240" w:lineRule="auto"/>
        <w:ind w:left="720"/>
        <w:jc w:val="right"/>
        <w:rPr>
          <w:rFonts w:ascii="Times New Roman" w:hAnsi="Times New Roman" w:cs="Times New Roman"/>
          <w:i w:val="0"/>
          <w:u w:val="single"/>
          <w:lang w:val="en-US"/>
        </w:rPr>
      </w:pPr>
      <w:bookmarkStart w:id="60" w:name="_Annex_2"/>
      <w:bookmarkEnd w:id="60"/>
      <w:r w:rsidRPr="00D31BA5">
        <w:rPr>
          <w:rFonts w:ascii="Times New Roman" w:hAnsi="Times New Roman" w:cs="Times New Roman"/>
          <w:i w:val="0"/>
          <w:color w:val="auto"/>
          <w:u w:val="single"/>
          <w:lang w:val="en-US"/>
        </w:rPr>
        <w:lastRenderedPageBreak/>
        <w:t xml:space="preserve">Annex </w:t>
      </w:r>
      <w:r w:rsidR="00C94228" w:rsidRPr="00D31BA5">
        <w:rPr>
          <w:rFonts w:ascii="Times New Roman" w:hAnsi="Times New Roman" w:cs="Times New Roman"/>
          <w:i w:val="0"/>
          <w:color w:val="auto"/>
          <w:u w:val="single"/>
          <w:lang w:val="en-US"/>
        </w:rPr>
        <w:t>2</w:t>
      </w:r>
    </w:p>
    <w:p w14:paraId="1900EC97" w14:textId="77777777" w:rsidR="0094086E" w:rsidRPr="00826B54" w:rsidRDefault="0094086E" w:rsidP="0094086E">
      <w:pPr>
        <w:pStyle w:val="NormalWeb"/>
        <w:spacing w:before="0" w:beforeAutospacing="0" w:after="480" w:afterAutospacing="0"/>
        <w:jc w:val="center"/>
        <w:rPr>
          <w:rFonts w:ascii="Arial" w:eastAsia="Calibri" w:hAnsi="Arial" w:cs="Arial"/>
          <w:b/>
          <w:bCs/>
          <w:spacing w:val="57"/>
          <w:sz w:val="28"/>
          <w:szCs w:val="28"/>
          <w:lang w:val="en-US" w:eastAsia="en-US"/>
        </w:rPr>
      </w:pPr>
      <w:r w:rsidRPr="00BB1CFD">
        <w:rPr>
          <w:rFonts w:ascii="Ottawa" w:hAnsi="Ottawa" w:cs="Arial"/>
          <w:caps/>
          <w:spacing w:val="57"/>
          <w:lang w:val="en-US"/>
        </w:rPr>
        <w:t>Chapter 4.X.</w:t>
      </w:r>
      <w:r w:rsidRPr="00BB1CFD">
        <w:rPr>
          <w:rFonts w:ascii="Ottawa" w:hAnsi="Ottawa" w:cs="Arial"/>
          <w:caps/>
          <w:spacing w:val="57"/>
          <w:lang w:val="en-US"/>
        </w:rPr>
        <w:br/>
      </w:r>
      <w:r w:rsidRPr="00D403F5">
        <w:rPr>
          <w:rFonts w:ascii="Ottawa" w:hAnsi="Ottawa" w:cs="Arial"/>
          <w:b/>
          <w:caps/>
          <w:spacing w:val="57"/>
          <w:sz w:val="18"/>
          <w:szCs w:val="18"/>
          <w:lang w:val="en-US"/>
        </w:rPr>
        <w:br/>
      </w:r>
      <w:r w:rsidRPr="00826B54">
        <w:rPr>
          <w:rFonts w:ascii="Ottawa" w:eastAsia="Calibri" w:hAnsi="Ottawa" w:cs="Arial"/>
          <w:b/>
          <w:bCs/>
          <w:spacing w:val="57"/>
          <w:sz w:val="28"/>
          <w:szCs w:val="28"/>
          <w:lang w:val="en-US" w:eastAsia="en-US"/>
        </w:rPr>
        <w:t>BIOSECURITY</w:t>
      </w:r>
      <w:r w:rsidRPr="00826B54">
        <w:rPr>
          <w:rFonts w:ascii="Ottawa" w:eastAsia="Calibri" w:hAnsi="Ottawa" w:cs="Arial"/>
          <w:b/>
          <w:bCs/>
          <w:spacing w:val="57"/>
          <w:sz w:val="28"/>
          <w:szCs w:val="28"/>
          <w:lang w:val="en-US" w:eastAsia="en-US"/>
        </w:rPr>
        <w:br/>
        <w:t>FOR AQUACULTURE ESTABLISHMENTS</w:t>
      </w:r>
    </w:p>
    <w:p w14:paraId="53810CE2" w14:textId="77777777" w:rsidR="0094086E" w:rsidRPr="00D31BA5" w:rsidRDefault="0094086E" w:rsidP="0094086E">
      <w:pPr>
        <w:spacing w:after="240"/>
        <w:jc w:val="center"/>
        <w:rPr>
          <w:rFonts w:ascii="Ottawa" w:hAnsi="Ottawa" w:cs="Times New Roman"/>
          <w:sz w:val="18"/>
          <w:szCs w:val="18"/>
        </w:rPr>
      </w:pPr>
      <w:r w:rsidRPr="00D31BA5">
        <w:rPr>
          <w:rFonts w:ascii="Ottawa" w:hAnsi="Ottawa" w:cs="Times New Roman"/>
          <w:sz w:val="18"/>
          <w:szCs w:val="18"/>
        </w:rPr>
        <w:t>Article 4.X.1.</w:t>
      </w:r>
    </w:p>
    <w:p w14:paraId="18D82481" w14:textId="77777777" w:rsidR="0094086E" w:rsidRPr="00D31BA5" w:rsidRDefault="0094086E" w:rsidP="0094086E">
      <w:pPr>
        <w:spacing w:after="240"/>
        <w:jc w:val="both"/>
        <w:rPr>
          <w:rFonts w:ascii="Ottawa" w:hAnsi="Ottawa" w:cs="Times New Roman"/>
          <w:b/>
          <w:sz w:val="18"/>
          <w:szCs w:val="18"/>
        </w:rPr>
      </w:pPr>
      <w:r w:rsidRPr="00D31BA5">
        <w:rPr>
          <w:rFonts w:ascii="Ottawa" w:hAnsi="Ottawa" w:cs="Times New Roman"/>
          <w:b/>
          <w:sz w:val="18"/>
          <w:szCs w:val="18"/>
        </w:rPr>
        <w:t xml:space="preserve">Purpose </w:t>
      </w:r>
    </w:p>
    <w:p w14:paraId="36FD19A4" w14:textId="77777777" w:rsidR="0094086E" w:rsidRPr="00D31BA5" w:rsidRDefault="0094086E" w:rsidP="0094086E">
      <w:pPr>
        <w:spacing w:after="240"/>
        <w:jc w:val="both"/>
        <w:rPr>
          <w:rStyle w:val="normaltextrun"/>
          <w:rFonts w:ascii="Arial" w:hAnsi="Arial" w:cs="Arial"/>
          <w:color w:val="000000"/>
          <w:sz w:val="18"/>
          <w:szCs w:val="18"/>
          <w:shd w:val="clear" w:color="auto" w:fill="FFFFFF"/>
        </w:rPr>
      </w:pPr>
      <w:r w:rsidRPr="00D31BA5">
        <w:rPr>
          <w:rStyle w:val="normaltextrun"/>
          <w:rFonts w:ascii="Arial" w:hAnsi="Arial" w:cs="Arial"/>
          <w:color w:val="000000"/>
          <w:sz w:val="18"/>
          <w:szCs w:val="18"/>
          <w:shd w:val="clear" w:color="auto" w:fill="FFFFFF"/>
        </w:rPr>
        <w:t xml:space="preserve">To provide recommendations on the development and implementation of </w:t>
      </w:r>
      <w:r w:rsidRPr="00D31BA5">
        <w:rPr>
          <w:rStyle w:val="normaltextrun"/>
          <w:rFonts w:ascii="Arial" w:hAnsi="Arial" w:cs="Arial"/>
          <w:i/>
          <w:iCs/>
          <w:color w:val="000000"/>
          <w:sz w:val="18"/>
          <w:szCs w:val="18"/>
          <w:shd w:val="clear" w:color="auto" w:fill="FFFFFF"/>
        </w:rPr>
        <w:t>biosecurity</w:t>
      </w:r>
      <w:r w:rsidRPr="00D31BA5">
        <w:rPr>
          <w:rStyle w:val="normaltextrun"/>
          <w:rFonts w:ascii="Arial" w:hAnsi="Arial" w:cs="Arial"/>
          <w:color w:val="000000"/>
          <w:sz w:val="18"/>
          <w:szCs w:val="18"/>
          <w:shd w:val="clear" w:color="auto" w:fill="FFFFFF"/>
        </w:rPr>
        <w:t xml:space="preserve"> measures primarily </w:t>
      </w:r>
      <w:r w:rsidRPr="00D31BA5">
        <w:rPr>
          <w:rFonts w:ascii="Arial" w:hAnsi="Arial" w:cs="Arial"/>
          <w:color w:val="000000"/>
          <w:sz w:val="18"/>
          <w:szCs w:val="18"/>
        </w:rPr>
        <w:t xml:space="preserve">to mitigate the </w:t>
      </w:r>
      <w:r w:rsidRPr="00D31BA5">
        <w:rPr>
          <w:rFonts w:ascii="Arial" w:hAnsi="Arial" w:cs="Arial"/>
          <w:i/>
          <w:color w:val="000000"/>
          <w:sz w:val="18"/>
          <w:szCs w:val="18"/>
        </w:rPr>
        <w:t>risk</w:t>
      </w:r>
      <w:r w:rsidRPr="00D31BA5">
        <w:rPr>
          <w:rFonts w:ascii="Arial" w:hAnsi="Arial" w:cs="Arial"/>
          <w:color w:val="000000"/>
          <w:sz w:val="18"/>
          <w:szCs w:val="18"/>
        </w:rPr>
        <w:t xml:space="preserve"> of the introduction of specific </w:t>
      </w:r>
      <w:r w:rsidRPr="00D31BA5">
        <w:rPr>
          <w:rFonts w:ascii="Arial" w:hAnsi="Arial" w:cs="Arial"/>
          <w:i/>
          <w:color w:val="000000"/>
          <w:sz w:val="18"/>
          <w:szCs w:val="18"/>
        </w:rPr>
        <w:t>pathogenic agents</w:t>
      </w:r>
      <w:r w:rsidRPr="00D31BA5">
        <w:rPr>
          <w:rFonts w:ascii="Arial" w:hAnsi="Arial" w:cs="Arial"/>
          <w:color w:val="000000"/>
          <w:sz w:val="18"/>
          <w:szCs w:val="18"/>
        </w:rPr>
        <w:t xml:space="preserve"> into </w:t>
      </w:r>
      <w:r w:rsidRPr="00D31BA5">
        <w:rPr>
          <w:rFonts w:ascii="Arial" w:hAnsi="Arial" w:cs="Arial"/>
          <w:i/>
          <w:color w:val="000000"/>
          <w:sz w:val="18"/>
          <w:szCs w:val="18"/>
        </w:rPr>
        <w:t>aquacultur</w:t>
      </w:r>
      <w:r w:rsidRPr="00D31BA5">
        <w:rPr>
          <w:rFonts w:ascii="Arial" w:hAnsi="Arial" w:cs="Arial"/>
          <w:color w:val="000000"/>
          <w:sz w:val="18"/>
          <w:szCs w:val="18"/>
        </w:rPr>
        <w:t>e</w:t>
      </w:r>
      <w:r w:rsidRPr="00D31BA5">
        <w:rPr>
          <w:rStyle w:val="normaltextrun"/>
          <w:rFonts w:ascii="Arial" w:hAnsi="Arial" w:cs="Arial"/>
          <w:color w:val="000000"/>
          <w:sz w:val="18"/>
          <w:szCs w:val="18"/>
          <w:shd w:val="clear" w:color="auto" w:fill="FFFFFF"/>
        </w:rPr>
        <w:t xml:space="preserve"> </w:t>
      </w:r>
      <w:r w:rsidRPr="00D31BA5">
        <w:rPr>
          <w:rStyle w:val="normaltextrun"/>
          <w:rFonts w:ascii="Arial" w:hAnsi="Arial" w:cs="Arial"/>
          <w:i/>
          <w:iCs/>
          <w:color w:val="000000"/>
          <w:sz w:val="18"/>
          <w:szCs w:val="18"/>
          <w:shd w:val="clear" w:color="auto" w:fill="FFFFFF"/>
        </w:rPr>
        <w:t>establishments</w:t>
      </w:r>
      <w:r w:rsidRPr="00D31BA5">
        <w:rPr>
          <w:rFonts w:ascii="Arial" w:hAnsi="Arial" w:cs="Arial"/>
          <w:color w:val="000000"/>
          <w:sz w:val="18"/>
          <w:szCs w:val="18"/>
        </w:rPr>
        <w:t xml:space="preserve">, and if </w:t>
      </w:r>
      <w:r w:rsidRPr="00D31BA5">
        <w:rPr>
          <w:rFonts w:ascii="Arial" w:hAnsi="Arial" w:cs="Arial"/>
          <w:i/>
          <w:color w:val="000000"/>
          <w:sz w:val="18"/>
          <w:szCs w:val="18"/>
        </w:rPr>
        <w:t>pathogenic agents</w:t>
      </w:r>
      <w:r w:rsidRPr="00D31BA5">
        <w:rPr>
          <w:rFonts w:ascii="Arial" w:hAnsi="Arial" w:cs="Arial"/>
          <w:color w:val="000000"/>
          <w:sz w:val="18"/>
          <w:szCs w:val="18"/>
        </w:rPr>
        <w:t xml:space="preserve"> are introduced, to mitigate the </w:t>
      </w:r>
      <w:r w:rsidRPr="00D31BA5">
        <w:rPr>
          <w:rFonts w:ascii="Arial" w:hAnsi="Arial" w:cs="Arial"/>
          <w:i/>
          <w:color w:val="000000"/>
          <w:sz w:val="18"/>
          <w:szCs w:val="18"/>
        </w:rPr>
        <w:t>risk</w:t>
      </w:r>
      <w:r w:rsidRPr="00D31BA5">
        <w:rPr>
          <w:rFonts w:ascii="Arial" w:hAnsi="Arial" w:cs="Arial"/>
          <w:color w:val="000000"/>
          <w:sz w:val="18"/>
          <w:szCs w:val="18"/>
        </w:rPr>
        <w:t xml:space="preserve"> of further spread within, or release from</w:t>
      </w:r>
      <w:r w:rsidRPr="00D31BA5">
        <w:rPr>
          <w:rFonts w:ascii="Arial" w:hAnsi="Arial" w:cs="Arial"/>
          <w:color w:val="000000"/>
          <w:sz w:val="18"/>
          <w:szCs w:val="18"/>
          <w:u w:val="double"/>
        </w:rPr>
        <w:t>,</w:t>
      </w:r>
      <w:r w:rsidRPr="00D31BA5">
        <w:rPr>
          <w:rFonts w:ascii="Arial" w:hAnsi="Arial" w:cs="Arial"/>
          <w:color w:val="000000"/>
          <w:sz w:val="18"/>
          <w:szCs w:val="18"/>
        </w:rPr>
        <w:t xml:space="preserve"> the </w:t>
      </w:r>
      <w:r w:rsidRPr="00D31BA5">
        <w:rPr>
          <w:rFonts w:ascii="Arial" w:hAnsi="Arial" w:cs="Arial"/>
          <w:i/>
          <w:color w:val="000000"/>
          <w:sz w:val="18"/>
          <w:szCs w:val="18"/>
        </w:rPr>
        <w:t>aquaculture establishment</w:t>
      </w:r>
      <w:r w:rsidRPr="00D31BA5">
        <w:rPr>
          <w:rStyle w:val="normaltextrun"/>
          <w:rFonts w:ascii="Arial" w:hAnsi="Arial" w:cs="Arial"/>
          <w:color w:val="000000"/>
          <w:sz w:val="18"/>
          <w:szCs w:val="18"/>
          <w:shd w:val="clear" w:color="auto" w:fill="FFFFFF"/>
        </w:rPr>
        <w:t xml:space="preserve">. </w:t>
      </w:r>
    </w:p>
    <w:p w14:paraId="26CD8BEF" w14:textId="77777777" w:rsidR="0094086E" w:rsidRPr="00D31BA5" w:rsidRDefault="0094086E" w:rsidP="0094086E">
      <w:pPr>
        <w:spacing w:after="240"/>
        <w:jc w:val="center"/>
        <w:rPr>
          <w:rFonts w:ascii="Ottawa" w:hAnsi="Ottawa" w:cs="Times New Roman"/>
          <w:sz w:val="18"/>
          <w:szCs w:val="18"/>
        </w:rPr>
      </w:pPr>
      <w:r w:rsidRPr="00D31BA5">
        <w:rPr>
          <w:rFonts w:ascii="Ottawa" w:hAnsi="Ottawa" w:cs="Times New Roman"/>
          <w:sz w:val="18"/>
          <w:szCs w:val="18"/>
        </w:rPr>
        <w:t>Article 4.X.2.</w:t>
      </w:r>
    </w:p>
    <w:p w14:paraId="367E241F" w14:textId="77777777" w:rsidR="0094086E" w:rsidRPr="00D31BA5" w:rsidRDefault="0094086E" w:rsidP="0094086E">
      <w:pPr>
        <w:spacing w:after="240"/>
        <w:jc w:val="both"/>
        <w:rPr>
          <w:rFonts w:ascii="Ottawa" w:hAnsi="Ottawa" w:cs="Times New Roman"/>
          <w:b/>
          <w:sz w:val="18"/>
          <w:szCs w:val="18"/>
        </w:rPr>
      </w:pPr>
      <w:r w:rsidRPr="00D31BA5">
        <w:rPr>
          <w:rFonts w:ascii="Ottawa" w:hAnsi="Ottawa" w:cs="Times New Roman"/>
          <w:b/>
          <w:sz w:val="18"/>
          <w:szCs w:val="18"/>
        </w:rPr>
        <w:t>Scope</w:t>
      </w:r>
    </w:p>
    <w:p w14:paraId="203C7A01" w14:textId="2EAC6B8F" w:rsidR="0094086E" w:rsidRPr="00D31BA5" w:rsidRDefault="0094086E" w:rsidP="0094086E">
      <w:pPr>
        <w:spacing w:after="240"/>
        <w:jc w:val="both"/>
        <w:rPr>
          <w:rFonts w:ascii="Arial" w:hAnsi="Arial" w:cs="Arial"/>
          <w:color w:val="000000"/>
          <w:sz w:val="18"/>
          <w:szCs w:val="18"/>
        </w:rPr>
      </w:pPr>
      <w:r w:rsidRPr="00D31BA5">
        <w:rPr>
          <w:rStyle w:val="normaltextrun"/>
          <w:rFonts w:ascii="Arial" w:eastAsia="Arial" w:hAnsi="Arial" w:cs="Arial"/>
          <w:i/>
          <w:iCs/>
          <w:color w:val="000000"/>
          <w:sz w:val="18"/>
          <w:szCs w:val="18"/>
        </w:rPr>
        <w:t>Biosecurity</w:t>
      </w:r>
      <w:r w:rsidRPr="00D31BA5">
        <w:rPr>
          <w:rStyle w:val="normaltextrun"/>
          <w:rFonts w:ascii="Arial" w:eastAsia="Arial" w:hAnsi="Arial" w:cs="Arial"/>
          <w:color w:val="000000"/>
          <w:sz w:val="18"/>
          <w:szCs w:val="18"/>
        </w:rPr>
        <w:t xml:space="preserve"> principles are relevant to application of the standards in the </w:t>
      </w:r>
      <w:r w:rsidRPr="00D31BA5">
        <w:rPr>
          <w:rStyle w:val="normaltextrun"/>
          <w:rFonts w:ascii="Arial" w:eastAsia="Arial" w:hAnsi="Arial" w:cs="Arial"/>
          <w:i/>
          <w:iCs/>
          <w:color w:val="000000"/>
          <w:sz w:val="18"/>
          <w:szCs w:val="18"/>
        </w:rPr>
        <w:t>Aquatic Code</w:t>
      </w:r>
      <w:r w:rsidRPr="00D31BA5">
        <w:rPr>
          <w:rStyle w:val="normaltextrun"/>
          <w:rFonts w:ascii="Arial" w:eastAsia="Arial" w:hAnsi="Arial" w:cs="Arial"/>
          <w:color w:val="000000"/>
          <w:sz w:val="18"/>
          <w:szCs w:val="18"/>
        </w:rPr>
        <w:t xml:space="preserve"> at the level of </w:t>
      </w:r>
      <w:r w:rsidR="00162E7F" w:rsidRPr="00D31BA5">
        <w:rPr>
          <w:rStyle w:val="normaltextrun"/>
          <w:rFonts w:ascii="Arial" w:eastAsia="Arial" w:hAnsi="Arial" w:cs="Arial"/>
          <w:color w:val="000000"/>
          <w:sz w:val="18"/>
          <w:szCs w:val="18"/>
          <w:highlight w:val="yellow"/>
          <w:u w:val="double"/>
        </w:rPr>
        <w:t>a</w:t>
      </w:r>
      <w:r w:rsidR="00162E7F"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color w:val="000000"/>
          <w:sz w:val="18"/>
          <w:szCs w:val="18"/>
        </w:rPr>
        <w:t xml:space="preserve">country, </w:t>
      </w:r>
      <w:r w:rsidRPr="00D31BA5">
        <w:rPr>
          <w:rStyle w:val="normaltextrun"/>
          <w:rFonts w:ascii="Arial" w:eastAsia="Arial" w:hAnsi="Arial" w:cs="Arial"/>
          <w:i/>
          <w:iCs/>
          <w:color w:val="000000"/>
          <w:sz w:val="18"/>
          <w:szCs w:val="18"/>
        </w:rPr>
        <w:t>zone</w:t>
      </w:r>
      <w:r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i/>
          <w:iCs/>
          <w:color w:val="000000"/>
          <w:sz w:val="18"/>
          <w:szCs w:val="18"/>
        </w:rPr>
        <w:t>compartment</w:t>
      </w:r>
      <w:r w:rsidRPr="00D31BA5">
        <w:rPr>
          <w:rStyle w:val="normaltextrun"/>
          <w:rFonts w:ascii="Arial" w:eastAsia="Arial" w:hAnsi="Arial" w:cs="Arial"/>
          <w:color w:val="000000"/>
          <w:sz w:val="18"/>
          <w:szCs w:val="18"/>
        </w:rPr>
        <w:t xml:space="preserve"> or </w:t>
      </w:r>
      <w:r w:rsidRPr="00D31BA5">
        <w:rPr>
          <w:rStyle w:val="normaltextrun"/>
          <w:rFonts w:ascii="Arial" w:eastAsia="Arial" w:hAnsi="Arial" w:cs="Arial"/>
          <w:i/>
          <w:iCs/>
          <w:color w:val="000000"/>
          <w:sz w:val="18"/>
          <w:szCs w:val="18"/>
        </w:rPr>
        <w:t>aquaculture establishment</w:t>
      </w:r>
      <w:r w:rsidR="002B6ED5"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strike/>
          <w:color w:val="000000"/>
          <w:sz w:val="18"/>
          <w:szCs w:val="18"/>
          <w:highlight w:val="yellow"/>
        </w:rPr>
        <w:t>as appropriate</w:t>
      </w:r>
      <w:r w:rsidRPr="00D31BA5">
        <w:rPr>
          <w:rStyle w:val="normaltextrun"/>
          <w:rFonts w:ascii="Arial" w:eastAsia="Arial" w:hAnsi="Arial" w:cs="Arial"/>
          <w:color w:val="000000"/>
          <w:sz w:val="18"/>
          <w:szCs w:val="18"/>
        </w:rPr>
        <w:t xml:space="preserve">. This chapter describes recommendations on </w:t>
      </w:r>
      <w:r w:rsidRPr="00D31BA5">
        <w:rPr>
          <w:rStyle w:val="normaltextrun"/>
          <w:rFonts w:ascii="Arial" w:eastAsia="Arial" w:hAnsi="Arial" w:cs="Arial"/>
          <w:i/>
          <w:iCs/>
          <w:color w:val="000000"/>
          <w:sz w:val="18"/>
          <w:szCs w:val="18"/>
        </w:rPr>
        <w:t>biosecurity</w:t>
      </w:r>
      <w:r w:rsidRPr="00D31BA5">
        <w:rPr>
          <w:rStyle w:val="normaltextrun"/>
          <w:rFonts w:ascii="Arial" w:eastAsia="Arial" w:hAnsi="Arial" w:cs="Arial"/>
          <w:color w:val="000000"/>
          <w:sz w:val="18"/>
          <w:szCs w:val="18"/>
        </w:rPr>
        <w:t xml:space="preserve"> to be applied to </w:t>
      </w:r>
      <w:r w:rsidRPr="00D31BA5">
        <w:rPr>
          <w:rStyle w:val="normaltextrun"/>
          <w:rFonts w:ascii="Arial" w:eastAsia="Arial" w:hAnsi="Arial" w:cs="Arial"/>
          <w:i/>
          <w:iCs/>
          <w:color w:val="000000"/>
          <w:sz w:val="18"/>
          <w:szCs w:val="18"/>
        </w:rPr>
        <w:t>aquaculture establishments</w:t>
      </w:r>
      <w:r w:rsidRPr="00D31BA5">
        <w:rPr>
          <w:rStyle w:val="normaltextrun"/>
          <w:rFonts w:ascii="Arial" w:eastAsia="Arial" w:hAnsi="Arial" w:cs="Arial"/>
          <w:color w:val="000000"/>
          <w:sz w:val="18"/>
          <w:szCs w:val="18"/>
        </w:rPr>
        <w:t xml:space="preserve">, including semi-open, semi-closed and closed systems. </w:t>
      </w:r>
      <w:r w:rsidRPr="00D31BA5">
        <w:rPr>
          <w:rFonts w:ascii="Arial" w:hAnsi="Arial" w:cs="Arial"/>
          <w:color w:val="000000"/>
          <w:sz w:val="18"/>
          <w:szCs w:val="18"/>
        </w:rPr>
        <w:t xml:space="preserve">The chapter describes general principles of </w:t>
      </w:r>
      <w:r w:rsidRPr="00D31BA5">
        <w:rPr>
          <w:rFonts w:ascii="Arial" w:hAnsi="Arial" w:cs="Arial"/>
          <w:i/>
          <w:color w:val="000000"/>
          <w:sz w:val="18"/>
          <w:szCs w:val="18"/>
        </w:rPr>
        <w:t xml:space="preserve">biosecurity </w:t>
      </w:r>
      <w:r w:rsidRPr="00D31BA5">
        <w:rPr>
          <w:rFonts w:ascii="Arial" w:hAnsi="Arial" w:cs="Arial"/>
          <w:color w:val="000000"/>
          <w:sz w:val="18"/>
          <w:szCs w:val="18"/>
        </w:rPr>
        <w:t xml:space="preserve">planning, categories of </w:t>
      </w:r>
      <w:r w:rsidRPr="00D31BA5">
        <w:rPr>
          <w:rFonts w:ascii="Arial" w:hAnsi="Arial" w:cs="Arial"/>
          <w:i/>
          <w:color w:val="000000"/>
          <w:sz w:val="18"/>
          <w:szCs w:val="18"/>
        </w:rPr>
        <w:t>aquaculture</w:t>
      </w:r>
      <w:r w:rsidRPr="00D31BA5">
        <w:rPr>
          <w:rFonts w:ascii="Arial" w:hAnsi="Arial" w:cs="Arial"/>
          <w:color w:val="000000"/>
          <w:sz w:val="18"/>
          <w:szCs w:val="18"/>
        </w:rPr>
        <w:t xml:space="preserve"> production systems, </w:t>
      </w:r>
      <w:r w:rsidRPr="00D31BA5">
        <w:rPr>
          <w:rFonts w:ascii="Arial" w:hAnsi="Arial" w:cs="Arial"/>
          <w:strike/>
          <w:color w:val="000000"/>
          <w:sz w:val="18"/>
          <w:szCs w:val="18"/>
        </w:rPr>
        <w:t>major</w:t>
      </w:r>
      <w:r w:rsidRPr="00D31BA5">
        <w:rPr>
          <w:rFonts w:ascii="Arial" w:hAnsi="Arial" w:cs="Arial"/>
          <w:color w:val="000000"/>
          <w:sz w:val="18"/>
          <w:szCs w:val="18"/>
        </w:rPr>
        <w:t xml:space="preserve"> </w:t>
      </w:r>
      <w:r w:rsidRPr="00D31BA5">
        <w:rPr>
          <w:rFonts w:ascii="Arial" w:hAnsi="Arial" w:cs="Arial"/>
          <w:strike/>
          <w:color w:val="000000"/>
          <w:sz w:val="18"/>
          <w:szCs w:val="18"/>
        </w:rPr>
        <w:t xml:space="preserve">transmission pathways, </w:t>
      </w:r>
      <w:r w:rsidRPr="00D31BA5">
        <w:rPr>
          <w:rFonts w:ascii="Arial" w:eastAsia="SimSun" w:hAnsi="Arial" w:cs="Arial"/>
          <w:sz w:val="18"/>
          <w:szCs w:val="18"/>
          <w:u w:val="double"/>
          <w:lang w:eastAsia="zh-CN"/>
        </w:rPr>
        <w:t>mitigation measures for transmission pathways</w:t>
      </w:r>
      <w:r w:rsidRPr="00D31BA5">
        <w:rPr>
          <w:rFonts w:ascii="Arial" w:eastAsia="SimSun" w:hAnsi="Arial" w:cs="Arial"/>
          <w:sz w:val="18"/>
          <w:szCs w:val="18"/>
          <w:lang w:eastAsia="zh-CN"/>
        </w:rPr>
        <w:t>,</w:t>
      </w:r>
      <w:r w:rsidRPr="00D31BA5">
        <w:rPr>
          <w:rFonts w:ascii="Arial" w:eastAsia="SimSun" w:hAnsi="Arial" w:cs="Arial"/>
          <w:sz w:val="18"/>
          <w:szCs w:val="18"/>
        </w:rPr>
        <w:t xml:space="preserve"> </w:t>
      </w:r>
      <w:r w:rsidRPr="00D31BA5">
        <w:rPr>
          <w:rFonts w:ascii="Arial" w:eastAsia="SimSun" w:hAnsi="Arial" w:cs="Arial"/>
          <w:strike/>
          <w:sz w:val="18"/>
          <w:szCs w:val="18"/>
        </w:rPr>
        <w:t>the use of</w:t>
      </w:r>
      <w:r w:rsidRPr="00D31BA5">
        <w:rPr>
          <w:rFonts w:ascii="Arial" w:eastAsia="SimSun" w:hAnsi="Arial" w:cs="Arial"/>
          <w:strike/>
          <w:sz w:val="18"/>
          <w:szCs w:val="18"/>
          <w:lang w:val="en-US" w:eastAsia="zh-CN"/>
        </w:rPr>
        <w:t xml:space="preserve"> </w:t>
      </w:r>
      <w:r w:rsidRPr="00D31BA5">
        <w:rPr>
          <w:rFonts w:ascii="Arial" w:eastAsia="SimSun" w:hAnsi="Arial" w:cs="Arial"/>
          <w:sz w:val="18"/>
          <w:szCs w:val="18"/>
          <w:u w:val="double"/>
          <w:lang w:val="en-US" w:eastAsia="zh-CN"/>
        </w:rPr>
        <w:t>the application of</w:t>
      </w:r>
      <w:r w:rsidRPr="00D31BA5">
        <w:rPr>
          <w:rFonts w:ascii="Arial" w:eastAsia="SimSun" w:hAnsi="Arial" w:cs="Arial"/>
          <w:sz w:val="18"/>
          <w:szCs w:val="18"/>
          <w:lang w:val="en-US" w:eastAsia="zh-CN"/>
        </w:rPr>
        <w:t xml:space="preserve"> </w:t>
      </w:r>
      <w:r w:rsidRPr="00D31BA5">
        <w:rPr>
          <w:rFonts w:ascii="Arial" w:eastAsia="SimSun" w:hAnsi="Arial" w:cs="Arial"/>
          <w:i/>
          <w:sz w:val="18"/>
          <w:szCs w:val="18"/>
        </w:rPr>
        <w:t xml:space="preserve">risk analysis </w:t>
      </w:r>
      <w:r w:rsidRPr="00D31BA5">
        <w:rPr>
          <w:rFonts w:ascii="Arial" w:eastAsia="SimSun" w:hAnsi="Arial" w:cs="Arial"/>
          <w:sz w:val="18"/>
          <w:szCs w:val="18"/>
          <w:u w:val="double"/>
        </w:rPr>
        <w:t>and</w:t>
      </w:r>
      <w:r w:rsidRPr="00D31BA5">
        <w:rPr>
          <w:rFonts w:ascii="Arial" w:eastAsia="SimSun" w:hAnsi="Arial" w:cs="Arial"/>
          <w:sz w:val="18"/>
          <w:szCs w:val="18"/>
        </w:rPr>
        <w:t xml:space="preserve"> </w:t>
      </w:r>
      <w:r w:rsidRPr="00D31BA5">
        <w:rPr>
          <w:rFonts w:ascii="Arial" w:eastAsia="SimSun" w:hAnsi="Arial" w:cs="Arial"/>
          <w:sz w:val="18"/>
          <w:szCs w:val="18"/>
          <w:u w:val="double"/>
        </w:rPr>
        <w:t>approaches</w:t>
      </w:r>
      <w:r w:rsidRPr="00D31BA5">
        <w:rPr>
          <w:rFonts w:ascii="Arial" w:eastAsia="SimSun" w:hAnsi="Arial" w:cs="Arial"/>
          <w:sz w:val="18"/>
          <w:szCs w:val="18"/>
        </w:rPr>
        <w:t xml:space="preserve"> </w:t>
      </w:r>
      <w:r w:rsidRPr="00D31BA5">
        <w:rPr>
          <w:rFonts w:ascii="Arial" w:eastAsia="SimSun" w:hAnsi="Arial" w:cs="Arial"/>
          <w:sz w:val="18"/>
          <w:szCs w:val="18"/>
          <w:u w:val="double"/>
        </w:rPr>
        <w:t>for</w:t>
      </w:r>
      <w:r w:rsidRPr="00D31BA5">
        <w:rPr>
          <w:rFonts w:ascii="Arial" w:eastAsia="SimSun" w:hAnsi="Arial" w:cs="Arial"/>
          <w:sz w:val="18"/>
          <w:szCs w:val="18"/>
        </w:rPr>
        <w:t xml:space="preserve"> </w:t>
      </w:r>
      <w:r w:rsidRPr="00D31BA5">
        <w:rPr>
          <w:rFonts w:ascii="Arial" w:eastAsia="SimSun" w:hAnsi="Arial" w:cs="Arial"/>
          <w:i/>
          <w:iCs/>
          <w:sz w:val="18"/>
          <w:szCs w:val="18"/>
          <w:u w:val="double"/>
          <w:lang w:eastAsia="zh-CN"/>
        </w:rPr>
        <w:t>biosecurity plan</w:t>
      </w:r>
      <w:r w:rsidRPr="00D31BA5">
        <w:rPr>
          <w:rFonts w:ascii="Arial" w:eastAsia="SimSun" w:hAnsi="Arial" w:cs="Arial"/>
          <w:sz w:val="18"/>
          <w:szCs w:val="18"/>
          <w:u w:val="double"/>
          <w:lang w:eastAsia="zh-CN"/>
        </w:rPr>
        <w:t xml:space="preserve"> development. </w:t>
      </w:r>
      <w:r w:rsidRPr="00D31BA5">
        <w:rPr>
          <w:rFonts w:ascii="Arial" w:eastAsia="SimSun" w:hAnsi="Arial" w:cs="Arial"/>
          <w:strike/>
          <w:sz w:val="18"/>
          <w:szCs w:val="18"/>
        </w:rPr>
        <w:t xml:space="preserve">to develop a </w:t>
      </w:r>
      <w:r w:rsidRPr="00D31BA5">
        <w:rPr>
          <w:rFonts w:ascii="Arial" w:eastAsia="SimSun" w:hAnsi="Arial" w:cs="Arial"/>
          <w:i/>
          <w:strike/>
          <w:sz w:val="18"/>
          <w:szCs w:val="18"/>
        </w:rPr>
        <w:t>biosecurity plan</w:t>
      </w:r>
      <w:r w:rsidRPr="00D31BA5">
        <w:rPr>
          <w:rFonts w:ascii="Arial" w:eastAsia="SimSun" w:hAnsi="Arial" w:cs="Arial"/>
          <w:sz w:val="18"/>
          <w:szCs w:val="18"/>
        </w:rPr>
        <w:t>,</w:t>
      </w:r>
      <w:r w:rsidRPr="00D31BA5">
        <w:rPr>
          <w:rFonts w:ascii="Arial" w:eastAsia="SimSun" w:hAnsi="Arial" w:cs="Arial"/>
          <w:strike/>
          <w:sz w:val="18"/>
          <w:szCs w:val="18"/>
        </w:rPr>
        <w:t xml:space="preserve"> and the key components of a plan.  </w:t>
      </w:r>
    </w:p>
    <w:p w14:paraId="4B212971" w14:textId="77777777" w:rsidR="0094086E" w:rsidRPr="00D31BA5" w:rsidRDefault="0094086E" w:rsidP="0094086E">
      <w:pPr>
        <w:spacing w:after="240"/>
        <w:jc w:val="both"/>
        <w:rPr>
          <w:rFonts w:ascii="Arial" w:hAnsi="Arial" w:cs="Arial"/>
          <w:sz w:val="18"/>
          <w:szCs w:val="18"/>
          <w:u w:val="double"/>
        </w:rPr>
      </w:pPr>
      <w:r w:rsidRPr="00D31BA5">
        <w:rPr>
          <w:rFonts w:ascii="Arial" w:hAnsi="Arial" w:cs="Arial"/>
          <w:sz w:val="18"/>
          <w:szCs w:val="18"/>
          <w:u w:val="double"/>
        </w:rPr>
        <w:t xml:space="preserve">For further guidance on </w:t>
      </w:r>
      <w:r w:rsidRPr="00D31BA5">
        <w:rPr>
          <w:rFonts w:ascii="Arial" w:hAnsi="Arial" w:cs="Arial"/>
          <w:i/>
          <w:iCs/>
          <w:sz w:val="18"/>
          <w:szCs w:val="18"/>
          <w:u w:val="double"/>
        </w:rPr>
        <w:t>disease</w:t>
      </w:r>
      <w:r w:rsidRPr="00D31BA5">
        <w:rPr>
          <w:rFonts w:ascii="Arial" w:hAnsi="Arial" w:cs="Arial"/>
          <w:sz w:val="18"/>
          <w:szCs w:val="18"/>
          <w:u w:val="double"/>
        </w:rPr>
        <w:t xml:space="preserve"> prevention and control refer to Section 4 of the </w:t>
      </w:r>
      <w:r w:rsidRPr="00D31BA5">
        <w:rPr>
          <w:rFonts w:ascii="Arial" w:hAnsi="Arial" w:cs="Arial"/>
          <w:i/>
          <w:sz w:val="18"/>
          <w:szCs w:val="18"/>
          <w:u w:val="double"/>
        </w:rPr>
        <w:t xml:space="preserve">Aquatic Code. </w:t>
      </w:r>
    </w:p>
    <w:p w14:paraId="523FACEA" w14:textId="77777777" w:rsidR="0094086E" w:rsidRPr="00D31BA5" w:rsidRDefault="0094086E" w:rsidP="0094086E">
      <w:pPr>
        <w:spacing w:after="240"/>
        <w:jc w:val="center"/>
        <w:rPr>
          <w:rFonts w:ascii="Ottawa" w:hAnsi="Ottawa" w:cs="Times New Roman"/>
          <w:sz w:val="18"/>
          <w:szCs w:val="18"/>
        </w:rPr>
      </w:pPr>
      <w:r w:rsidRPr="00D31BA5">
        <w:rPr>
          <w:rFonts w:ascii="Ottawa" w:hAnsi="Ottawa" w:cs="Times New Roman"/>
          <w:sz w:val="18"/>
          <w:szCs w:val="18"/>
        </w:rPr>
        <w:t>Article 4.X.3.</w:t>
      </w:r>
    </w:p>
    <w:p w14:paraId="6FD9772E" w14:textId="77777777" w:rsidR="0094086E" w:rsidRPr="00D31BA5" w:rsidRDefault="0094086E" w:rsidP="0094086E">
      <w:pPr>
        <w:spacing w:after="240"/>
        <w:jc w:val="both"/>
        <w:rPr>
          <w:rFonts w:ascii="Ottawa" w:hAnsi="Ottawa" w:cs="Times New Roman"/>
          <w:b/>
          <w:sz w:val="18"/>
          <w:szCs w:val="18"/>
        </w:rPr>
      </w:pPr>
      <w:r w:rsidRPr="00D31BA5">
        <w:rPr>
          <w:rFonts w:ascii="Ottawa" w:hAnsi="Ottawa" w:cs="Times New Roman"/>
          <w:b/>
          <w:sz w:val="18"/>
          <w:szCs w:val="18"/>
        </w:rPr>
        <w:t xml:space="preserve">Introduction </w:t>
      </w:r>
    </w:p>
    <w:p w14:paraId="04BE0851" w14:textId="77777777" w:rsidR="0094086E" w:rsidRPr="00D31BA5" w:rsidRDefault="0094086E" w:rsidP="0094086E">
      <w:pPr>
        <w:spacing w:after="240"/>
        <w:jc w:val="both"/>
        <w:rPr>
          <w:rStyle w:val="eop"/>
          <w:rFonts w:ascii="Arial" w:eastAsia="MS Mincho" w:hAnsi="Arial" w:cs="Arial"/>
          <w:strike/>
          <w:color w:val="000000"/>
          <w:sz w:val="18"/>
          <w:szCs w:val="18"/>
        </w:rPr>
      </w:pPr>
      <w:r w:rsidRPr="00D31BA5">
        <w:rPr>
          <w:rFonts w:ascii="Arial" w:hAnsi="Arial" w:cs="Arial"/>
          <w:strike/>
          <w:color w:val="000000"/>
          <w:sz w:val="18"/>
          <w:szCs w:val="18"/>
        </w:rPr>
        <w:t xml:space="preserve">The fundamental measures that underpin </w:t>
      </w:r>
      <w:r w:rsidRPr="00D31BA5">
        <w:rPr>
          <w:rFonts w:ascii="Arial" w:hAnsi="Arial" w:cs="Arial"/>
          <w:i/>
          <w:strike/>
          <w:color w:val="000000"/>
          <w:sz w:val="18"/>
          <w:szCs w:val="18"/>
        </w:rPr>
        <w:t>aquatic animal</w:t>
      </w:r>
      <w:r w:rsidRPr="00D31BA5">
        <w:rPr>
          <w:rFonts w:ascii="Arial" w:eastAsia="SimSun" w:hAnsi="Arial" w:cs="Arial"/>
          <w:i/>
          <w:strike/>
          <w:color w:val="000000"/>
          <w:sz w:val="18"/>
          <w:szCs w:val="18"/>
          <w:lang w:eastAsia="zh-CN"/>
        </w:rPr>
        <w:t xml:space="preserve"> </w:t>
      </w:r>
      <w:r w:rsidRPr="00D31BA5">
        <w:rPr>
          <w:rFonts w:ascii="Arial" w:hAnsi="Arial" w:cs="Arial"/>
          <w:i/>
          <w:strike/>
          <w:color w:val="000000"/>
          <w:sz w:val="18"/>
          <w:szCs w:val="18"/>
        </w:rPr>
        <w:t xml:space="preserve">disease </w:t>
      </w:r>
      <w:r w:rsidRPr="00D31BA5">
        <w:rPr>
          <w:rFonts w:ascii="Arial" w:hAnsi="Arial" w:cs="Arial"/>
          <w:strike/>
          <w:color w:val="000000"/>
          <w:sz w:val="18"/>
          <w:szCs w:val="18"/>
        </w:rPr>
        <w:t>prevention</w:t>
      </w:r>
      <w:r w:rsidRPr="00D31BA5">
        <w:rPr>
          <w:rFonts w:ascii="Arial" w:eastAsia="SimSun" w:hAnsi="Arial" w:cs="Arial"/>
          <w:strike/>
          <w:color w:val="000000"/>
          <w:sz w:val="18"/>
          <w:szCs w:val="18"/>
          <w:lang w:eastAsia="zh-CN"/>
        </w:rPr>
        <w:t xml:space="preserve"> </w:t>
      </w:r>
      <w:r w:rsidRPr="00D31BA5">
        <w:rPr>
          <w:rFonts w:ascii="Arial" w:hAnsi="Arial" w:cs="Arial"/>
          <w:strike/>
          <w:color w:val="000000"/>
          <w:sz w:val="18"/>
          <w:szCs w:val="18"/>
        </w:rPr>
        <w:t xml:space="preserve">at the level of country, </w:t>
      </w:r>
      <w:r w:rsidRPr="00D31BA5">
        <w:rPr>
          <w:rFonts w:ascii="Arial" w:hAnsi="Arial" w:cs="Arial"/>
          <w:i/>
          <w:strike/>
          <w:color w:val="000000"/>
          <w:sz w:val="18"/>
          <w:szCs w:val="18"/>
        </w:rPr>
        <w:t>zone</w:t>
      </w:r>
      <w:r w:rsidRPr="00D31BA5">
        <w:rPr>
          <w:rFonts w:ascii="Arial" w:hAnsi="Arial" w:cs="Arial"/>
          <w:strike/>
          <w:color w:val="000000"/>
          <w:sz w:val="18"/>
          <w:szCs w:val="18"/>
        </w:rPr>
        <w:t xml:space="preserve"> or </w:t>
      </w:r>
      <w:r w:rsidRPr="00D31BA5">
        <w:rPr>
          <w:rFonts w:ascii="Arial" w:hAnsi="Arial" w:cs="Arial"/>
          <w:i/>
          <w:strike/>
          <w:color w:val="000000"/>
          <w:sz w:val="18"/>
          <w:szCs w:val="18"/>
        </w:rPr>
        <w:t>compartment</w:t>
      </w:r>
      <w:r w:rsidRPr="00D31BA5">
        <w:rPr>
          <w:rFonts w:ascii="Arial" w:hAnsi="Arial" w:cs="Arial"/>
          <w:strike/>
          <w:color w:val="000000"/>
          <w:sz w:val="18"/>
          <w:szCs w:val="18"/>
        </w:rPr>
        <w:t xml:space="preserve"> is the application of </w:t>
      </w:r>
      <w:r w:rsidRPr="00D31BA5">
        <w:rPr>
          <w:rFonts w:ascii="Arial" w:hAnsi="Arial" w:cs="Arial"/>
          <w:i/>
          <w:strike/>
          <w:color w:val="000000"/>
          <w:sz w:val="18"/>
          <w:szCs w:val="18"/>
        </w:rPr>
        <w:t>biosecurity</w:t>
      </w:r>
      <w:r w:rsidRPr="00D31BA5">
        <w:rPr>
          <w:rFonts w:ascii="Arial" w:hAnsi="Arial" w:cs="Arial"/>
          <w:strike/>
          <w:color w:val="000000"/>
          <w:sz w:val="18"/>
          <w:szCs w:val="18"/>
        </w:rPr>
        <w:t>.</w:t>
      </w:r>
      <w:r w:rsidRPr="00D31BA5">
        <w:rPr>
          <w:rFonts w:ascii="Arial" w:hAnsi="Arial" w:cs="Arial"/>
          <w:color w:val="000000"/>
          <w:sz w:val="18"/>
          <w:szCs w:val="18"/>
        </w:rPr>
        <w:t xml:space="preserve"> </w:t>
      </w:r>
      <w:r w:rsidRPr="00D31BA5">
        <w:rPr>
          <w:rFonts w:ascii="Arial" w:hAnsi="Arial" w:cs="Arial"/>
          <w:i/>
          <w:iCs/>
          <w:color w:val="000000"/>
          <w:sz w:val="18"/>
          <w:szCs w:val="18"/>
          <w:u w:val="double"/>
        </w:rPr>
        <w:t>Biosecurity</w:t>
      </w:r>
      <w:r w:rsidRPr="00D31BA5">
        <w:rPr>
          <w:rFonts w:ascii="Arial" w:hAnsi="Arial" w:cs="Arial"/>
          <w:i/>
          <w:color w:val="000000"/>
          <w:sz w:val="18"/>
          <w:szCs w:val="18"/>
          <w:u w:val="double"/>
        </w:rPr>
        <w:t xml:space="preserve"> </w:t>
      </w:r>
      <w:r w:rsidRPr="00D31BA5">
        <w:rPr>
          <w:rFonts w:ascii="Arial" w:hAnsi="Arial" w:cs="Arial"/>
          <w:color w:val="000000"/>
          <w:sz w:val="18"/>
          <w:szCs w:val="18"/>
          <w:u w:val="double"/>
        </w:rPr>
        <w:t>at the level of an</w:t>
      </w:r>
      <w:r w:rsidRPr="00D31BA5">
        <w:rPr>
          <w:rFonts w:ascii="Arial" w:hAnsi="Arial" w:cs="Arial"/>
          <w:i/>
          <w:color w:val="000000"/>
          <w:sz w:val="18"/>
          <w:szCs w:val="18"/>
          <w:u w:val="double"/>
        </w:rPr>
        <w:t xml:space="preserve"> aquaculture establishment </w:t>
      </w:r>
      <w:r w:rsidRPr="00D31BA5">
        <w:rPr>
          <w:rFonts w:ascii="Arial" w:hAnsi="Arial" w:cs="Arial"/>
          <w:color w:val="000000"/>
          <w:sz w:val="18"/>
          <w:szCs w:val="18"/>
          <w:u w:val="double"/>
        </w:rPr>
        <w:t>is</w:t>
      </w:r>
      <w:r w:rsidRPr="00D31BA5">
        <w:rPr>
          <w:rFonts w:ascii="Arial" w:hAnsi="Arial" w:cs="Arial"/>
          <w:i/>
          <w:color w:val="000000"/>
          <w:sz w:val="18"/>
          <w:szCs w:val="18"/>
          <w:u w:val="double"/>
        </w:rPr>
        <w:t xml:space="preserve"> </w:t>
      </w:r>
      <w:r w:rsidRPr="00D31BA5">
        <w:rPr>
          <w:rFonts w:ascii="Arial" w:hAnsi="Arial" w:cs="Arial"/>
          <w:color w:val="000000"/>
          <w:sz w:val="18"/>
          <w:szCs w:val="18"/>
          <w:u w:val="double"/>
        </w:rPr>
        <w:t xml:space="preserve">integral to effective </w:t>
      </w:r>
      <w:r w:rsidRPr="00D31BA5">
        <w:rPr>
          <w:rFonts w:ascii="Arial" w:hAnsi="Arial" w:cs="Arial"/>
          <w:i/>
          <w:color w:val="000000"/>
          <w:sz w:val="18"/>
          <w:szCs w:val="18"/>
          <w:u w:val="double"/>
        </w:rPr>
        <w:t>biosecurity</w:t>
      </w:r>
      <w:r w:rsidRPr="00D31BA5">
        <w:rPr>
          <w:rFonts w:ascii="Arial" w:hAnsi="Arial" w:cs="Arial"/>
          <w:color w:val="000000"/>
          <w:sz w:val="18"/>
          <w:szCs w:val="18"/>
          <w:u w:val="double"/>
        </w:rPr>
        <w:t xml:space="preserve"> at the level of a country, </w:t>
      </w:r>
      <w:r w:rsidRPr="00D31BA5">
        <w:rPr>
          <w:rFonts w:ascii="Arial" w:hAnsi="Arial" w:cs="Arial"/>
          <w:i/>
          <w:color w:val="000000"/>
          <w:sz w:val="18"/>
          <w:szCs w:val="18"/>
          <w:u w:val="double"/>
        </w:rPr>
        <w:t>zone</w:t>
      </w:r>
      <w:r w:rsidRPr="00D31BA5">
        <w:rPr>
          <w:rFonts w:ascii="Arial" w:hAnsi="Arial" w:cs="Arial"/>
          <w:color w:val="000000"/>
          <w:sz w:val="18"/>
          <w:szCs w:val="18"/>
          <w:u w:val="double"/>
        </w:rPr>
        <w:t xml:space="preserve"> or </w:t>
      </w:r>
      <w:r w:rsidRPr="00D31BA5">
        <w:rPr>
          <w:rFonts w:ascii="Arial" w:hAnsi="Arial" w:cs="Arial"/>
          <w:i/>
          <w:color w:val="000000"/>
          <w:sz w:val="18"/>
          <w:szCs w:val="18"/>
          <w:u w:val="double"/>
        </w:rPr>
        <w:t>compartment</w:t>
      </w:r>
      <w:r w:rsidRPr="00D31BA5">
        <w:rPr>
          <w:rFonts w:ascii="Arial" w:hAnsi="Arial" w:cs="Arial"/>
          <w:color w:val="000000"/>
          <w:sz w:val="18"/>
          <w:szCs w:val="18"/>
          <w:u w:val="double"/>
        </w:rPr>
        <w:t xml:space="preserve"> and thus the optimal health status </w:t>
      </w:r>
      <w:r w:rsidRPr="00D31BA5">
        <w:rPr>
          <w:rFonts w:ascii="Arial" w:hAnsi="Arial" w:cs="Arial"/>
          <w:sz w:val="18"/>
          <w:szCs w:val="18"/>
          <w:highlight w:val="yellow"/>
          <w:u w:val="double"/>
        </w:rPr>
        <w:t>and welfare</w:t>
      </w:r>
      <w:r w:rsidRPr="00D31BA5">
        <w:rPr>
          <w:rFonts w:ascii="Arial" w:hAnsi="Arial" w:cs="Arial"/>
          <w:sz w:val="18"/>
          <w:szCs w:val="18"/>
          <w:u w:val="double"/>
        </w:rPr>
        <w:t xml:space="preserve"> </w:t>
      </w:r>
      <w:r w:rsidRPr="00D31BA5">
        <w:rPr>
          <w:rFonts w:ascii="Arial" w:hAnsi="Arial" w:cs="Arial"/>
          <w:color w:val="000000"/>
          <w:sz w:val="18"/>
          <w:szCs w:val="18"/>
          <w:u w:val="double"/>
        </w:rPr>
        <w:t xml:space="preserve">of </w:t>
      </w:r>
      <w:r w:rsidRPr="00D31BA5">
        <w:rPr>
          <w:rFonts w:ascii="Arial" w:hAnsi="Arial" w:cs="Arial"/>
          <w:i/>
          <w:color w:val="000000"/>
          <w:sz w:val="18"/>
          <w:szCs w:val="18"/>
          <w:u w:val="double"/>
        </w:rPr>
        <w:t xml:space="preserve">aquatic animal </w:t>
      </w:r>
      <w:r w:rsidRPr="00D31BA5">
        <w:rPr>
          <w:rFonts w:ascii="Arial" w:hAnsi="Arial" w:cs="Arial"/>
          <w:color w:val="000000"/>
          <w:sz w:val="18"/>
          <w:szCs w:val="18"/>
          <w:u w:val="double"/>
        </w:rPr>
        <w:t xml:space="preserve">populations. </w:t>
      </w:r>
      <w:r w:rsidRPr="00D31BA5">
        <w:rPr>
          <w:rFonts w:ascii="Arial" w:hAnsi="Arial" w:cs="Arial"/>
          <w:color w:val="000000"/>
          <w:sz w:val="18"/>
          <w:szCs w:val="18"/>
        </w:rPr>
        <w:t xml:space="preserve">This chapter describes </w:t>
      </w:r>
      <w:r w:rsidRPr="00D31BA5">
        <w:rPr>
          <w:rFonts w:ascii="Arial" w:hAnsi="Arial" w:cs="Arial"/>
          <w:i/>
          <w:color w:val="000000"/>
          <w:sz w:val="18"/>
          <w:szCs w:val="18"/>
        </w:rPr>
        <w:t>biosecurity</w:t>
      </w:r>
      <w:r w:rsidRPr="00D31BA5">
        <w:rPr>
          <w:rFonts w:ascii="Arial" w:hAnsi="Arial" w:cs="Arial"/>
          <w:color w:val="000000"/>
          <w:sz w:val="18"/>
          <w:szCs w:val="18"/>
        </w:rPr>
        <w:t xml:space="preserve"> principles </w:t>
      </w:r>
      <w:r w:rsidRPr="00D31BA5">
        <w:rPr>
          <w:rFonts w:ascii="Arial" w:hAnsi="Arial" w:cs="Arial"/>
          <w:color w:val="000000"/>
          <w:sz w:val="18"/>
          <w:szCs w:val="18"/>
          <w:u w:val="double"/>
        </w:rPr>
        <w:t>designed</w:t>
      </w:r>
      <w:r w:rsidRPr="00D31BA5">
        <w:rPr>
          <w:rFonts w:ascii="Arial" w:hAnsi="Arial" w:cs="Arial"/>
          <w:color w:val="000000"/>
          <w:sz w:val="18"/>
          <w:szCs w:val="18"/>
        </w:rPr>
        <w:t xml:space="preserve"> to mitigate the </w:t>
      </w:r>
      <w:r w:rsidRPr="00D31BA5">
        <w:rPr>
          <w:rFonts w:ascii="Arial" w:hAnsi="Arial" w:cs="Arial"/>
          <w:i/>
          <w:color w:val="000000"/>
          <w:sz w:val="18"/>
          <w:szCs w:val="18"/>
        </w:rPr>
        <w:t>risks</w:t>
      </w:r>
      <w:r w:rsidRPr="00D31BA5">
        <w:rPr>
          <w:rFonts w:ascii="Arial" w:hAnsi="Arial" w:cs="Arial"/>
          <w:color w:val="000000"/>
          <w:sz w:val="18"/>
          <w:szCs w:val="18"/>
        </w:rPr>
        <w:t xml:space="preserve"> associated with the introduction of </w:t>
      </w:r>
      <w:r w:rsidRPr="00D31BA5">
        <w:rPr>
          <w:rFonts w:ascii="Arial" w:hAnsi="Arial" w:cs="Arial"/>
          <w:i/>
          <w:color w:val="000000"/>
          <w:sz w:val="18"/>
          <w:szCs w:val="18"/>
        </w:rPr>
        <w:t>pathogenic agents</w:t>
      </w:r>
      <w:r w:rsidRPr="00D31BA5">
        <w:rPr>
          <w:rFonts w:ascii="Arial" w:hAnsi="Arial" w:cs="Arial"/>
          <w:color w:val="000000"/>
          <w:sz w:val="18"/>
          <w:szCs w:val="18"/>
        </w:rPr>
        <w:t xml:space="preserve"> into, the spread within, or the release from </w:t>
      </w:r>
      <w:r w:rsidRPr="00D31BA5">
        <w:rPr>
          <w:rFonts w:ascii="Arial" w:hAnsi="Arial" w:cs="Arial"/>
          <w:i/>
          <w:color w:val="000000"/>
          <w:sz w:val="18"/>
          <w:szCs w:val="18"/>
        </w:rPr>
        <w:t xml:space="preserve">aquaculture establishments. </w:t>
      </w:r>
      <w:r w:rsidRPr="00D31BA5">
        <w:rPr>
          <w:rFonts w:ascii="Arial" w:hAnsi="Arial" w:cs="Arial"/>
          <w:strike/>
          <w:color w:val="000000"/>
          <w:sz w:val="18"/>
          <w:szCs w:val="18"/>
        </w:rPr>
        <w:t>The application of</w:t>
      </w:r>
      <w:r w:rsidRPr="00D31BA5">
        <w:rPr>
          <w:rFonts w:ascii="Arial" w:hAnsi="Arial" w:cs="Arial"/>
          <w:i/>
          <w:strike/>
          <w:color w:val="000000"/>
          <w:sz w:val="18"/>
          <w:szCs w:val="18"/>
        </w:rPr>
        <w:t xml:space="preserve"> biosecurity </w:t>
      </w:r>
      <w:r w:rsidRPr="00D31BA5">
        <w:rPr>
          <w:rFonts w:ascii="Arial" w:hAnsi="Arial" w:cs="Arial"/>
          <w:strike/>
          <w:color w:val="000000"/>
          <w:sz w:val="18"/>
          <w:szCs w:val="18"/>
        </w:rPr>
        <w:t>at the level of an</w:t>
      </w:r>
      <w:r w:rsidRPr="00D31BA5">
        <w:rPr>
          <w:rFonts w:ascii="Arial" w:hAnsi="Arial" w:cs="Arial"/>
          <w:i/>
          <w:strike/>
          <w:color w:val="000000"/>
          <w:sz w:val="18"/>
          <w:szCs w:val="18"/>
        </w:rPr>
        <w:t xml:space="preserve"> aquaculture establishment </w:t>
      </w:r>
      <w:r w:rsidRPr="00D31BA5">
        <w:rPr>
          <w:rFonts w:ascii="Arial" w:hAnsi="Arial" w:cs="Arial"/>
          <w:strike/>
          <w:color w:val="000000"/>
          <w:sz w:val="18"/>
          <w:szCs w:val="18"/>
        </w:rPr>
        <w:t>may be</w:t>
      </w:r>
      <w:r w:rsidRPr="00D31BA5">
        <w:rPr>
          <w:rFonts w:ascii="Arial" w:hAnsi="Arial" w:cs="Arial"/>
          <w:i/>
          <w:strike/>
          <w:color w:val="000000"/>
          <w:sz w:val="18"/>
          <w:szCs w:val="18"/>
        </w:rPr>
        <w:t xml:space="preserve"> </w:t>
      </w:r>
      <w:r w:rsidRPr="00D31BA5">
        <w:rPr>
          <w:rFonts w:ascii="Arial" w:hAnsi="Arial" w:cs="Arial"/>
          <w:strike/>
          <w:color w:val="000000"/>
          <w:sz w:val="18"/>
          <w:szCs w:val="18"/>
        </w:rPr>
        <w:t xml:space="preserve">integral to effective </w:t>
      </w:r>
      <w:r w:rsidRPr="00D31BA5">
        <w:rPr>
          <w:rFonts w:ascii="Arial" w:hAnsi="Arial" w:cs="Arial"/>
          <w:i/>
          <w:strike/>
          <w:color w:val="000000"/>
          <w:sz w:val="18"/>
          <w:szCs w:val="18"/>
        </w:rPr>
        <w:t>biosecurity</w:t>
      </w:r>
      <w:r w:rsidRPr="00D31BA5">
        <w:rPr>
          <w:rFonts w:ascii="Arial" w:hAnsi="Arial" w:cs="Arial"/>
          <w:strike/>
          <w:color w:val="000000"/>
          <w:sz w:val="18"/>
          <w:szCs w:val="18"/>
        </w:rPr>
        <w:t xml:space="preserve"> at the level of a country, </w:t>
      </w:r>
      <w:r w:rsidRPr="00D31BA5">
        <w:rPr>
          <w:rFonts w:ascii="Arial" w:hAnsi="Arial" w:cs="Arial"/>
          <w:i/>
          <w:strike/>
          <w:color w:val="000000"/>
          <w:sz w:val="18"/>
          <w:szCs w:val="18"/>
        </w:rPr>
        <w:t>zone</w:t>
      </w:r>
      <w:r w:rsidRPr="00D31BA5">
        <w:rPr>
          <w:rFonts w:ascii="Arial" w:hAnsi="Arial" w:cs="Arial"/>
          <w:strike/>
          <w:color w:val="000000"/>
          <w:sz w:val="18"/>
          <w:szCs w:val="18"/>
        </w:rPr>
        <w:t xml:space="preserve"> or </w:t>
      </w:r>
      <w:r w:rsidRPr="00D31BA5">
        <w:rPr>
          <w:rFonts w:ascii="Arial" w:hAnsi="Arial" w:cs="Arial"/>
          <w:i/>
          <w:strike/>
          <w:color w:val="000000"/>
          <w:sz w:val="18"/>
          <w:szCs w:val="18"/>
        </w:rPr>
        <w:t>compartment</w:t>
      </w:r>
      <w:r w:rsidRPr="00D31BA5">
        <w:rPr>
          <w:rFonts w:ascii="Arial" w:hAnsi="Arial" w:cs="Arial"/>
          <w:strike/>
          <w:color w:val="000000"/>
          <w:sz w:val="18"/>
          <w:szCs w:val="18"/>
        </w:rPr>
        <w:t xml:space="preserve"> to maintain the optimal health status of </w:t>
      </w:r>
      <w:r w:rsidRPr="00D31BA5">
        <w:rPr>
          <w:rFonts w:ascii="Arial" w:hAnsi="Arial" w:cs="Arial"/>
          <w:i/>
          <w:strike/>
          <w:color w:val="000000"/>
          <w:sz w:val="18"/>
          <w:szCs w:val="18"/>
        </w:rPr>
        <w:t xml:space="preserve">aquatic animal </w:t>
      </w:r>
      <w:r w:rsidRPr="00D31BA5">
        <w:rPr>
          <w:rFonts w:ascii="Arial" w:hAnsi="Arial" w:cs="Arial"/>
          <w:strike/>
          <w:color w:val="000000"/>
          <w:sz w:val="18"/>
          <w:szCs w:val="18"/>
        </w:rPr>
        <w:t>populations.</w:t>
      </w:r>
    </w:p>
    <w:p w14:paraId="0951AE6C" w14:textId="77777777" w:rsidR="0094086E" w:rsidRPr="00D31BA5" w:rsidRDefault="0094086E" w:rsidP="0094086E">
      <w:pPr>
        <w:pStyle w:val="paragraph"/>
        <w:spacing w:before="0" w:beforeAutospacing="0" w:after="240" w:afterAutospacing="0"/>
        <w:jc w:val="both"/>
        <w:textAlignment w:val="baseline"/>
        <w:rPr>
          <w:rStyle w:val="eop"/>
          <w:rFonts w:ascii="Arial" w:eastAsia="Arial" w:hAnsi="Arial" w:cs="Arial"/>
          <w:color w:val="000000"/>
          <w:sz w:val="18"/>
          <w:szCs w:val="18"/>
        </w:rPr>
      </w:pPr>
      <w:r w:rsidRPr="00D31BA5">
        <w:rPr>
          <w:rStyle w:val="normaltextrun"/>
          <w:rFonts w:ascii="Arial" w:eastAsia="Arial" w:hAnsi="Arial" w:cs="Arial"/>
          <w:color w:val="000000"/>
          <w:sz w:val="18"/>
          <w:szCs w:val="18"/>
        </w:rPr>
        <w:t xml:space="preserve">Given the unique challenges posed by varied </w:t>
      </w:r>
      <w:r w:rsidRPr="00D31BA5">
        <w:rPr>
          <w:rStyle w:val="normaltextrun"/>
          <w:rFonts w:ascii="Arial" w:eastAsia="Arial" w:hAnsi="Arial" w:cs="Arial"/>
          <w:i/>
          <w:iCs/>
          <w:color w:val="000000"/>
          <w:sz w:val="18"/>
          <w:szCs w:val="18"/>
        </w:rPr>
        <w:t>aquaculture</w:t>
      </w:r>
      <w:r w:rsidRPr="00D31BA5">
        <w:rPr>
          <w:rStyle w:val="normaltextrun"/>
          <w:rFonts w:ascii="Arial" w:eastAsia="Arial" w:hAnsi="Arial" w:cs="Arial"/>
          <w:color w:val="000000"/>
          <w:sz w:val="18"/>
          <w:szCs w:val="18"/>
        </w:rPr>
        <w:t xml:space="preserve"> production systems and the vast diversity of farmed </w:t>
      </w:r>
      <w:r w:rsidRPr="00D31BA5">
        <w:rPr>
          <w:rStyle w:val="normaltextrun"/>
          <w:rFonts w:ascii="Arial" w:eastAsia="Arial" w:hAnsi="Arial" w:cs="Arial"/>
          <w:i/>
          <w:iCs/>
          <w:color w:val="000000"/>
          <w:sz w:val="18"/>
          <w:szCs w:val="18"/>
        </w:rPr>
        <w:t>aquatic animal</w:t>
      </w:r>
      <w:r w:rsidRPr="00D31BA5">
        <w:rPr>
          <w:rStyle w:val="normaltextrun"/>
          <w:rFonts w:ascii="Arial" w:eastAsia="Arial" w:hAnsi="Arial" w:cs="Arial"/>
          <w:color w:val="000000"/>
          <w:sz w:val="18"/>
          <w:szCs w:val="18"/>
        </w:rPr>
        <w:t xml:space="preserve"> species, the development of </w:t>
      </w:r>
      <w:r w:rsidRPr="00D31BA5">
        <w:rPr>
          <w:rStyle w:val="normaltextrun"/>
          <w:rFonts w:ascii="Arial" w:eastAsia="Arial" w:hAnsi="Arial" w:cs="Arial"/>
          <w:i/>
          <w:iCs/>
          <w:color w:val="000000"/>
          <w:sz w:val="18"/>
          <w:szCs w:val="18"/>
        </w:rPr>
        <w:t>biosecurity plans</w:t>
      </w:r>
      <w:r w:rsidRPr="00D31BA5">
        <w:rPr>
          <w:rStyle w:val="normaltextrun"/>
          <w:rFonts w:ascii="Arial" w:eastAsia="Arial" w:hAnsi="Arial" w:cs="Arial"/>
          <w:color w:val="000000"/>
          <w:sz w:val="18"/>
          <w:szCs w:val="18"/>
        </w:rPr>
        <w:t xml:space="preserve"> for </w:t>
      </w:r>
      <w:r w:rsidRPr="00D31BA5">
        <w:rPr>
          <w:rStyle w:val="normaltextrun"/>
          <w:rFonts w:ascii="Arial" w:eastAsia="Arial" w:hAnsi="Arial" w:cs="Arial"/>
          <w:i/>
          <w:iCs/>
          <w:color w:val="000000"/>
          <w:sz w:val="18"/>
          <w:szCs w:val="18"/>
        </w:rPr>
        <w:t>aquaculture establishments</w:t>
      </w:r>
      <w:r w:rsidRPr="00D31BA5">
        <w:rPr>
          <w:rStyle w:val="normaltextrun"/>
          <w:rFonts w:ascii="Arial" w:eastAsia="SimSun" w:hAnsi="Arial" w:cs="Arial"/>
          <w:color w:val="000000"/>
          <w:sz w:val="18"/>
          <w:szCs w:val="18"/>
          <w:lang w:eastAsia="zh-CN"/>
        </w:rPr>
        <w:t xml:space="preserve"> </w:t>
      </w:r>
      <w:r w:rsidRPr="00D31BA5">
        <w:rPr>
          <w:rStyle w:val="normaltextrun"/>
          <w:rFonts w:ascii="Arial" w:eastAsia="Arial" w:hAnsi="Arial" w:cs="Arial"/>
          <w:color w:val="000000"/>
          <w:sz w:val="18"/>
          <w:szCs w:val="18"/>
        </w:rPr>
        <w:t xml:space="preserve">requires the assessment of </w:t>
      </w:r>
      <w:r w:rsidRPr="00D31BA5">
        <w:rPr>
          <w:rStyle w:val="normaltextrun"/>
          <w:rFonts w:ascii="Arial" w:eastAsia="Arial" w:hAnsi="Arial" w:cs="Arial"/>
          <w:i/>
          <w:iCs/>
          <w:color w:val="000000"/>
          <w:sz w:val="18"/>
          <w:szCs w:val="18"/>
        </w:rPr>
        <w:t>disease</w:t>
      </w:r>
      <w:r w:rsidRPr="00D31BA5">
        <w:rPr>
          <w:rStyle w:val="normaltextrun"/>
          <w:rFonts w:ascii="Arial" w:eastAsia="SimSun" w:hAnsi="Arial" w:cs="Arial"/>
          <w:i/>
          <w:iCs/>
          <w:color w:val="000000"/>
          <w:sz w:val="18"/>
          <w:szCs w:val="18"/>
          <w:lang w:eastAsia="zh-CN"/>
        </w:rPr>
        <w:t xml:space="preserve"> </w:t>
      </w:r>
      <w:r w:rsidRPr="00D31BA5">
        <w:rPr>
          <w:rStyle w:val="normaltextrun"/>
          <w:rFonts w:ascii="Arial" w:eastAsia="Arial" w:hAnsi="Arial" w:cs="Arial"/>
          <w:i/>
          <w:iCs/>
          <w:color w:val="000000"/>
          <w:sz w:val="18"/>
          <w:szCs w:val="18"/>
        </w:rPr>
        <w:t>risks</w:t>
      </w:r>
      <w:r w:rsidRPr="00D31BA5">
        <w:rPr>
          <w:rStyle w:val="normaltextrun"/>
          <w:rFonts w:ascii="Arial" w:eastAsia="Arial" w:hAnsi="Arial" w:cs="Arial"/>
          <w:color w:val="000000"/>
          <w:sz w:val="18"/>
          <w:szCs w:val="18"/>
        </w:rPr>
        <w:t xml:space="preserve"> posed by specific </w:t>
      </w:r>
      <w:r w:rsidRPr="00D31BA5">
        <w:rPr>
          <w:rStyle w:val="normaltextrun"/>
          <w:rFonts w:ascii="Arial" w:eastAsia="Arial" w:hAnsi="Arial" w:cs="Arial"/>
          <w:i/>
          <w:iCs/>
          <w:color w:val="000000"/>
          <w:sz w:val="18"/>
          <w:szCs w:val="18"/>
        </w:rPr>
        <w:t>pathogenic agents</w:t>
      </w:r>
      <w:r w:rsidRPr="00D31BA5">
        <w:rPr>
          <w:rStyle w:val="normaltextrun"/>
          <w:rFonts w:ascii="Arial" w:eastAsia="Arial" w:hAnsi="Arial" w:cs="Arial"/>
          <w:color w:val="000000"/>
          <w:sz w:val="18"/>
          <w:szCs w:val="18"/>
        </w:rPr>
        <w:t xml:space="preserve"> and their potential transmission pathways. A </w:t>
      </w:r>
      <w:r w:rsidRPr="00D31BA5">
        <w:rPr>
          <w:rStyle w:val="normaltextrun"/>
          <w:rFonts w:ascii="Arial" w:eastAsia="Arial" w:hAnsi="Arial" w:cs="Arial"/>
          <w:i/>
          <w:iCs/>
          <w:color w:val="000000"/>
          <w:sz w:val="18"/>
          <w:szCs w:val="18"/>
        </w:rPr>
        <w:t>biosecurity plan</w:t>
      </w:r>
      <w:r w:rsidRPr="00D31BA5">
        <w:rPr>
          <w:rStyle w:val="normaltextrun"/>
          <w:rFonts w:ascii="Arial" w:eastAsia="Arial" w:hAnsi="Arial" w:cs="Arial"/>
          <w:color w:val="000000"/>
          <w:sz w:val="18"/>
          <w:szCs w:val="18"/>
        </w:rPr>
        <w:t xml:space="preserve"> describes physical and management measures to mitigate the identified risks</w:t>
      </w:r>
      <w:r w:rsidRPr="00D31BA5">
        <w:rPr>
          <w:rStyle w:val="normaltextrun"/>
          <w:rFonts w:ascii="Arial" w:eastAsia="SimSun" w:hAnsi="Arial" w:cs="Arial"/>
          <w:color w:val="000000"/>
          <w:sz w:val="18"/>
          <w:szCs w:val="18"/>
          <w:lang w:eastAsia="zh-CN"/>
        </w:rPr>
        <w:t xml:space="preserve"> </w:t>
      </w:r>
      <w:r w:rsidRPr="00D31BA5">
        <w:rPr>
          <w:rStyle w:val="normaltextrun"/>
          <w:rFonts w:ascii="Arial" w:eastAsia="Arial" w:hAnsi="Arial" w:cs="Arial"/>
          <w:color w:val="000000"/>
          <w:sz w:val="18"/>
          <w:szCs w:val="18"/>
        </w:rPr>
        <w:t xml:space="preserve">according to the circumstances of the </w:t>
      </w:r>
      <w:r w:rsidRPr="00D31BA5">
        <w:rPr>
          <w:rStyle w:val="normaltextrun"/>
          <w:rFonts w:ascii="Arial" w:eastAsia="Arial" w:hAnsi="Arial" w:cs="Arial"/>
          <w:i/>
          <w:iCs/>
          <w:color w:val="000000"/>
          <w:sz w:val="18"/>
          <w:szCs w:val="18"/>
        </w:rPr>
        <w:t>aquaculture establishment</w:t>
      </w:r>
      <w:r w:rsidRPr="00D31BA5">
        <w:rPr>
          <w:rStyle w:val="normaltextrun"/>
          <w:rFonts w:ascii="Arial" w:eastAsia="Arial" w:hAnsi="Arial" w:cs="Arial"/>
          <w:color w:val="000000"/>
          <w:sz w:val="18"/>
          <w:szCs w:val="18"/>
        </w:rPr>
        <w:t>.</w:t>
      </w:r>
      <w:r w:rsidRPr="00D31BA5">
        <w:rPr>
          <w:rStyle w:val="normaltextrun"/>
          <w:rFonts w:ascii="Arial" w:eastAsia="SimSun" w:hAnsi="Arial" w:cs="Arial"/>
          <w:color w:val="000000"/>
          <w:sz w:val="18"/>
          <w:szCs w:val="18"/>
          <w:lang w:eastAsia="zh-CN"/>
        </w:rPr>
        <w:t xml:space="preserve"> </w:t>
      </w:r>
      <w:r w:rsidRPr="00D31BA5">
        <w:rPr>
          <w:rStyle w:val="normaltextrun"/>
          <w:rFonts w:ascii="Arial" w:eastAsia="Arial" w:hAnsi="Arial" w:cs="Arial"/>
          <w:i/>
          <w:iCs/>
          <w:color w:val="000000"/>
          <w:sz w:val="18"/>
          <w:szCs w:val="18"/>
          <w:u w:val="double"/>
        </w:rPr>
        <w:t>Aquaculture establishment</w:t>
      </w:r>
      <w:r w:rsidRPr="00D31BA5">
        <w:rPr>
          <w:rStyle w:val="normaltextrun"/>
          <w:rFonts w:ascii="Arial" w:eastAsia="Arial" w:hAnsi="Arial" w:cs="Arial"/>
          <w:color w:val="000000"/>
          <w:sz w:val="18"/>
          <w:szCs w:val="18"/>
          <w:u w:val="double"/>
        </w:rPr>
        <w:t xml:space="preserve"> s</w:t>
      </w:r>
      <w:r w:rsidRPr="00D31BA5">
        <w:rPr>
          <w:rStyle w:val="normaltextrun"/>
          <w:rFonts w:ascii="Arial" w:eastAsia="Arial" w:hAnsi="Arial" w:cs="Arial"/>
          <w:strike/>
          <w:color w:val="000000"/>
          <w:sz w:val="18"/>
          <w:szCs w:val="18"/>
        </w:rPr>
        <w:t>S</w:t>
      </w:r>
      <w:r w:rsidRPr="00D31BA5">
        <w:rPr>
          <w:rStyle w:val="normaltextrun"/>
          <w:rFonts w:ascii="Arial" w:eastAsia="Arial" w:hAnsi="Arial" w:cs="Arial"/>
          <w:color w:val="000000"/>
          <w:sz w:val="18"/>
          <w:szCs w:val="18"/>
        </w:rPr>
        <w:t xml:space="preserve">taff, </w:t>
      </w:r>
      <w:r w:rsidRPr="00D31BA5">
        <w:rPr>
          <w:rStyle w:val="normaltextrun"/>
          <w:rFonts w:ascii="Arial" w:eastAsia="Arial" w:hAnsi="Arial" w:cs="Arial"/>
          <w:strike/>
          <w:color w:val="000000"/>
          <w:sz w:val="18"/>
          <w:szCs w:val="18"/>
        </w:rPr>
        <w:t>and</w:t>
      </w:r>
      <w:r w:rsidRPr="00D31BA5">
        <w:rPr>
          <w:rStyle w:val="normaltextrun"/>
          <w:rFonts w:ascii="Arial" w:eastAsia="Arial" w:hAnsi="Arial" w:cs="Arial"/>
          <w:color w:val="000000"/>
          <w:sz w:val="18"/>
          <w:szCs w:val="18"/>
        </w:rPr>
        <w:t xml:space="preserve"> service providers </w:t>
      </w:r>
      <w:r w:rsidRPr="00D31BA5">
        <w:rPr>
          <w:rStyle w:val="normaltextrun"/>
          <w:rFonts w:ascii="Arial" w:eastAsia="Arial" w:hAnsi="Arial" w:cs="Arial"/>
          <w:color w:val="000000"/>
          <w:sz w:val="18"/>
          <w:szCs w:val="18"/>
          <w:u w:val="double"/>
        </w:rPr>
        <w:t xml:space="preserve">and </w:t>
      </w:r>
      <w:r w:rsidRPr="00D31BA5">
        <w:rPr>
          <w:rStyle w:val="normaltextrun"/>
          <w:rFonts w:ascii="Arial" w:eastAsia="Arial" w:hAnsi="Arial" w:cs="Arial"/>
          <w:i/>
          <w:iCs/>
          <w:color w:val="000000"/>
          <w:sz w:val="18"/>
          <w:szCs w:val="18"/>
          <w:u w:val="double"/>
        </w:rPr>
        <w:t>aquatic animal health professionals</w:t>
      </w:r>
      <w:r w:rsidRPr="00D31BA5">
        <w:rPr>
          <w:rStyle w:val="normaltextrun"/>
          <w:rFonts w:ascii="Arial" w:eastAsia="Arial" w:hAnsi="Arial" w:cs="Arial"/>
          <w:color w:val="000000"/>
          <w:sz w:val="18"/>
          <w:szCs w:val="18"/>
          <w:u w:val="double"/>
        </w:rPr>
        <w:t xml:space="preserve"> or </w:t>
      </w:r>
      <w:r w:rsidRPr="00D31BA5">
        <w:rPr>
          <w:rStyle w:val="normaltextrun"/>
          <w:rFonts w:ascii="Arial" w:eastAsia="Arial" w:hAnsi="Arial" w:cs="Arial"/>
          <w:i/>
          <w:iCs/>
          <w:color w:val="000000"/>
          <w:sz w:val="18"/>
          <w:szCs w:val="18"/>
          <w:u w:val="double"/>
        </w:rPr>
        <w:t>veterinarians</w:t>
      </w:r>
      <w:r w:rsidRPr="00D31BA5">
        <w:rPr>
          <w:rStyle w:val="normaltextrun"/>
          <w:rFonts w:ascii="Arial" w:eastAsia="Arial" w:hAnsi="Arial" w:cs="Arial"/>
          <w:color w:val="000000"/>
          <w:sz w:val="18"/>
          <w:szCs w:val="18"/>
        </w:rPr>
        <w:t xml:space="preserve"> should be engaged in develop</w:t>
      </w:r>
      <w:r w:rsidRPr="00D31BA5">
        <w:rPr>
          <w:rStyle w:val="normaltextrun"/>
          <w:rFonts w:ascii="Arial" w:eastAsia="SimSun" w:hAnsi="Arial" w:cs="Arial"/>
          <w:color w:val="000000"/>
          <w:sz w:val="18"/>
          <w:szCs w:val="18"/>
          <w:lang w:eastAsia="zh-CN"/>
        </w:rPr>
        <w:t>ing</w:t>
      </w:r>
      <w:r w:rsidRPr="00D31BA5">
        <w:rPr>
          <w:rStyle w:val="normaltextrun"/>
          <w:rFonts w:ascii="Arial" w:eastAsia="Arial" w:hAnsi="Arial" w:cs="Arial"/>
          <w:color w:val="000000"/>
          <w:sz w:val="18"/>
          <w:szCs w:val="18"/>
        </w:rPr>
        <w:t xml:space="preserve"> and implement</w:t>
      </w:r>
      <w:r w:rsidRPr="00D31BA5">
        <w:rPr>
          <w:rStyle w:val="normaltextrun"/>
          <w:rFonts w:ascii="Arial" w:eastAsia="SimSun" w:hAnsi="Arial" w:cs="Arial"/>
          <w:color w:val="000000"/>
          <w:sz w:val="18"/>
          <w:szCs w:val="18"/>
          <w:lang w:eastAsia="zh-CN"/>
        </w:rPr>
        <w:t>ing</w:t>
      </w:r>
      <w:r w:rsidRPr="00D31BA5">
        <w:rPr>
          <w:rStyle w:val="normaltextrun"/>
          <w:rFonts w:ascii="Arial" w:eastAsia="Arial" w:hAnsi="Arial" w:cs="Arial"/>
          <w:color w:val="000000"/>
          <w:sz w:val="18"/>
          <w:szCs w:val="18"/>
        </w:rPr>
        <w:t xml:space="preserve"> the </w:t>
      </w:r>
      <w:r w:rsidRPr="00D31BA5">
        <w:rPr>
          <w:rStyle w:val="normaltextrun"/>
          <w:rFonts w:ascii="Arial" w:eastAsia="Arial" w:hAnsi="Arial" w:cs="Arial"/>
          <w:i/>
          <w:iCs/>
          <w:color w:val="000000"/>
          <w:sz w:val="18"/>
          <w:szCs w:val="18"/>
        </w:rPr>
        <w:t>biosecurity plan</w:t>
      </w:r>
      <w:r w:rsidRPr="00D31BA5">
        <w:rPr>
          <w:rStyle w:val="normaltextrun"/>
          <w:rFonts w:ascii="Arial" w:eastAsia="Arial" w:hAnsi="Arial" w:cs="Arial"/>
          <w:color w:val="000000"/>
          <w:sz w:val="18"/>
          <w:szCs w:val="18"/>
        </w:rPr>
        <w:t xml:space="preserve"> to ensure it is practical and effective.</w:t>
      </w:r>
    </w:p>
    <w:p w14:paraId="1D9D120B" w14:textId="77777777" w:rsidR="0094086E" w:rsidRPr="00D31BA5" w:rsidRDefault="0094086E" w:rsidP="0094086E">
      <w:pPr>
        <w:pStyle w:val="paragraph"/>
        <w:spacing w:before="0" w:beforeAutospacing="0" w:after="240" w:afterAutospacing="0"/>
        <w:jc w:val="both"/>
        <w:textAlignment w:val="baseline"/>
        <w:rPr>
          <w:rFonts w:ascii="Arial" w:hAnsi="Arial" w:cs="Arial"/>
          <w:color w:val="000000"/>
          <w:sz w:val="18"/>
          <w:szCs w:val="18"/>
        </w:rPr>
      </w:pPr>
      <w:r w:rsidRPr="00D31BA5">
        <w:rPr>
          <w:rStyle w:val="eop"/>
          <w:rFonts w:ascii="Arial" w:eastAsia="MS Mincho" w:hAnsi="Arial" w:cs="Arial"/>
          <w:color w:val="000000"/>
          <w:sz w:val="18"/>
          <w:szCs w:val="18"/>
        </w:rPr>
        <w:t xml:space="preserve">The outcome achieved through the implementation of </w:t>
      </w:r>
      <w:r w:rsidRPr="00D31BA5">
        <w:rPr>
          <w:rStyle w:val="eop"/>
          <w:rFonts w:ascii="Arial" w:eastAsia="MS Mincho" w:hAnsi="Arial" w:cs="Arial"/>
          <w:i/>
          <w:color w:val="000000"/>
          <w:sz w:val="18"/>
          <w:szCs w:val="18"/>
        </w:rPr>
        <w:t xml:space="preserve">biosecurity </w:t>
      </w:r>
      <w:r w:rsidRPr="00D31BA5">
        <w:rPr>
          <w:rStyle w:val="eop"/>
          <w:rFonts w:ascii="Arial" w:eastAsia="MS Mincho" w:hAnsi="Arial" w:cs="Arial"/>
          <w:color w:val="000000"/>
          <w:sz w:val="18"/>
          <w:szCs w:val="18"/>
        </w:rPr>
        <w:t xml:space="preserve">at </w:t>
      </w:r>
      <w:r w:rsidRPr="00D31BA5">
        <w:rPr>
          <w:rStyle w:val="eop"/>
          <w:rFonts w:ascii="Arial" w:eastAsia="MS Mincho" w:hAnsi="Arial" w:cs="Arial"/>
          <w:i/>
          <w:color w:val="000000"/>
          <w:sz w:val="18"/>
          <w:szCs w:val="18"/>
        </w:rPr>
        <w:t xml:space="preserve">aquaculture establishments </w:t>
      </w:r>
      <w:r w:rsidRPr="00D31BA5">
        <w:rPr>
          <w:rFonts w:ascii="Arial" w:hAnsi="Arial" w:cs="Arial"/>
          <w:color w:val="000000"/>
          <w:sz w:val="18"/>
          <w:szCs w:val="18"/>
        </w:rPr>
        <w:t xml:space="preserve">is improved health </w:t>
      </w:r>
      <w:r w:rsidRPr="00D31BA5">
        <w:rPr>
          <w:rFonts w:ascii="Arial" w:hAnsi="Arial" w:cs="Arial"/>
          <w:sz w:val="18"/>
          <w:szCs w:val="18"/>
          <w:u w:val="double"/>
        </w:rPr>
        <w:t>and welfare</w:t>
      </w:r>
      <w:r w:rsidRPr="00D31BA5">
        <w:rPr>
          <w:rFonts w:ascii="Arial" w:hAnsi="Arial" w:cs="Arial"/>
          <w:color w:val="000000"/>
          <w:sz w:val="18"/>
          <w:szCs w:val="18"/>
        </w:rPr>
        <w:t xml:space="preserve"> </w:t>
      </w:r>
      <w:r w:rsidRPr="00D31BA5">
        <w:rPr>
          <w:rFonts w:ascii="Arial" w:hAnsi="Arial" w:cs="Arial"/>
          <w:strike/>
          <w:color w:val="000000"/>
          <w:sz w:val="18"/>
          <w:szCs w:val="18"/>
        </w:rPr>
        <w:t>status</w:t>
      </w:r>
      <w:r w:rsidRPr="00D31BA5">
        <w:rPr>
          <w:rFonts w:ascii="Arial" w:hAnsi="Arial" w:cs="Arial"/>
          <w:color w:val="000000"/>
          <w:sz w:val="18"/>
          <w:szCs w:val="18"/>
        </w:rPr>
        <w:t xml:space="preserve"> of </w:t>
      </w:r>
      <w:r w:rsidRPr="00D31BA5">
        <w:rPr>
          <w:rFonts w:ascii="Arial" w:hAnsi="Arial" w:cs="Arial"/>
          <w:i/>
          <w:color w:val="000000"/>
          <w:sz w:val="18"/>
          <w:szCs w:val="18"/>
        </w:rPr>
        <w:t>aquatic animals</w:t>
      </w:r>
      <w:r w:rsidRPr="00D31BA5">
        <w:rPr>
          <w:rFonts w:ascii="Arial" w:hAnsi="Arial" w:cs="Arial"/>
          <w:color w:val="000000"/>
          <w:sz w:val="18"/>
          <w:szCs w:val="18"/>
        </w:rPr>
        <w:t xml:space="preserve"> throughout the production cycle. The benefits </w:t>
      </w:r>
      <w:r w:rsidRPr="00D31BA5">
        <w:rPr>
          <w:rFonts w:ascii="Arial" w:hAnsi="Arial" w:cs="Arial"/>
          <w:color w:val="000000"/>
          <w:sz w:val="18"/>
          <w:szCs w:val="18"/>
          <w:highlight w:val="yellow"/>
          <w:u w:val="double"/>
        </w:rPr>
        <w:t>may</w:t>
      </w:r>
      <w:r w:rsidRPr="00D31BA5">
        <w:rPr>
          <w:rFonts w:ascii="Arial" w:hAnsi="Arial" w:cs="Arial"/>
          <w:color w:val="000000"/>
          <w:sz w:val="18"/>
          <w:szCs w:val="18"/>
        </w:rPr>
        <w:t xml:space="preserve"> include </w:t>
      </w:r>
      <w:r w:rsidRPr="00D31BA5">
        <w:rPr>
          <w:rFonts w:ascii="Arial" w:hAnsi="Arial" w:cs="Arial"/>
          <w:color w:val="000000"/>
          <w:sz w:val="18"/>
          <w:szCs w:val="18"/>
          <w:u w:val="double"/>
        </w:rPr>
        <w:t>improved</w:t>
      </w:r>
      <w:r w:rsidRPr="00D31BA5">
        <w:rPr>
          <w:rFonts w:ascii="Arial" w:hAnsi="Arial" w:cs="Arial"/>
          <w:color w:val="000000"/>
          <w:sz w:val="18"/>
          <w:szCs w:val="18"/>
        </w:rPr>
        <w:t xml:space="preserve"> market access and increased productivity, directly through improved survival, growth rates and </w:t>
      </w:r>
      <w:r w:rsidRPr="00D31BA5">
        <w:rPr>
          <w:rFonts w:ascii="Arial" w:hAnsi="Arial" w:cs="Arial"/>
          <w:i/>
          <w:color w:val="000000"/>
          <w:sz w:val="18"/>
          <w:szCs w:val="18"/>
        </w:rPr>
        <w:t>feed</w:t>
      </w:r>
      <w:r w:rsidRPr="00D31BA5">
        <w:rPr>
          <w:rFonts w:ascii="Arial" w:hAnsi="Arial" w:cs="Arial"/>
          <w:color w:val="000000"/>
          <w:sz w:val="18"/>
          <w:szCs w:val="18"/>
        </w:rPr>
        <w:t xml:space="preserve"> conversion and indirectly through </w:t>
      </w:r>
      <w:r w:rsidRPr="00D31BA5">
        <w:rPr>
          <w:rFonts w:ascii="Arial" w:hAnsi="Arial" w:cs="Arial"/>
          <w:strike/>
          <w:color w:val="000000"/>
          <w:sz w:val="18"/>
          <w:szCs w:val="18"/>
        </w:rPr>
        <w:t>the</w:t>
      </w:r>
      <w:r w:rsidRPr="00D31BA5">
        <w:rPr>
          <w:rFonts w:ascii="Arial" w:hAnsi="Arial" w:cs="Arial"/>
          <w:color w:val="000000"/>
          <w:sz w:val="18"/>
          <w:szCs w:val="18"/>
        </w:rPr>
        <w:t xml:space="preserve"> </w:t>
      </w:r>
      <w:r w:rsidRPr="00D31BA5">
        <w:rPr>
          <w:rFonts w:ascii="Arial" w:hAnsi="Arial" w:cs="Arial"/>
          <w:color w:val="000000"/>
          <w:sz w:val="18"/>
          <w:szCs w:val="18"/>
          <w:u w:val="double"/>
        </w:rPr>
        <w:t>a</w:t>
      </w:r>
      <w:r w:rsidRPr="00D31BA5">
        <w:rPr>
          <w:rFonts w:ascii="Arial" w:hAnsi="Arial" w:cs="Arial"/>
          <w:color w:val="000000"/>
          <w:sz w:val="18"/>
          <w:szCs w:val="18"/>
        </w:rPr>
        <w:t xml:space="preserve"> reduction </w:t>
      </w:r>
      <w:r w:rsidRPr="00D31BA5">
        <w:rPr>
          <w:rFonts w:ascii="Arial" w:hAnsi="Arial" w:cs="Arial"/>
          <w:color w:val="000000"/>
          <w:sz w:val="18"/>
          <w:szCs w:val="18"/>
          <w:u w:val="double"/>
        </w:rPr>
        <w:t xml:space="preserve">in the use </w:t>
      </w:r>
      <w:r w:rsidRPr="00D31BA5">
        <w:rPr>
          <w:rFonts w:ascii="Arial" w:hAnsi="Arial" w:cs="Arial"/>
          <w:strike/>
          <w:color w:val="000000"/>
          <w:sz w:val="18"/>
          <w:szCs w:val="18"/>
        </w:rPr>
        <w:t>in treatments</w:t>
      </w:r>
      <w:r w:rsidRPr="00D31BA5">
        <w:rPr>
          <w:rFonts w:ascii="Arial" w:hAnsi="Arial" w:cs="Arial"/>
          <w:color w:val="000000"/>
          <w:sz w:val="18"/>
          <w:szCs w:val="18"/>
        </w:rPr>
        <w:t xml:space="preserve"> </w:t>
      </w:r>
      <w:r w:rsidRPr="00D31BA5">
        <w:rPr>
          <w:rFonts w:ascii="Arial" w:hAnsi="Arial" w:cs="Arial"/>
          <w:sz w:val="18"/>
          <w:szCs w:val="18"/>
          <w:u w:val="double"/>
        </w:rPr>
        <w:t>of veterinary medicinal products</w:t>
      </w:r>
      <w:r w:rsidRPr="00D31BA5">
        <w:rPr>
          <w:rFonts w:ascii="Arial" w:hAnsi="Arial" w:cs="Arial"/>
          <w:color w:val="000000"/>
          <w:sz w:val="18"/>
          <w:szCs w:val="18"/>
          <w:u w:val="double"/>
        </w:rPr>
        <w:t xml:space="preserve"> (including </w:t>
      </w:r>
      <w:r w:rsidRPr="00D31BA5">
        <w:rPr>
          <w:rFonts w:ascii="Arial" w:hAnsi="Arial" w:cs="Arial"/>
          <w:i/>
          <w:sz w:val="18"/>
          <w:szCs w:val="18"/>
          <w:u w:val="double"/>
        </w:rPr>
        <w:t>antimicrobial agents</w:t>
      </w:r>
      <w:r w:rsidRPr="00D31BA5">
        <w:rPr>
          <w:rFonts w:ascii="Arial" w:hAnsi="Arial" w:cs="Arial"/>
          <w:sz w:val="18"/>
          <w:szCs w:val="18"/>
          <w:u w:val="double"/>
        </w:rPr>
        <w:t xml:space="preserve">) </w:t>
      </w:r>
      <w:r w:rsidRPr="00D31BA5">
        <w:rPr>
          <w:rFonts w:ascii="Arial" w:hAnsi="Arial" w:cs="Arial"/>
          <w:color w:val="000000"/>
          <w:sz w:val="18"/>
          <w:szCs w:val="18"/>
        </w:rPr>
        <w:t xml:space="preserve">and associated production costs. </w:t>
      </w:r>
    </w:p>
    <w:p w14:paraId="77002F25" w14:textId="203E092D" w:rsidR="00D31BA5" w:rsidRPr="00233054" w:rsidRDefault="00D31BA5" w:rsidP="00D31BA5">
      <w:pPr>
        <w:pStyle w:val="Titre4"/>
        <w:spacing w:before="0" w:after="480" w:line="240" w:lineRule="auto"/>
        <w:rPr>
          <w:rFonts w:ascii="Times New Roman" w:hAnsi="Times New Roman" w:cs="Times New Roman"/>
          <w:i w:val="0"/>
          <w:u w:val="single"/>
          <w:lang w:val="fr-FR"/>
        </w:rPr>
      </w:pPr>
      <w:r w:rsidRPr="00233054">
        <w:rPr>
          <w:rFonts w:ascii="Times New Roman" w:hAnsi="Times New Roman" w:cs="Times New Roman"/>
          <w:i w:val="0"/>
          <w:color w:val="auto"/>
          <w:u w:val="single"/>
          <w:lang w:val="fr-FR"/>
        </w:rPr>
        <w:lastRenderedPageBreak/>
        <w:t>Annex 2</w:t>
      </w:r>
      <w:r w:rsidRPr="00233054">
        <w:rPr>
          <w:rFonts w:ascii="Times New Roman" w:hAnsi="Times New Roman" w:cs="Times New Roman"/>
          <w:i w:val="0"/>
          <w:color w:val="auto"/>
          <w:lang w:val="fr-FR"/>
        </w:rPr>
        <w:t xml:space="preserve"> (contd</w:t>
      </w:r>
      <w:r w:rsidRPr="00233054">
        <w:rPr>
          <w:rFonts w:ascii="Times New Roman" w:hAnsi="Times New Roman" w:cs="Times New Roman"/>
          <w:i w:val="0"/>
          <w:color w:val="auto"/>
          <w:u w:val="single"/>
          <w:lang w:val="fr-FR"/>
        </w:rPr>
        <w:t>)</w:t>
      </w:r>
    </w:p>
    <w:p w14:paraId="38BA8181" w14:textId="77777777" w:rsidR="0094086E" w:rsidRPr="00233054" w:rsidRDefault="0094086E" w:rsidP="0094086E">
      <w:pPr>
        <w:spacing w:after="240"/>
        <w:jc w:val="center"/>
        <w:rPr>
          <w:rFonts w:ascii="Ottawa" w:hAnsi="Ottawa" w:cs="Times New Roman"/>
          <w:sz w:val="18"/>
          <w:szCs w:val="18"/>
          <w:lang w:val="fr-FR"/>
        </w:rPr>
      </w:pPr>
      <w:r w:rsidRPr="00233054">
        <w:rPr>
          <w:rFonts w:ascii="Ottawa" w:hAnsi="Ottawa" w:cs="Times New Roman"/>
          <w:sz w:val="18"/>
          <w:szCs w:val="18"/>
          <w:lang w:val="fr-FR"/>
        </w:rPr>
        <w:t>Article 4.X.4.</w:t>
      </w:r>
    </w:p>
    <w:p w14:paraId="6607051B" w14:textId="77777777" w:rsidR="0094086E" w:rsidRPr="00233054" w:rsidRDefault="0094086E" w:rsidP="0094086E">
      <w:pPr>
        <w:spacing w:after="240"/>
        <w:jc w:val="both"/>
        <w:rPr>
          <w:rFonts w:ascii="Ottawa" w:hAnsi="Ottawa" w:cs="Times New Roman"/>
          <w:b/>
          <w:sz w:val="18"/>
          <w:szCs w:val="18"/>
          <w:lang w:val="fr-FR"/>
        </w:rPr>
      </w:pPr>
      <w:r w:rsidRPr="00233054">
        <w:rPr>
          <w:rFonts w:ascii="Ottawa" w:hAnsi="Ottawa" w:cs="Times New Roman"/>
          <w:b/>
          <w:sz w:val="18"/>
          <w:szCs w:val="18"/>
          <w:lang w:val="fr-FR"/>
        </w:rPr>
        <w:t>General principles</w:t>
      </w:r>
    </w:p>
    <w:p w14:paraId="365BD572" w14:textId="7F1F1E77" w:rsidR="0094086E" w:rsidRPr="00D31BA5" w:rsidRDefault="0094086E" w:rsidP="0094086E">
      <w:pPr>
        <w:pStyle w:val="paragraph"/>
        <w:spacing w:before="0" w:beforeAutospacing="0" w:after="240" w:afterAutospacing="0"/>
        <w:jc w:val="both"/>
        <w:textAlignment w:val="baseline"/>
        <w:rPr>
          <w:rFonts w:ascii="Arial" w:hAnsi="Arial" w:cs="Arial"/>
          <w:sz w:val="18"/>
          <w:szCs w:val="18"/>
        </w:rPr>
      </w:pPr>
      <w:r w:rsidRPr="00D31BA5">
        <w:rPr>
          <w:rStyle w:val="normaltextrun"/>
          <w:rFonts w:ascii="Arial" w:eastAsia="Arial" w:hAnsi="Arial" w:cs="Arial"/>
          <w:i/>
          <w:iCs/>
          <w:color w:val="000000"/>
          <w:sz w:val="18"/>
          <w:szCs w:val="18"/>
        </w:rPr>
        <w:t>Biosecurity</w:t>
      </w:r>
      <w:r w:rsidRPr="00D31BA5">
        <w:rPr>
          <w:rStyle w:val="normaltextrun"/>
          <w:rFonts w:ascii="Arial" w:eastAsia="Arial" w:hAnsi="Arial" w:cs="Arial"/>
          <w:color w:val="000000"/>
          <w:sz w:val="18"/>
          <w:szCs w:val="18"/>
        </w:rPr>
        <w:t xml:space="preserve"> is a set of physical and management measures which, when used together, cumulatively reduce the </w:t>
      </w:r>
      <w:r w:rsidRPr="00D31BA5">
        <w:rPr>
          <w:rStyle w:val="normaltextrun"/>
          <w:rFonts w:ascii="Arial" w:eastAsia="Arial" w:hAnsi="Arial" w:cs="Arial"/>
          <w:i/>
          <w:iCs/>
          <w:color w:val="000000"/>
          <w:sz w:val="18"/>
          <w:szCs w:val="18"/>
        </w:rPr>
        <w:t>risk</w:t>
      </w:r>
      <w:r w:rsidRPr="00D31BA5">
        <w:rPr>
          <w:rStyle w:val="normaltextrun"/>
          <w:rFonts w:ascii="Arial" w:eastAsia="Arial" w:hAnsi="Arial" w:cs="Arial"/>
          <w:color w:val="000000"/>
          <w:sz w:val="18"/>
          <w:szCs w:val="18"/>
        </w:rPr>
        <w:t xml:space="preserve"> of </w:t>
      </w:r>
      <w:r w:rsidRPr="00D31BA5">
        <w:rPr>
          <w:rStyle w:val="normaltextrun"/>
          <w:rFonts w:ascii="Arial" w:eastAsia="Arial" w:hAnsi="Arial" w:cs="Arial"/>
          <w:i/>
          <w:iCs/>
          <w:color w:val="000000"/>
          <w:sz w:val="18"/>
          <w:szCs w:val="18"/>
        </w:rPr>
        <w:t>infection</w:t>
      </w:r>
      <w:r w:rsidRPr="00D31BA5">
        <w:rPr>
          <w:rStyle w:val="normaltextrun"/>
          <w:rFonts w:ascii="Arial" w:eastAsia="Arial" w:hAnsi="Arial" w:cs="Arial"/>
          <w:color w:val="000000"/>
          <w:sz w:val="18"/>
          <w:szCs w:val="18"/>
        </w:rPr>
        <w:t xml:space="preserve"> in </w:t>
      </w:r>
      <w:r w:rsidRPr="00D31BA5">
        <w:rPr>
          <w:rStyle w:val="normaltextrun"/>
          <w:rFonts w:ascii="Arial" w:eastAsia="Arial" w:hAnsi="Arial" w:cs="Arial"/>
          <w:i/>
          <w:iCs/>
          <w:color w:val="000000"/>
          <w:sz w:val="18"/>
          <w:szCs w:val="18"/>
        </w:rPr>
        <w:t>aquatic animal</w:t>
      </w:r>
      <w:r w:rsidRPr="00D31BA5">
        <w:rPr>
          <w:rStyle w:val="normaltextrun"/>
          <w:rFonts w:ascii="Arial" w:eastAsia="Arial" w:hAnsi="Arial" w:cs="Arial"/>
          <w:color w:val="000000"/>
          <w:sz w:val="18"/>
          <w:szCs w:val="18"/>
        </w:rPr>
        <w:t xml:space="preserve"> populations </w:t>
      </w:r>
      <w:r w:rsidRPr="00D31BA5">
        <w:rPr>
          <w:rStyle w:val="normaltextrun"/>
          <w:rFonts w:ascii="Arial" w:eastAsia="Arial" w:hAnsi="Arial" w:cs="Arial"/>
          <w:strike/>
          <w:color w:val="000000"/>
          <w:sz w:val="18"/>
          <w:szCs w:val="18"/>
        </w:rPr>
        <w:t>at</w:t>
      </w:r>
      <w:r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color w:val="000000"/>
          <w:sz w:val="18"/>
          <w:szCs w:val="18"/>
          <w:u w:val="double"/>
        </w:rPr>
        <w:t>within</w:t>
      </w:r>
      <w:r w:rsidRPr="00D31BA5">
        <w:rPr>
          <w:rStyle w:val="normaltextrun"/>
          <w:rFonts w:ascii="Arial" w:eastAsia="Arial" w:hAnsi="Arial" w:cs="Arial"/>
          <w:color w:val="000000"/>
          <w:sz w:val="18"/>
          <w:szCs w:val="18"/>
        </w:rPr>
        <w:t xml:space="preserve"> an </w:t>
      </w:r>
      <w:r w:rsidRPr="00D31BA5">
        <w:rPr>
          <w:rStyle w:val="normaltextrun"/>
          <w:rFonts w:ascii="Arial" w:eastAsia="Arial" w:hAnsi="Arial" w:cs="Arial"/>
          <w:i/>
          <w:iCs/>
          <w:color w:val="000000"/>
          <w:sz w:val="18"/>
          <w:szCs w:val="18"/>
        </w:rPr>
        <w:t>aquaculture establishment</w:t>
      </w:r>
      <w:r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color w:val="000000"/>
          <w:sz w:val="18"/>
          <w:szCs w:val="18"/>
          <w:highlight w:val="yellow"/>
          <w:u w:val="double"/>
        </w:rPr>
        <w:t>Planning and i</w:t>
      </w:r>
      <w:r w:rsidRPr="00D31BA5">
        <w:rPr>
          <w:rStyle w:val="normaltextrun"/>
          <w:rFonts w:ascii="Arial" w:eastAsia="Arial" w:hAnsi="Arial" w:cs="Arial"/>
          <w:color w:val="000000"/>
          <w:sz w:val="18"/>
          <w:szCs w:val="18"/>
        </w:rPr>
        <w:t xml:space="preserve">mplementation of </w:t>
      </w:r>
      <w:r w:rsidRPr="00D31BA5">
        <w:rPr>
          <w:rStyle w:val="normaltextrun"/>
          <w:rFonts w:ascii="Arial" w:eastAsia="Arial" w:hAnsi="Arial" w:cs="Arial"/>
          <w:i/>
          <w:iCs/>
          <w:color w:val="000000"/>
          <w:sz w:val="18"/>
          <w:szCs w:val="18"/>
        </w:rPr>
        <w:t>biosecurity</w:t>
      </w:r>
      <w:r w:rsidRPr="00D31BA5">
        <w:rPr>
          <w:rStyle w:val="normaltextrun"/>
          <w:rFonts w:ascii="Arial" w:eastAsia="Arial" w:hAnsi="Arial" w:cs="Arial"/>
          <w:color w:val="000000"/>
          <w:sz w:val="18"/>
          <w:szCs w:val="18"/>
        </w:rPr>
        <w:t xml:space="preserve"> within an </w:t>
      </w:r>
      <w:r w:rsidRPr="00D31BA5">
        <w:rPr>
          <w:rStyle w:val="normaltextrun"/>
          <w:rFonts w:ascii="Arial" w:eastAsia="Arial" w:hAnsi="Arial" w:cs="Arial"/>
          <w:i/>
          <w:iCs/>
          <w:color w:val="000000"/>
          <w:sz w:val="18"/>
          <w:szCs w:val="18"/>
        </w:rPr>
        <w:t>aquaculture establishment</w:t>
      </w:r>
      <w:r w:rsidRPr="00D31BA5">
        <w:rPr>
          <w:rStyle w:val="normaltextrun"/>
          <w:rFonts w:ascii="Arial" w:eastAsia="Arial" w:hAnsi="Arial" w:cs="Arial"/>
          <w:color w:val="000000"/>
          <w:sz w:val="18"/>
          <w:szCs w:val="18"/>
        </w:rPr>
        <w:t xml:space="preserve"> requires </w:t>
      </w:r>
      <w:r w:rsidRPr="00685B5C">
        <w:rPr>
          <w:rStyle w:val="normaltextrun"/>
          <w:rFonts w:ascii="Arial" w:eastAsia="Arial" w:hAnsi="Arial" w:cs="Arial"/>
          <w:strike/>
          <w:color w:val="000000"/>
          <w:sz w:val="18"/>
          <w:szCs w:val="18"/>
          <w:highlight w:val="yellow"/>
        </w:rPr>
        <w:t>planning to</w:t>
      </w:r>
      <w:r w:rsidRPr="00D31BA5">
        <w:rPr>
          <w:rStyle w:val="normaltextrun"/>
          <w:rFonts w:ascii="Arial" w:eastAsia="Arial" w:hAnsi="Arial" w:cs="Arial"/>
          <w:color w:val="000000"/>
          <w:sz w:val="18"/>
          <w:szCs w:val="18"/>
        </w:rPr>
        <w:t xml:space="preserve"> identify</w:t>
      </w:r>
      <w:r w:rsidRPr="00D31BA5">
        <w:rPr>
          <w:rStyle w:val="normaltextrun"/>
          <w:rFonts w:ascii="Arial" w:eastAsia="Arial" w:hAnsi="Arial" w:cs="Arial"/>
          <w:color w:val="000000"/>
          <w:sz w:val="18"/>
          <w:szCs w:val="18"/>
          <w:highlight w:val="yellow"/>
          <w:u w:val="double"/>
        </w:rPr>
        <w:t>ing</w:t>
      </w:r>
      <w:r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i/>
          <w:iCs/>
          <w:color w:val="000000"/>
          <w:sz w:val="18"/>
          <w:szCs w:val="18"/>
        </w:rPr>
        <w:t>risks</w:t>
      </w:r>
      <w:r w:rsidRPr="00D31BA5">
        <w:rPr>
          <w:rStyle w:val="normaltextrun"/>
          <w:rFonts w:ascii="Arial" w:eastAsia="Arial" w:hAnsi="Arial" w:cs="Arial"/>
          <w:color w:val="000000"/>
          <w:sz w:val="18"/>
          <w:szCs w:val="18"/>
        </w:rPr>
        <w:t xml:space="preserve"> and </w:t>
      </w:r>
      <w:r w:rsidRPr="00D31BA5">
        <w:rPr>
          <w:rStyle w:val="normaltextrun"/>
          <w:rFonts w:ascii="Arial" w:eastAsia="Arial" w:hAnsi="Arial" w:cs="Arial"/>
          <w:strike/>
          <w:color w:val="000000"/>
          <w:sz w:val="18"/>
          <w:szCs w:val="18"/>
        </w:rPr>
        <w:t>consider</w:t>
      </w:r>
      <w:r w:rsidRPr="00D31BA5">
        <w:rPr>
          <w:rStyle w:val="normaltextrun"/>
          <w:rFonts w:ascii="Arial" w:eastAsia="Arial" w:hAnsi="Arial" w:cs="Arial"/>
          <w:color w:val="000000"/>
          <w:sz w:val="18"/>
          <w:szCs w:val="18"/>
        </w:rPr>
        <w:t xml:space="preserve"> </w:t>
      </w:r>
      <w:r w:rsidRPr="00685B5C">
        <w:rPr>
          <w:rStyle w:val="normaltextrun"/>
          <w:rFonts w:ascii="Arial" w:eastAsia="Arial" w:hAnsi="Arial" w:cs="Arial"/>
          <w:strike/>
          <w:color w:val="000000"/>
          <w:sz w:val="18"/>
          <w:szCs w:val="18"/>
          <w:highlight w:val="yellow"/>
        </w:rPr>
        <w:t>cost effective</w:t>
      </w:r>
      <w:r w:rsidR="002B6ED5" w:rsidRPr="00D31BA5">
        <w:rPr>
          <w:rStyle w:val="normaltextrun"/>
          <w:rFonts w:ascii="Arial" w:eastAsia="Arial" w:hAnsi="Arial" w:cs="Arial"/>
          <w:color w:val="000000"/>
          <w:sz w:val="18"/>
          <w:szCs w:val="18"/>
        </w:rPr>
        <w:t xml:space="preserve"> </w:t>
      </w:r>
      <w:r w:rsidR="002B6ED5" w:rsidRPr="00D31BA5">
        <w:rPr>
          <w:rStyle w:val="normaltextrun"/>
          <w:rFonts w:ascii="Arial" w:eastAsia="Arial" w:hAnsi="Arial" w:cs="Arial"/>
          <w:color w:val="000000"/>
          <w:sz w:val="18"/>
          <w:szCs w:val="18"/>
          <w:highlight w:val="yellow"/>
          <w:u w:val="double"/>
        </w:rPr>
        <w:t>cost-effective</w:t>
      </w:r>
      <w:r w:rsidRPr="00D31BA5">
        <w:rPr>
          <w:rStyle w:val="normaltextrun"/>
          <w:rFonts w:ascii="Arial" w:eastAsia="Arial" w:hAnsi="Arial" w:cs="Arial"/>
          <w:color w:val="000000"/>
          <w:sz w:val="18"/>
          <w:szCs w:val="18"/>
        </w:rPr>
        <w:t xml:space="preserve"> measures to achieve the identified </w:t>
      </w:r>
      <w:r w:rsidRPr="00D31BA5">
        <w:rPr>
          <w:rStyle w:val="normaltextrun"/>
          <w:rFonts w:ascii="Arial" w:eastAsia="Arial" w:hAnsi="Arial" w:cs="Arial"/>
          <w:i/>
          <w:iCs/>
          <w:color w:val="000000"/>
          <w:sz w:val="18"/>
          <w:szCs w:val="18"/>
        </w:rPr>
        <w:t>biosecurity</w:t>
      </w:r>
      <w:r w:rsidRPr="00D31BA5">
        <w:rPr>
          <w:rStyle w:val="normaltextrun"/>
          <w:rFonts w:ascii="Arial" w:eastAsia="Arial" w:hAnsi="Arial" w:cs="Arial"/>
          <w:color w:val="000000"/>
          <w:sz w:val="18"/>
          <w:szCs w:val="18"/>
        </w:rPr>
        <w:t xml:space="preserve"> objectives of the plan. The measures required will vary </w:t>
      </w:r>
      <w:r w:rsidRPr="00D31BA5">
        <w:rPr>
          <w:rStyle w:val="normaltextrun"/>
          <w:rFonts w:ascii="Arial" w:eastAsia="Arial" w:hAnsi="Arial" w:cs="Arial"/>
          <w:color w:val="000000"/>
          <w:sz w:val="18"/>
          <w:szCs w:val="18"/>
          <w:u w:val="double"/>
        </w:rPr>
        <w:t>among</w:t>
      </w:r>
      <w:r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strike/>
          <w:color w:val="000000"/>
          <w:sz w:val="18"/>
          <w:szCs w:val="18"/>
        </w:rPr>
        <w:t>between</w:t>
      </w:r>
      <w:r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i/>
          <w:iCs/>
          <w:color w:val="000000"/>
          <w:sz w:val="18"/>
          <w:szCs w:val="18"/>
        </w:rPr>
        <w:t>aquaculture establishments</w:t>
      </w:r>
      <w:r w:rsidRPr="00D31BA5">
        <w:rPr>
          <w:rStyle w:val="normaltextrun"/>
          <w:rFonts w:ascii="Arial" w:eastAsia="Arial" w:hAnsi="Arial" w:cs="Arial"/>
          <w:color w:val="000000"/>
          <w:sz w:val="18"/>
          <w:szCs w:val="18"/>
        </w:rPr>
        <w:t xml:space="preserve">, depending on factors such as </w:t>
      </w:r>
      <w:r w:rsidRPr="00D31BA5">
        <w:rPr>
          <w:rStyle w:val="normaltextrun"/>
          <w:rFonts w:ascii="Arial" w:eastAsia="Arial" w:hAnsi="Arial" w:cs="Arial"/>
          <w:strike/>
          <w:color w:val="000000"/>
          <w:sz w:val="18"/>
          <w:szCs w:val="18"/>
        </w:rPr>
        <w:t>risk</w:t>
      </w:r>
      <w:r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color w:val="000000"/>
          <w:sz w:val="18"/>
          <w:szCs w:val="18"/>
          <w:u w:val="double"/>
        </w:rPr>
        <w:t>likelihood</w:t>
      </w:r>
      <w:r w:rsidRPr="00D31BA5">
        <w:rPr>
          <w:rStyle w:val="normaltextrun"/>
          <w:rFonts w:ascii="Arial" w:eastAsia="Arial" w:hAnsi="Arial" w:cs="Arial"/>
          <w:color w:val="000000"/>
          <w:sz w:val="18"/>
          <w:szCs w:val="18"/>
        </w:rPr>
        <w:t xml:space="preserve"> of exposure to </w:t>
      </w:r>
      <w:r w:rsidRPr="00D31BA5">
        <w:rPr>
          <w:rStyle w:val="normaltextrun"/>
          <w:rFonts w:ascii="Arial" w:eastAsia="Arial" w:hAnsi="Arial" w:cs="Arial"/>
          <w:i/>
          <w:iCs/>
          <w:color w:val="000000"/>
          <w:sz w:val="18"/>
          <w:szCs w:val="18"/>
        </w:rPr>
        <w:t>pathogenic agents</w:t>
      </w:r>
      <w:r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color w:val="000000"/>
          <w:sz w:val="18"/>
          <w:szCs w:val="18"/>
          <w:u w:val="double"/>
        </w:rPr>
        <w:t>the species of</w:t>
      </w:r>
      <w:r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i/>
          <w:iCs/>
          <w:color w:val="000000"/>
          <w:sz w:val="18"/>
          <w:szCs w:val="18"/>
        </w:rPr>
        <w:t>aquatic animal</w:t>
      </w:r>
      <w:r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color w:val="000000"/>
          <w:sz w:val="18"/>
          <w:szCs w:val="18"/>
          <w:highlight w:val="yellow"/>
          <w:u w:val="double"/>
        </w:rPr>
        <w:t>farmed</w:t>
      </w:r>
      <w:r w:rsidRPr="00D31BA5">
        <w:rPr>
          <w:rStyle w:val="normaltextrun"/>
          <w:rFonts w:ascii="Arial" w:eastAsia="Arial" w:hAnsi="Arial" w:cs="Arial"/>
          <w:strike/>
          <w:color w:val="000000"/>
          <w:sz w:val="18"/>
          <w:szCs w:val="18"/>
        </w:rPr>
        <w:t>species</w:t>
      </w:r>
      <w:r w:rsidRPr="00D31BA5">
        <w:rPr>
          <w:rStyle w:val="normaltextrun"/>
          <w:rFonts w:ascii="Arial" w:eastAsia="Arial" w:hAnsi="Arial" w:cs="Arial"/>
          <w:color w:val="000000"/>
          <w:sz w:val="18"/>
          <w:szCs w:val="18"/>
        </w:rPr>
        <w:t xml:space="preserve">, </w:t>
      </w:r>
      <w:r w:rsidR="00E272B6" w:rsidRPr="00D31BA5">
        <w:rPr>
          <w:rStyle w:val="normaltextrun"/>
          <w:rFonts w:ascii="Arial" w:eastAsia="Arial" w:hAnsi="Arial" w:cs="Arial"/>
          <w:color w:val="000000"/>
          <w:sz w:val="18"/>
          <w:szCs w:val="18"/>
          <w:highlight w:val="yellow"/>
          <w:u w:val="double"/>
        </w:rPr>
        <w:t>the</w:t>
      </w:r>
      <w:r w:rsidR="00E272B6"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color w:val="000000"/>
          <w:sz w:val="18"/>
          <w:szCs w:val="18"/>
        </w:rPr>
        <w:t xml:space="preserve">category of </w:t>
      </w:r>
      <w:r w:rsidRPr="00D31BA5">
        <w:rPr>
          <w:rStyle w:val="normaltextrun"/>
          <w:rFonts w:ascii="Arial" w:eastAsia="Arial" w:hAnsi="Arial" w:cs="Arial"/>
          <w:i/>
          <w:iCs/>
          <w:color w:val="000000"/>
          <w:sz w:val="18"/>
          <w:szCs w:val="18"/>
        </w:rPr>
        <w:t>aquaculture</w:t>
      </w:r>
      <w:r w:rsidRPr="00D31BA5">
        <w:rPr>
          <w:rStyle w:val="normaltextrun"/>
          <w:rFonts w:ascii="Arial" w:eastAsia="Arial" w:hAnsi="Arial" w:cs="Arial"/>
          <w:color w:val="000000"/>
          <w:sz w:val="18"/>
          <w:szCs w:val="18"/>
        </w:rPr>
        <w:t xml:space="preserve"> production system, husbandry practices and geographic</w:t>
      </w:r>
      <w:r w:rsidRPr="00D31BA5">
        <w:rPr>
          <w:rStyle w:val="normaltextrun"/>
          <w:rFonts w:ascii="Arial" w:eastAsia="Arial" w:hAnsi="Arial" w:cs="Arial"/>
          <w:color w:val="000000"/>
          <w:sz w:val="18"/>
          <w:szCs w:val="18"/>
          <w:u w:val="double"/>
        </w:rPr>
        <w:t>al</w:t>
      </w:r>
      <w:r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sz w:val="18"/>
          <w:szCs w:val="18"/>
        </w:rPr>
        <w:t xml:space="preserve">location. </w:t>
      </w:r>
      <w:r w:rsidRPr="00685B5C">
        <w:rPr>
          <w:rFonts w:ascii="Arial" w:hAnsi="Arial" w:cs="Arial"/>
          <w:strike/>
          <w:sz w:val="18"/>
          <w:szCs w:val="18"/>
          <w:highlight w:val="yellow"/>
        </w:rPr>
        <w:t>Although</w:t>
      </w:r>
      <w:r w:rsidRPr="00685B5C">
        <w:rPr>
          <w:rFonts w:ascii="Arial" w:hAnsi="Arial" w:cs="Arial"/>
          <w:sz w:val="18"/>
          <w:szCs w:val="18"/>
        </w:rPr>
        <w:t xml:space="preserve"> </w:t>
      </w:r>
      <w:r w:rsidRPr="00685B5C">
        <w:rPr>
          <w:rFonts w:ascii="Arial" w:hAnsi="Arial" w:cs="Arial"/>
          <w:strike/>
          <w:sz w:val="18"/>
          <w:szCs w:val="18"/>
          <w:highlight w:val="yellow"/>
        </w:rPr>
        <w:t>different</w:t>
      </w:r>
      <w:r w:rsidRPr="00D31BA5">
        <w:rPr>
          <w:rFonts w:ascii="Arial" w:hAnsi="Arial" w:cs="Arial"/>
          <w:sz w:val="18"/>
          <w:szCs w:val="18"/>
        </w:rPr>
        <w:t xml:space="preserve"> </w:t>
      </w:r>
      <w:r w:rsidR="002B6ED5" w:rsidRPr="00D31BA5">
        <w:rPr>
          <w:rFonts w:ascii="Arial" w:hAnsi="Arial" w:cs="Arial"/>
          <w:sz w:val="18"/>
          <w:szCs w:val="18"/>
          <w:highlight w:val="yellow"/>
          <w:u w:val="double"/>
        </w:rPr>
        <w:t>Different</w:t>
      </w:r>
      <w:r w:rsidR="002B6ED5" w:rsidRPr="00D31BA5">
        <w:rPr>
          <w:rFonts w:ascii="Arial" w:hAnsi="Arial" w:cs="Arial"/>
          <w:sz w:val="18"/>
          <w:szCs w:val="18"/>
        </w:rPr>
        <w:t xml:space="preserve"> </w:t>
      </w:r>
      <w:r w:rsidRPr="00D31BA5">
        <w:rPr>
          <w:rFonts w:ascii="Arial" w:hAnsi="Arial" w:cs="Arial"/>
          <w:sz w:val="18"/>
          <w:szCs w:val="18"/>
        </w:rPr>
        <w:t xml:space="preserve">approaches may be used to achieve an identified </w:t>
      </w:r>
      <w:r w:rsidR="00E272B6" w:rsidRPr="00D31BA5">
        <w:rPr>
          <w:rFonts w:ascii="Arial" w:hAnsi="Arial" w:cs="Arial"/>
          <w:sz w:val="18"/>
          <w:szCs w:val="18"/>
          <w:highlight w:val="yellow"/>
          <w:u w:val="double"/>
        </w:rPr>
        <w:t>biosecurity</w:t>
      </w:r>
      <w:r w:rsidR="00E272B6" w:rsidRPr="00D31BA5">
        <w:rPr>
          <w:rFonts w:ascii="Arial" w:hAnsi="Arial" w:cs="Arial"/>
          <w:sz w:val="18"/>
          <w:szCs w:val="18"/>
        </w:rPr>
        <w:t xml:space="preserve"> </w:t>
      </w:r>
      <w:r w:rsidRPr="00D31BA5">
        <w:rPr>
          <w:rFonts w:ascii="Arial" w:hAnsi="Arial" w:cs="Arial"/>
          <w:sz w:val="18"/>
          <w:szCs w:val="18"/>
        </w:rPr>
        <w:t>objective</w:t>
      </w:r>
      <w:r w:rsidRPr="00D31BA5">
        <w:rPr>
          <w:rFonts w:ascii="Arial" w:hAnsi="Arial" w:cs="Arial"/>
          <w:strike/>
          <w:sz w:val="18"/>
          <w:szCs w:val="18"/>
          <w:highlight w:val="yellow"/>
        </w:rPr>
        <w:t>,</w:t>
      </w:r>
      <w:r w:rsidR="002B6ED5" w:rsidRPr="00D31BA5">
        <w:rPr>
          <w:rFonts w:ascii="Arial" w:hAnsi="Arial" w:cs="Arial"/>
          <w:sz w:val="18"/>
          <w:szCs w:val="18"/>
          <w:highlight w:val="yellow"/>
          <w:u w:val="double"/>
        </w:rPr>
        <w:t>;</w:t>
      </w:r>
      <w:r w:rsidR="002B6ED5" w:rsidRPr="00D31BA5">
        <w:rPr>
          <w:rFonts w:ascii="Arial" w:hAnsi="Arial" w:cs="Arial"/>
          <w:sz w:val="18"/>
          <w:szCs w:val="18"/>
          <w:u w:val="double"/>
        </w:rPr>
        <w:t xml:space="preserve"> </w:t>
      </w:r>
      <w:r w:rsidR="002B6ED5" w:rsidRPr="00D31BA5">
        <w:rPr>
          <w:rFonts w:ascii="Arial" w:hAnsi="Arial" w:cs="Arial"/>
          <w:sz w:val="18"/>
          <w:szCs w:val="18"/>
          <w:highlight w:val="yellow"/>
          <w:u w:val="double"/>
        </w:rPr>
        <w:t>however,</w:t>
      </w:r>
      <w:r w:rsidRPr="00D31BA5">
        <w:rPr>
          <w:rFonts w:ascii="Arial" w:hAnsi="Arial" w:cs="Arial"/>
          <w:sz w:val="18"/>
          <w:szCs w:val="18"/>
        </w:rPr>
        <w:t xml:space="preserve"> the general principles for developing and implementing a </w:t>
      </w:r>
      <w:r w:rsidRPr="00D31BA5">
        <w:rPr>
          <w:rFonts w:ascii="Arial" w:hAnsi="Arial" w:cs="Arial"/>
          <w:i/>
          <w:sz w:val="18"/>
          <w:szCs w:val="18"/>
        </w:rPr>
        <w:t>biosecurity plan</w:t>
      </w:r>
      <w:r w:rsidRPr="00D31BA5">
        <w:rPr>
          <w:rFonts w:ascii="Arial" w:hAnsi="Arial" w:cs="Arial"/>
          <w:sz w:val="18"/>
          <w:szCs w:val="18"/>
        </w:rPr>
        <w:t xml:space="preserve"> </w:t>
      </w:r>
      <w:r w:rsidR="00FD0D28" w:rsidRPr="00D31BA5">
        <w:rPr>
          <w:rFonts w:ascii="Arial" w:hAnsi="Arial" w:cs="Arial"/>
          <w:sz w:val="18"/>
          <w:szCs w:val="18"/>
          <w:highlight w:val="yellow"/>
          <w:u w:val="double"/>
        </w:rPr>
        <w:t>are consistent and</w:t>
      </w:r>
      <w:r w:rsidR="00FD0D28" w:rsidRPr="00D31BA5">
        <w:rPr>
          <w:rFonts w:ascii="Arial" w:hAnsi="Arial" w:cs="Arial"/>
          <w:sz w:val="18"/>
          <w:szCs w:val="18"/>
        </w:rPr>
        <w:t xml:space="preserve"> </w:t>
      </w:r>
      <w:r w:rsidRPr="00D31BA5">
        <w:rPr>
          <w:rFonts w:ascii="Arial" w:hAnsi="Arial" w:cs="Arial"/>
          <w:sz w:val="18"/>
          <w:szCs w:val="18"/>
        </w:rPr>
        <w:t xml:space="preserve">are described </w:t>
      </w:r>
      <w:r w:rsidRPr="00D31BA5">
        <w:rPr>
          <w:rFonts w:ascii="Arial" w:eastAsia="SimSun" w:hAnsi="Arial" w:cs="Arial"/>
          <w:strike/>
          <w:sz w:val="18"/>
          <w:szCs w:val="18"/>
          <w:lang w:eastAsia="zh-CN"/>
        </w:rPr>
        <w:t xml:space="preserve">as </w:t>
      </w:r>
      <w:r w:rsidRPr="00D31BA5">
        <w:rPr>
          <w:rFonts w:ascii="Arial" w:hAnsi="Arial" w:cs="Arial"/>
          <w:sz w:val="18"/>
          <w:szCs w:val="18"/>
        </w:rPr>
        <w:t>below:</w:t>
      </w:r>
    </w:p>
    <w:p w14:paraId="7C183AD2" w14:textId="77777777" w:rsidR="0094086E" w:rsidRPr="00D31BA5" w:rsidRDefault="0094086E" w:rsidP="0094086E">
      <w:pPr>
        <w:spacing w:after="240"/>
        <w:ind w:left="426" w:hanging="426"/>
        <w:rPr>
          <w:rStyle w:val="normaltextrun"/>
          <w:rFonts w:ascii="Arial" w:eastAsia="Arial" w:hAnsi="Arial" w:cs="Arial"/>
          <w:sz w:val="18"/>
          <w:szCs w:val="18"/>
        </w:rPr>
      </w:pPr>
      <w:r w:rsidRPr="00D31BA5">
        <w:rPr>
          <w:rStyle w:val="normaltextrun"/>
          <w:rFonts w:ascii="Arial" w:hAnsi="Arial" w:cs="Arial"/>
          <w:strike/>
          <w:color w:val="000000"/>
          <w:sz w:val="18"/>
          <w:szCs w:val="18"/>
        </w:rPr>
        <w:t>1)</w:t>
      </w:r>
      <w:r w:rsidRPr="00D31BA5">
        <w:rPr>
          <w:rStyle w:val="normaltextrun"/>
          <w:rFonts w:ascii="Arial" w:eastAsia="Arial" w:hAnsi="Arial" w:cs="Arial"/>
          <w:color w:val="000000"/>
          <w:sz w:val="18"/>
          <w:szCs w:val="18"/>
        </w:rPr>
        <w:tab/>
      </w:r>
      <w:r w:rsidRPr="00D31BA5">
        <w:rPr>
          <w:rStyle w:val="normaltextrun"/>
          <w:rFonts w:ascii="Arial" w:eastAsia="Arial" w:hAnsi="Arial" w:cs="Arial"/>
          <w:strike/>
          <w:color w:val="000000"/>
          <w:sz w:val="18"/>
          <w:szCs w:val="18"/>
        </w:rPr>
        <w:t>Planning is necessary to document the objectives of the biosecurity</w:t>
      </w:r>
      <w:r w:rsidRPr="00D31BA5">
        <w:rPr>
          <w:rStyle w:val="normaltextrun"/>
          <w:rFonts w:ascii="Arial" w:eastAsia="SimSun" w:hAnsi="Arial" w:cs="Arial"/>
          <w:strike/>
          <w:color w:val="000000"/>
          <w:sz w:val="18"/>
          <w:szCs w:val="18"/>
          <w:lang w:eastAsia="zh-CN"/>
        </w:rPr>
        <w:t xml:space="preserve"> </w:t>
      </w:r>
      <w:r w:rsidRPr="00D31BA5">
        <w:rPr>
          <w:rStyle w:val="normaltextrun"/>
          <w:rFonts w:ascii="Arial" w:eastAsia="Arial" w:hAnsi="Arial" w:cs="Arial"/>
          <w:strike/>
          <w:color w:val="000000"/>
          <w:sz w:val="18"/>
          <w:szCs w:val="18"/>
        </w:rPr>
        <w:t>plan, the identified risks to be managed, the measures that will be put in place to manage the disease</w:t>
      </w:r>
      <w:r w:rsidRPr="00D31BA5">
        <w:rPr>
          <w:rStyle w:val="normaltextrun"/>
          <w:rFonts w:ascii="Arial" w:eastAsia="SimSun" w:hAnsi="Arial" w:cs="Arial"/>
          <w:strike/>
          <w:color w:val="000000"/>
          <w:sz w:val="18"/>
          <w:szCs w:val="18"/>
          <w:lang w:eastAsia="zh-CN"/>
        </w:rPr>
        <w:t xml:space="preserve"> </w:t>
      </w:r>
      <w:r w:rsidRPr="00D31BA5">
        <w:rPr>
          <w:rStyle w:val="normaltextrun"/>
          <w:rFonts w:ascii="Arial" w:eastAsia="Arial" w:hAnsi="Arial" w:cs="Arial"/>
          <w:strike/>
          <w:color w:val="000000"/>
          <w:sz w:val="18"/>
          <w:szCs w:val="18"/>
        </w:rPr>
        <w:t>risks, required operating procedures and monitoring, as described in Articles 4.X.6. and 4.X.7.</w:t>
      </w:r>
    </w:p>
    <w:p w14:paraId="48958446" w14:textId="1FC4D5E4" w:rsidR="0094086E" w:rsidRPr="00D31BA5" w:rsidRDefault="0094086E" w:rsidP="0094086E">
      <w:pPr>
        <w:pStyle w:val="paragraph"/>
        <w:spacing w:before="0" w:beforeAutospacing="0" w:after="240" w:afterAutospacing="0"/>
        <w:ind w:left="426" w:hanging="426"/>
        <w:jc w:val="both"/>
        <w:textAlignment w:val="baseline"/>
        <w:rPr>
          <w:rStyle w:val="normaltextrun"/>
          <w:rFonts w:ascii="Arial" w:eastAsia="Arial" w:hAnsi="Arial" w:cs="Arial"/>
          <w:i/>
          <w:sz w:val="18"/>
          <w:szCs w:val="18"/>
        </w:rPr>
      </w:pPr>
      <w:r w:rsidRPr="00D31BA5">
        <w:rPr>
          <w:rStyle w:val="normaltextrun"/>
          <w:rFonts w:ascii="Arial" w:eastAsiaTheme="majorEastAsia" w:hAnsi="Arial" w:cs="Arial"/>
          <w:strike/>
          <w:color w:val="000000"/>
          <w:sz w:val="18"/>
          <w:szCs w:val="18"/>
        </w:rPr>
        <w:t>2</w:t>
      </w:r>
      <w:r w:rsidRPr="00D31BA5">
        <w:rPr>
          <w:rStyle w:val="normaltextrun"/>
          <w:rFonts w:ascii="Arial" w:eastAsiaTheme="majorEastAsia" w:hAnsi="Arial" w:cs="Arial"/>
          <w:color w:val="000000"/>
          <w:sz w:val="18"/>
          <w:szCs w:val="18"/>
          <w:u w:val="double"/>
        </w:rPr>
        <w:t>1</w:t>
      </w:r>
      <w:r w:rsidRPr="00D31BA5">
        <w:rPr>
          <w:rStyle w:val="normaltextrun"/>
          <w:rFonts w:ascii="Arial" w:eastAsiaTheme="majorEastAsia" w:hAnsi="Arial" w:cs="Arial"/>
          <w:color w:val="000000"/>
          <w:sz w:val="18"/>
          <w:szCs w:val="18"/>
        </w:rPr>
        <w:t>)</w:t>
      </w:r>
      <w:r w:rsidRPr="00D31BA5">
        <w:rPr>
          <w:rStyle w:val="normaltextrun"/>
          <w:rFonts w:ascii="Arial" w:eastAsia="Arial" w:hAnsi="Arial" w:cs="Arial"/>
          <w:color w:val="000000"/>
          <w:sz w:val="18"/>
          <w:szCs w:val="18"/>
        </w:rPr>
        <w:tab/>
      </w:r>
      <w:r w:rsidRPr="00D31BA5">
        <w:rPr>
          <w:rStyle w:val="normaltextrun"/>
          <w:rFonts w:ascii="Arial" w:eastAsia="Arial" w:hAnsi="Arial" w:cs="Arial"/>
          <w:sz w:val="18"/>
          <w:szCs w:val="18"/>
        </w:rPr>
        <w:t xml:space="preserve">Potential pathways for </w:t>
      </w:r>
      <w:r w:rsidRPr="00D31BA5">
        <w:rPr>
          <w:rStyle w:val="normaltextrun"/>
          <w:rFonts w:ascii="Arial" w:eastAsia="Arial" w:hAnsi="Arial" w:cs="Arial"/>
          <w:i/>
          <w:iCs/>
          <w:sz w:val="18"/>
          <w:szCs w:val="18"/>
        </w:rPr>
        <w:t>pathogenic agents</w:t>
      </w:r>
      <w:r w:rsidRPr="00D31BA5">
        <w:rPr>
          <w:rStyle w:val="normaltextrun"/>
          <w:rFonts w:ascii="Arial" w:eastAsia="Arial" w:hAnsi="Arial" w:cs="Arial"/>
          <w:sz w:val="18"/>
          <w:szCs w:val="18"/>
        </w:rPr>
        <w:t xml:space="preserve"> to be transmitted into, </w:t>
      </w:r>
      <w:r w:rsidRPr="00D31BA5">
        <w:rPr>
          <w:rStyle w:val="normaltextrun"/>
          <w:rFonts w:ascii="Arial" w:eastAsia="SimSun" w:hAnsi="Arial" w:cs="Arial"/>
          <w:sz w:val="18"/>
          <w:szCs w:val="18"/>
          <w:lang w:eastAsia="zh-CN"/>
        </w:rPr>
        <w:t xml:space="preserve">spread </w:t>
      </w:r>
      <w:r w:rsidRPr="00D31BA5">
        <w:rPr>
          <w:rStyle w:val="normaltextrun"/>
          <w:rFonts w:ascii="Arial" w:eastAsia="Arial" w:hAnsi="Arial" w:cs="Arial"/>
          <w:sz w:val="18"/>
          <w:szCs w:val="18"/>
        </w:rPr>
        <w:t xml:space="preserve">within and released from the </w:t>
      </w:r>
      <w:r w:rsidRPr="00D31BA5">
        <w:rPr>
          <w:rStyle w:val="normaltextrun"/>
          <w:rFonts w:ascii="Arial" w:eastAsia="Arial" w:hAnsi="Arial" w:cs="Arial"/>
          <w:i/>
          <w:iCs/>
          <w:sz w:val="18"/>
          <w:szCs w:val="18"/>
        </w:rPr>
        <w:t>aquaculture establishment</w:t>
      </w:r>
      <w:r w:rsidRPr="00D31BA5">
        <w:rPr>
          <w:rStyle w:val="normaltextrun"/>
          <w:rFonts w:ascii="Arial" w:eastAsia="Arial" w:hAnsi="Arial" w:cs="Arial"/>
          <w:sz w:val="18"/>
          <w:szCs w:val="18"/>
        </w:rPr>
        <w:t xml:space="preserve"> must be identified,</w:t>
      </w:r>
      <w:r w:rsidRPr="00D31BA5">
        <w:rPr>
          <w:rStyle w:val="normaltextrun"/>
          <w:rFonts w:ascii="Arial" w:eastAsia="SimSun" w:hAnsi="Arial" w:cs="Arial"/>
          <w:sz w:val="18"/>
          <w:szCs w:val="18"/>
          <w:lang w:eastAsia="zh-CN"/>
        </w:rPr>
        <w:t xml:space="preserve"> </w:t>
      </w:r>
      <w:r w:rsidRPr="00D31BA5">
        <w:rPr>
          <w:rStyle w:val="normaltextrun"/>
          <w:rFonts w:ascii="Arial" w:eastAsia="Arial" w:hAnsi="Arial" w:cs="Arial"/>
          <w:color w:val="000000"/>
          <w:sz w:val="18"/>
          <w:szCs w:val="18"/>
        </w:rPr>
        <w:t>as described in Article</w:t>
      </w:r>
      <w:r w:rsidRPr="00D31BA5">
        <w:rPr>
          <w:rStyle w:val="normaltextrun"/>
          <w:rFonts w:ascii="Arial" w:eastAsia="Arial" w:hAnsi="Arial" w:cs="Arial"/>
          <w:strike/>
          <w:color w:val="000000"/>
          <w:sz w:val="18"/>
          <w:szCs w:val="18"/>
          <w:highlight w:val="yellow"/>
          <w:u w:val="double"/>
        </w:rPr>
        <w:t>s 4.X.5. and</w:t>
      </w:r>
      <w:r w:rsidRPr="00685B5C">
        <w:rPr>
          <w:rStyle w:val="normaltextrun"/>
          <w:rFonts w:ascii="Arial" w:eastAsia="Arial" w:hAnsi="Arial" w:cs="Arial"/>
          <w:color w:val="000000"/>
          <w:sz w:val="18"/>
          <w:szCs w:val="18"/>
          <w:u w:val="double"/>
        </w:rPr>
        <w:t xml:space="preserve"> </w:t>
      </w:r>
      <w:r w:rsidRPr="00D31BA5">
        <w:rPr>
          <w:rStyle w:val="normaltextrun"/>
          <w:rFonts w:ascii="Arial" w:eastAsia="Arial" w:hAnsi="Arial" w:cs="Arial"/>
          <w:color w:val="000000"/>
          <w:sz w:val="18"/>
          <w:szCs w:val="18"/>
        </w:rPr>
        <w:t>4.X.6.</w:t>
      </w:r>
      <w:r w:rsidRPr="00D31BA5">
        <w:rPr>
          <w:rStyle w:val="normaltextrun"/>
          <w:rFonts w:ascii="Arial" w:eastAsia="Arial" w:hAnsi="Arial" w:cs="Arial"/>
          <w:sz w:val="18"/>
          <w:szCs w:val="18"/>
        </w:rPr>
        <w:t>,</w:t>
      </w:r>
      <w:r w:rsidRPr="00D31BA5">
        <w:rPr>
          <w:rStyle w:val="normaltextrun"/>
          <w:rFonts w:ascii="Arial" w:eastAsia="Arial" w:hAnsi="Arial" w:cs="Arial"/>
          <w:strike/>
          <w:sz w:val="18"/>
          <w:szCs w:val="18"/>
        </w:rPr>
        <w:t>and</w:t>
      </w:r>
      <w:r w:rsidRPr="00D31BA5">
        <w:rPr>
          <w:rStyle w:val="normaltextrun"/>
          <w:rFonts w:ascii="Arial" w:eastAsia="Arial" w:hAnsi="Arial" w:cs="Arial"/>
          <w:sz w:val="18"/>
          <w:szCs w:val="18"/>
        </w:rPr>
        <w:t xml:space="preserve"> giving consideration to the category of </w:t>
      </w:r>
      <w:r w:rsidRPr="00D31BA5">
        <w:rPr>
          <w:rStyle w:val="normaltextrun"/>
          <w:rFonts w:ascii="Arial" w:eastAsia="Arial" w:hAnsi="Arial" w:cs="Arial"/>
          <w:i/>
          <w:iCs/>
          <w:sz w:val="18"/>
          <w:szCs w:val="18"/>
        </w:rPr>
        <w:t>aquaculture</w:t>
      </w:r>
      <w:r w:rsidRPr="00D31BA5">
        <w:rPr>
          <w:rStyle w:val="normaltextrun"/>
          <w:rFonts w:ascii="Arial" w:eastAsia="Arial" w:hAnsi="Arial" w:cs="Arial"/>
          <w:sz w:val="18"/>
          <w:szCs w:val="18"/>
        </w:rPr>
        <w:t xml:space="preserve"> production system and design of the</w:t>
      </w:r>
      <w:r w:rsidRPr="00D31BA5">
        <w:rPr>
          <w:rStyle w:val="normaltextrun"/>
          <w:rFonts w:ascii="Arial" w:eastAsia="SimSun" w:hAnsi="Arial" w:cs="Arial"/>
          <w:sz w:val="18"/>
          <w:szCs w:val="18"/>
          <w:lang w:eastAsia="zh-CN"/>
        </w:rPr>
        <w:t xml:space="preserve"> </w:t>
      </w:r>
      <w:r w:rsidRPr="00D31BA5">
        <w:rPr>
          <w:rStyle w:val="normaltextrun"/>
          <w:rFonts w:ascii="Arial" w:eastAsia="Arial" w:hAnsi="Arial" w:cs="Arial"/>
          <w:i/>
          <w:iCs/>
          <w:sz w:val="18"/>
          <w:szCs w:val="18"/>
        </w:rPr>
        <w:t>aquaculture establishment</w:t>
      </w:r>
      <w:r w:rsidRPr="00D31BA5">
        <w:rPr>
          <w:rStyle w:val="normaltextrun"/>
          <w:rFonts w:ascii="Arial" w:eastAsia="Arial" w:hAnsi="Arial" w:cs="Arial"/>
          <w:sz w:val="18"/>
          <w:szCs w:val="18"/>
        </w:rPr>
        <w:t>.</w:t>
      </w:r>
    </w:p>
    <w:p w14:paraId="2B00402E" w14:textId="5493CCC7" w:rsidR="0094086E" w:rsidRPr="00D31BA5" w:rsidRDefault="0094086E" w:rsidP="0094086E">
      <w:pPr>
        <w:pStyle w:val="paragraph"/>
        <w:spacing w:before="0" w:beforeAutospacing="0" w:after="240" w:afterAutospacing="0"/>
        <w:ind w:left="426" w:hanging="426"/>
        <w:jc w:val="both"/>
        <w:textAlignment w:val="baseline"/>
        <w:rPr>
          <w:rStyle w:val="normaltextrun"/>
          <w:rFonts w:ascii="Arial" w:eastAsia="Arial" w:hAnsi="Arial" w:cs="Arial"/>
          <w:sz w:val="18"/>
          <w:szCs w:val="18"/>
        </w:rPr>
      </w:pPr>
      <w:r w:rsidRPr="00D31BA5">
        <w:rPr>
          <w:rStyle w:val="normaltextrun"/>
          <w:rFonts w:ascii="Arial" w:eastAsia="Arial" w:hAnsi="Arial" w:cs="Arial"/>
          <w:strike/>
          <w:sz w:val="18"/>
          <w:szCs w:val="18"/>
        </w:rPr>
        <w:t>3</w:t>
      </w:r>
      <w:r w:rsidRPr="00D31BA5">
        <w:rPr>
          <w:rStyle w:val="normaltextrun"/>
          <w:rFonts w:ascii="Arial" w:eastAsia="Arial" w:hAnsi="Arial" w:cs="Arial"/>
          <w:sz w:val="18"/>
          <w:szCs w:val="18"/>
          <w:u w:val="double"/>
        </w:rPr>
        <w:t>2</w:t>
      </w:r>
      <w:r w:rsidRPr="00D31BA5">
        <w:rPr>
          <w:rStyle w:val="normaltextrun"/>
          <w:rFonts w:ascii="Arial" w:eastAsia="Arial" w:hAnsi="Arial" w:cs="Arial"/>
          <w:sz w:val="18"/>
          <w:szCs w:val="18"/>
        </w:rPr>
        <w:t>)</w:t>
      </w:r>
      <w:r w:rsidRPr="00D31BA5">
        <w:rPr>
          <w:rStyle w:val="normaltextrun"/>
          <w:rFonts w:ascii="Arial" w:eastAsia="Arial" w:hAnsi="Arial" w:cs="Arial"/>
          <w:sz w:val="18"/>
          <w:szCs w:val="18"/>
        </w:rPr>
        <w:tab/>
        <w:t xml:space="preserve">Risk analysis should be undertaken to </w:t>
      </w:r>
      <w:r w:rsidRPr="00D31BA5">
        <w:rPr>
          <w:rStyle w:val="normaltextrun"/>
          <w:rFonts w:ascii="Arial" w:eastAsia="Arial" w:hAnsi="Arial" w:cs="Arial"/>
          <w:sz w:val="18"/>
          <w:szCs w:val="18"/>
          <w:highlight w:val="yellow"/>
          <w:u w:val="double"/>
        </w:rPr>
        <w:t>identify and</w:t>
      </w:r>
      <w:r w:rsidRPr="00D31BA5">
        <w:rPr>
          <w:rStyle w:val="normaltextrun"/>
          <w:rFonts w:ascii="Arial" w:eastAsia="Arial" w:hAnsi="Arial" w:cs="Arial"/>
          <w:sz w:val="18"/>
          <w:szCs w:val="18"/>
        </w:rPr>
        <w:t xml:space="preserve"> evaluate</w:t>
      </w:r>
      <w:r w:rsidR="002B6ED5" w:rsidRPr="00D31BA5">
        <w:rPr>
          <w:rStyle w:val="normaltextrun"/>
          <w:rFonts w:ascii="Arial" w:eastAsia="Arial" w:hAnsi="Arial" w:cs="Arial"/>
          <w:sz w:val="18"/>
          <w:szCs w:val="18"/>
        </w:rPr>
        <w:t xml:space="preserve"> </w:t>
      </w:r>
      <w:r w:rsidR="002B6ED5" w:rsidRPr="00685B5C">
        <w:rPr>
          <w:rStyle w:val="normaltextrun"/>
          <w:rFonts w:ascii="Arial" w:eastAsia="Arial" w:hAnsi="Arial" w:cs="Arial"/>
          <w:i/>
          <w:iCs/>
          <w:strike/>
          <w:sz w:val="18"/>
          <w:szCs w:val="18"/>
          <w:highlight w:val="yellow"/>
        </w:rPr>
        <w:t>biosecurity</w:t>
      </w:r>
      <w:r w:rsidRPr="00D31BA5">
        <w:rPr>
          <w:rStyle w:val="normaltextrun"/>
          <w:rFonts w:ascii="Arial" w:eastAsia="Arial" w:hAnsi="Arial" w:cs="Arial"/>
          <w:sz w:val="18"/>
          <w:szCs w:val="18"/>
        </w:rPr>
        <w:t xml:space="preserve"> </w:t>
      </w:r>
      <w:r w:rsidR="00FD0D28" w:rsidRPr="00D31BA5">
        <w:rPr>
          <w:rStyle w:val="normaltextrun"/>
          <w:rFonts w:ascii="Arial" w:eastAsia="Arial" w:hAnsi="Arial" w:cs="Arial"/>
          <w:i/>
          <w:iCs/>
          <w:sz w:val="18"/>
          <w:szCs w:val="18"/>
          <w:highlight w:val="yellow"/>
          <w:u w:val="double"/>
        </w:rPr>
        <w:t>disease</w:t>
      </w:r>
      <w:r w:rsidR="00FD0D28" w:rsidRPr="00D31BA5">
        <w:rPr>
          <w:rStyle w:val="normaltextrun"/>
          <w:rFonts w:ascii="Arial" w:eastAsia="Arial" w:hAnsi="Arial" w:cs="Arial"/>
          <w:sz w:val="18"/>
          <w:szCs w:val="18"/>
          <w:highlight w:val="yellow"/>
        </w:rPr>
        <w:t xml:space="preserve"> </w:t>
      </w:r>
      <w:r w:rsidRPr="00D31BA5">
        <w:rPr>
          <w:rStyle w:val="normaltextrun"/>
          <w:rFonts w:ascii="Arial" w:eastAsia="Arial" w:hAnsi="Arial" w:cs="Arial"/>
          <w:sz w:val="18"/>
          <w:szCs w:val="18"/>
        </w:rPr>
        <w:t xml:space="preserve">threats and ensure that the plan addresses </w:t>
      </w:r>
      <w:r w:rsidRPr="00D31BA5">
        <w:rPr>
          <w:rStyle w:val="normaltextrun"/>
          <w:rFonts w:ascii="Arial" w:eastAsia="Arial" w:hAnsi="Arial" w:cs="Arial"/>
          <w:i/>
          <w:iCs/>
          <w:sz w:val="18"/>
          <w:szCs w:val="18"/>
        </w:rPr>
        <w:t>risks</w:t>
      </w:r>
      <w:r w:rsidRPr="00D31BA5">
        <w:rPr>
          <w:rStyle w:val="normaltextrun"/>
          <w:rFonts w:ascii="Arial" w:eastAsia="Arial" w:hAnsi="Arial" w:cs="Arial"/>
          <w:sz w:val="18"/>
          <w:szCs w:val="18"/>
        </w:rPr>
        <w:t xml:space="preserve"> appropriately and efficiently. The </w:t>
      </w:r>
      <w:r w:rsidRPr="00D31BA5">
        <w:rPr>
          <w:rStyle w:val="normaltextrun"/>
          <w:rFonts w:ascii="Arial" w:eastAsia="Arial" w:hAnsi="Arial" w:cs="Arial"/>
          <w:i/>
          <w:iCs/>
          <w:sz w:val="18"/>
          <w:szCs w:val="18"/>
        </w:rPr>
        <w:t>risk</w:t>
      </w:r>
      <w:r w:rsidRPr="00D31BA5">
        <w:rPr>
          <w:rStyle w:val="normaltextrun"/>
          <w:rFonts w:ascii="Arial" w:eastAsia="SimSun" w:hAnsi="Arial" w:cs="Arial"/>
          <w:i/>
          <w:iCs/>
          <w:sz w:val="18"/>
          <w:szCs w:val="18"/>
          <w:lang w:eastAsia="zh-CN"/>
        </w:rPr>
        <w:t xml:space="preserve"> </w:t>
      </w:r>
      <w:r w:rsidRPr="00D31BA5">
        <w:rPr>
          <w:rStyle w:val="normaltextrun"/>
          <w:rFonts w:ascii="Arial" w:eastAsia="Arial" w:hAnsi="Arial" w:cs="Arial"/>
          <w:i/>
          <w:iCs/>
          <w:sz w:val="18"/>
          <w:szCs w:val="18"/>
        </w:rPr>
        <w:t>analysis</w:t>
      </w:r>
      <w:r w:rsidRPr="00D31BA5">
        <w:rPr>
          <w:rStyle w:val="normaltextrun"/>
          <w:rFonts w:ascii="Arial" w:eastAsia="Arial" w:hAnsi="Arial" w:cs="Arial"/>
          <w:sz w:val="18"/>
          <w:szCs w:val="18"/>
        </w:rPr>
        <w:t xml:space="preserve"> may range from a simple to a complex analysis depending on the objectives of the </w:t>
      </w:r>
      <w:r w:rsidRPr="00D31BA5">
        <w:rPr>
          <w:rStyle w:val="normaltextrun"/>
          <w:rFonts w:ascii="Arial" w:eastAsia="Arial" w:hAnsi="Arial" w:cs="Arial"/>
          <w:i/>
          <w:iCs/>
          <w:sz w:val="18"/>
          <w:szCs w:val="18"/>
        </w:rPr>
        <w:t>biosecurity plan</w:t>
      </w:r>
      <w:r w:rsidRPr="00D31BA5">
        <w:rPr>
          <w:rStyle w:val="normaltextrun"/>
          <w:rFonts w:ascii="Arial" w:eastAsia="Arial" w:hAnsi="Arial" w:cs="Arial"/>
          <w:sz w:val="18"/>
          <w:szCs w:val="18"/>
        </w:rPr>
        <w:t xml:space="preserve"> </w:t>
      </w:r>
      <w:r w:rsidRPr="00685B5C">
        <w:rPr>
          <w:rStyle w:val="normaltextrun"/>
          <w:rFonts w:ascii="Arial" w:eastAsia="Arial" w:hAnsi="Arial" w:cs="Arial"/>
          <w:strike/>
          <w:sz w:val="18"/>
          <w:szCs w:val="18"/>
          <w:highlight w:val="yellow"/>
        </w:rPr>
        <w:t>and</w:t>
      </w:r>
      <w:r w:rsidRPr="00D31BA5">
        <w:rPr>
          <w:rStyle w:val="normaltextrun"/>
          <w:rFonts w:ascii="Arial" w:eastAsia="Arial" w:hAnsi="Arial" w:cs="Arial"/>
          <w:sz w:val="18"/>
          <w:szCs w:val="18"/>
          <w:highlight w:val="yellow"/>
          <w:u w:val="double"/>
        </w:rPr>
        <w:t>,</w:t>
      </w:r>
      <w:r w:rsidRPr="00D31BA5">
        <w:rPr>
          <w:rStyle w:val="normaltextrun"/>
          <w:rFonts w:ascii="Arial" w:eastAsia="Arial" w:hAnsi="Arial" w:cs="Arial"/>
          <w:sz w:val="18"/>
          <w:szCs w:val="18"/>
        </w:rPr>
        <w:t xml:space="preserve"> the circumstances of the </w:t>
      </w:r>
      <w:r w:rsidRPr="00D31BA5">
        <w:rPr>
          <w:rStyle w:val="normaltextrun"/>
          <w:rFonts w:ascii="Arial" w:eastAsia="Arial" w:hAnsi="Arial" w:cs="Arial"/>
          <w:i/>
          <w:iCs/>
          <w:sz w:val="18"/>
          <w:szCs w:val="18"/>
        </w:rPr>
        <w:t>aquaculture establishment</w:t>
      </w:r>
      <w:r w:rsidRPr="00D31BA5">
        <w:rPr>
          <w:rStyle w:val="normaltextrun"/>
          <w:rFonts w:ascii="Arial" w:eastAsia="Arial" w:hAnsi="Arial" w:cs="Arial"/>
          <w:sz w:val="18"/>
          <w:szCs w:val="18"/>
        </w:rPr>
        <w:t xml:space="preserve"> and </w:t>
      </w:r>
      <w:r w:rsidRPr="00D31BA5">
        <w:rPr>
          <w:rStyle w:val="normaltextrun"/>
          <w:rFonts w:ascii="Arial" w:eastAsia="Arial" w:hAnsi="Arial" w:cs="Arial"/>
          <w:sz w:val="18"/>
          <w:szCs w:val="18"/>
          <w:highlight w:val="yellow"/>
          <w:u w:val="double"/>
        </w:rPr>
        <w:t>the</w:t>
      </w:r>
      <w:r w:rsidRPr="00D31BA5">
        <w:rPr>
          <w:rStyle w:val="normaltextrun"/>
          <w:rFonts w:ascii="Arial" w:eastAsia="Arial" w:hAnsi="Arial" w:cs="Arial"/>
          <w:sz w:val="18"/>
          <w:szCs w:val="18"/>
        </w:rPr>
        <w:t xml:space="preserve"> </w:t>
      </w:r>
      <w:r w:rsidRPr="00D31BA5">
        <w:rPr>
          <w:rStyle w:val="normaltextrun"/>
          <w:rFonts w:ascii="Arial" w:eastAsia="Arial" w:hAnsi="Arial" w:cs="Arial"/>
          <w:i/>
          <w:iCs/>
          <w:sz w:val="18"/>
          <w:szCs w:val="18"/>
        </w:rPr>
        <w:t>disease</w:t>
      </w:r>
      <w:r w:rsidRPr="00D31BA5">
        <w:rPr>
          <w:rStyle w:val="normaltextrun"/>
          <w:rFonts w:ascii="Arial" w:eastAsia="SimSun" w:hAnsi="Arial" w:cs="Arial"/>
          <w:i/>
          <w:iCs/>
          <w:sz w:val="18"/>
          <w:szCs w:val="18"/>
          <w:lang w:eastAsia="zh-CN"/>
        </w:rPr>
        <w:t xml:space="preserve"> </w:t>
      </w:r>
      <w:r w:rsidRPr="00D31BA5">
        <w:rPr>
          <w:rStyle w:val="normaltextrun"/>
          <w:rFonts w:ascii="Arial" w:eastAsia="Arial" w:hAnsi="Arial" w:cs="Arial"/>
          <w:i/>
          <w:iCs/>
          <w:sz w:val="18"/>
          <w:szCs w:val="18"/>
        </w:rPr>
        <w:t>risks</w:t>
      </w:r>
      <w:r w:rsidRPr="00D31BA5">
        <w:rPr>
          <w:rStyle w:val="normaltextrun"/>
          <w:rFonts w:ascii="Arial" w:eastAsia="Arial" w:hAnsi="Arial" w:cs="Arial"/>
          <w:sz w:val="18"/>
          <w:szCs w:val="18"/>
        </w:rPr>
        <w:t>, as described in Article 4.X.7.</w:t>
      </w:r>
    </w:p>
    <w:p w14:paraId="43AAFAE1" w14:textId="77777777" w:rsidR="0094086E" w:rsidRPr="00D31BA5" w:rsidRDefault="0094086E" w:rsidP="0094086E">
      <w:pPr>
        <w:pStyle w:val="paragraph"/>
        <w:spacing w:before="0" w:beforeAutospacing="0" w:after="240" w:afterAutospacing="0"/>
        <w:ind w:left="426" w:hanging="426"/>
        <w:jc w:val="both"/>
        <w:textAlignment w:val="baseline"/>
        <w:rPr>
          <w:rStyle w:val="normaltextrun"/>
          <w:rFonts w:ascii="Arial" w:eastAsia="Arial" w:hAnsi="Arial" w:cs="Arial"/>
          <w:sz w:val="18"/>
          <w:szCs w:val="18"/>
        </w:rPr>
      </w:pPr>
      <w:r w:rsidRPr="00D31BA5">
        <w:rPr>
          <w:rStyle w:val="normaltextrun"/>
          <w:rFonts w:ascii="Arial" w:eastAsia="Arial" w:hAnsi="Arial" w:cs="Arial"/>
          <w:strike/>
          <w:sz w:val="18"/>
          <w:szCs w:val="18"/>
        </w:rPr>
        <w:t>4</w:t>
      </w:r>
      <w:r w:rsidRPr="00D31BA5">
        <w:rPr>
          <w:rStyle w:val="normaltextrun"/>
          <w:rFonts w:ascii="Arial" w:eastAsia="Arial" w:hAnsi="Arial" w:cs="Arial"/>
          <w:sz w:val="18"/>
          <w:szCs w:val="18"/>
          <w:u w:val="double"/>
        </w:rPr>
        <w:t>3</w:t>
      </w:r>
      <w:r w:rsidRPr="00D31BA5">
        <w:rPr>
          <w:rStyle w:val="normaltextrun"/>
          <w:rFonts w:ascii="Arial" w:eastAsia="Arial" w:hAnsi="Arial" w:cs="Arial"/>
          <w:sz w:val="18"/>
          <w:szCs w:val="18"/>
        </w:rPr>
        <w:t>)</w:t>
      </w:r>
      <w:r w:rsidRPr="00D31BA5">
        <w:rPr>
          <w:rStyle w:val="normaltextrun"/>
          <w:rFonts w:ascii="Arial" w:eastAsia="Arial" w:hAnsi="Arial" w:cs="Arial"/>
          <w:sz w:val="18"/>
          <w:szCs w:val="18"/>
        </w:rPr>
        <w:tab/>
      </w:r>
      <w:r w:rsidRPr="00D31BA5">
        <w:rPr>
          <w:rStyle w:val="normaltextrun"/>
          <w:rFonts w:ascii="Arial" w:eastAsia="Arial" w:hAnsi="Arial" w:cs="Arial"/>
          <w:i/>
          <w:iCs/>
          <w:sz w:val="18"/>
          <w:szCs w:val="18"/>
        </w:rPr>
        <w:t>Biosecurity</w:t>
      </w:r>
      <w:r w:rsidRPr="00D31BA5">
        <w:rPr>
          <w:rStyle w:val="normaltextrun"/>
          <w:rFonts w:ascii="Arial" w:eastAsia="Arial" w:hAnsi="Arial" w:cs="Arial"/>
          <w:sz w:val="18"/>
          <w:szCs w:val="18"/>
        </w:rPr>
        <w:t xml:space="preserve"> measures to address identified </w:t>
      </w:r>
      <w:r w:rsidRPr="00D31BA5">
        <w:rPr>
          <w:rStyle w:val="normaltextrun"/>
          <w:rFonts w:ascii="Arial" w:eastAsia="Arial" w:hAnsi="Arial" w:cs="Arial"/>
          <w:i/>
          <w:iCs/>
          <w:sz w:val="18"/>
          <w:szCs w:val="18"/>
        </w:rPr>
        <w:t>disease</w:t>
      </w:r>
      <w:r w:rsidRPr="00D31BA5">
        <w:rPr>
          <w:rStyle w:val="normaltextrun"/>
          <w:rFonts w:ascii="Arial" w:eastAsia="SimSun" w:hAnsi="Arial" w:cs="Arial"/>
          <w:i/>
          <w:iCs/>
          <w:sz w:val="18"/>
          <w:szCs w:val="18"/>
          <w:lang w:eastAsia="zh-CN"/>
        </w:rPr>
        <w:t xml:space="preserve"> </w:t>
      </w:r>
      <w:r w:rsidRPr="00D31BA5">
        <w:rPr>
          <w:rStyle w:val="normaltextrun"/>
          <w:rFonts w:ascii="Arial" w:eastAsia="Arial" w:hAnsi="Arial" w:cs="Arial"/>
          <w:i/>
          <w:iCs/>
          <w:sz w:val="18"/>
          <w:szCs w:val="18"/>
        </w:rPr>
        <w:t>risks</w:t>
      </w:r>
      <w:r w:rsidRPr="00D31BA5">
        <w:rPr>
          <w:rStyle w:val="normaltextrun"/>
          <w:rFonts w:ascii="Arial" w:eastAsia="Arial" w:hAnsi="Arial" w:cs="Arial"/>
          <w:sz w:val="18"/>
          <w:szCs w:val="18"/>
        </w:rPr>
        <w:t xml:space="preserve"> should be evaluated </w:t>
      </w:r>
      <w:r w:rsidRPr="00D31BA5">
        <w:rPr>
          <w:rStyle w:val="normaltextrun"/>
          <w:rFonts w:ascii="Arial" w:eastAsia="Arial" w:hAnsi="Arial" w:cs="Arial"/>
          <w:strike/>
          <w:sz w:val="18"/>
          <w:szCs w:val="18"/>
        </w:rPr>
        <w:t>based</w:t>
      </w:r>
      <w:r w:rsidRPr="00D31BA5">
        <w:rPr>
          <w:rStyle w:val="normaltextrun"/>
          <w:rFonts w:ascii="Arial" w:eastAsia="Arial" w:hAnsi="Arial" w:cs="Arial"/>
          <w:sz w:val="18"/>
          <w:szCs w:val="18"/>
        </w:rPr>
        <w:t xml:space="preserve"> on </w:t>
      </w:r>
      <w:r w:rsidRPr="00D31BA5">
        <w:rPr>
          <w:rStyle w:val="normaltextrun"/>
          <w:rFonts w:ascii="Arial" w:eastAsia="Arial" w:hAnsi="Arial" w:cs="Arial"/>
          <w:sz w:val="18"/>
          <w:szCs w:val="18"/>
          <w:u w:val="double"/>
        </w:rPr>
        <w:t>the basis of</w:t>
      </w:r>
      <w:r w:rsidRPr="00D31BA5">
        <w:rPr>
          <w:rStyle w:val="normaltextrun"/>
          <w:rFonts w:ascii="Arial" w:eastAsia="Arial" w:hAnsi="Arial" w:cs="Arial"/>
          <w:sz w:val="18"/>
          <w:szCs w:val="18"/>
        </w:rPr>
        <w:t xml:space="preserve"> their potential effectiveness, initial and ongoing costs (e.g. building works, maintenance), and management requirements, as described in Article 4.X.7.</w:t>
      </w:r>
    </w:p>
    <w:p w14:paraId="11675F3C" w14:textId="77777777" w:rsidR="0094086E" w:rsidRPr="00D31BA5" w:rsidRDefault="0094086E" w:rsidP="0094086E">
      <w:pPr>
        <w:pStyle w:val="paragraph"/>
        <w:spacing w:before="0" w:beforeAutospacing="0" w:after="240" w:afterAutospacing="0"/>
        <w:ind w:left="426" w:hanging="426"/>
        <w:jc w:val="both"/>
        <w:textAlignment w:val="baseline"/>
        <w:rPr>
          <w:rStyle w:val="normaltextrun"/>
          <w:rFonts w:ascii="Arial" w:eastAsia="Arial" w:hAnsi="Arial" w:cs="Arial"/>
          <w:sz w:val="18"/>
          <w:szCs w:val="18"/>
        </w:rPr>
      </w:pPr>
      <w:r w:rsidRPr="00D31BA5">
        <w:rPr>
          <w:rStyle w:val="normaltextrun"/>
          <w:rFonts w:ascii="Arial" w:eastAsia="Arial" w:hAnsi="Arial" w:cs="Arial"/>
          <w:color w:val="000000"/>
          <w:sz w:val="18"/>
          <w:szCs w:val="18"/>
          <w:u w:val="double"/>
        </w:rPr>
        <w:t>4</w:t>
      </w:r>
      <w:r w:rsidRPr="00D31BA5">
        <w:rPr>
          <w:rStyle w:val="normaltextrun"/>
          <w:rFonts w:ascii="Arial" w:eastAsia="Arial" w:hAnsi="Arial" w:cs="Arial"/>
          <w:strike/>
          <w:color w:val="000000"/>
          <w:sz w:val="18"/>
          <w:szCs w:val="18"/>
        </w:rPr>
        <w:t>5</w:t>
      </w:r>
      <w:r w:rsidRPr="00D31BA5">
        <w:rPr>
          <w:rStyle w:val="normaltextrun"/>
          <w:rFonts w:ascii="Arial" w:eastAsia="Arial" w:hAnsi="Arial" w:cs="Arial"/>
          <w:color w:val="000000"/>
          <w:sz w:val="18"/>
          <w:szCs w:val="18"/>
        </w:rPr>
        <w:t>)</w:t>
      </w:r>
      <w:r w:rsidRPr="00D31BA5">
        <w:rPr>
          <w:rStyle w:val="normaltextrun"/>
          <w:rFonts w:ascii="Arial" w:eastAsia="Arial" w:hAnsi="Arial" w:cs="Arial"/>
          <w:color w:val="000000"/>
          <w:sz w:val="18"/>
          <w:szCs w:val="18"/>
        </w:rPr>
        <w:tab/>
        <w:t xml:space="preserve">Management practices </w:t>
      </w:r>
      <w:r w:rsidRPr="00D31BA5">
        <w:rPr>
          <w:rStyle w:val="normaltextrun"/>
          <w:rFonts w:ascii="Arial" w:eastAsia="Arial" w:hAnsi="Arial" w:cs="Arial"/>
          <w:sz w:val="18"/>
          <w:szCs w:val="18"/>
        </w:rPr>
        <w:t>should be</w:t>
      </w:r>
      <w:r w:rsidRPr="00D31BA5">
        <w:rPr>
          <w:rStyle w:val="normaltextrun"/>
          <w:rFonts w:ascii="Arial" w:eastAsia="Arial" w:hAnsi="Arial" w:cs="Arial"/>
          <w:color w:val="000000"/>
          <w:sz w:val="18"/>
          <w:szCs w:val="18"/>
        </w:rPr>
        <w:t xml:space="preserve"> integrated into the </w:t>
      </w:r>
      <w:r w:rsidRPr="00D31BA5">
        <w:rPr>
          <w:rStyle w:val="normaltextrun"/>
          <w:rFonts w:ascii="Arial" w:eastAsia="Arial" w:hAnsi="Arial" w:cs="Arial"/>
          <w:i/>
          <w:iCs/>
          <w:sz w:val="18"/>
          <w:szCs w:val="18"/>
        </w:rPr>
        <w:t>aquaculture establishment’s</w:t>
      </w:r>
      <w:r w:rsidRPr="00D31BA5">
        <w:rPr>
          <w:rStyle w:val="normaltextrun"/>
          <w:rFonts w:ascii="Arial" w:eastAsia="Arial" w:hAnsi="Arial" w:cs="Arial"/>
          <w:sz w:val="18"/>
          <w:szCs w:val="18"/>
        </w:rPr>
        <w:t xml:space="preserve"> operating procedures and </w:t>
      </w:r>
      <w:r w:rsidRPr="00D31BA5">
        <w:rPr>
          <w:rStyle w:val="normaltextrun"/>
          <w:rFonts w:ascii="Arial" w:eastAsia="Arial" w:hAnsi="Arial" w:cs="Arial"/>
          <w:strike/>
          <w:sz w:val="18"/>
          <w:szCs w:val="18"/>
        </w:rPr>
        <w:t>associated</w:t>
      </w:r>
      <w:r w:rsidRPr="00D31BA5">
        <w:rPr>
          <w:rStyle w:val="normaltextrun"/>
          <w:rFonts w:ascii="Arial" w:eastAsia="Arial" w:hAnsi="Arial" w:cs="Arial"/>
          <w:sz w:val="18"/>
          <w:szCs w:val="18"/>
        </w:rPr>
        <w:t xml:space="preserve"> </w:t>
      </w:r>
      <w:r w:rsidRPr="00D31BA5">
        <w:rPr>
          <w:rStyle w:val="normaltextrun"/>
          <w:rFonts w:ascii="Arial" w:eastAsia="Arial" w:hAnsi="Arial" w:cs="Arial"/>
          <w:sz w:val="18"/>
          <w:szCs w:val="18"/>
          <w:u w:val="double"/>
        </w:rPr>
        <w:t>relevant</w:t>
      </w:r>
      <w:r w:rsidRPr="00D31BA5">
        <w:rPr>
          <w:rStyle w:val="normaltextrun"/>
          <w:rFonts w:ascii="Arial" w:eastAsia="Arial" w:hAnsi="Arial" w:cs="Arial"/>
          <w:sz w:val="18"/>
          <w:szCs w:val="18"/>
        </w:rPr>
        <w:t xml:space="preserve"> training </w:t>
      </w:r>
      <w:r w:rsidRPr="00D31BA5">
        <w:rPr>
          <w:rStyle w:val="normaltextrun"/>
          <w:rFonts w:ascii="Arial" w:eastAsia="Arial" w:hAnsi="Arial" w:cs="Arial"/>
          <w:strike/>
          <w:sz w:val="18"/>
          <w:szCs w:val="18"/>
        </w:rPr>
        <w:t xml:space="preserve">are </w:t>
      </w:r>
      <w:r w:rsidRPr="00D31BA5">
        <w:rPr>
          <w:rStyle w:val="normaltextrun"/>
          <w:rFonts w:ascii="Arial" w:eastAsia="Arial" w:hAnsi="Arial" w:cs="Arial"/>
          <w:strike/>
          <w:sz w:val="18"/>
          <w:szCs w:val="18"/>
          <w:u w:val="double"/>
        </w:rPr>
        <w:t>is</w:t>
      </w:r>
      <w:r w:rsidRPr="00D31BA5">
        <w:rPr>
          <w:rStyle w:val="normaltextrun"/>
          <w:rFonts w:ascii="Arial" w:eastAsia="Arial" w:hAnsi="Arial" w:cs="Arial"/>
          <w:sz w:val="18"/>
          <w:szCs w:val="18"/>
        </w:rPr>
        <w:t xml:space="preserve"> provided to personnel, as described in Articles 4.X.7. and 4.X.8.</w:t>
      </w:r>
    </w:p>
    <w:p w14:paraId="45BD3DF0" w14:textId="77777777" w:rsidR="0094086E" w:rsidRPr="00D31BA5" w:rsidRDefault="0094086E" w:rsidP="0094086E">
      <w:pPr>
        <w:pStyle w:val="paragraph"/>
        <w:spacing w:before="0" w:beforeAutospacing="0" w:after="240" w:afterAutospacing="0"/>
        <w:ind w:left="426" w:hanging="426"/>
        <w:jc w:val="both"/>
        <w:textAlignment w:val="baseline"/>
        <w:rPr>
          <w:rStyle w:val="normaltextrun"/>
          <w:rFonts w:ascii="Arial" w:eastAsia="Arial" w:hAnsi="Arial" w:cs="Arial"/>
          <w:sz w:val="18"/>
          <w:szCs w:val="18"/>
          <w:u w:val="double"/>
        </w:rPr>
      </w:pPr>
      <w:r w:rsidRPr="00D31BA5">
        <w:rPr>
          <w:rStyle w:val="normaltextrun"/>
          <w:rFonts w:ascii="Arial" w:eastAsia="Arial" w:hAnsi="Arial" w:cs="Arial"/>
          <w:sz w:val="18"/>
          <w:szCs w:val="18"/>
          <w:highlight w:val="yellow"/>
          <w:u w:val="double"/>
        </w:rPr>
        <w:t>5)</w:t>
      </w:r>
      <w:r w:rsidRPr="00D31BA5">
        <w:rPr>
          <w:rStyle w:val="normaltextrun"/>
          <w:rFonts w:ascii="Arial" w:eastAsia="Arial" w:hAnsi="Arial" w:cs="Arial"/>
          <w:sz w:val="18"/>
          <w:szCs w:val="18"/>
        </w:rPr>
        <w:tab/>
      </w:r>
      <w:r w:rsidRPr="00D31BA5">
        <w:rPr>
          <w:rStyle w:val="normaltextrun"/>
          <w:rFonts w:ascii="Arial" w:eastAsia="Arial" w:hAnsi="Arial" w:cs="Arial"/>
          <w:sz w:val="18"/>
          <w:szCs w:val="18"/>
          <w:highlight w:val="yellow"/>
          <w:u w:val="double"/>
        </w:rPr>
        <w:t xml:space="preserve">Clear signage should be displayed to promote awareness and compliance with </w:t>
      </w:r>
      <w:r w:rsidRPr="00D31BA5">
        <w:rPr>
          <w:rStyle w:val="normaltextrun"/>
          <w:rFonts w:ascii="Arial" w:eastAsia="Arial" w:hAnsi="Arial" w:cs="Arial"/>
          <w:i/>
          <w:iCs/>
          <w:sz w:val="18"/>
          <w:szCs w:val="18"/>
          <w:highlight w:val="yellow"/>
          <w:u w:val="double"/>
        </w:rPr>
        <w:t>biosecurity</w:t>
      </w:r>
      <w:r w:rsidRPr="00D31BA5">
        <w:rPr>
          <w:rStyle w:val="normaltextrun"/>
          <w:rFonts w:ascii="Arial" w:eastAsia="Arial" w:hAnsi="Arial" w:cs="Arial"/>
          <w:sz w:val="18"/>
          <w:szCs w:val="18"/>
          <w:highlight w:val="yellow"/>
          <w:u w:val="double"/>
        </w:rPr>
        <w:t xml:space="preserve"> </w:t>
      </w:r>
      <w:r w:rsidRPr="00D31BA5">
        <w:rPr>
          <w:rStyle w:val="normaltextrun"/>
          <w:rFonts w:ascii="Arial" w:eastAsia="Arial" w:hAnsi="Arial" w:cs="Arial"/>
          <w:i/>
          <w:iCs/>
          <w:sz w:val="18"/>
          <w:szCs w:val="18"/>
          <w:highlight w:val="yellow"/>
          <w:u w:val="double"/>
        </w:rPr>
        <w:t>plan</w:t>
      </w:r>
      <w:r w:rsidRPr="00D31BA5">
        <w:rPr>
          <w:rStyle w:val="normaltextrun"/>
          <w:rFonts w:ascii="Arial" w:eastAsia="Arial" w:hAnsi="Arial" w:cs="Arial"/>
          <w:sz w:val="18"/>
          <w:szCs w:val="18"/>
          <w:highlight w:val="yellow"/>
          <w:u w:val="double"/>
        </w:rPr>
        <w:t xml:space="preserve"> measures by personnel, visitors and the public.</w:t>
      </w:r>
      <w:r w:rsidRPr="00D31BA5">
        <w:rPr>
          <w:rStyle w:val="normaltextrun"/>
          <w:rFonts w:ascii="Arial" w:eastAsia="Arial" w:hAnsi="Arial" w:cs="Arial"/>
          <w:sz w:val="18"/>
          <w:szCs w:val="18"/>
          <w:u w:val="double"/>
        </w:rPr>
        <w:t xml:space="preserve"> </w:t>
      </w:r>
    </w:p>
    <w:p w14:paraId="07FE026C" w14:textId="77777777" w:rsidR="0094086E" w:rsidRPr="00D31BA5" w:rsidRDefault="0094086E" w:rsidP="0094086E">
      <w:pPr>
        <w:spacing w:after="240"/>
        <w:ind w:left="426" w:hanging="426"/>
        <w:rPr>
          <w:rFonts w:ascii="Arial" w:hAnsi="Arial" w:cs="Arial"/>
          <w:sz w:val="18"/>
          <w:szCs w:val="18"/>
          <w:u w:val="double"/>
        </w:rPr>
      </w:pPr>
      <w:r w:rsidRPr="00D31BA5">
        <w:rPr>
          <w:rStyle w:val="normaltextrun"/>
          <w:rFonts w:ascii="Arial" w:eastAsia="Arial" w:hAnsi="Arial" w:cs="Arial"/>
          <w:strike/>
          <w:color w:val="000000"/>
          <w:sz w:val="18"/>
          <w:szCs w:val="18"/>
          <w:highlight w:val="yellow"/>
          <w:u w:val="double"/>
        </w:rPr>
        <w:t>5</w:t>
      </w:r>
      <w:r w:rsidRPr="00D31BA5">
        <w:rPr>
          <w:rStyle w:val="normaltextrun"/>
          <w:rFonts w:ascii="Arial" w:eastAsia="Arial" w:hAnsi="Arial" w:cs="Arial"/>
          <w:color w:val="000000"/>
          <w:sz w:val="18"/>
          <w:szCs w:val="18"/>
          <w:highlight w:val="yellow"/>
          <w:u w:val="double"/>
        </w:rPr>
        <w:t>6</w:t>
      </w:r>
      <w:r w:rsidRPr="00D31BA5">
        <w:rPr>
          <w:rStyle w:val="normaltextrun"/>
          <w:rFonts w:ascii="Arial" w:eastAsia="Arial" w:hAnsi="Arial" w:cs="Arial"/>
          <w:color w:val="000000"/>
          <w:sz w:val="18"/>
          <w:szCs w:val="18"/>
          <w:u w:val="double"/>
        </w:rPr>
        <w:t>)</w:t>
      </w:r>
      <w:r w:rsidRPr="00D31BA5">
        <w:rPr>
          <w:rStyle w:val="normaltextrun"/>
          <w:rFonts w:ascii="Arial" w:eastAsia="Arial" w:hAnsi="Arial" w:cs="Arial"/>
          <w:color w:val="000000"/>
          <w:sz w:val="18"/>
          <w:szCs w:val="18"/>
        </w:rPr>
        <w:tab/>
      </w:r>
      <w:r w:rsidRPr="00D31BA5">
        <w:rPr>
          <w:rFonts w:ascii="Arial" w:hAnsi="Arial" w:cs="Arial"/>
          <w:sz w:val="18"/>
          <w:szCs w:val="18"/>
          <w:u w:val="double"/>
        </w:rPr>
        <w:t xml:space="preserve">Appropriate records and documentation are essential to demonstrate effective implementation of the </w:t>
      </w:r>
      <w:r w:rsidRPr="00D31BA5">
        <w:rPr>
          <w:rFonts w:ascii="Arial" w:hAnsi="Arial" w:cs="Arial"/>
          <w:i/>
          <w:iCs/>
          <w:sz w:val="18"/>
          <w:szCs w:val="18"/>
          <w:u w:val="double"/>
        </w:rPr>
        <w:t>biosecurity plan</w:t>
      </w:r>
      <w:r w:rsidRPr="00D31BA5">
        <w:rPr>
          <w:rFonts w:ascii="Arial" w:hAnsi="Arial" w:cs="Arial"/>
          <w:sz w:val="18"/>
          <w:szCs w:val="18"/>
          <w:u w:val="double"/>
        </w:rPr>
        <w:t>. Examples are provided in Article 4.X.8.</w:t>
      </w:r>
      <w:r w:rsidRPr="00D31BA5">
        <w:rPr>
          <w:rFonts w:ascii="Arial" w:hAnsi="Arial" w:cs="Arial"/>
          <w:sz w:val="18"/>
          <w:szCs w:val="18"/>
          <w:lang w:eastAsia="fr-FR"/>
        </w:rPr>
        <w:t xml:space="preserve"> </w:t>
      </w:r>
    </w:p>
    <w:p w14:paraId="36AFA1BB" w14:textId="77777777" w:rsidR="0094086E" w:rsidRPr="00D31BA5" w:rsidRDefault="0094086E" w:rsidP="0094086E">
      <w:pPr>
        <w:pStyle w:val="paragraph"/>
        <w:spacing w:before="0" w:beforeAutospacing="0" w:after="240" w:afterAutospacing="0"/>
        <w:ind w:left="426" w:hanging="426"/>
        <w:jc w:val="both"/>
        <w:textAlignment w:val="baseline"/>
        <w:rPr>
          <w:rStyle w:val="normaltextrun"/>
          <w:rFonts w:ascii="Arial" w:eastAsia="Arial" w:hAnsi="Arial" w:cs="Arial"/>
          <w:color w:val="000000"/>
          <w:sz w:val="18"/>
          <w:szCs w:val="18"/>
        </w:rPr>
      </w:pPr>
      <w:r w:rsidRPr="00D31BA5">
        <w:rPr>
          <w:rStyle w:val="normaltextrun"/>
          <w:rFonts w:ascii="Arial" w:eastAsia="Arial" w:hAnsi="Arial" w:cs="Arial"/>
          <w:strike/>
          <w:color w:val="000000"/>
          <w:sz w:val="18"/>
          <w:szCs w:val="18"/>
          <w:highlight w:val="yellow"/>
          <w:u w:val="double"/>
        </w:rPr>
        <w:t>6</w:t>
      </w:r>
      <w:r w:rsidRPr="00D31BA5">
        <w:rPr>
          <w:rStyle w:val="normaltextrun"/>
          <w:rFonts w:ascii="Arial" w:eastAsia="Arial" w:hAnsi="Arial" w:cs="Arial"/>
          <w:color w:val="000000"/>
          <w:sz w:val="18"/>
          <w:szCs w:val="18"/>
          <w:highlight w:val="yellow"/>
          <w:u w:val="double"/>
        </w:rPr>
        <w:t>7</w:t>
      </w:r>
      <w:r w:rsidRPr="00D31BA5">
        <w:rPr>
          <w:rStyle w:val="normaltextrun"/>
          <w:rFonts w:ascii="Arial" w:eastAsia="Arial" w:hAnsi="Arial" w:cs="Arial"/>
          <w:color w:val="000000"/>
          <w:sz w:val="18"/>
          <w:szCs w:val="18"/>
          <w:u w:val="double"/>
        </w:rPr>
        <w:t>)</w:t>
      </w:r>
      <w:r w:rsidRPr="00D31BA5">
        <w:rPr>
          <w:rStyle w:val="normaltextrun"/>
          <w:rFonts w:ascii="Arial" w:eastAsia="Arial" w:hAnsi="Arial" w:cs="Arial"/>
          <w:color w:val="000000"/>
          <w:sz w:val="18"/>
          <w:szCs w:val="18"/>
        </w:rPr>
        <w:tab/>
        <w:t xml:space="preserve">A </w:t>
      </w:r>
      <w:r w:rsidRPr="00D31BA5">
        <w:rPr>
          <w:rStyle w:val="normaltextrun"/>
          <w:rFonts w:ascii="Arial" w:eastAsia="Arial" w:hAnsi="Arial" w:cs="Arial"/>
          <w:strike/>
          <w:color w:val="000000"/>
          <w:sz w:val="18"/>
          <w:szCs w:val="18"/>
        </w:rPr>
        <w:t>routine review</w:t>
      </w:r>
      <w:r w:rsidRPr="00D31BA5">
        <w:rPr>
          <w:rStyle w:val="normaltextrun"/>
          <w:rFonts w:ascii="Arial" w:eastAsia="SimSun" w:hAnsi="Arial" w:cs="Arial"/>
          <w:color w:val="000000"/>
          <w:sz w:val="18"/>
          <w:szCs w:val="18"/>
          <w:lang w:eastAsia="zh-CN"/>
        </w:rPr>
        <w:t xml:space="preserve"> </w:t>
      </w:r>
      <w:r w:rsidRPr="00D31BA5">
        <w:rPr>
          <w:rStyle w:val="normaltextrun"/>
          <w:rFonts w:ascii="Arial" w:eastAsia="Arial" w:hAnsi="Arial" w:cs="Arial"/>
          <w:color w:val="000000"/>
          <w:sz w:val="18"/>
          <w:szCs w:val="18"/>
        </w:rPr>
        <w:t xml:space="preserve">schedule </w:t>
      </w:r>
      <w:r w:rsidRPr="00D31BA5">
        <w:rPr>
          <w:rStyle w:val="normaltextrun"/>
          <w:rFonts w:ascii="Arial" w:eastAsia="Arial" w:hAnsi="Arial" w:cs="Arial"/>
          <w:sz w:val="18"/>
          <w:szCs w:val="18"/>
          <w:u w:val="double"/>
        </w:rPr>
        <w:t>for routine reviews and audits</w:t>
      </w:r>
      <w:r w:rsidRPr="00D31BA5">
        <w:rPr>
          <w:rStyle w:val="normaltextrun"/>
          <w:rFonts w:ascii="Arial" w:eastAsia="SimSun" w:hAnsi="Arial" w:cs="Arial"/>
          <w:sz w:val="18"/>
          <w:szCs w:val="18"/>
          <w:u w:val="double"/>
          <w:lang w:eastAsia="zh-CN"/>
        </w:rPr>
        <w:t xml:space="preserve"> </w:t>
      </w:r>
      <w:r w:rsidRPr="00D31BA5">
        <w:rPr>
          <w:rStyle w:val="normaltextrun"/>
          <w:rFonts w:ascii="Arial" w:eastAsia="Arial" w:hAnsi="Arial" w:cs="Arial"/>
          <w:color w:val="000000"/>
          <w:sz w:val="18"/>
          <w:szCs w:val="18"/>
        </w:rPr>
        <w:t xml:space="preserve">of the </w:t>
      </w:r>
      <w:r w:rsidRPr="00D31BA5">
        <w:rPr>
          <w:rStyle w:val="normaltextrun"/>
          <w:rFonts w:ascii="Arial" w:eastAsia="Arial" w:hAnsi="Arial" w:cs="Arial"/>
          <w:i/>
          <w:iCs/>
          <w:color w:val="000000"/>
          <w:sz w:val="18"/>
          <w:szCs w:val="18"/>
        </w:rPr>
        <w:t>biosecurity plan</w:t>
      </w:r>
      <w:r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sz w:val="18"/>
          <w:szCs w:val="18"/>
          <w:u w:val="double"/>
        </w:rPr>
        <w:t>should be described.</w:t>
      </w:r>
      <w:r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strike/>
          <w:color w:val="000000"/>
          <w:sz w:val="18"/>
          <w:szCs w:val="18"/>
        </w:rPr>
        <w:t>and identified t</w:t>
      </w:r>
      <w:r w:rsidRPr="00D31BA5">
        <w:rPr>
          <w:rStyle w:val="normaltextrun"/>
          <w:rFonts w:ascii="Arial" w:eastAsia="Arial" w:hAnsi="Arial" w:cs="Arial"/>
          <w:color w:val="000000"/>
          <w:sz w:val="18"/>
          <w:szCs w:val="18"/>
          <w:u w:val="double"/>
        </w:rPr>
        <w:t>T</w:t>
      </w:r>
      <w:r w:rsidRPr="00D31BA5">
        <w:rPr>
          <w:rStyle w:val="normaltextrun"/>
          <w:rFonts w:ascii="Arial" w:eastAsia="Arial" w:hAnsi="Arial" w:cs="Arial"/>
          <w:color w:val="000000"/>
          <w:sz w:val="18"/>
          <w:szCs w:val="18"/>
        </w:rPr>
        <w:t xml:space="preserve">riggers for </w:t>
      </w:r>
      <w:r w:rsidRPr="00D31BA5">
        <w:rPr>
          <w:rStyle w:val="normaltextrun"/>
          <w:rFonts w:ascii="Arial" w:eastAsia="Arial" w:hAnsi="Arial" w:cs="Arial"/>
          <w:strike/>
          <w:color w:val="000000"/>
          <w:sz w:val="18"/>
          <w:szCs w:val="18"/>
          <w:highlight w:val="yellow"/>
        </w:rPr>
        <w:t>ad hoc</w:t>
      </w:r>
      <w:r w:rsidRPr="00D31BA5">
        <w:rPr>
          <w:rStyle w:val="normaltextrun"/>
          <w:rFonts w:ascii="Arial" w:eastAsia="Arial" w:hAnsi="Arial" w:cs="Arial"/>
          <w:color w:val="000000"/>
          <w:sz w:val="18"/>
          <w:szCs w:val="18"/>
          <w:highlight w:val="yellow"/>
        </w:rPr>
        <w:t xml:space="preserve"> </w:t>
      </w:r>
      <w:r w:rsidRPr="00D31BA5">
        <w:rPr>
          <w:rStyle w:val="normaltextrun"/>
          <w:rFonts w:ascii="Arial" w:eastAsia="Arial" w:hAnsi="Arial" w:cs="Arial"/>
          <w:i/>
          <w:iCs/>
          <w:color w:val="000000"/>
          <w:sz w:val="18"/>
          <w:szCs w:val="18"/>
          <w:highlight w:val="yellow"/>
          <w:u w:val="double"/>
        </w:rPr>
        <w:t>ad hoc</w:t>
      </w:r>
      <w:r w:rsidRPr="00D31BA5">
        <w:rPr>
          <w:rStyle w:val="normaltextrun"/>
          <w:rFonts w:ascii="Arial" w:eastAsia="Arial" w:hAnsi="Arial" w:cs="Arial"/>
          <w:i/>
          <w:iCs/>
          <w:color w:val="000000"/>
          <w:sz w:val="18"/>
          <w:szCs w:val="18"/>
          <w:highlight w:val="yellow"/>
        </w:rPr>
        <w:t xml:space="preserve"> </w:t>
      </w:r>
      <w:r w:rsidRPr="00D31BA5">
        <w:rPr>
          <w:rStyle w:val="normaltextrun"/>
          <w:rFonts w:ascii="Arial" w:eastAsia="Arial" w:hAnsi="Arial" w:cs="Arial"/>
          <w:color w:val="000000"/>
          <w:sz w:val="18"/>
          <w:szCs w:val="18"/>
        </w:rPr>
        <w:t xml:space="preserve">review must be determined (e.g. </w:t>
      </w:r>
      <w:r w:rsidRPr="00D31BA5">
        <w:rPr>
          <w:rStyle w:val="normaltextrun"/>
          <w:rFonts w:ascii="Arial" w:eastAsia="Arial" w:hAnsi="Arial" w:cs="Arial"/>
          <w:i/>
          <w:iCs/>
          <w:color w:val="000000"/>
          <w:sz w:val="18"/>
          <w:szCs w:val="18"/>
          <w:highlight w:val="yellow"/>
          <w:u w:val="double"/>
        </w:rPr>
        <w:t>outbreaks</w:t>
      </w:r>
      <w:r w:rsidRPr="00D31BA5">
        <w:rPr>
          <w:rStyle w:val="normaltextrun"/>
          <w:rFonts w:ascii="Arial" w:eastAsia="Arial" w:hAnsi="Arial" w:cs="Arial"/>
          <w:color w:val="000000"/>
          <w:sz w:val="18"/>
          <w:szCs w:val="18"/>
          <w:highlight w:val="yellow"/>
          <w:u w:val="double"/>
        </w:rPr>
        <w:t xml:space="preserve"> of </w:t>
      </w:r>
      <w:r w:rsidRPr="00D31BA5">
        <w:rPr>
          <w:rStyle w:val="normaltextrun"/>
          <w:rFonts w:ascii="Arial" w:eastAsia="Arial" w:hAnsi="Arial" w:cs="Arial"/>
          <w:i/>
          <w:iCs/>
          <w:color w:val="000000"/>
          <w:sz w:val="18"/>
          <w:szCs w:val="18"/>
          <w:highlight w:val="yellow"/>
          <w:u w:val="double"/>
        </w:rPr>
        <w:t>disease</w:t>
      </w:r>
      <w:r w:rsidRPr="00D31BA5">
        <w:rPr>
          <w:rStyle w:val="normaltextrun"/>
          <w:rFonts w:ascii="Arial" w:eastAsia="Arial" w:hAnsi="Arial" w:cs="Arial"/>
          <w:color w:val="000000"/>
          <w:sz w:val="18"/>
          <w:szCs w:val="18"/>
          <w:highlight w:val="yellow"/>
          <w:u w:val="double"/>
        </w:rPr>
        <w:t>, and</w:t>
      </w:r>
      <w:r w:rsidRPr="00D31BA5">
        <w:rPr>
          <w:rStyle w:val="normaltextrun"/>
          <w:rFonts w:ascii="Arial" w:eastAsia="Arial" w:hAnsi="Arial" w:cs="Arial"/>
          <w:color w:val="000000"/>
          <w:sz w:val="18"/>
          <w:szCs w:val="18"/>
          <w:highlight w:val="yellow"/>
        </w:rPr>
        <w:t xml:space="preserve"> </w:t>
      </w:r>
      <w:r w:rsidRPr="00D31BA5">
        <w:rPr>
          <w:rStyle w:val="normaltextrun"/>
          <w:rFonts w:ascii="Arial" w:eastAsia="Arial" w:hAnsi="Arial" w:cs="Arial"/>
          <w:color w:val="000000"/>
          <w:sz w:val="18"/>
          <w:szCs w:val="18"/>
        </w:rPr>
        <w:t>changes to infrastructure, production techniques</w:t>
      </w:r>
      <w:r w:rsidRPr="00D31BA5">
        <w:rPr>
          <w:rStyle w:val="normaltextrun"/>
          <w:rFonts w:ascii="Arial" w:eastAsia="Arial" w:hAnsi="Arial" w:cs="Arial"/>
          <w:color w:val="000000"/>
          <w:sz w:val="18"/>
          <w:szCs w:val="18"/>
          <w:u w:val="double"/>
        </w:rPr>
        <w:t>,</w:t>
      </w:r>
      <w:r w:rsidRPr="00D31BA5">
        <w:rPr>
          <w:rStyle w:val="normaltextrun"/>
          <w:rFonts w:ascii="Arial" w:eastAsia="Arial" w:hAnsi="Arial" w:cs="Arial"/>
          <w:color w:val="000000"/>
          <w:sz w:val="18"/>
          <w:szCs w:val="18"/>
        </w:rPr>
        <w:t xml:space="preserve"> </w:t>
      </w:r>
      <w:r w:rsidRPr="00D31BA5">
        <w:rPr>
          <w:rStyle w:val="normaltextrun"/>
          <w:rFonts w:ascii="Arial" w:eastAsia="Arial" w:hAnsi="Arial" w:cs="Arial"/>
          <w:i/>
          <w:iCs/>
          <w:strike/>
          <w:sz w:val="18"/>
          <w:szCs w:val="18"/>
          <w:highlight w:val="yellow"/>
          <w:u w:val="double"/>
        </w:rPr>
        <w:t>disease outbreaks</w:t>
      </w:r>
      <w:r w:rsidRPr="00D31BA5">
        <w:rPr>
          <w:rStyle w:val="normaltextrun"/>
          <w:rFonts w:ascii="Arial" w:eastAsia="Arial" w:hAnsi="Arial" w:cs="Arial"/>
          <w:strike/>
          <w:sz w:val="18"/>
          <w:szCs w:val="18"/>
          <w:highlight w:val="yellow"/>
          <w:u w:val="double"/>
        </w:rPr>
        <w:t>,</w:t>
      </w:r>
      <w:r w:rsidRPr="00D31BA5">
        <w:rPr>
          <w:rStyle w:val="normaltextrun"/>
          <w:rFonts w:ascii="Arial" w:eastAsia="Arial" w:hAnsi="Arial" w:cs="Arial"/>
          <w:color w:val="000000"/>
          <w:sz w:val="18"/>
          <w:szCs w:val="18"/>
          <w:highlight w:val="yellow"/>
        </w:rPr>
        <w:t xml:space="preserve"> </w:t>
      </w:r>
      <w:r w:rsidRPr="00D31BA5">
        <w:rPr>
          <w:rStyle w:val="normaltextrun"/>
          <w:rFonts w:ascii="Arial" w:eastAsia="Arial" w:hAnsi="Arial" w:cs="Arial"/>
          <w:color w:val="000000"/>
          <w:sz w:val="18"/>
          <w:szCs w:val="18"/>
        </w:rPr>
        <w:t>or risk profiles). Third party audit</w:t>
      </w:r>
      <w:r w:rsidRPr="00D31BA5">
        <w:rPr>
          <w:rStyle w:val="normaltextrun"/>
          <w:rFonts w:ascii="Arial" w:eastAsia="Arial" w:hAnsi="Arial" w:cs="Arial"/>
          <w:color w:val="000000"/>
          <w:sz w:val="18"/>
          <w:szCs w:val="18"/>
          <w:u w:val="double"/>
        </w:rPr>
        <w:t>s</w:t>
      </w:r>
      <w:r w:rsidRPr="00D31BA5">
        <w:rPr>
          <w:rStyle w:val="normaltextrun"/>
          <w:rFonts w:ascii="Arial" w:eastAsia="Arial" w:hAnsi="Arial" w:cs="Arial"/>
          <w:color w:val="000000"/>
          <w:sz w:val="18"/>
          <w:szCs w:val="18"/>
        </w:rPr>
        <w:t xml:space="preserve"> may be required where recognition of the </w:t>
      </w:r>
      <w:r w:rsidRPr="00D31BA5">
        <w:rPr>
          <w:rStyle w:val="normaltextrun"/>
          <w:rFonts w:ascii="Arial" w:eastAsia="Arial" w:hAnsi="Arial" w:cs="Arial"/>
          <w:i/>
          <w:iCs/>
          <w:color w:val="000000"/>
          <w:sz w:val="18"/>
          <w:szCs w:val="18"/>
        </w:rPr>
        <w:t>biosecurity</w:t>
      </w:r>
      <w:r w:rsidRPr="00D31BA5">
        <w:rPr>
          <w:rStyle w:val="normaltextrun"/>
          <w:rFonts w:ascii="Arial" w:eastAsia="Arial" w:hAnsi="Arial" w:cs="Arial"/>
          <w:color w:val="000000"/>
          <w:sz w:val="18"/>
          <w:szCs w:val="18"/>
        </w:rPr>
        <w:t xml:space="preserve"> measures is required by customers, </w:t>
      </w:r>
      <w:r w:rsidRPr="00D31BA5">
        <w:rPr>
          <w:rStyle w:val="normaltextrun"/>
          <w:rFonts w:ascii="Arial" w:eastAsia="Arial" w:hAnsi="Arial" w:cs="Arial"/>
          <w:color w:val="000000"/>
          <w:sz w:val="18"/>
          <w:szCs w:val="18"/>
          <w:u w:val="double"/>
        </w:rPr>
        <w:t>or</w:t>
      </w:r>
      <w:r w:rsidRPr="00D31BA5">
        <w:rPr>
          <w:rStyle w:val="normaltextrun"/>
          <w:rFonts w:ascii="Arial" w:eastAsia="Arial" w:hAnsi="Arial" w:cs="Arial"/>
          <w:color w:val="000000"/>
          <w:sz w:val="18"/>
          <w:szCs w:val="18"/>
        </w:rPr>
        <w:t xml:space="preserve"> regulators</w:t>
      </w:r>
      <w:r w:rsidRPr="00D31BA5">
        <w:rPr>
          <w:rStyle w:val="normaltextrun"/>
          <w:rFonts w:ascii="Arial" w:eastAsia="Arial" w:hAnsi="Arial" w:cs="Arial"/>
          <w:color w:val="000000"/>
          <w:sz w:val="18"/>
          <w:szCs w:val="18"/>
          <w:u w:val="double"/>
        </w:rPr>
        <w:t>,</w:t>
      </w:r>
      <w:r w:rsidRPr="00D31BA5">
        <w:rPr>
          <w:rStyle w:val="normaltextrun"/>
          <w:rFonts w:ascii="Arial" w:eastAsia="Arial" w:hAnsi="Arial" w:cs="Arial"/>
          <w:color w:val="000000"/>
          <w:sz w:val="18"/>
          <w:szCs w:val="18"/>
        </w:rPr>
        <w:t xml:space="preserve"> or for market access, as </w:t>
      </w:r>
      <w:r w:rsidRPr="00D31BA5">
        <w:rPr>
          <w:rStyle w:val="normaltextrun"/>
          <w:rFonts w:ascii="Arial" w:eastAsia="Arial" w:hAnsi="Arial" w:cs="Arial"/>
          <w:strike/>
          <w:color w:val="000000"/>
          <w:sz w:val="18"/>
          <w:szCs w:val="18"/>
        </w:rPr>
        <w:t xml:space="preserve">described </w:t>
      </w:r>
      <w:r w:rsidRPr="00D31BA5">
        <w:rPr>
          <w:rStyle w:val="normaltextrun"/>
          <w:rFonts w:ascii="Arial" w:eastAsia="Arial" w:hAnsi="Arial" w:cs="Arial"/>
          <w:sz w:val="18"/>
          <w:szCs w:val="18"/>
          <w:u w:val="double"/>
        </w:rPr>
        <w:t>provided</w:t>
      </w:r>
      <w:r w:rsidRPr="00D31BA5">
        <w:rPr>
          <w:rStyle w:val="normaltextrun"/>
          <w:rFonts w:ascii="Arial" w:eastAsia="Arial" w:hAnsi="Arial" w:cs="Arial"/>
          <w:color w:val="000000"/>
          <w:sz w:val="18"/>
          <w:szCs w:val="18"/>
        </w:rPr>
        <w:t xml:space="preserve"> in Article 4.X.8.</w:t>
      </w:r>
    </w:p>
    <w:p w14:paraId="2DCE742F" w14:textId="77777777" w:rsidR="0094086E" w:rsidRPr="00B94642" w:rsidRDefault="0094086E" w:rsidP="0094086E">
      <w:pPr>
        <w:spacing w:after="240"/>
        <w:jc w:val="center"/>
        <w:rPr>
          <w:rFonts w:ascii="Ottawa" w:hAnsi="Ottawa" w:cs="Times New Roman"/>
          <w:sz w:val="18"/>
          <w:szCs w:val="18"/>
        </w:rPr>
      </w:pPr>
      <w:r w:rsidRPr="00B94642">
        <w:rPr>
          <w:rFonts w:ascii="Ottawa" w:hAnsi="Ottawa" w:cs="Times New Roman"/>
          <w:sz w:val="18"/>
          <w:szCs w:val="18"/>
        </w:rPr>
        <w:t>Article 4.X.5.</w:t>
      </w:r>
    </w:p>
    <w:p w14:paraId="644C0756" w14:textId="77777777" w:rsidR="0094086E" w:rsidRPr="00B94642" w:rsidRDefault="0094086E" w:rsidP="0094086E">
      <w:pPr>
        <w:spacing w:after="240"/>
        <w:jc w:val="both"/>
        <w:rPr>
          <w:rFonts w:ascii="Ottawa" w:hAnsi="Ottawa" w:cs="Times New Roman"/>
          <w:b/>
          <w:color w:val="000000"/>
          <w:sz w:val="18"/>
          <w:szCs w:val="18"/>
        </w:rPr>
      </w:pPr>
      <w:r w:rsidRPr="00B94642">
        <w:rPr>
          <w:rFonts w:ascii="Ottawa" w:hAnsi="Ottawa" w:cs="Times New Roman"/>
          <w:b/>
          <w:color w:val="000000"/>
          <w:sz w:val="18"/>
          <w:szCs w:val="18"/>
        </w:rPr>
        <w:t xml:space="preserve">Categories of aquaculture production systems </w:t>
      </w:r>
    </w:p>
    <w:p w14:paraId="53C26D65" w14:textId="6DD01D5B" w:rsidR="0094086E" w:rsidRPr="00B94642" w:rsidRDefault="0094086E" w:rsidP="0094086E">
      <w:pPr>
        <w:pStyle w:val="Default"/>
        <w:spacing w:after="240"/>
        <w:jc w:val="both"/>
        <w:rPr>
          <w:rFonts w:eastAsia="Arial"/>
          <w:sz w:val="18"/>
          <w:szCs w:val="18"/>
          <w:shd w:val="clear" w:color="auto" w:fill="FFFFFF"/>
          <w:lang w:val="en-GB"/>
        </w:rPr>
      </w:pPr>
      <w:r w:rsidRPr="00B94642">
        <w:rPr>
          <w:i/>
          <w:strike/>
          <w:sz w:val="18"/>
          <w:szCs w:val="18"/>
          <w:shd w:val="clear" w:color="auto" w:fill="FFFFFF"/>
          <w:lang w:val="en-GB"/>
        </w:rPr>
        <w:t xml:space="preserve">Aquatic animals </w:t>
      </w:r>
      <w:r w:rsidRPr="00B94642">
        <w:rPr>
          <w:strike/>
          <w:sz w:val="18"/>
          <w:szCs w:val="18"/>
          <w:shd w:val="clear" w:color="auto" w:fill="FFFFFF"/>
          <w:lang w:val="en-GB"/>
        </w:rPr>
        <w:t>can be produced in f</w:t>
      </w:r>
      <w:r w:rsidRPr="00B94642">
        <w:rPr>
          <w:sz w:val="18"/>
          <w:szCs w:val="18"/>
          <w:u w:val="double"/>
          <w:shd w:val="clear" w:color="auto" w:fill="FFFFFF"/>
          <w:lang w:val="en-GB"/>
        </w:rPr>
        <w:t>F</w:t>
      </w:r>
      <w:r w:rsidRPr="00B94642">
        <w:rPr>
          <w:sz w:val="18"/>
          <w:szCs w:val="18"/>
          <w:shd w:val="clear" w:color="auto" w:fill="FFFFFF"/>
          <w:lang w:val="en-GB"/>
        </w:rPr>
        <w:t xml:space="preserve">our different categories of </w:t>
      </w:r>
      <w:r w:rsidRPr="00B94642">
        <w:rPr>
          <w:i/>
          <w:iCs/>
          <w:sz w:val="18"/>
          <w:szCs w:val="18"/>
          <w:u w:val="double"/>
          <w:shd w:val="clear" w:color="auto" w:fill="FFFFFF"/>
          <w:lang w:val="en-GB"/>
        </w:rPr>
        <w:t>aquaculture</w:t>
      </w:r>
      <w:r w:rsidRPr="00B94642">
        <w:rPr>
          <w:sz w:val="18"/>
          <w:szCs w:val="18"/>
          <w:shd w:val="clear" w:color="auto" w:fill="FFFFFF"/>
          <w:lang w:val="en-GB"/>
        </w:rPr>
        <w:t xml:space="preserve"> production systems</w:t>
      </w:r>
      <w:r w:rsidRPr="00B94642">
        <w:rPr>
          <w:strike/>
          <w:sz w:val="18"/>
          <w:szCs w:val="18"/>
          <w:shd w:val="clear" w:color="auto" w:fill="FFFFFF"/>
          <w:lang w:val="en-GB"/>
        </w:rPr>
        <w:t>, which</w:t>
      </w:r>
      <w:r w:rsidRPr="00B94642">
        <w:rPr>
          <w:sz w:val="18"/>
          <w:szCs w:val="18"/>
          <w:shd w:val="clear" w:color="auto" w:fill="FFFFFF"/>
          <w:lang w:val="en-GB"/>
        </w:rPr>
        <w:t xml:space="preserve"> are defined based on the capacity to treat water entering and exiting the system, and the level of control</w:t>
      </w:r>
      <w:r w:rsidRPr="00B94642">
        <w:rPr>
          <w:rFonts w:eastAsia="SimSun"/>
          <w:sz w:val="18"/>
          <w:szCs w:val="18"/>
          <w:shd w:val="clear" w:color="auto" w:fill="FFFFFF"/>
          <w:lang w:val="en-GB" w:eastAsia="zh-CN"/>
        </w:rPr>
        <w:t xml:space="preserve"> </w:t>
      </w:r>
      <w:r w:rsidRPr="00B94642">
        <w:rPr>
          <w:strike/>
          <w:sz w:val="18"/>
          <w:szCs w:val="18"/>
          <w:highlight w:val="yellow"/>
          <w:shd w:val="clear" w:color="auto" w:fill="FFFFFF"/>
          <w:lang w:val="en-GB"/>
        </w:rPr>
        <w:t>of</w:t>
      </w:r>
      <w:r w:rsidRPr="00B94642">
        <w:rPr>
          <w:sz w:val="18"/>
          <w:szCs w:val="18"/>
          <w:shd w:val="clear" w:color="auto" w:fill="FFFFFF"/>
          <w:lang w:val="en-GB"/>
        </w:rPr>
        <w:t xml:space="preserve"> </w:t>
      </w:r>
      <w:r w:rsidR="002B6ED5" w:rsidRPr="00B94642">
        <w:rPr>
          <w:sz w:val="18"/>
          <w:szCs w:val="18"/>
          <w:highlight w:val="yellow"/>
          <w:u w:val="double"/>
          <w:shd w:val="clear" w:color="auto" w:fill="FFFFFF"/>
          <w:lang w:val="en-GB"/>
        </w:rPr>
        <w:t>over</w:t>
      </w:r>
      <w:r w:rsidR="002B6ED5" w:rsidRPr="00B94642">
        <w:rPr>
          <w:sz w:val="18"/>
          <w:szCs w:val="18"/>
          <w:shd w:val="clear" w:color="auto" w:fill="FFFFFF"/>
          <w:lang w:val="en-GB"/>
        </w:rPr>
        <w:t xml:space="preserve"> </w:t>
      </w:r>
      <w:r w:rsidRPr="00B94642">
        <w:rPr>
          <w:i/>
          <w:sz w:val="18"/>
          <w:szCs w:val="18"/>
          <w:shd w:val="clear" w:color="auto" w:fill="FFFFFF"/>
          <w:lang w:val="en-GB"/>
        </w:rPr>
        <w:t>aquatic animals</w:t>
      </w:r>
      <w:r w:rsidRPr="00B94642">
        <w:rPr>
          <w:sz w:val="18"/>
          <w:szCs w:val="18"/>
          <w:shd w:val="clear" w:color="auto" w:fill="FFFFFF"/>
          <w:lang w:val="en-GB"/>
        </w:rPr>
        <w:t xml:space="preserve"> and </w:t>
      </w:r>
      <w:r w:rsidRPr="00B94642">
        <w:rPr>
          <w:i/>
          <w:sz w:val="18"/>
          <w:szCs w:val="18"/>
          <w:shd w:val="clear" w:color="auto" w:fill="FFFFFF"/>
          <w:lang w:val="en-GB"/>
        </w:rPr>
        <w:t>vectors</w:t>
      </w:r>
      <w:r w:rsidRPr="00B94642">
        <w:rPr>
          <w:sz w:val="18"/>
          <w:szCs w:val="18"/>
          <w:shd w:val="clear" w:color="auto" w:fill="FFFFFF"/>
          <w:lang w:val="en-GB"/>
        </w:rPr>
        <w:t xml:space="preserve">. These </w:t>
      </w:r>
      <w:r w:rsidRPr="00B94642">
        <w:rPr>
          <w:strike/>
          <w:sz w:val="18"/>
          <w:szCs w:val="18"/>
          <w:shd w:val="clear" w:color="auto" w:fill="FFFFFF"/>
          <w:lang w:val="en-GB"/>
        </w:rPr>
        <w:t>measures</w:t>
      </w:r>
      <w:r w:rsidRPr="00B94642">
        <w:rPr>
          <w:sz w:val="18"/>
          <w:szCs w:val="18"/>
          <w:shd w:val="clear" w:color="auto" w:fill="FFFFFF"/>
          <w:lang w:val="en-GB"/>
        </w:rPr>
        <w:t xml:space="preserve"> </w:t>
      </w:r>
      <w:r w:rsidRPr="00B94642">
        <w:rPr>
          <w:sz w:val="18"/>
          <w:szCs w:val="18"/>
          <w:u w:val="double"/>
          <w:shd w:val="clear" w:color="auto" w:fill="FFFFFF"/>
          <w:lang w:val="en-GB"/>
        </w:rPr>
        <w:t xml:space="preserve">factors </w:t>
      </w:r>
      <w:r w:rsidRPr="00B94642">
        <w:rPr>
          <w:sz w:val="18"/>
          <w:szCs w:val="18"/>
          <w:shd w:val="clear" w:color="auto" w:fill="FFFFFF"/>
          <w:lang w:val="en-GB"/>
        </w:rPr>
        <w:t xml:space="preserve">need to be considered in </w:t>
      </w:r>
      <w:r w:rsidRPr="00B94642">
        <w:rPr>
          <w:i/>
          <w:sz w:val="18"/>
          <w:szCs w:val="18"/>
          <w:shd w:val="clear" w:color="auto" w:fill="FFFFFF"/>
          <w:lang w:val="en-GB"/>
        </w:rPr>
        <w:t>biosecurity</w:t>
      </w:r>
      <w:r w:rsidRPr="00B94642">
        <w:rPr>
          <w:sz w:val="18"/>
          <w:szCs w:val="18"/>
          <w:shd w:val="clear" w:color="auto" w:fill="FFFFFF"/>
          <w:lang w:val="en-GB"/>
        </w:rPr>
        <w:t xml:space="preserve"> planning.</w:t>
      </w:r>
    </w:p>
    <w:p w14:paraId="0ABD8842" w14:textId="77777777" w:rsidR="00B94642" w:rsidRDefault="00B94642">
      <w:pPr>
        <w:rPr>
          <w:rFonts w:eastAsia="Calibri" w:cs="Times New Roman"/>
          <w:color w:val="202020"/>
          <w:szCs w:val="20"/>
          <w:u w:val="single" w:color="202020"/>
          <w:shd w:val="clear" w:color="auto" w:fill="FFFFFF"/>
        </w:rPr>
      </w:pPr>
      <w:r>
        <w:rPr>
          <w:rFonts w:cs="Times New Roman"/>
          <w:color w:val="202020"/>
          <w:szCs w:val="20"/>
          <w:u w:val="single" w:color="202020"/>
          <w:shd w:val="clear" w:color="auto" w:fill="FFFFFF"/>
        </w:rPr>
        <w:br w:type="page"/>
      </w:r>
    </w:p>
    <w:p w14:paraId="6CFC58C1" w14:textId="77777777" w:rsidR="00B94642" w:rsidRPr="00B94642" w:rsidRDefault="00B94642" w:rsidP="00B94642">
      <w:pPr>
        <w:pStyle w:val="Default"/>
        <w:spacing w:after="480"/>
        <w:jc w:val="right"/>
        <w:rPr>
          <w:rFonts w:ascii="Times New Roman" w:hAnsi="Times New Roman" w:cs="Times New Roman"/>
          <w:sz w:val="20"/>
          <w:szCs w:val="20"/>
          <w:lang w:val="en-GB"/>
        </w:rPr>
      </w:pPr>
      <w:r w:rsidRPr="00B94642">
        <w:rPr>
          <w:rFonts w:ascii="Times New Roman" w:hAnsi="Times New Roman" w:cs="Times New Roman"/>
          <w:sz w:val="20"/>
          <w:szCs w:val="20"/>
          <w:u w:val="single"/>
          <w:lang w:val="en-GB"/>
        </w:rPr>
        <w:lastRenderedPageBreak/>
        <w:t>Annex 2</w:t>
      </w:r>
      <w:r w:rsidRPr="00B94642">
        <w:rPr>
          <w:rFonts w:ascii="Times New Roman" w:hAnsi="Times New Roman" w:cs="Times New Roman"/>
          <w:sz w:val="20"/>
          <w:szCs w:val="20"/>
          <w:lang w:val="en-GB"/>
        </w:rPr>
        <w:t xml:space="preserve"> (contd)</w:t>
      </w:r>
    </w:p>
    <w:p w14:paraId="64EB9EE5" w14:textId="3895FC49" w:rsidR="0094086E" w:rsidRPr="00B94642" w:rsidRDefault="0094086E" w:rsidP="0094086E">
      <w:pPr>
        <w:pStyle w:val="Default"/>
        <w:spacing w:after="240"/>
        <w:jc w:val="both"/>
        <w:rPr>
          <w:color w:val="202020"/>
          <w:sz w:val="18"/>
          <w:szCs w:val="18"/>
          <w:u w:val="single" w:color="202020"/>
          <w:shd w:val="clear" w:color="auto" w:fill="FFFFFF"/>
          <w:lang w:val="en-GB"/>
        </w:rPr>
      </w:pPr>
      <w:r w:rsidRPr="00B94642">
        <w:rPr>
          <w:color w:val="202020"/>
          <w:sz w:val="18"/>
          <w:szCs w:val="18"/>
          <w:u w:val="single" w:color="202020"/>
          <w:shd w:val="clear" w:color="auto" w:fill="FFFFFF"/>
          <w:lang w:val="en-GB"/>
        </w:rPr>
        <w:t>Open systems</w:t>
      </w:r>
    </w:p>
    <w:p w14:paraId="3E3BA3EA" w14:textId="77777777" w:rsidR="0094086E" w:rsidRPr="00B94642" w:rsidRDefault="0094086E" w:rsidP="0094086E">
      <w:pPr>
        <w:pStyle w:val="Default"/>
        <w:spacing w:after="240"/>
        <w:jc w:val="both"/>
        <w:rPr>
          <w:color w:val="202020"/>
          <w:sz w:val="18"/>
          <w:szCs w:val="18"/>
          <w:u w:val="double"/>
          <w:shd w:val="clear" w:color="auto" w:fill="FFFFFF"/>
          <w:lang w:val="en-GB"/>
        </w:rPr>
      </w:pPr>
      <w:r w:rsidRPr="00B94642">
        <w:rPr>
          <w:color w:val="202020"/>
          <w:sz w:val="18"/>
          <w:szCs w:val="18"/>
          <w:u w:val="double" w:color="202020"/>
          <w:shd w:val="clear" w:color="auto" w:fill="FFFFFF"/>
          <w:lang w:val="en-GB"/>
        </w:rPr>
        <w:t>In an open</w:t>
      </w:r>
      <w:r w:rsidRPr="00B94642">
        <w:rPr>
          <w:color w:val="202020"/>
          <w:sz w:val="18"/>
          <w:szCs w:val="18"/>
          <w:u w:color="202020"/>
          <w:shd w:val="clear" w:color="auto" w:fill="FFFFFF"/>
          <w:lang w:val="en-GB"/>
        </w:rPr>
        <w:t xml:space="preserve"> </w:t>
      </w:r>
      <w:r w:rsidRPr="00B94642">
        <w:rPr>
          <w:strike/>
          <w:color w:val="202020"/>
          <w:sz w:val="18"/>
          <w:szCs w:val="18"/>
          <w:u w:color="202020"/>
          <w:shd w:val="clear" w:color="auto" w:fill="FFFFFF"/>
          <w:lang w:val="en-GB"/>
        </w:rPr>
        <w:t>Open</w:t>
      </w:r>
      <w:r w:rsidRPr="00B94642">
        <w:rPr>
          <w:color w:val="202020"/>
          <w:sz w:val="18"/>
          <w:szCs w:val="18"/>
          <w:u w:color="202020"/>
          <w:shd w:val="clear" w:color="auto" w:fill="FFFFFF"/>
          <w:lang w:val="en-GB"/>
        </w:rPr>
        <w:t> </w:t>
      </w:r>
      <w:r w:rsidRPr="00B94642">
        <w:rPr>
          <w:i/>
          <w:iCs/>
          <w:color w:val="202020"/>
          <w:sz w:val="18"/>
          <w:szCs w:val="18"/>
          <w:u w:color="202020"/>
          <w:shd w:val="clear" w:color="auto" w:fill="FFFFFF"/>
          <w:lang w:val="en-GB"/>
        </w:rPr>
        <w:t>aquaculture</w:t>
      </w:r>
      <w:r w:rsidRPr="00B94642">
        <w:rPr>
          <w:color w:val="202020"/>
          <w:sz w:val="18"/>
          <w:szCs w:val="18"/>
          <w:u w:color="202020"/>
          <w:shd w:val="clear" w:color="auto" w:fill="FFFFFF"/>
          <w:lang w:val="en-GB"/>
        </w:rPr>
        <w:t> production system</w:t>
      </w:r>
      <w:r w:rsidRPr="00B94642">
        <w:rPr>
          <w:strike/>
          <w:color w:val="202020"/>
          <w:sz w:val="18"/>
          <w:szCs w:val="18"/>
          <w:u w:color="202020"/>
          <w:shd w:val="clear" w:color="auto" w:fill="FFFFFF"/>
          <w:lang w:val="en-GB"/>
        </w:rPr>
        <w:t xml:space="preserve">s, </w:t>
      </w:r>
      <w:r w:rsidRPr="00B94642">
        <w:rPr>
          <w:color w:val="202020"/>
          <w:sz w:val="18"/>
          <w:szCs w:val="18"/>
          <w:u w:val="double" w:color="202020"/>
          <w:shd w:val="clear" w:color="auto" w:fill="FFFFFF"/>
          <w:lang w:val="en-GB"/>
        </w:rPr>
        <w:t>it is not possible to</w:t>
      </w:r>
      <w:r w:rsidRPr="00B94642">
        <w:rPr>
          <w:color w:val="202020"/>
          <w:sz w:val="18"/>
          <w:szCs w:val="18"/>
          <w:u w:color="202020"/>
          <w:shd w:val="clear" w:color="auto" w:fill="FFFFFF"/>
          <w:lang w:val="en-GB"/>
        </w:rPr>
        <w:t xml:space="preserve"> have </w:t>
      </w:r>
      <w:r w:rsidRPr="00B94642">
        <w:rPr>
          <w:strike/>
          <w:color w:val="202020"/>
          <w:sz w:val="18"/>
          <w:szCs w:val="18"/>
          <w:u w:val="double" w:color="202020"/>
          <w:shd w:val="clear" w:color="auto" w:fill="FFFFFF"/>
          <w:lang w:val="en-GB"/>
        </w:rPr>
        <w:t>no</w:t>
      </w:r>
      <w:r w:rsidRPr="00B94642">
        <w:rPr>
          <w:color w:val="202020"/>
          <w:sz w:val="18"/>
          <w:szCs w:val="18"/>
          <w:u w:color="202020"/>
          <w:shd w:val="clear" w:color="auto" w:fill="FFFFFF"/>
          <w:lang w:val="en-GB"/>
        </w:rPr>
        <w:t xml:space="preserve"> control of </w:t>
      </w:r>
      <w:r w:rsidRPr="00B94642">
        <w:rPr>
          <w:color w:val="202020"/>
          <w:sz w:val="18"/>
          <w:szCs w:val="18"/>
          <w:highlight w:val="yellow"/>
          <w:u w:val="double" w:color="202020"/>
          <w:shd w:val="clear" w:color="auto" w:fill="FFFFFF"/>
          <w:lang w:val="en-GB"/>
        </w:rPr>
        <w:t>the</w:t>
      </w:r>
      <w:r w:rsidRPr="00B94642">
        <w:rPr>
          <w:color w:val="202020"/>
          <w:sz w:val="18"/>
          <w:szCs w:val="18"/>
          <w:u w:color="202020"/>
          <w:shd w:val="clear" w:color="auto" w:fill="FFFFFF"/>
          <w:lang w:val="en-GB"/>
        </w:rPr>
        <w:t xml:space="preserve"> water, environmental conditions</w:t>
      </w:r>
      <w:r w:rsidRPr="00B94642">
        <w:rPr>
          <w:color w:val="202020"/>
          <w:sz w:val="18"/>
          <w:szCs w:val="18"/>
          <w:u w:val="double"/>
          <w:shd w:val="clear" w:color="auto" w:fill="FFFFFF"/>
          <w:lang w:val="en-GB"/>
        </w:rPr>
        <w:t>,</w:t>
      </w:r>
      <w:r w:rsidRPr="00B94642">
        <w:rPr>
          <w:rFonts w:eastAsia="SimSun"/>
          <w:color w:val="202020"/>
          <w:sz w:val="18"/>
          <w:szCs w:val="18"/>
          <w:u w:color="202020"/>
          <w:shd w:val="clear" w:color="auto" w:fill="FFFFFF"/>
          <w:lang w:val="en-GB" w:eastAsia="zh-CN"/>
        </w:rPr>
        <w:t xml:space="preserve"> </w:t>
      </w:r>
      <w:r w:rsidRPr="00B94642">
        <w:rPr>
          <w:strike/>
          <w:color w:val="202020"/>
          <w:sz w:val="18"/>
          <w:szCs w:val="18"/>
          <w:u w:color="202020"/>
          <w:shd w:val="clear" w:color="auto" w:fill="FFFFFF"/>
          <w:lang w:val="en-GB"/>
        </w:rPr>
        <w:t>and</w:t>
      </w:r>
      <w:r w:rsidRPr="00B94642">
        <w:rPr>
          <w:color w:val="202020"/>
          <w:sz w:val="18"/>
          <w:szCs w:val="18"/>
          <w:u w:color="202020"/>
          <w:shd w:val="clear" w:color="auto" w:fill="FFFFFF"/>
          <w:lang w:val="en-GB"/>
        </w:rPr>
        <w:t xml:space="preserve"> animals </w:t>
      </w:r>
      <w:r w:rsidRPr="00B94642">
        <w:rPr>
          <w:strike/>
          <w:color w:val="202020"/>
          <w:sz w:val="18"/>
          <w:szCs w:val="18"/>
          <w:highlight w:val="yellow"/>
          <w:u w:val="double" w:color="202020"/>
          <w:shd w:val="clear" w:color="auto" w:fill="FFFFFF"/>
          <w:lang w:val="en-GB"/>
        </w:rPr>
        <w:t>and</w:t>
      </w:r>
      <w:r w:rsidRPr="00B94642">
        <w:rPr>
          <w:color w:val="202020"/>
          <w:sz w:val="18"/>
          <w:szCs w:val="18"/>
          <w:u w:color="202020"/>
          <w:shd w:val="clear" w:color="auto" w:fill="FFFFFF"/>
          <w:lang w:val="en-GB"/>
        </w:rPr>
        <w:t xml:space="preserve"> </w:t>
      </w:r>
      <w:r w:rsidRPr="00B94642">
        <w:rPr>
          <w:color w:val="202020"/>
          <w:sz w:val="18"/>
          <w:szCs w:val="18"/>
          <w:highlight w:val="yellow"/>
          <w:u w:val="double"/>
          <w:shd w:val="clear" w:color="auto" w:fill="FFFFFF"/>
          <w:lang w:val="en-GB"/>
        </w:rPr>
        <w:t>or</w:t>
      </w:r>
      <w:r w:rsidRPr="00B94642">
        <w:rPr>
          <w:color w:val="202020"/>
          <w:sz w:val="18"/>
          <w:szCs w:val="18"/>
          <w:u w:val="double"/>
          <w:shd w:val="clear" w:color="auto" w:fill="FFFFFF"/>
          <w:lang w:val="en-GB"/>
        </w:rPr>
        <w:t xml:space="preserve"> </w:t>
      </w:r>
      <w:r w:rsidRPr="00B94642">
        <w:rPr>
          <w:i/>
          <w:color w:val="202020"/>
          <w:sz w:val="18"/>
          <w:szCs w:val="18"/>
          <w:u w:val="double"/>
          <w:shd w:val="clear" w:color="auto" w:fill="FFFFFF"/>
          <w:lang w:val="en-GB"/>
        </w:rPr>
        <w:t>vectors</w:t>
      </w:r>
      <w:r w:rsidRPr="00B94642">
        <w:rPr>
          <w:color w:val="202020"/>
          <w:sz w:val="18"/>
          <w:szCs w:val="18"/>
          <w:u w:color="202020"/>
          <w:shd w:val="clear" w:color="auto" w:fill="FFFFFF"/>
          <w:lang w:val="en-GB"/>
        </w:rPr>
        <w:t>. These production systems may include stock enhancement of wild populations</w:t>
      </w:r>
      <w:r w:rsidRPr="00B94642">
        <w:rPr>
          <w:color w:val="202020"/>
          <w:sz w:val="18"/>
          <w:szCs w:val="18"/>
          <w:u w:val="double"/>
          <w:shd w:val="clear" w:color="auto" w:fill="FFFFFF"/>
          <w:lang w:val="en-GB"/>
        </w:rPr>
        <w:t xml:space="preserve"> with </w:t>
      </w:r>
      <w:r w:rsidRPr="00B94642">
        <w:rPr>
          <w:i/>
          <w:iCs/>
          <w:color w:val="202020"/>
          <w:sz w:val="18"/>
          <w:szCs w:val="18"/>
          <w:u w:val="double"/>
          <w:shd w:val="clear" w:color="auto" w:fill="FFFFFF"/>
          <w:lang w:val="en-GB"/>
        </w:rPr>
        <w:t>aquatic animals</w:t>
      </w:r>
      <w:r w:rsidRPr="00B94642">
        <w:rPr>
          <w:color w:val="202020"/>
          <w:sz w:val="18"/>
          <w:szCs w:val="18"/>
          <w:u w:val="double"/>
          <w:shd w:val="clear" w:color="auto" w:fill="FFFFFF"/>
          <w:lang w:val="en-GB"/>
        </w:rPr>
        <w:t xml:space="preserve"> originating from </w:t>
      </w:r>
      <w:r w:rsidRPr="00B94642">
        <w:rPr>
          <w:i/>
          <w:color w:val="202020"/>
          <w:sz w:val="18"/>
          <w:szCs w:val="18"/>
          <w:u w:val="double"/>
          <w:shd w:val="clear" w:color="auto" w:fill="FFFFFF"/>
          <w:lang w:val="en-GB"/>
        </w:rPr>
        <w:t>aquaculture establishments</w:t>
      </w:r>
      <w:r w:rsidRPr="00B94642">
        <w:rPr>
          <w:color w:val="202020"/>
          <w:sz w:val="18"/>
          <w:szCs w:val="18"/>
          <w:u w:val="double"/>
          <w:shd w:val="clear" w:color="auto" w:fill="FFFFFF"/>
          <w:lang w:val="en-GB"/>
        </w:rPr>
        <w:t xml:space="preserve"> or from the wild</w:t>
      </w:r>
      <w:r w:rsidRPr="00B94642">
        <w:rPr>
          <w:color w:val="202020"/>
          <w:sz w:val="18"/>
          <w:szCs w:val="18"/>
          <w:u w:color="202020"/>
          <w:shd w:val="clear" w:color="auto" w:fill="FFFFFF"/>
          <w:lang w:val="en-GB"/>
        </w:rPr>
        <w:t>. As these systems cannot be considered ‘</w:t>
      </w:r>
      <w:r w:rsidRPr="00B94642">
        <w:rPr>
          <w:i/>
          <w:iCs/>
          <w:color w:val="202020"/>
          <w:sz w:val="18"/>
          <w:szCs w:val="18"/>
          <w:u w:color="202020"/>
          <w:shd w:val="clear" w:color="auto" w:fill="FFFFFF"/>
          <w:lang w:val="en-GB"/>
        </w:rPr>
        <w:t>aquaculture establishments’</w:t>
      </w:r>
      <w:r w:rsidRPr="00B94642">
        <w:rPr>
          <w:color w:val="202020"/>
          <w:sz w:val="18"/>
          <w:szCs w:val="18"/>
          <w:u w:color="202020"/>
          <w:shd w:val="clear" w:color="auto" w:fill="FFFFFF"/>
          <w:lang w:val="en-GB"/>
        </w:rPr>
        <w:t xml:space="preserve">, they are not considered further in this chapter. </w:t>
      </w:r>
      <w:r w:rsidRPr="00B94642">
        <w:rPr>
          <w:color w:val="202020"/>
          <w:sz w:val="18"/>
          <w:szCs w:val="18"/>
          <w:u w:val="double"/>
          <w:shd w:val="clear" w:color="auto" w:fill="FFFFFF"/>
          <w:lang w:val="en-GB"/>
        </w:rPr>
        <w:t xml:space="preserve">However, movements of </w:t>
      </w:r>
      <w:r w:rsidRPr="00B94642">
        <w:rPr>
          <w:i/>
          <w:color w:val="202020"/>
          <w:sz w:val="18"/>
          <w:szCs w:val="18"/>
          <w:u w:val="double"/>
          <w:shd w:val="clear" w:color="auto" w:fill="FFFFFF"/>
          <w:lang w:val="en-GB"/>
        </w:rPr>
        <w:t>aquatic animals</w:t>
      </w:r>
      <w:r w:rsidRPr="00B94642">
        <w:rPr>
          <w:color w:val="202020"/>
          <w:sz w:val="18"/>
          <w:szCs w:val="18"/>
          <w:u w:val="double"/>
          <w:shd w:val="clear" w:color="auto" w:fill="FFFFFF"/>
          <w:lang w:val="en-GB"/>
        </w:rPr>
        <w:t xml:space="preserve"> </w:t>
      </w:r>
      <w:r w:rsidRPr="00B94642">
        <w:rPr>
          <w:color w:val="202020"/>
          <w:sz w:val="18"/>
          <w:szCs w:val="18"/>
          <w:highlight w:val="yellow"/>
          <w:u w:val="double"/>
          <w:shd w:val="clear" w:color="auto" w:fill="FFFFFF"/>
          <w:lang w:val="en-GB"/>
        </w:rPr>
        <w:t xml:space="preserve">from </w:t>
      </w:r>
      <w:r w:rsidRPr="00B94642">
        <w:rPr>
          <w:i/>
          <w:iCs/>
          <w:color w:val="202020"/>
          <w:sz w:val="18"/>
          <w:szCs w:val="18"/>
          <w:highlight w:val="yellow"/>
          <w:u w:val="double"/>
          <w:shd w:val="clear" w:color="auto" w:fill="FFFFFF"/>
          <w:lang w:val="en-GB"/>
        </w:rPr>
        <w:t>aquaculture establishments</w:t>
      </w:r>
      <w:r w:rsidRPr="00B94642">
        <w:rPr>
          <w:color w:val="202020"/>
          <w:sz w:val="18"/>
          <w:szCs w:val="18"/>
          <w:u w:val="double"/>
          <w:shd w:val="clear" w:color="auto" w:fill="FFFFFF"/>
          <w:lang w:val="en-GB"/>
        </w:rPr>
        <w:t xml:space="preserve"> to open systems should </w:t>
      </w:r>
      <w:r w:rsidRPr="00B94642">
        <w:rPr>
          <w:strike/>
          <w:color w:val="202020"/>
          <w:sz w:val="18"/>
          <w:szCs w:val="18"/>
          <w:highlight w:val="yellow"/>
          <w:u w:val="double"/>
          <w:shd w:val="clear" w:color="auto" w:fill="FFFFFF"/>
          <w:lang w:val="en-GB"/>
        </w:rPr>
        <w:t>still</w:t>
      </w:r>
      <w:r w:rsidRPr="00B94642">
        <w:rPr>
          <w:color w:val="202020"/>
          <w:sz w:val="18"/>
          <w:szCs w:val="18"/>
          <w:highlight w:val="yellow"/>
          <w:u w:val="double"/>
          <w:shd w:val="clear" w:color="auto" w:fill="FFFFFF"/>
          <w:lang w:val="en-GB"/>
        </w:rPr>
        <w:t xml:space="preserve"> </w:t>
      </w:r>
      <w:r w:rsidRPr="00B94642">
        <w:rPr>
          <w:color w:val="202020"/>
          <w:sz w:val="18"/>
          <w:szCs w:val="18"/>
          <w:u w:val="double"/>
          <w:shd w:val="clear" w:color="auto" w:fill="FFFFFF"/>
          <w:lang w:val="en-GB"/>
        </w:rPr>
        <w:t xml:space="preserve">be </w:t>
      </w:r>
      <w:r w:rsidRPr="00B94642">
        <w:rPr>
          <w:strike/>
          <w:color w:val="202020"/>
          <w:sz w:val="18"/>
          <w:szCs w:val="18"/>
          <w:highlight w:val="yellow"/>
          <w:u w:val="double"/>
          <w:shd w:val="clear" w:color="auto" w:fill="FFFFFF"/>
          <w:lang w:val="en-GB"/>
        </w:rPr>
        <w:t>subject to</w:t>
      </w:r>
      <w:r w:rsidRPr="00B94642">
        <w:rPr>
          <w:color w:val="202020"/>
          <w:sz w:val="18"/>
          <w:szCs w:val="18"/>
          <w:highlight w:val="yellow"/>
          <w:u w:val="double"/>
          <w:shd w:val="clear" w:color="auto" w:fill="FFFFFF"/>
          <w:lang w:val="en-GB"/>
        </w:rPr>
        <w:t xml:space="preserve"> assessed to determine the need for </w:t>
      </w:r>
      <w:r w:rsidRPr="00B94642">
        <w:rPr>
          <w:i/>
          <w:iCs/>
          <w:color w:val="202020"/>
          <w:sz w:val="18"/>
          <w:szCs w:val="18"/>
          <w:u w:val="double"/>
          <w:shd w:val="clear" w:color="auto" w:fill="FFFFFF"/>
          <w:lang w:val="en-GB"/>
        </w:rPr>
        <w:t>disease</w:t>
      </w:r>
      <w:r w:rsidRPr="00B94642">
        <w:rPr>
          <w:color w:val="202020"/>
          <w:sz w:val="18"/>
          <w:szCs w:val="18"/>
          <w:u w:val="double"/>
          <w:shd w:val="clear" w:color="auto" w:fill="FFFFFF"/>
          <w:lang w:val="en-GB"/>
        </w:rPr>
        <w:t xml:space="preserve"> mitigation measures.</w:t>
      </w:r>
    </w:p>
    <w:p w14:paraId="110C10FE" w14:textId="77777777" w:rsidR="0094086E" w:rsidRPr="00B94642" w:rsidRDefault="0094086E" w:rsidP="0094086E">
      <w:pPr>
        <w:pStyle w:val="Default"/>
        <w:spacing w:after="240"/>
        <w:jc w:val="both"/>
        <w:rPr>
          <w:rFonts w:eastAsia="Helvetica"/>
          <w:sz w:val="18"/>
          <w:szCs w:val="18"/>
          <w:u w:color="202020"/>
          <w:shd w:val="clear" w:color="auto" w:fill="FFFFFF"/>
          <w:lang w:val="en-US"/>
        </w:rPr>
      </w:pPr>
      <w:r w:rsidRPr="00B94642">
        <w:rPr>
          <w:color w:val="202020"/>
          <w:sz w:val="18"/>
          <w:szCs w:val="18"/>
          <w:u w:val="single" w:color="202020"/>
          <w:shd w:val="clear" w:color="auto" w:fill="FFFFFF"/>
          <w:lang w:val="en-US"/>
        </w:rPr>
        <w:t xml:space="preserve">Semi-open </w:t>
      </w:r>
      <w:r w:rsidRPr="00B94642">
        <w:rPr>
          <w:color w:val="202020"/>
          <w:sz w:val="18"/>
          <w:szCs w:val="18"/>
          <w:highlight w:val="yellow"/>
          <w:u w:val="double" w:color="202020"/>
          <w:shd w:val="clear" w:color="auto" w:fill="FFFFFF"/>
          <w:lang w:val="en-US"/>
        </w:rPr>
        <w:t>systems</w:t>
      </w:r>
    </w:p>
    <w:p w14:paraId="16F4909B" w14:textId="77777777" w:rsidR="0094086E" w:rsidRPr="00B94642" w:rsidRDefault="0094086E" w:rsidP="0094086E">
      <w:pPr>
        <w:pStyle w:val="Default"/>
        <w:spacing w:after="240"/>
        <w:jc w:val="both"/>
        <w:rPr>
          <w:sz w:val="18"/>
          <w:szCs w:val="18"/>
          <w:u w:color="202020"/>
          <w:shd w:val="clear" w:color="auto" w:fill="FFFFFF"/>
          <w:lang w:val="en-GB"/>
        </w:rPr>
      </w:pPr>
      <w:r w:rsidRPr="00B94642">
        <w:rPr>
          <w:color w:val="202020"/>
          <w:sz w:val="18"/>
          <w:szCs w:val="18"/>
          <w:u w:color="202020"/>
          <w:shd w:val="clear" w:color="auto" w:fill="FFFFFF"/>
          <w:lang w:val="en-GB"/>
        </w:rPr>
        <w:t>In a semi-open </w:t>
      </w:r>
      <w:r w:rsidRPr="00B94642">
        <w:rPr>
          <w:i/>
          <w:iCs/>
          <w:color w:val="202020"/>
          <w:sz w:val="18"/>
          <w:szCs w:val="18"/>
          <w:u w:color="202020"/>
          <w:shd w:val="clear" w:color="auto" w:fill="FFFFFF"/>
          <w:lang w:val="en-GB"/>
        </w:rPr>
        <w:t>aquaculture</w:t>
      </w:r>
      <w:r w:rsidRPr="00B94642">
        <w:rPr>
          <w:color w:val="202020"/>
          <w:sz w:val="18"/>
          <w:szCs w:val="18"/>
          <w:u w:color="202020"/>
          <w:shd w:val="clear" w:color="auto" w:fill="FFFFFF"/>
          <w:lang w:val="en-GB"/>
        </w:rPr>
        <w:t xml:space="preserve"> production system, it is not possible to have control </w:t>
      </w:r>
      <w:r w:rsidRPr="00B94642">
        <w:rPr>
          <w:rFonts w:eastAsia="SimSun"/>
          <w:color w:val="202020"/>
          <w:sz w:val="18"/>
          <w:szCs w:val="18"/>
          <w:u w:color="202020"/>
          <w:shd w:val="clear" w:color="auto" w:fill="FFFFFF"/>
          <w:lang w:val="en-GB" w:eastAsia="zh-CN"/>
        </w:rPr>
        <w:t xml:space="preserve">over the </w:t>
      </w:r>
      <w:r w:rsidRPr="00B94642">
        <w:rPr>
          <w:color w:val="202020"/>
          <w:sz w:val="18"/>
          <w:szCs w:val="18"/>
          <w:u w:color="202020"/>
          <w:shd w:val="clear" w:color="auto" w:fill="FFFFFF"/>
          <w:lang w:val="en-GB"/>
        </w:rPr>
        <w:t xml:space="preserve">water entering or exiting the system, or </w:t>
      </w:r>
      <w:r w:rsidRPr="00B94642">
        <w:rPr>
          <w:strike/>
          <w:color w:val="202020"/>
          <w:sz w:val="18"/>
          <w:szCs w:val="18"/>
          <w:u w:val="double"/>
          <w:shd w:val="clear" w:color="auto" w:fill="FFFFFF"/>
          <w:lang w:val="en-GB"/>
        </w:rPr>
        <w:t>of</w:t>
      </w:r>
      <w:r w:rsidRPr="00B94642">
        <w:rPr>
          <w:color w:val="202020"/>
          <w:sz w:val="18"/>
          <w:szCs w:val="18"/>
          <w:u w:color="202020"/>
          <w:shd w:val="clear" w:color="auto" w:fill="FFFFFF"/>
          <w:lang w:val="en-GB"/>
        </w:rPr>
        <w:t xml:space="preserve"> </w:t>
      </w:r>
      <w:r w:rsidRPr="00B94642">
        <w:rPr>
          <w:color w:val="202020"/>
          <w:sz w:val="18"/>
          <w:szCs w:val="18"/>
          <w:highlight w:val="yellow"/>
          <w:u w:val="double"/>
          <w:shd w:val="clear" w:color="auto" w:fill="FFFFFF"/>
          <w:lang w:val="en-GB"/>
        </w:rPr>
        <w:t>over</w:t>
      </w:r>
      <w:r w:rsidRPr="00B94642">
        <w:rPr>
          <w:color w:val="202020"/>
          <w:sz w:val="18"/>
          <w:szCs w:val="18"/>
          <w:highlight w:val="yellow"/>
          <w:u w:color="202020"/>
          <w:shd w:val="clear" w:color="auto" w:fill="FFFFFF"/>
          <w:lang w:val="en-GB"/>
        </w:rPr>
        <w:t xml:space="preserve"> </w:t>
      </w:r>
      <w:r w:rsidRPr="00B94642">
        <w:rPr>
          <w:color w:val="202020"/>
          <w:sz w:val="18"/>
          <w:szCs w:val="18"/>
          <w:u w:color="202020"/>
          <w:shd w:val="clear" w:color="auto" w:fill="FFFFFF"/>
          <w:lang w:val="en-GB"/>
        </w:rPr>
        <w:t xml:space="preserve">the environmental conditions. Some </w:t>
      </w:r>
      <w:r w:rsidRPr="00B94642">
        <w:rPr>
          <w:i/>
          <w:color w:val="202020"/>
          <w:sz w:val="18"/>
          <w:szCs w:val="18"/>
          <w:u w:color="202020"/>
          <w:shd w:val="clear" w:color="auto" w:fill="FFFFFF"/>
          <w:lang w:val="en-GB"/>
        </w:rPr>
        <w:t xml:space="preserve">aquatic animals </w:t>
      </w:r>
      <w:r w:rsidRPr="00B94642">
        <w:rPr>
          <w:color w:val="202020"/>
          <w:sz w:val="18"/>
          <w:szCs w:val="18"/>
          <w:u w:color="202020"/>
          <w:shd w:val="clear" w:color="auto" w:fill="FFFFFF"/>
          <w:lang w:val="en-GB"/>
        </w:rPr>
        <w:t xml:space="preserve">and </w:t>
      </w:r>
      <w:r w:rsidRPr="00B94642">
        <w:rPr>
          <w:i/>
          <w:color w:val="202020"/>
          <w:sz w:val="18"/>
          <w:szCs w:val="18"/>
          <w:u w:color="202020"/>
          <w:shd w:val="clear" w:color="auto" w:fill="FFFFFF"/>
          <w:lang w:val="en-GB"/>
        </w:rPr>
        <w:t>vectors</w:t>
      </w:r>
      <w:r w:rsidRPr="00B94642">
        <w:rPr>
          <w:color w:val="202020"/>
          <w:sz w:val="18"/>
          <w:szCs w:val="18"/>
          <w:u w:color="202020"/>
          <w:shd w:val="clear" w:color="auto" w:fill="FFFFFF"/>
          <w:lang w:val="en-GB"/>
        </w:rPr>
        <w:t xml:space="preserve"> may also enter and exit the system. Examples of </w:t>
      </w:r>
      <w:r w:rsidRPr="00B94642">
        <w:rPr>
          <w:rFonts w:eastAsia="SimSun"/>
          <w:color w:val="202020"/>
          <w:sz w:val="18"/>
          <w:szCs w:val="18"/>
          <w:u w:color="202020"/>
          <w:shd w:val="clear" w:color="auto" w:fill="FFFFFF"/>
          <w:lang w:val="en-GB" w:eastAsia="zh-CN"/>
        </w:rPr>
        <w:t>semi-</w:t>
      </w:r>
      <w:r w:rsidRPr="00B94642">
        <w:rPr>
          <w:color w:val="202020"/>
          <w:sz w:val="18"/>
          <w:szCs w:val="18"/>
          <w:u w:color="202020"/>
          <w:shd w:val="clear" w:color="auto" w:fill="FFFFFF"/>
          <w:lang w:val="en-GB"/>
        </w:rPr>
        <w:t xml:space="preserve">open </w:t>
      </w:r>
      <w:r w:rsidRPr="00B94642">
        <w:rPr>
          <w:i/>
          <w:color w:val="202020"/>
          <w:sz w:val="18"/>
          <w:szCs w:val="18"/>
          <w:u w:color="202020"/>
          <w:shd w:val="clear" w:color="auto" w:fill="FFFFFF"/>
          <w:lang w:val="en-GB"/>
        </w:rPr>
        <w:t>aquaculture</w:t>
      </w:r>
      <w:r w:rsidRPr="00B94642">
        <w:rPr>
          <w:rFonts w:eastAsia="SimSun"/>
          <w:i/>
          <w:color w:val="202020"/>
          <w:sz w:val="18"/>
          <w:szCs w:val="18"/>
          <w:u w:color="202020"/>
          <w:shd w:val="clear" w:color="auto" w:fill="FFFFFF"/>
          <w:lang w:val="en-GB" w:eastAsia="zh-CN"/>
        </w:rPr>
        <w:t xml:space="preserve"> </w:t>
      </w:r>
      <w:r w:rsidRPr="00B94642">
        <w:rPr>
          <w:color w:val="202020"/>
          <w:sz w:val="18"/>
          <w:szCs w:val="18"/>
          <w:u w:color="202020"/>
          <w:shd w:val="clear" w:color="auto" w:fill="FFFFFF"/>
          <w:lang w:val="en-GB"/>
        </w:rPr>
        <w:t xml:space="preserve">production systems are net pens </w:t>
      </w:r>
      <w:r w:rsidRPr="00B94642">
        <w:rPr>
          <w:color w:val="202020"/>
          <w:sz w:val="18"/>
          <w:szCs w:val="18"/>
          <w:u w:val="double"/>
          <w:shd w:val="clear" w:color="auto" w:fill="FFFFFF"/>
          <w:lang w:val="en-GB"/>
        </w:rPr>
        <w:t>for finfish</w:t>
      </w:r>
      <w:r w:rsidRPr="00B94642">
        <w:rPr>
          <w:color w:val="202020"/>
          <w:sz w:val="18"/>
          <w:szCs w:val="18"/>
          <w:u w:color="202020"/>
          <w:shd w:val="clear" w:color="auto" w:fill="FFFFFF"/>
          <w:lang w:val="en-GB"/>
        </w:rPr>
        <w:t xml:space="preserve"> </w:t>
      </w:r>
      <w:r w:rsidRPr="00B94642">
        <w:rPr>
          <w:color w:val="202020"/>
          <w:sz w:val="18"/>
          <w:szCs w:val="18"/>
          <w:u w:val="double"/>
          <w:shd w:val="clear" w:color="auto" w:fill="FFFFFF"/>
          <w:lang w:val="en-GB"/>
        </w:rPr>
        <w:t xml:space="preserve">and suspended baskets for molluscs </w:t>
      </w:r>
      <w:r w:rsidRPr="00B94642">
        <w:rPr>
          <w:strike/>
          <w:color w:val="202020"/>
          <w:sz w:val="18"/>
          <w:szCs w:val="18"/>
          <w:u w:val="double"/>
          <w:shd w:val="clear" w:color="auto" w:fill="FFFFFF"/>
          <w:lang w:val="en-GB"/>
        </w:rPr>
        <w:t>aquaculture</w:t>
      </w:r>
      <w:r w:rsidRPr="00B94642">
        <w:rPr>
          <w:color w:val="202020"/>
          <w:sz w:val="18"/>
          <w:szCs w:val="18"/>
          <w:u w:color="202020"/>
          <w:shd w:val="clear" w:color="auto" w:fill="FFFFFF"/>
          <w:lang w:val="en-GB"/>
        </w:rPr>
        <w:t xml:space="preserve"> in natural water bodies </w:t>
      </w:r>
      <w:r w:rsidRPr="00B94642">
        <w:rPr>
          <w:strike/>
          <w:color w:val="202020"/>
          <w:sz w:val="18"/>
          <w:szCs w:val="18"/>
          <w:u w:color="202020"/>
          <w:shd w:val="clear" w:color="auto" w:fill="FFFFFF"/>
          <w:lang w:val="en-GB"/>
        </w:rPr>
        <w:t>and mollusc </w:t>
      </w:r>
      <w:r w:rsidRPr="00B94642">
        <w:rPr>
          <w:i/>
          <w:iCs/>
          <w:strike/>
          <w:color w:val="202020"/>
          <w:sz w:val="18"/>
          <w:szCs w:val="18"/>
          <w:u w:color="202020"/>
          <w:shd w:val="clear" w:color="auto" w:fill="FFFFFF"/>
          <w:lang w:val="en-GB"/>
        </w:rPr>
        <w:t>aquaculture</w:t>
      </w:r>
      <w:r w:rsidRPr="00B94642">
        <w:rPr>
          <w:iCs/>
          <w:strike/>
          <w:color w:val="202020"/>
          <w:sz w:val="18"/>
          <w:szCs w:val="18"/>
          <w:u w:color="202020"/>
          <w:shd w:val="clear" w:color="auto" w:fill="FFFFFF"/>
          <w:lang w:val="en-GB"/>
        </w:rPr>
        <w:t>, either suspended in the water column or on the ocean floor</w:t>
      </w:r>
      <w:r w:rsidRPr="00B94642">
        <w:rPr>
          <w:color w:val="202020"/>
          <w:sz w:val="18"/>
          <w:szCs w:val="18"/>
          <w:u w:color="202020"/>
          <w:shd w:val="clear" w:color="auto" w:fill="FFFFFF"/>
          <w:lang w:val="en-GB"/>
        </w:rPr>
        <w:t>. </w:t>
      </w:r>
      <w:r w:rsidRPr="00B94642">
        <w:rPr>
          <w:sz w:val="18"/>
          <w:szCs w:val="18"/>
          <w:u w:color="202020"/>
          <w:shd w:val="clear" w:color="auto" w:fill="FFFFFF"/>
          <w:lang w:val="en-GB"/>
        </w:rPr>
        <w:t> </w:t>
      </w:r>
    </w:p>
    <w:p w14:paraId="3F5C43DB" w14:textId="77777777" w:rsidR="0094086E" w:rsidRPr="00B94642" w:rsidRDefault="0094086E" w:rsidP="0094086E">
      <w:pPr>
        <w:pStyle w:val="Default"/>
        <w:spacing w:after="240"/>
        <w:jc w:val="both"/>
        <w:rPr>
          <w:rFonts w:eastAsia="Helvetica"/>
          <w:sz w:val="18"/>
          <w:szCs w:val="18"/>
          <w:u w:color="202020"/>
          <w:shd w:val="clear" w:color="auto" w:fill="FFFFFF"/>
          <w:lang w:val="en-GB"/>
        </w:rPr>
      </w:pPr>
      <w:r w:rsidRPr="00B94642">
        <w:rPr>
          <w:color w:val="202020"/>
          <w:sz w:val="18"/>
          <w:szCs w:val="18"/>
          <w:u w:val="single" w:color="202020"/>
          <w:shd w:val="clear" w:color="auto" w:fill="FFFFFF"/>
          <w:lang w:val="en-GB"/>
        </w:rPr>
        <w:t xml:space="preserve">Semi-closed </w:t>
      </w:r>
      <w:r w:rsidRPr="00B94642">
        <w:rPr>
          <w:color w:val="202020"/>
          <w:sz w:val="18"/>
          <w:szCs w:val="18"/>
          <w:highlight w:val="yellow"/>
          <w:u w:val="double" w:color="202020"/>
          <w:shd w:val="clear" w:color="auto" w:fill="FFFFFF"/>
          <w:lang w:val="en-GB"/>
        </w:rPr>
        <w:t>systems</w:t>
      </w:r>
    </w:p>
    <w:p w14:paraId="51A3EF37" w14:textId="77777777" w:rsidR="0094086E" w:rsidRPr="00B94642" w:rsidRDefault="0094086E" w:rsidP="0094086E">
      <w:pPr>
        <w:pStyle w:val="Default"/>
        <w:spacing w:after="240"/>
        <w:jc w:val="both"/>
        <w:rPr>
          <w:sz w:val="18"/>
          <w:szCs w:val="18"/>
          <w:u w:color="202020"/>
          <w:shd w:val="clear" w:color="auto" w:fill="FFFFFF"/>
          <w:lang w:val="en-GB"/>
        </w:rPr>
      </w:pPr>
      <w:r w:rsidRPr="00B94642">
        <w:rPr>
          <w:color w:val="202020"/>
          <w:sz w:val="18"/>
          <w:szCs w:val="18"/>
          <w:u w:color="202020"/>
          <w:shd w:val="clear" w:color="auto" w:fill="FFFFFF"/>
          <w:lang w:val="en-GB"/>
        </w:rPr>
        <w:t>In a semi-closed </w:t>
      </w:r>
      <w:r w:rsidRPr="00B94642">
        <w:rPr>
          <w:i/>
          <w:iCs/>
          <w:color w:val="202020"/>
          <w:sz w:val="18"/>
          <w:szCs w:val="18"/>
          <w:u w:color="202020"/>
          <w:shd w:val="clear" w:color="auto" w:fill="FFFFFF"/>
          <w:lang w:val="en-GB"/>
        </w:rPr>
        <w:t>aquaculture</w:t>
      </w:r>
      <w:r w:rsidRPr="00B94642">
        <w:rPr>
          <w:color w:val="202020"/>
          <w:sz w:val="18"/>
          <w:szCs w:val="18"/>
          <w:u w:color="202020"/>
          <w:shd w:val="clear" w:color="auto" w:fill="FFFFFF"/>
          <w:lang w:val="en-GB"/>
        </w:rPr>
        <w:t xml:space="preserve"> production system, there is some control </w:t>
      </w:r>
      <w:r w:rsidRPr="00B94642">
        <w:rPr>
          <w:strike/>
          <w:color w:val="202020"/>
          <w:sz w:val="18"/>
          <w:szCs w:val="18"/>
          <w:u w:color="202020"/>
          <w:shd w:val="clear" w:color="auto" w:fill="FFFFFF"/>
          <w:lang w:val="en-GB"/>
        </w:rPr>
        <w:t>of</w:t>
      </w:r>
      <w:r w:rsidRPr="00B94642">
        <w:rPr>
          <w:color w:val="202020"/>
          <w:sz w:val="18"/>
          <w:szCs w:val="18"/>
          <w:u w:color="202020"/>
          <w:shd w:val="clear" w:color="auto" w:fill="FFFFFF"/>
          <w:lang w:val="en-GB"/>
        </w:rPr>
        <w:t xml:space="preserve"> </w:t>
      </w:r>
      <w:r w:rsidRPr="00B94642">
        <w:rPr>
          <w:color w:val="202020"/>
          <w:sz w:val="18"/>
          <w:szCs w:val="18"/>
          <w:u w:val="double"/>
          <w:shd w:val="clear" w:color="auto" w:fill="FFFFFF"/>
          <w:lang w:val="en-GB"/>
        </w:rPr>
        <w:t>over the</w:t>
      </w:r>
      <w:r w:rsidRPr="00B94642">
        <w:rPr>
          <w:color w:val="202020"/>
          <w:sz w:val="18"/>
          <w:szCs w:val="18"/>
          <w:u w:color="202020"/>
          <w:shd w:val="clear" w:color="auto" w:fill="FFFFFF"/>
          <w:lang w:val="en-GB"/>
        </w:rPr>
        <w:t xml:space="preserve"> water entering and exiting the system</w:t>
      </w:r>
      <w:r w:rsidRPr="00B94642">
        <w:rPr>
          <w:color w:val="202020"/>
          <w:sz w:val="18"/>
          <w:szCs w:val="18"/>
          <w:shd w:val="clear" w:color="auto" w:fill="FFFFFF"/>
          <w:lang w:val="en-GB"/>
        </w:rPr>
        <w:t xml:space="preserve"> </w:t>
      </w:r>
      <w:r w:rsidRPr="00B94642">
        <w:rPr>
          <w:color w:val="202020"/>
          <w:sz w:val="18"/>
          <w:szCs w:val="18"/>
          <w:u w:color="202020"/>
          <w:shd w:val="clear" w:color="auto" w:fill="FFFFFF"/>
          <w:lang w:val="en-GB"/>
        </w:rPr>
        <w:t xml:space="preserve">and </w:t>
      </w:r>
      <w:r w:rsidRPr="00B94642">
        <w:rPr>
          <w:strike/>
          <w:color w:val="202020"/>
          <w:sz w:val="18"/>
          <w:szCs w:val="18"/>
          <w:u w:color="202020"/>
          <w:shd w:val="clear" w:color="auto" w:fill="FFFFFF"/>
          <w:lang w:val="en-GB"/>
        </w:rPr>
        <w:t>of</w:t>
      </w:r>
      <w:r w:rsidRPr="00B94642">
        <w:rPr>
          <w:color w:val="202020"/>
          <w:sz w:val="18"/>
          <w:szCs w:val="18"/>
          <w:u w:color="202020"/>
          <w:shd w:val="clear" w:color="auto" w:fill="FFFFFF"/>
          <w:lang w:val="en-GB"/>
        </w:rPr>
        <w:t xml:space="preserve"> </w:t>
      </w:r>
      <w:r w:rsidRPr="00B94642">
        <w:rPr>
          <w:color w:val="202020"/>
          <w:sz w:val="18"/>
          <w:szCs w:val="18"/>
          <w:highlight w:val="yellow"/>
          <w:u w:val="double"/>
          <w:shd w:val="clear" w:color="auto" w:fill="FFFFFF"/>
          <w:lang w:val="en-GB"/>
        </w:rPr>
        <w:t>over</w:t>
      </w:r>
      <w:r w:rsidRPr="00B94642">
        <w:rPr>
          <w:color w:val="202020"/>
          <w:sz w:val="18"/>
          <w:szCs w:val="18"/>
          <w:highlight w:val="yellow"/>
          <w:u w:color="202020"/>
          <w:shd w:val="clear" w:color="auto" w:fill="FFFFFF"/>
          <w:lang w:val="en-GB"/>
        </w:rPr>
        <w:t xml:space="preserve"> </w:t>
      </w:r>
      <w:r w:rsidRPr="00B94642">
        <w:rPr>
          <w:color w:val="202020"/>
          <w:sz w:val="18"/>
          <w:szCs w:val="18"/>
          <w:u w:val="double"/>
          <w:shd w:val="clear" w:color="auto" w:fill="FFFFFF"/>
          <w:lang w:val="en-GB"/>
        </w:rPr>
        <w:t>the</w:t>
      </w:r>
      <w:r w:rsidRPr="00B94642">
        <w:rPr>
          <w:color w:val="202020"/>
          <w:sz w:val="18"/>
          <w:szCs w:val="18"/>
          <w:u w:color="202020"/>
          <w:shd w:val="clear" w:color="auto" w:fill="FFFFFF"/>
          <w:lang w:val="en-GB"/>
        </w:rPr>
        <w:t xml:space="preserve"> environmental conditions. </w:t>
      </w:r>
      <w:r w:rsidRPr="00B94642">
        <w:rPr>
          <w:i/>
          <w:color w:val="202020"/>
          <w:sz w:val="18"/>
          <w:szCs w:val="18"/>
          <w:u w:color="202020"/>
          <w:shd w:val="clear" w:color="auto" w:fill="FFFFFF"/>
          <w:lang w:val="en-GB"/>
        </w:rPr>
        <w:t>Aquatic animals</w:t>
      </w:r>
      <w:r w:rsidRPr="00B94642">
        <w:rPr>
          <w:color w:val="202020"/>
          <w:sz w:val="18"/>
          <w:szCs w:val="18"/>
          <w:u w:color="202020"/>
          <w:shd w:val="clear" w:color="auto" w:fill="FFFFFF"/>
          <w:lang w:val="en-GB"/>
        </w:rPr>
        <w:t xml:space="preserve"> and </w:t>
      </w:r>
      <w:r w:rsidRPr="00B94642">
        <w:rPr>
          <w:i/>
          <w:color w:val="202020"/>
          <w:sz w:val="18"/>
          <w:szCs w:val="18"/>
          <w:u w:color="202020"/>
          <w:shd w:val="clear" w:color="auto" w:fill="FFFFFF"/>
          <w:lang w:val="en-GB"/>
        </w:rPr>
        <w:t>vectors</w:t>
      </w:r>
      <w:r w:rsidRPr="00B94642">
        <w:rPr>
          <w:color w:val="202020"/>
          <w:sz w:val="18"/>
          <w:szCs w:val="18"/>
          <w:u w:color="202020"/>
          <w:shd w:val="clear" w:color="auto" w:fill="FFFFFF"/>
          <w:lang w:val="en-GB"/>
        </w:rPr>
        <w:t xml:space="preserve"> may be prevented from entering and exiting the system; however, there is limited control to prevent </w:t>
      </w:r>
      <w:r w:rsidRPr="00B94642">
        <w:rPr>
          <w:rFonts w:eastAsia="SimSun"/>
          <w:color w:val="202020"/>
          <w:sz w:val="18"/>
          <w:szCs w:val="18"/>
          <w:u w:color="202020"/>
          <w:shd w:val="clear" w:color="auto" w:fill="FFFFFF"/>
          <w:lang w:val="en-GB" w:eastAsia="zh-CN"/>
        </w:rPr>
        <w:t xml:space="preserve">the </w:t>
      </w:r>
      <w:r w:rsidRPr="00B94642">
        <w:rPr>
          <w:color w:val="202020"/>
          <w:sz w:val="18"/>
          <w:szCs w:val="18"/>
          <w:u w:color="202020"/>
          <w:shd w:val="clear" w:color="auto" w:fill="FFFFFF"/>
          <w:lang w:val="en-GB"/>
        </w:rPr>
        <w:t xml:space="preserve">entry or exit of </w:t>
      </w:r>
      <w:r w:rsidRPr="00B94642">
        <w:rPr>
          <w:i/>
          <w:color w:val="202020"/>
          <w:sz w:val="18"/>
          <w:szCs w:val="18"/>
          <w:u w:color="202020"/>
          <w:shd w:val="clear" w:color="auto" w:fill="FFFFFF"/>
          <w:lang w:val="en-GB"/>
        </w:rPr>
        <w:t>pathogenic agents</w:t>
      </w:r>
      <w:r w:rsidRPr="00B94642">
        <w:rPr>
          <w:color w:val="202020"/>
          <w:sz w:val="18"/>
          <w:szCs w:val="18"/>
          <w:u w:color="202020"/>
          <w:shd w:val="clear" w:color="auto" w:fill="FFFFFF"/>
          <w:lang w:val="en-GB"/>
        </w:rPr>
        <w:t>. Examples of semi-closed </w:t>
      </w:r>
      <w:r w:rsidRPr="00B94642">
        <w:rPr>
          <w:i/>
          <w:iCs/>
          <w:color w:val="202020"/>
          <w:sz w:val="18"/>
          <w:szCs w:val="18"/>
          <w:u w:color="202020"/>
          <w:shd w:val="clear" w:color="auto" w:fill="FFFFFF"/>
          <w:lang w:val="en-GB"/>
        </w:rPr>
        <w:t>aquaculture</w:t>
      </w:r>
      <w:r w:rsidRPr="00B94642">
        <w:rPr>
          <w:color w:val="202020"/>
          <w:sz w:val="18"/>
          <w:szCs w:val="18"/>
          <w:u w:color="202020"/>
          <w:shd w:val="clear" w:color="auto" w:fill="FFFFFF"/>
          <w:lang w:val="en-GB"/>
        </w:rPr>
        <w:t> production systems are ponds, raceways, enclosed floating pens, and flow</w:t>
      </w:r>
      <w:r w:rsidRPr="00B94642">
        <w:rPr>
          <w:color w:val="202020"/>
          <w:sz w:val="18"/>
          <w:szCs w:val="18"/>
          <w:u w:val="double"/>
          <w:shd w:val="clear" w:color="auto" w:fill="FFFFFF"/>
          <w:lang w:val="en-GB"/>
        </w:rPr>
        <w:t>-</w:t>
      </w:r>
      <w:r w:rsidRPr="00B94642">
        <w:rPr>
          <w:color w:val="202020"/>
          <w:sz w:val="18"/>
          <w:szCs w:val="18"/>
          <w:u w:color="202020"/>
          <w:shd w:val="clear" w:color="auto" w:fill="FFFFFF"/>
          <w:lang w:val="en-GB"/>
        </w:rPr>
        <w:t>through tanks.</w:t>
      </w:r>
      <w:r w:rsidRPr="00B94642">
        <w:rPr>
          <w:sz w:val="18"/>
          <w:szCs w:val="18"/>
          <w:u w:color="202020"/>
          <w:shd w:val="clear" w:color="auto" w:fill="FFFFFF"/>
          <w:lang w:val="en-GB"/>
        </w:rPr>
        <w:t> </w:t>
      </w:r>
    </w:p>
    <w:p w14:paraId="191CF5D6" w14:textId="77777777" w:rsidR="0094086E" w:rsidRPr="00B94642" w:rsidRDefault="0094086E" w:rsidP="0094086E">
      <w:pPr>
        <w:pStyle w:val="Default"/>
        <w:spacing w:after="240"/>
        <w:jc w:val="both"/>
        <w:rPr>
          <w:sz w:val="18"/>
          <w:szCs w:val="18"/>
          <w:u w:color="202020"/>
          <w:shd w:val="clear" w:color="auto" w:fill="FFFFFF"/>
          <w:lang w:val="en-GB"/>
        </w:rPr>
      </w:pPr>
      <w:r w:rsidRPr="00B94642">
        <w:rPr>
          <w:color w:val="202020"/>
          <w:sz w:val="18"/>
          <w:szCs w:val="18"/>
          <w:u w:val="single" w:color="202020"/>
          <w:shd w:val="clear" w:color="auto" w:fill="FFFFFF"/>
          <w:lang w:val="en-GB"/>
        </w:rPr>
        <w:t>Closed</w:t>
      </w:r>
      <w:r w:rsidRPr="00B94642">
        <w:rPr>
          <w:sz w:val="18"/>
          <w:szCs w:val="18"/>
          <w:u w:color="202020"/>
          <w:shd w:val="clear" w:color="auto" w:fill="FFFFFF"/>
          <w:lang w:val="en-GB"/>
        </w:rPr>
        <w:t> </w:t>
      </w:r>
      <w:r w:rsidRPr="00B94642">
        <w:rPr>
          <w:sz w:val="18"/>
          <w:szCs w:val="18"/>
          <w:highlight w:val="yellow"/>
          <w:u w:val="double" w:color="202020"/>
          <w:shd w:val="clear" w:color="auto" w:fill="FFFFFF"/>
          <w:lang w:val="en-GB"/>
        </w:rPr>
        <w:t>systems</w:t>
      </w:r>
    </w:p>
    <w:p w14:paraId="070FD8F4" w14:textId="5D4E4B97" w:rsidR="0094086E" w:rsidRPr="00B94642" w:rsidRDefault="0094086E" w:rsidP="0094086E">
      <w:pPr>
        <w:pStyle w:val="Default"/>
        <w:spacing w:after="240"/>
        <w:jc w:val="both"/>
        <w:rPr>
          <w:color w:val="202020"/>
          <w:sz w:val="18"/>
          <w:szCs w:val="18"/>
          <w:u w:color="202020"/>
          <w:shd w:val="clear" w:color="auto" w:fill="FFFFFF"/>
          <w:lang w:val="en-GB"/>
        </w:rPr>
      </w:pPr>
      <w:r w:rsidRPr="00B94642">
        <w:rPr>
          <w:color w:val="202020"/>
          <w:sz w:val="18"/>
          <w:szCs w:val="18"/>
          <w:u w:color="202020"/>
          <w:shd w:val="clear" w:color="auto" w:fill="FFFFFF"/>
          <w:lang w:val="en-GB"/>
        </w:rPr>
        <w:t>In a closed </w:t>
      </w:r>
      <w:r w:rsidRPr="00B94642">
        <w:rPr>
          <w:i/>
          <w:iCs/>
          <w:color w:val="202020"/>
          <w:sz w:val="18"/>
          <w:szCs w:val="18"/>
          <w:u w:color="202020"/>
          <w:shd w:val="clear" w:color="auto" w:fill="FFFFFF"/>
          <w:lang w:val="en-GB"/>
        </w:rPr>
        <w:t>aquaculture</w:t>
      </w:r>
      <w:r w:rsidRPr="00B94642">
        <w:rPr>
          <w:color w:val="202020"/>
          <w:sz w:val="18"/>
          <w:szCs w:val="18"/>
          <w:u w:color="202020"/>
          <w:shd w:val="clear" w:color="auto" w:fill="FFFFFF"/>
          <w:lang w:val="en-GB"/>
        </w:rPr>
        <w:t xml:space="preserve"> production system, </w:t>
      </w:r>
      <w:r w:rsidRPr="00B94642">
        <w:rPr>
          <w:strike/>
          <w:color w:val="202020"/>
          <w:sz w:val="18"/>
          <w:szCs w:val="18"/>
          <w:highlight w:val="yellow"/>
          <w:u w:color="202020"/>
          <w:shd w:val="clear" w:color="auto" w:fill="FFFFFF"/>
          <w:lang w:val="en-GB"/>
        </w:rPr>
        <w:t>the</w:t>
      </w:r>
      <w:r w:rsidR="00E84976" w:rsidRPr="00B94642">
        <w:rPr>
          <w:color w:val="202020"/>
          <w:sz w:val="18"/>
          <w:szCs w:val="18"/>
          <w:u w:color="202020"/>
          <w:shd w:val="clear" w:color="auto" w:fill="FFFFFF"/>
          <w:lang w:val="en-GB"/>
        </w:rPr>
        <w:t xml:space="preserve"> </w:t>
      </w:r>
      <w:r w:rsidR="00E84976" w:rsidRPr="00B94642">
        <w:rPr>
          <w:color w:val="202020"/>
          <w:sz w:val="18"/>
          <w:szCs w:val="18"/>
          <w:highlight w:val="yellow"/>
          <w:u w:val="double" w:color="202020"/>
          <w:shd w:val="clear" w:color="auto" w:fill="FFFFFF"/>
          <w:lang w:val="en-GB"/>
        </w:rPr>
        <w:t>there</w:t>
      </w:r>
      <w:r w:rsidRPr="00B94642">
        <w:rPr>
          <w:color w:val="202020"/>
          <w:sz w:val="18"/>
          <w:szCs w:val="18"/>
          <w:highlight w:val="yellow"/>
          <w:u w:val="double" w:color="202020"/>
          <w:shd w:val="clear" w:color="auto" w:fill="FFFFFF"/>
          <w:lang w:val="en-GB"/>
        </w:rPr>
        <w:t xml:space="preserve"> </w:t>
      </w:r>
      <w:r w:rsidR="00D561E5" w:rsidRPr="00B94642">
        <w:rPr>
          <w:color w:val="202020"/>
          <w:sz w:val="18"/>
          <w:szCs w:val="18"/>
          <w:highlight w:val="yellow"/>
          <w:u w:val="double" w:color="202020"/>
          <w:shd w:val="clear" w:color="auto" w:fill="FFFFFF"/>
          <w:lang w:val="en-GB"/>
        </w:rPr>
        <w:t>is sufficient</w:t>
      </w:r>
      <w:r w:rsidR="00D561E5" w:rsidRPr="00B94642">
        <w:rPr>
          <w:color w:val="202020"/>
          <w:sz w:val="18"/>
          <w:szCs w:val="18"/>
          <w:u w:val="double" w:color="202020"/>
          <w:shd w:val="clear" w:color="auto" w:fill="FFFFFF"/>
          <w:lang w:val="en-GB"/>
        </w:rPr>
        <w:t xml:space="preserve"> </w:t>
      </w:r>
      <w:r w:rsidRPr="00B94642">
        <w:rPr>
          <w:color w:val="202020"/>
          <w:sz w:val="18"/>
          <w:szCs w:val="18"/>
          <w:u w:color="202020"/>
          <w:shd w:val="clear" w:color="auto" w:fill="FFFFFF"/>
          <w:lang w:val="en-GB"/>
        </w:rPr>
        <w:t xml:space="preserve">control </w:t>
      </w:r>
      <w:r w:rsidRPr="00B94642">
        <w:rPr>
          <w:strike/>
          <w:color w:val="202020"/>
          <w:sz w:val="18"/>
          <w:szCs w:val="18"/>
          <w:highlight w:val="yellow"/>
          <w:u w:color="202020"/>
          <w:shd w:val="clear" w:color="auto" w:fill="FFFFFF"/>
          <w:lang w:val="en-GB"/>
        </w:rPr>
        <w:t>of</w:t>
      </w:r>
      <w:r w:rsidRPr="00B94642">
        <w:rPr>
          <w:color w:val="202020"/>
          <w:sz w:val="18"/>
          <w:szCs w:val="18"/>
          <w:u w:color="202020"/>
          <w:shd w:val="clear" w:color="auto" w:fill="FFFFFF"/>
          <w:lang w:val="en-GB"/>
        </w:rPr>
        <w:t xml:space="preserve"> </w:t>
      </w:r>
      <w:r w:rsidR="0038416E" w:rsidRPr="00B94642">
        <w:rPr>
          <w:color w:val="202020"/>
          <w:sz w:val="18"/>
          <w:szCs w:val="18"/>
          <w:highlight w:val="yellow"/>
          <w:u w:val="double" w:color="202020"/>
          <w:shd w:val="clear" w:color="auto" w:fill="FFFFFF"/>
          <w:lang w:val="en-GB"/>
        </w:rPr>
        <w:t>over</w:t>
      </w:r>
      <w:r w:rsidR="0038416E" w:rsidRPr="00B94642">
        <w:rPr>
          <w:color w:val="202020"/>
          <w:sz w:val="18"/>
          <w:szCs w:val="18"/>
          <w:u w:color="202020"/>
          <w:shd w:val="clear" w:color="auto" w:fill="FFFFFF"/>
          <w:lang w:val="en-GB"/>
        </w:rPr>
        <w:t xml:space="preserve"> </w:t>
      </w:r>
      <w:r w:rsidRPr="00B94642">
        <w:rPr>
          <w:color w:val="202020"/>
          <w:sz w:val="18"/>
          <w:szCs w:val="18"/>
          <w:u w:color="202020"/>
          <w:shd w:val="clear" w:color="auto" w:fill="FFFFFF"/>
          <w:lang w:val="en-GB"/>
        </w:rPr>
        <w:t xml:space="preserve">water entering and exiting the system </w:t>
      </w:r>
      <w:r w:rsidRPr="00B94642">
        <w:rPr>
          <w:strike/>
          <w:color w:val="202020"/>
          <w:sz w:val="18"/>
          <w:szCs w:val="18"/>
          <w:highlight w:val="yellow"/>
          <w:u w:color="202020"/>
          <w:shd w:val="clear" w:color="auto" w:fill="FFFFFF"/>
          <w:lang w:val="en-GB"/>
        </w:rPr>
        <w:t>can</w:t>
      </w:r>
      <w:r w:rsidRPr="00B94642">
        <w:rPr>
          <w:color w:val="202020"/>
          <w:sz w:val="18"/>
          <w:szCs w:val="18"/>
          <w:u w:color="202020"/>
          <w:shd w:val="clear" w:color="auto" w:fill="FFFFFF"/>
          <w:lang w:val="en-GB"/>
        </w:rPr>
        <w:t xml:space="preserve"> </w:t>
      </w:r>
      <w:r w:rsidR="00D561E5" w:rsidRPr="00B94642">
        <w:rPr>
          <w:color w:val="202020"/>
          <w:sz w:val="18"/>
          <w:szCs w:val="18"/>
          <w:highlight w:val="yellow"/>
          <w:u w:val="double" w:color="202020"/>
          <w:shd w:val="clear" w:color="auto" w:fill="FFFFFF"/>
          <w:lang w:val="en-GB"/>
        </w:rPr>
        <w:t>to</w:t>
      </w:r>
      <w:r w:rsidR="00D561E5" w:rsidRPr="00B94642">
        <w:rPr>
          <w:color w:val="202020"/>
          <w:sz w:val="18"/>
          <w:szCs w:val="18"/>
          <w:u w:color="202020"/>
          <w:shd w:val="clear" w:color="auto" w:fill="FFFFFF"/>
          <w:lang w:val="en-GB"/>
        </w:rPr>
        <w:t xml:space="preserve"> </w:t>
      </w:r>
      <w:r w:rsidRPr="00B94642">
        <w:rPr>
          <w:color w:val="202020"/>
          <w:sz w:val="18"/>
          <w:szCs w:val="18"/>
          <w:u w:color="202020"/>
          <w:shd w:val="clear" w:color="auto" w:fill="FFFFFF"/>
          <w:lang w:val="en-GB"/>
        </w:rPr>
        <w:t xml:space="preserve">exclude </w:t>
      </w:r>
      <w:r w:rsidRPr="00B94642">
        <w:rPr>
          <w:i/>
          <w:color w:val="202020"/>
          <w:sz w:val="18"/>
          <w:szCs w:val="18"/>
          <w:u w:color="202020"/>
          <w:shd w:val="clear" w:color="auto" w:fill="FFFFFF"/>
          <w:lang w:val="en-GB"/>
        </w:rPr>
        <w:t>aquatic animals</w:t>
      </w:r>
      <w:r w:rsidRPr="00B94642">
        <w:rPr>
          <w:color w:val="202020"/>
          <w:sz w:val="18"/>
          <w:szCs w:val="18"/>
          <w:u w:color="202020"/>
          <w:shd w:val="clear" w:color="auto" w:fill="FFFFFF"/>
          <w:lang w:val="en-GB"/>
        </w:rPr>
        <w:t xml:space="preserve">, </w:t>
      </w:r>
      <w:r w:rsidRPr="00B94642">
        <w:rPr>
          <w:i/>
          <w:color w:val="202020"/>
          <w:sz w:val="18"/>
          <w:szCs w:val="18"/>
          <w:u w:color="202020"/>
          <w:shd w:val="clear" w:color="auto" w:fill="FFFFFF"/>
          <w:lang w:val="en-GB"/>
        </w:rPr>
        <w:t>vectors</w:t>
      </w:r>
      <w:r w:rsidRPr="00B94642">
        <w:rPr>
          <w:color w:val="202020"/>
          <w:sz w:val="18"/>
          <w:szCs w:val="18"/>
          <w:u w:color="202020"/>
          <w:shd w:val="clear" w:color="auto" w:fill="FFFFFF"/>
          <w:lang w:val="en-GB"/>
        </w:rPr>
        <w:t xml:space="preserve"> and </w:t>
      </w:r>
      <w:r w:rsidRPr="00B94642">
        <w:rPr>
          <w:i/>
          <w:color w:val="202020"/>
          <w:sz w:val="18"/>
          <w:szCs w:val="18"/>
          <w:u w:color="202020"/>
          <w:shd w:val="clear" w:color="auto" w:fill="FFFFFF"/>
          <w:lang w:val="en-GB"/>
        </w:rPr>
        <w:t>pathogenic agents</w:t>
      </w:r>
      <w:r w:rsidRPr="00B94642">
        <w:rPr>
          <w:color w:val="auto"/>
          <w:sz w:val="18"/>
          <w:szCs w:val="18"/>
          <w:u w:color="202020"/>
          <w:shd w:val="clear" w:color="auto" w:fill="FFFFFF"/>
          <w:lang w:val="en-GB"/>
        </w:rPr>
        <w:t xml:space="preserve">. </w:t>
      </w:r>
      <w:r w:rsidRPr="00B94642">
        <w:rPr>
          <w:color w:val="auto"/>
          <w:sz w:val="18"/>
          <w:szCs w:val="18"/>
          <w:highlight w:val="yellow"/>
          <w:u w:val="double"/>
          <w:shd w:val="clear" w:color="auto" w:fill="FFFFFF"/>
          <w:lang w:val="en-GB"/>
        </w:rPr>
        <w:t>Environmental conditions can also be controlled.</w:t>
      </w:r>
      <w:r w:rsidRPr="00B94642">
        <w:rPr>
          <w:color w:val="auto"/>
          <w:sz w:val="18"/>
          <w:szCs w:val="18"/>
          <w:u w:color="202020"/>
          <w:shd w:val="clear" w:color="auto" w:fill="FFFFFF"/>
          <w:lang w:val="en-GB"/>
        </w:rPr>
        <w:t xml:space="preserve"> Examples </w:t>
      </w:r>
      <w:r w:rsidRPr="00B94642">
        <w:rPr>
          <w:color w:val="202020"/>
          <w:sz w:val="18"/>
          <w:szCs w:val="18"/>
          <w:u w:color="202020"/>
          <w:shd w:val="clear" w:color="auto" w:fill="FFFFFF"/>
          <w:lang w:val="en-GB"/>
        </w:rPr>
        <w:t>of closed </w:t>
      </w:r>
      <w:r w:rsidRPr="00B94642">
        <w:rPr>
          <w:i/>
          <w:iCs/>
          <w:color w:val="202020"/>
          <w:sz w:val="18"/>
          <w:szCs w:val="18"/>
          <w:u w:color="202020"/>
          <w:shd w:val="clear" w:color="auto" w:fill="FFFFFF"/>
          <w:lang w:val="en-GB"/>
        </w:rPr>
        <w:t>aquaculture</w:t>
      </w:r>
      <w:r w:rsidRPr="00B94642">
        <w:rPr>
          <w:color w:val="202020"/>
          <w:sz w:val="18"/>
          <w:szCs w:val="18"/>
          <w:u w:color="202020"/>
          <w:shd w:val="clear" w:color="auto" w:fill="FFFFFF"/>
          <w:lang w:val="en-GB"/>
        </w:rPr>
        <w:t xml:space="preserve"> systems include recirculating </w:t>
      </w:r>
      <w:r w:rsidRPr="00B94642">
        <w:rPr>
          <w:i/>
          <w:iCs/>
          <w:color w:val="202020"/>
          <w:sz w:val="18"/>
          <w:szCs w:val="18"/>
          <w:u w:color="202020"/>
          <w:shd w:val="clear" w:color="auto" w:fill="FFFFFF"/>
          <w:lang w:val="en-GB"/>
        </w:rPr>
        <w:t>aquaculture</w:t>
      </w:r>
      <w:r w:rsidRPr="00B94642">
        <w:rPr>
          <w:rFonts w:eastAsia="SimSun"/>
          <w:i/>
          <w:iCs/>
          <w:color w:val="202020"/>
          <w:sz w:val="18"/>
          <w:szCs w:val="18"/>
          <w:u w:color="202020"/>
          <w:shd w:val="clear" w:color="auto" w:fill="FFFFFF"/>
          <w:lang w:val="en-GB" w:eastAsia="zh-CN"/>
        </w:rPr>
        <w:t xml:space="preserve"> </w:t>
      </w:r>
      <w:r w:rsidRPr="00B94642">
        <w:rPr>
          <w:color w:val="202020"/>
          <w:sz w:val="18"/>
          <w:szCs w:val="18"/>
          <w:u w:color="202020"/>
          <w:shd w:val="clear" w:color="auto" w:fill="FFFFFF"/>
          <w:lang w:val="en-GB"/>
        </w:rPr>
        <w:t xml:space="preserve">production systems, production systems with </w:t>
      </w:r>
      <w:r w:rsidRPr="00B94642">
        <w:rPr>
          <w:color w:val="202020"/>
          <w:sz w:val="18"/>
          <w:szCs w:val="18"/>
          <w:u w:val="double"/>
          <w:shd w:val="clear" w:color="auto" w:fill="FFFFFF"/>
          <w:lang w:val="en-GB"/>
        </w:rPr>
        <w:t>a</w:t>
      </w:r>
      <w:r w:rsidRPr="00B94642">
        <w:rPr>
          <w:color w:val="202020"/>
          <w:sz w:val="18"/>
          <w:szCs w:val="18"/>
          <w:u w:color="202020"/>
          <w:shd w:val="clear" w:color="auto" w:fill="FFFFFF"/>
          <w:lang w:val="en-GB"/>
        </w:rPr>
        <w:t xml:space="preserve"> safe water supply free from </w:t>
      </w:r>
      <w:r w:rsidRPr="00B94642">
        <w:rPr>
          <w:i/>
          <w:color w:val="202020"/>
          <w:sz w:val="18"/>
          <w:szCs w:val="18"/>
          <w:u w:color="202020"/>
          <w:shd w:val="clear" w:color="auto" w:fill="FFFFFF"/>
          <w:lang w:val="en-GB"/>
        </w:rPr>
        <w:t>pathogenic agents</w:t>
      </w:r>
      <w:r w:rsidRPr="00B94642">
        <w:rPr>
          <w:color w:val="202020"/>
          <w:sz w:val="18"/>
          <w:szCs w:val="18"/>
          <w:u w:color="202020"/>
          <w:shd w:val="clear" w:color="auto" w:fill="FFFFFF"/>
          <w:lang w:val="en-GB"/>
        </w:rPr>
        <w:t xml:space="preserve"> or </w:t>
      </w:r>
      <w:r w:rsidRPr="00B94642">
        <w:rPr>
          <w:i/>
          <w:color w:val="202020"/>
          <w:sz w:val="18"/>
          <w:szCs w:val="18"/>
          <w:u w:color="202020"/>
          <w:shd w:val="clear" w:color="auto" w:fill="FFFFFF"/>
          <w:lang w:val="en-GB"/>
        </w:rPr>
        <w:t>aquatic animals</w:t>
      </w:r>
      <w:r w:rsidRPr="00B94642">
        <w:rPr>
          <w:color w:val="202020"/>
          <w:sz w:val="18"/>
          <w:szCs w:val="18"/>
          <w:u w:color="202020"/>
          <w:shd w:val="clear" w:color="auto" w:fill="FFFFFF"/>
          <w:lang w:val="en-GB"/>
        </w:rPr>
        <w:t xml:space="preserve"> (e.g. ground water), or </w:t>
      </w:r>
      <w:r w:rsidRPr="00B94642">
        <w:rPr>
          <w:color w:val="202020"/>
          <w:sz w:val="18"/>
          <w:szCs w:val="18"/>
          <w:u w:val="double"/>
          <w:shd w:val="clear" w:color="auto" w:fill="FFFFFF"/>
          <w:lang w:val="en-GB"/>
        </w:rPr>
        <w:t>those</w:t>
      </w:r>
      <w:r w:rsidRPr="00B94642">
        <w:rPr>
          <w:color w:val="202020"/>
          <w:sz w:val="18"/>
          <w:szCs w:val="18"/>
          <w:u w:color="202020"/>
          <w:shd w:val="clear" w:color="auto" w:fill="FFFFFF"/>
          <w:lang w:val="en-GB"/>
        </w:rPr>
        <w:t xml:space="preserve"> with high levels of treatment (and redundancy) of water entering or exiting the system. </w:t>
      </w:r>
    </w:p>
    <w:p w14:paraId="0602C3B0" w14:textId="77777777" w:rsidR="0094086E" w:rsidRPr="00B94642" w:rsidRDefault="0094086E" w:rsidP="0094086E">
      <w:pPr>
        <w:pStyle w:val="Default"/>
        <w:spacing w:after="240"/>
        <w:jc w:val="center"/>
        <w:rPr>
          <w:rFonts w:ascii="Ottawa" w:eastAsia="Times New Roman" w:hAnsi="Ottawa" w:cs="Times New Roman"/>
          <w:bCs/>
          <w:color w:val="auto"/>
          <w:sz w:val="18"/>
          <w:szCs w:val="18"/>
          <w:u w:val="double"/>
          <w:lang w:val="en-GB"/>
        </w:rPr>
      </w:pPr>
      <w:r w:rsidRPr="00B94642">
        <w:rPr>
          <w:rFonts w:ascii="Ottawa" w:eastAsia="Times New Roman" w:hAnsi="Ottawa" w:cs="Times New Roman"/>
          <w:bCs/>
          <w:color w:val="auto"/>
          <w:sz w:val="18"/>
          <w:szCs w:val="18"/>
          <w:u w:val="double"/>
          <w:lang w:val="en-GB"/>
        </w:rPr>
        <w:t xml:space="preserve">Article 4.X.5. bis </w:t>
      </w:r>
    </w:p>
    <w:p w14:paraId="3319EF82" w14:textId="77777777" w:rsidR="0094086E" w:rsidRPr="00B94642" w:rsidRDefault="0094086E" w:rsidP="0094086E">
      <w:pPr>
        <w:pStyle w:val="Default"/>
        <w:spacing w:after="240"/>
        <w:rPr>
          <w:rFonts w:ascii="Ottawa" w:eastAsia="Times New Roman" w:hAnsi="Ottawa" w:cs="Times New Roman"/>
          <w:b/>
          <w:bCs/>
          <w:color w:val="auto"/>
          <w:sz w:val="18"/>
          <w:szCs w:val="18"/>
          <w:u w:val="double"/>
          <w:lang w:val="en-GB"/>
        </w:rPr>
      </w:pPr>
      <w:r w:rsidRPr="00B94642">
        <w:rPr>
          <w:rFonts w:ascii="Ottawa" w:eastAsia="Times New Roman" w:hAnsi="Ottawa" w:cs="Times New Roman"/>
          <w:b/>
          <w:bCs/>
          <w:color w:val="auto"/>
          <w:sz w:val="18"/>
          <w:szCs w:val="18"/>
          <w:u w:val="double"/>
          <w:lang w:val="en-GB"/>
        </w:rPr>
        <w:t>Area management</w:t>
      </w:r>
    </w:p>
    <w:p w14:paraId="05062D64" w14:textId="77777777" w:rsidR="0094086E" w:rsidRPr="00B94642" w:rsidRDefault="0094086E" w:rsidP="0094086E">
      <w:pPr>
        <w:pStyle w:val="Default"/>
        <w:spacing w:after="240"/>
        <w:jc w:val="both"/>
        <w:rPr>
          <w:color w:val="auto"/>
          <w:sz w:val="18"/>
          <w:szCs w:val="18"/>
          <w:u w:val="double" w:color="202020"/>
          <w:shd w:val="clear" w:color="auto" w:fill="FFFFFF"/>
          <w:lang w:val="en-GB"/>
        </w:rPr>
      </w:pPr>
      <w:r w:rsidRPr="00B94642">
        <w:rPr>
          <w:color w:val="auto"/>
          <w:sz w:val="18"/>
          <w:szCs w:val="18"/>
          <w:u w:val="double" w:color="202020"/>
          <w:shd w:val="clear" w:color="auto" w:fill="FFFFFF"/>
          <w:lang w:val="en-GB"/>
        </w:rPr>
        <w:t xml:space="preserve">It may not be possible to control the transmission of </w:t>
      </w:r>
      <w:r w:rsidRPr="00B94642">
        <w:rPr>
          <w:i/>
          <w:color w:val="auto"/>
          <w:sz w:val="18"/>
          <w:szCs w:val="18"/>
          <w:u w:val="double" w:color="202020"/>
          <w:shd w:val="clear" w:color="auto" w:fill="FFFFFF"/>
          <w:lang w:val="en-GB"/>
        </w:rPr>
        <w:t>pathogenic agent</w:t>
      </w:r>
      <w:r w:rsidRPr="00B94642">
        <w:rPr>
          <w:i/>
          <w:color w:val="auto"/>
          <w:sz w:val="18"/>
          <w:szCs w:val="18"/>
          <w:u w:val="single" w:color="202020"/>
          <w:shd w:val="clear" w:color="auto" w:fill="FFFFFF"/>
          <w:lang w:val="en-GB"/>
        </w:rPr>
        <w:t>s</w:t>
      </w:r>
      <w:r w:rsidRPr="00B94642">
        <w:rPr>
          <w:color w:val="auto"/>
          <w:sz w:val="18"/>
          <w:szCs w:val="18"/>
          <w:u w:val="double" w:color="202020"/>
          <w:shd w:val="clear" w:color="auto" w:fill="FFFFFF"/>
          <w:lang w:val="en-GB"/>
        </w:rPr>
        <w:t xml:space="preserve"> among semi-open or semi-closed </w:t>
      </w:r>
      <w:r w:rsidRPr="00B94642">
        <w:rPr>
          <w:i/>
          <w:iCs/>
          <w:color w:val="auto"/>
          <w:sz w:val="18"/>
          <w:szCs w:val="18"/>
          <w:u w:val="double" w:color="202020"/>
          <w:shd w:val="clear" w:color="auto" w:fill="FFFFFF"/>
          <w:lang w:val="en-GB"/>
        </w:rPr>
        <w:t>aquaculture establishments</w:t>
      </w:r>
      <w:r w:rsidRPr="00B94642">
        <w:rPr>
          <w:color w:val="auto"/>
          <w:sz w:val="18"/>
          <w:szCs w:val="18"/>
          <w:u w:val="double" w:color="202020"/>
          <w:shd w:val="clear" w:color="auto" w:fill="FFFFFF"/>
          <w:lang w:val="en-GB"/>
        </w:rPr>
        <w:t xml:space="preserve"> that are in close proximity within shared water bodies. In these circumstances, a consistent set of </w:t>
      </w:r>
      <w:r w:rsidRPr="00B94642">
        <w:rPr>
          <w:i/>
          <w:iCs/>
          <w:color w:val="auto"/>
          <w:sz w:val="18"/>
          <w:szCs w:val="18"/>
          <w:u w:val="double" w:color="202020"/>
          <w:shd w:val="clear" w:color="auto" w:fill="FFFFFF"/>
          <w:lang w:val="en-GB"/>
        </w:rPr>
        <w:t>biosecurity</w:t>
      </w:r>
      <w:r w:rsidRPr="00B94642">
        <w:rPr>
          <w:color w:val="auto"/>
          <w:sz w:val="18"/>
          <w:szCs w:val="18"/>
          <w:u w:val="double" w:color="202020"/>
          <w:shd w:val="clear" w:color="auto" w:fill="FFFFFF"/>
          <w:lang w:val="en-GB"/>
        </w:rPr>
        <w:t xml:space="preserve"> measures should be applied by all of the </w:t>
      </w:r>
      <w:r w:rsidRPr="00B94642">
        <w:rPr>
          <w:i/>
          <w:color w:val="auto"/>
          <w:sz w:val="18"/>
          <w:szCs w:val="18"/>
          <w:u w:val="double" w:color="202020"/>
          <w:shd w:val="clear" w:color="auto" w:fill="FFFFFF"/>
          <w:lang w:val="en-GB"/>
        </w:rPr>
        <w:t>aquaculture establishments</w:t>
      </w:r>
      <w:r w:rsidRPr="00B94642">
        <w:rPr>
          <w:color w:val="auto"/>
          <w:sz w:val="18"/>
          <w:szCs w:val="18"/>
          <w:u w:val="double" w:color="202020"/>
          <w:shd w:val="clear" w:color="auto" w:fill="FFFFFF"/>
          <w:lang w:val="en-GB"/>
        </w:rPr>
        <w:t xml:space="preserve"> considered to be epidemiologically linked. Area management agreements can formalise the </w:t>
      </w:r>
      <w:r w:rsidRPr="00B94642">
        <w:rPr>
          <w:color w:val="auto"/>
          <w:sz w:val="18"/>
          <w:szCs w:val="18"/>
          <w:highlight w:val="yellow"/>
          <w:u w:val="double" w:color="202020"/>
          <w:shd w:val="clear" w:color="auto" w:fill="FFFFFF"/>
          <w:lang w:val="en-GB"/>
        </w:rPr>
        <w:t>coordination of</w:t>
      </w:r>
      <w:r w:rsidRPr="00B94642">
        <w:rPr>
          <w:color w:val="auto"/>
          <w:sz w:val="18"/>
          <w:szCs w:val="18"/>
          <w:u w:val="double" w:color="202020"/>
          <w:shd w:val="clear" w:color="auto" w:fill="FFFFFF"/>
          <w:lang w:val="en-GB"/>
        </w:rPr>
        <w:t xml:space="preserve"> common </w:t>
      </w:r>
      <w:r w:rsidRPr="00B94642">
        <w:rPr>
          <w:i/>
          <w:iCs/>
          <w:color w:val="auto"/>
          <w:sz w:val="18"/>
          <w:szCs w:val="18"/>
          <w:u w:val="double" w:color="202020"/>
          <w:shd w:val="clear" w:color="auto" w:fill="FFFFFF"/>
          <w:lang w:val="en-GB"/>
        </w:rPr>
        <w:t>biosecurity</w:t>
      </w:r>
      <w:r w:rsidRPr="00B94642">
        <w:rPr>
          <w:color w:val="auto"/>
          <w:sz w:val="18"/>
          <w:szCs w:val="18"/>
          <w:u w:val="double" w:color="202020"/>
          <w:shd w:val="clear" w:color="auto" w:fill="FFFFFF"/>
          <w:lang w:val="en-GB"/>
        </w:rPr>
        <w:t xml:space="preserve"> measures among all of the epidemiologically linked</w:t>
      </w:r>
      <w:r w:rsidRPr="00B94642">
        <w:rPr>
          <w:i/>
          <w:color w:val="auto"/>
          <w:sz w:val="18"/>
          <w:szCs w:val="18"/>
          <w:u w:val="double" w:color="202020"/>
          <w:shd w:val="clear" w:color="auto" w:fill="FFFFFF"/>
          <w:lang w:val="en-GB"/>
        </w:rPr>
        <w:t xml:space="preserve"> aquaculture establishments</w:t>
      </w:r>
      <w:r w:rsidRPr="00B94642">
        <w:rPr>
          <w:color w:val="auto"/>
          <w:sz w:val="18"/>
          <w:szCs w:val="18"/>
          <w:u w:val="double" w:color="202020"/>
          <w:shd w:val="clear" w:color="auto" w:fill="FFFFFF"/>
          <w:lang w:val="en-GB"/>
        </w:rPr>
        <w:t xml:space="preserve">. </w:t>
      </w:r>
    </w:p>
    <w:p w14:paraId="5907FCAA" w14:textId="77777777" w:rsidR="0094086E" w:rsidRPr="00B94642" w:rsidRDefault="0094086E" w:rsidP="0094086E">
      <w:pPr>
        <w:spacing w:after="240"/>
        <w:jc w:val="center"/>
        <w:rPr>
          <w:rFonts w:ascii="Ottawa" w:hAnsi="Ottawa" w:cs="Arial"/>
          <w:sz w:val="18"/>
          <w:szCs w:val="18"/>
        </w:rPr>
      </w:pPr>
      <w:r w:rsidRPr="00B94642">
        <w:rPr>
          <w:rFonts w:ascii="Ottawa" w:hAnsi="Ottawa" w:cs="Arial"/>
          <w:sz w:val="18"/>
          <w:szCs w:val="18"/>
        </w:rPr>
        <w:t>Article 4.X.6.</w:t>
      </w:r>
    </w:p>
    <w:p w14:paraId="2274ED76" w14:textId="77777777" w:rsidR="0094086E" w:rsidRPr="00B94642" w:rsidRDefault="0094086E" w:rsidP="0094086E">
      <w:pPr>
        <w:spacing w:after="240"/>
        <w:jc w:val="both"/>
        <w:rPr>
          <w:rFonts w:ascii="Ottawa" w:hAnsi="Ottawa" w:cs="Arial"/>
          <w:b/>
          <w:sz w:val="18"/>
          <w:szCs w:val="18"/>
        </w:rPr>
      </w:pPr>
      <w:r w:rsidRPr="00B94642">
        <w:rPr>
          <w:rFonts w:ascii="Ottawa" w:hAnsi="Ottawa" w:cs="Arial"/>
          <w:b/>
          <w:sz w:val="18"/>
          <w:szCs w:val="18"/>
        </w:rPr>
        <w:t>Transmission pathways</w:t>
      </w:r>
      <w:r w:rsidRPr="00B94642">
        <w:rPr>
          <w:rFonts w:ascii="Ottawa" w:hAnsi="Ottawa" w:cs="Arial"/>
          <w:b/>
          <w:strike/>
          <w:sz w:val="18"/>
          <w:szCs w:val="18"/>
          <w:u w:val="double"/>
        </w:rPr>
        <w:t>,</w:t>
      </w:r>
      <w:r w:rsidRPr="00B94642">
        <w:rPr>
          <w:rFonts w:ascii="Ottawa" w:hAnsi="Ottawa" w:cs="Arial"/>
          <w:b/>
          <w:sz w:val="18"/>
          <w:szCs w:val="18"/>
        </w:rPr>
        <w:t xml:space="preserve"> </w:t>
      </w:r>
      <w:r w:rsidRPr="00B94642">
        <w:rPr>
          <w:rFonts w:ascii="Ottawa" w:hAnsi="Ottawa" w:cs="Arial"/>
          <w:b/>
          <w:strike/>
          <w:sz w:val="18"/>
          <w:szCs w:val="18"/>
        </w:rPr>
        <w:t>and</w:t>
      </w:r>
      <w:r w:rsidRPr="00B94642">
        <w:rPr>
          <w:rFonts w:ascii="Ottawa" w:hAnsi="Ottawa" w:cs="Arial"/>
          <w:b/>
          <w:sz w:val="18"/>
          <w:szCs w:val="18"/>
        </w:rPr>
        <w:t xml:space="preserve"> </w:t>
      </w:r>
      <w:r w:rsidRPr="00B94642">
        <w:rPr>
          <w:rFonts w:ascii="Ottawa" w:hAnsi="Ottawa" w:cs="Arial"/>
          <w:b/>
          <w:strike/>
          <w:sz w:val="18"/>
          <w:szCs w:val="18"/>
        </w:rPr>
        <w:t>associated risks</w:t>
      </w:r>
      <w:r w:rsidRPr="00B94642">
        <w:rPr>
          <w:rFonts w:ascii="Ottawa" w:hAnsi="Ottawa" w:cs="Arial"/>
          <w:b/>
          <w:sz w:val="18"/>
          <w:szCs w:val="18"/>
        </w:rPr>
        <w:t xml:space="preserve"> </w:t>
      </w:r>
      <w:r w:rsidRPr="00B94642">
        <w:rPr>
          <w:rFonts w:ascii="Ottawa" w:hAnsi="Ottawa" w:cs="Arial"/>
          <w:b/>
          <w:sz w:val="18"/>
          <w:szCs w:val="18"/>
          <w:u w:val="double"/>
        </w:rPr>
        <w:t>and mitigation measures</w:t>
      </w:r>
    </w:p>
    <w:p w14:paraId="7AC68A53" w14:textId="77777777" w:rsidR="0094086E" w:rsidRPr="00B94642" w:rsidRDefault="0094086E" w:rsidP="0094086E">
      <w:pPr>
        <w:spacing w:after="240"/>
        <w:jc w:val="both"/>
        <w:rPr>
          <w:rFonts w:ascii="Arial" w:hAnsi="Arial" w:cs="Arial"/>
          <w:color w:val="000000"/>
          <w:sz w:val="18"/>
          <w:szCs w:val="18"/>
        </w:rPr>
      </w:pPr>
      <w:r w:rsidRPr="00B94642">
        <w:rPr>
          <w:rFonts w:ascii="Arial" w:hAnsi="Arial" w:cs="Arial"/>
          <w:i/>
          <w:color w:val="000000"/>
          <w:sz w:val="18"/>
          <w:szCs w:val="18"/>
        </w:rPr>
        <w:t>Pathogenic agents</w:t>
      </w:r>
      <w:r w:rsidRPr="00B94642">
        <w:rPr>
          <w:rFonts w:ascii="Arial" w:hAnsi="Arial" w:cs="Arial"/>
          <w:color w:val="000000"/>
          <w:sz w:val="18"/>
          <w:szCs w:val="18"/>
        </w:rPr>
        <w:t xml:space="preserve"> can move into, </w:t>
      </w:r>
      <w:r w:rsidRPr="00B94642">
        <w:rPr>
          <w:rFonts w:ascii="Arial" w:eastAsia="SimSun" w:hAnsi="Arial" w:cs="Arial"/>
          <w:color w:val="000000"/>
          <w:sz w:val="18"/>
          <w:szCs w:val="18"/>
          <w:lang w:eastAsia="zh-CN"/>
        </w:rPr>
        <w:t xml:space="preserve">spread </w:t>
      </w:r>
      <w:r w:rsidRPr="00B94642">
        <w:rPr>
          <w:rFonts w:ascii="Arial" w:hAnsi="Arial" w:cs="Arial"/>
          <w:color w:val="000000"/>
          <w:sz w:val="18"/>
          <w:szCs w:val="18"/>
        </w:rPr>
        <w:t xml:space="preserve">within, and be released from </w:t>
      </w:r>
      <w:r w:rsidRPr="00B94642">
        <w:rPr>
          <w:rFonts w:ascii="Arial" w:hAnsi="Arial" w:cs="Arial"/>
          <w:i/>
          <w:color w:val="000000"/>
          <w:sz w:val="18"/>
          <w:szCs w:val="18"/>
        </w:rPr>
        <w:t>aquaculture establishments</w:t>
      </w:r>
      <w:r w:rsidRPr="00B94642">
        <w:rPr>
          <w:rFonts w:ascii="Arial" w:hAnsi="Arial" w:cs="Arial"/>
          <w:color w:val="000000"/>
          <w:sz w:val="18"/>
          <w:szCs w:val="18"/>
        </w:rPr>
        <w:t xml:space="preserve"> via various transmission pathways. The identification of all potential transmission pathways is essential for the development of an effective </w:t>
      </w:r>
      <w:r w:rsidRPr="00B94642">
        <w:rPr>
          <w:rFonts w:ascii="Arial" w:hAnsi="Arial" w:cs="Arial"/>
          <w:i/>
          <w:color w:val="000000"/>
          <w:sz w:val="18"/>
          <w:szCs w:val="18"/>
        </w:rPr>
        <w:t>biosecurity</w:t>
      </w:r>
      <w:r w:rsidRPr="00B94642">
        <w:rPr>
          <w:rFonts w:ascii="Arial" w:eastAsia="SimSun" w:hAnsi="Arial" w:cs="Arial"/>
          <w:i/>
          <w:color w:val="000000"/>
          <w:sz w:val="18"/>
          <w:szCs w:val="18"/>
          <w:lang w:eastAsia="zh-CN"/>
        </w:rPr>
        <w:t xml:space="preserve"> </w:t>
      </w:r>
      <w:r w:rsidRPr="00B94642">
        <w:rPr>
          <w:rFonts w:ascii="Arial" w:hAnsi="Arial" w:cs="Arial"/>
          <w:i/>
          <w:color w:val="000000"/>
          <w:sz w:val="18"/>
          <w:szCs w:val="18"/>
        </w:rPr>
        <w:t>plan</w:t>
      </w:r>
      <w:r w:rsidRPr="00B94642">
        <w:rPr>
          <w:rFonts w:ascii="Arial" w:hAnsi="Arial" w:cs="Arial"/>
          <w:color w:val="000000"/>
          <w:sz w:val="18"/>
          <w:szCs w:val="18"/>
        </w:rPr>
        <w:t xml:space="preserve">. </w:t>
      </w:r>
      <w:r w:rsidRPr="00685B5C">
        <w:rPr>
          <w:rFonts w:ascii="Arial" w:hAnsi="Arial" w:cs="Arial"/>
          <w:strike/>
          <w:color w:val="000000"/>
          <w:sz w:val="18"/>
          <w:szCs w:val="18"/>
          <w:highlight w:val="yellow"/>
        </w:rPr>
        <w:t>Mitigation of p</w:t>
      </w:r>
      <w:r w:rsidRPr="00B94642">
        <w:rPr>
          <w:rFonts w:ascii="Arial" w:hAnsi="Arial" w:cs="Arial"/>
          <w:color w:val="000000"/>
          <w:sz w:val="18"/>
          <w:szCs w:val="18"/>
          <w:highlight w:val="yellow"/>
          <w:u w:val="double"/>
        </w:rPr>
        <w:t>P</w:t>
      </w:r>
      <w:r w:rsidRPr="00B94642">
        <w:rPr>
          <w:rFonts w:ascii="Arial" w:hAnsi="Arial" w:cs="Arial"/>
          <w:color w:val="000000"/>
          <w:sz w:val="18"/>
          <w:szCs w:val="18"/>
        </w:rPr>
        <w:t xml:space="preserve">athways </w:t>
      </w:r>
      <w:r w:rsidRPr="00B94642">
        <w:rPr>
          <w:rFonts w:ascii="Arial" w:hAnsi="Arial" w:cs="Arial"/>
          <w:color w:val="000000"/>
          <w:sz w:val="18"/>
          <w:szCs w:val="18"/>
          <w:u w:val="double"/>
        </w:rPr>
        <w:t>that are likely</w:t>
      </w:r>
      <w:r w:rsidRPr="00B94642">
        <w:rPr>
          <w:rFonts w:ascii="Arial" w:hAnsi="Arial" w:cs="Arial"/>
          <w:color w:val="000000"/>
          <w:sz w:val="18"/>
          <w:szCs w:val="18"/>
        </w:rPr>
        <w:t xml:space="preserve"> to result in </w:t>
      </w:r>
      <w:r w:rsidRPr="00B94642">
        <w:rPr>
          <w:rFonts w:ascii="Arial" w:hAnsi="Arial" w:cs="Arial"/>
          <w:color w:val="000000"/>
          <w:sz w:val="18"/>
          <w:szCs w:val="18"/>
          <w:u w:val="double"/>
        </w:rPr>
        <w:t xml:space="preserve">transmission of specific </w:t>
      </w:r>
      <w:r w:rsidRPr="00B94642">
        <w:rPr>
          <w:rFonts w:ascii="Arial" w:hAnsi="Arial" w:cs="Arial"/>
          <w:strike/>
          <w:color w:val="000000"/>
          <w:sz w:val="18"/>
          <w:szCs w:val="18"/>
        </w:rPr>
        <w:t xml:space="preserve">may expose susceptible </w:t>
      </w:r>
      <w:r w:rsidRPr="00B94642">
        <w:rPr>
          <w:rFonts w:ascii="Arial" w:hAnsi="Arial" w:cs="Arial"/>
          <w:i/>
          <w:strike/>
          <w:color w:val="000000"/>
          <w:sz w:val="18"/>
          <w:szCs w:val="18"/>
        </w:rPr>
        <w:t>aquatic animals</w:t>
      </w:r>
      <w:r w:rsidRPr="00B94642">
        <w:rPr>
          <w:rFonts w:ascii="Arial" w:hAnsi="Arial" w:cs="Arial"/>
          <w:strike/>
          <w:color w:val="000000"/>
          <w:sz w:val="18"/>
          <w:szCs w:val="18"/>
        </w:rPr>
        <w:t xml:space="preserve"> to high loads of</w:t>
      </w:r>
      <w:r w:rsidRPr="00B94642">
        <w:rPr>
          <w:rFonts w:ascii="Arial" w:hAnsi="Arial" w:cs="Arial"/>
          <w:color w:val="000000"/>
          <w:sz w:val="18"/>
          <w:szCs w:val="18"/>
        </w:rPr>
        <w:t xml:space="preserve"> </w:t>
      </w:r>
      <w:r w:rsidRPr="00B94642">
        <w:rPr>
          <w:rFonts w:ascii="Arial" w:hAnsi="Arial" w:cs="Arial"/>
          <w:i/>
          <w:color w:val="000000"/>
          <w:sz w:val="18"/>
          <w:szCs w:val="18"/>
        </w:rPr>
        <w:t>pathogenic agents</w:t>
      </w:r>
      <w:r w:rsidRPr="00B94642">
        <w:rPr>
          <w:rFonts w:ascii="Arial" w:hAnsi="Arial" w:cs="Arial"/>
          <w:color w:val="000000"/>
          <w:sz w:val="18"/>
          <w:szCs w:val="18"/>
        </w:rPr>
        <w:t xml:space="preserve"> should be prioritised </w:t>
      </w:r>
      <w:r w:rsidRPr="00B94642">
        <w:rPr>
          <w:rFonts w:ascii="Arial" w:hAnsi="Arial" w:cs="Arial"/>
          <w:color w:val="000000"/>
          <w:sz w:val="18"/>
          <w:szCs w:val="18"/>
          <w:highlight w:val="yellow"/>
          <w:u w:val="double"/>
        </w:rPr>
        <w:t>for mitigation</w:t>
      </w:r>
      <w:r w:rsidRPr="00B94642">
        <w:rPr>
          <w:rFonts w:ascii="Arial" w:hAnsi="Arial" w:cs="Arial"/>
          <w:color w:val="000000"/>
          <w:sz w:val="18"/>
          <w:szCs w:val="18"/>
        </w:rPr>
        <w:t>.</w:t>
      </w:r>
    </w:p>
    <w:p w14:paraId="2DB596C7" w14:textId="57F0BD7D" w:rsidR="0094086E" w:rsidRPr="00B94642" w:rsidRDefault="0094086E" w:rsidP="0094086E">
      <w:pPr>
        <w:spacing w:after="240"/>
        <w:jc w:val="both"/>
        <w:rPr>
          <w:rFonts w:ascii="Arial" w:hAnsi="Arial" w:cs="Arial"/>
          <w:color w:val="000000"/>
          <w:sz w:val="18"/>
          <w:szCs w:val="18"/>
        </w:rPr>
      </w:pPr>
      <w:r w:rsidRPr="00B94642">
        <w:rPr>
          <w:rFonts w:ascii="Arial" w:hAnsi="Arial" w:cs="Arial"/>
          <w:color w:val="000000"/>
          <w:sz w:val="18"/>
          <w:szCs w:val="18"/>
        </w:rPr>
        <w:t xml:space="preserve">The </w:t>
      </w:r>
      <w:r w:rsidRPr="00B94642">
        <w:rPr>
          <w:rFonts w:ascii="Arial" w:hAnsi="Arial" w:cs="Arial"/>
          <w:i/>
          <w:color w:val="000000"/>
          <w:sz w:val="18"/>
          <w:szCs w:val="18"/>
        </w:rPr>
        <w:t>risks</w:t>
      </w:r>
      <w:r w:rsidRPr="00B94642">
        <w:rPr>
          <w:rFonts w:ascii="Arial" w:hAnsi="Arial" w:cs="Arial"/>
          <w:color w:val="000000"/>
          <w:sz w:val="18"/>
          <w:szCs w:val="18"/>
        </w:rPr>
        <w:t xml:space="preserve"> associated with </w:t>
      </w:r>
      <w:r w:rsidRPr="00B94642">
        <w:rPr>
          <w:rFonts w:ascii="Arial" w:hAnsi="Arial" w:cs="Arial"/>
          <w:color w:val="000000"/>
          <w:sz w:val="18"/>
          <w:szCs w:val="18"/>
          <w:highlight w:val="yellow"/>
          <w:u w:val="double"/>
        </w:rPr>
        <w:t>the</w:t>
      </w:r>
      <w:r w:rsidRPr="00B94642">
        <w:rPr>
          <w:rFonts w:ascii="Arial" w:hAnsi="Arial" w:cs="Arial"/>
          <w:color w:val="000000"/>
          <w:sz w:val="18"/>
          <w:szCs w:val="18"/>
        </w:rPr>
        <w:t xml:space="preserve"> introduction </w:t>
      </w:r>
      <w:r w:rsidR="0038416E" w:rsidRPr="00B94642">
        <w:rPr>
          <w:rFonts w:ascii="Arial" w:hAnsi="Arial" w:cs="Arial"/>
          <w:color w:val="000000"/>
          <w:sz w:val="18"/>
          <w:szCs w:val="18"/>
          <w:highlight w:val="yellow"/>
          <w:u w:val="double"/>
        </w:rPr>
        <w:t>in</w:t>
      </w:r>
      <w:r w:rsidRPr="00B94642">
        <w:rPr>
          <w:rFonts w:ascii="Arial" w:hAnsi="Arial" w:cs="Arial"/>
          <w:color w:val="000000"/>
          <w:sz w:val="18"/>
          <w:szCs w:val="18"/>
          <w:highlight w:val="yellow"/>
          <w:u w:val="double"/>
        </w:rPr>
        <w:t>to</w:t>
      </w:r>
      <w:r w:rsidRPr="00B94642">
        <w:rPr>
          <w:rFonts w:ascii="Arial" w:hAnsi="Arial" w:cs="Arial"/>
          <w:color w:val="000000"/>
          <w:sz w:val="18"/>
          <w:szCs w:val="18"/>
        </w:rPr>
        <w:t xml:space="preserve">, spread </w:t>
      </w:r>
      <w:r w:rsidRPr="00B94642">
        <w:rPr>
          <w:rFonts w:ascii="Arial" w:hAnsi="Arial" w:cs="Arial"/>
          <w:color w:val="000000"/>
          <w:sz w:val="18"/>
          <w:szCs w:val="18"/>
          <w:highlight w:val="yellow"/>
          <w:u w:val="double"/>
        </w:rPr>
        <w:t>within</w:t>
      </w:r>
      <w:r w:rsidRPr="00B94642">
        <w:rPr>
          <w:rFonts w:ascii="Arial" w:hAnsi="Arial" w:cs="Arial"/>
          <w:color w:val="000000"/>
          <w:sz w:val="18"/>
          <w:szCs w:val="18"/>
        </w:rPr>
        <w:t xml:space="preserve">, and release </w:t>
      </w:r>
      <w:r w:rsidRPr="00B94642">
        <w:rPr>
          <w:rStyle w:val="normaltextrun"/>
          <w:rFonts w:ascii="Arial" w:eastAsia="Arial" w:hAnsi="Arial" w:cs="Arial"/>
          <w:color w:val="000000"/>
          <w:sz w:val="18"/>
          <w:szCs w:val="18"/>
        </w:rPr>
        <w:t xml:space="preserve">of </w:t>
      </w:r>
      <w:r w:rsidRPr="00B94642">
        <w:rPr>
          <w:rStyle w:val="normaltextrun"/>
          <w:rFonts w:ascii="Arial" w:eastAsia="Arial" w:hAnsi="Arial" w:cs="Arial"/>
          <w:i/>
          <w:iCs/>
          <w:color w:val="000000"/>
          <w:sz w:val="18"/>
          <w:szCs w:val="18"/>
        </w:rPr>
        <w:t>pathogenic agents</w:t>
      </w:r>
      <w:r w:rsidRPr="00B94642">
        <w:rPr>
          <w:rStyle w:val="normaltextrun"/>
          <w:rFonts w:ascii="Arial" w:eastAsia="Arial" w:hAnsi="Arial" w:cs="Arial"/>
          <w:color w:val="000000"/>
          <w:sz w:val="18"/>
          <w:szCs w:val="18"/>
        </w:rPr>
        <w:t> </w:t>
      </w:r>
      <w:r w:rsidRPr="00B94642">
        <w:rPr>
          <w:rFonts w:ascii="Arial" w:hAnsi="Arial" w:cs="Arial"/>
          <w:color w:val="000000"/>
          <w:sz w:val="18"/>
          <w:szCs w:val="18"/>
        </w:rPr>
        <w:t xml:space="preserve">from the </w:t>
      </w:r>
      <w:r w:rsidRPr="00B94642">
        <w:rPr>
          <w:rFonts w:ascii="Arial" w:hAnsi="Arial" w:cs="Arial"/>
          <w:i/>
          <w:color w:val="000000"/>
          <w:sz w:val="18"/>
          <w:szCs w:val="18"/>
        </w:rPr>
        <w:t>aquaculture establishment</w:t>
      </w:r>
      <w:r w:rsidRPr="00B94642">
        <w:rPr>
          <w:rFonts w:ascii="Arial" w:hAnsi="Arial" w:cs="Arial"/>
          <w:color w:val="000000"/>
          <w:sz w:val="18"/>
          <w:szCs w:val="18"/>
        </w:rPr>
        <w:t xml:space="preserve"> need to be considered for each of the following transmission pathways. </w:t>
      </w:r>
    </w:p>
    <w:p w14:paraId="48BC94D9" w14:textId="77777777" w:rsidR="00B94642" w:rsidRDefault="00B94642">
      <w:pPr>
        <w:rPr>
          <w:rFonts w:cs="Times New Roman"/>
          <w:color w:val="000000"/>
          <w:sz w:val="18"/>
          <w:szCs w:val="18"/>
        </w:rPr>
      </w:pPr>
      <w:r>
        <w:rPr>
          <w:rFonts w:cs="Times New Roman"/>
          <w:color w:val="000000"/>
          <w:sz w:val="18"/>
          <w:szCs w:val="18"/>
        </w:rPr>
        <w:br w:type="page"/>
      </w:r>
    </w:p>
    <w:p w14:paraId="310FCCCE" w14:textId="77777777" w:rsidR="00B94642" w:rsidRDefault="00B94642" w:rsidP="00B94642">
      <w:pPr>
        <w:spacing w:after="480" w:line="240" w:lineRule="auto"/>
        <w:ind w:left="425" w:hanging="425"/>
        <w:jc w:val="both"/>
        <w:rPr>
          <w:szCs w:val="20"/>
        </w:rPr>
      </w:pPr>
      <w:r w:rsidRPr="008270D6">
        <w:rPr>
          <w:szCs w:val="20"/>
          <w:u w:val="single"/>
        </w:rPr>
        <w:lastRenderedPageBreak/>
        <w:t>Annex 2</w:t>
      </w:r>
      <w:r w:rsidRPr="008270D6">
        <w:rPr>
          <w:szCs w:val="20"/>
        </w:rPr>
        <w:t xml:space="preserve"> (contd)</w:t>
      </w:r>
    </w:p>
    <w:p w14:paraId="2A661740" w14:textId="2D1C4856" w:rsidR="0094086E" w:rsidRPr="00B94642" w:rsidRDefault="0094086E" w:rsidP="0094086E">
      <w:pPr>
        <w:spacing w:after="240"/>
        <w:ind w:left="426" w:hanging="426"/>
        <w:jc w:val="both"/>
        <w:rPr>
          <w:rFonts w:ascii="Arial" w:hAnsi="Arial" w:cs="Arial"/>
          <w:color w:val="000000"/>
          <w:sz w:val="18"/>
          <w:szCs w:val="18"/>
          <w:u w:val="single"/>
        </w:rPr>
      </w:pPr>
      <w:r w:rsidRPr="00B94642">
        <w:rPr>
          <w:rFonts w:ascii="Arial" w:hAnsi="Arial" w:cs="Arial"/>
          <w:color w:val="000000"/>
          <w:sz w:val="18"/>
          <w:szCs w:val="18"/>
        </w:rPr>
        <w:t>1.</w:t>
      </w:r>
      <w:r w:rsidRPr="00B94642">
        <w:rPr>
          <w:rFonts w:ascii="Arial" w:hAnsi="Arial" w:cs="Arial"/>
          <w:i/>
          <w:color w:val="000000"/>
          <w:sz w:val="18"/>
          <w:szCs w:val="18"/>
        </w:rPr>
        <w:t>      </w:t>
      </w:r>
      <w:r w:rsidRPr="00B94642">
        <w:rPr>
          <w:rFonts w:ascii="Arial" w:hAnsi="Arial" w:cs="Arial"/>
          <w:color w:val="000000"/>
          <w:sz w:val="18"/>
          <w:szCs w:val="18"/>
          <w:u w:val="single"/>
        </w:rPr>
        <w:t>Aquatic animals</w:t>
      </w:r>
    </w:p>
    <w:p w14:paraId="2996CC9D" w14:textId="77777777" w:rsidR="0094086E" w:rsidRPr="00B94642" w:rsidRDefault="0094086E" w:rsidP="0094086E">
      <w:pPr>
        <w:spacing w:after="240"/>
        <w:ind w:left="426"/>
        <w:jc w:val="both"/>
        <w:rPr>
          <w:rFonts w:ascii="Arial" w:hAnsi="Arial" w:cs="Arial"/>
          <w:color w:val="000000"/>
          <w:sz w:val="18"/>
          <w:szCs w:val="18"/>
        </w:rPr>
      </w:pPr>
      <w:r w:rsidRPr="00B94642">
        <w:rPr>
          <w:rFonts w:ascii="Arial" w:hAnsi="Arial" w:cs="Arial"/>
          <w:color w:val="000000"/>
          <w:sz w:val="18"/>
          <w:szCs w:val="18"/>
        </w:rPr>
        <w:t xml:space="preserve">Movement of </w:t>
      </w:r>
      <w:r w:rsidRPr="00B94642">
        <w:rPr>
          <w:rFonts w:ascii="Arial" w:hAnsi="Arial" w:cs="Arial"/>
          <w:i/>
          <w:color w:val="000000"/>
          <w:sz w:val="18"/>
          <w:szCs w:val="18"/>
        </w:rPr>
        <w:t>aquatic animals</w:t>
      </w:r>
      <w:r w:rsidRPr="00B94642">
        <w:rPr>
          <w:rFonts w:ascii="Arial" w:hAnsi="Arial" w:cs="Arial"/>
          <w:color w:val="000000"/>
          <w:sz w:val="18"/>
          <w:szCs w:val="18"/>
        </w:rPr>
        <w:t xml:space="preserve"> into, within and from </w:t>
      </w:r>
      <w:r w:rsidRPr="00B94642">
        <w:rPr>
          <w:rFonts w:ascii="Arial" w:hAnsi="Arial" w:cs="Arial"/>
          <w:i/>
          <w:color w:val="000000"/>
          <w:sz w:val="18"/>
          <w:szCs w:val="18"/>
        </w:rPr>
        <w:t>aquaculture establishments</w:t>
      </w:r>
      <w:r w:rsidRPr="00B94642">
        <w:rPr>
          <w:rFonts w:ascii="Arial" w:hAnsi="Arial" w:cs="Arial"/>
          <w:color w:val="000000"/>
          <w:sz w:val="18"/>
          <w:szCs w:val="18"/>
        </w:rPr>
        <w:t xml:space="preserve">, either intentionally or unintentionally, </w:t>
      </w:r>
      <w:r w:rsidRPr="00B94642">
        <w:rPr>
          <w:rFonts w:ascii="Arial" w:hAnsi="Arial" w:cs="Arial"/>
          <w:strike/>
          <w:color w:val="000000"/>
          <w:sz w:val="18"/>
          <w:szCs w:val="18"/>
        </w:rPr>
        <w:t>may</w:t>
      </w:r>
      <w:r w:rsidRPr="00B94642">
        <w:rPr>
          <w:rFonts w:ascii="Arial" w:hAnsi="Arial" w:cs="Arial"/>
          <w:color w:val="000000"/>
          <w:sz w:val="18"/>
          <w:szCs w:val="18"/>
        </w:rPr>
        <w:t xml:space="preserve"> </w:t>
      </w:r>
      <w:r w:rsidRPr="00B94642">
        <w:rPr>
          <w:rFonts w:ascii="Arial" w:hAnsi="Arial" w:cs="Arial"/>
          <w:strike/>
          <w:color w:val="000000"/>
          <w:sz w:val="18"/>
          <w:szCs w:val="18"/>
          <w:u w:val="double"/>
        </w:rPr>
        <w:t>usually</w:t>
      </w:r>
      <w:r w:rsidRPr="00B94642">
        <w:rPr>
          <w:rFonts w:ascii="Arial" w:hAnsi="Arial" w:cs="Arial"/>
          <w:color w:val="000000"/>
          <w:sz w:val="18"/>
          <w:szCs w:val="18"/>
          <w:u w:val="double"/>
        </w:rPr>
        <w:t xml:space="preserve"> may pose</w:t>
      </w:r>
      <w:r w:rsidRPr="00B94642">
        <w:rPr>
          <w:rFonts w:ascii="Arial" w:hAnsi="Arial" w:cs="Arial"/>
          <w:color w:val="000000"/>
          <w:sz w:val="18"/>
          <w:szCs w:val="18"/>
        </w:rPr>
        <w:t xml:space="preserve"> </w:t>
      </w:r>
      <w:r w:rsidRPr="00B94642">
        <w:rPr>
          <w:rFonts w:ascii="Arial" w:hAnsi="Arial" w:cs="Arial"/>
          <w:strike/>
          <w:color w:val="000000"/>
          <w:sz w:val="18"/>
          <w:szCs w:val="18"/>
        </w:rPr>
        <w:t>pose</w:t>
      </w:r>
      <w:r w:rsidRPr="00B94642">
        <w:rPr>
          <w:rFonts w:ascii="Arial" w:hAnsi="Arial" w:cs="Arial"/>
          <w:color w:val="000000"/>
          <w:sz w:val="18"/>
          <w:szCs w:val="18"/>
        </w:rPr>
        <w:t xml:space="preserve"> </w:t>
      </w:r>
      <w:r w:rsidRPr="00B94642">
        <w:rPr>
          <w:rFonts w:ascii="Arial" w:hAnsi="Arial" w:cs="Arial"/>
          <w:strike/>
          <w:color w:val="000000"/>
          <w:sz w:val="18"/>
          <w:szCs w:val="18"/>
          <w:u w:val="double"/>
        </w:rPr>
        <w:t>has</w:t>
      </w:r>
      <w:r w:rsidRPr="00B94642">
        <w:rPr>
          <w:rFonts w:ascii="Arial" w:hAnsi="Arial" w:cs="Arial"/>
          <w:color w:val="000000"/>
          <w:sz w:val="18"/>
          <w:szCs w:val="18"/>
        </w:rPr>
        <w:t xml:space="preserve"> a high </w:t>
      </w:r>
      <w:r w:rsidRPr="00B94642">
        <w:rPr>
          <w:rFonts w:ascii="Arial" w:hAnsi="Arial" w:cs="Arial"/>
          <w:color w:val="000000"/>
          <w:sz w:val="18"/>
          <w:szCs w:val="18"/>
          <w:u w:val="double"/>
        </w:rPr>
        <w:t>likelihood</w:t>
      </w:r>
      <w:r w:rsidRPr="00B94642">
        <w:rPr>
          <w:rFonts w:ascii="Arial" w:hAnsi="Arial" w:cs="Arial"/>
          <w:color w:val="000000"/>
          <w:sz w:val="18"/>
          <w:szCs w:val="18"/>
        </w:rPr>
        <w:t xml:space="preserve"> </w:t>
      </w:r>
      <w:r w:rsidRPr="00B94642">
        <w:rPr>
          <w:rFonts w:ascii="Arial" w:hAnsi="Arial" w:cs="Arial"/>
          <w:i/>
          <w:strike/>
          <w:color w:val="000000"/>
          <w:sz w:val="18"/>
          <w:szCs w:val="18"/>
        </w:rPr>
        <w:t>risk</w:t>
      </w:r>
      <w:r w:rsidRPr="00B94642">
        <w:rPr>
          <w:rFonts w:ascii="Arial" w:hAnsi="Arial" w:cs="Arial"/>
          <w:color w:val="000000"/>
          <w:sz w:val="18"/>
          <w:szCs w:val="18"/>
        </w:rPr>
        <w:t xml:space="preserve"> of </w:t>
      </w:r>
      <w:r w:rsidRPr="00B94642">
        <w:rPr>
          <w:rFonts w:ascii="Arial" w:hAnsi="Arial" w:cs="Arial"/>
          <w:i/>
          <w:color w:val="000000"/>
          <w:sz w:val="18"/>
          <w:szCs w:val="18"/>
        </w:rPr>
        <w:t>pathogenic agent</w:t>
      </w:r>
      <w:r w:rsidRPr="00B94642">
        <w:rPr>
          <w:rFonts w:ascii="Arial" w:hAnsi="Arial" w:cs="Arial"/>
          <w:color w:val="000000"/>
          <w:sz w:val="18"/>
          <w:szCs w:val="18"/>
        </w:rPr>
        <w:t xml:space="preserve"> transmission. This is particularly the case when clinically and sub-clinically infected </w:t>
      </w:r>
      <w:r w:rsidRPr="00B94642">
        <w:rPr>
          <w:rFonts w:ascii="Arial" w:hAnsi="Arial" w:cs="Arial"/>
          <w:i/>
          <w:color w:val="000000"/>
          <w:sz w:val="18"/>
          <w:szCs w:val="18"/>
        </w:rPr>
        <w:t>aquatic animals</w:t>
      </w:r>
      <w:r w:rsidRPr="00B94642">
        <w:rPr>
          <w:rFonts w:ascii="Arial" w:hAnsi="Arial" w:cs="Arial"/>
          <w:color w:val="000000"/>
          <w:sz w:val="18"/>
          <w:szCs w:val="18"/>
        </w:rPr>
        <w:t xml:space="preserve">, or </w:t>
      </w:r>
      <w:r w:rsidRPr="00B94642">
        <w:rPr>
          <w:rFonts w:ascii="Arial" w:hAnsi="Arial" w:cs="Arial"/>
          <w:i/>
          <w:color w:val="000000"/>
          <w:sz w:val="18"/>
          <w:szCs w:val="18"/>
        </w:rPr>
        <w:t>aquatic animals</w:t>
      </w:r>
      <w:r w:rsidRPr="00B94642">
        <w:rPr>
          <w:rFonts w:ascii="Arial" w:hAnsi="Arial" w:cs="Arial"/>
          <w:color w:val="000000"/>
          <w:sz w:val="18"/>
          <w:szCs w:val="18"/>
        </w:rPr>
        <w:t xml:space="preserve"> with unknown health status are moved into a susceptible population. </w:t>
      </w:r>
    </w:p>
    <w:p w14:paraId="19347F20" w14:textId="77777777" w:rsidR="0094086E" w:rsidRPr="00B94642" w:rsidRDefault="0094086E" w:rsidP="0094086E">
      <w:pPr>
        <w:spacing w:after="240"/>
        <w:ind w:left="426"/>
        <w:jc w:val="both"/>
        <w:rPr>
          <w:rFonts w:ascii="Arial" w:hAnsi="Arial" w:cs="Arial"/>
          <w:color w:val="000000"/>
          <w:sz w:val="18"/>
          <w:szCs w:val="18"/>
        </w:rPr>
      </w:pPr>
      <w:r w:rsidRPr="00B94642">
        <w:rPr>
          <w:rFonts w:ascii="Arial" w:hAnsi="Arial" w:cs="Arial"/>
          <w:i/>
          <w:sz w:val="18"/>
          <w:szCs w:val="18"/>
          <w:lang w:val="en-AU"/>
        </w:rPr>
        <w:t>Aquatic animal</w:t>
      </w:r>
      <w:r w:rsidRPr="00B94642">
        <w:rPr>
          <w:rFonts w:ascii="Arial" w:hAnsi="Arial" w:cs="Arial"/>
          <w:sz w:val="18"/>
          <w:szCs w:val="18"/>
          <w:lang w:val="en-AU"/>
        </w:rPr>
        <w:t xml:space="preserve">s intentionally </w:t>
      </w:r>
      <w:r w:rsidRPr="00B94642">
        <w:rPr>
          <w:rFonts w:ascii="Arial" w:hAnsi="Arial" w:cs="Arial"/>
          <w:strike/>
          <w:sz w:val="18"/>
          <w:szCs w:val="18"/>
          <w:lang w:val="en-AU"/>
        </w:rPr>
        <w:t>brought</w:t>
      </w:r>
      <w:r w:rsidRPr="00B94642">
        <w:rPr>
          <w:rFonts w:ascii="Arial" w:hAnsi="Arial" w:cs="Arial"/>
          <w:sz w:val="18"/>
          <w:szCs w:val="18"/>
          <w:lang w:val="en-AU"/>
        </w:rPr>
        <w:t xml:space="preserve"> </w:t>
      </w:r>
      <w:r w:rsidRPr="00B94642">
        <w:rPr>
          <w:rFonts w:ascii="Arial" w:hAnsi="Arial" w:cs="Arial"/>
          <w:sz w:val="18"/>
          <w:szCs w:val="18"/>
          <w:u w:val="double"/>
          <w:lang w:val="en-AU"/>
        </w:rPr>
        <w:t>introduced</w:t>
      </w:r>
      <w:r w:rsidRPr="00B94642">
        <w:rPr>
          <w:rFonts w:ascii="Arial" w:hAnsi="Arial" w:cs="Arial"/>
          <w:sz w:val="18"/>
          <w:szCs w:val="18"/>
          <w:lang w:val="en-AU"/>
        </w:rPr>
        <w:t xml:space="preserve"> </w:t>
      </w:r>
      <w:r w:rsidRPr="00B94642">
        <w:rPr>
          <w:rFonts w:ascii="Arial" w:eastAsia="SimSun" w:hAnsi="Arial" w:cs="Arial"/>
          <w:sz w:val="18"/>
          <w:szCs w:val="18"/>
          <w:lang w:val="en-AU" w:eastAsia="zh-CN"/>
        </w:rPr>
        <w:t>i</w:t>
      </w:r>
      <w:r w:rsidRPr="00B94642">
        <w:rPr>
          <w:rFonts w:ascii="Arial" w:hAnsi="Arial" w:cs="Arial"/>
          <w:sz w:val="18"/>
          <w:szCs w:val="18"/>
          <w:lang w:val="en-AU"/>
        </w:rPr>
        <w:t>nto</w:t>
      </w:r>
      <w:r w:rsidRPr="00B94642">
        <w:rPr>
          <w:rFonts w:ascii="Arial" w:hAnsi="Arial" w:cs="Arial"/>
          <w:sz w:val="18"/>
          <w:szCs w:val="18"/>
          <w:u w:val="double"/>
          <w:lang w:val="en-AU"/>
        </w:rPr>
        <w:t xml:space="preserve">, or moved within, </w:t>
      </w:r>
      <w:r w:rsidRPr="00B94642">
        <w:rPr>
          <w:rFonts w:ascii="Arial" w:hAnsi="Arial" w:cs="Arial"/>
          <w:sz w:val="18"/>
          <w:szCs w:val="18"/>
          <w:lang w:val="en-AU"/>
        </w:rPr>
        <w:t xml:space="preserve">an </w:t>
      </w:r>
      <w:r w:rsidRPr="00B94642">
        <w:rPr>
          <w:rFonts w:ascii="Arial" w:hAnsi="Arial" w:cs="Arial"/>
          <w:i/>
          <w:sz w:val="18"/>
          <w:szCs w:val="18"/>
          <w:lang w:val="en-AU"/>
        </w:rPr>
        <w:t>aquaculture establishment</w:t>
      </w:r>
      <w:r w:rsidRPr="00B94642">
        <w:rPr>
          <w:rFonts w:ascii="Arial" w:hAnsi="Arial" w:cs="Arial"/>
          <w:strike/>
          <w:sz w:val="18"/>
          <w:szCs w:val="18"/>
          <w:u w:val="double"/>
          <w:lang w:val="en-AU"/>
        </w:rPr>
        <w:t>, or moved within it</w:t>
      </w:r>
      <w:r w:rsidRPr="00B94642">
        <w:rPr>
          <w:rFonts w:ascii="Arial" w:hAnsi="Arial" w:cs="Arial"/>
          <w:strike/>
          <w:sz w:val="18"/>
          <w:szCs w:val="18"/>
          <w:lang w:val="en-AU"/>
        </w:rPr>
        <w:t>,</w:t>
      </w:r>
      <w:r w:rsidRPr="00B94642">
        <w:rPr>
          <w:rFonts w:ascii="Arial" w:hAnsi="Arial" w:cs="Arial"/>
          <w:sz w:val="18"/>
          <w:szCs w:val="18"/>
          <w:lang w:val="en-AU"/>
        </w:rPr>
        <w:t xml:space="preserve"> may include broodstock, juvenile stock for on-growing, and genetic material such as eggs. </w:t>
      </w:r>
      <w:r w:rsidRPr="00B94642">
        <w:rPr>
          <w:rFonts w:ascii="Arial" w:hAnsi="Arial" w:cs="Arial"/>
          <w:sz w:val="18"/>
          <w:szCs w:val="18"/>
        </w:rPr>
        <w:t xml:space="preserve">Both horizontal and vertical transmission mechanisms </w:t>
      </w:r>
      <w:r w:rsidRPr="00B94642">
        <w:rPr>
          <w:rFonts w:ascii="Arial" w:hAnsi="Arial" w:cs="Arial"/>
          <w:sz w:val="18"/>
          <w:szCs w:val="18"/>
          <w:highlight w:val="yellow"/>
          <w:u w:val="double"/>
        </w:rPr>
        <w:t xml:space="preserve">of </w:t>
      </w:r>
      <w:r w:rsidRPr="00B94642">
        <w:rPr>
          <w:rFonts w:ascii="Arial" w:hAnsi="Arial" w:cs="Arial"/>
          <w:i/>
          <w:iCs/>
          <w:sz w:val="18"/>
          <w:szCs w:val="18"/>
          <w:highlight w:val="yellow"/>
          <w:u w:val="double"/>
        </w:rPr>
        <w:t>pathogenic agents</w:t>
      </w:r>
      <w:r w:rsidRPr="00B94642">
        <w:rPr>
          <w:rFonts w:ascii="Arial" w:hAnsi="Arial" w:cs="Arial"/>
          <w:sz w:val="18"/>
          <w:szCs w:val="18"/>
        </w:rPr>
        <w:t xml:space="preserve"> should be considered for </w:t>
      </w:r>
      <w:r w:rsidRPr="00B94642">
        <w:rPr>
          <w:rFonts w:ascii="Arial" w:hAnsi="Arial" w:cs="Arial"/>
          <w:i/>
          <w:sz w:val="18"/>
          <w:szCs w:val="18"/>
        </w:rPr>
        <w:t>aquatic animals</w:t>
      </w:r>
      <w:r w:rsidRPr="00B94642">
        <w:rPr>
          <w:rFonts w:ascii="Arial" w:hAnsi="Arial" w:cs="Arial"/>
          <w:sz w:val="18"/>
          <w:szCs w:val="18"/>
        </w:rPr>
        <w:t xml:space="preserve">. </w:t>
      </w:r>
      <w:r w:rsidRPr="00B94642">
        <w:rPr>
          <w:rFonts w:ascii="Arial" w:hAnsi="Arial" w:cs="Arial"/>
          <w:color w:val="000000"/>
          <w:sz w:val="18"/>
          <w:szCs w:val="18"/>
        </w:rPr>
        <w:t xml:space="preserve">The </w:t>
      </w:r>
      <w:r w:rsidRPr="00B94642">
        <w:rPr>
          <w:rFonts w:ascii="Arial" w:hAnsi="Arial" w:cs="Arial"/>
          <w:i/>
          <w:color w:val="000000"/>
          <w:sz w:val="18"/>
          <w:szCs w:val="18"/>
        </w:rPr>
        <w:t>risk</w:t>
      </w:r>
      <w:r w:rsidRPr="00B94642">
        <w:rPr>
          <w:rFonts w:ascii="Arial" w:hAnsi="Arial" w:cs="Arial"/>
          <w:color w:val="000000"/>
          <w:sz w:val="18"/>
          <w:szCs w:val="18"/>
        </w:rPr>
        <w:t xml:space="preserve"> of transmitting </w:t>
      </w:r>
      <w:r w:rsidRPr="00B94642">
        <w:rPr>
          <w:rFonts w:ascii="Arial" w:hAnsi="Arial" w:cs="Arial"/>
          <w:i/>
          <w:color w:val="000000"/>
          <w:sz w:val="18"/>
          <w:szCs w:val="18"/>
        </w:rPr>
        <w:t>pathogenic agents</w:t>
      </w:r>
      <w:r w:rsidRPr="00B94642">
        <w:rPr>
          <w:rFonts w:ascii="Arial" w:hAnsi="Arial" w:cs="Arial"/>
          <w:color w:val="000000"/>
          <w:sz w:val="18"/>
          <w:szCs w:val="18"/>
        </w:rPr>
        <w:t xml:space="preserve"> via </w:t>
      </w:r>
      <w:r w:rsidRPr="00B94642">
        <w:rPr>
          <w:rFonts w:ascii="Arial" w:hAnsi="Arial" w:cs="Arial"/>
          <w:i/>
          <w:color w:val="000000"/>
          <w:sz w:val="18"/>
          <w:szCs w:val="18"/>
        </w:rPr>
        <w:t xml:space="preserve">aquatic animals </w:t>
      </w:r>
      <w:r w:rsidRPr="00B94642">
        <w:rPr>
          <w:rFonts w:ascii="Arial" w:hAnsi="Arial" w:cs="Arial"/>
          <w:sz w:val="18"/>
          <w:szCs w:val="18"/>
          <w:u w:val="double"/>
          <w:lang w:val="en-CA"/>
        </w:rPr>
        <w:t>should be managed</w:t>
      </w:r>
      <w:r w:rsidRPr="00B94642">
        <w:rPr>
          <w:rFonts w:ascii="Arial" w:hAnsi="Arial" w:cs="Arial"/>
          <w:strike/>
          <w:sz w:val="18"/>
          <w:szCs w:val="18"/>
          <w:u w:val="double"/>
          <w:lang w:val="en-CA"/>
        </w:rPr>
        <w:t>; possible mitigation measures</w:t>
      </w:r>
      <w:r w:rsidRPr="00B94642">
        <w:rPr>
          <w:rFonts w:ascii="Arial" w:hAnsi="Arial" w:cs="Arial"/>
          <w:sz w:val="18"/>
          <w:szCs w:val="18"/>
          <w:u w:val="double"/>
          <w:lang w:val="en-CA"/>
        </w:rPr>
        <w:t xml:space="preserve"> </w:t>
      </w:r>
      <w:r w:rsidRPr="00B94642">
        <w:rPr>
          <w:rFonts w:ascii="Arial" w:hAnsi="Arial" w:cs="Arial"/>
          <w:strike/>
          <w:sz w:val="18"/>
          <w:szCs w:val="18"/>
          <w:u w:val="double"/>
          <w:lang w:val="en-CA"/>
        </w:rPr>
        <w:t>include the</w:t>
      </w:r>
      <w:r w:rsidRPr="00B94642">
        <w:rPr>
          <w:rFonts w:ascii="Arial" w:hAnsi="Arial" w:cs="Arial"/>
          <w:sz w:val="18"/>
          <w:szCs w:val="18"/>
          <w:u w:val="double"/>
          <w:lang w:val="en-CA"/>
        </w:rPr>
        <w:t xml:space="preserve"> giving consideration to the following mitigation measures</w:t>
      </w:r>
      <w:r w:rsidRPr="00B94642">
        <w:rPr>
          <w:rFonts w:ascii="Arial" w:hAnsi="Arial" w:cs="Arial"/>
          <w:color w:val="000000"/>
          <w:sz w:val="18"/>
          <w:szCs w:val="18"/>
        </w:rPr>
        <w:t xml:space="preserve"> </w:t>
      </w:r>
      <w:r w:rsidRPr="00B94642">
        <w:rPr>
          <w:rFonts w:ascii="Arial" w:hAnsi="Arial" w:cs="Arial"/>
          <w:strike/>
          <w:color w:val="000000"/>
          <w:sz w:val="18"/>
          <w:szCs w:val="18"/>
        </w:rPr>
        <w:t>can be managed by</w:t>
      </w:r>
      <w:r w:rsidRPr="00B94642">
        <w:rPr>
          <w:rFonts w:ascii="Arial" w:hAnsi="Arial" w:cs="Arial"/>
          <w:color w:val="000000"/>
          <w:sz w:val="18"/>
          <w:szCs w:val="18"/>
        </w:rPr>
        <w:t>:</w:t>
      </w:r>
    </w:p>
    <w:p w14:paraId="0DFDAB2C" w14:textId="2D0DDDFF" w:rsidR="0094086E" w:rsidRPr="00B94642" w:rsidRDefault="0094086E" w:rsidP="0094086E">
      <w:pPr>
        <w:autoSpaceDE w:val="0"/>
        <w:autoSpaceDN w:val="0"/>
        <w:adjustRightInd w:val="0"/>
        <w:spacing w:after="120"/>
        <w:ind w:left="851" w:hanging="425"/>
        <w:jc w:val="both"/>
        <w:rPr>
          <w:rFonts w:ascii="Arial" w:hAnsi="Arial" w:cs="Arial"/>
          <w:sz w:val="18"/>
          <w:szCs w:val="18"/>
          <w:lang w:val="en-AU"/>
        </w:rPr>
      </w:pPr>
      <w:r w:rsidRPr="00B94642">
        <w:rPr>
          <w:rFonts w:ascii="Arial" w:hAnsi="Arial" w:cs="Arial"/>
          <w:i/>
          <w:sz w:val="18"/>
          <w:szCs w:val="18"/>
          <w:lang w:val="en-AU"/>
        </w:rPr>
        <w:t>a)</w:t>
      </w:r>
      <w:r w:rsidRPr="00B94642">
        <w:rPr>
          <w:rFonts w:ascii="Arial" w:hAnsi="Arial" w:cs="Arial"/>
          <w:sz w:val="18"/>
          <w:szCs w:val="18"/>
          <w:lang w:val="en-AU"/>
        </w:rPr>
        <w:t xml:space="preserve"> </w:t>
      </w:r>
      <w:r w:rsidRPr="00B94642">
        <w:rPr>
          <w:rFonts w:ascii="Arial" w:hAnsi="Arial" w:cs="Arial"/>
          <w:sz w:val="18"/>
          <w:szCs w:val="18"/>
          <w:lang w:val="en-AU"/>
        </w:rPr>
        <w:tab/>
        <w:t xml:space="preserve">Only </w:t>
      </w:r>
      <w:r w:rsidRPr="00685B5C">
        <w:rPr>
          <w:rFonts w:ascii="Arial" w:hAnsi="Arial" w:cs="Arial"/>
          <w:strike/>
          <w:sz w:val="18"/>
          <w:szCs w:val="18"/>
          <w:highlight w:val="yellow"/>
          <w:lang w:val="en-AU"/>
        </w:rPr>
        <w:t>introduc</w:t>
      </w:r>
      <w:r w:rsidR="00E84976" w:rsidRPr="00685B5C">
        <w:rPr>
          <w:rFonts w:ascii="Arial" w:hAnsi="Arial" w:cs="Arial"/>
          <w:strike/>
          <w:sz w:val="18"/>
          <w:szCs w:val="18"/>
          <w:highlight w:val="yellow"/>
          <w:lang w:val="en-AU"/>
        </w:rPr>
        <w:t>ing</w:t>
      </w:r>
      <w:r w:rsidR="00E84976" w:rsidRPr="00B94642">
        <w:rPr>
          <w:rFonts w:ascii="Arial" w:hAnsi="Arial" w:cs="Arial"/>
          <w:sz w:val="18"/>
          <w:szCs w:val="18"/>
          <w:lang w:val="en-AU"/>
        </w:rPr>
        <w:t xml:space="preserve"> </w:t>
      </w:r>
      <w:r w:rsidR="00E84976" w:rsidRPr="00B94642">
        <w:rPr>
          <w:rFonts w:ascii="Arial" w:hAnsi="Arial" w:cs="Arial"/>
          <w:sz w:val="18"/>
          <w:szCs w:val="18"/>
          <w:highlight w:val="yellow"/>
          <w:u w:val="double"/>
          <w:lang w:val="en-AU"/>
        </w:rPr>
        <w:t>introduce</w:t>
      </w:r>
      <w:r w:rsidR="00E84976" w:rsidRPr="00B94642">
        <w:rPr>
          <w:rFonts w:ascii="Arial" w:eastAsia="SimSun" w:hAnsi="Arial" w:cs="Arial"/>
          <w:sz w:val="18"/>
          <w:szCs w:val="18"/>
          <w:u w:val="double"/>
          <w:lang w:val="en-AU" w:eastAsia="zh-CN"/>
        </w:rPr>
        <w:t xml:space="preserve"> </w:t>
      </w:r>
      <w:r w:rsidRPr="00B94642">
        <w:rPr>
          <w:rFonts w:ascii="Arial" w:eastAsia="SimSun" w:hAnsi="Arial" w:cs="Arial"/>
          <w:sz w:val="18"/>
          <w:szCs w:val="18"/>
          <w:u w:val="double"/>
          <w:lang w:val="en-AU" w:eastAsia="zh-CN"/>
        </w:rPr>
        <w:t>i</w:t>
      </w:r>
      <w:r w:rsidRPr="00B94642">
        <w:rPr>
          <w:rFonts w:ascii="Arial" w:hAnsi="Arial" w:cs="Arial"/>
          <w:sz w:val="18"/>
          <w:szCs w:val="18"/>
          <w:u w:val="double"/>
          <w:lang w:val="en-AU"/>
        </w:rPr>
        <w:t xml:space="preserve">nto the </w:t>
      </w:r>
      <w:r w:rsidRPr="00B94642">
        <w:rPr>
          <w:rFonts w:ascii="Arial" w:hAnsi="Arial" w:cs="Arial"/>
          <w:i/>
          <w:sz w:val="18"/>
          <w:szCs w:val="18"/>
          <w:u w:val="double"/>
          <w:lang w:val="en-AU"/>
        </w:rPr>
        <w:t>aquaculture establishment</w:t>
      </w:r>
      <w:r w:rsidRPr="00B94642">
        <w:rPr>
          <w:rFonts w:ascii="Arial" w:hAnsi="Arial" w:cs="Arial"/>
          <w:sz w:val="18"/>
          <w:szCs w:val="18"/>
          <w:u w:val="double"/>
          <w:lang w:val="en-AU"/>
        </w:rPr>
        <w:t xml:space="preserve"> </w:t>
      </w:r>
      <w:r w:rsidRPr="00B94642">
        <w:rPr>
          <w:rFonts w:ascii="Arial" w:hAnsi="Arial" w:cs="Arial"/>
          <w:i/>
          <w:sz w:val="18"/>
          <w:szCs w:val="18"/>
          <w:lang w:val="en-AU"/>
        </w:rPr>
        <w:t xml:space="preserve">aquatic animals </w:t>
      </w:r>
      <w:r w:rsidRPr="00B94642">
        <w:rPr>
          <w:rFonts w:ascii="Arial" w:eastAsia="SimSun" w:hAnsi="Arial" w:cs="Arial"/>
          <w:sz w:val="18"/>
          <w:szCs w:val="18"/>
          <w:u w:val="double"/>
          <w:lang w:val="en-AU" w:eastAsia="zh-CN"/>
        </w:rPr>
        <w:t>with</w:t>
      </w:r>
      <w:r w:rsidRPr="00B94642">
        <w:rPr>
          <w:rFonts w:ascii="Arial" w:hAnsi="Arial" w:cs="Arial"/>
          <w:sz w:val="18"/>
          <w:szCs w:val="18"/>
          <w:u w:val="double"/>
          <w:lang w:val="en-AU"/>
        </w:rPr>
        <w:t xml:space="preserve"> </w:t>
      </w:r>
      <w:r w:rsidR="004A677C" w:rsidRPr="00B94642">
        <w:rPr>
          <w:rFonts w:ascii="Arial" w:hAnsi="Arial" w:cs="Arial"/>
          <w:sz w:val="18"/>
          <w:szCs w:val="18"/>
          <w:highlight w:val="yellow"/>
          <w:u w:val="double"/>
          <w:lang w:val="en-AU"/>
        </w:rPr>
        <w:t>a</w:t>
      </w:r>
      <w:r w:rsidR="004A677C" w:rsidRPr="00B94642">
        <w:rPr>
          <w:rFonts w:ascii="Arial" w:hAnsi="Arial" w:cs="Arial"/>
          <w:sz w:val="18"/>
          <w:szCs w:val="18"/>
          <w:u w:val="double"/>
          <w:lang w:val="en-AU"/>
        </w:rPr>
        <w:t xml:space="preserve"> </w:t>
      </w:r>
      <w:r w:rsidRPr="00B94642">
        <w:rPr>
          <w:rFonts w:ascii="Arial" w:hAnsi="Arial" w:cs="Arial"/>
          <w:sz w:val="18"/>
          <w:szCs w:val="18"/>
          <w:u w:val="double"/>
          <w:lang w:val="en-AU"/>
        </w:rPr>
        <w:t>known health status</w:t>
      </w:r>
      <w:r w:rsidRPr="00B94642">
        <w:rPr>
          <w:rFonts w:ascii="Arial" w:hAnsi="Arial" w:cs="Arial"/>
          <w:sz w:val="18"/>
          <w:szCs w:val="18"/>
          <w:lang w:val="en-AU"/>
        </w:rPr>
        <w:t xml:space="preserve"> </w:t>
      </w:r>
      <w:r w:rsidRPr="00B94642">
        <w:rPr>
          <w:rFonts w:ascii="Arial" w:eastAsia="SimSun" w:hAnsi="Arial" w:cs="Arial"/>
          <w:strike/>
          <w:sz w:val="18"/>
          <w:szCs w:val="18"/>
          <w:lang w:val="en-AU" w:eastAsia="zh-CN"/>
        </w:rPr>
        <w:t>i</w:t>
      </w:r>
      <w:r w:rsidRPr="00B94642">
        <w:rPr>
          <w:rFonts w:ascii="Arial" w:hAnsi="Arial" w:cs="Arial"/>
          <w:strike/>
          <w:sz w:val="18"/>
          <w:szCs w:val="18"/>
          <w:lang w:val="en-AU"/>
        </w:rPr>
        <w:t xml:space="preserve">nto the </w:t>
      </w:r>
      <w:r w:rsidRPr="00B94642">
        <w:rPr>
          <w:rFonts w:ascii="Arial" w:hAnsi="Arial" w:cs="Arial"/>
          <w:i/>
          <w:strike/>
          <w:sz w:val="18"/>
          <w:szCs w:val="18"/>
          <w:lang w:val="en-AU"/>
        </w:rPr>
        <w:t>aquaculture establishment</w:t>
      </w:r>
      <w:r w:rsidRPr="00B94642">
        <w:rPr>
          <w:rFonts w:ascii="Arial" w:hAnsi="Arial" w:cs="Arial"/>
          <w:strike/>
          <w:sz w:val="18"/>
          <w:szCs w:val="18"/>
          <w:lang w:val="en-AU"/>
        </w:rPr>
        <w:t xml:space="preserve"> </w:t>
      </w:r>
      <w:r w:rsidRPr="00B94642">
        <w:rPr>
          <w:rFonts w:ascii="Arial" w:eastAsia="SimSun" w:hAnsi="Arial" w:cs="Arial"/>
          <w:strike/>
          <w:sz w:val="18"/>
          <w:szCs w:val="18"/>
          <w:lang w:val="en-AU" w:eastAsia="zh-CN"/>
        </w:rPr>
        <w:t>with</w:t>
      </w:r>
      <w:r w:rsidRPr="00B94642">
        <w:rPr>
          <w:rFonts w:ascii="Arial" w:hAnsi="Arial" w:cs="Arial"/>
          <w:strike/>
          <w:sz w:val="18"/>
          <w:szCs w:val="18"/>
          <w:lang w:val="en-AU"/>
        </w:rPr>
        <w:t xml:space="preserve"> known health status</w:t>
      </w:r>
      <w:r w:rsidRPr="00B94642">
        <w:rPr>
          <w:rFonts w:ascii="Arial" w:hAnsi="Arial" w:cs="Arial"/>
          <w:sz w:val="18"/>
          <w:szCs w:val="18"/>
          <w:lang w:val="en-AU"/>
        </w:rPr>
        <w:t xml:space="preserve">, which is of equal or higher status than </w:t>
      </w:r>
      <w:r w:rsidRPr="00B94642">
        <w:rPr>
          <w:rFonts w:ascii="Arial" w:eastAsia="SimSun" w:hAnsi="Arial" w:cs="Arial"/>
          <w:sz w:val="18"/>
          <w:szCs w:val="18"/>
          <w:lang w:val="en-AU" w:eastAsia="zh-CN"/>
        </w:rPr>
        <w:t xml:space="preserve">the </w:t>
      </w:r>
      <w:r w:rsidRPr="00B94642">
        <w:rPr>
          <w:rFonts w:ascii="Arial" w:eastAsia="SimSun" w:hAnsi="Arial" w:cs="Arial"/>
          <w:sz w:val="18"/>
          <w:szCs w:val="18"/>
          <w:u w:val="double"/>
          <w:lang w:val="en-AU" w:eastAsia="zh-CN"/>
        </w:rPr>
        <w:t>existing</w:t>
      </w:r>
      <w:r w:rsidRPr="00B94642">
        <w:rPr>
          <w:rFonts w:ascii="Arial" w:eastAsia="SimSun" w:hAnsi="Arial" w:cs="Arial"/>
          <w:sz w:val="18"/>
          <w:szCs w:val="18"/>
          <w:lang w:val="en-AU" w:eastAsia="zh-CN"/>
        </w:rPr>
        <w:t xml:space="preserve"> </w:t>
      </w:r>
      <w:r w:rsidRPr="00B94642">
        <w:rPr>
          <w:rFonts w:ascii="Arial" w:hAnsi="Arial" w:cs="Arial"/>
          <w:sz w:val="18"/>
          <w:szCs w:val="18"/>
          <w:lang w:val="en-AU"/>
        </w:rPr>
        <w:t xml:space="preserve">animals in the establishment. </w:t>
      </w:r>
    </w:p>
    <w:p w14:paraId="579C6178" w14:textId="77777777" w:rsidR="0094086E" w:rsidRPr="00B94642" w:rsidRDefault="0094086E" w:rsidP="0094086E">
      <w:pPr>
        <w:pStyle w:val="Paragraphedeliste"/>
        <w:autoSpaceDE w:val="0"/>
        <w:autoSpaceDN w:val="0"/>
        <w:adjustRightInd w:val="0"/>
        <w:spacing w:after="120"/>
        <w:ind w:left="850" w:hanging="425"/>
        <w:contextualSpacing w:val="0"/>
        <w:jc w:val="both"/>
        <w:rPr>
          <w:rFonts w:ascii="Arial" w:hAnsi="Arial" w:cs="Arial"/>
          <w:sz w:val="18"/>
          <w:szCs w:val="18"/>
          <w:lang w:val="en-AU"/>
        </w:rPr>
      </w:pPr>
      <w:r w:rsidRPr="00B94642">
        <w:rPr>
          <w:rFonts w:ascii="Arial" w:hAnsi="Arial" w:cs="Arial"/>
          <w:i/>
          <w:sz w:val="18"/>
          <w:szCs w:val="18"/>
        </w:rPr>
        <w:t>b)</w:t>
      </w:r>
      <w:r w:rsidRPr="00B94642">
        <w:rPr>
          <w:rFonts w:ascii="Arial" w:hAnsi="Arial" w:cs="Arial"/>
          <w:sz w:val="18"/>
          <w:szCs w:val="18"/>
        </w:rPr>
        <w:tab/>
      </w:r>
      <w:r w:rsidRPr="00B94642">
        <w:rPr>
          <w:rFonts w:ascii="Arial" w:hAnsi="Arial" w:cs="Arial"/>
          <w:strike/>
          <w:sz w:val="18"/>
          <w:szCs w:val="18"/>
          <w:lang w:val="en-AU"/>
        </w:rPr>
        <w:t>Quarantining</w:t>
      </w:r>
      <w:r w:rsidRPr="00B94642">
        <w:rPr>
          <w:rFonts w:ascii="Arial" w:hAnsi="Arial" w:cs="Arial"/>
          <w:sz w:val="18"/>
          <w:szCs w:val="18"/>
          <w:lang w:val="en-AU"/>
        </w:rPr>
        <w:t xml:space="preserve"> </w:t>
      </w:r>
      <w:r w:rsidRPr="00B94642">
        <w:rPr>
          <w:rFonts w:ascii="Arial" w:hAnsi="Arial" w:cs="Arial"/>
          <w:strike/>
          <w:sz w:val="18"/>
          <w:szCs w:val="18"/>
          <w:highlight w:val="yellow"/>
          <w:u w:val="double"/>
          <w:lang w:val="en-AU"/>
        </w:rPr>
        <w:t>Placing</w:t>
      </w:r>
      <w:r w:rsidRPr="00B94642">
        <w:rPr>
          <w:rFonts w:ascii="Arial" w:hAnsi="Arial" w:cs="Arial"/>
          <w:strike/>
          <w:sz w:val="18"/>
          <w:szCs w:val="18"/>
          <w:u w:val="double"/>
          <w:lang w:val="en-AU"/>
        </w:rPr>
        <w:t xml:space="preserve"> </w:t>
      </w:r>
      <w:r w:rsidRPr="00685B5C">
        <w:rPr>
          <w:rFonts w:ascii="Arial" w:hAnsi="Arial" w:cs="Arial"/>
          <w:strike/>
          <w:sz w:val="18"/>
          <w:szCs w:val="18"/>
          <w:highlight w:val="yellow"/>
          <w:lang w:val="en-AU"/>
        </w:rPr>
        <w:t>introduced</w:t>
      </w:r>
      <w:r w:rsidRPr="00B94642">
        <w:rPr>
          <w:rFonts w:ascii="Arial" w:hAnsi="Arial" w:cs="Arial"/>
          <w:sz w:val="18"/>
          <w:szCs w:val="18"/>
          <w:lang w:val="en-AU"/>
        </w:rPr>
        <w:t xml:space="preserve"> </w:t>
      </w:r>
      <w:r w:rsidRPr="00B94642">
        <w:rPr>
          <w:rFonts w:ascii="Arial" w:hAnsi="Arial" w:cs="Arial"/>
          <w:sz w:val="18"/>
          <w:szCs w:val="18"/>
          <w:highlight w:val="yellow"/>
          <w:u w:val="double"/>
          <w:lang w:val="en-AU"/>
        </w:rPr>
        <w:t>If</w:t>
      </w:r>
      <w:r w:rsidRPr="00B94642">
        <w:rPr>
          <w:rFonts w:ascii="Arial" w:hAnsi="Arial" w:cs="Arial"/>
          <w:sz w:val="18"/>
          <w:szCs w:val="18"/>
          <w:lang w:val="en-AU"/>
        </w:rPr>
        <w:t xml:space="preserve"> </w:t>
      </w:r>
      <w:r w:rsidRPr="00B94642">
        <w:rPr>
          <w:rFonts w:ascii="Arial" w:hAnsi="Arial" w:cs="Arial"/>
          <w:i/>
          <w:sz w:val="18"/>
          <w:szCs w:val="18"/>
          <w:lang w:val="en-AU"/>
        </w:rPr>
        <w:t>aquatic animals</w:t>
      </w:r>
      <w:r w:rsidRPr="00B94642">
        <w:rPr>
          <w:rFonts w:ascii="Arial" w:hAnsi="Arial" w:cs="Arial"/>
          <w:sz w:val="18"/>
          <w:szCs w:val="18"/>
          <w:lang w:val="en-AU"/>
        </w:rPr>
        <w:t xml:space="preserve"> of unknown </w:t>
      </w:r>
      <w:r w:rsidRPr="00B94642">
        <w:rPr>
          <w:rFonts w:ascii="Arial" w:hAnsi="Arial" w:cs="Arial"/>
          <w:i/>
          <w:sz w:val="18"/>
          <w:szCs w:val="18"/>
          <w:lang w:val="en-AU"/>
        </w:rPr>
        <w:t>disease</w:t>
      </w:r>
      <w:r w:rsidRPr="00B94642">
        <w:rPr>
          <w:rFonts w:ascii="Arial" w:hAnsi="Arial" w:cs="Arial"/>
          <w:sz w:val="18"/>
          <w:szCs w:val="18"/>
          <w:lang w:val="en-AU"/>
        </w:rPr>
        <w:t xml:space="preserve"> status </w:t>
      </w:r>
      <w:r w:rsidRPr="00B94642">
        <w:rPr>
          <w:rFonts w:ascii="Arial" w:hAnsi="Arial" w:cs="Arial"/>
          <w:sz w:val="18"/>
          <w:szCs w:val="18"/>
          <w:highlight w:val="yellow"/>
          <w:u w:val="double"/>
          <w:lang w:val="en-AU"/>
        </w:rPr>
        <w:t>are introduced, they should be placed</w:t>
      </w:r>
      <w:r w:rsidRPr="00B94642">
        <w:rPr>
          <w:rFonts w:ascii="Arial" w:hAnsi="Arial" w:cs="Arial"/>
          <w:sz w:val="18"/>
          <w:szCs w:val="18"/>
          <w:lang w:val="en-AU"/>
        </w:rPr>
        <w:t xml:space="preserve"> </w:t>
      </w:r>
      <w:r w:rsidRPr="00B94642">
        <w:rPr>
          <w:rFonts w:ascii="Arial" w:hAnsi="Arial" w:cs="Arial"/>
          <w:sz w:val="18"/>
          <w:szCs w:val="18"/>
          <w:u w:val="double"/>
          <w:lang w:val="en-AU"/>
        </w:rPr>
        <w:t xml:space="preserve">into </w:t>
      </w:r>
      <w:r w:rsidRPr="00B94642">
        <w:rPr>
          <w:rFonts w:ascii="Arial" w:hAnsi="Arial" w:cs="Arial"/>
          <w:i/>
          <w:sz w:val="18"/>
          <w:szCs w:val="18"/>
          <w:u w:val="double"/>
          <w:lang w:val="en-AU"/>
        </w:rPr>
        <w:t>quarantine</w:t>
      </w:r>
      <w:r w:rsidRPr="00B94642">
        <w:rPr>
          <w:rFonts w:ascii="Arial" w:hAnsi="Arial" w:cs="Arial"/>
          <w:sz w:val="18"/>
          <w:szCs w:val="18"/>
          <w:lang w:val="en-AU"/>
        </w:rPr>
        <w:t xml:space="preserve"> </w:t>
      </w:r>
      <w:r w:rsidRPr="00B94642">
        <w:rPr>
          <w:rFonts w:ascii="Arial" w:hAnsi="Arial" w:cs="Arial"/>
          <w:strike/>
          <w:sz w:val="18"/>
          <w:szCs w:val="18"/>
          <w:lang w:val="en-AU"/>
        </w:rPr>
        <w:t xml:space="preserve">from other farm populations in separate production units or dedicated </w:t>
      </w:r>
      <w:r w:rsidRPr="00B94642">
        <w:rPr>
          <w:rFonts w:ascii="Arial" w:hAnsi="Arial" w:cs="Arial"/>
          <w:i/>
          <w:strike/>
          <w:sz w:val="18"/>
          <w:szCs w:val="18"/>
          <w:lang w:val="en-AU"/>
        </w:rPr>
        <w:t>quarantine</w:t>
      </w:r>
      <w:r w:rsidRPr="00B94642">
        <w:rPr>
          <w:rFonts w:ascii="Arial" w:hAnsi="Arial" w:cs="Arial"/>
          <w:strike/>
          <w:sz w:val="18"/>
          <w:szCs w:val="18"/>
          <w:lang w:val="en-AU"/>
        </w:rPr>
        <w:t xml:space="preserve"> facilities</w:t>
      </w:r>
      <w:r w:rsidRPr="00B94642">
        <w:rPr>
          <w:rFonts w:ascii="Arial" w:hAnsi="Arial" w:cs="Arial"/>
          <w:sz w:val="18"/>
          <w:szCs w:val="18"/>
          <w:lang w:val="en-AU"/>
        </w:rPr>
        <w:t>.</w:t>
      </w:r>
    </w:p>
    <w:p w14:paraId="2554120F" w14:textId="709FF6B6" w:rsidR="0094086E" w:rsidRPr="00B94642" w:rsidRDefault="0094086E" w:rsidP="0094086E">
      <w:pPr>
        <w:pStyle w:val="Paragraphedeliste"/>
        <w:autoSpaceDE w:val="0"/>
        <w:autoSpaceDN w:val="0"/>
        <w:adjustRightInd w:val="0"/>
        <w:spacing w:after="120"/>
        <w:ind w:left="850" w:hanging="425"/>
        <w:contextualSpacing w:val="0"/>
        <w:jc w:val="both"/>
        <w:rPr>
          <w:rFonts w:ascii="Arial" w:hAnsi="Arial" w:cs="Arial"/>
          <w:sz w:val="18"/>
          <w:szCs w:val="18"/>
          <w:lang w:val="en-AU"/>
        </w:rPr>
      </w:pPr>
      <w:r w:rsidRPr="00B94642">
        <w:rPr>
          <w:rFonts w:ascii="Arial" w:hAnsi="Arial" w:cs="Arial"/>
          <w:i/>
          <w:sz w:val="18"/>
          <w:szCs w:val="18"/>
          <w:lang w:val="en-AU"/>
        </w:rPr>
        <w:t>c)</w:t>
      </w:r>
      <w:r w:rsidRPr="00B94642">
        <w:rPr>
          <w:rFonts w:ascii="Arial" w:hAnsi="Arial" w:cs="Arial"/>
          <w:sz w:val="18"/>
          <w:szCs w:val="18"/>
          <w:lang w:val="en-AU"/>
        </w:rPr>
        <w:tab/>
        <w:t xml:space="preserve">Where appropriate, </w:t>
      </w:r>
      <w:r w:rsidRPr="00B94642">
        <w:rPr>
          <w:rFonts w:ascii="Arial" w:hAnsi="Arial" w:cs="Arial"/>
          <w:strike/>
          <w:sz w:val="18"/>
          <w:szCs w:val="18"/>
          <w:highlight w:val="yellow"/>
          <w:u w:val="double"/>
          <w:lang w:val="en-AU"/>
        </w:rPr>
        <w:t>treating</w:t>
      </w:r>
      <w:r w:rsidRPr="00B94642">
        <w:rPr>
          <w:rFonts w:ascii="Arial" w:hAnsi="Arial" w:cs="Arial"/>
          <w:sz w:val="18"/>
          <w:szCs w:val="18"/>
          <w:u w:val="double"/>
          <w:lang w:val="en-AU"/>
        </w:rPr>
        <w:t xml:space="preserve"> </w:t>
      </w:r>
      <w:r w:rsidR="00E84976" w:rsidRPr="00B94642">
        <w:rPr>
          <w:rFonts w:ascii="Arial" w:hAnsi="Arial" w:cs="Arial"/>
          <w:sz w:val="18"/>
          <w:szCs w:val="18"/>
          <w:highlight w:val="yellow"/>
          <w:u w:val="double"/>
          <w:lang w:val="en-AU"/>
        </w:rPr>
        <w:t>treat</w:t>
      </w:r>
      <w:r w:rsidR="00E84976" w:rsidRPr="00B94642">
        <w:rPr>
          <w:rFonts w:ascii="Arial" w:hAnsi="Arial" w:cs="Arial"/>
          <w:sz w:val="18"/>
          <w:szCs w:val="18"/>
          <w:u w:val="double"/>
          <w:lang w:val="en-AU"/>
        </w:rPr>
        <w:t xml:space="preserve"> </w:t>
      </w:r>
      <w:r w:rsidRPr="00B94642">
        <w:rPr>
          <w:rFonts w:ascii="Arial" w:hAnsi="Arial" w:cs="Arial"/>
          <w:strike/>
          <w:sz w:val="18"/>
          <w:szCs w:val="18"/>
          <w:u w:val="double"/>
          <w:lang w:val="en-AU"/>
        </w:rPr>
        <w:t>treatment of</w:t>
      </w:r>
      <w:r w:rsidRPr="00B94642">
        <w:rPr>
          <w:rFonts w:ascii="Arial" w:hAnsi="Arial" w:cs="Arial"/>
          <w:sz w:val="18"/>
          <w:szCs w:val="18"/>
          <w:lang w:val="en-AU"/>
        </w:rPr>
        <w:t xml:space="preserve"> </w:t>
      </w:r>
      <w:r w:rsidRPr="00B94642">
        <w:rPr>
          <w:rFonts w:ascii="Arial" w:hAnsi="Arial" w:cs="Arial"/>
          <w:i/>
          <w:sz w:val="18"/>
          <w:szCs w:val="18"/>
          <w:lang w:val="en-AU"/>
        </w:rPr>
        <w:t>quarantined</w:t>
      </w:r>
      <w:r w:rsidRPr="00B94642">
        <w:rPr>
          <w:rFonts w:ascii="Arial" w:hAnsi="Arial" w:cs="Arial"/>
          <w:sz w:val="18"/>
          <w:szCs w:val="18"/>
          <w:lang w:val="en-AU"/>
        </w:rPr>
        <w:t xml:space="preserve"> </w:t>
      </w:r>
      <w:r w:rsidRPr="00B94642">
        <w:rPr>
          <w:rFonts w:ascii="Arial" w:hAnsi="Arial" w:cs="Arial"/>
          <w:i/>
          <w:sz w:val="18"/>
          <w:szCs w:val="18"/>
          <w:lang w:val="en-AU"/>
        </w:rPr>
        <w:t>aquatic animals</w:t>
      </w:r>
      <w:r w:rsidRPr="00B94642">
        <w:rPr>
          <w:rFonts w:ascii="Arial" w:hAnsi="Arial" w:cs="Arial"/>
          <w:sz w:val="18"/>
          <w:szCs w:val="18"/>
          <w:lang w:val="en-AU"/>
        </w:rPr>
        <w:t xml:space="preserve"> to mitigate </w:t>
      </w:r>
      <w:r w:rsidRPr="00B94642">
        <w:rPr>
          <w:rFonts w:ascii="Arial" w:hAnsi="Arial" w:cs="Arial"/>
          <w:i/>
          <w:sz w:val="18"/>
          <w:szCs w:val="18"/>
          <w:lang w:val="en-AU"/>
        </w:rPr>
        <w:t>disease</w:t>
      </w:r>
      <w:r w:rsidRPr="00B94642">
        <w:rPr>
          <w:rFonts w:ascii="Arial" w:eastAsia="SimSun" w:hAnsi="Arial" w:cs="Arial"/>
          <w:i/>
          <w:sz w:val="18"/>
          <w:szCs w:val="18"/>
          <w:lang w:val="en-AU" w:eastAsia="zh-CN"/>
        </w:rPr>
        <w:t xml:space="preserve"> </w:t>
      </w:r>
      <w:r w:rsidRPr="00B94642">
        <w:rPr>
          <w:rFonts w:ascii="Arial" w:hAnsi="Arial" w:cs="Arial"/>
          <w:i/>
          <w:sz w:val="18"/>
          <w:szCs w:val="18"/>
          <w:lang w:val="en-AU"/>
        </w:rPr>
        <w:t>risks</w:t>
      </w:r>
      <w:r w:rsidRPr="00B94642">
        <w:rPr>
          <w:rFonts w:ascii="Arial" w:hAnsi="Arial" w:cs="Arial"/>
          <w:sz w:val="18"/>
          <w:szCs w:val="18"/>
          <w:lang w:val="en-AU"/>
        </w:rPr>
        <w:t xml:space="preserve"> (for example, </w:t>
      </w:r>
      <w:r w:rsidRPr="00B94642">
        <w:rPr>
          <w:rFonts w:ascii="Arial" w:hAnsi="Arial" w:cs="Arial"/>
          <w:sz w:val="18"/>
          <w:szCs w:val="18"/>
          <w:u w:val="double"/>
          <w:lang w:val="en-AU"/>
        </w:rPr>
        <w:t>treatment</w:t>
      </w:r>
      <w:r w:rsidRPr="00B94642">
        <w:rPr>
          <w:rFonts w:ascii="Arial" w:hAnsi="Arial" w:cs="Arial"/>
          <w:sz w:val="18"/>
          <w:szCs w:val="18"/>
          <w:lang w:val="en-AU"/>
        </w:rPr>
        <w:t xml:space="preserve"> for external parasites). </w:t>
      </w:r>
    </w:p>
    <w:p w14:paraId="25459EA5" w14:textId="116DC9E4" w:rsidR="0094086E" w:rsidRPr="00B94642" w:rsidRDefault="0094086E" w:rsidP="0094086E">
      <w:pPr>
        <w:pStyle w:val="Paragraphedeliste"/>
        <w:autoSpaceDE w:val="0"/>
        <w:autoSpaceDN w:val="0"/>
        <w:adjustRightInd w:val="0"/>
        <w:spacing w:after="120"/>
        <w:ind w:left="850" w:hanging="425"/>
        <w:contextualSpacing w:val="0"/>
        <w:jc w:val="both"/>
        <w:rPr>
          <w:rFonts w:ascii="Arial" w:hAnsi="Arial" w:cs="Arial"/>
          <w:sz w:val="18"/>
          <w:szCs w:val="18"/>
          <w:lang w:val="en-AU"/>
        </w:rPr>
      </w:pPr>
      <w:r w:rsidRPr="00B94642">
        <w:rPr>
          <w:rFonts w:ascii="Arial" w:hAnsi="Arial" w:cs="Arial"/>
          <w:i/>
          <w:sz w:val="18"/>
          <w:szCs w:val="18"/>
          <w:lang w:val="en-AU"/>
        </w:rPr>
        <w:t>d)</w:t>
      </w:r>
      <w:r w:rsidRPr="00B94642">
        <w:rPr>
          <w:rFonts w:ascii="Arial" w:hAnsi="Arial" w:cs="Arial"/>
          <w:sz w:val="18"/>
          <w:szCs w:val="18"/>
          <w:lang w:val="en-AU"/>
        </w:rPr>
        <w:tab/>
      </w:r>
      <w:r w:rsidRPr="00685B5C">
        <w:rPr>
          <w:rFonts w:ascii="Arial" w:hAnsi="Arial" w:cs="Arial"/>
          <w:strike/>
          <w:sz w:val="18"/>
          <w:szCs w:val="18"/>
          <w:highlight w:val="yellow"/>
          <w:lang w:val="en-AU"/>
        </w:rPr>
        <w:t>Ensur</w:t>
      </w:r>
      <w:r w:rsidR="007D03EB" w:rsidRPr="00685B5C">
        <w:rPr>
          <w:rFonts w:ascii="Arial" w:hAnsi="Arial" w:cs="Arial"/>
          <w:strike/>
          <w:sz w:val="18"/>
          <w:szCs w:val="18"/>
          <w:highlight w:val="yellow"/>
          <w:lang w:val="en-AU"/>
        </w:rPr>
        <w:t>ing</w:t>
      </w:r>
      <w:r w:rsidRPr="00B94642">
        <w:rPr>
          <w:rFonts w:ascii="Arial" w:hAnsi="Arial" w:cs="Arial"/>
          <w:sz w:val="18"/>
          <w:szCs w:val="18"/>
          <w:lang w:val="en-AU"/>
        </w:rPr>
        <w:t xml:space="preserve"> </w:t>
      </w:r>
      <w:r w:rsidR="007D03EB" w:rsidRPr="00B94642">
        <w:rPr>
          <w:rFonts w:ascii="Arial" w:hAnsi="Arial" w:cs="Arial"/>
          <w:sz w:val="18"/>
          <w:szCs w:val="18"/>
          <w:highlight w:val="yellow"/>
          <w:u w:val="double"/>
          <w:lang w:val="en-AU"/>
        </w:rPr>
        <w:t>Ensure</w:t>
      </w:r>
      <w:r w:rsidR="007D03EB" w:rsidRPr="00B94642">
        <w:rPr>
          <w:rFonts w:ascii="Arial" w:hAnsi="Arial" w:cs="Arial"/>
          <w:sz w:val="18"/>
          <w:szCs w:val="18"/>
          <w:lang w:val="en-AU"/>
        </w:rPr>
        <w:t xml:space="preserve"> </w:t>
      </w:r>
      <w:r w:rsidRPr="00B94642">
        <w:rPr>
          <w:rFonts w:ascii="Arial" w:hAnsi="Arial" w:cs="Arial"/>
          <w:sz w:val="18"/>
          <w:szCs w:val="18"/>
          <w:lang w:val="en-AU"/>
        </w:rPr>
        <w:t xml:space="preserve">biosecure transport of </w:t>
      </w:r>
      <w:r w:rsidRPr="00B94642">
        <w:rPr>
          <w:rFonts w:ascii="Arial" w:hAnsi="Arial" w:cs="Arial"/>
          <w:i/>
          <w:sz w:val="18"/>
          <w:szCs w:val="18"/>
          <w:lang w:val="en-AU"/>
        </w:rPr>
        <w:t xml:space="preserve">aquatic animals </w:t>
      </w:r>
      <w:r w:rsidRPr="00B94642">
        <w:rPr>
          <w:rFonts w:ascii="Arial" w:hAnsi="Arial" w:cs="Arial"/>
          <w:sz w:val="18"/>
          <w:szCs w:val="18"/>
          <w:lang w:val="en-AU"/>
        </w:rPr>
        <w:t xml:space="preserve">that avoids exposure to </w:t>
      </w:r>
      <w:r w:rsidRPr="00B94642">
        <w:rPr>
          <w:rFonts w:ascii="Arial" w:hAnsi="Arial" w:cs="Arial"/>
          <w:i/>
          <w:sz w:val="18"/>
          <w:szCs w:val="18"/>
          <w:lang w:val="en-AU"/>
        </w:rPr>
        <w:t>pathogenic agents.</w:t>
      </w:r>
    </w:p>
    <w:p w14:paraId="7AE3E792" w14:textId="1724BA3A" w:rsidR="0094086E" w:rsidRPr="00B94642" w:rsidRDefault="0094086E" w:rsidP="0094086E">
      <w:pPr>
        <w:autoSpaceDE w:val="0"/>
        <w:autoSpaceDN w:val="0"/>
        <w:adjustRightInd w:val="0"/>
        <w:spacing w:after="120"/>
        <w:ind w:left="850" w:hanging="425"/>
        <w:jc w:val="both"/>
        <w:rPr>
          <w:rFonts w:ascii="Arial" w:hAnsi="Arial" w:cs="Arial"/>
          <w:sz w:val="18"/>
          <w:szCs w:val="18"/>
          <w:lang w:val="en-AU"/>
        </w:rPr>
      </w:pPr>
      <w:r w:rsidRPr="00B94642">
        <w:rPr>
          <w:rFonts w:ascii="Arial" w:hAnsi="Arial" w:cs="Arial"/>
          <w:i/>
          <w:sz w:val="18"/>
          <w:szCs w:val="18"/>
          <w:lang w:val="en-AU"/>
        </w:rPr>
        <w:t>e)</w:t>
      </w:r>
      <w:r w:rsidRPr="00B94642">
        <w:rPr>
          <w:rFonts w:ascii="Arial" w:hAnsi="Arial" w:cs="Arial"/>
          <w:sz w:val="18"/>
          <w:szCs w:val="18"/>
          <w:lang w:val="en-AU"/>
        </w:rPr>
        <w:tab/>
        <w:t xml:space="preserve">Only </w:t>
      </w:r>
      <w:r w:rsidRPr="00B94642">
        <w:rPr>
          <w:rFonts w:ascii="Arial" w:hAnsi="Arial" w:cs="Arial"/>
          <w:strike/>
          <w:sz w:val="18"/>
          <w:szCs w:val="18"/>
          <w:highlight w:val="yellow"/>
          <w:lang w:val="en-AU"/>
        </w:rPr>
        <w:t>moving</w:t>
      </w:r>
      <w:r w:rsidRPr="00B94642">
        <w:rPr>
          <w:rFonts w:ascii="Arial" w:hAnsi="Arial" w:cs="Arial"/>
          <w:sz w:val="18"/>
          <w:szCs w:val="18"/>
          <w:lang w:val="en-AU"/>
        </w:rPr>
        <w:t xml:space="preserve"> </w:t>
      </w:r>
      <w:r w:rsidR="007D03EB" w:rsidRPr="00B94642">
        <w:rPr>
          <w:rFonts w:ascii="Arial" w:hAnsi="Arial" w:cs="Arial"/>
          <w:sz w:val="18"/>
          <w:szCs w:val="18"/>
          <w:highlight w:val="yellow"/>
          <w:u w:val="double"/>
          <w:lang w:val="en-AU"/>
        </w:rPr>
        <w:t>move</w:t>
      </w:r>
      <w:r w:rsidR="007D03EB" w:rsidRPr="00B94642">
        <w:rPr>
          <w:rFonts w:ascii="Arial" w:hAnsi="Arial" w:cs="Arial"/>
          <w:sz w:val="18"/>
          <w:szCs w:val="18"/>
          <w:lang w:val="en-AU"/>
        </w:rPr>
        <w:t xml:space="preserve"> </w:t>
      </w:r>
      <w:r w:rsidRPr="00B94642">
        <w:rPr>
          <w:rFonts w:ascii="Arial" w:hAnsi="Arial" w:cs="Arial"/>
          <w:i/>
          <w:sz w:val="18"/>
          <w:szCs w:val="18"/>
          <w:lang w:val="en-AU"/>
        </w:rPr>
        <w:t>aquatic animals</w:t>
      </w:r>
      <w:r w:rsidRPr="00B94642">
        <w:rPr>
          <w:rFonts w:ascii="Arial" w:hAnsi="Arial" w:cs="Arial"/>
          <w:sz w:val="18"/>
          <w:szCs w:val="18"/>
          <w:lang w:val="en-AU"/>
        </w:rPr>
        <w:t xml:space="preserve"> between different populations within the establishment following consideration of the </w:t>
      </w:r>
      <w:r w:rsidRPr="00B94642">
        <w:rPr>
          <w:rFonts w:ascii="Arial" w:hAnsi="Arial" w:cs="Arial"/>
          <w:i/>
          <w:sz w:val="18"/>
          <w:szCs w:val="18"/>
          <w:lang w:val="en-AU"/>
        </w:rPr>
        <w:t>disease</w:t>
      </w:r>
      <w:r w:rsidRPr="00B94642">
        <w:rPr>
          <w:rFonts w:ascii="Arial" w:eastAsia="SimSun" w:hAnsi="Arial" w:cs="Arial"/>
          <w:i/>
          <w:sz w:val="18"/>
          <w:szCs w:val="18"/>
          <w:lang w:val="en-AU" w:eastAsia="zh-CN"/>
        </w:rPr>
        <w:t xml:space="preserve"> </w:t>
      </w:r>
      <w:r w:rsidRPr="00B94642">
        <w:rPr>
          <w:rFonts w:ascii="Arial" w:hAnsi="Arial" w:cs="Arial"/>
          <w:i/>
          <w:sz w:val="18"/>
          <w:szCs w:val="18"/>
          <w:lang w:val="en-AU"/>
        </w:rPr>
        <w:t>risks</w:t>
      </w:r>
      <w:r w:rsidRPr="00B94642">
        <w:rPr>
          <w:rFonts w:ascii="Arial" w:hAnsi="Arial" w:cs="Arial"/>
          <w:sz w:val="18"/>
          <w:szCs w:val="18"/>
          <w:lang w:val="en-AU"/>
        </w:rPr>
        <w:t xml:space="preserve"> and with a view to maintaining </w:t>
      </w:r>
      <w:r w:rsidRPr="00B94642">
        <w:rPr>
          <w:rFonts w:ascii="Arial" w:hAnsi="Arial" w:cs="Arial"/>
          <w:sz w:val="18"/>
          <w:szCs w:val="18"/>
          <w:u w:val="double"/>
          <w:lang w:val="en-AU"/>
        </w:rPr>
        <w:t>the</w:t>
      </w:r>
      <w:r w:rsidRPr="00B94642">
        <w:rPr>
          <w:rFonts w:ascii="Arial" w:hAnsi="Arial" w:cs="Arial"/>
          <w:sz w:val="18"/>
          <w:szCs w:val="18"/>
          <w:lang w:val="en-AU"/>
        </w:rPr>
        <w:t xml:space="preserve"> high</w:t>
      </w:r>
      <w:r w:rsidRPr="00B94642">
        <w:rPr>
          <w:rFonts w:ascii="Arial" w:hAnsi="Arial" w:cs="Arial"/>
          <w:sz w:val="18"/>
          <w:szCs w:val="18"/>
          <w:highlight w:val="yellow"/>
          <w:u w:val="double"/>
          <w:lang w:val="en-AU"/>
        </w:rPr>
        <w:t>est possible</w:t>
      </w:r>
      <w:r w:rsidRPr="00B94642">
        <w:rPr>
          <w:rFonts w:ascii="Arial" w:hAnsi="Arial" w:cs="Arial"/>
          <w:sz w:val="18"/>
          <w:szCs w:val="18"/>
          <w:u w:val="double"/>
          <w:lang w:val="en-AU"/>
        </w:rPr>
        <w:t xml:space="preserve"> </w:t>
      </w:r>
      <w:r w:rsidRPr="00B94642">
        <w:rPr>
          <w:rFonts w:ascii="Arial" w:hAnsi="Arial" w:cs="Arial"/>
          <w:sz w:val="18"/>
          <w:szCs w:val="18"/>
          <w:lang w:val="en-AU"/>
        </w:rPr>
        <w:t xml:space="preserve">health status of </w:t>
      </w:r>
      <w:r w:rsidRPr="00B94642">
        <w:rPr>
          <w:rFonts w:ascii="Arial" w:hAnsi="Arial" w:cs="Arial"/>
          <w:sz w:val="18"/>
          <w:szCs w:val="18"/>
          <w:u w:val="double"/>
          <w:lang w:val="en-AU"/>
        </w:rPr>
        <w:t>the</w:t>
      </w:r>
      <w:r w:rsidRPr="00B94642">
        <w:rPr>
          <w:rFonts w:ascii="Arial" w:hAnsi="Arial" w:cs="Arial"/>
          <w:sz w:val="18"/>
          <w:szCs w:val="18"/>
          <w:lang w:val="en-AU"/>
        </w:rPr>
        <w:t xml:space="preserve"> </w:t>
      </w:r>
      <w:r w:rsidRPr="00B94642">
        <w:rPr>
          <w:rFonts w:ascii="Arial" w:hAnsi="Arial" w:cs="Arial"/>
          <w:i/>
          <w:sz w:val="18"/>
          <w:szCs w:val="18"/>
          <w:lang w:val="en-AU"/>
        </w:rPr>
        <w:t>aquatic animal</w:t>
      </w:r>
      <w:r w:rsidRPr="00B94642">
        <w:rPr>
          <w:rFonts w:ascii="Arial" w:hAnsi="Arial" w:cs="Arial"/>
          <w:sz w:val="18"/>
          <w:szCs w:val="18"/>
          <w:lang w:val="en-AU"/>
        </w:rPr>
        <w:t xml:space="preserve"> population.</w:t>
      </w:r>
    </w:p>
    <w:p w14:paraId="1437BEC2" w14:textId="694F3938" w:rsidR="0094086E" w:rsidRPr="00B94642" w:rsidRDefault="0094086E" w:rsidP="0094086E">
      <w:pPr>
        <w:autoSpaceDE w:val="0"/>
        <w:autoSpaceDN w:val="0"/>
        <w:adjustRightInd w:val="0"/>
        <w:spacing w:after="120"/>
        <w:ind w:left="850" w:hanging="425"/>
        <w:jc w:val="both"/>
        <w:rPr>
          <w:rFonts w:ascii="Arial" w:hAnsi="Arial" w:cs="Arial"/>
          <w:sz w:val="18"/>
          <w:szCs w:val="18"/>
          <w:lang w:val="en-AU"/>
        </w:rPr>
      </w:pPr>
      <w:r w:rsidRPr="00B94642">
        <w:rPr>
          <w:rFonts w:ascii="Arial" w:hAnsi="Arial" w:cs="Arial"/>
          <w:i/>
          <w:sz w:val="18"/>
          <w:szCs w:val="18"/>
          <w:lang w:val="en-AU"/>
        </w:rPr>
        <w:t>f)</w:t>
      </w:r>
      <w:r w:rsidRPr="00B94642">
        <w:rPr>
          <w:rFonts w:ascii="Arial" w:hAnsi="Arial" w:cs="Arial"/>
          <w:sz w:val="18"/>
          <w:szCs w:val="18"/>
          <w:lang w:val="en-AU"/>
        </w:rPr>
        <w:tab/>
      </w:r>
      <w:r w:rsidRPr="00B94642">
        <w:rPr>
          <w:rFonts w:ascii="Arial" w:hAnsi="Arial" w:cs="Arial"/>
          <w:strike/>
          <w:sz w:val="18"/>
          <w:szCs w:val="18"/>
          <w:highlight w:val="yellow"/>
          <w:lang w:val="en-AU"/>
        </w:rPr>
        <w:t>Isolating</w:t>
      </w:r>
      <w:r w:rsidRPr="00B94642">
        <w:rPr>
          <w:rFonts w:ascii="Arial" w:hAnsi="Arial" w:cs="Arial"/>
          <w:sz w:val="18"/>
          <w:szCs w:val="18"/>
          <w:lang w:val="en-AU"/>
        </w:rPr>
        <w:t xml:space="preserve"> </w:t>
      </w:r>
      <w:r w:rsidR="007D03EB" w:rsidRPr="00B94642">
        <w:rPr>
          <w:rFonts w:ascii="Arial" w:hAnsi="Arial" w:cs="Arial"/>
          <w:sz w:val="18"/>
          <w:szCs w:val="18"/>
          <w:highlight w:val="yellow"/>
          <w:u w:val="double"/>
          <w:lang w:val="en-AU"/>
        </w:rPr>
        <w:t>Isolate</w:t>
      </w:r>
      <w:r w:rsidR="007D03EB" w:rsidRPr="00B94642">
        <w:rPr>
          <w:rFonts w:ascii="Arial" w:hAnsi="Arial" w:cs="Arial"/>
          <w:sz w:val="18"/>
          <w:szCs w:val="18"/>
          <w:lang w:val="en-AU"/>
        </w:rPr>
        <w:t xml:space="preserve"> </w:t>
      </w:r>
      <w:r w:rsidRPr="00B94642">
        <w:rPr>
          <w:rFonts w:ascii="Arial" w:hAnsi="Arial" w:cs="Arial"/>
          <w:i/>
          <w:sz w:val="18"/>
          <w:szCs w:val="18"/>
          <w:lang w:val="en-AU"/>
        </w:rPr>
        <w:t>aquatic animal</w:t>
      </w:r>
      <w:r w:rsidRPr="00B94642">
        <w:rPr>
          <w:rFonts w:ascii="Arial" w:hAnsi="Arial" w:cs="Arial"/>
          <w:sz w:val="18"/>
          <w:szCs w:val="18"/>
          <w:lang w:val="en-AU"/>
        </w:rPr>
        <w:t xml:space="preserve"> populations that display clinical signs of </w:t>
      </w:r>
      <w:r w:rsidRPr="00B94642">
        <w:rPr>
          <w:rFonts w:ascii="Arial" w:hAnsi="Arial" w:cs="Arial"/>
          <w:i/>
          <w:sz w:val="18"/>
          <w:szCs w:val="18"/>
          <w:lang w:val="en-AU"/>
        </w:rPr>
        <w:t>disease</w:t>
      </w:r>
      <w:r w:rsidRPr="00B94642">
        <w:rPr>
          <w:rFonts w:ascii="Arial" w:hAnsi="Arial" w:cs="Arial"/>
          <w:sz w:val="18"/>
          <w:szCs w:val="18"/>
          <w:lang w:val="en-AU"/>
        </w:rPr>
        <w:t xml:space="preserve"> from other populations until the cause is known and the situation </w:t>
      </w:r>
      <w:r w:rsidRPr="00B94642">
        <w:rPr>
          <w:rFonts w:ascii="Arial" w:eastAsia="SimSun" w:hAnsi="Arial" w:cs="Arial"/>
          <w:sz w:val="18"/>
          <w:szCs w:val="18"/>
          <w:lang w:val="en-AU" w:eastAsia="zh-CN"/>
        </w:rPr>
        <w:t xml:space="preserve">is </w:t>
      </w:r>
      <w:r w:rsidRPr="00B94642">
        <w:rPr>
          <w:rFonts w:ascii="Arial" w:hAnsi="Arial" w:cs="Arial"/>
          <w:sz w:val="18"/>
          <w:szCs w:val="18"/>
          <w:lang w:val="en-AU"/>
        </w:rPr>
        <w:t>resolved.</w:t>
      </w:r>
    </w:p>
    <w:p w14:paraId="399DCF8D" w14:textId="1FB6CFCD" w:rsidR="0094086E" w:rsidRPr="00B94642" w:rsidRDefault="0094086E" w:rsidP="0094086E">
      <w:pPr>
        <w:pStyle w:val="Paragraphedeliste"/>
        <w:autoSpaceDE w:val="0"/>
        <w:autoSpaceDN w:val="0"/>
        <w:adjustRightInd w:val="0"/>
        <w:spacing w:after="120"/>
        <w:ind w:left="850" w:hanging="425"/>
        <w:contextualSpacing w:val="0"/>
        <w:jc w:val="both"/>
        <w:rPr>
          <w:rFonts w:ascii="Arial" w:hAnsi="Arial" w:cs="Arial"/>
          <w:sz w:val="18"/>
          <w:szCs w:val="18"/>
          <w:lang w:val="en-AU"/>
        </w:rPr>
      </w:pPr>
      <w:r w:rsidRPr="00B94642">
        <w:rPr>
          <w:rFonts w:ascii="Arial" w:hAnsi="Arial" w:cs="Arial"/>
          <w:i/>
          <w:sz w:val="18"/>
          <w:szCs w:val="18"/>
          <w:lang w:val="en-AU"/>
        </w:rPr>
        <w:t>g)</w:t>
      </w:r>
      <w:r w:rsidRPr="00B94642">
        <w:rPr>
          <w:rFonts w:ascii="Arial" w:hAnsi="Arial" w:cs="Arial"/>
          <w:sz w:val="18"/>
          <w:szCs w:val="18"/>
          <w:lang w:val="en-AU"/>
        </w:rPr>
        <w:tab/>
      </w:r>
      <w:r w:rsidRPr="00B94642">
        <w:rPr>
          <w:rFonts w:ascii="Arial" w:hAnsi="Arial" w:cs="Arial"/>
          <w:strike/>
          <w:sz w:val="18"/>
          <w:szCs w:val="18"/>
          <w:highlight w:val="yellow"/>
          <w:lang w:val="en-AU"/>
        </w:rPr>
        <w:t>Removing</w:t>
      </w:r>
      <w:r w:rsidRPr="00B94642">
        <w:rPr>
          <w:rFonts w:ascii="Arial" w:hAnsi="Arial" w:cs="Arial"/>
          <w:strike/>
          <w:sz w:val="18"/>
          <w:szCs w:val="18"/>
          <w:lang w:val="en-AU"/>
        </w:rPr>
        <w:t xml:space="preserve"> </w:t>
      </w:r>
      <w:r w:rsidR="00514849" w:rsidRPr="00B94642">
        <w:rPr>
          <w:rFonts w:ascii="Arial" w:hAnsi="Arial" w:cs="Arial"/>
          <w:sz w:val="18"/>
          <w:szCs w:val="18"/>
          <w:highlight w:val="yellow"/>
          <w:lang w:val="en-AU"/>
        </w:rPr>
        <w:t>Remove</w:t>
      </w:r>
      <w:r w:rsidR="00514849" w:rsidRPr="00685B5C">
        <w:rPr>
          <w:rFonts w:ascii="Arial" w:hAnsi="Arial" w:cs="Arial"/>
          <w:sz w:val="18"/>
          <w:szCs w:val="18"/>
          <w:lang w:val="en-AU"/>
        </w:rPr>
        <w:t xml:space="preserve"> </w:t>
      </w:r>
      <w:r w:rsidRPr="00B94642">
        <w:rPr>
          <w:rFonts w:ascii="Arial" w:hAnsi="Arial" w:cs="Arial"/>
          <w:sz w:val="18"/>
          <w:szCs w:val="18"/>
          <w:lang w:val="en-AU"/>
        </w:rPr>
        <w:t xml:space="preserve">sick or dead </w:t>
      </w:r>
      <w:r w:rsidRPr="00B94642">
        <w:rPr>
          <w:rFonts w:ascii="Arial" w:hAnsi="Arial" w:cs="Arial"/>
          <w:i/>
          <w:sz w:val="18"/>
          <w:szCs w:val="18"/>
          <w:lang w:val="en-AU"/>
        </w:rPr>
        <w:t>aquatic animals</w:t>
      </w:r>
      <w:r w:rsidRPr="00B94642">
        <w:rPr>
          <w:rFonts w:ascii="Arial" w:hAnsi="Arial" w:cs="Arial"/>
          <w:sz w:val="18"/>
          <w:szCs w:val="18"/>
          <w:lang w:val="en-AU"/>
        </w:rPr>
        <w:t xml:space="preserve"> from production units as soon as possible and </w:t>
      </w:r>
      <w:r w:rsidRPr="00B94642">
        <w:rPr>
          <w:rFonts w:ascii="Arial" w:hAnsi="Arial" w:cs="Arial"/>
          <w:strike/>
          <w:sz w:val="18"/>
          <w:szCs w:val="18"/>
          <w:highlight w:val="yellow"/>
          <w:lang w:val="en-AU"/>
        </w:rPr>
        <w:t>disposing</w:t>
      </w:r>
      <w:r w:rsidRPr="00B94642">
        <w:rPr>
          <w:rFonts w:ascii="Arial" w:hAnsi="Arial" w:cs="Arial"/>
          <w:sz w:val="18"/>
          <w:szCs w:val="18"/>
          <w:lang w:val="en-AU"/>
        </w:rPr>
        <w:t xml:space="preserve"> </w:t>
      </w:r>
      <w:r w:rsidR="00514849" w:rsidRPr="00B94642">
        <w:rPr>
          <w:rFonts w:ascii="Arial" w:hAnsi="Arial" w:cs="Arial"/>
          <w:sz w:val="18"/>
          <w:szCs w:val="18"/>
          <w:highlight w:val="yellow"/>
          <w:u w:val="double"/>
          <w:lang w:val="en-AU"/>
        </w:rPr>
        <w:t>dispose</w:t>
      </w:r>
      <w:r w:rsidR="00514849" w:rsidRPr="00B94642">
        <w:rPr>
          <w:rFonts w:ascii="Arial" w:hAnsi="Arial" w:cs="Arial"/>
          <w:sz w:val="18"/>
          <w:szCs w:val="18"/>
          <w:lang w:val="en-AU"/>
        </w:rPr>
        <w:t xml:space="preserve"> </w:t>
      </w:r>
      <w:r w:rsidRPr="00B94642">
        <w:rPr>
          <w:rFonts w:ascii="Arial" w:hAnsi="Arial" w:cs="Arial"/>
          <w:sz w:val="18"/>
          <w:szCs w:val="18"/>
          <w:lang w:val="en-AU"/>
        </w:rPr>
        <w:t xml:space="preserve">of them in a biosecure manner in accordance with Chapter 4.7. </w:t>
      </w:r>
    </w:p>
    <w:p w14:paraId="76301B1A" w14:textId="679186A9" w:rsidR="0094086E" w:rsidRPr="00B94642" w:rsidRDefault="0094086E" w:rsidP="0094086E">
      <w:pPr>
        <w:pStyle w:val="Paragraphedeliste"/>
        <w:autoSpaceDE w:val="0"/>
        <w:autoSpaceDN w:val="0"/>
        <w:adjustRightInd w:val="0"/>
        <w:spacing w:after="120"/>
        <w:ind w:left="850" w:hanging="425"/>
        <w:contextualSpacing w:val="0"/>
        <w:jc w:val="both"/>
        <w:rPr>
          <w:rFonts w:ascii="Arial" w:hAnsi="Arial" w:cs="Arial"/>
          <w:sz w:val="18"/>
          <w:szCs w:val="18"/>
          <w:lang w:val="en-AU"/>
        </w:rPr>
      </w:pPr>
      <w:r w:rsidRPr="00B94642">
        <w:rPr>
          <w:rFonts w:ascii="Arial" w:hAnsi="Arial" w:cs="Arial"/>
          <w:i/>
          <w:sz w:val="18"/>
          <w:szCs w:val="18"/>
          <w:lang w:val="en-AU"/>
        </w:rPr>
        <w:t>h)</w:t>
      </w:r>
      <w:r w:rsidRPr="00B94642">
        <w:rPr>
          <w:rFonts w:ascii="Arial" w:hAnsi="Arial" w:cs="Arial"/>
          <w:sz w:val="18"/>
          <w:szCs w:val="18"/>
          <w:lang w:val="en-AU"/>
        </w:rPr>
        <w:tab/>
      </w:r>
      <w:r w:rsidRPr="00B94642">
        <w:rPr>
          <w:rFonts w:ascii="Arial" w:hAnsi="Arial" w:cs="Arial"/>
          <w:strike/>
          <w:sz w:val="18"/>
          <w:szCs w:val="18"/>
          <w:highlight w:val="yellow"/>
          <w:u w:val="double"/>
          <w:lang w:val="en-AU"/>
        </w:rPr>
        <w:t>Reporting of</w:t>
      </w:r>
      <w:r w:rsidRPr="00B94642">
        <w:rPr>
          <w:rFonts w:ascii="Arial" w:hAnsi="Arial" w:cs="Arial"/>
          <w:strike/>
          <w:sz w:val="18"/>
          <w:szCs w:val="18"/>
          <w:u w:val="double"/>
          <w:lang w:val="en-AU"/>
        </w:rPr>
        <w:t xml:space="preserve"> </w:t>
      </w:r>
      <w:r w:rsidR="00E84976" w:rsidRPr="00B94642">
        <w:rPr>
          <w:rFonts w:ascii="Arial" w:hAnsi="Arial" w:cs="Arial"/>
          <w:sz w:val="18"/>
          <w:szCs w:val="18"/>
          <w:highlight w:val="yellow"/>
          <w:u w:val="double"/>
          <w:lang w:val="en-AU"/>
        </w:rPr>
        <w:t>Report</w:t>
      </w:r>
      <w:r w:rsidR="00E84976" w:rsidRPr="00685B5C">
        <w:rPr>
          <w:rFonts w:ascii="Arial" w:hAnsi="Arial" w:cs="Arial"/>
          <w:sz w:val="18"/>
          <w:szCs w:val="18"/>
          <w:u w:val="double"/>
          <w:lang w:val="en-AU"/>
        </w:rPr>
        <w:t xml:space="preserve"> </w:t>
      </w:r>
      <w:r w:rsidRPr="00B94642">
        <w:rPr>
          <w:rFonts w:ascii="Arial" w:hAnsi="Arial" w:cs="Arial"/>
          <w:sz w:val="18"/>
          <w:szCs w:val="18"/>
          <w:u w:val="double"/>
          <w:lang w:val="en-AU"/>
        </w:rPr>
        <w:t xml:space="preserve">unexplained or unusual mortalities, or suspicion of a notifiable </w:t>
      </w:r>
      <w:r w:rsidRPr="00B94642">
        <w:rPr>
          <w:rFonts w:ascii="Arial" w:hAnsi="Arial" w:cs="Arial"/>
          <w:i/>
          <w:iCs/>
          <w:sz w:val="18"/>
          <w:szCs w:val="18"/>
          <w:u w:val="double"/>
          <w:lang w:val="en-AU"/>
        </w:rPr>
        <w:t>disease</w:t>
      </w:r>
      <w:r w:rsidRPr="00B94642">
        <w:rPr>
          <w:rFonts w:ascii="Arial" w:hAnsi="Arial" w:cs="Arial"/>
          <w:sz w:val="18"/>
          <w:szCs w:val="18"/>
          <w:u w:val="double"/>
          <w:lang w:val="en-AU"/>
        </w:rPr>
        <w:t xml:space="preserve"> in </w:t>
      </w:r>
      <w:r w:rsidRPr="00B94642">
        <w:rPr>
          <w:rFonts w:ascii="Arial" w:hAnsi="Arial" w:cs="Arial"/>
          <w:i/>
          <w:iCs/>
          <w:sz w:val="18"/>
          <w:szCs w:val="18"/>
          <w:u w:val="double"/>
          <w:lang w:val="en-AU"/>
        </w:rPr>
        <w:t>aquatic animals</w:t>
      </w:r>
      <w:r w:rsidRPr="00B94642">
        <w:rPr>
          <w:rFonts w:ascii="Arial" w:hAnsi="Arial" w:cs="Arial"/>
          <w:sz w:val="18"/>
          <w:szCs w:val="18"/>
          <w:u w:val="double"/>
          <w:lang w:val="en-AU"/>
        </w:rPr>
        <w:t xml:space="preserve"> to the </w:t>
      </w:r>
      <w:r w:rsidRPr="00B94642">
        <w:rPr>
          <w:rFonts w:ascii="Arial" w:hAnsi="Arial" w:cs="Arial"/>
          <w:i/>
          <w:iCs/>
          <w:sz w:val="18"/>
          <w:szCs w:val="18"/>
          <w:u w:val="double"/>
          <w:lang w:val="en-AU"/>
        </w:rPr>
        <w:t>Competent Authority</w:t>
      </w:r>
      <w:r w:rsidRPr="00B94642">
        <w:rPr>
          <w:rFonts w:ascii="Arial" w:hAnsi="Arial" w:cs="Arial"/>
          <w:sz w:val="18"/>
          <w:szCs w:val="18"/>
          <w:u w:val="double"/>
          <w:lang w:val="en-AU"/>
        </w:rPr>
        <w:t xml:space="preserve"> in accordance with local requirements. Investigation and </w:t>
      </w:r>
      <w:r w:rsidRPr="00B94642">
        <w:rPr>
          <w:rFonts w:ascii="Arial" w:hAnsi="Arial" w:cs="Arial"/>
          <w:i/>
          <w:sz w:val="18"/>
          <w:szCs w:val="18"/>
          <w:u w:val="double"/>
          <w:lang w:val="en-AU"/>
        </w:rPr>
        <w:t>diagnosis</w:t>
      </w:r>
      <w:r w:rsidRPr="00B94642">
        <w:rPr>
          <w:rFonts w:ascii="Arial" w:hAnsi="Arial" w:cs="Arial"/>
          <w:sz w:val="18"/>
          <w:szCs w:val="18"/>
          <w:u w:val="double"/>
          <w:lang w:val="en-AU"/>
        </w:rPr>
        <w:t xml:space="preserve"> of the cause of mortality should be undertaken.</w:t>
      </w:r>
    </w:p>
    <w:p w14:paraId="2E8CAE35" w14:textId="04A72058" w:rsidR="0094086E" w:rsidRPr="00B94642" w:rsidRDefault="0094086E" w:rsidP="0094086E">
      <w:pPr>
        <w:autoSpaceDE w:val="0"/>
        <w:autoSpaceDN w:val="0"/>
        <w:adjustRightInd w:val="0"/>
        <w:spacing w:after="120"/>
        <w:ind w:left="851" w:hanging="425"/>
        <w:jc w:val="both"/>
        <w:rPr>
          <w:rFonts w:ascii="Arial" w:hAnsi="Arial" w:cs="Arial"/>
          <w:sz w:val="18"/>
          <w:szCs w:val="18"/>
          <w:u w:val="double"/>
          <w:lang w:val="en-AU"/>
        </w:rPr>
      </w:pPr>
      <w:r w:rsidRPr="00B94642">
        <w:rPr>
          <w:rFonts w:ascii="Arial" w:hAnsi="Arial" w:cs="Arial"/>
          <w:i/>
          <w:sz w:val="18"/>
          <w:szCs w:val="18"/>
          <w:u w:val="double"/>
          <w:lang w:val="en-AU"/>
        </w:rPr>
        <w:t>i)</w:t>
      </w:r>
      <w:r w:rsidRPr="00B94642">
        <w:rPr>
          <w:rFonts w:ascii="Arial" w:hAnsi="Arial" w:cs="Arial"/>
          <w:i/>
          <w:sz w:val="18"/>
          <w:szCs w:val="18"/>
          <w:lang w:val="en-AU"/>
        </w:rPr>
        <w:t xml:space="preserve"> </w:t>
      </w:r>
      <w:r w:rsidRPr="00B94642">
        <w:rPr>
          <w:rFonts w:ascii="Arial" w:hAnsi="Arial" w:cs="Arial"/>
          <w:sz w:val="18"/>
          <w:szCs w:val="18"/>
          <w:lang w:val="en-AU"/>
        </w:rPr>
        <w:tab/>
      </w:r>
      <w:r w:rsidRPr="00B94642">
        <w:rPr>
          <w:rFonts w:ascii="Arial" w:hAnsi="Arial" w:cs="Arial"/>
          <w:sz w:val="18"/>
          <w:szCs w:val="18"/>
          <w:u w:val="double"/>
          <w:lang w:val="en-AU"/>
        </w:rPr>
        <w:t xml:space="preserve">If possible, totally </w:t>
      </w:r>
      <w:r w:rsidRPr="00B94642">
        <w:rPr>
          <w:rFonts w:ascii="Arial" w:hAnsi="Arial" w:cs="Arial"/>
          <w:strike/>
          <w:sz w:val="18"/>
          <w:szCs w:val="18"/>
          <w:highlight w:val="yellow"/>
          <w:u w:val="double"/>
          <w:lang w:val="en-AU"/>
        </w:rPr>
        <w:t>depopulating</w:t>
      </w:r>
      <w:r w:rsidRPr="00B94642">
        <w:rPr>
          <w:rFonts w:ascii="Arial" w:hAnsi="Arial" w:cs="Arial"/>
          <w:sz w:val="18"/>
          <w:szCs w:val="18"/>
          <w:u w:val="double"/>
          <w:lang w:val="en-AU"/>
        </w:rPr>
        <w:t xml:space="preserve"> </w:t>
      </w:r>
      <w:r w:rsidR="00E84976" w:rsidRPr="00B94642">
        <w:rPr>
          <w:rFonts w:ascii="Arial" w:hAnsi="Arial" w:cs="Arial"/>
          <w:sz w:val="18"/>
          <w:szCs w:val="18"/>
          <w:highlight w:val="yellow"/>
          <w:u w:val="double"/>
          <w:lang w:val="en-AU"/>
        </w:rPr>
        <w:t>depopulate</w:t>
      </w:r>
      <w:r w:rsidR="00E84976" w:rsidRPr="00B94642">
        <w:rPr>
          <w:rFonts w:ascii="Arial" w:hAnsi="Arial" w:cs="Arial"/>
          <w:sz w:val="18"/>
          <w:szCs w:val="18"/>
          <w:u w:val="double"/>
          <w:lang w:val="en-AU"/>
        </w:rPr>
        <w:t xml:space="preserve"> </w:t>
      </w:r>
      <w:r w:rsidRPr="00B94642">
        <w:rPr>
          <w:rFonts w:ascii="Arial" w:hAnsi="Arial" w:cs="Arial"/>
          <w:sz w:val="18"/>
          <w:szCs w:val="18"/>
          <w:u w:val="double"/>
          <w:lang w:val="en-AU"/>
        </w:rPr>
        <w:t xml:space="preserve">the </w:t>
      </w:r>
      <w:r w:rsidRPr="00B94642">
        <w:rPr>
          <w:rFonts w:ascii="Arial" w:hAnsi="Arial" w:cs="Arial"/>
          <w:i/>
          <w:iCs/>
          <w:sz w:val="18"/>
          <w:szCs w:val="18"/>
          <w:u w:val="double"/>
          <w:lang w:val="en-AU"/>
        </w:rPr>
        <w:t>aquaculture establishment</w:t>
      </w:r>
      <w:r w:rsidRPr="00B94642">
        <w:rPr>
          <w:rFonts w:ascii="Arial" w:hAnsi="Arial" w:cs="Arial"/>
          <w:sz w:val="18"/>
          <w:szCs w:val="18"/>
          <w:u w:val="double"/>
          <w:lang w:val="en-AU"/>
        </w:rPr>
        <w:t xml:space="preserve"> at intervals, for instance between </w:t>
      </w:r>
      <w:r w:rsidRPr="00B94642">
        <w:rPr>
          <w:rFonts w:ascii="Arial" w:hAnsi="Arial" w:cs="Arial"/>
          <w:i/>
          <w:iCs/>
          <w:sz w:val="18"/>
          <w:szCs w:val="18"/>
          <w:u w:val="double"/>
          <w:lang w:val="en-AU"/>
        </w:rPr>
        <w:t>aquatic animal</w:t>
      </w:r>
      <w:r w:rsidRPr="00B94642">
        <w:rPr>
          <w:rFonts w:ascii="Arial" w:hAnsi="Arial" w:cs="Arial"/>
          <w:sz w:val="18"/>
          <w:szCs w:val="18"/>
          <w:u w:val="double"/>
          <w:lang w:val="en-AU"/>
        </w:rPr>
        <w:t xml:space="preserve"> generations or production cycles, followed by cleaning and </w:t>
      </w:r>
      <w:r w:rsidRPr="00B94642">
        <w:rPr>
          <w:rFonts w:ascii="Arial" w:hAnsi="Arial" w:cs="Arial"/>
          <w:i/>
          <w:iCs/>
          <w:sz w:val="18"/>
          <w:szCs w:val="18"/>
          <w:u w:val="double"/>
          <w:lang w:val="en-AU"/>
        </w:rPr>
        <w:t>disinfection</w:t>
      </w:r>
      <w:r w:rsidRPr="00B94642">
        <w:rPr>
          <w:rFonts w:ascii="Arial" w:hAnsi="Arial" w:cs="Arial"/>
          <w:sz w:val="18"/>
          <w:szCs w:val="18"/>
          <w:u w:val="double"/>
          <w:lang w:val="en-AU"/>
        </w:rPr>
        <w:t xml:space="preserve"> of production installations. Sites should be fallowed for a period sufficient to interrupt </w:t>
      </w:r>
      <w:r w:rsidRPr="00B94642">
        <w:rPr>
          <w:rFonts w:ascii="Arial" w:hAnsi="Arial" w:cs="Arial"/>
          <w:i/>
          <w:sz w:val="18"/>
          <w:szCs w:val="18"/>
          <w:u w:val="double"/>
          <w:lang w:val="en-AU"/>
        </w:rPr>
        <w:t>infection</w:t>
      </w:r>
      <w:r w:rsidRPr="00B94642">
        <w:rPr>
          <w:rFonts w:ascii="Arial" w:hAnsi="Arial" w:cs="Arial"/>
          <w:sz w:val="18"/>
          <w:szCs w:val="18"/>
          <w:u w:val="double"/>
          <w:lang w:val="en-AU"/>
        </w:rPr>
        <w:t xml:space="preserve"> cycles and reduce or eliminate pathogen challenge to restocked </w:t>
      </w:r>
      <w:r w:rsidRPr="00B94642">
        <w:rPr>
          <w:rFonts w:ascii="Arial" w:hAnsi="Arial" w:cs="Arial"/>
          <w:i/>
          <w:iCs/>
          <w:sz w:val="18"/>
          <w:szCs w:val="18"/>
          <w:u w:val="double"/>
          <w:lang w:val="en-AU"/>
        </w:rPr>
        <w:t>aquatic animals</w:t>
      </w:r>
      <w:r w:rsidRPr="00B94642">
        <w:rPr>
          <w:rFonts w:ascii="Arial" w:hAnsi="Arial" w:cs="Arial"/>
          <w:sz w:val="18"/>
          <w:szCs w:val="18"/>
          <w:u w:val="double"/>
          <w:lang w:val="en-AU"/>
        </w:rPr>
        <w:t xml:space="preserve">. </w:t>
      </w:r>
      <w:r w:rsidRPr="00B94642">
        <w:rPr>
          <w:rFonts w:ascii="Arial" w:hAnsi="Arial" w:cs="Arial"/>
          <w:i/>
          <w:iCs/>
          <w:sz w:val="18"/>
          <w:szCs w:val="18"/>
          <w:u w:val="double"/>
          <w:lang w:val="en-AU"/>
        </w:rPr>
        <w:t>Fallowing</w:t>
      </w:r>
      <w:r w:rsidRPr="00B94642">
        <w:rPr>
          <w:rFonts w:ascii="Arial" w:hAnsi="Arial" w:cs="Arial"/>
          <w:sz w:val="18"/>
          <w:szCs w:val="18"/>
          <w:u w:val="double"/>
          <w:lang w:val="en-AU"/>
        </w:rPr>
        <w:t xml:space="preserve"> should be coordinated for </w:t>
      </w:r>
      <w:r w:rsidRPr="00B94642">
        <w:rPr>
          <w:rFonts w:ascii="Arial" w:hAnsi="Arial" w:cs="Arial"/>
          <w:i/>
          <w:iCs/>
          <w:sz w:val="18"/>
          <w:szCs w:val="18"/>
          <w:u w:val="double"/>
          <w:lang w:val="en-AU"/>
        </w:rPr>
        <w:t>aquaculture establishments</w:t>
      </w:r>
      <w:r w:rsidRPr="00B94642">
        <w:rPr>
          <w:rFonts w:ascii="Arial" w:hAnsi="Arial" w:cs="Arial"/>
          <w:sz w:val="18"/>
          <w:szCs w:val="18"/>
          <w:u w:val="double"/>
          <w:lang w:val="en-AU"/>
        </w:rPr>
        <w:t xml:space="preserve"> that are epidemiologically linked through shared water bodies.</w:t>
      </w:r>
    </w:p>
    <w:p w14:paraId="6603E12C" w14:textId="5B8E1264" w:rsidR="0094086E" w:rsidRPr="00B94642" w:rsidRDefault="002815FE" w:rsidP="0094086E">
      <w:pPr>
        <w:autoSpaceDE w:val="0"/>
        <w:autoSpaceDN w:val="0"/>
        <w:adjustRightInd w:val="0"/>
        <w:spacing w:after="120"/>
        <w:ind w:left="851" w:hanging="425"/>
        <w:jc w:val="both"/>
        <w:rPr>
          <w:rFonts w:ascii="Arial" w:hAnsi="Arial" w:cs="Arial"/>
          <w:sz w:val="18"/>
          <w:szCs w:val="18"/>
          <w:u w:val="double"/>
        </w:rPr>
      </w:pPr>
      <w:r w:rsidRPr="00B94642">
        <w:rPr>
          <w:rFonts w:ascii="Arial" w:hAnsi="Arial" w:cs="Arial"/>
          <w:i/>
          <w:sz w:val="18"/>
          <w:szCs w:val="18"/>
          <w:u w:val="double"/>
          <w:lang w:val="en-AU"/>
        </w:rPr>
        <w:t>j)</w:t>
      </w:r>
      <w:r w:rsidR="0094086E" w:rsidRPr="00B94642">
        <w:rPr>
          <w:rFonts w:ascii="Arial" w:hAnsi="Arial" w:cs="Arial"/>
          <w:sz w:val="18"/>
          <w:szCs w:val="18"/>
          <w:lang w:val="en-AU"/>
        </w:rPr>
        <w:tab/>
      </w:r>
      <w:r w:rsidR="0094086E" w:rsidRPr="00B94642">
        <w:rPr>
          <w:rFonts w:ascii="Arial" w:hAnsi="Arial" w:cs="Arial"/>
          <w:strike/>
          <w:sz w:val="18"/>
          <w:szCs w:val="18"/>
          <w:lang w:val="en-AU"/>
        </w:rPr>
        <w:t xml:space="preserve">Where possible, preventing unintended movement of </w:t>
      </w:r>
      <w:r w:rsidR="0094086E" w:rsidRPr="00B94642">
        <w:rPr>
          <w:rFonts w:ascii="Arial" w:hAnsi="Arial" w:cs="Arial"/>
          <w:i/>
          <w:strike/>
          <w:sz w:val="18"/>
          <w:szCs w:val="18"/>
          <w:lang w:val="en-AU"/>
        </w:rPr>
        <w:t>aquatic animals</w:t>
      </w:r>
      <w:r w:rsidR="0094086E" w:rsidRPr="00B94642">
        <w:rPr>
          <w:rFonts w:ascii="Arial" w:hAnsi="Arial" w:cs="Arial"/>
          <w:strike/>
          <w:sz w:val="18"/>
          <w:szCs w:val="18"/>
          <w:lang w:val="en-AU"/>
        </w:rPr>
        <w:t xml:space="preserve"> into, within or from the establishment.</w:t>
      </w:r>
      <w:r w:rsidR="0094086E" w:rsidRPr="00B94642">
        <w:rPr>
          <w:rFonts w:ascii="Arial" w:hAnsi="Arial" w:cs="Arial"/>
          <w:sz w:val="18"/>
          <w:szCs w:val="18"/>
          <w:lang w:val="en-AU"/>
        </w:rPr>
        <w:t xml:space="preserve"> </w:t>
      </w:r>
      <w:r w:rsidR="0094086E" w:rsidRPr="00B94642">
        <w:rPr>
          <w:rFonts w:ascii="Arial" w:hAnsi="Arial" w:cs="Arial"/>
          <w:strike/>
          <w:sz w:val="18"/>
          <w:szCs w:val="18"/>
          <w:highlight w:val="yellow"/>
          <w:u w:val="double"/>
          <w:lang w:val="en-AU"/>
        </w:rPr>
        <w:t>Considering</w:t>
      </w:r>
      <w:r w:rsidR="0094086E" w:rsidRPr="00B94642">
        <w:rPr>
          <w:rFonts w:ascii="Arial" w:hAnsi="Arial" w:cs="Arial"/>
          <w:sz w:val="18"/>
          <w:szCs w:val="18"/>
          <w:u w:val="double"/>
          <w:lang w:val="en-AU"/>
        </w:rPr>
        <w:t xml:space="preserve"> </w:t>
      </w:r>
      <w:r w:rsidR="00E84976" w:rsidRPr="00B94642">
        <w:rPr>
          <w:rFonts w:ascii="Arial" w:hAnsi="Arial" w:cs="Arial"/>
          <w:sz w:val="18"/>
          <w:szCs w:val="18"/>
          <w:highlight w:val="yellow"/>
          <w:u w:val="double"/>
          <w:lang w:val="en-AU"/>
        </w:rPr>
        <w:t>Consider</w:t>
      </w:r>
      <w:r w:rsidR="00E84976" w:rsidRPr="00B94642">
        <w:rPr>
          <w:rFonts w:ascii="Arial" w:hAnsi="Arial" w:cs="Arial"/>
          <w:sz w:val="18"/>
          <w:szCs w:val="18"/>
          <w:u w:val="double"/>
          <w:lang w:val="en-AU"/>
        </w:rPr>
        <w:t xml:space="preserve"> </w:t>
      </w:r>
      <w:r w:rsidR="0094086E" w:rsidRPr="00B94642">
        <w:rPr>
          <w:rFonts w:ascii="Arial" w:hAnsi="Arial" w:cs="Arial"/>
          <w:sz w:val="18"/>
          <w:szCs w:val="18"/>
          <w:u w:val="double"/>
        </w:rPr>
        <w:t xml:space="preserve">physical measures to minimise the likelihood of escape of farmed </w:t>
      </w:r>
      <w:r w:rsidR="0094086E" w:rsidRPr="00B94642">
        <w:rPr>
          <w:rFonts w:ascii="Arial" w:hAnsi="Arial" w:cs="Arial"/>
          <w:i/>
          <w:iCs/>
          <w:sz w:val="18"/>
          <w:szCs w:val="18"/>
          <w:u w:val="double"/>
        </w:rPr>
        <w:t>aquatic animals</w:t>
      </w:r>
      <w:r w:rsidR="0094086E" w:rsidRPr="00B94642">
        <w:rPr>
          <w:rFonts w:ascii="Arial" w:hAnsi="Arial" w:cs="Arial"/>
          <w:sz w:val="18"/>
          <w:szCs w:val="18"/>
          <w:u w:val="double"/>
        </w:rPr>
        <w:t xml:space="preserve"> or the entry of wild </w:t>
      </w:r>
      <w:r w:rsidR="0094086E" w:rsidRPr="00B94642">
        <w:rPr>
          <w:rFonts w:ascii="Arial" w:hAnsi="Arial" w:cs="Arial"/>
          <w:i/>
          <w:iCs/>
          <w:sz w:val="18"/>
          <w:szCs w:val="18"/>
          <w:u w:val="double"/>
        </w:rPr>
        <w:t>aquatic animals</w:t>
      </w:r>
      <w:r w:rsidR="0094086E" w:rsidRPr="00B94642">
        <w:rPr>
          <w:rFonts w:ascii="Arial" w:hAnsi="Arial" w:cs="Arial"/>
          <w:sz w:val="18"/>
          <w:szCs w:val="18"/>
          <w:u w:val="double"/>
        </w:rPr>
        <w:t xml:space="preserve"> into the </w:t>
      </w:r>
      <w:r w:rsidR="0094086E" w:rsidRPr="00B94642">
        <w:rPr>
          <w:rFonts w:ascii="Arial" w:hAnsi="Arial" w:cs="Arial"/>
          <w:i/>
          <w:iCs/>
          <w:sz w:val="18"/>
          <w:szCs w:val="18"/>
          <w:u w:val="double"/>
        </w:rPr>
        <w:t>aquaculture establishment</w:t>
      </w:r>
      <w:r w:rsidR="0094086E" w:rsidRPr="00B94642">
        <w:rPr>
          <w:rFonts w:ascii="Arial" w:hAnsi="Arial" w:cs="Arial"/>
          <w:sz w:val="18"/>
          <w:szCs w:val="18"/>
          <w:u w:val="double"/>
        </w:rPr>
        <w:t xml:space="preserve">. The likelihood of entry or escape of </w:t>
      </w:r>
      <w:r w:rsidR="0094086E" w:rsidRPr="00B94642">
        <w:rPr>
          <w:rFonts w:ascii="Arial" w:hAnsi="Arial" w:cs="Arial"/>
          <w:i/>
          <w:iCs/>
          <w:sz w:val="18"/>
          <w:szCs w:val="18"/>
          <w:u w:val="double"/>
        </w:rPr>
        <w:t>aquatic animals</w:t>
      </w:r>
      <w:r w:rsidR="0094086E" w:rsidRPr="00B94642">
        <w:rPr>
          <w:rFonts w:ascii="Arial" w:hAnsi="Arial" w:cs="Arial"/>
          <w:sz w:val="18"/>
          <w:szCs w:val="18"/>
          <w:u w:val="double"/>
        </w:rPr>
        <w:t xml:space="preserve"> will be higher for semi-open than for closed or semi-closed systems. </w:t>
      </w:r>
    </w:p>
    <w:p w14:paraId="3DE23E7C" w14:textId="77777777" w:rsidR="0094086E" w:rsidRPr="00B94642" w:rsidRDefault="0094086E" w:rsidP="0094086E">
      <w:pPr>
        <w:autoSpaceDE w:val="0"/>
        <w:autoSpaceDN w:val="0"/>
        <w:adjustRightInd w:val="0"/>
        <w:spacing w:after="120"/>
        <w:ind w:left="450" w:hanging="24"/>
        <w:jc w:val="both"/>
        <w:rPr>
          <w:rFonts w:ascii="Arial" w:hAnsi="Arial" w:cs="Arial"/>
          <w:sz w:val="18"/>
          <w:szCs w:val="18"/>
        </w:rPr>
      </w:pPr>
      <w:r w:rsidRPr="00B94642">
        <w:rPr>
          <w:rFonts w:ascii="Arial" w:hAnsi="Arial" w:cs="Arial"/>
          <w:strike/>
          <w:sz w:val="18"/>
          <w:szCs w:val="18"/>
        </w:rPr>
        <w:t>The</w:t>
      </w:r>
      <w:r w:rsidRPr="00B94642">
        <w:rPr>
          <w:rFonts w:ascii="Arial" w:hAnsi="Arial" w:cs="Arial"/>
          <w:sz w:val="18"/>
          <w:szCs w:val="18"/>
        </w:rPr>
        <w:t xml:space="preserve"> </w:t>
      </w:r>
      <w:r w:rsidRPr="00B94642">
        <w:rPr>
          <w:rFonts w:ascii="Arial" w:hAnsi="Arial" w:cs="Arial"/>
          <w:i/>
          <w:strike/>
          <w:sz w:val="18"/>
          <w:szCs w:val="18"/>
        </w:rPr>
        <w:t>risk</w:t>
      </w:r>
      <w:r w:rsidRPr="00B94642">
        <w:rPr>
          <w:rFonts w:ascii="Arial" w:hAnsi="Arial" w:cs="Arial"/>
          <w:sz w:val="18"/>
          <w:szCs w:val="18"/>
        </w:rPr>
        <w:t xml:space="preserve"> </w:t>
      </w:r>
      <w:r w:rsidRPr="00B94642">
        <w:rPr>
          <w:rFonts w:ascii="Arial" w:hAnsi="Arial" w:cs="Arial"/>
          <w:strike/>
          <w:sz w:val="18"/>
          <w:szCs w:val="18"/>
        </w:rPr>
        <w:t>of</w:t>
      </w:r>
      <w:r w:rsidRPr="00B94642">
        <w:rPr>
          <w:rFonts w:ascii="Arial" w:hAnsi="Arial" w:cs="Arial"/>
          <w:sz w:val="18"/>
          <w:szCs w:val="18"/>
        </w:rPr>
        <w:t xml:space="preserve"> </w:t>
      </w:r>
      <w:r w:rsidRPr="00B94642">
        <w:rPr>
          <w:rFonts w:ascii="Arial" w:hAnsi="Arial" w:cs="Arial"/>
          <w:strike/>
          <w:sz w:val="18"/>
          <w:szCs w:val="18"/>
        </w:rPr>
        <w:t xml:space="preserve">unintentional movements of </w:t>
      </w:r>
      <w:r w:rsidRPr="00B94642">
        <w:rPr>
          <w:rFonts w:ascii="Arial" w:hAnsi="Arial" w:cs="Arial"/>
          <w:i/>
          <w:strike/>
          <w:sz w:val="18"/>
          <w:szCs w:val="18"/>
        </w:rPr>
        <w:t>aquatic animals</w:t>
      </w:r>
      <w:r w:rsidRPr="00B94642">
        <w:rPr>
          <w:rFonts w:ascii="Arial" w:hAnsi="Arial" w:cs="Arial"/>
          <w:strike/>
          <w:sz w:val="18"/>
          <w:szCs w:val="18"/>
        </w:rPr>
        <w:t xml:space="preserve"> will be influenced by the category of </w:t>
      </w:r>
      <w:r w:rsidRPr="00B94642">
        <w:rPr>
          <w:rFonts w:ascii="Arial" w:hAnsi="Arial" w:cs="Arial"/>
          <w:i/>
          <w:strike/>
          <w:sz w:val="18"/>
          <w:szCs w:val="18"/>
        </w:rPr>
        <w:t>aquaculture</w:t>
      </w:r>
      <w:r w:rsidRPr="00B94642">
        <w:rPr>
          <w:rFonts w:ascii="Arial" w:hAnsi="Arial" w:cs="Arial"/>
          <w:strike/>
          <w:sz w:val="18"/>
          <w:szCs w:val="18"/>
        </w:rPr>
        <w:t xml:space="preserve"> production</w:t>
      </w:r>
      <w:r w:rsidRPr="00B94642">
        <w:rPr>
          <w:rFonts w:ascii="Arial" w:eastAsia="SimSun" w:hAnsi="Arial" w:cs="Arial"/>
          <w:strike/>
          <w:sz w:val="18"/>
          <w:szCs w:val="18"/>
          <w:lang w:eastAsia="zh-CN"/>
        </w:rPr>
        <w:t xml:space="preserve"> </w:t>
      </w:r>
      <w:r w:rsidRPr="00B94642">
        <w:rPr>
          <w:rFonts w:ascii="Arial" w:hAnsi="Arial" w:cs="Arial"/>
          <w:strike/>
          <w:sz w:val="18"/>
          <w:szCs w:val="18"/>
        </w:rPr>
        <w:t>system, with the likelihood being higher for semi-open than closed systems.</w:t>
      </w:r>
      <w:r w:rsidRPr="00B94642">
        <w:rPr>
          <w:rFonts w:ascii="Arial" w:hAnsi="Arial" w:cs="Arial"/>
          <w:sz w:val="18"/>
          <w:szCs w:val="18"/>
        </w:rPr>
        <w:t xml:space="preserve"> </w:t>
      </w:r>
      <w:r w:rsidRPr="00B94642">
        <w:rPr>
          <w:rFonts w:ascii="Arial" w:hAnsi="Arial" w:cs="Arial"/>
          <w:strike/>
          <w:sz w:val="18"/>
          <w:szCs w:val="18"/>
        </w:rPr>
        <w:t xml:space="preserve">If </w:t>
      </w:r>
      <w:r w:rsidRPr="00B94642">
        <w:rPr>
          <w:rFonts w:ascii="Arial" w:hAnsi="Arial" w:cs="Arial"/>
          <w:i/>
          <w:strike/>
          <w:sz w:val="18"/>
          <w:szCs w:val="18"/>
        </w:rPr>
        <w:t>risks</w:t>
      </w:r>
      <w:r w:rsidRPr="00B94642">
        <w:rPr>
          <w:rFonts w:ascii="Arial" w:hAnsi="Arial" w:cs="Arial"/>
          <w:strike/>
          <w:sz w:val="18"/>
          <w:szCs w:val="18"/>
        </w:rPr>
        <w:t xml:space="preserve"> are found to be high, physical mitigation measures may be necessary</w:t>
      </w:r>
      <w:r w:rsidRPr="00B94642">
        <w:rPr>
          <w:rFonts w:ascii="Arial" w:hAnsi="Arial" w:cs="Arial"/>
          <w:sz w:val="18"/>
          <w:szCs w:val="18"/>
        </w:rPr>
        <w:t>.</w:t>
      </w:r>
    </w:p>
    <w:p w14:paraId="2B83EB4C" w14:textId="77777777" w:rsidR="0094086E" w:rsidRPr="004C5527" w:rsidRDefault="0094086E" w:rsidP="0094086E">
      <w:pPr>
        <w:spacing w:after="120"/>
        <w:ind w:left="425" w:hanging="425"/>
        <w:jc w:val="both"/>
        <w:rPr>
          <w:rFonts w:cs="Times New Roman"/>
          <w:color w:val="000000"/>
          <w:szCs w:val="20"/>
        </w:rPr>
      </w:pPr>
      <w:bookmarkStart w:id="61" w:name="_Hlk25645281"/>
    </w:p>
    <w:p w14:paraId="1C90125D" w14:textId="77777777" w:rsidR="00B94642" w:rsidRDefault="00B94642">
      <w:pPr>
        <w:rPr>
          <w:rFonts w:cs="Times New Roman"/>
          <w:color w:val="000000"/>
          <w:szCs w:val="20"/>
        </w:rPr>
      </w:pPr>
      <w:r>
        <w:rPr>
          <w:rFonts w:cs="Times New Roman"/>
          <w:color w:val="000000"/>
          <w:szCs w:val="20"/>
        </w:rPr>
        <w:br w:type="page"/>
      </w:r>
    </w:p>
    <w:p w14:paraId="1C5A7C30" w14:textId="77777777" w:rsidR="00B94642" w:rsidRDefault="00B94642" w:rsidP="00B94642">
      <w:pPr>
        <w:spacing w:after="480" w:line="240" w:lineRule="auto"/>
        <w:ind w:left="425" w:hanging="425"/>
        <w:jc w:val="right"/>
        <w:rPr>
          <w:szCs w:val="20"/>
        </w:rPr>
      </w:pPr>
      <w:r w:rsidRPr="008270D6">
        <w:rPr>
          <w:szCs w:val="20"/>
          <w:u w:val="single"/>
        </w:rPr>
        <w:lastRenderedPageBreak/>
        <w:t>Annex 2</w:t>
      </w:r>
      <w:r w:rsidRPr="008270D6">
        <w:rPr>
          <w:szCs w:val="20"/>
        </w:rPr>
        <w:t xml:space="preserve"> (contd)</w:t>
      </w:r>
    </w:p>
    <w:p w14:paraId="7EE68AB0" w14:textId="3E4FF5A8" w:rsidR="0094086E" w:rsidRPr="00B94642" w:rsidRDefault="0094086E" w:rsidP="0094086E">
      <w:pPr>
        <w:spacing w:after="120"/>
        <w:ind w:left="425" w:hanging="425"/>
        <w:jc w:val="both"/>
        <w:rPr>
          <w:rFonts w:ascii="Arial" w:hAnsi="Arial" w:cs="Arial"/>
          <w:color w:val="000000"/>
          <w:sz w:val="18"/>
          <w:szCs w:val="18"/>
          <w:u w:val="single"/>
        </w:rPr>
      </w:pPr>
      <w:r w:rsidRPr="00B94642">
        <w:rPr>
          <w:rFonts w:ascii="Arial" w:hAnsi="Arial" w:cs="Arial"/>
          <w:color w:val="000000"/>
          <w:sz w:val="18"/>
          <w:szCs w:val="18"/>
        </w:rPr>
        <w:t xml:space="preserve">2. </w:t>
      </w:r>
      <w:r w:rsidRPr="00B94642">
        <w:rPr>
          <w:rFonts w:ascii="Arial" w:hAnsi="Arial" w:cs="Arial"/>
          <w:color w:val="000000"/>
          <w:sz w:val="18"/>
          <w:szCs w:val="18"/>
        </w:rPr>
        <w:tab/>
      </w:r>
      <w:r w:rsidRPr="00B94642">
        <w:rPr>
          <w:rFonts w:ascii="Arial" w:hAnsi="Arial" w:cs="Arial"/>
          <w:color w:val="000000"/>
          <w:sz w:val="18"/>
          <w:szCs w:val="18"/>
          <w:u w:val="single"/>
        </w:rPr>
        <w:t>Aquatic animal products and aquatic animal waste</w:t>
      </w:r>
    </w:p>
    <w:p w14:paraId="6D637819" w14:textId="6FB0D1B1" w:rsidR="0094086E" w:rsidRPr="00B94642" w:rsidRDefault="0094086E" w:rsidP="0094086E">
      <w:pPr>
        <w:spacing w:after="240"/>
        <w:ind w:left="426"/>
        <w:jc w:val="both"/>
        <w:rPr>
          <w:rFonts w:ascii="Arial" w:hAnsi="Arial" w:cs="Arial"/>
          <w:sz w:val="18"/>
          <w:szCs w:val="18"/>
          <w:lang w:eastAsia="fr-FR"/>
        </w:rPr>
      </w:pPr>
      <w:r w:rsidRPr="00B94642">
        <w:rPr>
          <w:rFonts w:ascii="Arial" w:hAnsi="Arial" w:cs="Arial"/>
          <w:i/>
          <w:color w:val="000000"/>
          <w:sz w:val="18"/>
          <w:szCs w:val="18"/>
        </w:rPr>
        <w:t>Aquatic animal products</w:t>
      </w:r>
      <w:r w:rsidRPr="00B94642">
        <w:rPr>
          <w:rFonts w:ascii="Arial" w:hAnsi="Arial" w:cs="Arial"/>
          <w:color w:val="000000"/>
          <w:sz w:val="18"/>
          <w:szCs w:val="18"/>
        </w:rPr>
        <w:t xml:space="preserve"> may also be brought into</w:t>
      </w:r>
      <w:r w:rsidRPr="00B94642">
        <w:rPr>
          <w:rFonts w:ascii="Arial" w:hAnsi="Arial" w:cs="Arial"/>
          <w:color w:val="000000"/>
          <w:sz w:val="18"/>
          <w:szCs w:val="18"/>
          <w:u w:val="double"/>
        </w:rPr>
        <w:t xml:space="preserve">, moved within </w:t>
      </w:r>
      <w:r w:rsidRPr="00B94642">
        <w:rPr>
          <w:rFonts w:ascii="Arial" w:hAnsi="Arial" w:cs="Arial"/>
          <w:strike/>
          <w:color w:val="000000"/>
          <w:sz w:val="18"/>
          <w:szCs w:val="18"/>
          <w:u w:val="double"/>
        </w:rPr>
        <w:t>and</w:t>
      </w:r>
      <w:r w:rsidRPr="00B94642">
        <w:rPr>
          <w:rFonts w:ascii="Arial" w:hAnsi="Arial" w:cs="Arial"/>
          <w:color w:val="000000"/>
          <w:sz w:val="18"/>
          <w:szCs w:val="18"/>
          <w:u w:val="double"/>
        </w:rPr>
        <w:t xml:space="preserve"> or moved out of</w:t>
      </w:r>
      <w:r w:rsidRPr="00B94642">
        <w:rPr>
          <w:rFonts w:ascii="Arial" w:hAnsi="Arial" w:cs="Arial"/>
          <w:color w:val="000000"/>
          <w:sz w:val="18"/>
          <w:szCs w:val="18"/>
        </w:rPr>
        <w:t xml:space="preserve"> </w:t>
      </w:r>
      <w:r w:rsidRPr="00B94642">
        <w:rPr>
          <w:rFonts w:ascii="Arial" w:hAnsi="Arial" w:cs="Arial"/>
          <w:strike/>
          <w:color w:val="000000"/>
          <w:sz w:val="18"/>
          <w:szCs w:val="18"/>
        </w:rPr>
        <w:t>an</w:t>
      </w:r>
      <w:r w:rsidRPr="00B94642">
        <w:rPr>
          <w:rFonts w:ascii="Arial" w:hAnsi="Arial" w:cs="Arial"/>
          <w:color w:val="000000"/>
          <w:sz w:val="18"/>
          <w:szCs w:val="18"/>
        </w:rPr>
        <w:t xml:space="preserve"> </w:t>
      </w:r>
      <w:r w:rsidRPr="00B94642">
        <w:rPr>
          <w:rFonts w:ascii="Arial" w:hAnsi="Arial" w:cs="Arial"/>
          <w:i/>
          <w:color w:val="000000"/>
          <w:sz w:val="18"/>
          <w:szCs w:val="18"/>
        </w:rPr>
        <w:t>aquaculture</w:t>
      </w:r>
      <w:r w:rsidRPr="00B94642">
        <w:rPr>
          <w:rFonts w:ascii="Arial" w:eastAsia="SimSun" w:hAnsi="Arial" w:cs="Arial"/>
          <w:i/>
          <w:color w:val="000000"/>
          <w:sz w:val="18"/>
          <w:szCs w:val="18"/>
          <w:lang w:eastAsia="zh-CN"/>
        </w:rPr>
        <w:t xml:space="preserve"> </w:t>
      </w:r>
      <w:r w:rsidRPr="00B94642">
        <w:rPr>
          <w:rFonts w:ascii="Arial" w:hAnsi="Arial" w:cs="Arial"/>
          <w:i/>
          <w:sz w:val="18"/>
          <w:szCs w:val="18"/>
          <w:lang w:val="en-AU"/>
        </w:rPr>
        <w:t>establishment</w:t>
      </w:r>
      <w:r w:rsidRPr="00B94642">
        <w:rPr>
          <w:rFonts w:ascii="Arial" w:hAnsi="Arial" w:cs="Arial"/>
          <w:i/>
          <w:sz w:val="18"/>
          <w:szCs w:val="18"/>
          <w:u w:val="double"/>
          <w:lang w:val="en-AU"/>
        </w:rPr>
        <w:t>s</w:t>
      </w:r>
      <w:r w:rsidRPr="00B94642">
        <w:rPr>
          <w:rFonts w:ascii="Arial" w:eastAsia="SimSun" w:hAnsi="Arial" w:cs="Arial"/>
          <w:i/>
          <w:sz w:val="18"/>
          <w:szCs w:val="18"/>
          <w:lang w:val="en-AU" w:eastAsia="zh-CN"/>
        </w:rPr>
        <w:t xml:space="preserve"> </w:t>
      </w:r>
      <w:r w:rsidRPr="00B94642">
        <w:rPr>
          <w:rFonts w:ascii="Arial" w:hAnsi="Arial" w:cs="Arial"/>
          <w:strike/>
          <w:color w:val="000000"/>
          <w:sz w:val="18"/>
          <w:szCs w:val="18"/>
        </w:rPr>
        <w:t>or moved within it</w:t>
      </w:r>
      <w:r w:rsidRPr="00B94642">
        <w:rPr>
          <w:rFonts w:ascii="Arial" w:hAnsi="Arial" w:cs="Arial"/>
          <w:color w:val="000000"/>
          <w:sz w:val="18"/>
          <w:szCs w:val="18"/>
        </w:rPr>
        <w:t xml:space="preserve">; for example, </w:t>
      </w:r>
      <w:r w:rsidRPr="00B94642">
        <w:rPr>
          <w:rFonts w:ascii="Arial" w:hAnsi="Arial" w:cs="Arial"/>
          <w:i/>
          <w:color w:val="000000"/>
          <w:sz w:val="18"/>
          <w:szCs w:val="18"/>
        </w:rPr>
        <w:t>aquatic animal products</w:t>
      </w:r>
      <w:r w:rsidRPr="00B94642">
        <w:rPr>
          <w:rFonts w:ascii="Arial" w:hAnsi="Arial" w:cs="Arial"/>
          <w:color w:val="000000"/>
          <w:sz w:val="18"/>
          <w:szCs w:val="18"/>
        </w:rPr>
        <w:t xml:space="preserve"> derived from </w:t>
      </w:r>
      <w:r w:rsidRPr="00B94642">
        <w:rPr>
          <w:rFonts w:ascii="Arial" w:hAnsi="Arial" w:cs="Arial"/>
          <w:i/>
          <w:color w:val="000000"/>
          <w:sz w:val="18"/>
          <w:szCs w:val="18"/>
        </w:rPr>
        <w:t>aquatic animals</w:t>
      </w:r>
      <w:r w:rsidRPr="00B94642">
        <w:rPr>
          <w:rFonts w:ascii="Arial" w:hAnsi="Arial" w:cs="Arial"/>
          <w:color w:val="000000"/>
          <w:sz w:val="18"/>
          <w:szCs w:val="18"/>
        </w:rPr>
        <w:t xml:space="preserve"> harvested at other sites. </w:t>
      </w:r>
      <w:r w:rsidRPr="00B94642">
        <w:rPr>
          <w:rFonts w:ascii="Arial" w:hAnsi="Arial" w:cs="Arial"/>
          <w:i/>
          <w:sz w:val="18"/>
          <w:szCs w:val="18"/>
          <w:lang w:eastAsia="fr-FR"/>
        </w:rPr>
        <w:t>Aquatic animal</w:t>
      </w:r>
      <w:r w:rsidRPr="00B94642">
        <w:rPr>
          <w:rFonts w:ascii="Arial" w:hAnsi="Arial" w:cs="Arial"/>
          <w:sz w:val="18"/>
          <w:szCs w:val="18"/>
          <w:lang w:eastAsia="fr-FR"/>
        </w:rPr>
        <w:t xml:space="preserve"> </w:t>
      </w:r>
      <w:r w:rsidRPr="00B94642">
        <w:rPr>
          <w:rFonts w:ascii="Arial" w:hAnsi="Arial" w:cs="Arial"/>
          <w:strike/>
          <w:sz w:val="18"/>
          <w:szCs w:val="18"/>
          <w:lang w:eastAsia="fr-FR"/>
        </w:rPr>
        <w:t>waste</w:t>
      </w:r>
      <w:r w:rsidRPr="00B94642">
        <w:rPr>
          <w:rFonts w:ascii="Arial" w:hAnsi="Arial" w:cs="Arial"/>
          <w:sz w:val="18"/>
          <w:szCs w:val="18"/>
          <w:lang w:eastAsia="fr-FR"/>
        </w:rPr>
        <w:t xml:space="preserve"> </w:t>
      </w:r>
      <w:r w:rsidRPr="00B94642">
        <w:rPr>
          <w:rFonts w:ascii="Arial" w:hAnsi="Arial" w:cs="Arial"/>
          <w:i/>
          <w:iCs/>
          <w:sz w:val="18"/>
          <w:szCs w:val="18"/>
          <w:u w:val="double"/>
          <w:lang w:eastAsia="fr-FR"/>
        </w:rPr>
        <w:t>waste</w:t>
      </w:r>
      <w:r w:rsidRPr="00B94642">
        <w:rPr>
          <w:rFonts w:ascii="Arial" w:hAnsi="Arial" w:cs="Arial"/>
          <w:sz w:val="18"/>
          <w:szCs w:val="18"/>
          <w:lang w:eastAsia="fr-FR"/>
        </w:rPr>
        <w:t xml:space="preserve"> may </w:t>
      </w:r>
      <w:r w:rsidRPr="00B94642">
        <w:rPr>
          <w:rFonts w:ascii="Arial" w:hAnsi="Arial" w:cs="Arial"/>
          <w:strike/>
          <w:sz w:val="18"/>
          <w:szCs w:val="18"/>
          <w:lang w:eastAsia="fr-FR"/>
        </w:rPr>
        <w:t>include the</w:t>
      </w:r>
      <w:r w:rsidRPr="00B94642">
        <w:rPr>
          <w:rFonts w:ascii="Arial" w:hAnsi="Arial" w:cs="Arial"/>
          <w:sz w:val="18"/>
          <w:szCs w:val="18"/>
          <w:lang w:eastAsia="fr-FR"/>
        </w:rPr>
        <w:t xml:space="preserve"> </w:t>
      </w:r>
      <w:r w:rsidRPr="00B94642">
        <w:rPr>
          <w:rFonts w:ascii="Arial" w:hAnsi="Arial" w:cs="Arial"/>
          <w:sz w:val="18"/>
          <w:szCs w:val="18"/>
          <w:u w:val="double"/>
          <w:lang w:eastAsia="fr-FR"/>
        </w:rPr>
        <w:t>be</w:t>
      </w:r>
      <w:r w:rsidRPr="00B94642">
        <w:rPr>
          <w:rFonts w:ascii="Arial" w:hAnsi="Arial" w:cs="Arial"/>
          <w:sz w:val="18"/>
          <w:szCs w:val="18"/>
          <w:lang w:eastAsia="fr-FR"/>
        </w:rPr>
        <w:t xml:space="preserve"> </w:t>
      </w:r>
      <w:r w:rsidRPr="00B94642">
        <w:rPr>
          <w:rFonts w:ascii="Arial" w:hAnsi="Arial" w:cs="Arial"/>
          <w:sz w:val="18"/>
          <w:szCs w:val="18"/>
          <w:u w:val="double"/>
          <w:lang w:eastAsia="fr-FR"/>
        </w:rPr>
        <w:t>generated</w:t>
      </w:r>
      <w:r w:rsidRPr="00B94642">
        <w:rPr>
          <w:rFonts w:ascii="Arial" w:hAnsi="Arial" w:cs="Arial"/>
          <w:sz w:val="18"/>
          <w:szCs w:val="18"/>
          <w:lang w:eastAsia="fr-FR"/>
        </w:rPr>
        <w:t xml:space="preserve"> </w:t>
      </w:r>
      <w:r w:rsidRPr="00B94642">
        <w:rPr>
          <w:rFonts w:ascii="Arial" w:hAnsi="Arial" w:cs="Arial"/>
          <w:strike/>
          <w:sz w:val="18"/>
          <w:szCs w:val="18"/>
          <w:lang w:eastAsia="fr-FR"/>
        </w:rPr>
        <w:t xml:space="preserve">entire body or parts </w:t>
      </w:r>
      <w:r w:rsidRPr="00B94642">
        <w:rPr>
          <w:rFonts w:ascii="Arial" w:hAnsi="Arial" w:cs="Arial"/>
          <w:strike/>
          <w:sz w:val="18"/>
          <w:szCs w:val="18"/>
          <w:highlight w:val="yellow"/>
          <w:lang w:eastAsia="fr-FR"/>
        </w:rPr>
        <w:t>of</w:t>
      </w:r>
      <w:r w:rsidRPr="00B94642">
        <w:rPr>
          <w:rFonts w:ascii="Arial" w:hAnsi="Arial" w:cs="Arial"/>
          <w:sz w:val="18"/>
          <w:szCs w:val="18"/>
          <w:lang w:eastAsia="fr-FR"/>
        </w:rPr>
        <w:t xml:space="preserve"> </w:t>
      </w:r>
      <w:r w:rsidRPr="00B94642">
        <w:rPr>
          <w:rFonts w:ascii="Arial" w:hAnsi="Arial" w:cs="Arial"/>
          <w:sz w:val="18"/>
          <w:szCs w:val="18"/>
          <w:u w:val="double"/>
          <w:lang w:eastAsia="fr-FR"/>
        </w:rPr>
        <w:t>when</w:t>
      </w:r>
      <w:r w:rsidRPr="00B94642">
        <w:rPr>
          <w:rFonts w:ascii="Arial" w:hAnsi="Arial" w:cs="Arial"/>
          <w:sz w:val="18"/>
          <w:szCs w:val="18"/>
          <w:lang w:eastAsia="fr-FR"/>
        </w:rPr>
        <w:t xml:space="preserve"> </w:t>
      </w:r>
      <w:r w:rsidRPr="00B94642">
        <w:rPr>
          <w:rFonts w:ascii="Arial" w:hAnsi="Arial" w:cs="Arial"/>
          <w:i/>
          <w:sz w:val="18"/>
          <w:szCs w:val="18"/>
          <w:lang w:eastAsia="fr-FR"/>
        </w:rPr>
        <w:t>aquatic animals</w:t>
      </w:r>
      <w:r w:rsidRPr="00B94642">
        <w:rPr>
          <w:rFonts w:ascii="Arial" w:hAnsi="Arial" w:cs="Arial"/>
          <w:sz w:val="18"/>
          <w:szCs w:val="18"/>
          <w:lang w:eastAsia="fr-FR"/>
        </w:rPr>
        <w:t xml:space="preserve"> </w:t>
      </w:r>
      <w:r w:rsidRPr="00B94642">
        <w:rPr>
          <w:rFonts w:ascii="Arial" w:hAnsi="Arial" w:cs="Arial"/>
          <w:strike/>
          <w:sz w:val="18"/>
          <w:szCs w:val="18"/>
          <w:lang w:eastAsia="fr-FR"/>
        </w:rPr>
        <w:t>that</w:t>
      </w:r>
      <w:r w:rsidRPr="00B94642">
        <w:rPr>
          <w:rFonts w:ascii="Arial" w:hAnsi="Arial" w:cs="Arial"/>
          <w:sz w:val="18"/>
          <w:szCs w:val="18"/>
          <w:lang w:eastAsia="fr-FR"/>
        </w:rPr>
        <w:t xml:space="preserve"> have died or been killed for </w:t>
      </w:r>
      <w:r w:rsidRPr="00B94642">
        <w:rPr>
          <w:rFonts w:ascii="Arial" w:hAnsi="Arial" w:cs="Arial"/>
          <w:i/>
          <w:sz w:val="18"/>
          <w:szCs w:val="18"/>
          <w:lang w:eastAsia="fr-FR"/>
        </w:rPr>
        <w:t>disease</w:t>
      </w:r>
      <w:r w:rsidRPr="00B94642">
        <w:rPr>
          <w:rFonts w:ascii="Arial" w:hAnsi="Arial" w:cs="Arial"/>
          <w:sz w:val="18"/>
          <w:szCs w:val="18"/>
          <w:lang w:eastAsia="fr-FR"/>
        </w:rPr>
        <w:t xml:space="preserve"> control purposes, </w:t>
      </w:r>
      <w:r w:rsidRPr="00B94642">
        <w:rPr>
          <w:rFonts w:ascii="Arial" w:hAnsi="Arial" w:cs="Arial"/>
          <w:strike/>
          <w:sz w:val="18"/>
          <w:szCs w:val="18"/>
          <w:lang w:eastAsia="fr-FR"/>
        </w:rPr>
        <w:t>as</w:t>
      </w:r>
      <w:r w:rsidRPr="00B94642">
        <w:rPr>
          <w:rFonts w:ascii="Arial" w:hAnsi="Arial" w:cs="Arial"/>
          <w:sz w:val="18"/>
          <w:szCs w:val="18"/>
          <w:lang w:eastAsia="fr-FR"/>
        </w:rPr>
        <w:t xml:space="preserve"> </w:t>
      </w:r>
      <w:r w:rsidRPr="00B94642">
        <w:rPr>
          <w:rFonts w:ascii="Arial" w:hAnsi="Arial" w:cs="Arial"/>
          <w:sz w:val="18"/>
          <w:szCs w:val="18"/>
          <w:u w:val="double"/>
          <w:lang w:eastAsia="fr-FR"/>
        </w:rPr>
        <w:t xml:space="preserve">or </w:t>
      </w:r>
      <w:r w:rsidRPr="00B94642">
        <w:rPr>
          <w:rFonts w:ascii="Arial" w:hAnsi="Arial" w:cs="Arial"/>
          <w:sz w:val="18"/>
          <w:szCs w:val="18"/>
          <w:highlight w:val="yellow"/>
          <w:u w:val="double"/>
          <w:lang w:eastAsia="fr-FR"/>
        </w:rPr>
        <w:t>when they</w:t>
      </w:r>
      <w:r w:rsidRPr="00B94642">
        <w:rPr>
          <w:rFonts w:ascii="Arial" w:hAnsi="Arial" w:cs="Arial"/>
          <w:sz w:val="18"/>
          <w:szCs w:val="18"/>
          <w:u w:val="double"/>
          <w:lang w:eastAsia="fr-FR"/>
        </w:rPr>
        <w:t xml:space="preserve"> </w:t>
      </w:r>
      <w:r w:rsidRPr="00B94642">
        <w:rPr>
          <w:rFonts w:ascii="Arial" w:hAnsi="Arial" w:cs="Arial"/>
          <w:strike/>
          <w:sz w:val="18"/>
          <w:szCs w:val="18"/>
          <w:highlight w:val="yellow"/>
          <w:u w:val="double"/>
          <w:lang w:eastAsia="fr-FR"/>
        </w:rPr>
        <w:t>through killing and processing of</w:t>
      </w:r>
      <w:r w:rsidRPr="00B94642">
        <w:rPr>
          <w:rFonts w:ascii="Arial" w:hAnsi="Arial" w:cs="Arial"/>
          <w:sz w:val="18"/>
          <w:szCs w:val="18"/>
          <w:u w:val="double"/>
          <w:lang w:eastAsia="fr-FR"/>
        </w:rPr>
        <w:t xml:space="preserve"> </w:t>
      </w:r>
      <w:r w:rsidR="00A7077C" w:rsidRPr="00685B5C">
        <w:rPr>
          <w:rFonts w:ascii="Arial" w:hAnsi="Arial" w:cs="Arial"/>
          <w:i/>
          <w:iCs/>
          <w:strike/>
          <w:sz w:val="18"/>
          <w:szCs w:val="18"/>
          <w:highlight w:val="yellow"/>
          <w:u w:val="double"/>
          <w:lang w:eastAsia="fr-FR"/>
        </w:rPr>
        <w:t>aquatic animals</w:t>
      </w:r>
      <w:r w:rsidR="00A7077C">
        <w:rPr>
          <w:rFonts w:ascii="Arial" w:hAnsi="Arial" w:cs="Arial"/>
          <w:i/>
          <w:iCs/>
          <w:sz w:val="18"/>
          <w:szCs w:val="18"/>
          <w:u w:val="double"/>
          <w:lang w:eastAsia="fr-FR"/>
        </w:rPr>
        <w:t xml:space="preserve"> </w:t>
      </w:r>
      <w:r w:rsidRPr="00B94642">
        <w:rPr>
          <w:rFonts w:ascii="Arial" w:hAnsi="Arial" w:cs="Arial"/>
          <w:sz w:val="18"/>
          <w:szCs w:val="18"/>
          <w:highlight w:val="yellow"/>
          <w:u w:val="double"/>
          <w:lang w:eastAsia="fr-FR"/>
        </w:rPr>
        <w:t>have been killed and processed</w:t>
      </w:r>
      <w:r w:rsidRPr="00B94642">
        <w:rPr>
          <w:rFonts w:ascii="Arial" w:hAnsi="Arial" w:cs="Arial"/>
          <w:sz w:val="18"/>
          <w:szCs w:val="18"/>
          <w:u w:val="double"/>
          <w:lang w:eastAsia="fr-FR"/>
        </w:rPr>
        <w:t xml:space="preserve"> </w:t>
      </w:r>
      <w:r w:rsidRPr="00B94642">
        <w:rPr>
          <w:rFonts w:ascii="Arial" w:hAnsi="Arial" w:cs="Arial"/>
          <w:strike/>
          <w:sz w:val="18"/>
          <w:szCs w:val="18"/>
          <w:lang w:eastAsia="fr-FR"/>
        </w:rPr>
        <w:t>and their parts, that are not intended</w:t>
      </w:r>
      <w:r w:rsidRPr="00B94642">
        <w:rPr>
          <w:rFonts w:ascii="Arial" w:hAnsi="Arial" w:cs="Arial"/>
          <w:sz w:val="18"/>
          <w:szCs w:val="18"/>
          <w:lang w:eastAsia="fr-FR"/>
        </w:rPr>
        <w:t xml:space="preserve"> for human consumption or</w:t>
      </w:r>
      <w:r w:rsidRPr="00B94642">
        <w:rPr>
          <w:rFonts w:ascii="Arial" w:hAnsi="Arial" w:cs="Arial"/>
          <w:sz w:val="18"/>
          <w:szCs w:val="18"/>
          <w:u w:val="double"/>
          <w:lang w:eastAsia="fr-FR"/>
        </w:rPr>
        <w:t xml:space="preserve"> other purposes</w:t>
      </w:r>
      <w:r w:rsidRPr="00B94642">
        <w:rPr>
          <w:rFonts w:ascii="Arial" w:hAnsi="Arial" w:cs="Arial"/>
          <w:sz w:val="18"/>
          <w:szCs w:val="18"/>
          <w:lang w:eastAsia="fr-FR"/>
        </w:rPr>
        <w:t xml:space="preserve">. </w:t>
      </w:r>
    </w:p>
    <w:bookmarkEnd w:id="61"/>
    <w:p w14:paraId="1C034228" w14:textId="77777777" w:rsidR="0094086E" w:rsidRPr="00B94642" w:rsidRDefault="0094086E" w:rsidP="0094086E">
      <w:pPr>
        <w:spacing w:after="240"/>
        <w:ind w:left="426"/>
        <w:jc w:val="both"/>
        <w:rPr>
          <w:rFonts w:ascii="Arial" w:hAnsi="Arial" w:cs="Arial"/>
          <w:color w:val="000000"/>
          <w:sz w:val="18"/>
          <w:szCs w:val="18"/>
          <w:u w:val="double"/>
        </w:rPr>
      </w:pPr>
      <w:r w:rsidRPr="00B94642">
        <w:rPr>
          <w:rFonts w:ascii="Arial" w:hAnsi="Arial" w:cs="Arial"/>
          <w:color w:val="000000"/>
          <w:sz w:val="18"/>
          <w:szCs w:val="18"/>
        </w:rPr>
        <w:t xml:space="preserve">Movement of </w:t>
      </w:r>
      <w:r w:rsidRPr="00B94642">
        <w:rPr>
          <w:rFonts w:ascii="Arial" w:hAnsi="Arial" w:cs="Arial"/>
          <w:i/>
          <w:color w:val="000000"/>
          <w:sz w:val="18"/>
          <w:szCs w:val="18"/>
        </w:rPr>
        <w:t xml:space="preserve">aquatic animal products </w:t>
      </w:r>
      <w:r w:rsidRPr="00B94642">
        <w:rPr>
          <w:rFonts w:ascii="Arial" w:hAnsi="Arial" w:cs="Arial"/>
          <w:color w:val="000000"/>
          <w:sz w:val="18"/>
          <w:szCs w:val="18"/>
        </w:rPr>
        <w:t xml:space="preserve">and </w:t>
      </w:r>
      <w:r w:rsidRPr="00B94642">
        <w:rPr>
          <w:rFonts w:ascii="Arial" w:hAnsi="Arial" w:cs="Arial"/>
          <w:i/>
          <w:color w:val="000000"/>
          <w:sz w:val="18"/>
          <w:szCs w:val="18"/>
        </w:rPr>
        <w:t xml:space="preserve">aquatic animal </w:t>
      </w:r>
      <w:r w:rsidRPr="00B94642">
        <w:rPr>
          <w:rFonts w:ascii="Arial" w:hAnsi="Arial" w:cs="Arial"/>
          <w:strike/>
          <w:sz w:val="18"/>
          <w:szCs w:val="18"/>
          <w:lang w:eastAsia="fr-FR"/>
        </w:rPr>
        <w:t>waste</w:t>
      </w:r>
      <w:r w:rsidRPr="00B94642">
        <w:rPr>
          <w:rFonts w:ascii="Arial" w:hAnsi="Arial" w:cs="Arial"/>
          <w:sz w:val="18"/>
          <w:szCs w:val="18"/>
          <w:lang w:eastAsia="fr-FR"/>
        </w:rPr>
        <w:t xml:space="preserve"> </w:t>
      </w:r>
      <w:r w:rsidRPr="00B94642">
        <w:rPr>
          <w:rFonts w:ascii="Arial" w:hAnsi="Arial" w:cs="Arial"/>
          <w:i/>
          <w:iCs/>
          <w:sz w:val="18"/>
          <w:szCs w:val="18"/>
          <w:u w:val="double"/>
          <w:lang w:eastAsia="fr-FR"/>
        </w:rPr>
        <w:t>waste</w:t>
      </w:r>
      <w:r w:rsidRPr="00B94642">
        <w:rPr>
          <w:rFonts w:ascii="Arial" w:hAnsi="Arial" w:cs="Arial"/>
          <w:color w:val="000000"/>
          <w:sz w:val="18"/>
          <w:szCs w:val="18"/>
        </w:rPr>
        <w:t xml:space="preserve"> into, within </w:t>
      </w:r>
      <w:r w:rsidRPr="00685B5C">
        <w:rPr>
          <w:rFonts w:ascii="Arial" w:hAnsi="Arial" w:cs="Arial"/>
          <w:strike/>
          <w:color w:val="000000"/>
          <w:sz w:val="18"/>
          <w:szCs w:val="18"/>
          <w:highlight w:val="yellow"/>
        </w:rPr>
        <w:t>and out of</w:t>
      </w:r>
      <w:r w:rsidRPr="00B94642">
        <w:rPr>
          <w:rFonts w:ascii="Arial" w:hAnsi="Arial" w:cs="Arial"/>
          <w:color w:val="000000"/>
          <w:sz w:val="18"/>
          <w:szCs w:val="18"/>
        </w:rPr>
        <w:t xml:space="preserve"> </w:t>
      </w:r>
      <w:r w:rsidRPr="00B94642">
        <w:rPr>
          <w:rFonts w:ascii="Arial" w:hAnsi="Arial" w:cs="Arial"/>
          <w:color w:val="000000"/>
          <w:sz w:val="18"/>
          <w:szCs w:val="18"/>
          <w:highlight w:val="yellow"/>
          <w:u w:val="double"/>
        </w:rPr>
        <w:t>or from</w:t>
      </w:r>
      <w:r w:rsidRPr="00B94642">
        <w:rPr>
          <w:rFonts w:ascii="Arial" w:hAnsi="Arial" w:cs="Arial"/>
          <w:color w:val="000000"/>
          <w:sz w:val="18"/>
          <w:szCs w:val="18"/>
        </w:rPr>
        <w:t xml:space="preserve"> </w:t>
      </w:r>
      <w:r w:rsidRPr="00B94642">
        <w:rPr>
          <w:rFonts w:ascii="Arial" w:hAnsi="Arial" w:cs="Arial"/>
          <w:i/>
          <w:color w:val="000000"/>
          <w:sz w:val="18"/>
          <w:szCs w:val="18"/>
        </w:rPr>
        <w:t>aquaculture establishments</w:t>
      </w:r>
      <w:r w:rsidRPr="00B94642">
        <w:rPr>
          <w:rFonts w:ascii="Arial" w:hAnsi="Arial" w:cs="Arial"/>
          <w:color w:val="000000"/>
          <w:sz w:val="18"/>
          <w:szCs w:val="18"/>
        </w:rPr>
        <w:t xml:space="preserve"> may pose a </w:t>
      </w:r>
      <w:r w:rsidRPr="00B94642">
        <w:rPr>
          <w:rFonts w:ascii="Arial" w:hAnsi="Arial" w:cs="Arial"/>
          <w:i/>
          <w:color w:val="000000"/>
          <w:sz w:val="18"/>
          <w:szCs w:val="18"/>
        </w:rPr>
        <w:t>risk</w:t>
      </w:r>
      <w:r w:rsidRPr="00B94642">
        <w:rPr>
          <w:rFonts w:ascii="Arial" w:hAnsi="Arial" w:cs="Arial"/>
          <w:color w:val="000000"/>
          <w:sz w:val="18"/>
          <w:szCs w:val="18"/>
        </w:rPr>
        <w:t xml:space="preserve"> of </w:t>
      </w:r>
      <w:r w:rsidRPr="00B94642">
        <w:rPr>
          <w:rFonts w:ascii="Arial" w:hAnsi="Arial" w:cs="Arial"/>
          <w:i/>
          <w:color w:val="000000"/>
          <w:sz w:val="18"/>
          <w:szCs w:val="18"/>
        </w:rPr>
        <w:t>pathogenic agent</w:t>
      </w:r>
      <w:r w:rsidRPr="00B94642">
        <w:rPr>
          <w:rFonts w:ascii="Arial" w:hAnsi="Arial" w:cs="Arial"/>
          <w:color w:val="000000"/>
          <w:sz w:val="18"/>
          <w:szCs w:val="18"/>
        </w:rPr>
        <w:t xml:space="preserve"> transmission. This is particularly the case when a susceptible population is exposed to </w:t>
      </w:r>
      <w:r w:rsidRPr="00B94642">
        <w:rPr>
          <w:rFonts w:ascii="Arial" w:hAnsi="Arial" w:cs="Arial"/>
          <w:i/>
          <w:color w:val="000000"/>
          <w:sz w:val="18"/>
          <w:szCs w:val="18"/>
        </w:rPr>
        <w:t xml:space="preserve">aquatic animal products </w:t>
      </w:r>
      <w:r w:rsidRPr="00B94642">
        <w:rPr>
          <w:rFonts w:ascii="Arial" w:hAnsi="Arial" w:cs="Arial"/>
          <w:color w:val="000000"/>
          <w:sz w:val="18"/>
          <w:szCs w:val="18"/>
        </w:rPr>
        <w:t xml:space="preserve">and </w:t>
      </w:r>
      <w:r w:rsidRPr="00B94642">
        <w:rPr>
          <w:rFonts w:ascii="Arial" w:hAnsi="Arial" w:cs="Arial"/>
          <w:i/>
          <w:color w:val="000000"/>
          <w:sz w:val="18"/>
          <w:szCs w:val="18"/>
        </w:rPr>
        <w:t xml:space="preserve">aquatic animal </w:t>
      </w:r>
      <w:r w:rsidRPr="00B94642">
        <w:rPr>
          <w:rFonts w:ascii="Arial" w:hAnsi="Arial" w:cs="Arial"/>
          <w:strike/>
          <w:sz w:val="18"/>
          <w:szCs w:val="18"/>
          <w:lang w:eastAsia="fr-FR"/>
        </w:rPr>
        <w:t>waste</w:t>
      </w:r>
      <w:r w:rsidRPr="00B94642">
        <w:rPr>
          <w:rFonts w:ascii="Arial" w:hAnsi="Arial" w:cs="Arial"/>
          <w:sz w:val="18"/>
          <w:szCs w:val="18"/>
          <w:lang w:eastAsia="fr-FR"/>
        </w:rPr>
        <w:t xml:space="preserve"> </w:t>
      </w:r>
      <w:r w:rsidRPr="00B94642">
        <w:rPr>
          <w:rFonts w:ascii="Arial" w:hAnsi="Arial" w:cs="Arial"/>
          <w:i/>
          <w:iCs/>
          <w:sz w:val="18"/>
          <w:szCs w:val="18"/>
          <w:u w:val="double"/>
          <w:lang w:eastAsia="fr-FR"/>
        </w:rPr>
        <w:t>waste</w:t>
      </w:r>
      <w:r w:rsidRPr="00B94642">
        <w:rPr>
          <w:rFonts w:ascii="Arial" w:hAnsi="Arial" w:cs="Arial"/>
          <w:color w:val="000000"/>
          <w:sz w:val="18"/>
          <w:szCs w:val="18"/>
        </w:rPr>
        <w:t xml:space="preserve"> derived from clinically or sub-clinically infected </w:t>
      </w:r>
      <w:r w:rsidRPr="00B94642">
        <w:rPr>
          <w:rFonts w:ascii="Arial" w:hAnsi="Arial" w:cs="Arial"/>
          <w:i/>
          <w:color w:val="000000"/>
          <w:sz w:val="18"/>
          <w:szCs w:val="18"/>
        </w:rPr>
        <w:t>aquatic animals</w:t>
      </w:r>
      <w:r w:rsidRPr="00B94642">
        <w:rPr>
          <w:rFonts w:ascii="Arial" w:hAnsi="Arial" w:cs="Arial"/>
          <w:color w:val="000000"/>
          <w:sz w:val="18"/>
          <w:szCs w:val="18"/>
        </w:rPr>
        <w:t xml:space="preserve">. </w:t>
      </w:r>
      <w:r w:rsidRPr="00B94642">
        <w:rPr>
          <w:rFonts w:ascii="Arial" w:hAnsi="Arial" w:cs="Arial"/>
          <w:strike/>
          <w:sz w:val="18"/>
          <w:szCs w:val="18"/>
          <w:highlight w:val="yellow"/>
          <w:u w:val="double"/>
          <w:lang w:eastAsia="fr-FR"/>
        </w:rPr>
        <w:t xml:space="preserve">High </w:t>
      </w:r>
      <w:r w:rsidRPr="00B94642">
        <w:rPr>
          <w:rFonts w:ascii="Arial" w:hAnsi="Arial" w:cs="Arial"/>
          <w:i/>
          <w:strike/>
          <w:sz w:val="18"/>
          <w:szCs w:val="18"/>
          <w:highlight w:val="yellow"/>
          <w:u w:val="double"/>
          <w:lang w:eastAsia="fr-FR"/>
        </w:rPr>
        <w:t>risk</w:t>
      </w:r>
      <w:r w:rsidRPr="00B94642">
        <w:rPr>
          <w:rFonts w:ascii="Arial" w:hAnsi="Arial" w:cs="Arial"/>
          <w:strike/>
          <w:sz w:val="18"/>
          <w:szCs w:val="18"/>
          <w:highlight w:val="yellow"/>
          <w:u w:val="double"/>
          <w:lang w:eastAsia="fr-FR"/>
        </w:rPr>
        <w:t xml:space="preserve"> waste includes </w:t>
      </w:r>
      <w:r w:rsidRPr="00B94642">
        <w:rPr>
          <w:rFonts w:ascii="Arial" w:hAnsi="Arial" w:cs="Arial"/>
          <w:i/>
          <w:strike/>
          <w:sz w:val="18"/>
          <w:szCs w:val="18"/>
          <w:highlight w:val="yellow"/>
          <w:u w:val="double"/>
          <w:lang w:eastAsia="fr-FR"/>
        </w:rPr>
        <w:t>aquatic animal</w:t>
      </w:r>
      <w:r w:rsidRPr="00B94642">
        <w:rPr>
          <w:rFonts w:ascii="Arial" w:hAnsi="Arial" w:cs="Arial"/>
          <w:strike/>
          <w:sz w:val="18"/>
          <w:szCs w:val="18"/>
          <w:highlight w:val="yellow"/>
          <w:u w:val="double"/>
          <w:lang w:eastAsia="fr-FR"/>
        </w:rPr>
        <w:t xml:space="preserve"> waste </w:t>
      </w:r>
      <w:r w:rsidRPr="00B94642">
        <w:rPr>
          <w:rFonts w:ascii="Arial" w:hAnsi="Arial" w:cs="Arial"/>
          <w:i/>
          <w:iCs/>
          <w:strike/>
          <w:sz w:val="18"/>
          <w:szCs w:val="18"/>
          <w:highlight w:val="yellow"/>
          <w:u w:val="double"/>
          <w:lang w:eastAsia="fr-FR"/>
        </w:rPr>
        <w:t>waste</w:t>
      </w:r>
      <w:r w:rsidRPr="00B94642">
        <w:rPr>
          <w:rFonts w:ascii="Arial" w:hAnsi="Arial" w:cs="Arial"/>
          <w:strike/>
          <w:sz w:val="18"/>
          <w:szCs w:val="18"/>
          <w:highlight w:val="yellow"/>
          <w:u w:val="double"/>
          <w:lang w:eastAsia="fr-FR"/>
        </w:rPr>
        <w:t xml:space="preserve"> that constitutes, or is suspected of constituting, a high significant health </w:t>
      </w:r>
      <w:r w:rsidRPr="00B94642">
        <w:rPr>
          <w:rFonts w:ascii="Arial" w:hAnsi="Arial" w:cs="Arial"/>
          <w:i/>
          <w:strike/>
          <w:sz w:val="18"/>
          <w:szCs w:val="18"/>
          <w:highlight w:val="yellow"/>
          <w:u w:val="double"/>
          <w:lang w:eastAsia="fr-FR"/>
        </w:rPr>
        <w:t>risk</w:t>
      </w:r>
      <w:r w:rsidRPr="00B94642">
        <w:rPr>
          <w:rFonts w:ascii="Arial" w:hAnsi="Arial" w:cs="Arial"/>
          <w:strike/>
          <w:sz w:val="18"/>
          <w:szCs w:val="18"/>
          <w:highlight w:val="yellow"/>
          <w:u w:val="double"/>
          <w:lang w:eastAsia="fr-FR"/>
        </w:rPr>
        <w:t xml:space="preserve"> to </w:t>
      </w:r>
      <w:r w:rsidRPr="00B94642">
        <w:rPr>
          <w:rFonts w:ascii="Arial" w:hAnsi="Arial" w:cs="Arial"/>
          <w:i/>
          <w:strike/>
          <w:sz w:val="18"/>
          <w:szCs w:val="18"/>
          <w:highlight w:val="yellow"/>
          <w:u w:val="double"/>
          <w:lang w:eastAsia="fr-FR"/>
        </w:rPr>
        <w:t>aquatic animals</w:t>
      </w:r>
      <w:r w:rsidRPr="00B94642">
        <w:rPr>
          <w:rFonts w:ascii="Arial" w:hAnsi="Arial" w:cs="Arial"/>
          <w:strike/>
          <w:sz w:val="18"/>
          <w:szCs w:val="18"/>
          <w:highlight w:val="yellow"/>
          <w:u w:val="double"/>
          <w:lang w:eastAsia="fr-FR"/>
        </w:rPr>
        <w:t>.</w:t>
      </w:r>
      <w:r w:rsidRPr="00B94642">
        <w:rPr>
          <w:rFonts w:ascii="Arial" w:hAnsi="Arial" w:cs="Arial"/>
          <w:sz w:val="18"/>
          <w:szCs w:val="18"/>
          <w:lang w:eastAsia="fr-FR"/>
        </w:rPr>
        <w:t xml:space="preserve"> </w:t>
      </w:r>
      <w:r w:rsidRPr="00B94642">
        <w:rPr>
          <w:rFonts w:ascii="Arial" w:hAnsi="Arial" w:cs="Arial"/>
          <w:sz w:val="18"/>
          <w:szCs w:val="18"/>
          <w:u w:val="double"/>
          <w:lang w:eastAsia="fr-FR"/>
        </w:rPr>
        <w:t xml:space="preserve">Movement of </w:t>
      </w:r>
      <w:r w:rsidRPr="00B94642">
        <w:rPr>
          <w:rFonts w:ascii="Arial" w:hAnsi="Arial" w:cs="Arial"/>
          <w:i/>
          <w:iCs/>
          <w:sz w:val="18"/>
          <w:szCs w:val="18"/>
          <w:u w:val="double"/>
          <w:lang w:eastAsia="fr-FR"/>
        </w:rPr>
        <w:t>aquatic animal</w:t>
      </w:r>
      <w:r w:rsidRPr="00B94642">
        <w:rPr>
          <w:rFonts w:ascii="Arial" w:hAnsi="Arial" w:cs="Arial"/>
          <w:sz w:val="18"/>
          <w:szCs w:val="18"/>
          <w:u w:val="double"/>
          <w:lang w:eastAsia="fr-FR"/>
        </w:rPr>
        <w:t xml:space="preserve"> </w:t>
      </w:r>
      <w:r w:rsidRPr="00B94642">
        <w:rPr>
          <w:rFonts w:ascii="Arial" w:hAnsi="Arial" w:cs="Arial"/>
          <w:i/>
          <w:iCs/>
          <w:sz w:val="18"/>
          <w:szCs w:val="18"/>
          <w:u w:val="double"/>
          <w:lang w:eastAsia="fr-FR"/>
        </w:rPr>
        <w:t>waste</w:t>
      </w:r>
      <w:r w:rsidRPr="00B94642">
        <w:rPr>
          <w:rFonts w:ascii="Arial" w:hAnsi="Arial" w:cs="Arial"/>
          <w:color w:val="000000"/>
          <w:sz w:val="18"/>
          <w:szCs w:val="18"/>
        </w:rPr>
        <w:t xml:space="preserve"> </w:t>
      </w:r>
      <w:r w:rsidRPr="00B94642">
        <w:rPr>
          <w:rFonts w:ascii="Arial" w:hAnsi="Arial" w:cs="Arial"/>
          <w:sz w:val="18"/>
          <w:szCs w:val="18"/>
          <w:u w:val="double"/>
          <w:lang w:eastAsia="fr-FR"/>
        </w:rPr>
        <w:t xml:space="preserve">into </w:t>
      </w:r>
      <w:r w:rsidRPr="00B94642">
        <w:rPr>
          <w:rFonts w:ascii="Arial" w:hAnsi="Arial" w:cs="Arial"/>
          <w:i/>
          <w:iCs/>
          <w:sz w:val="18"/>
          <w:szCs w:val="18"/>
          <w:u w:val="double"/>
          <w:lang w:eastAsia="fr-FR"/>
        </w:rPr>
        <w:t>aquaculture establishments</w:t>
      </w:r>
      <w:r w:rsidRPr="00B94642">
        <w:rPr>
          <w:rFonts w:ascii="Arial" w:hAnsi="Arial" w:cs="Arial"/>
          <w:sz w:val="18"/>
          <w:szCs w:val="18"/>
          <w:u w:val="double"/>
          <w:lang w:eastAsia="fr-FR"/>
        </w:rPr>
        <w:t xml:space="preserve"> should be avoided where possible. Waste should be stored, transported, disposed of and treated following the guidance in Chapter 4.7. Handling, disposal and treatment of </w:t>
      </w:r>
      <w:r w:rsidRPr="00685B5C">
        <w:rPr>
          <w:rFonts w:ascii="Arial" w:hAnsi="Arial" w:cs="Arial"/>
          <w:i/>
          <w:iCs/>
          <w:sz w:val="18"/>
          <w:szCs w:val="18"/>
          <w:u w:val="double"/>
          <w:lang w:eastAsia="fr-FR"/>
        </w:rPr>
        <w:t>aquatic animal waste</w:t>
      </w:r>
      <w:r w:rsidRPr="00B94642">
        <w:rPr>
          <w:rFonts w:ascii="Arial" w:hAnsi="Arial" w:cs="Arial"/>
          <w:sz w:val="18"/>
          <w:szCs w:val="18"/>
          <w:u w:val="double"/>
          <w:lang w:eastAsia="fr-FR"/>
        </w:rPr>
        <w:t xml:space="preserve">. </w:t>
      </w:r>
    </w:p>
    <w:p w14:paraId="440DC1BC" w14:textId="77777777" w:rsidR="0094086E" w:rsidRPr="00B94642" w:rsidRDefault="0094086E" w:rsidP="0094086E">
      <w:pPr>
        <w:spacing w:after="240"/>
        <w:ind w:left="426"/>
        <w:jc w:val="both"/>
        <w:rPr>
          <w:rFonts w:ascii="Arial" w:hAnsi="Arial" w:cs="Arial"/>
          <w:color w:val="000000"/>
          <w:sz w:val="18"/>
          <w:szCs w:val="18"/>
        </w:rPr>
      </w:pPr>
      <w:r w:rsidRPr="00B94642">
        <w:rPr>
          <w:rFonts w:ascii="Arial" w:hAnsi="Arial" w:cs="Arial"/>
          <w:color w:val="000000"/>
          <w:sz w:val="18"/>
          <w:szCs w:val="18"/>
        </w:rPr>
        <w:t xml:space="preserve">For intentional movements of </w:t>
      </w:r>
      <w:r w:rsidRPr="00B94642">
        <w:rPr>
          <w:rFonts w:ascii="Arial" w:hAnsi="Arial" w:cs="Arial"/>
          <w:i/>
          <w:color w:val="000000"/>
          <w:sz w:val="18"/>
          <w:szCs w:val="18"/>
        </w:rPr>
        <w:t xml:space="preserve">aquatic animal products </w:t>
      </w:r>
      <w:r w:rsidRPr="00B94642">
        <w:rPr>
          <w:rFonts w:ascii="Arial" w:hAnsi="Arial" w:cs="Arial"/>
          <w:color w:val="000000"/>
          <w:sz w:val="18"/>
          <w:szCs w:val="18"/>
        </w:rPr>
        <w:t xml:space="preserve">and </w:t>
      </w:r>
      <w:r w:rsidRPr="00B94642">
        <w:rPr>
          <w:rFonts w:ascii="Arial" w:hAnsi="Arial" w:cs="Arial"/>
          <w:i/>
          <w:color w:val="000000"/>
          <w:sz w:val="18"/>
          <w:szCs w:val="18"/>
        </w:rPr>
        <w:t>aquatic animal</w:t>
      </w:r>
      <w:r w:rsidRPr="00B94642">
        <w:rPr>
          <w:rFonts w:ascii="Arial" w:hAnsi="Arial" w:cs="Arial"/>
          <w:color w:val="000000"/>
          <w:sz w:val="18"/>
          <w:szCs w:val="18"/>
        </w:rPr>
        <w:t xml:space="preserve"> </w:t>
      </w:r>
      <w:r w:rsidRPr="00B94642">
        <w:rPr>
          <w:rFonts w:ascii="Arial" w:hAnsi="Arial" w:cs="Arial"/>
          <w:strike/>
          <w:sz w:val="18"/>
          <w:szCs w:val="18"/>
          <w:lang w:eastAsia="fr-FR"/>
        </w:rPr>
        <w:t>waste</w:t>
      </w:r>
      <w:r w:rsidRPr="00B94642">
        <w:rPr>
          <w:rFonts w:ascii="Arial" w:hAnsi="Arial" w:cs="Arial"/>
          <w:sz w:val="18"/>
          <w:szCs w:val="18"/>
          <w:lang w:eastAsia="fr-FR"/>
        </w:rPr>
        <w:t xml:space="preserve"> </w:t>
      </w:r>
      <w:r w:rsidRPr="00B94642">
        <w:rPr>
          <w:rFonts w:ascii="Arial" w:hAnsi="Arial" w:cs="Arial"/>
          <w:i/>
          <w:iCs/>
          <w:sz w:val="18"/>
          <w:szCs w:val="18"/>
          <w:u w:val="double"/>
          <w:lang w:eastAsia="fr-FR"/>
        </w:rPr>
        <w:t>waste</w:t>
      </w:r>
      <w:r w:rsidRPr="00B94642">
        <w:rPr>
          <w:rFonts w:ascii="Arial" w:hAnsi="Arial" w:cs="Arial"/>
          <w:color w:val="000000"/>
          <w:sz w:val="18"/>
          <w:szCs w:val="18"/>
        </w:rPr>
        <w:t xml:space="preserve">, the likelihood of presence of </w:t>
      </w:r>
      <w:r w:rsidRPr="00B94642">
        <w:rPr>
          <w:rFonts w:ascii="Arial" w:hAnsi="Arial" w:cs="Arial"/>
          <w:i/>
          <w:color w:val="000000"/>
          <w:sz w:val="18"/>
          <w:szCs w:val="18"/>
        </w:rPr>
        <w:t xml:space="preserve">pathogenic agents </w:t>
      </w:r>
      <w:r w:rsidRPr="00B94642">
        <w:rPr>
          <w:rFonts w:ascii="Arial" w:hAnsi="Arial" w:cs="Arial"/>
          <w:color w:val="000000"/>
          <w:sz w:val="18"/>
          <w:szCs w:val="18"/>
        </w:rPr>
        <w:t>in</w:t>
      </w:r>
      <w:r w:rsidRPr="00B94642">
        <w:rPr>
          <w:rFonts w:ascii="Arial" w:eastAsia="SimSun" w:hAnsi="Arial" w:cs="Arial"/>
          <w:color w:val="000000"/>
          <w:sz w:val="18"/>
          <w:szCs w:val="18"/>
          <w:lang w:eastAsia="zh-CN"/>
        </w:rPr>
        <w:t xml:space="preserve"> </w:t>
      </w:r>
      <w:r w:rsidRPr="00B94642">
        <w:rPr>
          <w:rFonts w:ascii="Arial" w:hAnsi="Arial" w:cs="Arial"/>
          <w:color w:val="000000"/>
          <w:sz w:val="18"/>
          <w:szCs w:val="18"/>
        </w:rPr>
        <w:t xml:space="preserve">the </w:t>
      </w:r>
      <w:r w:rsidRPr="00B94642">
        <w:rPr>
          <w:rFonts w:ascii="Arial" w:hAnsi="Arial" w:cs="Arial"/>
          <w:i/>
          <w:color w:val="000000"/>
          <w:sz w:val="18"/>
          <w:szCs w:val="18"/>
        </w:rPr>
        <w:t xml:space="preserve">aquatic animals </w:t>
      </w:r>
      <w:r w:rsidRPr="00B94642">
        <w:rPr>
          <w:rFonts w:ascii="Arial" w:hAnsi="Arial" w:cs="Arial"/>
          <w:color w:val="000000"/>
          <w:sz w:val="18"/>
          <w:szCs w:val="18"/>
        </w:rPr>
        <w:t xml:space="preserve">from which </w:t>
      </w:r>
      <w:r w:rsidRPr="00B94642">
        <w:rPr>
          <w:rFonts w:ascii="Arial" w:hAnsi="Arial" w:cs="Arial"/>
          <w:strike/>
          <w:color w:val="000000"/>
          <w:sz w:val="18"/>
          <w:szCs w:val="18"/>
        </w:rPr>
        <w:t>products</w:t>
      </w:r>
      <w:r w:rsidRPr="00B94642">
        <w:rPr>
          <w:rFonts w:ascii="Arial" w:hAnsi="Arial" w:cs="Arial"/>
          <w:color w:val="000000"/>
          <w:sz w:val="18"/>
          <w:szCs w:val="18"/>
        </w:rPr>
        <w:t xml:space="preserve"> </w:t>
      </w:r>
      <w:r w:rsidRPr="00B94642">
        <w:rPr>
          <w:rFonts w:ascii="Arial" w:hAnsi="Arial" w:cs="Arial"/>
          <w:i/>
          <w:iCs/>
          <w:color w:val="000000"/>
          <w:sz w:val="18"/>
          <w:szCs w:val="18"/>
          <w:u w:val="double"/>
        </w:rPr>
        <w:t>aquatic animal products</w:t>
      </w:r>
      <w:r w:rsidRPr="00B94642">
        <w:rPr>
          <w:rFonts w:ascii="Arial" w:hAnsi="Arial" w:cs="Arial"/>
          <w:color w:val="000000"/>
          <w:sz w:val="18"/>
          <w:szCs w:val="18"/>
        </w:rPr>
        <w:t xml:space="preserve"> and waste are derived should be evaluated giving consideration to the species, source, and health status. </w:t>
      </w:r>
    </w:p>
    <w:p w14:paraId="5ECE34E4" w14:textId="77777777" w:rsidR="0094086E" w:rsidRPr="00B94642" w:rsidRDefault="0094086E" w:rsidP="0094086E">
      <w:pPr>
        <w:spacing w:after="240"/>
        <w:ind w:left="426"/>
        <w:jc w:val="both"/>
        <w:rPr>
          <w:rFonts w:ascii="Arial" w:hAnsi="Arial" w:cs="Arial"/>
          <w:color w:val="000000"/>
          <w:sz w:val="18"/>
          <w:szCs w:val="18"/>
        </w:rPr>
      </w:pPr>
      <w:r w:rsidRPr="00B94642">
        <w:rPr>
          <w:rFonts w:ascii="Arial" w:hAnsi="Arial" w:cs="Arial"/>
          <w:color w:val="000000"/>
          <w:sz w:val="18"/>
          <w:szCs w:val="18"/>
        </w:rPr>
        <w:t xml:space="preserve">The </w:t>
      </w:r>
      <w:r w:rsidRPr="00B94642">
        <w:rPr>
          <w:rFonts w:ascii="Arial" w:hAnsi="Arial" w:cs="Arial"/>
          <w:i/>
          <w:color w:val="000000"/>
          <w:sz w:val="18"/>
          <w:szCs w:val="18"/>
        </w:rPr>
        <w:t>risk</w:t>
      </w:r>
      <w:r w:rsidRPr="00B94642">
        <w:rPr>
          <w:rFonts w:ascii="Arial" w:hAnsi="Arial" w:cs="Arial"/>
          <w:color w:val="000000"/>
          <w:sz w:val="18"/>
          <w:szCs w:val="18"/>
        </w:rPr>
        <w:t xml:space="preserve"> of transmitting </w:t>
      </w:r>
      <w:r w:rsidRPr="00B94642">
        <w:rPr>
          <w:rFonts w:ascii="Arial" w:hAnsi="Arial" w:cs="Arial"/>
          <w:i/>
          <w:color w:val="000000"/>
          <w:sz w:val="18"/>
          <w:szCs w:val="18"/>
        </w:rPr>
        <w:t>pathogenic agents</w:t>
      </w:r>
      <w:r w:rsidRPr="00B94642">
        <w:rPr>
          <w:rFonts w:ascii="Arial" w:hAnsi="Arial" w:cs="Arial"/>
          <w:color w:val="000000"/>
          <w:sz w:val="18"/>
          <w:szCs w:val="18"/>
        </w:rPr>
        <w:t xml:space="preserve"> via </w:t>
      </w:r>
      <w:r w:rsidRPr="00B94642">
        <w:rPr>
          <w:rFonts w:ascii="Arial" w:hAnsi="Arial" w:cs="Arial"/>
          <w:i/>
          <w:color w:val="000000"/>
          <w:sz w:val="18"/>
          <w:szCs w:val="18"/>
        </w:rPr>
        <w:t>aquatic animal products</w:t>
      </w:r>
      <w:r w:rsidRPr="00B94642">
        <w:rPr>
          <w:rFonts w:ascii="Arial" w:hAnsi="Arial" w:cs="Arial"/>
          <w:color w:val="000000"/>
          <w:sz w:val="18"/>
          <w:szCs w:val="18"/>
        </w:rPr>
        <w:t xml:space="preserve"> and </w:t>
      </w:r>
      <w:r w:rsidRPr="00B94642">
        <w:rPr>
          <w:rFonts w:ascii="Arial" w:hAnsi="Arial" w:cs="Arial"/>
          <w:i/>
          <w:color w:val="000000"/>
          <w:sz w:val="18"/>
          <w:szCs w:val="18"/>
        </w:rPr>
        <w:t>aquatic animal</w:t>
      </w:r>
      <w:r w:rsidRPr="00B94642">
        <w:rPr>
          <w:rFonts w:ascii="Arial" w:hAnsi="Arial" w:cs="Arial"/>
          <w:color w:val="000000"/>
          <w:sz w:val="18"/>
          <w:szCs w:val="18"/>
        </w:rPr>
        <w:t xml:space="preserve"> </w:t>
      </w:r>
      <w:r w:rsidRPr="00B94642">
        <w:rPr>
          <w:rFonts w:ascii="Arial" w:hAnsi="Arial" w:cs="Arial"/>
          <w:strike/>
          <w:sz w:val="18"/>
          <w:szCs w:val="18"/>
          <w:lang w:eastAsia="fr-FR"/>
        </w:rPr>
        <w:t>waste</w:t>
      </w:r>
      <w:r w:rsidRPr="00B94642">
        <w:rPr>
          <w:rFonts w:ascii="Arial" w:hAnsi="Arial" w:cs="Arial"/>
          <w:sz w:val="18"/>
          <w:szCs w:val="18"/>
          <w:lang w:eastAsia="fr-FR"/>
        </w:rPr>
        <w:t xml:space="preserve"> </w:t>
      </w:r>
      <w:r w:rsidRPr="00B94642">
        <w:rPr>
          <w:rFonts w:ascii="Arial" w:hAnsi="Arial" w:cs="Arial"/>
          <w:i/>
          <w:iCs/>
          <w:sz w:val="18"/>
          <w:szCs w:val="18"/>
          <w:u w:val="double"/>
          <w:lang w:eastAsia="fr-FR"/>
        </w:rPr>
        <w:t>waste</w:t>
      </w:r>
      <w:r w:rsidRPr="00B94642">
        <w:rPr>
          <w:rFonts w:ascii="Arial" w:hAnsi="Arial" w:cs="Arial"/>
          <w:color w:val="000000"/>
          <w:sz w:val="18"/>
          <w:szCs w:val="18"/>
        </w:rPr>
        <w:t xml:space="preserve"> </w:t>
      </w:r>
      <w:r w:rsidRPr="00B94642">
        <w:rPr>
          <w:rFonts w:ascii="Arial" w:hAnsi="Arial" w:cs="Arial"/>
          <w:sz w:val="18"/>
          <w:szCs w:val="18"/>
          <w:u w:val="double"/>
          <w:lang w:val="en-CA"/>
        </w:rPr>
        <w:t xml:space="preserve">should be </w:t>
      </w:r>
      <w:r w:rsidRPr="00B94642">
        <w:rPr>
          <w:rFonts w:ascii="Arial" w:hAnsi="Arial" w:cs="Arial"/>
          <w:sz w:val="18"/>
          <w:szCs w:val="18"/>
          <w:highlight w:val="yellow"/>
          <w:u w:val="double"/>
          <w:lang w:val="en-CA"/>
        </w:rPr>
        <w:t>assessed and</w:t>
      </w:r>
      <w:r w:rsidRPr="00B94642">
        <w:rPr>
          <w:rFonts w:ascii="Arial" w:hAnsi="Arial" w:cs="Arial"/>
          <w:sz w:val="18"/>
          <w:szCs w:val="18"/>
          <w:u w:val="double"/>
          <w:lang w:val="en-CA"/>
        </w:rPr>
        <w:t xml:space="preserve"> managed</w:t>
      </w:r>
      <w:r w:rsidRPr="00B94642">
        <w:rPr>
          <w:rFonts w:ascii="Arial" w:hAnsi="Arial" w:cs="Arial"/>
          <w:strike/>
          <w:sz w:val="18"/>
          <w:szCs w:val="18"/>
          <w:u w:val="double"/>
          <w:lang w:val="en-CA"/>
        </w:rPr>
        <w:t>; possible mitigation measures</w:t>
      </w:r>
      <w:r w:rsidRPr="00B94642">
        <w:rPr>
          <w:rFonts w:ascii="Arial" w:hAnsi="Arial" w:cs="Arial"/>
          <w:sz w:val="18"/>
          <w:szCs w:val="18"/>
          <w:u w:val="double"/>
          <w:lang w:val="en-CA"/>
        </w:rPr>
        <w:t xml:space="preserve"> </w:t>
      </w:r>
      <w:r w:rsidRPr="00B94642">
        <w:rPr>
          <w:rFonts w:ascii="Arial" w:hAnsi="Arial" w:cs="Arial"/>
          <w:strike/>
          <w:sz w:val="18"/>
          <w:szCs w:val="18"/>
          <w:u w:val="double"/>
          <w:lang w:val="en-CA"/>
        </w:rPr>
        <w:t>include the</w:t>
      </w:r>
      <w:r w:rsidRPr="00B94642">
        <w:rPr>
          <w:rFonts w:ascii="Arial" w:hAnsi="Arial" w:cs="Arial"/>
          <w:sz w:val="18"/>
          <w:szCs w:val="18"/>
          <w:u w:val="double"/>
          <w:lang w:val="en-CA"/>
        </w:rPr>
        <w:t xml:space="preserve"> giving consideration to the following mitigation measures</w:t>
      </w:r>
      <w:r w:rsidRPr="00B94642">
        <w:rPr>
          <w:rFonts w:ascii="Arial" w:hAnsi="Arial" w:cs="Arial"/>
          <w:color w:val="000000"/>
          <w:sz w:val="18"/>
          <w:szCs w:val="18"/>
        </w:rPr>
        <w:t xml:space="preserve"> </w:t>
      </w:r>
      <w:r w:rsidRPr="00B94642">
        <w:rPr>
          <w:rFonts w:ascii="Arial" w:hAnsi="Arial" w:cs="Arial"/>
          <w:strike/>
          <w:color w:val="000000"/>
          <w:sz w:val="18"/>
          <w:szCs w:val="18"/>
        </w:rPr>
        <w:t>can be managed by</w:t>
      </w:r>
      <w:r w:rsidRPr="00B94642">
        <w:rPr>
          <w:rFonts w:ascii="Arial" w:hAnsi="Arial" w:cs="Arial"/>
          <w:color w:val="000000"/>
          <w:sz w:val="18"/>
          <w:szCs w:val="18"/>
        </w:rPr>
        <w:t>:</w:t>
      </w:r>
    </w:p>
    <w:p w14:paraId="27D008BD" w14:textId="26496C1D" w:rsidR="0094086E" w:rsidRPr="00B94642" w:rsidRDefault="0094086E" w:rsidP="0094086E">
      <w:pPr>
        <w:autoSpaceDE w:val="0"/>
        <w:autoSpaceDN w:val="0"/>
        <w:adjustRightInd w:val="0"/>
        <w:spacing w:after="240"/>
        <w:ind w:left="851" w:hanging="425"/>
        <w:jc w:val="both"/>
        <w:rPr>
          <w:rFonts w:ascii="Arial" w:hAnsi="Arial" w:cs="Arial"/>
          <w:sz w:val="18"/>
          <w:szCs w:val="18"/>
          <w:lang w:val="en-AU"/>
        </w:rPr>
      </w:pPr>
      <w:r w:rsidRPr="00B94642">
        <w:rPr>
          <w:rFonts w:ascii="Arial" w:hAnsi="Arial" w:cs="Arial"/>
          <w:i/>
          <w:sz w:val="18"/>
          <w:szCs w:val="18"/>
          <w:lang w:val="en-AU"/>
        </w:rPr>
        <w:t>a)</w:t>
      </w:r>
      <w:r w:rsidRPr="00B94642">
        <w:rPr>
          <w:rFonts w:ascii="Arial" w:hAnsi="Arial" w:cs="Arial"/>
          <w:sz w:val="18"/>
          <w:szCs w:val="18"/>
          <w:lang w:val="en-AU"/>
        </w:rPr>
        <w:tab/>
      </w:r>
      <w:r w:rsidRPr="00B94642">
        <w:rPr>
          <w:rFonts w:ascii="Arial" w:hAnsi="Arial" w:cs="Arial"/>
          <w:strike/>
          <w:sz w:val="18"/>
          <w:szCs w:val="18"/>
          <w:highlight w:val="yellow"/>
          <w:u w:val="double"/>
          <w:lang w:val="en-AU"/>
        </w:rPr>
        <w:t>determining</w:t>
      </w:r>
      <w:r w:rsidR="00E84976" w:rsidRPr="00B94642">
        <w:rPr>
          <w:rFonts w:ascii="Arial" w:hAnsi="Arial" w:cs="Arial"/>
          <w:sz w:val="18"/>
          <w:szCs w:val="18"/>
          <w:u w:val="double"/>
          <w:lang w:val="en-AU"/>
        </w:rPr>
        <w:t xml:space="preserve"> </w:t>
      </w:r>
      <w:r w:rsidR="00E84976" w:rsidRPr="00B94642">
        <w:rPr>
          <w:rFonts w:ascii="Arial" w:hAnsi="Arial" w:cs="Arial"/>
          <w:sz w:val="18"/>
          <w:szCs w:val="18"/>
          <w:highlight w:val="yellow"/>
          <w:u w:val="double"/>
          <w:lang w:val="en-AU"/>
        </w:rPr>
        <w:t>Determine</w:t>
      </w:r>
      <w:r w:rsidRPr="00B94642">
        <w:rPr>
          <w:rFonts w:ascii="Arial" w:hAnsi="Arial" w:cs="Arial"/>
          <w:sz w:val="18"/>
          <w:szCs w:val="18"/>
          <w:lang w:val="en-AU"/>
        </w:rPr>
        <w:t xml:space="preserve"> the potential </w:t>
      </w:r>
      <w:r w:rsidRPr="00B94642">
        <w:rPr>
          <w:rFonts w:ascii="Arial" w:hAnsi="Arial" w:cs="Arial"/>
          <w:i/>
          <w:sz w:val="18"/>
          <w:szCs w:val="18"/>
          <w:lang w:val="en-AU"/>
        </w:rPr>
        <w:t>disease</w:t>
      </w:r>
      <w:r w:rsidRPr="00B94642">
        <w:rPr>
          <w:rFonts w:ascii="Arial" w:eastAsia="SimSun" w:hAnsi="Arial" w:cs="Arial"/>
          <w:i/>
          <w:sz w:val="18"/>
          <w:szCs w:val="18"/>
          <w:lang w:val="en-AU" w:eastAsia="zh-CN"/>
        </w:rPr>
        <w:t xml:space="preserve"> </w:t>
      </w:r>
      <w:r w:rsidRPr="00B94642">
        <w:rPr>
          <w:rFonts w:ascii="Arial" w:hAnsi="Arial" w:cs="Arial"/>
          <w:i/>
          <w:sz w:val="18"/>
          <w:szCs w:val="18"/>
          <w:lang w:val="en-AU"/>
        </w:rPr>
        <w:t>risk</w:t>
      </w:r>
      <w:r w:rsidRPr="00B94642">
        <w:rPr>
          <w:rFonts w:ascii="Arial" w:hAnsi="Arial" w:cs="Arial"/>
          <w:sz w:val="18"/>
          <w:szCs w:val="18"/>
          <w:lang w:val="en-AU"/>
        </w:rPr>
        <w:t xml:space="preserve"> of </w:t>
      </w:r>
      <w:r w:rsidRPr="00B94642">
        <w:rPr>
          <w:rFonts w:ascii="Arial" w:hAnsi="Arial" w:cs="Arial"/>
          <w:i/>
          <w:sz w:val="18"/>
          <w:szCs w:val="18"/>
          <w:lang w:val="en-AU"/>
        </w:rPr>
        <w:t>aquatic animal products</w:t>
      </w:r>
      <w:r w:rsidRPr="00B94642">
        <w:rPr>
          <w:rFonts w:ascii="Arial" w:hAnsi="Arial" w:cs="Arial"/>
          <w:sz w:val="18"/>
          <w:szCs w:val="18"/>
          <w:lang w:val="en-AU"/>
        </w:rPr>
        <w:t xml:space="preserve"> and </w:t>
      </w:r>
      <w:r w:rsidRPr="00B94642">
        <w:rPr>
          <w:rFonts w:ascii="Arial" w:hAnsi="Arial" w:cs="Arial"/>
          <w:i/>
          <w:sz w:val="18"/>
          <w:szCs w:val="18"/>
          <w:u w:val="double"/>
          <w:lang w:val="en-AU"/>
        </w:rPr>
        <w:t xml:space="preserve">aquatic animal </w:t>
      </w:r>
      <w:r w:rsidRPr="00B94642">
        <w:rPr>
          <w:rFonts w:ascii="Arial" w:hAnsi="Arial" w:cs="Arial"/>
          <w:i/>
          <w:iCs/>
          <w:sz w:val="18"/>
          <w:szCs w:val="18"/>
          <w:u w:val="double"/>
          <w:lang w:val="en-AU"/>
        </w:rPr>
        <w:t>waste</w:t>
      </w:r>
      <w:r w:rsidRPr="00B94642">
        <w:rPr>
          <w:rFonts w:ascii="Arial" w:hAnsi="Arial" w:cs="Arial"/>
          <w:sz w:val="18"/>
          <w:szCs w:val="18"/>
          <w:lang w:val="en-AU"/>
        </w:rPr>
        <w:t xml:space="preserve"> to </w:t>
      </w:r>
      <w:r w:rsidRPr="00B94642">
        <w:rPr>
          <w:rFonts w:ascii="Arial" w:hAnsi="Arial" w:cs="Arial"/>
          <w:i/>
          <w:iCs/>
          <w:sz w:val="18"/>
          <w:szCs w:val="18"/>
          <w:highlight w:val="yellow"/>
          <w:u w:val="double"/>
          <w:lang w:val="en-AU"/>
        </w:rPr>
        <w:t>aquatic animals</w:t>
      </w:r>
      <w:r w:rsidRPr="00B94642">
        <w:rPr>
          <w:rFonts w:ascii="Arial" w:hAnsi="Arial" w:cs="Arial"/>
          <w:sz w:val="18"/>
          <w:szCs w:val="18"/>
          <w:highlight w:val="yellow"/>
          <w:lang w:val="en-AU"/>
        </w:rPr>
        <w:t xml:space="preserve"> </w:t>
      </w:r>
      <w:r w:rsidRPr="00B94642">
        <w:rPr>
          <w:rFonts w:ascii="Arial" w:hAnsi="Arial" w:cs="Arial"/>
          <w:sz w:val="18"/>
          <w:szCs w:val="18"/>
          <w:highlight w:val="yellow"/>
          <w:u w:val="double"/>
          <w:lang w:val="en-AU"/>
        </w:rPr>
        <w:t>in</w:t>
      </w:r>
      <w:r w:rsidRPr="00B94642">
        <w:rPr>
          <w:rFonts w:ascii="Arial" w:hAnsi="Arial" w:cs="Arial"/>
          <w:sz w:val="18"/>
          <w:szCs w:val="18"/>
          <w:lang w:val="en-AU"/>
        </w:rPr>
        <w:t xml:space="preserve"> the establishment and the environment;</w:t>
      </w:r>
    </w:p>
    <w:p w14:paraId="72EC0270" w14:textId="64208F90" w:rsidR="0094086E" w:rsidRPr="00B94642" w:rsidRDefault="0094086E" w:rsidP="0094086E">
      <w:pPr>
        <w:autoSpaceDE w:val="0"/>
        <w:autoSpaceDN w:val="0"/>
        <w:adjustRightInd w:val="0"/>
        <w:spacing w:after="240"/>
        <w:ind w:left="851" w:hanging="425"/>
        <w:jc w:val="both"/>
        <w:rPr>
          <w:rFonts w:ascii="Arial" w:hAnsi="Arial" w:cs="Arial"/>
          <w:sz w:val="18"/>
          <w:szCs w:val="18"/>
          <w:lang w:val="en-AU"/>
        </w:rPr>
      </w:pPr>
      <w:r w:rsidRPr="00B94642">
        <w:rPr>
          <w:rFonts w:ascii="Arial" w:hAnsi="Arial" w:cs="Arial"/>
          <w:i/>
          <w:sz w:val="18"/>
          <w:szCs w:val="18"/>
          <w:lang w:val="en-AU"/>
        </w:rPr>
        <w:t>b)</w:t>
      </w:r>
      <w:r w:rsidRPr="00B94642">
        <w:rPr>
          <w:rFonts w:ascii="Arial" w:hAnsi="Arial" w:cs="Arial"/>
          <w:sz w:val="18"/>
          <w:szCs w:val="18"/>
          <w:lang w:val="en-AU"/>
        </w:rPr>
        <w:tab/>
      </w:r>
      <w:r w:rsidR="0038416E" w:rsidRPr="00B94642">
        <w:rPr>
          <w:rFonts w:ascii="Arial" w:hAnsi="Arial" w:cs="Arial"/>
          <w:strike/>
          <w:sz w:val="18"/>
          <w:szCs w:val="18"/>
          <w:highlight w:val="yellow"/>
          <w:u w:val="double"/>
          <w:lang w:val="en-AU"/>
        </w:rPr>
        <w:t>Manage</w:t>
      </w:r>
      <w:r w:rsidR="0038416E" w:rsidRPr="00B94642">
        <w:rPr>
          <w:rFonts w:ascii="Arial" w:hAnsi="Arial" w:cs="Arial"/>
          <w:sz w:val="18"/>
          <w:szCs w:val="18"/>
          <w:u w:val="double"/>
          <w:lang w:val="en-AU"/>
        </w:rPr>
        <w:t xml:space="preserve"> </w:t>
      </w:r>
      <w:r w:rsidR="00E84976" w:rsidRPr="00B94642">
        <w:rPr>
          <w:rFonts w:ascii="Arial" w:hAnsi="Arial" w:cs="Arial"/>
          <w:sz w:val="18"/>
          <w:szCs w:val="18"/>
          <w:u w:val="double"/>
          <w:lang w:val="en-AU"/>
        </w:rPr>
        <w:t>M</w:t>
      </w:r>
      <w:r w:rsidR="0038416E" w:rsidRPr="00B94642">
        <w:rPr>
          <w:rFonts w:ascii="Arial" w:hAnsi="Arial" w:cs="Arial"/>
          <w:sz w:val="18"/>
          <w:szCs w:val="18"/>
          <w:highlight w:val="yellow"/>
          <w:u w:val="double"/>
          <w:lang w:val="en-AU"/>
        </w:rPr>
        <w:t>anage</w:t>
      </w:r>
      <w:r w:rsidR="0038416E" w:rsidRPr="00B94642">
        <w:rPr>
          <w:rFonts w:ascii="Arial" w:hAnsi="Arial" w:cs="Arial"/>
          <w:sz w:val="18"/>
          <w:szCs w:val="18"/>
          <w:u w:val="double"/>
          <w:lang w:val="en-AU"/>
        </w:rPr>
        <w:t xml:space="preserve"> </w:t>
      </w:r>
      <w:r w:rsidRPr="00B94642">
        <w:rPr>
          <w:rFonts w:ascii="Arial" w:hAnsi="Arial" w:cs="Arial"/>
          <w:i/>
          <w:iCs/>
          <w:sz w:val="18"/>
          <w:szCs w:val="18"/>
          <w:u w:val="double"/>
          <w:lang w:val="en-AU"/>
        </w:rPr>
        <w:t xml:space="preserve">aquatic animal products </w:t>
      </w:r>
      <w:r w:rsidRPr="00B94642">
        <w:rPr>
          <w:rFonts w:ascii="Arial" w:hAnsi="Arial" w:cs="Arial"/>
          <w:sz w:val="18"/>
          <w:szCs w:val="18"/>
          <w:u w:val="double"/>
          <w:lang w:val="en-AU"/>
        </w:rPr>
        <w:t xml:space="preserve">and </w:t>
      </w:r>
      <w:r w:rsidRPr="00B94642">
        <w:rPr>
          <w:rFonts w:ascii="Arial" w:hAnsi="Arial" w:cs="Arial"/>
          <w:i/>
          <w:iCs/>
          <w:sz w:val="18"/>
          <w:szCs w:val="18"/>
          <w:u w:val="double"/>
          <w:lang w:val="en-AU"/>
        </w:rPr>
        <w:t xml:space="preserve">aquatic animal </w:t>
      </w:r>
      <w:r w:rsidRPr="00B94642">
        <w:rPr>
          <w:rFonts w:ascii="Arial" w:hAnsi="Arial" w:cs="Arial"/>
          <w:i/>
          <w:sz w:val="18"/>
          <w:szCs w:val="18"/>
          <w:u w:val="double"/>
          <w:lang w:val="en-AU"/>
        </w:rPr>
        <w:t>waste</w:t>
      </w:r>
      <w:r w:rsidRPr="00B94642">
        <w:rPr>
          <w:rFonts w:ascii="Arial" w:hAnsi="Arial" w:cs="Arial"/>
          <w:sz w:val="18"/>
          <w:szCs w:val="18"/>
          <w:u w:val="double"/>
          <w:lang w:val="en-AU"/>
        </w:rPr>
        <w:t xml:space="preserve"> in areas within the </w:t>
      </w:r>
      <w:r w:rsidRPr="00B94642">
        <w:rPr>
          <w:rFonts w:ascii="Arial" w:hAnsi="Arial" w:cs="Arial"/>
          <w:i/>
          <w:iCs/>
          <w:sz w:val="18"/>
          <w:szCs w:val="18"/>
          <w:u w:val="double"/>
          <w:lang w:val="en-AU"/>
        </w:rPr>
        <w:t>aquaculture establishment</w:t>
      </w:r>
      <w:r w:rsidRPr="00B94642">
        <w:rPr>
          <w:rFonts w:ascii="Arial" w:hAnsi="Arial" w:cs="Arial"/>
          <w:sz w:val="18"/>
          <w:szCs w:val="18"/>
          <w:u w:val="double"/>
          <w:lang w:val="en-AU"/>
        </w:rPr>
        <w:t xml:space="preserve"> that are isolated</w:t>
      </w:r>
      <w:r w:rsidRPr="00B94642">
        <w:rPr>
          <w:rFonts w:ascii="Arial" w:hAnsi="Arial" w:cs="Arial"/>
          <w:strike/>
          <w:sz w:val="18"/>
          <w:szCs w:val="18"/>
          <w:lang w:val="en-AU"/>
        </w:rPr>
        <w:t xml:space="preserve"> isolating areas within the </w:t>
      </w:r>
      <w:r w:rsidRPr="00B94642">
        <w:rPr>
          <w:rFonts w:ascii="Arial" w:hAnsi="Arial" w:cs="Arial"/>
          <w:i/>
          <w:strike/>
          <w:sz w:val="18"/>
          <w:szCs w:val="18"/>
          <w:lang w:val="en-AU"/>
        </w:rPr>
        <w:t>aquaculture establishment</w:t>
      </w:r>
      <w:r w:rsidRPr="00B94642">
        <w:rPr>
          <w:rFonts w:ascii="Arial" w:hAnsi="Arial" w:cs="Arial"/>
          <w:strike/>
          <w:sz w:val="18"/>
          <w:szCs w:val="18"/>
          <w:lang w:val="en-AU"/>
        </w:rPr>
        <w:t xml:space="preserve"> where </w:t>
      </w:r>
      <w:r w:rsidRPr="00B94642">
        <w:rPr>
          <w:rFonts w:ascii="Arial" w:hAnsi="Arial" w:cs="Arial"/>
          <w:i/>
          <w:strike/>
          <w:sz w:val="18"/>
          <w:szCs w:val="18"/>
          <w:lang w:val="en-AU"/>
        </w:rPr>
        <w:t>aquatic animal products</w:t>
      </w:r>
      <w:r w:rsidRPr="00B94642">
        <w:rPr>
          <w:rFonts w:ascii="Arial" w:hAnsi="Arial" w:cs="Arial"/>
          <w:strike/>
          <w:sz w:val="18"/>
          <w:szCs w:val="18"/>
          <w:lang w:val="en-AU"/>
        </w:rPr>
        <w:t xml:space="preserve"> and </w:t>
      </w:r>
      <w:r w:rsidRPr="00B94642">
        <w:rPr>
          <w:rFonts w:ascii="Arial" w:hAnsi="Arial" w:cs="Arial"/>
          <w:i/>
          <w:strike/>
          <w:sz w:val="18"/>
          <w:szCs w:val="18"/>
          <w:u w:val="double"/>
          <w:lang w:val="en-AU"/>
        </w:rPr>
        <w:t xml:space="preserve">aquatic animal </w:t>
      </w:r>
      <w:r w:rsidRPr="00B94642">
        <w:rPr>
          <w:rFonts w:ascii="Arial" w:hAnsi="Arial" w:cs="Arial"/>
          <w:iCs/>
          <w:strike/>
          <w:sz w:val="18"/>
          <w:szCs w:val="18"/>
          <w:u w:val="double"/>
          <w:lang w:val="en-AU"/>
        </w:rPr>
        <w:t>waste</w:t>
      </w:r>
      <w:r w:rsidRPr="00B94642">
        <w:rPr>
          <w:rFonts w:ascii="Arial" w:hAnsi="Arial" w:cs="Arial"/>
          <w:i/>
          <w:strike/>
          <w:sz w:val="18"/>
          <w:szCs w:val="18"/>
          <w:u w:val="double"/>
          <w:lang w:val="en-AU"/>
        </w:rPr>
        <w:t xml:space="preserve"> </w:t>
      </w:r>
      <w:r w:rsidRPr="00B94642">
        <w:rPr>
          <w:rFonts w:ascii="Arial" w:hAnsi="Arial" w:cs="Arial"/>
          <w:i/>
          <w:iCs/>
          <w:strike/>
          <w:sz w:val="18"/>
          <w:szCs w:val="18"/>
          <w:u w:val="double"/>
          <w:lang w:val="en-AU"/>
        </w:rPr>
        <w:t>waste</w:t>
      </w:r>
      <w:r w:rsidRPr="00B94642">
        <w:rPr>
          <w:rFonts w:ascii="Arial" w:hAnsi="Arial" w:cs="Arial"/>
          <w:strike/>
          <w:sz w:val="18"/>
          <w:szCs w:val="18"/>
          <w:u w:val="double"/>
          <w:lang w:val="en-AU"/>
        </w:rPr>
        <w:t xml:space="preserve"> </w:t>
      </w:r>
      <w:r w:rsidRPr="00B94642">
        <w:rPr>
          <w:rFonts w:ascii="Arial" w:hAnsi="Arial" w:cs="Arial"/>
          <w:strike/>
          <w:sz w:val="18"/>
          <w:szCs w:val="18"/>
          <w:lang w:val="en-AU"/>
        </w:rPr>
        <w:t>are managed</w:t>
      </w:r>
      <w:r w:rsidRPr="00B94642">
        <w:rPr>
          <w:rFonts w:ascii="Arial" w:hAnsi="Arial" w:cs="Arial"/>
          <w:sz w:val="18"/>
          <w:szCs w:val="18"/>
          <w:lang w:val="en-AU"/>
        </w:rPr>
        <w:t xml:space="preserve"> from </w:t>
      </w:r>
      <w:r w:rsidRPr="00B94642">
        <w:rPr>
          <w:rFonts w:ascii="Arial" w:hAnsi="Arial" w:cs="Arial"/>
          <w:i/>
          <w:sz w:val="18"/>
          <w:szCs w:val="18"/>
          <w:lang w:val="en-AU"/>
        </w:rPr>
        <w:t>aquatic animal</w:t>
      </w:r>
      <w:r w:rsidRPr="00B94642">
        <w:rPr>
          <w:rFonts w:ascii="Arial" w:hAnsi="Arial" w:cs="Arial"/>
          <w:sz w:val="18"/>
          <w:szCs w:val="18"/>
          <w:lang w:val="en-AU"/>
        </w:rPr>
        <w:t xml:space="preserve"> populations to minimise identified disease transmission </w:t>
      </w:r>
      <w:r w:rsidRPr="00B94642">
        <w:rPr>
          <w:rFonts w:ascii="Arial" w:hAnsi="Arial" w:cs="Arial"/>
          <w:i/>
          <w:sz w:val="18"/>
          <w:szCs w:val="18"/>
          <w:lang w:val="en-AU"/>
        </w:rPr>
        <w:t>risks</w:t>
      </w:r>
      <w:r w:rsidRPr="00B94642">
        <w:rPr>
          <w:rFonts w:ascii="Arial" w:hAnsi="Arial" w:cs="Arial"/>
          <w:sz w:val="18"/>
          <w:szCs w:val="18"/>
          <w:lang w:val="en-AU"/>
        </w:rPr>
        <w:t>;</w:t>
      </w:r>
    </w:p>
    <w:p w14:paraId="63268356" w14:textId="434EAD2F" w:rsidR="0094086E" w:rsidRPr="00B94642" w:rsidRDefault="0094086E" w:rsidP="0094086E">
      <w:pPr>
        <w:autoSpaceDE w:val="0"/>
        <w:autoSpaceDN w:val="0"/>
        <w:adjustRightInd w:val="0"/>
        <w:spacing w:after="240"/>
        <w:ind w:left="851" w:hanging="425"/>
        <w:jc w:val="both"/>
        <w:rPr>
          <w:rFonts w:ascii="Arial" w:hAnsi="Arial" w:cs="Arial"/>
          <w:sz w:val="18"/>
          <w:szCs w:val="18"/>
          <w:lang w:val="en-AU"/>
        </w:rPr>
      </w:pPr>
      <w:r w:rsidRPr="00B94642">
        <w:rPr>
          <w:rFonts w:ascii="Arial" w:hAnsi="Arial" w:cs="Arial"/>
          <w:i/>
          <w:sz w:val="18"/>
          <w:szCs w:val="18"/>
          <w:lang w:val="en-AU"/>
        </w:rPr>
        <w:t>c)</w:t>
      </w:r>
      <w:r w:rsidRPr="00B94642">
        <w:rPr>
          <w:rFonts w:ascii="Arial" w:hAnsi="Arial" w:cs="Arial"/>
          <w:sz w:val="18"/>
          <w:szCs w:val="18"/>
          <w:lang w:val="en-AU"/>
        </w:rPr>
        <w:tab/>
      </w:r>
      <w:r w:rsidRPr="00685B5C">
        <w:rPr>
          <w:rFonts w:ascii="Arial" w:hAnsi="Arial" w:cs="Arial"/>
          <w:strike/>
          <w:sz w:val="18"/>
          <w:szCs w:val="18"/>
          <w:highlight w:val="yellow"/>
          <w:lang w:val="en-AU"/>
        </w:rPr>
        <w:t>ensur</w:t>
      </w:r>
      <w:r w:rsidR="005834F9" w:rsidRPr="00685B5C">
        <w:rPr>
          <w:rFonts w:ascii="Arial" w:hAnsi="Arial" w:cs="Arial"/>
          <w:strike/>
          <w:sz w:val="18"/>
          <w:szCs w:val="18"/>
          <w:highlight w:val="yellow"/>
          <w:lang w:val="en-AU"/>
        </w:rPr>
        <w:t>ing</w:t>
      </w:r>
      <w:r w:rsidRPr="00685B5C">
        <w:rPr>
          <w:rFonts w:ascii="Arial" w:hAnsi="Arial" w:cs="Arial"/>
          <w:sz w:val="18"/>
          <w:szCs w:val="18"/>
          <w:highlight w:val="yellow"/>
          <w:lang w:val="en-AU"/>
        </w:rPr>
        <w:t xml:space="preserve"> </w:t>
      </w:r>
      <w:r w:rsidR="005834F9" w:rsidRPr="00B94642">
        <w:rPr>
          <w:rFonts w:ascii="Arial" w:hAnsi="Arial" w:cs="Arial"/>
          <w:sz w:val="18"/>
          <w:szCs w:val="18"/>
          <w:highlight w:val="yellow"/>
          <w:u w:val="double"/>
          <w:lang w:val="en-AU"/>
        </w:rPr>
        <w:t>E</w:t>
      </w:r>
      <w:r w:rsidR="0038416E" w:rsidRPr="00B94642">
        <w:rPr>
          <w:rFonts w:ascii="Arial" w:hAnsi="Arial" w:cs="Arial"/>
          <w:sz w:val="18"/>
          <w:szCs w:val="18"/>
          <w:highlight w:val="yellow"/>
          <w:u w:val="double"/>
          <w:lang w:val="en-AU"/>
        </w:rPr>
        <w:t xml:space="preserve">nsure </w:t>
      </w:r>
      <w:r w:rsidRPr="00B94642">
        <w:rPr>
          <w:rFonts w:ascii="Arial" w:hAnsi="Arial" w:cs="Arial"/>
          <w:sz w:val="18"/>
          <w:szCs w:val="18"/>
          <w:highlight w:val="yellow"/>
          <w:u w:val="double"/>
          <w:lang w:val="en-AU"/>
        </w:rPr>
        <w:t>procedures</w:t>
      </w:r>
      <w:r w:rsidRPr="00B94642">
        <w:rPr>
          <w:rFonts w:ascii="Arial" w:hAnsi="Arial" w:cs="Arial"/>
          <w:sz w:val="18"/>
          <w:szCs w:val="18"/>
          <w:u w:val="double"/>
          <w:lang w:val="en-AU"/>
        </w:rPr>
        <w:t xml:space="preserve"> </w:t>
      </w:r>
      <w:r w:rsidRPr="00685B5C">
        <w:rPr>
          <w:rFonts w:ascii="Arial" w:hAnsi="Arial" w:cs="Arial"/>
          <w:strike/>
          <w:sz w:val="18"/>
          <w:szCs w:val="18"/>
          <w:highlight w:val="yellow"/>
          <w:lang w:val="en-AU"/>
        </w:rPr>
        <w:t>systems</w:t>
      </w:r>
      <w:r w:rsidRPr="00685B5C">
        <w:rPr>
          <w:rFonts w:ascii="Arial" w:hAnsi="Arial" w:cs="Arial"/>
          <w:sz w:val="18"/>
          <w:szCs w:val="18"/>
          <w:lang w:val="en-AU"/>
        </w:rPr>
        <w:t xml:space="preserve"> </w:t>
      </w:r>
      <w:r w:rsidRPr="00B94642">
        <w:rPr>
          <w:rFonts w:ascii="Arial" w:hAnsi="Arial" w:cs="Arial"/>
          <w:sz w:val="18"/>
          <w:szCs w:val="18"/>
          <w:lang w:val="en-AU"/>
        </w:rPr>
        <w:t xml:space="preserve">are implemented for </w:t>
      </w:r>
      <w:r w:rsidRPr="00B94642">
        <w:rPr>
          <w:rFonts w:ascii="Arial" w:eastAsia="SimSun" w:hAnsi="Arial" w:cs="Arial"/>
          <w:sz w:val="18"/>
          <w:szCs w:val="18"/>
          <w:lang w:val="en-AU" w:eastAsia="zh-CN"/>
        </w:rPr>
        <w:t xml:space="preserve">appropriate </w:t>
      </w:r>
      <w:r w:rsidRPr="00B94642">
        <w:rPr>
          <w:rFonts w:ascii="Arial" w:hAnsi="Arial" w:cs="Arial"/>
          <w:sz w:val="18"/>
          <w:szCs w:val="18"/>
          <w:lang w:val="en-AU"/>
        </w:rPr>
        <w:t xml:space="preserve">collection, treatment (inactivating </w:t>
      </w:r>
      <w:r w:rsidRPr="00B94642">
        <w:rPr>
          <w:rFonts w:ascii="Arial" w:hAnsi="Arial" w:cs="Arial"/>
          <w:i/>
          <w:sz w:val="18"/>
          <w:szCs w:val="18"/>
          <w:lang w:val="en-AU"/>
        </w:rPr>
        <w:t>pathogenic agents</w:t>
      </w:r>
      <w:r w:rsidRPr="00B94642">
        <w:rPr>
          <w:rFonts w:ascii="Arial" w:hAnsi="Arial" w:cs="Arial"/>
          <w:sz w:val="18"/>
          <w:szCs w:val="18"/>
          <w:lang w:val="en-AU"/>
        </w:rPr>
        <w:t xml:space="preserve">), transport, storage or disposal of </w:t>
      </w:r>
      <w:r w:rsidRPr="00B94642">
        <w:rPr>
          <w:rFonts w:ascii="Arial" w:hAnsi="Arial" w:cs="Arial"/>
          <w:i/>
          <w:sz w:val="18"/>
          <w:szCs w:val="18"/>
          <w:lang w:val="en-AU"/>
        </w:rPr>
        <w:t>aquatic animal products</w:t>
      </w:r>
      <w:r w:rsidRPr="00B94642">
        <w:rPr>
          <w:rFonts w:ascii="Arial" w:hAnsi="Arial" w:cs="Arial"/>
          <w:sz w:val="18"/>
          <w:szCs w:val="18"/>
          <w:lang w:val="en-AU"/>
        </w:rPr>
        <w:t xml:space="preserve"> and </w:t>
      </w:r>
      <w:r w:rsidRPr="00B94642">
        <w:rPr>
          <w:rFonts w:ascii="Arial" w:hAnsi="Arial" w:cs="Arial"/>
          <w:i/>
          <w:sz w:val="18"/>
          <w:szCs w:val="18"/>
          <w:u w:val="double"/>
          <w:lang w:val="en-AU"/>
        </w:rPr>
        <w:t xml:space="preserve">aquatic animal </w:t>
      </w:r>
      <w:r w:rsidRPr="00B94642">
        <w:rPr>
          <w:rFonts w:ascii="Arial" w:hAnsi="Arial" w:cs="Arial"/>
          <w:i/>
          <w:iCs/>
          <w:sz w:val="18"/>
          <w:szCs w:val="18"/>
          <w:u w:val="double"/>
          <w:lang w:val="en-AU"/>
        </w:rPr>
        <w:t xml:space="preserve">waste </w:t>
      </w:r>
      <w:r w:rsidRPr="00B94642">
        <w:rPr>
          <w:rFonts w:ascii="Arial" w:hAnsi="Arial" w:cs="Arial"/>
          <w:iCs/>
          <w:strike/>
          <w:sz w:val="18"/>
          <w:szCs w:val="18"/>
          <w:u w:val="double"/>
          <w:lang w:val="en-AU"/>
        </w:rPr>
        <w:t>waste</w:t>
      </w:r>
      <w:r w:rsidRPr="00B94642">
        <w:rPr>
          <w:rFonts w:ascii="Arial" w:hAnsi="Arial" w:cs="Arial"/>
          <w:sz w:val="18"/>
          <w:szCs w:val="18"/>
          <w:lang w:val="en-AU"/>
        </w:rPr>
        <w:t xml:space="preserve"> to minimise </w:t>
      </w:r>
      <w:r w:rsidRPr="00B94642">
        <w:rPr>
          <w:rFonts w:ascii="Arial" w:hAnsi="Arial" w:cs="Arial"/>
          <w:sz w:val="18"/>
          <w:szCs w:val="18"/>
          <w:highlight w:val="yellow"/>
          <w:u w:val="double"/>
          <w:lang w:val="en-AU"/>
        </w:rPr>
        <w:t xml:space="preserve">identified disease transmission </w:t>
      </w:r>
      <w:r w:rsidRPr="00B94642">
        <w:rPr>
          <w:rFonts w:ascii="Arial" w:hAnsi="Arial" w:cs="Arial"/>
          <w:i/>
          <w:sz w:val="18"/>
          <w:szCs w:val="18"/>
          <w:highlight w:val="yellow"/>
          <w:u w:val="double"/>
          <w:lang w:val="en-AU"/>
        </w:rPr>
        <w:t>risks</w:t>
      </w:r>
      <w:r w:rsidRPr="00B94642">
        <w:rPr>
          <w:rFonts w:ascii="Arial" w:hAnsi="Arial" w:cs="Arial"/>
          <w:i/>
          <w:sz w:val="18"/>
          <w:szCs w:val="18"/>
          <w:u w:val="double"/>
          <w:lang w:val="en-AU"/>
        </w:rPr>
        <w:t xml:space="preserve"> </w:t>
      </w:r>
      <w:r w:rsidRPr="00685B5C">
        <w:rPr>
          <w:rFonts w:ascii="Arial" w:hAnsi="Arial" w:cs="Arial"/>
          <w:strike/>
          <w:sz w:val="18"/>
          <w:szCs w:val="18"/>
          <w:highlight w:val="yellow"/>
          <w:lang w:val="en-AU"/>
        </w:rPr>
        <w:t xml:space="preserve">the </w:t>
      </w:r>
      <w:r w:rsidRPr="00685B5C">
        <w:rPr>
          <w:rFonts w:ascii="Arial" w:hAnsi="Arial" w:cs="Arial"/>
          <w:i/>
          <w:strike/>
          <w:sz w:val="18"/>
          <w:szCs w:val="18"/>
          <w:highlight w:val="yellow"/>
          <w:lang w:val="en-AU"/>
        </w:rPr>
        <w:t>risks</w:t>
      </w:r>
      <w:r w:rsidRPr="00685B5C">
        <w:rPr>
          <w:rFonts w:ascii="Arial" w:hAnsi="Arial" w:cs="Arial"/>
          <w:strike/>
          <w:sz w:val="18"/>
          <w:szCs w:val="18"/>
          <w:highlight w:val="yellow"/>
          <w:lang w:val="en-AU"/>
        </w:rPr>
        <w:t xml:space="preserve"> of transmitting </w:t>
      </w:r>
      <w:r w:rsidRPr="00685B5C">
        <w:rPr>
          <w:rFonts w:ascii="Arial" w:hAnsi="Arial" w:cs="Arial"/>
          <w:i/>
          <w:strike/>
          <w:sz w:val="18"/>
          <w:szCs w:val="18"/>
          <w:highlight w:val="yellow"/>
          <w:lang w:val="en-AU"/>
        </w:rPr>
        <w:t>pathogenic agents</w:t>
      </w:r>
      <w:r w:rsidRPr="00B94642">
        <w:rPr>
          <w:rFonts w:ascii="Arial" w:hAnsi="Arial" w:cs="Arial"/>
          <w:sz w:val="18"/>
          <w:szCs w:val="18"/>
          <w:lang w:val="en-AU"/>
        </w:rPr>
        <w:t>.</w:t>
      </w:r>
    </w:p>
    <w:p w14:paraId="578975CC" w14:textId="77777777" w:rsidR="0094086E" w:rsidRPr="00B94642" w:rsidRDefault="0094086E" w:rsidP="0094086E">
      <w:pPr>
        <w:spacing w:after="240"/>
        <w:ind w:left="426" w:hanging="426"/>
        <w:jc w:val="both"/>
        <w:rPr>
          <w:rFonts w:ascii="Arial" w:hAnsi="Arial" w:cs="Arial"/>
          <w:color w:val="000000"/>
          <w:sz w:val="18"/>
          <w:szCs w:val="18"/>
        </w:rPr>
      </w:pPr>
      <w:r w:rsidRPr="00B94642">
        <w:rPr>
          <w:rFonts w:ascii="Arial" w:hAnsi="Arial" w:cs="Arial"/>
          <w:color w:val="000000"/>
          <w:sz w:val="18"/>
          <w:szCs w:val="18"/>
        </w:rPr>
        <w:t>3. </w:t>
      </w:r>
      <w:r w:rsidRPr="00B94642">
        <w:rPr>
          <w:rFonts w:ascii="Arial" w:hAnsi="Arial" w:cs="Arial"/>
          <w:color w:val="000000"/>
          <w:sz w:val="18"/>
          <w:szCs w:val="18"/>
        </w:rPr>
        <w:tab/>
      </w:r>
      <w:r w:rsidRPr="00B94642">
        <w:rPr>
          <w:rFonts w:ascii="Arial" w:hAnsi="Arial" w:cs="Arial"/>
          <w:color w:val="000000"/>
          <w:sz w:val="18"/>
          <w:szCs w:val="18"/>
          <w:u w:val="single"/>
        </w:rPr>
        <w:t>Water</w:t>
      </w:r>
    </w:p>
    <w:p w14:paraId="4F79011A" w14:textId="51C120ED" w:rsidR="0094086E" w:rsidRPr="00B94642" w:rsidRDefault="0094086E" w:rsidP="0094086E">
      <w:pPr>
        <w:pStyle w:val="Commentaire"/>
        <w:spacing w:after="240"/>
        <w:ind w:left="426"/>
        <w:jc w:val="both"/>
        <w:rPr>
          <w:rFonts w:ascii="Arial" w:hAnsi="Arial" w:cs="Arial"/>
          <w:color w:val="000000"/>
          <w:sz w:val="18"/>
          <w:szCs w:val="18"/>
        </w:rPr>
      </w:pPr>
      <w:r w:rsidRPr="00B94642">
        <w:rPr>
          <w:rFonts w:ascii="Arial" w:hAnsi="Arial" w:cs="Arial"/>
          <w:color w:val="000000"/>
          <w:sz w:val="18"/>
          <w:szCs w:val="18"/>
        </w:rPr>
        <w:t xml:space="preserve">Water is an important asset that </w:t>
      </w:r>
      <w:r w:rsidRPr="00B94642">
        <w:rPr>
          <w:rFonts w:ascii="Arial" w:hAnsi="Arial" w:cs="Arial"/>
          <w:sz w:val="18"/>
          <w:szCs w:val="18"/>
          <w:lang w:val="en-AU"/>
        </w:rPr>
        <w:t xml:space="preserve">supports productivity and </w:t>
      </w:r>
      <w:r w:rsidRPr="00B94642">
        <w:rPr>
          <w:rFonts w:ascii="Arial" w:hAnsi="Arial" w:cs="Arial"/>
          <w:i/>
          <w:sz w:val="18"/>
          <w:szCs w:val="18"/>
          <w:lang w:val="en-AU"/>
        </w:rPr>
        <w:t>aquatic animal</w:t>
      </w:r>
      <w:r w:rsidRPr="00B94642">
        <w:rPr>
          <w:rFonts w:ascii="Arial" w:hAnsi="Arial" w:cs="Arial"/>
          <w:sz w:val="18"/>
          <w:szCs w:val="18"/>
          <w:lang w:val="en-AU"/>
        </w:rPr>
        <w:t xml:space="preserve"> health but</w:t>
      </w:r>
      <w:r w:rsidRPr="00B94642">
        <w:rPr>
          <w:rFonts w:ascii="Arial" w:hAnsi="Arial" w:cs="Arial"/>
          <w:color w:val="000000"/>
          <w:sz w:val="18"/>
          <w:szCs w:val="18"/>
        </w:rPr>
        <w:t xml:space="preserve"> may present a </w:t>
      </w:r>
      <w:r w:rsidRPr="00B94642">
        <w:rPr>
          <w:rFonts w:ascii="Arial" w:hAnsi="Arial" w:cs="Arial"/>
          <w:i/>
          <w:color w:val="000000"/>
          <w:sz w:val="18"/>
          <w:szCs w:val="18"/>
        </w:rPr>
        <w:t>risk</w:t>
      </w:r>
      <w:r w:rsidRPr="00B94642">
        <w:rPr>
          <w:rFonts w:ascii="Arial" w:hAnsi="Arial" w:cs="Arial"/>
          <w:color w:val="000000"/>
          <w:sz w:val="18"/>
          <w:szCs w:val="18"/>
        </w:rPr>
        <w:t xml:space="preserve"> of </w:t>
      </w:r>
      <w:r w:rsidR="00F5753D" w:rsidRPr="00B94642">
        <w:rPr>
          <w:rFonts w:ascii="Arial" w:hAnsi="Arial" w:cs="Arial"/>
          <w:color w:val="000000"/>
          <w:sz w:val="18"/>
          <w:szCs w:val="18"/>
          <w:highlight w:val="yellow"/>
          <w:u w:val="double"/>
        </w:rPr>
        <w:t>the</w:t>
      </w:r>
      <w:r w:rsidR="00F5753D" w:rsidRPr="00B94642">
        <w:rPr>
          <w:rFonts w:ascii="Arial" w:hAnsi="Arial" w:cs="Arial"/>
          <w:color w:val="000000"/>
          <w:sz w:val="18"/>
          <w:szCs w:val="18"/>
        </w:rPr>
        <w:t xml:space="preserve"> </w:t>
      </w:r>
      <w:r w:rsidRPr="00B94642">
        <w:rPr>
          <w:rFonts w:ascii="Arial" w:eastAsia="SimSun" w:hAnsi="Arial" w:cs="Arial"/>
          <w:color w:val="000000"/>
          <w:sz w:val="18"/>
          <w:szCs w:val="18"/>
          <w:lang w:eastAsia="zh-CN"/>
        </w:rPr>
        <w:t>introduction</w:t>
      </w:r>
      <w:r w:rsidRPr="00B94642">
        <w:rPr>
          <w:rFonts w:ascii="Arial" w:hAnsi="Arial" w:cs="Arial"/>
          <w:color w:val="000000"/>
          <w:sz w:val="18"/>
          <w:szCs w:val="18"/>
        </w:rPr>
        <w:t xml:space="preserve"> of </w:t>
      </w:r>
      <w:r w:rsidRPr="00B94642">
        <w:rPr>
          <w:rFonts w:ascii="Arial" w:hAnsi="Arial" w:cs="Arial"/>
          <w:i/>
          <w:color w:val="000000"/>
          <w:sz w:val="18"/>
          <w:szCs w:val="18"/>
        </w:rPr>
        <w:t xml:space="preserve">pathogenic agents </w:t>
      </w:r>
      <w:r w:rsidRPr="00B94642">
        <w:rPr>
          <w:rFonts w:ascii="Arial" w:hAnsi="Arial" w:cs="Arial"/>
          <w:color w:val="000000"/>
          <w:sz w:val="18"/>
          <w:szCs w:val="18"/>
        </w:rPr>
        <w:t xml:space="preserve">into, </w:t>
      </w:r>
      <w:r w:rsidRPr="00B94642">
        <w:rPr>
          <w:rFonts w:ascii="Arial" w:eastAsia="SimSun" w:hAnsi="Arial" w:cs="Arial"/>
          <w:color w:val="000000"/>
          <w:sz w:val="18"/>
          <w:szCs w:val="18"/>
          <w:lang w:eastAsia="zh-CN"/>
        </w:rPr>
        <w:t xml:space="preserve">spread </w:t>
      </w:r>
      <w:r w:rsidRPr="00B94642">
        <w:rPr>
          <w:rFonts w:ascii="Arial" w:hAnsi="Arial" w:cs="Arial"/>
          <w:color w:val="000000"/>
          <w:sz w:val="18"/>
          <w:szCs w:val="18"/>
        </w:rPr>
        <w:t xml:space="preserve">within, and </w:t>
      </w:r>
      <w:r w:rsidRPr="00B94642">
        <w:rPr>
          <w:rFonts w:ascii="Arial" w:eastAsia="SimSun" w:hAnsi="Arial" w:cs="Arial"/>
          <w:color w:val="000000"/>
          <w:sz w:val="18"/>
          <w:szCs w:val="18"/>
          <w:lang w:eastAsia="zh-CN"/>
        </w:rPr>
        <w:t xml:space="preserve">release </w:t>
      </w:r>
      <w:r w:rsidRPr="00B94642">
        <w:rPr>
          <w:rFonts w:ascii="Arial" w:hAnsi="Arial" w:cs="Arial"/>
          <w:color w:val="000000"/>
          <w:sz w:val="18"/>
          <w:szCs w:val="18"/>
        </w:rPr>
        <w:t xml:space="preserve">from </w:t>
      </w:r>
      <w:r w:rsidRPr="00B94642">
        <w:rPr>
          <w:rFonts w:ascii="Arial" w:hAnsi="Arial" w:cs="Arial"/>
          <w:i/>
          <w:color w:val="000000"/>
          <w:sz w:val="18"/>
          <w:szCs w:val="18"/>
        </w:rPr>
        <w:t xml:space="preserve">aquaculture establishments. </w:t>
      </w:r>
      <w:r w:rsidRPr="00B94642">
        <w:rPr>
          <w:rFonts w:ascii="Arial" w:hAnsi="Arial" w:cs="Arial"/>
          <w:color w:val="000000"/>
          <w:sz w:val="18"/>
          <w:szCs w:val="18"/>
        </w:rPr>
        <w:t xml:space="preserve">The source of the water, and how it </w:t>
      </w:r>
      <w:r w:rsidR="00F5753D" w:rsidRPr="00B94642">
        <w:rPr>
          <w:rFonts w:ascii="Arial" w:hAnsi="Arial" w:cs="Arial"/>
          <w:color w:val="000000"/>
          <w:sz w:val="18"/>
          <w:szCs w:val="18"/>
          <w:highlight w:val="yellow"/>
          <w:u w:val="double"/>
        </w:rPr>
        <w:t>may</w:t>
      </w:r>
      <w:r w:rsidR="00F5753D" w:rsidRPr="00B94642">
        <w:rPr>
          <w:rFonts w:ascii="Arial" w:hAnsi="Arial" w:cs="Arial"/>
          <w:color w:val="000000"/>
          <w:sz w:val="18"/>
          <w:szCs w:val="18"/>
        </w:rPr>
        <w:t xml:space="preserve"> </w:t>
      </w:r>
      <w:r w:rsidRPr="00B94642">
        <w:rPr>
          <w:rFonts w:ascii="Arial" w:hAnsi="Arial" w:cs="Arial"/>
          <w:color w:val="000000"/>
          <w:sz w:val="18"/>
          <w:szCs w:val="18"/>
        </w:rPr>
        <w:t>provide</w:t>
      </w:r>
      <w:r w:rsidR="0038416E" w:rsidRPr="00B94642">
        <w:rPr>
          <w:rFonts w:ascii="Arial" w:hAnsi="Arial" w:cs="Arial"/>
          <w:strike/>
          <w:color w:val="000000"/>
          <w:sz w:val="18"/>
          <w:szCs w:val="18"/>
          <w:highlight w:val="yellow"/>
        </w:rPr>
        <w:t>s</w:t>
      </w:r>
      <w:r w:rsidRPr="00685B5C">
        <w:rPr>
          <w:rFonts w:ascii="Arial" w:hAnsi="Arial" w:cs="Arial"/>
          <w:color w:val="000000"/>
          <w:sz w:val="18"/>
          <w:szCs w:val="18"/>
        </w:rPr>
        <w:t xml:space="preserve"> </w:t>
      </w:r>
      <w:r w:rsidRPr="00B94642">
        <w:rPr>
          <w:rFonts w:ascii="Arial" w:hAnsi="Arial" w:cs="Arial"/>
          <w:color w:val="000000"/>
          <w:sz w:val="18"/>
          <w:szCs w:val="18"/>
        </w:rPr>
        <w:t xml:space="preserve">an epidemiological link between </w:t>
      </w:r>
      <w:r w:rsidRPr="00B94642">
        <w:rPr>
          <w:rFonts w:ascii="Arial" w:hAnsi="Arial" w:cs="Arial"/>
          <w:sz w:val="18"/>
          <w:szCs w:val="18"/>
        </w:rPr>
        <w:t xml:space="preserve">the </w:t>
      </w:r>
      <w:r w:rsidRPr="00B94642">
        <w:rPr>
          <w:rFonts w:ascii="Arial" w:hAnsi="Arial" w:cs="Arial"/>
          <w:i/>
          <w:sz w:val="18"/>
          <w:szCs w:val="18"/>
        </w:rPr>
        <w:t>aquaculture establishment</w:t>
      </w:r>
      <w:r w:rsidRPr="00B94642">
        <w:rPr>
          <w:rFonts w:ascii="Arial" w:hAnsi="Arial" w:cs="Arial"/>
          <w:sz w:val="18"/>
          <w:szCs w:val="18"/>
        </w:rPr>
        <w:t xml:space="preserve"> and other farmed or wild populations or processing plants, </w:t>
      </w:r>
      <w:r w:rsidRPr="00B94642">
        <w:rPr>
          <w:rFonts w:ascii="Arial" w:hAnsi="Arial" w:cs="Arial"/>
          <w:color w:val="000000"/>
          <w:sz w:val="18"/>
          <w:szCs w:val="18"/>
        </w:rPr>
        <w:t>should be identified and considered. Exposure to transport water and ballast water should be considered.</w:t>
      </w:r>
    </w:p>
    <w:p w14:paraId="702C3528" w14:textId="77777777" w:rsidR="0094086E" w:rsidRPr="00B94642" w:rsidRDefault="0094086E" w:rsidP="0094086E">
      <w:pPr>
        <w:spacing w:after="240"/>
        <w:ind w:left="426"/>
        <w:jc w:val="both"/>
        <w:rPr>
          <w:rFonts w:ascii="Arial" w:hAnsi="Arial" w:cs="Arial"/>
          <w:color w:val="000000"/>
          <w:sz w:val="18"/>
          <w:szCs w:val="18"/>
        </w:rPr>
      </w:pPr>
      <w:r w:rsidRPr="00B94642">
        <w:rPr>
          <w:rFonts w:ascii="Arial" w:hAnsi="Arial" w:cs="Arial"/>
          <w:color w:val="000000"/>
          <w:sz w:val="18"/>
          <w:szCs w:val="18"/>
        </w:rPr>
        <w:t xml:space="preserve">The </w:t>
      </w:r>
      <w:r w:rsidRPr="00B94642">
        <w:rPr>
          <w:rFonts w:ascii="Arial" w:hAnsi="Arial" w:cs="Arial"/>
          <w:i/>
          <w:color w:val="000000"/>
          <w:sz w:val="18"/>
          <w:szCs w:val="18"/>
        </w:rPr>
        <w:t>risk</w:t>
      </w:r>
      <w:r w:rsidRPr="00B94642">
        <w:rPr>
          <w:rFonts w:ascii="Arial" w:hAnsi="Arial" w:cs="Arial"/>
          <w:color w:val="000000"/>
          <w:sz w:val="18"/>
          <w:szCs w:val="18"/>
        </w:rPr>
        <w:t xml:space="preserve"> of the </w:t>
      </w:r>
      <w:r w:rsidRPr="00B94642">
        <w:rPr>
          <w:rFonts w:ascii="Arial" w:hAnsi="Arial" w:cs="Arial"/>
          <w:i/>
          <w:color w:val="000000"/>
          <w:sz w:val="18"/>
          <w:szCs w:val="18"/>
        </w:rPr>
        <w:t xml:space="preserve">aquaculture establishment </w:t>
      </w:r>
      <w:r w:rsidRPr="00B94642">
        <w:rPr>
          <w:rFonts w:ascii="Arial" w:hAnsi="Arial" w:cs="Arial"/>
          <w:color w:val="000000"/>
          <w:sz w:val="18"/>
          <w:szCs w:val="18"/>
        </w:rPr>
        <w:t xml:space="preserve">being exposed to water containing </w:t>
      </w:r>
      <w:r w:rsidRPr="00B94642">
        <w:rPr>
          <w:rFonts w:ascii="Arial" w:hAnsi="Arial" w:cs="Arial"/>
          <w:i/>
          <w:color w:val="000000"/>
          <w:sz w:val="18"/>
          <w:szCs w:val="18"/>
        </w:rPr>
        <w:t xml:space="preserve">pathogenic agents </w:t>
      </w:r>
      <w:r w:rsidRPr="00B94642">
        <w:rPr>
          <w:rFonts w:ascii="Arial" w:hAnsi="Arial" w:cs="Arial"/>
          <w:color w:val="000000"/>
          <w:sz w:val="18"/>
          <w:szCs w:val="18"/>
        </w:rPr>
        <w:t xml:space="preserve">may be influenced by </w:t>
      </w:r>
      <w:r w:rsidRPr="00B94642">
        <w:rPr>
          <w:rFonts w:ascii="Arial" w:eastAsia="SimSun" w:hAnsi="Arial" w:cs="Arial"/>
          <w:color w:val="000000"/>
          <w:sz w:val="18"/>
          <w:szCs w:val="18"/>
          <w:lang w:eastAsia="zh-CN"/>
        </w:rPr>
        <w:t xml:space="preserve">the </w:t>
      </w:r>
      <w:r w:rsidRPr="00B94642">
        <w:rPr>
          <w:rFonts w:ascii="Arial" w:hAnsi="Arial" w:cs="Arial"/>
          <w:color w:val="000000"/>
          <w:sz w:val="18"/>
          <w:szCs w:val="18"/>
        </w:rPr>
        <w:t xml:space="preserve">category of </w:t>
      </w:r>
      <w:r w:rsidRPr="00B94642">
        <w:rPr>
          <w:rFonts w:ascii="Arial" w:hAnsi="Arial" w:cs="Arial"/>
          <w:i/>
          <w:color w:val="000000"/>
          <w:sz w:val="18"/>
          <w:szCs w:val="18"/>
        </w:rPr>
        <w:t>aquaculture</w:t>
      </w:r>
      <w:r w:rsidRPr="00B94642">
        <w:rPr>
          <w:rFonts w:ascii="Arial" w:eastAsia="SimSun" w:hAnsi="Arial" w:cs="Arial"/>
          <w:i/>
          <w:color w:val="000000"/>
          <w:sz w:val="18"/>
          <w:szCs w:val="18"/>
          <w:lang w:eastAsia="zh-CN"/>
        </w:rPr>
        <w:t xml:space="preserve"> </w:t>
      </w:r>
      <w:r w:rsidRPr="00B94642">
        <w:rPr>
          <w:rFonts w:ascii="Arial" w:hAnsi="Arial" w:cs="Arial"/>
          <w:color w:val="000000"/>
          <w:sz w:val="18"/>
          <w:szCs w:val="18"/>
        </w:rPr>
        <w:t xml:space="preserve">production system, the likelihood being higher for semi-open than </w:t>
      </w:r>
      <w:r w:rsidRPr="00B94642">
        <w:rPr>
          <w:rFonts w:ascii="Arial" w:hAnsi="Arial" w:cs="Arial"/>
          <w:color w:val="000000"/>
          <w:sz w:val="18"/>
          <w:szCs w:val="18"/>
          <w:u w:val="double"/>
        </w:rPr>
        <w:t>for</w:t>
      </w:r>
      <w:r w:rsidRPr="00B94642">
        <w:rPr>
          <w:rFonts w:ascii="Arial" w:hAnsi="Arial" w:cs="Arial"/>
          <w:color w:val="000000"/>
          <w:sz w:val="18"/>
          <w:szCs w:val="18"/>
        </w:rPr>
        <w:t xml:space="preserve"> closed</w:t>
      </w:r>
      <w:r w:rsidRPr="00B94642">
        <w:rPr>
          <w:rFonts w:ascii="Arial" w:eastAsia="SimSun" w:hAnsi="Arial" w:cs="Arial"/>
          <w:color w:val="000000"/>
          <w:sz w:val="18"/>
          <w:szCs w:val="18"/>
          <w:lang w:eastAsia="zh-CN"/>
        </w:rPr>
        <w:t xml:space="preserve"> systems</w:t>
      </w:r>
      <w:r w:rsidRPr="00B94642">
        <w:rPr>
          <w:rFonts w:ascii="Arial" w:hAnsi="Arial" w:cs="Arial"/>
          <w:color w:val="000000"/>
          <w:sz w:val="18"/>
          <w:szCs w:val="18"/>
        </w:rPr>
        <w:t xml:space="preserve">. Any water that is flowing from </w:t>
      </w:r>
      <w:r w:rsidRPr="00B94642">
        <w:rPr>
          <w:rFonts w:ascii="Arial" w:hAnsi="Arial" w:cs="Arial"/>
          <w:i/>
          <w:color w:val="000000"/>
          <w:sz w:val="18"/>
          <w:szCs w:val="18"/>
        </w:rPr>
        <w:t xml:space="preserve">aquatic animals </w:t>
      </w:r>
      <w:r w:rsidRPr="00B94642">
        <w:rPr>
          <w:rFonts w:ascii="Arial" w:hAnsi="Arial" w:cs="Arial"/>
          <w:color w:val="000000"/>
          <w:sz w:val="18"/>
          <w:szCs w:val="18"/>
        </w:rPr>
        <w:t xml:space="preserve">with lower or unknown health status presents a potential </w:t>
      </w:r>
      <w:r w:rsidRPr="00B94642">
        <w:rPr>
          <w:rFonts w:ascii="Arial" w:hAnsi="Arial" w:cs="Arial"/>
          <w:i/>
          <w:color w:val="000000"/>
          <w:sz w:val="18"/>
          <w:szCs w:val="18"/>
        </w:rPr>
        <w:t>risk</w:t>
      </w:r>
      <w:r w:rsidRPr="00B94642">
        <w:rPr>
          <w:rFonts w:ascii="Arial" w:hAnsi="Arial" w:cs="Arial"/>
          <w:color w:val="000000"/>
          <w:sz w:val="18"/>
          <w:szCs w:val="18"/>
        </w:rPr>
        <w:t xml:space="preserve"> of transmitting </w:t>
      </w:r>
      <w:r w:rsidRPr="00B94642">
        <w:rPr>
          <w:rFonts w:ascii="Arial" w:hAnsi="Arial" w:cs="Arial"/>
          <w:i/>
          <w:color w:val="000000"/>
          <w:sz w:val="18"/>
          <w:szCs w:val="18"/>
        </w:rPr>
        <w:t>pathogenic agents</w:t>
      </w:r>
      <w:r w:rsidRPr="00B94642">
        <w:rPr>
          <w:rFonts w:ascii="Arial" w:hAnsi="Arial" w:cs="Arial"/>
          <w:color w:val="000000"/>
          <w:sz w:val="18"/>
          <w:szCs w:val="18"/>
        </w:rPr>
        <w:t xml:space="preserve"> to </w:t>
      </w:r>
      <w:r w:rsidRPr="00B94642">
        <w:rPr>
          <w:rFonts w:ascii="Arial" w:hAnsi="Arial" w:cs="Arial"/>
          <w:i/>
          <w:color w:val="000000"/>
          <w:sz w:val="18"/>
          <w:szCs w:val="18"/>
        </w:rPr>
        <w:t>aquatic animals</w:t>
      </w:r>
      <w:r w:rsidRPr="00B94642">
        <w:rPr>
          <w:rFonts w:ascii="Arial" w:hAnsi="Arial" w:cs="Arial"/>
          <w:color w:val="000000"/>
          <w:sz w:val="18"/>
          <w:szCs w:val="18"/>
        </w:rPr>
        <w:t xml:space="preserve"> of a higher health status.</w:t>
      </w:r>
    </w:p>
    <w:p w14:paraId="0420FB0B" w14:textId="66E73C01" w:rsidR="0094086E" w:rsidRPr="004C5527" w:rsidRDefault="0094086E" w:rsidP="00685B5C">
      <w:pPr>
        <w:spacing w:after="240"/>
        <w:ind w:left="426"/>
        <w:jc w:val="both"/>
        <w:rPr>
          <w:rFonts w:cs="Times New Roman"/>
          <w:i/>
          <w:szCs w:val="20"/>
          <w:lang w:val="en-AU"/>
        </w:rPr>
      </w:pPr>
      <w:r w:rsidRPr="00B94642">
        <w:rPr>
          <w:rFonts w:ascii="Arial" w:hAnsi="Arial" w:cs="Arial"/>
          <w:color w:val="000000"/>
          <w:sz w:val="18"/>
          <w:szCs w:val="18"/>
        </w:rPr>
        <w:t xml:space="preserve">The </w:t>
      </w:r>
      <w:r w:rsidRPr="00B94642">
        <w:rPr>
          <w:rFonts w:ascii="Arial" w:hAnsi="Arial" w:cs="Arial"/>
          <w:i/>
          <w:color w:val="000000"/>
          <w:sz w:val="18"/>
          <w:szCs w:val="18"/>
        </w:rPr>
        <w:t>risk</w:t>
      </w:r>
      <w:r w:rsidRPr="00B94642">
        <w:rPr>
          <w:rFonts w:ascii="Arial" w:hAnsi="Arial" w:cs="Arial"/>
          <w:color w:val="000000"/>
          <w:sz w:val="18"/>
          <w:szCs w:val="18"/>
        </w:rPr>
        <w:t xml:space="preserve"> of transmitting </w:t>
      </w:r>
      <w:r w:rsidRPr="00B94642">
        <w:rPr>
          <w:rFonts w:ascii="Arial" w:hAnsi="Arial" w:cs="Arial"/>
          <w:i/>
          <w:color w:val="000000"/>
          <w:sz w:val="18"/>
          <w:szCs w:val="18"/>
        </w:rPr>
        <w:t>pathogenic agents</w:t>
      </w:r>
      <w:r w:rsidRPr="00B94642">
        <w:rPr>
          <w:rFonts w:ascii="Arial" w:hAnsi="Arial" w:cs="Arial"/>
          <w:color w:val="000000"/>
          <w:sz w:val="18"/>
          <w:szCs w:val="18"/>
        </w:rPr>
        <w:t xml:space="preserve"> via </w:t>
      </w:r>
      <w:r w:rsidRPr="00B94642">
        <w:rPr>
          <w:rFonts w:ascii="Arial" w:hAnsi="Arial" w:cs="Arial"/>
          <w:iCs/>
          <w:color w:val="000000"/>
          <w:sz w:val="18"/>
          <w:szCs w:val="18"/>
        </w:rPr>
        <w:t>water</w:t>
      </w:r>
      <w:r w:rsidRPr="00B94642">
        <w:rPr>
          <w:rFonts w:ascii="Arial" w:hAnsi="Arial" w:cs="Arial"/>
          <w:color w:val="000000"/>
          <w:sz w:val="18"/>
          <w:szCs w:val="18"/>
        </w:rPr>
        <w:t xml:space="preserve"> </w:t>
      </w:r>
      <w:r w:rsidRPr="00B94642">
        <w:rPr>
          <w:rFonts w:ascii="Arial" w:hAnsi="Arial" w:cs="Arial"/>
          <w:sz w:val="18"/>
          <w:szCs w:val="18"/>
          <w:u w:val="double"/>
          <w:lang w:val="en-CA"/>
        </w:rPr>
        <w:t xml:space="preserve">should be </w:t>
      </w:r>
      <w:r w:rsidRPr="00B94642">
        <w:rPr>
          <w:rFonts w:ascii="Arial" w:hAnsi="Arial" w:cs="Arial"/>
          <w:sz w:val="18"/>
          <w:szCs w:val="18"/>
          <w:highlight w:val="yellow"/>
          <w:u w:val="double"/>
          <w:lang w:val="en-CA"/>
        </w:rPr>
        <w:t>assessed, and</w:t>
      </w:r>
      <w:r w:rsidRPr="00B94642">
        <w:rPr>
          <w:rFonts w:ascii="Arial" w:hAnsi="Arial" w:cs="Arial"/>
          <w:sz w:val="18"/>
          <w:szCs w:val="18"/>
          <w:lang w:val="en-CA"/>
        </w:rPr>
        <w:t xml:space="preserve"> </w:t>
      </w:r>
      <w:r w:rsidRPr="00B94642">
        <w:rPr>
          <w:rFonts w:ascii="Arial" w:hAnsi="Arial" w:cs="Arial"/>
          <w:sz w:val="18"/>
          <w:szCs w:val="18"/>
          <w:u w:val="double"/>
          <w:lang w:val="en-CA"/>
        </w:rPr>
        <w:t>managed</w:t>
      </w:r>
      <w:r w:rsidRPr="00B94642">
        <w:rPr>
          <w:rFonts w:ascii="Arial" w:hAnsi="Arial" w:cs="Arial"/>
          <w:strike/>
          <w:sz w:val="18"/>
          <w:szCs w:val="18"/>
          <w:u w:val="double"/>
          <w:lang w:val="en-CA"/>
        </w:rPr>
        <w:t>; possible mitigation measures</w:t>
      </w:r>
      <w:r w:rsidRPr="00B94642">
        <w:rPr>
          <w:rFonts w:ascii="Arial" w:hAnsi="Arial" w:cs="Arial"/>
          <w:sz w:val="18"/>
          <w:szCs w:val="18"/>
          <w:u w:val="double"/>
          <w:lang w:val="en-CA"/>
        </w:rPr>
        <w:t xml:space="preserve"> </w:t>
      </w:r>
      <w:r w:rsidRPr="00B94642">
        <w:rPr>
          <w:rFonts w:ascii="Arial" w:hAnsi="Arial" w:cs="Arial"/>
          <w:strike/>
          <w:sz w:val="18"/>
          <w:szCs w:val="18"/>
          <w:u w:val="double"/>
          <w:lang w:val="en-CA"/>
        </w:rPr>
        <w:t>include the</w:t>
      </w:r>
      <w:r w:rsidRPr="00B94642">
        <w:rPr>
          <w:rFonts w:ascii="Arial" w:hAnsi="Arial" w:cs="Arial"/>
          <w:sz w:val="18"/>
          <w:szCs w:val="18"/>
          <w:u w:val="double"/>
          <w:lang w:val="en-CA"/>
        </w:rPr>
        <w:t xml:space="preserve"> giving consideration to the following mitigation measures</w:t>
      </w:r>
      <w:r w:rsidRPr="00B94642">
        <w:rPr>
          <w:rFonts w:ascii="Arial" w:hAnsi="Arial" w:cs="Arial"/>
          <w:color w:val="000000"/>
          <w:sz w:val="18"/>
          <w:szCs w:val="18"/>
        </w:rPr>
        <w:t xml:space="preserve"> </w:t>
      </w:r>
      <w:r w:rsidRPr="00B94642">
        <w:rPr>
          <w:rFonts w:ascii="Arial" w:hAnsi="Arial" w:cs="Arial"/>
          <w:strike/>
          <w:color w:val="000000"/>
          <w:sz w:val="18"/>
          <w:szCs w:val="18"/>
        </w:rPr>
        <w:t>can be managed by</w:t>
      </w:r>
      <w:r w:rsidRPr="00B94642">
        <w:rPr>
          <w:rFonts w:ascii="Arial" w:hAnsi="Arial" w:cs="Arial"/>
          <w:color w:val="000000"/>
          <w:sz w:val="18"/>
          <w:szCs w:val="18"/>
        </w:rPr>
        <w:t>:</w:t>
      </w:r>
    </w:p>
    <w:p w14:paraId="5EB82804" w14:textId="77777777" w:rsidR="00B94642" w:rsidRDefault="00B94642">
      <w:pPr>
        <w:rPr>
          <w:szCs w:val="20"/>
          <w:u w:val="single"/>
          <w:lang w:val="en-AU"/>
        </w:rPr>
      </w:pPr>
      <w:r>
        <w:rPr>
          <w:szCs w:val="20"/>
          <w:u w:val="single"/>
          <w:lang w:val="en-AU"/>
        </w:rPr>
        <w:br w:type="page"/>
      </w:r>
    </w:p>
    <w:p w14:paraId="1307723A" w14:textId="3EFF2EEE" w:rsidR="00B94642" w:rsidRDefault="00B94642" w:rsidP="00B94642">
      <w:pPr>
        <w:spacing w:after="480" w:line="240" w:lineRule="auto"/>
        <w:ind w:left="425" w:hanging="425"/>
        <w:jc w:val="both"/>
        <w:rPr>
          <w:szCs w:val="20"/>
        </w:rPr>
      </w:pPr>
      <w:r w:rsidRPr="008270D6">
        <w:rPr>
          <w:szCs w:val="20"/>
          <w:u w:val="single"/>
        </w:rPr>
        <w:lastRenderedPageBreak/>
        <w:t>Annex 2</w:t>
      </w:r>
      <w:r w:rsidRPr="008270D6">
        <w:rPr>
          <w:szCs w:val="20"/>
        </w:rPr>
        <w:t xml:space="preserve"> (contd)</w:t>
      </w:r>
    </w:p>
    <w:p w14:paraId="004B942A" w14:textId="3ADB1555" w:rsidR="0094086E" w:rsidRPr="003C15F7" w:rsidRDefault="0094086E" w:rsidP="0094086E">
      <w:pPr>
        <w:autoSpaceDE w:val="0"/>
        <w:autoSpaceDN w:val="0"/>
        <w:adjustRightInd w:val="0"/>
        <w:spacing w:after="240"/>
        <w:ind w:left="851" w:hanging="425"/>
        <w:jc w:val="both"/>
        <w:rPr>
          <w:rFonts w:ascii="Arial" w:hAnsi="Arial" w:cs="Arial"/>
          <w:sz w:val="18"/>
          <w:szCs w:val="18"/>
          <w:lang w:val="en-AU"/>
        </w:rPr>
      </w:pPr>
      <w:r w:rsidRPr="003C15F7">
        <w:rPr>
          <w:rFonts w:ascii="Arial" w:hAnsi="Arial" w:cs="Arial"/>
          <w:i/>
          <w:sz w:val="18"/>
          <w:szCs w:val="18"/>
          <w:lang w:val="en-AU"/>
        </w:rPr>
        <w:t>a)</w:t>
      </w:r>
      <w:r w:rsidRPr="003C15F7">
        <w:rPr>
          <w:rFonts w:ascii="Arial" w:hAnsi="Arial" w:cs="Arial"/>
          <w:sz w:val="18"/>
          <w:szCs w:val="18"/>
          <w:lang w:val="en-AU"/>
        </w:rPr>
        <w:tab/>
        <w:t xml:space="preserve">Where possible, </w:t>
      </w:r>
      <w:r w:rsidRPr="00685B5C">
        <w:rPr>
          <w:rFonts w:ascii="Arial" w:hAnsi="Arial" w:cs="Arial"/>
          <w:strike/>
          <w:sz w:val="18"/>
          <w:szCs w:val="18"/>
          <w:highlight w:val="yellow"/>
          <w:lang w:val="en-AU"/>
        </w:rPr>
        <w:t>choosing</w:t>
      </w:r>
      <w:r w:rsidR="005834F9" w:rsidRPr="00685B5C">
        <w:rPr>
          <w:rFonts w:ascii="Arial" w:hAnsi="Arial" w:cs="Arial"/>
          <w:sz w:val="18"/>
          <w:szCs w:val="18"/>
          <w:lang w:val="en-AU"/>
        </w:rPr>
        <w:t xml:space="preserve"> </w:t>
      </w:r>
      <w:r w:rsidR="005834F9" w:rsidRPr="003C15F7">
        <w:rPr>
          <w:rFonts w:ascii="Arial" w:hAnsi="Arial" w:cs="Arial"/>
          <w:sz w:val="18"/>
          <w:szCs w:val="18"/>
          <w:highlight w:val="yellow"/>
          <w:u w:val="double"/>
          <w:lang w:val="en-AU"/>
        </w:rPr>
        <w:t>choose</w:t>
      </w:r>
      <w:r w:rsidRPr="003C15F7">
        <w:rPr>
          <w:rFonts w:ascii="Arial" w:hAnsi="Arial" w:cs="Arial"/>
          <w:sz w:val="18"/>
          <w:szCs w:val="18"/>
          <w:lang w:val="en-AU"/>
        </w:rPr>
        <w:t xml:space="preserve"> water sources that are entirely free of susceptible </w:t>
      </w:r>
      <w:r w:rsidRPr="003C15F7">
        <w:rPr>
          <w:rFonts w:ascii="Arial" w:hAnsi="Arial" w:cs="Arial"/>
          <w:i/>
          <w:sz w:val="18"/>
          <w:szCs w:val="18"/>
          <w:lang w:val="en-AU"/>
        </w:rPr>
        <w:t>aquatic animal</w:t>
      </w:r>
      <w:r w:rsidRPr="003C15F7">
        <w:rPr>
          <w:rFonts w:ascii="Arial" w:hAnsi="Arial" w:cs="Arial"/>
          <w:sz w:val="18"/>
          <w:szCs w:val="18"/>
          <w:lang w:val="en-AU"/>
        </w:rPr>
        <w:t xml:space="preserve"> populations and </w:t>
      </w:r>
      <w:r w:rsidRPr="003C15F7">
        <w:rPr>
          <w:rFonts w:ascii="Arial" w:hAnsi="Arial" w:cs="Arial"/>
          <w:i/>
          <w:color w:val="000000"/>
          <w:sz w:val="18"/>
          <w:szCs w:val="18"/>
        </w:rPr>
        <w:t>pathogenic agents</w:t>
      </w:r>
      <w:r w:rsidRPr="003C15F7">
        <w:rPr>
          <w:rFonts w:ascii="Arial" w:eastAsia="SimSun" w:hAnsi="Arial" w:cs="Arial"/>
          <w:i/>
          <w:color w:val="000000"/>
          <w:sz w:val="18"/>
          <w:szCs w:val="18"/>
          <w:lang w:eastAsia="zh-CN"/>
        </w:rPr>
        <w:t xml:space="preserve"> </w:t>
      </w:r>
      <w:r w:rsidRPr="003C15F7">
        <w:rPr>
          <w:rFonts w:ascii="Arial" w:hAnsi="Arial" w:cs="Arial"/>
          <w:sz w:val="18"/>
          <w:szCs w:val="18"/>
          <w:lang w:val="en-AU"/>
        </w:rPr>
        <w:t xml:space="preserve">of concern. Such water sources may include saline or fresh groundwater, de-chlorinated municipal water, and artificial seawater. These water sources may be particularly suitable for high health status </w:t>
      </w:r>
      <w:r w:rsidRPr="003C15F7">
        <w:rPr>
          <w:rFonts w:ascii="Arial" w:hAnsi="Arial" w:cs="Arial"/>
          <w:i/>
          <w:sz w:val="18"/>
          <w:szCs w:val="18"/>
          <w:lang w:val="en-AU"/>
        </w:rPr>
        <w:t>aquatic animals</w:t>
      </w:r>
      <w:r w:rsidRPr="003C15F7">
        <w:rPr>
          <w:rFonts w:ascii="Arial" w:hAnsi="Arial" w:cs="Arial"/>
          <w:sz w:val="18"/>
          <w:szCs w:val="18"/>
          <w:lang w:val="en-AU"/>
        </w:rPr>
        <w:t xml:space="preserve"> such as broodstock.</w:t>
      </w:r>
    </w:p>
    <w:p w14:paraId="6E7FC774" w14:textId="4FAC0870" w:rsidR="0094086E" w:rsidRPr="003C15F7" w:rsidRDefault="0094086E" w:rsidP="0094086E">
      <w:pPr>
        <w:autoSpaceDE w:val="0"/>
        <w:autoSpaceDN w:val="0"/>
        <w:adjustRightInd w:val="0"/>
        <w:spacing w:after="240"/>
        <w:ind w:left="851" w:hanging="425"/>
        <w:jc w:val="both"/>
        <w:rPr>
          <w:rFonts w:ascii="Arial" w:hAnsi="Arial" w:cs="Arial"/>
          <w:sz w:val="18"/>
          <w:szCs w:val="18"/>
          <w:lang w:val="en-AU"/>
        </w:rPr>
      </w:pPr>
      <w:r w:rsidRPr="003C15F7">
        <w:rPr>
          <w:rFonts w:ascii="Arial" w:hAnsi="Arial" w:cs="Arial"/>
          <w:i/>
          <w:sz w:val="18"/>
          <w:szCs w:val="18"/>
          <w:lang w:val="en-AU"/>
        </w:rPr>
        <w:t>b)</w:t>
      </w:r>
      <w:r w:rsidRPr="003C15F7">
        <w:rPr>
          <w:rFonts w:ascii="Arial" w:hAnsi="Arial" w:cs="Arial"/>
          <w:sz w:val="18"/>
          <w:szCs w:val="18"/>
          <w:lang w:val="en-AU"/>
        </w:rPr>
        <w:tab/>
      </w:r>
      <w:bookmarkStart w:id="62" w:name="_Hlk33452364"/>
      <w:r w:rsidRPr="00685B5C">
        <w:rPr>
          <w:rFonts w:ascii="Arial" w:hAnsi="Arial" w:cs="Arial"/>
          <w:strike/>
          <w:sz w:val="18"/>
          <w:szCs w:val="18"/>
          <w:highlight w:val="yellow"/>
          <w:lang w:val="en-AU"/>
        </w:rPr>
        <w:t>Providing</w:t>
      </w:r>
      <w:r w:rsidRPr="003C15F7">
        <w:rPr>
          <w:rFonts w:ascii="Arial" w:hAnsi="Arial" w:cs="Arial"/>
          <w:sz w:val="18"/>
          <w:szCs w:val="18"/>
          <w:lang w:val="en-AU"/>
        </w:rPr>
        <w:t xml:space="preserve"> </w:t>
      </w:r>
      <w:r w:rsidR="005834F9" w:rsidRPr="003C15F7">
        <w:rPr>
          <w:rFonts w:ascii="Arial" w:hAnsi="Arial" w:cs="Arial"/>
          <w:sz w:val="18"/>
          <w:szCs w:val="18"/>
          <w:highlight w:val="yellow"/>
          <w:u w:val="double"/>
          <w:lang w:val="en-AU"/>
        </w:rPr>
        <w:t>Provide</w:t>
      </w:r>
      <w:r w:rsidR="005834F9" w:rsidRPr="003C15F7">
        <w:rPr>
          <w:rFonts w:ascii="Arial" w:hAnsi="Arial" w:cs="Arial"/>
          <w:sz w:val="18"/>
          <w:szCs w:val="18"/>
          <w:lang w:val="en-AU"/>
        </w:rPr>
        <w:t xml:space="preserve"> </w:t>
      </w:r>
      <w:r w:rsidRPr="003C15F7">
        <w:rPr>
          <w:rFonts w:ascii="Arial" w:hAnsi="Arial" w:cs="Arial"/>
          <w:sz w:val="18"/>
          <w:szCs w:val="18"/>
          <w:lang w:val="en-AU"/>
        </w:rPr>
        <w:t xml:space="preserve">an appropriate level of screening, filtration or </w:t>
      </w:r>
      <w:r w:rsidRPr="003C15F7">
        <w:rPr>
          <w:rFonts w:ascii="Arial" w:hAnsi="Arial" w:cs="Arial"/>
          <w:i/>
          <w:iCs/>
          <w:sz w:val="18"/>
          <w:szCs w:val="18"/>
          <w:lang w:val="en-AU"/>
        </w:rPr>
        <w:t>disinfection</w:t>
      </w:r>
      <w:r w:rsidRPr="003C15F7">
        <w:rPr>
          <w:rFonts w:ascii="Arial" w:hAnsi="Arial" w:cs="Arial"/>
          <w:sz w:val="18"/>
          <w:szCs w:val="18"/>
          <w:lang w:val="en-AU"/>
        </w:rPr>
        <w:t xml:space="preserve"> (</w:t>
      </w:r>
      <w:r w:rsidRPr="003C15F7">
        <w:rPr>
          <w:rFonts w:ascii="Arial" w:hAnsi="Arial" w:cs="Arial"/>
          <w:color w:val="000000"/>
          <w:sz w:val="18"/>
          <w:szCs w:val="18"/>
        </w:rPr>
        <w:t xml:space="preserve">in accordance with Chapter 4.3.) </w:t>
      </w:r>
      <w:r w:rsidRPr="003C15F7">
        <w:rPr>
          <w:rFonts w:ascii="Arial" w:hAnsi="Arial" w:cs="Arial"/>
          <w:sz w:val="18"/>
          <w:szCs w:val="18"/>
          <w:lang w:val="en-AU"/>
        </w:rPr>
        <w:t xml:space="preserve">of water from sources that are likely to contain </w:t>
      </w:r>
      <w:r w:rsidRPr="003C15F7">
        <w:rPr>
          <w:rFonts w:ascii="Arial" w:hAnsi="Arial" w:cs="Arial"/>
          <w:i/>
          <w:sz w:val="18"/>
          <w:szCs w:val="18"/>
          <w:lang w:val="en-AU"/>
        </w:rPr>
        <w:t>susceptible species</w:t>
      </w:r>
      <w:r w:rsidRPr="003C15F7">
        <w:rPr>
          <w:rFonts w:ascii="Arial" w:hAnsi="Arial" w:cs="Arial"/>
          <w:sz w:val="18"/>
          <w:szCs w:val="18"/>
          <w:lang w:val="en-AU"/>
        </w:rPr>
        <w:t xml:space="preserve"> and </w:t>
      </w:r>
      <w:r w:rsidRPr="003C15F7">
        <w:rPr>
          <w:rFonts w:ascii="Arial" w:hAnsi="Arial" w:cs="Arial"/>
          <w:sz w:val="18"/>
          <w:szCs w:val="18"/>
          <w:highlight w:val="yellow"/>
          <w:u w:val="double"/>
          <w:lang w:val="en-AU"/>
        </w:rPr>
        <w:t>which</w:t>
      </w:r>
      <w:r w:rsidRPr="003C15F7">
        <w:rPr>
          <w:rFonts w:ascii="Arial" w:hAnsi="Arial" w:cs="Arial"/>
          <w:sz w:val="18"/>
          <w:szCs w:val="18"/>
          <w:lang w:val="en-AU"/>
        </w:rPr>
        <w:t xml:space="preserve"> may present a </w:t>
      </w:r>
      <w:r w:rsidRPr="003C15F7">
        <w:rPr>
          <w:rFonts w:ascii="Arial" w:hAnsi="Arial" w:cs="Arial"/>
          <w:i/>
          <w:sz w:val="18"/>
          <w:szCs w:val="18"/>
          <w:lang w:val="en-AU"/>
        </w:rPr>
        <w:t>risk</w:t>
      </w:r>
      <w:r w:rsidRPr="003C15F7">
        <w:rPr>
          <w:rFonts w:ascii="Arial" w:hAnsi="Arial" w:cs="Arial"/>
          <w:sz w:val="18"/>
          <w:szCs w:val="18"/>
          <w:lang w:val="en-AU"/>
        </w:rPr>
        <w:t xml:space="preserve"> of </w:t>
      </w:r>
      <w:r w:rsidRPr="003C15F7">
        <w:rPr>
          <w:rFonts w:ascii="Arial" w:hAnsi="Arial" w:cs="Arial"/>
          <w:i/>
          <w:color w:val="000000"/>
          <w:sz w:val="18"/>
          <w:szCs w:val="18"/>
        </w:rPr>
        <w:t xml:space="preserve">pathogenic agent </w:t>
      </w:r>
      <w:r w:rsidRPr="003C15F7">
        <w:rPr>
          <w:rFonts w:ascii="Arial" w:hAnsi="Arial" w:cs="Arial"/>
          <w:sz w:val="18"/>
          <w:szCs w:val="18"/>
          <w:lang w:val="en-AU"/>
        </w:rPr>
        <w:t xml:space="preserve">transmission (e.g. oceans, streams or lakes). The </w:t>
      </w:r>
      <w:r w:rsidRPr="003C15F7">
        <w:rPr>
          <w:rFonts w:ascii="Arial" w:hAnsi="Arial" w:cs="Arial"/>
          <w:sz w:val="18"/>
          <w:szCs w:val="18"/>
          <w:highlight w:val="yellow"/>
          <w:u w:val="double"/>
          <w:lang w:val="en-AU"/>
        </w:rPr>
        <w:t>type and</w:t>
      </w:r>
      <w:r w:rsidRPr="003C15F7">
        <w:rPr>
          <w:rFonts w:ascii="Arial" w:hAnsi="Arial" w:cs="Arial"/>
          <w:sz w:val="18"/>
          <w:szCs w:val="18"/>
          <w:lang w:val="en-AU"/>
        </w:rPr>
        <w:t xml:space="preserve"> level of treatment required will depend on the identified </w:t>
      </w:r>
      <w:r w:rsidRPr="003C15F7">
        <w:rPr>
          <w:rFonts w:ascii="Arial" w:hAnsi="Arial" w:cs="Arial"/>
          <w:i/>
          <w:sz w:val="18"/>
          <w:szCs w:val="18"/>
          <w:lang w:val="en-AU"/>
        </w:rPr>
        <w:t>risks</w:t>
      </w:r>
      <w:r w:rsidRPr="003C15F7">
        <w:rPr>
          <w:rFonts w:ascii="Arial" w:hAnsi="Arial" w:cs="Arial"/>
          <w:sz w:val="18"/>
          <w:szCs w:val="18"/>
          <w:lang w:val="en-AU"/>
        </w:rPr>
        <w:t xml:space="preserve">. </w:t>
      </w:r>
    </w:p>
    <w:bookmarkEnd w:id="62"/>
    <w:p w14:paraId="37138FD3" w14:textId="77777777" w:rsidR="0094086E" w:rsidRPr="003C15F7" w:rsidRDefault="0094086E" w:rsidP="0094086E">
      <w:pPr>
        <w:autoSpaceDE w:val="0"/>
        <w:autoSpaceDN w:val="0"/>
        <w:adjustRightInd w:val="0"/>
        <w:spacing w:after="240"/>
        <w:ind w:left="851" w:hanging="425"/>
        <w:jc w:val="both"/>
        <w:rPr>
          <w:rFonts w:ascii="Arial" w:hAnsi="Arial" w:cs="Arial"/>
          <w:sz w:val="18"/>
          <w:szCs w:val="18"/>
          <w:u w:val="double"/>
          <w:lang w:val="en-AU"/>
        </w:rPr>
      </w:pPr>
      <w:r w:rsidRPr="003C15F7">
        <w:rPr>
          <w:rFonts w:ascii="Arial" w:hAnsi="Arial" w:cs="Arial"/>
          <w:i/>
          <w:sz w:val="18"/>
          <w:szCs w:val="18"/>
          <w:u w:val="double"/>
          <w:lang w:val="en-AU"/>
        </w:rPr>
        <w:t>c)</w:t>
      </w:r>
      <w:r w:rsidRPr="003C15F7">
        <w:rPr>
          <w:rFonts w:ascii="Arial" w:hAnsi="Arial" w:cs="Arial"/>
          <w:iCs/>
          <w:sz w:val="18"/>
          <w:szCs w:val="18"/>
          <w:lang w:val="en-AU"/>
        </w:rPr>
        <w:tab/>
      </w:r>
      <w:r w:rsidRPr="003C15F7">
        <w:rPr>
          <w:rFonts w:ascii="Arial" w:hAnsi="Arial" w:cs="Arial"/>
          <w:iCs/>
          <w:sz w:val="18"/>
          <w:szCs w:val="18"/>
          <w:u w:val="double"/>
          <w:lang w:val="en-AU"/>
        </w:rPr>
        <w:t xml:space="preserve">Provide </w:t>
      </w:r>
      <w:r w:rsidRPr="003C15F7">
        <w:rPr>
          <w:rFonts w:ascii="Arial" w:hAnsi="Arial" w:cs="Arial"/>
          <w:sz w:val="18"/>
          <w:szCs w:val="18"/>
          <w:u w:val="double"/>
          <w:lang w:val="en-AU"/>
        </w:rPr>
        <w:t xml:space="preserve">an appropriate level of filtration </w:t>
      </w:r>
      <w:r w:rsidRPr="003C15F7">
        <w:rPr>
          <w:rFonts w:ascii="Arial" w:hAnsi="Arial" w:cs="Arial"/>
          <w:sz w:val="18"/>
          <w:szCs w:val="18"/>
          <w:highlight w:val="yellow"/>
          <w:u w:val="double"/>
          <w:lang w:val="en-AU"/>
        </w:rPr>
        <w:t>and</w:t>
      </w:r>
      <w:r w:rsidRPr="003C15F7">
        <w:rPr>
          <w:rFonts w:ascii="Arial" w:hAnsi="Arial" w:cs="Arial"/>
          <w:sz w:val="18"/>
          <w:szCs w:val="18"/>
          <w:u w:val="double"/>
          <w:lang w:val="en-AU"/>
        </w:rPr>
        <w:t xml:space="preserve"> </w:t>
      </w:r>
      <w:r w:rsidRPr="003C15F7">
        <w:rPr>
          <w:rFonts w:ascii="Arial" w:hAnsi="Arial" w:cs="Arial"/>
          <w:i/>
          <w:iCs/>
          <w:sz w:val="18"/>
          <w:szCs w:val="18"/>
          <w:u w:val="double"/>
          <w:lang w:val="en-AU"/>
        </w:rPr>
        <w:t>disinfection</w:t>
      </w:r>
      <w:r w:rsidRPr="003C15F7">
        <w:rPr>
          <w:rFonts w:ascii="Arial" w:hAnsi="Arial" w:cs="Arial"/>
          <w:sz w:val="18"/>
          <w:szCs w:val="18"/>
          <w:u w:val="double"/>
          <w:lang w:val="en-AU"/>
        </w:rPr>
        <w:t xml:space="preserve"> </w:t>
      </w:r>
      <w:r w:rsidRPr="003C15F7">
        <w:rPr>
          <w:rFonts w:ascii="Arial" w:hAnsi="Arial" w:cs="Arial"/>
          <w:strike/>
          <w:sz w:val="18"/>
          <w:szCs w:val="18"/>
          <w:highlight w:val="yellow"/>
          <w:u w:val="double"/>
          <w:lang w:val="en-AU"/>
        </w:rPr>
        <w:t>or holding</w:t>
      </w:r>
      <w:r w:rsidRPr="003C15F7">
        <w:rPr>
          <w:rFonts w:ascii="Arial" w:hAnsi="Arial" w:cs="Arial"/>
          <w:sz w:val="18"/>
          <w:szCs w:val="18"/>
          <w:u w:val="double"/>
          <w:lang w:val="en-AU"/>
        </w:rPr>
        <w:t xml:space="preserve"> (</w:t>
      </w:r>
      <w:r w:rsidRPr="003C15F7">
        <w:rPr>
          <w:rFonts w:ascii="Arial" w:hAnsi="Arial" w:cs="Arial"/>
          <w:color w:val="000000"/>
          <w:sz w:val="18"/>
          <w:szCs w:val="18"/>
          <w:u w:val="double"/>
        </w:rPr>
        <w:t>in accordance with Chapter 4.3.)</w:t>
      </w:r>
      <w:r w:rsidRPr="003C15F7">
        <w:rPr>
          <w:rFonts w:ascii="Arial" w:hAnsi="Arial" w:cs="Arial"/>
          <w:iCs/>
          <w:sz w:val="18"/>
          <w:szCs w:val="18"/>
          <w:u w:val="double"/>
          <w:lang w:val="en-AU"/>
        </w:rPr>
        <w:t xml:space="preserve"> of effluent water </w:t>
      </w:r>
      <w:r w:rsidRPr="003C15F7">
        <w:rPr>
          <w:rFonts w:ascii="Arial" w:hAnsi="Arial" w:cs="Arial"/>
          <w:iCs/>
          <w:sz w:val="18"/>
          <w:szCs w:val="18"/>
          <w:highlight w:val="yellow"/>
          <w:u w:val="double"/>
          <w:lang w:val="en-AU"/>
        </w:rPr>
        <w:t>(and associated filtered waste)</w:t>
      </w:r>
      <w:r w:rsidRPr="003C15F7">
        <w:rPr>
          <w:rFonts w:ascii="Arial" w:hAnsi="Arial" w:cs="Arial"/>
          <w:iCs/>
          <w:sz w:val="18"/>
          <w:szCs w:val="18"/>
          <w:u w:val="double"/>
          <w:lang w:val="en-AU"/>
        </w:rPr>
        <w:t xml:space="preserve"> from </w:t>
      </w:r>
      <w:r w:rsidRPr="003C15F7">
        <w:rPr>
          <w:rFonts w:ascii="Arial" w:hAnsi="Arial" w:cs="Arial"/>
          <w:i/>
          <w:sz w:val="18"/>
          <w:szCs w:val="18"/>
          <w:u w:val="double"/>
          <w:lang w:val="en-AU"/>
        </w:rPr>
        <w:t>aquaculture establishments</w:t>
      </w:r>
      <w:r w:rsidRPr="003C15F7">
        <w:rPr>
          <w:rFonts w:ascii="Arial" w:hAnsi="Arial" w:cs="Arial"/>
          <w:iCs/>
          <w:sz w:val="18"/>
          <w:szCs w:val="18"/>
          <w:u w:val="double"/>
          <w:lang w:val="en-AU"/>
        </w:rPr>
        <w:t xml:space="preserve"> (or associated slaughterhouses or processing facilities) where it </w:t>
      </w:r>
      <w:r w:rsidRPr="003C15F7">
        <w:rPr>
          <w:rFonts w:ascii="Arial" w:hAnsi="Arial" w:cs="Arial"/>
          <w:sz w:val="18"/>
          <w:szCs w:val="18"/>
          <w:u w:val="double"/>
          <w:lang w:val="en-AU"/>
        </w:rPr>
        <w:t xml:space="preserve">may present a </w:t>
      </w:r>
      <w:r w:rsidRPr="003C15F7">
        <w:rPr>
          <w:rFonts w:ascii="Arial" w:hAnsi="Arial" w:cs="Arial"/>
          <w:i/>
          <w:sz w:val="18"/>
          <w:szCs w:val="18"/>
          <w:u w:val="double"/>
          <w:lang w:val="en-AU"/>
        </w:rPr>
        <w:t>risk</w:t>
      </w:r>
      <w:r w:rsidRPr="003C15F7">
        <w:rPr>
          <w:rFonts w:ascii="Arial" w:hAnsi="Arial" w:cs="Arial"/>
          <w:sz w:val="18"/>
          <w:szCs w:val="18"/>
          <w:u w:val="double"/>
          <w:lang w:val="en-AU"/>
        </w:rPr>
        <w:t xml:space="preserve"> of </w:t>
      </w:r>
      <w:r w:rsidRPr="003C15F7">
        <w:rPr>
          <w:rFonts w:ascii="Arial" w:hAnsi="Arial" w:cs="Arial"/>
          <w:i/>
          <w:color w:val="000000"/>
          <w:sz w:val="18"/>
          <w:szCs w:val="18"/>
          <w:u w:val="double"/>
        </w:rPr>
        <w:t xml:space="preserve">pathogenic agent </w:t>
      </w:r>
      <w:r w:rsidRPr="003C15F7">
        <w:rPr>
          <w:rFonts w:ascii="Arial" w:hAnsi="Arial" w:cs="Arial"/>
          <w:sz w:val="18"/>
          <w:szCs w:val="18"/>
          <w:u w:val="double"/>
          <w:lang w:val="en-AU"/>
        </w:rPr>
        <w:t>transmission to</w:t>
      </w:r>
      <w:r w:rsidRPr="003C15F7">
        <w:rPr>
          <w:rFonts w:ascii="Arial" w:hAnsi="Arial" w:cs="Arial"/>
          <w:iCs/>
          <w:sz w:val="18"/>
          <w:szCs w:val="18"/>
          <w:u w:val="double"/>
          <w:lang w:val="en-AU"/>
        </w:rPr>
        <w:t xml:space="preserve"> wild </w:t>
      </w:r>
      <w:r w:rsidRPr="003C15F7">
        <w:rPr>
          <w:rFonts w:ascii="Arial" w:hAnsi="Arial" w:cs="Arial"/>
          <w:i/>
          <w:sz w:val="18"/>
          <w:szCs w:val="18"/>
          <w:u w:val="double"/>
          <w:lang w:val="en-AU"/>
        </w:rPr>
        <w:t>aquatic animals</w:t>
      </w:r>
      <w:r w:rsidRPr="003C15F7">
        <w:rPr>
          <w:rFonts w:ascii="Arial" w:hAnsi="Arial" w:cs="Arial"/>
          <w:iCs/>
          <w:sz w:val="18"/>
          <w:szCs w:val="18"/>
          <w:u w:val="double"/>
          <w:lang w:val="en-AU"/>
        </w:rPr>
        <w:t xml:space="preserve"> or other </w:t>
      </w:r>
      <w:r w:rsidRPr="003C15F7">
        <w:rPr>
          <w:rFonts w:ascii="Arial" w:hAnsi="Arial" w:cs="Arial"/>
          <w:i/>
          <w:sz w:val="18"/>
          <w:szCs w:val="18"/>
          <w:u w:val="double"/>
          <w:lang w:val="en-AU"/>
        </w:rPr>
        <w:t>aquaculture establishments</w:t>
      </w:r>
      <w:r w:rsidRPr="003C15F7">
        <w:rPr>
          <w:rFonts w:ascii="Arial" w:hAnsi="Arial" w:cs="Arial"/>
          <w:iCs/>
          <w:sz w:val="18"/>
          <w:szCs w:val="18"/>
          <w:u w:val="double"/>
          <w:lang w:val="en-AU"/>
        </w:rPr>
        <w:t xml:space="preserve"> with</w:t>
      </w:r>
      <w:r w:rsidRPr="003C15F7">
        <w:rPr>
          <w:rFonts w:ascii="Arial" w:hAnsi="Arial" w:cs="Arial"/>
          <w:i/>
          <w:sz w:val="18"/>
          <w:szCs w:val="18"/>
          <w:u w:val="double"/>
          <w:lang w:val="en-AU"/>
        </w:rPr>
        <w:t xml:space="preserve"> susceptible species</w:t>
      </w:r>
      <w:r w:rsidRPr="003C15F7">
        <w:rPr>
          <w:rFonts w:ascii="Arial" w:hAnsi="Arial" w:cs="Arial"/>
          <w:color w:val="000000"/>
          <w:sz w:val="18"/>
          <w:szCs w:val="18"/>
          <w:u w:val="double"/>
        </w:rPr>
        <w:t xml:space="preserve">. </w:t>
      </w:r>
      <w:r w:rsidRPr="003C15F7">
        <w:rPr>
          <w:rFonts w:ascii="Arial" w:hAnsi="Arial" w:cs="Arial"/>
          <w:sz w:val="18"/>
          <w:szCs w:val="18"/>
          <w:u w:val="double"/>
          <w:lang w:val="en-AU"/>
        </w:rPr>
        <w:t xml:space="preserve">The </w:t>
      </w:r>
      <w:r w:rsidRPr="003C15F7">
        <w:rPr>
          <w:rFonts w:ascii="Arial" w:hAnsi="Arial" w:cs="Arial"/>
          <w:sz w:val="18"/>
          <w:szCs w:val="18"/>
          <w:highlight w:val="yellow"/>
          <w:u w:val="double"/>
          <w:lang w:val="en-AU"/>
        </w:rPr>
        <w:t>type and</w:t>
      </w:r>
      <w:r w:rsidRPr="003C15F7">
        <w:rPr>
          <w:rFonts w:ascii="Arial" w:hAnsi="Arial" w:cs="Arial"/>
          <w:sz w:val="18"/>
          <w:szCs w:val="18"/>
          <w:u w:val="double"/>
          <w:lang w:val="en-AU"/>
        </w:rPr>
        <w:t xml:space="preserve"> level of treatment required will depend on the identified </w:t>
      </w:r>
      <w:r w:rsidRPr="003C15F7">
        <w:rPr>
          <w:rFonts w:ascii="Arial" w:hAnsi="Arial" w:cs="Arial"/>
          <w:i/>
          <w:sz w:val="18"/>
          <w:szCs w:val="18"/>
          <w:u w:val="double"/>
          <w:lang w:val="en-AU"/>
        </w:rPr>
        <w:t>risks</w:t>
      </w:r>
      <w:r w:rsidRPr="003C15F7">
        <w:rPr>
          <w:rFonts w:ascii="Arial" w:hAnsi="Arial" w:cs="Arial"/>
          <w:sz w:val="18"/>
          <w:szCs w:val="18"/>
          <w:u w:val="double"/>
          <w:lang w:val="en-AU"/>
        </w:rPr>
        <w:t xml:space="preserve">. </w:t>
      </w:r>
    </w:p>
    <w:p w14:paraId="04815C0F" w14:textId="7B440462" w:rsidR="0094086E" w:rsidRPr="003C15F7" w:rsidRDefault="0094086E" w:rsidP="0094086E">
      <w:pPr>
        <w:autoSpaceDE w:val="0"/>
        <w:autoSpaceDN w:val="0"/>
        <w:adjustRightInd w:val="0"/>
        <w:spacing w:after="240"/>
        <w:ind w:left="851" w:hanging="425"/>
        <w:jc w:val="both"/>
        <w:rPr>
          <w:rFonts w:ascii="Arial" w:hAnsi="Arial" w:cs="Arial"/>
          <w:sz w:val="18"/>
          <w:szCs w:val="18"/>
        </w:rPr>
      </w:pPr>
      <w:r w:rsidRPr="003C15F7">
        <w:rPr>
          <w:rFonts w:ascii="Arial" w:hAnsi="Arial" w:cs="Arial"/>
          <w:i/>
          <w:strike/>
          <w:sz w:val="18"/>
          <w:szCs w:val="18"/>
          <w:lang w:val="en-AU"/>
        </w:rPr>
        <w:t>c</w:t>
      </w:r>
      <w:r w:rsidRPr="003C15F7">
        <w:rPr>
          <w:rFonts w:ascii="Arial" w:hAnsi="Arial" w:cs="Arial"/>
          <w:i/>
          <w:sz w:val="18"/>
          <w:szCs w:val="18"/>
          <w:u w:val="double"/>
          <w:lang w:val="en-AU"/>
        </w:rPr>
        <w:t>d)</w:t>
      </w:r>
      <w:r w:rsidRPr="003C15F7">
        <w:rPr>
          <w:rFonts w:ascii="Arial" w:hAnsi="Arial" w:cs="Arial"/>
          <w:sz w:val="18"/>
          <w:szCs w:val="18"/>
          <w:lang w:val="en-AU"/>
        </w:rPr>
        <w:t xml:space="preserve"> </w:t>
      </w:r>
      <w:r w:rsidRPr="003C15F7">
        <w:rPr>
          <w:rFonts w:ascii="Arial" w:hAnsi="Arial" w:cs="Arial"/>
          <w:sz w:val="18"/>
          <w:szCs w:val="18"/>
          <w:lang w:val="en-AU"/>
        </w:rPr>
        <w:tab/>
      </w:r>
      <w:r w:rsidRPr="00685B5C">
        <w:rPr>
          <w:rFonts w:ascii="Arial" w:hAnsi="Arial" w:cs="Arial"/>
          <w:strike/>
          <w:sz w:val="18"/>
          <w:szCs w:val="18"/>
          <w:highlight w:val="yellow"/>
          <w:lang w:val="en-AU"/>
        </w:rPr>
        <w:t>Ensuring</w:t>
      </w:r>
      <w:r w:rsidR="005834F9" w:rsidRPr="00685B5C">
        <w:rPr>
          <w:rFonts w:ascii="Arial" w:hAnsi="Arial" w:cs="Arial"/>
          <w:sz w:val="18"/>
          <w:szCs w:val="18"/>
          <w:lang w:val="en-AU"/>
        </w:rPr>
        <w:t xml:space="preserve"> </w:t>
      </w:r>
      <w:r w:rsidR="005834F9" w:rsidRPr="003C15F7">
        <w:rPr>
          <w:rFonts w:ascii="Arial" w:hAnsi="Arial" w:cs="Arial"/>
          <w:sz w:val="18"/>
          <w:szCs w:val="18"/>
          <w:highlight w:val="yellow"/>
          <w:u w:val="double"/>
          <w:lang w:val="en-AU"/>
        </w:rPr>
        <w:t>Ensure</w:t>
      </w:r>
      <w:r w:rsidRPr="003C15F7">
        <w:rPr>
          <w:rFonts w:ascii="Arial" w:hAnsi="Arial" w:cs="Arial"/>
          <w:sz w:val="18"/>
          <w:szCs w:val="18"/>
          <w:lang w:val="en-AU"/>
        </w:rPr>
        <w:t xml:space="preserve"> the position of water intakes and outlets for semi-closed and closed </w:t>
      </w:r>
      <w:r w:rsidRPr="003C15F7">
        <w:rPr>
          <w:rFonts w:ascii="Arial" w:hAnsi="Arial" w:cs="Arial"/>
          <w:i/>
          <w:sz w:val="18"/>
          <w:szCs w:val="18"/>
          <w:lang w:val="en-AU"/>
        </w:rPr>
        <w:t>aquaculture establishments</w:t>
      </w:r>
      <w:r w:rsidRPr="003C15F7">
        <w:rPr>
          <w:rFonts w:ascii="Arial" w:hAnsi="Arial" w:cs="Arial"/>
          <w:sz w:val="18"/>
          <w:szCs w:val="18"/>
          <w:lang w:val="en-AU"/>
        </w:rPr>
        <w:t xml:space="preserve">, and the location of semi-open </w:t>
      </w:r>
      <w:r w:rsidRPr="003C15F7">
        <w:rPr>
          <w:rFonts w:ascii="Arial" w:hAnsi="Arial" w:cs="Arial"/>
          <w:i/>
          <w:sz w:val="18"/>
          <w:szCs w:val="18"/>
          <w:lang w:val="en-AU"/>
        </w:rPr>
        <w:t>aquaculture establishments</w:t>
      </w:r>
      <w:r w:rsidRPr="003C15F7">
        <w:rPr>
          <w:rFonts w:ascii="Arial" w:hAnsi="Arial" w:cs="Arial"/>
          <w:sz w:val="18"/>
          <w:szCs w:val="18"/>
          <w:lang w:val="en-AU"/>
        </w:rPr>
        <w:t xml:space="preserve">, minimises contamination from </w:t>
      </w:r>
      <w:r w:rsidRPr="003C15F7">
        <w:rPr>
          <w:rFonts w:ascii="Arial" w:hAnsi="Arial" w:cs="Arial"/>
          <w:sz w:val="18"/>
          <w:szCs w:val="18"/>
        </w:rPr>
        <w:t>other farmed or wild populations or processing plants</w:t>
      </w:r>
      <w:r w:rsidRPr="003C15F7">
        <w:rPr>
          <w:rFonts w:ascii="Arial" w:hAnsi="Arial" w:cs="Arial"/>
          <w:sz w:val="18"/>
          <w:szCs w:val="18"/>
          <w:u w:val="double"/>
        </w:rPr>
        <w:t>, taking into account factors such as distance and water currents</w:t>
      </w:r>
      <w:r w:rsidRPr="003C15F7">
        <w:rPr>
          <w:rFonts w:ascii="Arial" w:hAnsi="Arial" w:cs="Arial"/>
          <w:sz w:val="18"/>
          <w:szCs w:val="18"/>
        </w:rPr>
        <w:t>.</w:t>
      </w:r>
    </w:p>
    <w:p w14:paraId="71B56D15" w14:textId="77777777" w:rsidR="0094086E" w:rsidRPr="003C15F7" w:rsidRDefault="0094086E" w:rsidP="0094086E">
      <w:pPr>
        <w:autoSpaceDE w:val="0"/>
        <w:autoSpaceDN w:val="0"/>
        <w:adjustRightInd w:val="0"/>
        <w:spacing w:after="240"/>
        <w:ind w:left="851" w:hanging="425"/>
        <w:jc w:val="both"/>
        <w:rPr>
          <w:rFonts w:ascii="Arial" w:hAnsi="Arial" w:cs="Arial"/>
          <w:iCs/>
          <w:sz w:val="18"/>
          <w:szCs w:val="18"/>
          <w:u w:val="double"/>
          <w:lang w:val="en-AU"/>
        </w:rPr>
      </w:pPr>
      <w:r w:rsidRPr="003C15F7">
        <w:rPr>
          <w:rFonts w:ascii="Arial" w:hAnsi="Arial" w:cs="Arial"/>
          <w:i/>
          <w:sz w:val="18"/>
          <w:szCs w:val="18"/>
          <w:u w:val="double"/>
          <w:lang w:val="en-AU"/>
        </w:rPr>
        <w:t>e)</w:t>
      </w:r>
      <w:r w:rsidRPr="003C15F7">
        <w:rPr>
          <w:rFonts w:ascii="Arial" w:hAnsi="Arial" w:cs="Arial"/>
          <w:i/>
          <w:sz w:val="18"/>
          <w:szCs w:val="18"/>
          <w:lang w:val="en-AU"/>
        </w:rPr>
        <w:tab/>
      </w:r>
      <w:r w:rsidRPr="003C15F7">
        <w:rPr>
          <w:rFonts w:ascii="Arial" w:hAnsi="Arial" w:cs="Arial"/>
          <w:iCs/>
          <w:sz w:val="18"/>
          <w:szCs w:val="18"/>
          <w:u w:val="double"/>
          <w:lang w:val="en-AU"/>
        </w:rPr>
        <w:t>The likelihood of ingress of contaminated water either through flooding from external sources or from defective infrastructure (e.g. leaking pipes, blocked drains, bund wall failure) should be assessed and appropriate management or infrastructure measures applied.</w:t>
      </w:r>
    </w:p>
    <w:p w14:paraId="5826C353" w14:textId="77777777" w:rsidR="0094086E" w:rsidRPr="003C15F7" w:rsidRDefault="0094086E" w:rsidP="0094086E">
      <w:pPr>
        <w:autoSpaceDE w:val="0"/>
        <w:autoSpaceDN w:val="0"/>
        <w:adjustRightInd w:val="0"/>
        <w:spacing w:after="240"/>
        <w:ind w:left="851" w:hanging="425"/>
        <w:jc w:val="both"/>
        <w:rPr>
          <w:rFonts w:ascii="Arial" w:hAnsi="Arial" w:cs="Arial"/>
          <w:iCs/>
          <w:sz w:val="18"/>
          <w:szCs w:val="18"/>
          <w:u w:val="double"/>
        </w:rPr>
      </w:pPr>
      <w:r w:rsidRPr="003C15F7">
        <w:rPr>
          <w:rFonts w:ascii="Arial" w:hAnsi="Arial" w:cs="Arial"/>
          <w:i/>
          <w:sz w:val="18"/>
          <w:szCs w:val="18"/>
          <w:u w:val="double"/>
          <w:lang w:val="en-AU"/>
        </w:rPr>
        <w:t>f</w:t>
      </w:r>
      <w:r w:rsidRPr="003C15F7">
        <w:rPr>
          <w:rFonts w:ascii="Arial" w:hAnsi="Arial" w:cs="Arial"/>
          <w:iCs/>
          <w:sz w:val="18"/>
          <w:szCs w:val="18"/>
          <w:u w:val="double"/>
          <w:lang w:val="en-AU"/>
        </w:rPr>
        <w:t>)</w:t>
      </w:r>
      <w:r w:rsidRPr="003C15F7">
        <w:rPr>
          <w:rFonts w:ascii="Arial" w:hAnsi="Arial" w:cs="Arial"/>
          <w:iCs/>
          <w:sz w:val="18"/>
          <w:szCs w:val="18"/>
          <w:lang w:val="en-AU"/>
        </w:rPr>
        <w:tab/>
      </w:r>
      <w:r w:rsidRPr="003C15F7">
        <w:rPr>
          <w:rFonts w:ascii="Arial" w:hAnsi="Arial" w:cs="Arial"/>
          <w:iCs/>
          <w:sz w:val="18"/>
          <w:szCs w:val="18"/>
          <w:highlight w:val="yellow"/>
          <w:u w:val="double"/>
          <w:lang w:val="en-AU"/>
        </w:rPr>
        <w:t xml:space="preserve">Assess the </w:t>
      </w:r>
      <w:r w:rsidRPr="003C15F7">
        <w:rPr>
          <w:rFonts w:ascii="Arial" w:hAnsi="Arial" w:cs="Arial"/>
          <w:i/>
          <w:sz w:val="18"/>
          <w:szCs w:val="18"/>
          <w:highlight w:val="yellow"/>
          <w:u w:val="double"/>
          <w:lang w:val="en-AU"/>
        </w:rPr>
        <w:t>risk</w:t>
      </w:r>
      <w:r w:rsidRPr="003C15F7">
        <w:rPr>
          <w:rFonts w:ascii="Arial" w:hAnsi="Arial" w:cs="Arial"/>
          <w:iCs/>
          <w:sz w:val="18"/>
          <w:szCs w:val="18"/>
          <w:highlight w:val="yellow"/>
          <w:u w:val="double"/>
          <w:lang w:val="en-AU"/>
        </w:rPr>
        <w:t xml:space="preserve"> and establish procedures to treat and dispose of </w:t>
      </w:r>
      <w:r w:rsidRPr="003C15F7">
        <w:rPr>
          <w:rFonts w:ascii="Arial" w:hAnsi="Arial" w:cs="Arial"/>
          <w:i/>
          <w:sz w:val="18"/>
          <w:szCs w:val="18"/>
          <w:highlight w:val="yellow"/>
          <w:u w:val="double"/>
          <w:lang w:val="en-AU"/>
        </w:rPr>
        <w:t>waste</w:t>
      </w:r>
      <w:r w:rsidRPr="003C15F7">
        <w:rPr>
          <w:rFonts w:ascii="Arial" w:hAnsi="Arial" w:cs="Arial"/>
          <w:iCs/>
          <w:sz w:val="18"/>
          <w:szCs w:val="18"/>
          <w:highlight w:val="yellow"/>
          <w:u w:val="double"/>
          <w:lang w:val="en-AU"/>
        </w:rPr>
        <w:t xml:space="preserve"> water resulting from the transport of </w:t>
      </w:r>
      <w:r w:rsidRPr="003C15F7">
        <w:rPr>
          <w:rFonts w:ascii="Arial" w:hAnsi="Arial" w:cs="Arial"/>
          <w:i/>
          <w:sz w:val="18"/>
          <w:szCs w:val="18"/>
          <w:highlight w:val="yellow"/>
          <w:u w:val="double"/>
          <w:lang w:val="en-AU"/>
        </w:rPr>
        <w:t>aquatic animals</w:t>
      </w:r>
      <w:r w:rsidRPr="003C15F7">
        <w:rPr>
          <w:rFonts w:ascii="Arial" w:hAnsi="Arial" w:cs="Arial"/>
          <w:iCs/>
          <w:sz w:val="18"/>
          <w:szCs w:val="18"/>
          <w:highlight w:val="yellow"/>
          <w:u w:val="double"/>
          <w:lang w:val="en-AU"/>
        </w:rPr>
        <w:t>.</w:t>
      </w:r>
    </w:p>
    <w:p w14:paraId="62203B5D" w14:textId="77777777" w:rsidR="0094086E" w:rsidRPr="003C15F7" w:rsidRDefault="0094086E" w:rsidP="0094086E">
      <w:pPr>
        <w:spacing w:after="240"/>
        <w:ind w:left="426" w:hanging="426"/>
        <w:jc w:val="both"/>
        <w:rPr>
          <w:rFonts w:ascii="Arial" w:hAnsi="Arial" w:cs="Arial"/>
          <w:color w:val="000000"/>
          <w:sz w:val="18"/>
          <w:szCs w:val="18"/>
        </w:rPr>
      </w:pPr>
      <w:r w:rsidRPr="003C15F7">
        <w:rPr>
          <w:rFonts w:ascii="Arial" w:hAnsi="Arial" w:cs="Arial"/>
          <w:color w:val="000000"/>
          <w:sz w:val="18"/>
          <w:szCs w:val="18"/>
        </w:rPr>
        <w:t>4.</w:t>
      </w:r>
      <w:r w:rsidRPr="003C15F7">
        <w:rPr>
          <w:rFonts w:ascii="Arial" w:hAnsi="Arial" w:cs="Arial"/>
          <w:color w:val="000000"/>
          <w:sz w:val="18"/>
          <w:szCs w:val="18"/>
        </w:rPr>
        <w:tab/>
      </w:r>
      <w:r w:rsidRPr="003C15F7">
        <w:rPr>
          <w:rFonts w:ascii="Arial" w:hAnsi="Arial" w:cs="Arial"/>
          <w:color w:val="000000"/>
          <w:sz w:val="18"/>
          <w:szCs w:val="18"/>
          <w:u w:val="single"/>
        </w:rPr>
        <w:t>Feed</w:t>
      </w:r>
    </w:p>
    <w:p w14:paraId="0992546D" w14:textId="77777777" w:rsidR="0094086E" w:rsidRPr="003C15F7" w:rsidRDefault="0094086E" w:rsidP="0094086E">
      <w:pPr>
        <w:spacing w:after="240"/>
        <w:ind w:left="426"/>
        <w:jc w:val="both"/>
        <w:rPr>
          <w:rFonts w:ascii="Arial" w:hAnsi="Arial" w:cs="Arial"/>
          <w:color w:val="000000"/>
          <w:sz w:val="18"/>
          <w:szCs w:val="18"/>
        </w:rPr>
      </w:pPr>
      <w:r w:rsidRPr="003C15F7">
        <w:rPr>
          <w:rFonts w:ascii="Arial" w:hAnsi="Arial" w:cs="Arial"/>
          <w:i/>
          <w:color w:val="000000"/>
          <w:sz w:val="18"/>
          <w:szCs w:val="18"/>
        </w:rPr>
        <w:t>Feed</w:t>
      </w:r>
      <w:r w:rsidRPr="003C15F7">
        <w:rPr>
          <w:rFonts w:ascii="Arial" w:hAnsi="Arial" w:cs="Arial"/>
          <w:color w:val="000000"/>
          <w:sz w:val="18"/>
          <w:szCs w:val="18"/>
        </w:rPr>
        <w:t xml:space="preserve"> can be an important pathway for transmission of </w:t>
      </w:r>
      <w:r w:rsidRPr="003C15F7">
        <w:rPr>
          <w:rFonts w:ascii="Arial" w:hAnsi="Arial" w:cs="Arial"/>
          <w:i/>
          <w:color w:val="000000"/>
          <w:sz w:val="18"/>
          <w:szCs w:val="18"/>
        </w:rPr>
        <w:t xml:space="preserve">pathogenic agents </w:t>
      </w:r>
      <w:r w:rsidRPr="003C15F7">
        <w:rPr>
          <w:rFonts w:ascii="Arial" w:hAnsi="Arial" w:cs="Arial"/>
          <w:color w:val="000000"/>
          <w:sz w:val="18"/>
          <w:szCs w:val="18"/>
        </w:rPr>
        <w:t xml:space="preserve">to </w:t>
      </w:r>
      <w:r w:rsidRPr="003C15F7">
        <w:rPr>
          <w:rFonts w:ascii="Arial" w:hAnsi="Arial" w:cs="Arial"/>
          <w:i/>
          <w:color w:val="000000"/>
          <w:sz w:val="18"/>
          <w:szCs w:val="18"/>
        </w:rPr>
        <w:t>aquatic animals</w:t>
      </w:r>
      <w:r w:rsidRPr="003C15F7">
        <w:rPr>
          <w:rFonts w:ascii="Arial" w:hAnsi="Arial" w:cs="Arial"/>
          <w:color w:val="000000"/>
          <w:sz w:val="18"/>
          <w:szCs w:val="18"/>
        </w:rPr>
        <w:t xml:space="preserve">. </w:t>
      </w:r>
      <w:r w:rsidRPr="003C15F7">
        <w:rPr>
          <w:rFonts w:ascii="Arial" w:hAnsi="Arial" w:cs="Arial"/>
          <w:i/>
          <w:color w:val="000000"/>
          <w:sz w:val="18"/>
          <w:szCs w:val="18"/>
        </w:rPr>
        <w:t>Feed</w:t>
      </w:r>
      <w:r w:rsidRPr="003C15F7">
        <w:rPr>
          <w:rFonts w:ascii="Arial" w:hAnsi="Arial" w:cs="Arial"/>
          <w:color w:val="000000"/>
          <w:sz w:val="18"/>
          <w:szCs w:val="18"/>
        </w:rPr>
        <w:t xml:space="preserve"> may be initially infected with </w:t>
      </w:r>
      <w:r w:rsidRPr="003C15F7">
        <w:rPr>
          <w:rFonts w:ascii="Arial" w:hAnsi="Arial" w:cs="Arial"/>
          <w:i/>
          <w:color w:val="000000"/>
          <w:sz w:val="18"/>
          <w:szCs w:val="18"/>
        </w:rPr>
        <w:t xml:space="preserve">pathogenic agents </w:t>
      </w:r>
      <w:r w:rsidRPr="003C15F7">
        <w:rPr>
          <w:rFonts w:ascii="Arial" w:hAnsi="Arial" w:cs="Arial"/>
          <w:color w:val="000000"/>
          <w:sz w:val="18"/>
          <w:szCs w:val="18"/>
        </w:rPr>
        <w:t>or</w:t>
      </w:r>
      <w:r w:rsidRPr="003C15F7">
        <w:rPr>
          <w:rFonts w:ascii="Arial" w:hAnsi="Arial" w:cs="Arial"/>
          <w:i/>
          <w:color w:val="000000"/>
          <w:sz w:val="18"/>
          <w:szCs w:val="18"/>
        </w:rPr>
        <w:t xml:space="preserve"> </w:t>
      </w:r>
      <w:r w:rsidRPr="003C15F7">
        <w:rPr>
          <w:rFonts w:ascii="Arial" w:hAnsi="Arial" w:cs="Arial"/>
          <w:color w:val="000000"/>
          <w:sz w:val="18"/>
          <w:szCs w:val="18"/>
        </w:rPr>
        <w:t xml:space="preserve">contaminated during harvest, transport, storage and processing of </w:t>
      </w:r>
      <w:r w:rsidRPr="003C15F7">
        <w:rPr>
          <w:rFonts w:ascii="Arial" w:hAnsi="Arial" w:cs="Arial"/>
          <w:i/>
          <w:iCs/>
          <w:color w:val="000000"/>
          <w:sz w:val="18"/>
          <w:szCs w:val="18"/>
        </w:rPr>
        <w:t>commodities</w:t>
      </w:r>
      <w:r w:rsidRPr="003C15F7">
        <w:rPr>
          <w:rFonts w:ascii="Arial" w:hAnsi="Arial" w:cs="Arial"/>
          <w:color w:val="000000"/>
          <w:sz w:val="18"/>
          <w:szCs w:val="18"/>
        </w:rPr>
        <w:t xml:space="preserve"> used as </w:t>
      </w:r>
      <w:r w:rsidRPr="003C15F7">
        <w:rPr>
          <w:rFonts w:ascii="Arial" w:hAnsi="Arial" w:cs="Arial"/>
          <w:i/>
          <w:iCs/>
          <w:color w:val="000000"/>
          <w:sz w:val="18"/>
          <w:szCs w:val="18"/>
        </w:rPr>
        <w:t>feed</w:t>
      </w:r>
      <w:r w:rsidRPr="003C15F7">
        <w:rPr>
          <w:rFonts w:ascii="Arial" w:hAnsi="Arial" w:cs="Arial"/>
          <w:color w:val="000000"/>
          <w:sz w:val="18"/>
          <w:szCs w:val="18"/>
        </w:rPr>
        <w:t xml:space="preserve"> </w:t>
      </w:r>
      <w:r w:rsidRPr="003C15F7">
        <w:rPr>
          <w:rFonts w:ascii="Arial" w:hAnsi="Arial" w:cs="Arial"/>
          <w:i/>
          <w:iCs/>
          <w:color w:val="000000"/>
          <w:sz w:val="18"/>
          <w:szCs w:val="18"/>
        </w:rPr>
        <w:t>ingredients</w:t>
      </w:r>
      <w:r w:rsidRPr="003C15F7">
        <w:rPr>
          <w:rFonts w:ascii="Arial" w:hAnsi="Arial" w:cs="Arial"/>
          <w:color w:val="000000"/>
          <w:sz w:val="18"/>
          <w:szCs w:val="18"/>
        </w:rPr>
        <w:t xml:space="preserve">. Poor hygiene may contribute to contamination during manufacture, transport, storage and use of </w:t>
      </w:r>
      <w:r w:rsidRPr="003C15F7">
        <w:rPr>
          <w:rFonts w:ascii="Arial" w:hAnsi="Arial" w:cs="Arial"/>
          <w:i/>
          <w:color w:val="000000"/>
          <w:sz w:val="18"/>
          <w:szCs w:val="18"/>
        </w:rPr>
        <w:t>feed</w:t>
      </w:r>
      <w:r w:rsidRPr="003C15F7">
        <w:rPr>
          <w:rFonts w:ascii="Arial" w:hAnsi="Arial" w:cs="Arial"/>
          <w:color w:val="000000"/>
          <w:sz w:val="18"/>
          <w:szCs w:val="18"/>
        </w:rPr>
        <w:t>.</w:t>
      </w:r>
    </w:p>
    <w:p w14:paraId="4DBD93D1" w14:textId="77777777" w:rsidR="0094086E" w:rsidRPr="003C15F7" w:rsidRDefault="0094086E" w:rsidP="0094086E">
      <w:pPr>
        <w:spacing w:after="240"/>
        <w:ind w:left="426"/>
        <w:jc w:val="both"/>
        <w:rPr>
          <w:rFonts w:ascii="Arial" w:hAnsi="Arial" w:cs="Arial"/>
          <w:sz w:val="18"/>
          <w:szCs w:val="18"/>
          <w:lang w:val="en-NZ"/>
        </w:rPr>
      </w:pPr>
      <w:r w:rsidRPr="003C15F7">
        <w:rPr>
          <w:rFonts w:ascii="Arial" w:hAnsi="Arial" w:cs="Arial"/>
          <w:sz w:val="18"/>
          <w:szCs w:val="18"/>
        </w:rPr>
        <w:t xml:space="preserve">In closed or semi-closed production systems there can be a high level of control on </w:t>
      </w:r>
      <w:r w:rsidRPr="003C15F7">
        <w:rPr>
          <w:rFonts w:ascii="Arial" w:hAnsi="Arial" w:cs="Arial"/>
          <w:i/>
          <w:sz w:val="18"/>
          <w:szCs w:val="18"/>
        </w:rPr>
        <w:t>aquatic animal</w:t>
      </w:r>
      <w:r w:rsidRPr="003C15F7">
        <w:rPr>
          <w:rFonts w:ascii="Arial" w:eastAsia="SimSun" w:hAnsi="Arial" w:cs="Arial"/>
          <w:i/>
          <w:sz w:val="18"/>
          <w:szCs w:val="18"/>
          <w:lang w:eastAsia="zh-CN"/>
        </w:rPr>
        <w:t xml:space="preserve"> </w:t>
      </w:r>
      <w:r w:rsidRPr="003C15F7">
        <w:rPr>
          <w:rFonts w:ascii="Arial" w:hAnsi="Arial" w:cs="Arial"/>
          <w:i/>
          <w:sz w:val="18"/>
          <w:szCs w:val="18"/>
        </w:rPr>
        <w:t>feed</w:t>
      </w:r>
      <w:r w:rsidRPr="003C15F7">
        <w:rPr>
          <w:rFonts w:ascii="Arial" w:hAnsi="Arial" w:cs="Arial"/>
          <w:i/>
          <w:strike/>
          <w:sz w:val="18"/>
          <w:szCs w:val="18"/>
        </w:rPr>
        <w:t>s</w:t>
      </w:r>
      <w:r w:rsidRPr="003C15F7">
        <w:rPr>
          <w:rFonts w:ascii="Arial" w:hAnsi="Arial" w:cs="Arial"/>
          <w:sz w:val="18"/>
          <w:szCs w:val="18"/>
        </w:rPr>
        <w:t xml:space="preserve">. However, in semi-open production systems, </w:t>
      </w:r>
      <w:r w:rsidRPr="003C15F7">
        <w:rPr>
          <w:rFonts w:ascii="Arial" w:hAnsi="Arial" w:cs="Arial"/>
          <w:i/>
          <w:sz w:val="18"/>
          <w:szCs w:val="18"/>
        </w:rPr>
        <w:t>aquatic animals</w:t>
      </w:r>
      <w:r w:rsidRPr="003C15F7">
        <w:rPr>
          <w:rFonts w:ascii="Arial" w:eastAsia="SimSun" w:hAnsi="Arial" w:cs="Arial"/>
          <w:i/>
          <w:sz w:val="18"/>
          <w:szCs w:val="18"/>
          <w:lang w:eastAsia="zh-CN"/>
        </w:rPr>
        <w:t xml:space="preserve"> </w:t>
      </w:r>
      <w:r w:rsidRPr="003C15F7">
        <w:rPr>
          <w:rFonts w:ascii="Arial" w:hAnsi="Arial" w:cs="Arial"/>
          <w:sz w:val="18"/>
          <w:szCs w:val="18"/>
        </w:rPr>
        <w:t>may obtain food from their environment (e.g. filter</w:t>
      </w:r>
      <w:r w:rsidRPr="003C15F7">
        <w:rPr>
          <w:rFonts w:ascii="Arial" w:hAnsi="Arial" w:cs="Arial"/>
          <w:sz w:val="18"/>
          <w:szCs w:val="18"/>
          <w:u w:val="double"/>
        </w:rPr>
        <w:t>-</w:t>
      </w:r>
      <w:r w:rsidRPr="003C15F7">
        <w:rPr>
          <w:rFonts w:ascii="Arial" w:hAnsi="Arial" w:cs="Arial"/>
          <w:sz w:val="18"/>
          <w:szCs w:val="18"/>
        </w:rPr>
        <w:t xml:space="preserve">feeding molluscs or </w:t>
      </w:r>
      <w:r w:rsidRPr="003C15F7">
        <w:rPr>
          <w:rFonts w:ascii="Arial" w:hAnsi="Arial" w:cs="Arial"/>
          <w:sz w:val="18"/>
          <w:szCs w:val="18"/>
          <w:highlight w:val="yellow"/>
          <w:u w:val="double"/>
        </w:rPr>
        <w:t>predation of</w:t>
      </w:r>
      <w:r w:rsidRPr="003C15F7">
        <w:rPr>
          <w:rFonts w:ascii="Arial" w:hAnsi="Arial" w:cs="Arial"/>
          <w:sz w:val="18"/>
          <w:szCs w:val="18"/>
          <w:highlight w:val="yellow"/>
        </w:rPr>
        <w:t xml:space="preserve"> </w:t>
      </w:r>
      <w:r w:rsidRPr="003C15F7">
        <w:rPr>
          <w:rFonts w:ascii="Arial" w:hAnsi="Arial" w:cs="Arial"/>
          <w:sz w:val="18"/>
          <w:szCs w:val="18"/>
        </w:rPr>
        <w:t xml:space="preserve">wild fish </w:t>
      </w:r>
      <w:r w:rsidRPr="00685B5C">
        <w:rPr>
          <w:rFonts w:ascii="Arial" w:hAnsi="Arial" w:cs="Arial"/>
          <w:strike/>
          <w:sz w:val="18"/>
          <w:szCs w:val="18"/>
          <w:highlight w:val="yellow"/>
        </w:rPr>
        <w:t>which may be preyed on predated</w:t>
      </w:r>
      <w:r w:rsidRPr="003C15F7">
        <w:rPr>
          <w:rFonts w:ascii="Arial" w:hAnsi="Arial" w:cs="Arial"/>
          <w:strike/>
          <w:sz w:val="18"/>
          <w:szCs w:val="18"/>
          <w:u w:val="double"/>
        </w:rPr>
        <w:t xml:space="preserve"> </w:t>
      </w:r>
      <w:r w:rsidRPr="003C15F7">
        <w:rPr>
          <w:rFonts w:ascii="Arial" w:hAnsi="Arial" w:cs="Arial"/>
          <w:sz w:val="18"/>
          <w:szCs w:val="18"/>
          <w:highlight w:val="yellow"/>
          <w:u w:val="double"/>
        </w:rPr>
        <w:t>by farmed fish</w:t>
      </w:r>
      <w:r w:rsidRPr="003C15F7">
        <w:rPr>
          <w:rFonts w:ascii="Arial" w:hAnsi="Arial" w:cs="Arial"/>
          <w:sz w:val="18"/>
          <w:szCs w:val="18"/>
          <w:highlight w:val="yellow"/>
        </w:rPr>
        <w:t xml:space="preserve"> </w:t>
      </w:r>
      <w:r w:rsidRPr="003C15F7">
        <w:rPr>
          <w:rFonts w:ascii="Arial" w:hAnsi="Arial" w:cs="Arial"/>
          <w:sz w:val="18"/>
          <w:szCs w:val="18"/>
        </w:rPr>
        <w:t xml:space="preserve">in net pens). </w:t>
      </w:r>
    </w:p>
    <w:p w14:paraId="7CDC97EE" w14:textId="77777777" w:rsidR="0094086E" w:rsidRPr="003C15F7" w:rsidRDefault="0094086E" w:rsidP="0094086E">
      <w:pPr>
        <w:spacing w:after="240"/>
        <w:ind w:left="426"/>
        <w:jc w:val="both"/>
        <w:rPr>
          <w:rFonts w:ascii="Arial" w:hAnsi="Arial" w:cs="Arial"/>
          <w:sz w:val="18"/>
          <w:szCs w:val="18"/>
        </w:rPr>
      </w:pPr>
      <w:r w:rsidRPr="003C15F7">
        <w:rPr>
          <w:rFonts w:ascii="Arial" w:hAnsi="Arial" w:cs="Arial"/>
          <w:sz w:val="18"/>
          <w:szCs w:val="18"/>
        </w:rPr>
        <w:t xml:space="preserve">The </w:t>
      </w:r>
      <w:r w:rsidRPr="003C15F7">
        <w:rPr>
          <w:rFonts w:ascii="Arial" w:hAnsi="Arial" w:cs="Arial"/>
          <w:i/>
          <w:sz w:val="18"/>
          <w:szCs w:val="18"/>
        </w:rPr>
        <w:t>risk</w:t>
      </w:r>
      <w:r w:rsidRPr="003C15F7">
        <w:rPr>
          <w:rFonts w:ascii="Arial" w:hAnsi="Arial" w:cs="Arial"/>
          <w:sz w:val="18"/>
          <w:szCs w:val="18"/>
        </w:rPr>
        <w:t xml:space="preserve"> of transmitting </w:t>
      </w:r>
      <w:r w:rsidRPr="003C15F7">
        <w:rPr>
          <w:rFonts w:ascii="Arial" w:hAnsi="Arial" w:cs="Arial"/>
          <w:i/>
          <w:sz w:val="18"/>
          <w:szCs w:val="18"/>
        </w:rPr>
        <w:t>pathogenic agents</w:t>
      </w:r>
      <w:r w:rsidRPr="003C15F7">
        <w:rPr>
          <w:rFonts w:ascii="Arial" w:hAnsi="Arial" w:cs="Arial"/>
          <w:sz w:val="18"/>
          <w:szCs w:val="18"/>
        </w:rPr>
        <w:t xml:space="preserve"> via </w:t>
      </w:r>
      <w:r w:rsidRPr="003C15F7">
        <w:rPr>
          <w:rFonts w:ascii="Arial" w:hAnsi="Arial" w:cs="Arial"/>
          <w:i/>
          <w:sz w:val="18"/>
          <w:szCs w:val="18"/>
        </w:rPr>
        <w:t>aquatic animal feed</w:t>
      </w:r>
      <w:r w:rsidRPr="003C15F7">
        <w:rPr>
          <w:rFonts w:ascii="Arial" w:hAnsi="Arial" w:cs="Arial"/>
          <w:sz w:val="18"/>
          <w:szCs w:val="18"/>
        </w:rPr>
        <w:t xml:space="preserve"> </w:t>
      </w:r>
      <w:r w:rsidRPr="003C15F7">
        <w:rPr>
          <w:rFonts w:ascii="Arial" w:hAnsi="Arial" w:cs="Arial"/>
          <w:strike/>
          <w:sz w:val="18"/>
          <w:szCs w:val="18"/>
        </w:rPr>
        <w:t>can</w:t>
      </w:r>
      <w:r w:rsidRPr="003C15F7">
        <w:rPr>
          <w:rFonts w:ascii="Arial" w:hAnsi="Arial" w:cs="Arial"/>
          <w:sz w:val="18"/>
          <w:szCs w:val="18"/>
        </w:rPr>
        <w:t xml:space="preserve"> </w:t>
      </w:r>
      <w:r w:rsidRPr="003C15F7">
        <w:rPr>
          <w:rFonts w:ascii="Arial" w:hAnsi="Arial" w:cs="Arial"/>
          <w:sz w:val="18"/>
          <w:szCs w:val="18"/>
          <w:u w:val="double"/>
        </w:rPr>
        <w:t xml:space="preserve">should </w:t>
      </w:r>
      <w:r w:rsidRPr="003C15F7">
        <w:rPr>
          <w:rFonts w:ascii="Arial" w:hAnsi="Arial" w:cs="Arial"/>
          <w:sz w:val="18"/>
          <w:szCs w:val="18"/>
        </w:rPr>
        <w:t xml:space="preserve">be </w:t>
      </w:r>
      <w:r w:rsidRPr="003C15F7">
        <w:rPr>
          <w:rFonts w:ascii="Arial" w:hAnsi="Arial" w:cs="Arial"/>
          <w:sz w:val="18"/>
          <w:szCs w:val="18"/>
          <w:highlight w:val="yellow"/>
        </w:rPr>
        <w:t>assessed, and</w:t>
      </w:r>
      <w:r w:rsidRPr="003C15F7">
        <w:rPr>
          <w:rFonts w:ascii="Arial" w:hAnsi="Arial" w:cs="Arial"/>
          <w:sz w:val="18"/>
          <w:szCs w:val="18"/>
        </w:rPr>
        <w:t xml:space="preserve"> managed </w:t>
      </w:r>
      <w:r w:rsidRPr="003C15F7">
        <w:rPr>
          <w:rFonts w:ascii="Arial" w:hAnsi="Arial" w:cs="Arial"/>
          <w:sz w:val="18"/>
          <w:szCs w:val="18"/>
          <w:u w:val="double"/>
        </w:rPr>
        <w:t>by mitigation measures</w:t>
      </w:r>
      <w:r w:rsidRPr="003C15F7">
        <w:rPr>
          <w:rFonts w:ascii="Arial" w:hAnsi="Arial" w:cs="Arial"/>
          <w:sz w:val="18"/>
          <w:szCs w:val="18"/>
        </w:rPr>
        <w:t xml:space="preserve"> as </w:t>
      </w:r>
      <w:r w:rsidRPr="003C15F7">
        <w:rPr>
          <w:rFonts w:ascii="Arial" w:hAnsi="Arial" w:cs="Arial"/>
          <w:strike/>
          <w:sz w:val="18"/>
          <w:szCs w:val="18"/>
        </w:rPr>
        <w:t>described</w:t>
      </w:r>
      <w:r w:rsidRPr="003C15F7">
        <w:rPr>
          <w:rFonts w:ascii="Arial" w:hAnsi="Arial" w:cs="Arial"/>
          <w:sz w:val="18"/>
          <w:szCs w:val="18"/>
        </w:rPr>
        <w:t xml:space="preserve"> </w:t>
      </w:r>
      <w:r w:rsidRPr="003C15F7">
        <w:rPr>
          <w:rFonts w:ascii="Arial" w:hAnsi="Arial" w:cs="Arial"/>
          <w:sz w:val="18"/>
          <w:szCs w:val="18"/>
          <w:u w:val="double"/>
        </w:rPr>
        <w:t xml:space="preserve">provided </w:t>
      </w:r>
      <w:r w:rsidRPr="003C15F7">
        <w:rPr>
          <w:rFonts w:ascii="Arial" w:hAnsi="Arial" w:cs="Arial"/>
          <w:sz w:val="18"/>
          <w:szCs w:val="18"/>
        </w:rPr>
        <w:t>in Chapter 4.8., for example using</w:t>
      </w:r>
      <w:r w:rsidRPr="003C15F7">
        <w:rPr>
          <w:rFonts w:ascii="Arial" w:eastAsia="SimSun" w:hAnsi="Arial" w:cs="Arial"/>
          <w:sz w:val="18"/>
          <w:szCs w:val="18"/>
          <w:lang w:eastAsia="zh-CN"/>
        </w:rPr>
        <w:t xml:space="preserve"> </w:t>
      </w:r>
      <w:r w:rsidRPr="003C15F7">
        <w:rPr>
          <w:rFonts w:ascii="Arial" w:hAnsi="Arial" w:cs="Arial"/>
          <w:i/>
          <w:sz w:val="18"/>
          <w:szCs w:val="18"/>
          <w:lang w:val="en-AU"/>
        </w:rPr>
        <w:t>feed</w:t>
      </w:r>
      <w:r w:rsidRPr="003C15F7">
        <w:rPr>
          <w:rFonts w:ascii="Arial" w:hAnsi="Arial" w:cs="Arial"/>
          <w:sz w:val="18"/>
          <w:szCs w:val="18"/>
          <w:lang w:val="en-AU"/>
        </w:rPr>
        <w:t xml:space="preserve"> and </w:t>
      </w:r>
      <w:r w:rsidRPr="003C15F7">
        <w:rPr>
          <w:rFonts w:ascii="Arial" w:hAnsi="Arial" w:cs="Arial"/>
          <w:i/>
          <w:sz w:val="18"/>
          <w:szCs w:val="18"/>
          <w:lang w:val="en-AU"/>
        </w:rPr>
        <w:t>feed</w:t>
      </w:r>
      <w:r w:rsidRPr="003C15F7">
        <w:rPr>
          <w:rFonts w:ascii="Arial" w:hAnsi="Arial" w:cs="Arial"/>
          <w:sz w:val="18"/>
          <w:szCs w:val="18"/>
          <w:lang w:val="en-AU"/>
        </w:rPr>
        <w:t xml:space="preserve"> </w:t>
      </w:r>
      <w:r w:rsidRPr="003C15F7">
        <w:rPr>
          <w:rFonts w:ascii="Arial" w:hAnsi="Arial" w:cs="Arial"/>
          <w:i/>
          <w:iCs/>
          <w:sz w:val="18"/>
          <w:szCs w:val="18"/>
          <w:lang w:val="en-AU"/>
        </w:rPr>
        <w:t>ingredients</w:t>
      </w:r>
      <w:r w:rsidRPr="003C15F7">
        <w:rPr>
          <w:rFonts w:ascii="Arial" w:hAnsi="Arial" w:cs="Arial"/>
          <w:sz w:val="18"/>
          <w:szCs w:val="18"/>
          <w:lang w:val="en-AU"/>
        </w:rPr>
        <w:t xml:space="preserve"> that</w:t>
      </w:r>
      <w:r w:rsidRPr="003C15F7">
        <w:rPr>
          <w:rFonts w:ascii="Arial" w:hAnsi="Arial" w:cs="Arial"/>
          <w:sz w:val="18"/>
          <w:szCs w:val="18"/>
        </w:rPr>
        <w:t>:</w:t>
      </w:r>
    </w:p>
    <w:p w14:paraId="35BD91F4" w14:textId="77777777" w:rsidR="0094086E" w:rsidRPr="003C15F7" w:rsidRDefault="0094086E" w:rsidP="0094086E">
      <w:pPr>
        <w:autoSpaceDE w:val="0"/>
        <w:autoSpaceDN w:val="0"/>
        <w:adjustRightInd w:val="0"/>
        <w:spacing w:after="240"/>
        <w:ind w:left="851" w:hanging="425"/>
        <w:jc w:val="both"/>
        <w:rPr>
          <w:rFonts w:ascii="Arial" w:hAnsi="Arial" w:cs="Arial"/>
          <w:sz w:val="18"/>
          <w:szCs w:val="18"/>
          <w:lang w:val="en-AU"/>
        </w:rPr>
      </w:pPr>
      <w:r w:rsidRPr="003C15F7">
        <w:rPr>
          <w:rFonts w:ascii="Arial" w:hAnsi="Arial" w:cs="Arial"/>
          <w:i/>
          <w:sz w:val="18"/>
          <w:szCs w:val="18"/>
          <w:lang w:val="en-AU"/>
        </w:rPr>
        <w:t>a)</w:t>
      </w:r>
      <w:r w:rsidRPr="003C15F7">
        <w:rPr>
          <w:rFonts w:ascii="Arial" w:hAnsi="Arial" w:cs="Arial"/>
          <w:sz w:val="18"/>
          <w:szCs w:val="18"/>
          <w:lang w:val="en-AU"/>
        </w:rPr>
        <w:tab/>
        <w:t xml:space="preserve">have undergone sufficient processing to inactivate </w:t>
      </w:r>
      <w:r w:rsidRPr="003C15F7">
        <w:rPr>
          <w:rFonts w:ascii="Arial" w:hAnsi="Arial" w:cs="Arial"/>
          <w:i/>
          <w:sz w:val="18"/>
          <w:szCs w:val="18"/>
          <w:lang w:val="en-AU"/>
        </w:rPr>
        <w:t>pathogenic agents</w:t>
      </w:r>
      <w:r w:rsidRPr="003C15F7">
        <w:rPr>
          <w:rFonts w:ascii="Arial" w:hAnsi="Arial" w:cs="Arial"/>
          <w:sz w:val="18"/>
          <w:szCs w:val="18"/>
          <w:lang w:val="en-AU"/>
        </w:rPr>
        <w:t xml:space="preserve"> of concern;</w:t>
      </w:r>
    </w:p>
    <w:p w14:paraId="4495074C" w14:textId="77777777" w:rsidR="0094086E" w:rsidRPr="003C15F7" w:rsidRDefault="0094086E" w:rsidP="0094086E">
      <w:pPr>
        <w:autoSpaceDE w:val="0"/>
        <w:autoSpaceDN w:val="0"/>
        <w:adjustRightInd w:val="0"/>
        <w:spacing w:after="240"/>
        <w:ind w:left="851" w:hanging="425"/>
        <w:jc w:val="both"/>
        <w:rPr>
          <w:rFonts w:ascii="Arial" w:hAnsi="Arial" w:cs="Arial"/>
          <w:sz w:val="18"/>
          <w:szCs w:val="18"/>
          <w:lang w:val="en-AU"/>
        </w:rPr>
      </w:pPr>
      <w:r w:rsidRPr="003C15F7">
        <w:rPr>
          <w:rFonts w:ascii="Arial" w:hAnsi="Arial" w:cs="Arial"/>
          <w:i/>
          <w:sz w:val="18"/>
          <w:szCs w:val="18"/>
          <w:lang w:val="en-AU"/>
        </w:rPr>
        <w:t>b)</w:t>
      </w:r>
      <w:r w:rsidRPr="003C15F7">
        <w:rPr>
          <w:rFonts w:ascii="Arial" w:hAnsi="Arial" w:cs="Arial"/>
          <w:sz w:val="18"/>
          <w:szCs w:val="18"/>
          <w:lang w:val="en-AU"/>
        </w:rPr>
        <w:tab/>
        <w:t xml:space="preserve">are from sources that are declared free from the </w:t>
      </w:r>
      <w:r w:rsidRPr="003C15F7">
        <w:rPr>
          <w:rFonts w:ascii="Arial" w:hAnsi="Arial" w:cs="Arial"/>
          <w:i/>
          <w:sz w:val="18"/>
          <w:szCs w:val="18"/>
          <w:lang w:val="en-AU"/>
        </w:rPr>
        <w:t>pathogenic agents</w:t>
      </w:r>
      <w:r w:rsidRPr="003C15F7">
        <w:rPr>
          <w:rFonts w:ascii="Arial" w:hAnsi="Arial" w:cs="Arial"/>
          <w:sz w:val="18"/>
          <w:szCs w:val="18"/>
          <w:lang w:val="en-AU"/>
        </w:rPr>
        <w:t xml:space="preserve"> of concern or have been confirmed (e.g. by testing) that </w:t>
      </w:r>
      <w:hyperlink r:id="rId39" w:anchor="terme_agent_pathogene" w:history="1">
        <w:r w:rsidRPr="003C15F7">
          <w:rPr>
            <w:rFonts w:ascii="Arial" w:hAnsi="Arial" w:cs="Arial"/>
            <w:i/>
            <w:sz w:val="18"/>
            <w:szCs w:val="18"/>
            <w:lang w:val="en-AU"/>
          </w:rPr>
          <w:t>pathogenic agents</w:t>
        </w:r>
      </w:hyperlink>
      <w:r w:rsidRPr="003C15F7">
        <w:rPr>
          <w:rFonts w:ascii="Arial" w:hAnsi="Arial" w:cs="Arial"/>
          <w:i/>
          <w:sz w:val="18"/>
          <w:szCs w:val="18"/>
          <w:lang w:val="en-AU"/>
        </w:rPr>
        <w:t> </w:t>
      </w:r>
      <w:r w:rsidRPr="003C15F7">
        <w:rPr>
          <w:rFonts w:ascii="Arial" w:hAnsi="Arial" w:cs="Arial"/>
          <w:sz w:val="18"/>
          <w:szCs w:val="18"/>
          <w:lang w:val="en-AU"/>
        </w:rPr>
        <w:t xml:space="preserve">are not present in the </w:t>
      </w:r>
      <w:r w:rsidRPr="003C15F7">
        <w:rPr>
          <w:rFonts w:ascii="Arial" w:hAnsi="Arial" w:cs="Arial"/>
          <w:i/>
          <w:iCs/>
          <w:sz w:val="18"/>
          <w:szCs w:val="18"/>
          <w:u w:val="double"/>
          <w:lang w:val="en-AU"/>
        </w:rPr>
        <w:t xml:space="preserve">feed </w:t>
      </w:r>
      <w:r w:rsidRPr="003C15F7">
        <w:rPr>
          <w:rFonts w:ascii="Arial" w:hAnsi="Arial" w:cs="Arial"/>
          <w:iCs/>
          <w:sz w:val="18"/>
          <w:szCs w:val="18"/>
          <w:u w:val="double"/>
          <w:lang w:val="en-AU"/>
        </w:rPr>
        <w:t>or</w:t>
      </w:r>
      <w:r w:rsidRPr="003C15F7">
        <w:rPr>
          <w:rFonts w:ascii="Arial" w:hAnsi="Arial" w:cs="Arial"/>
          <w:i/>
          <w:iCs/>
          <w:sz w:val="18"/>
          <w:szCs w:val="18"/>
          <w:u w:val="double"/>
          <w:lang w:val="en-AU"/>
        </w:rPr>
        <w:t xml:space="preserve"> feed ingredients</w:t>
      </w:r>
      <w:r w:rsidRPr="003C15F7">
        <w:rPr>
          <w:rFonts w:ascii="Arial" w:hAnsi="Arial" w:cs="Arial"/>
          <w:sz w:val="18"/>
          <w:szCs w:val="18"/>
          <w:lang w:val="en-AU"/>
        </w:rPr>
        <w:t> </w:t>
      </w:r>
      <w:hyperlink r:id="rId40" w:anchor="terme_marchandise" w:history="1">
        <w:r w:rsidRPr="003C15F7">
          <w:rPr>
            <w:rFonts w:ascii="Arial" w:hAnsi="Arial" w:cs="Arial"/>
            <w:i/>
            <w:strike/>
            <w:sz w:val="18"/>
            <w:szCs w:val="18"/>
            <w:lang w:val="en-AU"/>
          </w:rPr>
          <w:t>commodity</w:t>
        </w:r>
      </w:hyperlink>
      <w:r w:rsidRPr="003C15F7">
        <w:rPr>
          <w:rFonts w:ascii="Arial" w:hAnsi="Arial" w:cs="Arial"/>
          <w:sz w:val="18"/>
          <w:szCs w:val="18"/>
          <w:lang w:val="en-AU"/>
        </w:rPr>
        <w:t>;</w:t>
      </w:r>
    </w:p>
    <w:p w14:paraId="2445B74B" w14:textId="77777777" w:rsidR="0094086E" w:rsidRPr="003C15F7" w:rsidRDefault="0094086E" w:rsidP="0094086E">
      <w:pPr>
        <w:autoSpaceDE w:val="0"/>
        <w:autoSpaceDN w:val="0"/>
        <w:adjustRightInd w:val="0"/>
        <w:spacing w:after="240"/>
        <w:ind w:left="851" w:hanging="425"/>
        <w:jc w:val="both"/>
        <w:rPr>
          <w:rFonts w:ascii="Arial" w:hAnsi="Arial" w:cs="Arial"/>
          <w:sz w:val="18"/>
          <w:szCs w:val="18"/>
          <w:lang w:val="en-AU"/>
        </w:rPr>
      </w:pPr>
      <w:r w:rsidRPr="003C15F7">
        <w:rPr>
          <w:rFonts w:ascii="Arial" w:hAnsi="Arial" w:cs="Arial"/>
          <w:i/>
          <w:sz w:val="18"/>
          <w:szCs w:val="18"/>
          <w:lang w:val="en-AU"/>
        </w:rPr>
        <w:t>c)</w:t>
      </w:r>
      <w:r w:rsidRPr="003C15F7">
        <w:rPr>
          <w:rFonts w:ascii="Arial" w:hAnsi="Arial" w:cs="Arial"/>
          <w:sz w:val="18"/>
          <w:szCs w:val="18"/>
          <w:lang w:val="en-AU"/>
        </w:rPr>
        <w:tab/>
        <w:t xml:space="preserve">have been processed, manufactured, stored, </w:t>
      </w:r>
      <w:r w:rsidRPr="003C15F7">
        <w:rPr>
          <w:rFonts w:ascii="Arial" w:hAnsi="Arial" w:cs="Arial"/>
          <w:strike/>
          <w:sz w:val="18"/>
          <w:szCs w:val="18"/>
          <w:lang w:val="en-AU"/>
        </w:rPr>
        <w:t>and</w:t>
      </w:r>
      <w:r w:rsidRPr="003C15F7">
        <w:rPr>
          <w:rFonts w:ascii="Arial" w:hAnsi="Arial" w:cs="Arial"/>
          <w:sz w:val="18"/>
          <w:szCs w:val="18"/>
          <w:lang w:val="en-AU"/>
        </w:rPr>
        <w:t xml:space="preserve"> transported </w:t>
      </w:r>
      <w:r w:rsidRPr="003C15F7">
        <w:rPr>
          <w:rFonts w:ascii="Arial" w:hAnsi="Arial" w:cs="Arial"/>
          <w:sz w:val="18"/>
          <w:szCs w:val="18"/>
          <w:u w:val="double"/>
          <w:lang w:val="en-AU"/>
        </w:rPr>
        <w:t>and</w:t>
      </w:r>
      <w:r w:rsidRPr="003C15F7">
        <w:rPr>
          <w:rFonts w:ascii="Arial" w:hAnsi="Arial" w:cs="Arial"/>
          <w:sz w:val="18"/>
          <w:szCs w:val="18"/>
          <w:lang w:val="en-AU"/>
        </w:rPr>
        <w:t xml:space="preserve"> </w:t>
      </w:r>
      <w:r w:rsidRPr="003C15F7">
        <w:rPr>
          <w:rFonts w:ascii="Arial" w:hAnsi="Arial" w:cs="Arial"/>
          <w:sz w:val="18"/>
          <w:szCs w:val="18"/>
          <w:u w:val="double"/>
          <w:lang w:val="en-AU"/>
        </w:rPr>
        <w:t xml:space="preserve">delivered during feeding to </w:t>
      </w:r>
      <w:r w:rsidRPr="003C15F7">
        <w:rPr>
          <w:rFonts w:ascii="Arial" w:hAnsi="Arial" w:cs="Arial"/>
          <w:i/>
          <w:iCs/>
          <w:sz w:val="18"/>
          <w:szCs w:val="18"/>
          <w:u w:val="double"/>
          <w:lang w:val="en-AU"/>
        </w:rPr>
        <w:t>aquatic animals</w:t>
      </w:r>
      <w:r w:rsidRPr="003C15F7">
        <w:rPr>
          <w:rFonts w:ascii="Arial" w:hAnsi="Arial" w:cs="Arial"/>
          <w:sz w:val="18"/>
          <w:szCs w:val="18"/>
          <w:lang w:val="en-AU"/>
        </w:rPr>
        <w:t xml:space="preserve"> in a manner to prevent contamination by </w:t>
      </w:r>
      <w:hyperlink r:id="rId41" w:anchor="terme_agent_pathogene" w:history="1">
        <w:r w:rsidRPr="003C15F7">
          <w:rPr>
            <w:rFonts w:ascii="Arial" w:hAnsi="Arial" w:cs="Arial"/>
            <w:i/>
            <w:sz w:val="18"/>
            <w:szCs w:val="18"/>
            <w:lang w:val="en-AU"/>
          </w:rPr>
          <w:t>pathogenic agents</w:t>
        </w:r>
      </w:hyperlink>
      <w:r w:rsidRPr="003C15F7">
        <w:rPr>
          <w:rFonts w:ascii="Arial" w:hAnsi="Arial" w:cs="Arial"/>
          <w:sz w:val="18"/>
          <w:szCs w:val="18"/>
          <w:lang w:val="en-AU"/>
        </w:rPr>
        <w:t xml:space="preserve">. </w:t>
      </w:r>
    </w:p>
    <w:p w14:paraId="51FE71EF" w14:textId="77777777" w:rsidR="003C15F7" w:rsidRDefault="003C15F7">
      <w:pPr>
        <w:rPr>
          <w:rFonts w:cs="Times New Roman"/>
          <w:color w:val="000000"/>
          <w:szCs w:val="20"/>
        </w:rPr>
      </w:pPr>
      <w:r>
        <w:rPr>
          <w:rFonts w:cs="Times New Roman"/>
          <w:color w:val="000000"/>
          <w:szCs w:val="20"/>
        </w:rPr>
        <w:br w:type="page"/>
      </w:r>
    </w:p>
    <w:p w14:paraId="28074B9A" w14:textId="77777777" w:rsidR="003C15F7" w:rsidRDefault="003C15F7" w:rsidP="003C15F7">
      <w:pPr>
        <w:spacing w:after="480" w:line="240" w:lineRule="auto"/>
        <w:ind w:left="425" w:hanging="425"/>
        <w:jc w:val="right"/>
        <w:rPr>
          <w:szCs w:val="20"/>
        </w:rPr>
      </w:pPr>
      <w:r w:rsidRPr="008270D6">
        <w:rPr>
          <w:szCs w:val="20"/>
          <w:u w:val="single"/>
        </w:rPr>
        <w:lastRenderedPageBreak/>
        <w:t>Annex 2</w:t>
      </w:r>
      <w:r w:rsidRPr="008270D6">
        <w:rPr>
          <w:szCs w:val="20"/>
        </w:rPr>
        <w:t xml:space="preserve"> (contd)</w:t>
      </w:r>
    </w:p>
    <w:p w14:paraId="7D6C1D34" w14:textId="7759FAFB" w:rsidR="0094086E" w:rsidRPr="003C15F7" w:rsidRDefault="0094086E" w:rsidP="0094086E">
      <w:pPr>
        <w:spacing w:after="240"/>
        <w:ind w:left="426" w:hanging="426"/>
        <w:jc w:val="both"/>
        <w:rPr>
          <w:rFonts w:ascii="Arial" w:hAnsi="Arial" w:cs="Arial"/>
          <w:color w:val="000000"/>
          <w:sz w:val="18"/>
          <w:szCs w:val="18"/>
          <w:u w:val="single"/>
        </w:rPr>
      </w:pPr>
      <w:r w:rsidRPr="003C15F7">
        <w:rPr>
          <w:rFonts w:ascii="Arial" w:hAnsi="Arial" w:cs="Arial"/>
          <w:color w:val="000000"/>
          <w:sz w:val="18"/>
          <w:szCs w:val="18"/>
        </w:rPr>
        <w:t>5.</w:t>
      </w:r>
      <w:r w:rsidRPr="003C15F7">
        <w:rPr>
          <w:rFonts w:ascii="Arial" w:hAnsi="Arial" w:cs="Arial"/>
          <w:color w:val="000000"/>
          <w:sz w:val="18"/>
          <w:szCs w:val="18"/>
        </w:rPr>
        <w:tab/>
      </w:r>
      <w:r w:rsidRPr="003C15F7">
        <w:rPr>
          <w:rFonts w:ascii="Arial" w:hAnsi="Arial" w:cs="Arial"/>
          <w:color w:val="000000"/>
          <w:sz w:val="18"/>
          <w:szCs w:val="18"/>
          <w:u w:val="single"/>
        </w:rPr>
        <w:t>Fomites</w:t>
      </w:r>
    </w:p>
    <w:p w14:paraId="37A93F6A" w14:textId="77777777" w:rsidR="0094086E" w:rsidRPr="003C15F7" w:rsidRDefault="0094086E" w:rsidP="0094086E">
      <w:pPr>
        <w:spacing w:after="240"/>
        <w:ind w:left="426"/>
        <w:jc w:val="both"/>
        <w:rPr>
          <w:rFonts w:ascii="Arial" w:hAnsi="Arial" w:cs="Arial"/>
          <w:color w:val="000000"/>
          <w:sz w:val="18"/>
          <w:szCs w:val="18"/>
        </w:rPr>
      </w:pPr>
      <w:r w:rsidRPr="003C15F7">
        <w:rPr>
          <w:rFonts w:ascii="Arial" w:hAnsi="Arial" w:cs="Arial"/>
          <w:color w:val="000000"/>
          <w:sz w:val="18"/>
          <w:szCs w:val="18"/>
        </w:rPr>
        <w:t xml:space="preserve">Equipment, </w:t>
      </w:r>
      <w:r w:rsidRPr="003C15F7">
        <w:rPr>
          <w:rFonts w:ascii="Arial" w:hAnsi="Arial" w:cs="Arial"/>
          <w:i/>
          <w:color w:val="000000"/>
          <w:sz w:val="18"/>
          <w:szCs w:val="18"/>
        </w:rPr>
        <w:t>vehicles</w:t>
      </w:r>
      <w:r w:rsidRPr="003C15F7">
        <w:rPr>
          <w:rFonts w:ascii="Arial" w:hAnsi="Arial" w:cs="Arial"/>
          <w:color w:val="000000"/>
          <w:sz w:val="18"/>
          <w:szCs w:val="18"/>
        </w:rPr>
        <w:t xml:space="preserve">, </w:t>
      </w:r>
      <w:r w:rsidRPr="003C15F7">
        <w:rPr>
          <w:rFonts w:ascii="Arial" w:eastAsia="SimSun" w:hAnsi="Arial" w:cs="Arial"/>
          <w:sz w:val="18"/>
          <w:szCs w:val="18"/>
          <w:u w:val="double"/>
        </w:rPr>
        <w:t xml:space="preserve">packaging material, </w:t>
      </w:r>
      <w:r w:rsidRPr="003C15F7">
        <w:rPr>
          <w:rFonts w:ascii="Arial" w:hAnsi="Arial" w:cs="Arial"/>
          <w:color w:val="000000"/>
          <w:sz w:val="18"/>
          <w:szCs w:val="18"/>
        </w:rPr>
        <w:t xml:space="preserve">clothing, </w:t>
      </w:r>
      <w:r w:rsidRPr="003C15F7">
        <w:rPr>
          <w:rFonts w:ascii="Arial" w:hAnsi="Arial" w:cs="Arial"/>
          <w:color w:val="000000"/>
          <w:sz w:val="18"/>
          <w:szCs w:val="18"/>
          <w:u w:val="double"/>
        </w:rPr>
        <w:t>footwear,</w:t>
      </w:r>
      <w:r w:rsidRPr="003C15F7">
        <w:rPr>
          <w:rFonts w:ascii="Arial" w:hAnsi="Arial" w:cs="Arial"/>
          <w:color w:val="000000"/>
          <w:sz w:val="18"/>
          <w:szCs w:val="18"/>
        </w:rPr>
        <w:t xml:space="preserve"> sediments, infrastructure and other fomites can mechanically transfer </w:t>
      </w:r>
      <w:r w:rsidRPr="003C15F7">
        <w:rPr>
          <w:rFonts w:ascii="Arial" w:hAnsi="Arial" w:cs="Arial"/>
          <w:i/>
          <w:color w:val="000000"/>
          <w:sz w:val="18"/>
          <w:szCs w:val="18"/>
        </w:rPr>
        <w:t>pathogenic agents</w:t>
      </w:r>
      <w:r w:rsidRPr="003C15F7">
        <w:rPr>
          <w:rFonts w:ascii="Arial" w:hAnsi="Arial" w:cs="Arial"/>
          <w:color w:val="000000"/>
          <w:sz w:val="18"/>
          <w:szCs w:val="18"/>
        </w:rPr>
        <w:t xml:space="preserve"> into, within and from an </w:t>
      </w:r>
      <w:r w:rsidRPr="003C15F7">
        <w:rPr>
          <w:rFonts w:ascii="Arial" w:hAnsi="Arial" w:cs="Arial"/>
          <w:i/>
          <w:color w:val="000000"/>
          <w:sz w:val="18"/>
          <w:szCs w:val="18"/>
        </w:rPr>
        <w:t>aquaculture establishment</w:t>
      </w:r>
      <w:r w:rsidRPr="003C15F7">
        <w:rPr>
          <w:rFonts w:ascii="Arial" w:hAnsi="Arial" w:cs="Arial"/>
          <w:color w:val="000000"/>
          <w:sz w:val="18"/>
          <w:szCs w:val="18"/>
        </w:rPr>
        <w:t>.</w:t>
      </w:r>
    </w:p>
    <w:p w14:paraId="72F29228" w14:textId="4275BB38" w:rsidR="0094086E" w:rsidRPr="003C15F7" w:rsidRDefault="0094086E" w:rsidP="0094086E">
      <w:pPr>
        <w:spacing w:after="240"/>
        <w:ind w:left="426"/>
        <w:jc w:val="both"/>
        <w:rPr>
          <w:rFonts w:ascii="Arial" w:hAnsi="Arial" w:cs="Arial"/>
          <w:color w:val="000000"/>
          <w:sz w:val="18"/>
          <w:szCs w:val="18"/>
        </w:rPr>
      </w:pPr>
      <w:r w:rsidRPr="003C15F7">
        <w:rPr>
          <w:rFonts w:ascii="Arial" w:hAnsi="Arial" w:cs="Arial"/>
          <w:color w:val="000000"/>
          <w:sz w:val="18"/>
          <w:szCs w:val="18"/>
        </w:rPr>
        <w:t xml:space="preserve">The </w:t>
      </w:r>
      <w:r w:rsidRPr="003C15F7">
        <w:rPr>
          <w:rFonts w:ascii="Arial" w:hAnsi="Arial" w:cs="Arial"/>
          <w:strike/>
          <w:color w:val="000000"/>
          <w:sz w:val="18"/>
          <w:szCs w:val="18"/>
        </w:rPr>
        <w:t xml:space="preserve">level of </w:t>
      </w:r>
      <w:r w:rsidRPr="003C15F7">
        <w:rPr>
          <w:rFonts w:ascii="Arial" w:hAnsi="Arial" w:cs="Arial"/>
          <w:i/>
          <w:strike/>
          <w:color w:val="000000"/>
          <w:sz w:val="18"/>
          <w:szCs w:val="18"/>
        </w:rPr>
        <w:t>risk</w:t>
      </w:r>
      <w:r w:rsidRPr="003C15F7">
        <w:rPr>
          <w:rFonts w:ascii="Arial" w:hAnsi="Arial" w:cs="Arial"/>
          <w:i/>
          <w:color w:val="000000"/>
          <w:sz w:val="18"/>
          <w:szCs w:val="18"/>
        </w:rPr>
        <w:t xml:space="preserve"> </w:t>
      </w:r>
      <w:r w:rsidRPr="003C15F7">
        <w:rPr>
          <w:rFonts w:ascii="Arial" w:hAnsi="Arial" w:cs="Arial"/>
          <w:color w:val="000000"/>
          <w:sz w:val="18"/>
          <w:szCs w:val="18"/>
          <w:u w:val="double"/>
        </w:rPr>
        <w:t>likelihood</w:t>
      </w:r>
      <w:r w:rsidRPr="003C15F7">
        <w:rPr>
          <w:rFonts w:ascii="Arial" w:hAnsi="Arial" w:cs="Arial"/>
          <w:color w:val="000000"/>
          <w:sz w:val="18"/>
          <w:szCs w:val="18"/>
        </w:rPr>
        <w:t xml:space="preserve"> of transferring </w:t>
      </w:r>
      <w:r w:rsidRPr="003C15F7">
        <w:rPr>
          <w:rFonts w:ascii="Arial" w:hAnsi="Arial" w:cs="Arial"/>
          <w:i/>
          <w:color w:val="000000"/>
          <w:sz w:val="18"/>
          <w:szCs w:val="18"/>
        </w:rPr>
        <w:t xml:space="preserve">pathogenic agents </w:t>
      </w:r>
      <w:r w:rsidRPr="003C15F7">
        <w:rPr>
          <w:rFonts w:ascii="Arial" w:hAnsi="Arial" w:cs="Arial"/>
          <w:color w:val="000000"/>
          <w:sz w:val="18"/>
          <w:szCs w:val="18"/>
        </w:rPr>
        <w:t xml:space="preserve">will depend on the </w:t>
      </w:r>
      <w:r w:rsidRPr="003C15F7">
        <w:rPr>
          <w:rFonts w:ascii="Arial" w:hAnsi="Arial" w:cs="Arial"/>
          <w:color w:val="000000"/>
          <w:sz w:val="18"/>
          <w:szCs w:val="18"/>
          <w:u w:val="double"/>
        </w:rPr>
        <w:t xml:space="preserve">stability of the </w:t>
      </w:r>
      <w:r w:rsidRPr="003C15F7">
        <w:rPr>
          <w:rFonts w:ascii="Arial" w:hAnsi="Arial" w:cs="Arial"/>
          <w:i/>
          <w:iCs/>
          <w:color w:val="000000"/>
          <w:sz w:val="18"/>
          <w:szCs w:val="18"/>
          <w:u w:val="double"/>
        </w:rPr>
        <w:t>pathogenic agent</w:t>
      </w:r>
      <w:r w:rsidRPr="003C15F7">
        <w:rPr>
          <w:rFonts w:ascii="Arial" w:hAnsi="Arial" w:cs="Arial"/>
          <w:color w:val="000000"/>
          <w:sz w:val="18"/>
          <w:szCs w:val="18"/>
          <w:u w:val="double"/>
        </w:rPr>
        <w:t xml:space="preserve"> in the environment, the </w:t>
      </w:r>
      <w:r w:rsidRPr="003C15F7">
        <w:rPr>
          <w:rFonts w:ascii="Arial" w:hAnsi="Arial" w:cs="Arial"/>
          <w:color w:val="000000"/>
          <w:sz w:val="18"/>
          <w:szCs w:val="18"/>
        </w:rPr>
        <w:t xml:space="preserve">presence and nature of organic matter on the fomite surface, as well as the type of surface and its </w:t>
      </w:r>
      <w:r w:rsidRPr="003C15F7">
        <w:rPr>
          <w:rFonts w:ascii="Arial" w:hAnsi="Arial" w:cs="Arial"/>
          <w:strike/>
          <w:color w:val="000000"/>
          <w:sz w:val="18"/>
          <w:szCs w:val="18"/>
        </w:rPr>
        <w:t>ability</w:t>
      </w:r>
      <w:r w:rsidRPr="003C15F7">
        <w:rPr>
          <w:rFonts w:ascii="Arial" w:hAnsi="Arial" w:cs="Arial"/>
          <w:color w:val="000000"/>
          <w:sz w:val="18"/>
          <w:szCs w:val="18"/>
        </w:rPr>
        <w:t xml:space="preserve"> </w:t>
      </w:r>
      <w:r w:rsidRPr="003C15F7">
        <w:rPr>
          <w:rFonts w:ascii="Arial" w:hAnsi="Arial" w:cs="Arial"/>
          <w:color w:val="000000"/>
          <w:sz w:val="18"/>
          <w:szCs w:val="18"/>
          <w:u w:val="double"/>
        </w:rPr>
        <w:t>capacity</w:t>
      </w:r>
      <w:r w:rsidRPr="003C15F7">
        <w:rPr>
          <w:rFonts w:ascii="Arial" w:hAnsi="Arial" w:cs="Arial"/>
          <w:color w:val="000000"/>
          <w:sz w:val="18"/>
          <w:szCs w:val="18"/>
        </w:rPr>
        <w:t xml:space="preserve"> to hold water. The </w:t>
      </w:r>
      <w:r w:rsidRPr="003C15F7">
        <w:rPr>
          <w:rFonts w:ascii="Arial" w:hAnsi="Arial" w:cs="Arial"/>
          <w:i/>
          <w:strike/>
          <w:color w:val="000000"/>
          <w:sz w:val="18"/>
          <w:szCs w:val="18"/>
        </w:rPr>
        <w:t>risk</w:t>
      </w:r>
      <w:r w:rsidRPr="003C15F7">
        <w:rPr>
          <w:rFonts w:ascii="Arial" w:hAnsi="Arial" w:cs="Arial"/>
          <w:iCs/>
          <w:color w:val="000000"/>
          <w:sz w:val="18"/>
          <w:szCs w:val="18"/>
        </w:rPr>
        <w:t xml:space="preserve"> </w:t>
      </w:r>
      <w:r w:rsidRPr="003C15F7">
        <w:rPr>
          <w:rFonts w:ascii="Arial" w:hAnsi="Arial" w:cs="Arial"/>
          <w:iCs/>
          <w:color w:val="000000"/>
          <w:sz w:val="18"/>
          <w:szCs w:val="18"/>
          <w:u w:val="double"/>
        </w:rPr>
        <w:t>likelihood</w:t>
      </w:r>
      <w:r w:rsidRPr="003C15F7">
        <w:rPr>
          <w:rFonts w:ascii="Arial" w:hAnsi="Arial" w:cs="Arial"/>
          <w:color w:val="000000"/>
          <w:sz w:val="18"/>
          <w:szCs w:val="18"/>
        </w:rPr>
        <w:t xml:space="preserve"> of transferring </w:t>
      </w:r>
      <w:r w:rsidRPr="003C15F7">
        <w:rPr>
          <w:rFonts w:ascii="Arial" w:hAnsi="Arial" w:cs="Arial"/>
          <w:i/>
          <w:color w:val="000000"/>
          <w:sz w:val="18"/>
          <w:szCs w:val="18"/>
        </w:rPr>
        <w:t xml:space="preserve">pathogenic agents </w:t>
      </w:r>
      <w:r w:rsidRPr="003C15F7">
        <w:rPr>
          <w:rFonts w:ascii="Arial" w:hAnsi="Arial" w:cs="Arial"/>
          <w:color w:val="000000"/>
          <w:sz w:val="18"/>
          <w:szCs w:val="18"/>
        </w:rPr>
        <w:t>may be higher for fomites which are difficult to clean and disinfect.</w:t>
      </w:r>
      <w:r w:rsidRPr="003C15F7">
        <w:rPr>
          <w:rFonts w:ascii="Arial" w:eastAsia="SimSun" w:hAnsi="Arial" w:cs="Arial"/>
          <w:color w:val="000000"/>
          <w:sz w:val="18"/>
          <w:szCs w:val="18"/>
          <w:lang w:eastAsia="zh-CN"/>
        </w:rPr>
        <w:t xml:space="preserve"> </w:t>
      </w:r>
      <w:r w:rsidRPr="003C15F7">
        <w:rPr>
          <w:rFonts w:ascii="Arial" w:eastAsia="SimSun" w:hAnsi="Arial" w:cs="Arial"/>
          <w:color w:val="000000"/>
          <w:sz w:val="18"/>
          <w:szCs w:val="18"/>
          <w:u w:val="double"/>
          <w:lang w:eastAsia="zh-CN"/>
        </w:rPr>
        <w:t>Sharing e</w:t>
      </w:r>
      <w:r w:rsidRPr="003C15F7">
        <w:rPr>
          <w:rFonts w:ascii="Arial" w:hAnsi="Arial" w:cs="Arial"/>
          <w:strike/>
          <w:color w:val="000000"/>
          <w:sz w:val="18"/>
          <w:szCs w:val="18"/>
        </w:rPr>
        <w:t>E</w:t>
      </w:r>
      <w:r w:rsidRPr="003C15F7">
        <w:rPr>
          <w:rFonts w:ascii="Arial" w:hAnsi="Arial" w:cs="Arial"/>
          <w:color w:val="000000"/>
          <w:sz w:val="18"/>
          <w:szCs w:val="18"/>
        </w:rPr>
        <w:t xml:space="preserve">quipment </w:t>
      </w:r>
      <w:r w:rsidRPr="003C15F7">
        <w:rPr>
          <w:rFonts w:ascii="Arial" w:hAnsi="Arial" w:cs="Arial"/>
          <w:strike/>
          <w:color w:val="000000"/>
          <w:sz w:val="18"/>
          <w:szCs w:val="18"/>
        </w:rPr>
        <w:t>that is shared</w:t>
      </w:r>
      <w:r w:rsidRPr="003C15F7">
        <w:rPr>
          <w:rFonts w:ascii="Arial" w:hAnsi="Arial" w:cs="Arial"/>
          <w:color w:val="000000"/>
          <w:sz w:val="18"/>
          <w:szCs w:val="18"/>
        </w:rPr>
        <w:t xml:space="preserve"> between </w:t>
      </w:r>
      <w:r w:rsidRPr="003C15F7">
        <w:rPr>
          <w:rFonts w:ascii="Arial" w:hAnsi="Arial" w:cs="Arial"/>
          <w:i/>
          <w:color w:val="000000"/>
          <w:sz w:val="18"/>
          <w:szCs w:val="18"/>
        </w:rPr>
        <w:t xml:space="preserve">aquaculture establishments, </w:t>
      </w:r>
      <w:r w:rsidRPr="003C15F7">
        <w:rPr>
          <w:rFonts w:ascii="Arial" w:hAnsi="Arial" w:cs="Arial"/>
          <w:color w:val="000000"/>
          <w:sz w:val="18"/>
          <w:szCs w:val="18"/>
        </w:rPr>
        <w:t>between</w:t>
      </w:r>
      <w:r w:rsidRPr="003C15F7">
        <w:rPr>
          <w:rFonts w:ascii="Arial" w:hAnsi="Arial" w:cs="Arial"/>
          <w:i/>
          <w:color w:val="000000"/>
          <w:sz w:val="18"/>
          <w:szCs w:val="18"/>
        </w:rPr>
        <w:t xml:space="preserve"> aquaculture establishments </w:t>
      </w:r>
      <w:r w:rsidRPr="003C15F7">
        <w:rPr>
          <w:rFonts w:ascii="Arial" w:hAnsi="Arial" w:cs="Arial"/>
          <w:color w:val="000000"/>
          <w:sz w:val="18"/>
          <w:szCs w:val="18"/>
        </w:rPr>
        <w:t>and</w:t>
      </w:r>
      <w:r w:rsidRPr="003C15F7">
        <w:rPr>
          <w:rFonts w:ascii="Arial" w:eastAsia="SimSun" w:hAnsi="Arial" w:cs="Arial"/>
          <w:color w:val="000000"/>
          <w:sz w:val="18"/>
          <w:szCs w:val="18"/>
          <w:lang w:eastAsia="zh-CN"/>
        </w:rPr>
        <w:t xml:space="preserve"> </w:t>
      </w:r>
      <w:r w:rsidRPr="003C15F7">
        <w:rPr>
          <w:rFonts w:ascii="Arial" w:hAnsi="Arial" w:cs="Arial"/>
          <w:color w:val="000000"/>
          <w:sz w:val="18"/>
          <w:szCs w:val="18"/>
        </w:rPr>
        <w:t xml:space="preserve">processing facilities, or between different production units </w:t>
      </w:r>
      <w:r w:rsidRPr="003C15F7">
        <w:rPr>
          <w:rFonts w:ascii="Arial" w:hAnsi="Arial" w:cs="Arial"/>
          <w:strike/>
          <w:color w:val="000000"/>
          <w:sz w:val="18"/>
          <w:szCs w:val="18"/>
          <w:highlight w:val="yellow"/>
          <w:u w:val="double"/>
        </w:rPr>
        <w:t>with</w:t>
      </w:r>
      <w:r w:rsidRPr="003C15F7">
        <w:rPr>
          <w:rFonts w:ascii="Arial" w:hAnsi="Arial" w:cs="Arial"/>
          <w:color w:val="000000"/>
          <w:sz w:val="18"/>
          <w:szCs w:val="18"/>
          <w:highlight w:val="yellow"/>
          <w:u w:val="double"/>
        </w:rPr>
        <w:t xml:space="preserve"> of </w:t>
      </w:r>
      <w:r w:rsidRPr="003C15F7">
        <w:rPr>
          <w:rFonts w:ascii="Arial" w:hAnsi="Arial" w:cs="Arial"/>
          <w:color w:val="000000"/>
          <w:sz w:val="18"/>
          <w:szCs w:val="18"/>
          <w:u w:val="double"/>
        </w:rPr>
        <w:t>unequal health status</w:t>
      </w:r>
      <w:r w:rsidRPr="003C15F7">
        <w:rPr>
          <w:rFonts w:ascii="Arial" w:hAnsi="Arial" w:cs="Arial"/>
          <w:color w:val="000000"/>
          <w:sz w:val="18"/>
          <w:szCs w:val="18"/>
        </w:rPr>
        <w:t xml:space="preserve"> within an </w:t>
      </w:r>
      <w:r w:rsidRPr="003C15F7">
        <w:rPr>
          <w:rFonts w:ascii="Arial" w:hAnsi="Arial" w:cs="Arial"/>
          <w:i/>
          <w:color w:val="000000"/>
          <w:sz w:val="18"/>
          <w:szCs w:val="18"/>
        </w:rPr>
        <w:t>aquaculture establishment</w:t>
      </w:r>
      <w:r w:rsidRPr="003C15F7">
        <w:rPr>
          <w:rFonts w:ascii="Arial" w:hAnsi="Arial" w:cs="Arial"/>
          <w:color w:val="000000"/>
          <w:sz w:val="18"/>
          <w:szCs w:val="18"/>
        </w:rPr>
        <w:t xml:space="preserve"> </w:t>
      </w:r>
      <w:r w:rsidRPr="003C15F7">
        <w:rPr>
          <w:rFonts w:ascii="Arial" w:hAnsi="Arial" w:cs="Arial"/>
          <w:strike/>
          <w:color w:val="000000"/>
          <w:sz w:val="18"/>
          <w:szCs w:val="18"/>
        </w:rPr>
        <w:t>with unequal health status,</w:t>
      </w:r>
      <w:r w:rsidRPr="003C15F7">
        <w:rPr>
          <w:rFonts w:ascii="Arial" w:hAnsi="Arial" w:cs="Arial"/>
          <w:color w:val="000000"/>
          <w:sz w:val="18"/>
          <w:szCs w:val="18"/>
        </w:rPr>
        <w:t xml:space="preserve"> may </w:t>
      </w:r>
      <w:r w:rsidRPr="003C15F7">
        <w:rPr>
          <w:rFonts w:ascii="Arial" w:hAnsi="Arial" w:cs="Arial"/>
          <w:color w:val="000000"/>
          <w:sz w:val="18"/>
          <w:szCs w:val="18"/>
          <w:u w:val="double"/>
        </w:rPr>
        <w:t xml:space="preserve">result in the spread of </w:t>
      </w:r>
      <w:r w:rsidRPr="003C15F7">
        <w:rPr>
          <w:rFonts w:ascii="Arial" w:hAnsi="Arial" w:cs="Arial"/>
          <w:i/>
          <w:iCs/>
          <w:color w:val="000000"/>
          <w:sz w:val="18"/>
          <w:szCs w:val="18"/>
          <w:u w:val="double"/>
        </w:rPr>
        <w:t xml:space="preserve">pathogenic agents </w:t>
      </w:r>
      <w:r w:rsidRPr="003C15F7">
        <w:rPr>
          <w:rFonts w:ascii="Arial" w:hAnsi="Arial" w:cs="Arial"/>
          <w:strike/>
          <w:color w:val="000000"/>
          <w:sz w:val="18"/>
          <w:szCs w:val="18"/>
        </w:rPr>
        <w:t xml:space="preserve">present a higher </w:t>
      </w:r>
      <w:r w:rsidRPr="003C15F7">
        <w:rPr>
          <w:rFonts w:ascii="Arial" w:hAnsi="Arial" w:cs="Arial"/>
          <w:i/>
          <w:strike/>
          <w:color w:val="000000"/>
          <w:sz w:val="18"/>
          <w:szCs w:val="18"/>
        </w:rPr>
        <w:t>risk</w:t>
      </w:r>
      <w:r w:rsidRPr="003C15F7">
        <w:rPr>
          <w:rFonts w:ascii="Arial" w:hAnsi="Arial" w:cs="Arial"/>
          <w:strike/>
          <w:color w:val="000000"/>
          <w:sz w:val="18"/>
          <w:szCs w:val="18"/>
        </w:rPr>
        <w:t xml:space="preserve"> </w:t>
      </w:r>
      <w:r w:rsidRPr="003C15F7">
        <w:rPr>
          <w:rFonts w:ascii="Arial" w:hAnsi="Arial" w:cs="Arial"/>
          <w:strike/>
          <w:color w:val="000000"/>
          <w:sz w:val="18"/>
          <w:szCs w:val="18"/>
          <w:u w:val="double"/>
        </w:rPr>
        <w:t xml:space="preserve">than </w:t>
      </w:r>
      <w:r w:rsidRPr="003C15F7">
        <w:rPr>
          <w:rFonts w:ascii="Arial" w:hAnsi="Arial" w:cs="Arial"/>
          <w:strike/>
          <w:color w:val="000000"/>
          <w:sz w:val="18"/>
          <w:szCs w:val="18"/>
        </w:rPr>
        <w:t>compared to new or dedicated equipment.</w:t>
      </w:r>
      <w:r w:rsidRPr="003C15F7">
        <w:rPr>
          <w:rFonts w:ascii="Arial" w:eastAsia="SimSun" w:hAnsi="Arial" w:cs="Arial"/>
          <w:color w:val="000000"/>
          <w:sz w:val="18"/>
          <w:szCs w:val="18"/>
          <w:lang w:eastAsia="zh-CN"/>
        </w:rPr>
        <w:t xml:space="preserve"> </w:t>
      </w:r>
      <w:r w:rsidRPr="003C15F7">
        <w:rPr>
          <w:rFonts w:ascii="Arial" w:hAnsi="Arial" w:cs="Arial"/>
          <w:color w:val="000000"/>
          <w:sz w:val="18"/>
          <w:szCs w:val="18"/>
        </w:rPr>
        <w:t xml:space="preserve">The </w:t>
      </w:r>
      <w:r w:rsidRPr="003C15F7">
        <w:rPr>
          <w:rFonts w:ascii="Arial" w:hAnsi="Arial" w:cs="Arial"/>
          <w:iCs/>
          <w:strike/>
          <w:color w:val="000000"/>
          <w:sz w:val="18"/>
          <w:szCs w:val="18"/>
        </w:rPr>
        <w:t>risk</w:t>
      </w:r>
      <w:r w:rsidRPr="003C15F7">
        <w:rPr>
          <w:rFonts w:ascii="Arial" w:hAnsi="Arial" w:cs="Arial"/>
          <w:color w:val="000000"/>
          <w:sz w:val="18"/>
          <w:szCs w:val="18"/>
        </w:rPr>
        <w:t xml:space="preserve"> </w:t>
      </w:r>
      <w:r w:rsidRPr="003C15F7">
        <w:rPr>
          <w:rFonts w:ascii="Arial" w:hAnsi="Arial" w:cs="Arial"/>
          <w:i/>
          <w:iCs/>
          <w:color w:val="000000"/>
          <w:sz w:val="18"/>
          <w:szCs w:val="18"/>
          <w:highlight w:val="yellow"/>
          <w:u w:val="double"/>
        </w:rPr>
        <w:t>risk</w:t>
      </w:r>
      <w:r w:rsidRPr="003C15F7">
        <w:rPr>
          <w:rFonts w:ascii="Arial" w:hAnsi="Arial" w:cs="Arial"/>
          <w:color w:val="000000"/>
          <w:sz w:val="18"/>
          <w:szCs w:val="18"/>
        </w:rPr>
        <w:t xml:space="preserve"> </w:t>
      </w:r>
      <w:r w:rsidRPr="003C15F7">
        <w:rPr>
          <w:rFonts w:ascii="Arial" w:hAnsi="Arial" w:cs="Arial"/>
          <w:iCs/>
          <w:strike/>
          <w:color w:val="000000"/>
          <w:sz w:val="18"/>
          <w:szCs w:val="18"/>
          <w:highlight w:val="yellow"/>
          <w:u w:val="double"/>
        </w:rPr>
        <w:t>likelihood</w:t>
      </w:r>
      <w:r w:rsidRPr="003C15F7">
        <w:rPr>
          <w:rFonts w:ascii="Arial" w:hAnsi="Arial" w:cs="Arial"/>
          <w:iCs/>
          <w:color w:val="000000"/>
          <w:sz w:val="18"/>
          <w:szCs w:val="18"/>
        </w:rPr>
        <w:t xml:space="preserve"> </w:t>
      </w:r>
      <w:r w:rsidRPr="003C15F7">
        <w:rPr>
          <w:rFonts w:ascii="Arial" w:hAnsi="Arial" w:cs="Arial"/>
          <w:color w:val="000000"/>
          <w:sz w:val="18"/>
          <w:szCs w:val="18"/>
        </w:rPr>
        <w:t xml:space="preserve">of transmitting </w:t>
      </w:r>
      <w:r w:rsidRPr="003C15F7">
        <w:rPr>
          <w:rFonts w:ascii="Arial" w:hAnsi="Arial" w:cs="Arial"/>
          <w:i/>
          <w:color w:val="000000"/>
          <w:sz w:val="18"/>
          <w:szCs w:val="18"/>
        </w:rPr>
        <w:t>pathogenic agents</w:t>
      </w:r>
      <w:r w:rsidRPr="003C15F7">
        <w:rPr>
          <w:rFonts w:ascii="Arial" w:hAnsi="Arial" w:cs="Arial"/>
          <w:color w:val="000000"/>
          <w:sz w:val="18"/>
          <w:szCs w:val="18"/>
        </w:rPr>
        <w:t xml:space="preserve"> via </w:t>
      </w:r>
      <w:r w:rsidRPr="003C15F7">
        <w:rPr>
          <w:rFonts w:ascii="Arial" w:hAnsi="Arial" w:cs="Arial"/>
          <w:iCs/>
          <w:color w:val="000000"/>
          <w:sz w:val="18"/>
          <w:szCs w:val="18"/>
        </w:rPr>
        <w:t>fomites</w:t>
      </w:r>
      <w:r w:rsidRPr="003C15F7">
        <w:rPr>
          <w:rFonts w:ascii="Arial" w:hAnsi="Arial" w:cs="Arial"/>
          <w:i/>
          <w:color w:val="000000"/>
          <w:sz w:val="18"/>
          <w:szCs w:val="18"/>
        </w:rPr>
        <w:t xml:space="preserve"> </w:t>
      </w:r>
      <w:r w:rsidRPr="003C15F7">
        <w:rPr>
          <w:rFonts w:ascii="Arial" w:hAnsi="Arial" w:cs="Arial"/>
          <w:sz w:val="18"/>
          <w:szCs w:val="18"/>
          <w:u w:val="double"/>
          <w:lang w:val="en-CA"/>
        </w:rPr>
        <w:t xml:space="preserve">should be </w:t>
      </w:r>
      <w:r w:rsidRPr="003C15F7">
        <w:rPr>
          <w:rFonts w:ascii="Arial" w:hAnsi="Arial" w:cs="Arial"/>
          <w:sz w:val="18"/>
          <w:szCs w:val="18"/>
          <w:highlight w:val="yellow"/>
          <w:u w:val="double"/>
          <w:lang w:val="en-CA"/>
        </w:rPr>
        <w:t>assessed and</w:t>
      </w:r>
      <w:r w:rsidRPr="003C15F7">
        <w:rPr>
          <w:rFonts w:ascii="Arial" w:hAnsi="Arial" w:cs="Arial"/>
          <w:sz w:val="18"/>
          <w:szCs w:val="18"/>
          <w:u w:val="double"/>
          <w:lang w:val="en-CA"/>
        </w:rPr>
        <w:t xml:space="preserve"> managed</w:t>
      </w:r>
      <w:r w:rsidRPr="003C15F7">
        <w:rPr>
          <w:rFonts w:ascii="Arial" w:hAnsi="Arial" w:cs="Arial"/>
          <w:strike/>
          <w:sz w:val="18"/>
          <w:szCs w:val="18"/>
          <w:u w:val="double"/>
          <w:lang w:val="en-CA"/>
        </w:rPr>
        <w:t>; possible mitigation measures</w:t>
      </w:r>
      <w:r w:rsidRPr="003C15F7">
        <w:rPr>
          <w:rFonts w:ascii="Arial" w:hAnsi="Arial" w:cs="Arial"/>
          <w:sz w:val="18"/>
          <w:szCs w:val="18"/>
          <w:u w:val="double"/>
          <w:lang w:val="en-CA"/>
        </w:rPr>
        <w:t xml:space="preserve"> </w:t>
      </w:r>
      <w:r w:rsidRPr="003C15F7">
        <w:rPr>
          <w:rFonts w:ascii="Arial" w:hAnsi="Arial" w:cs="Arial"/>
          <w:strike/>
          <w:sz w:val="18"/>
          <w:szCs w:val="18"/>
          <w:u w:val="double"/>
          <w:lang w:val="en-CA"/>
        </w:rPr>
        <w:t>include the</w:t>
      </w:r>
      <w:r w:rsidRPr="003C15F7">
        <w:rPr>
          <w:rFonts w:ascii="Arial" w:hAnsi="Arial" w:cs="Arial"/>
          <w:sz w:val="18"/>
          <w:szCs w:val="18"/>
          <w:u w:val="double"/>
          <w:lang w:val="en-CA"/>
        </w:rPr>
        <w:t xml:space="preserve"> giving consideration to the following mitigation measures</w:t>
      </w:r>
      <w:r w:rsidRPr="003C15F7">
        <w:rPr>
          <w:rFonts w:ascii="Arial" w:hAnsi="Arial" w:cs="Arial"/>
          <w:strike/>
          <w:color w:val="000000"/>
          <w:sz w:val="18"/>
          <w:szCs w:val="18"/>
        </w:rPr>
        <w:t xml:space="preserve"> can be managed by</w:t>
      </w:r>
      <w:r w:rsidRPr="003C15F7">
        <w:rPr>
          <w:rFonts w:ascii="Arial" w:hAnsi="Arial" w:cs="Arial"/>
          <w:color w:val="000000"/>
          <w:sz w:val="18"/>
          <w:szCs w:val="18"/>
        </w:rPr>
        <w:t>:</w:t>
      </w:r>
    </w:p>
    <w:p w14:paraId="5EDE01C4" w14:textId="0F556C2F" w:rsidR="0094086E" w:rsidRPr="003C15F7" w:rsidRDefault="0094086E" w:rsidP="0094086E">
      <w:pPr>
        <w:spacing w:after="240"/>
        <w:ind w:left="851" w:hanging="425"/>
        <w:jc w:val="both"/>
        <w:rPr>
          <w:rFonts w:ascii="Arial" w:hAnsi="Arial" w:cs="Arial"/>
          <w:sz w:val="18"/>
          <w:szCs w:val="18"/>
        </w:rPr>
      </w:pPr>
      <w:r w:rsidRPr="003C15F7">
        <w:rPr>
          <w:rFonts w:ascii="Arial" w:hAnsi="Arial" w:cs="Arial"/>
          <w:i/>
          <w:sz w:val="18"/>
          <w:szCs w:val="18"/>
          <w:u w:val="double"/>
        </w:rPr>
        <w:t>a</w:t>
      </w:r>
      <w:r w:rsidRPr="003C15F7">
        <w:rPr>
          <w:rFonts w:ascii="Arial" w:hAnsi="Arial" w:cs="Arial"/>
          <w:i/>
          <w:sz w:val="18"/>
          <w:szCs w:val="18"/>
        </w:rPr>
        <w:t>)</w:t>
      </w:r>
      <w:r w:rsidRPr="003C15F7">
        <w:rPr>
          <w:rFonts w:ascii="Arial" w:hAnsi="Arial" w:cs="Arial"/>
          <w:sz w:val="18"/>
          <w:szCs w:val="18"/>
        </w:rPr>
        <w:tab/>
      </w:r>
      <w:r w:rsidRPr="003C15F7">
        <w:rPr>
          <w:rFonts w:ascii="Arial" w:hAnsi="Arial" w:cs="Arial"/>
          <w:strike/>
          <w:sz w:val="18"/>
          <w:szCs w:val="18"/>
          <w:highlight w:val="yellow"/>
        </w:rPr>
        <w:t>Assess</w:t>
      </w:r>
      <w:r w:rsidRPr="00685B5C">
        <w:rPr>
          <w:rFonts w:ascii="Arial" w:hAnsi="Arial" w:cs="Arial"/>
          <w:strike/>
          <w:sz w:val="18"/>
          <w:szCs w:val="18"/>
          <w:highlight w:val="yellow"/>
          <w:lang w:val="en-AU"/>
        </w:rPr>
        <w:t>ing</w:t>
      </w:r>
      <w:r w:rsidR="00365A65" w:rsidRPr="00685B5C">
        <w:rPr>
          <w:rFonts w:ascii="Arial" w:hAnsi="Arial" w:cs="Arial"/>
          <w:sz w:val="18"/>
          <w:szCs w:val="18"/>
          <w:u w:val="double"/>
          <w:lang w:val="en-AU"/>
        </w:rPr>
        <w:t xml:space="preserve"> </w:t>
      </w:r>
      <w:r w:rsidR="00365A65" w:rsidRPr="003C15F7">
        <w:rPr>
          <w:rFonts w:ascii="Arial" w:hAnsi="Arial" w:cs="Arial"/>
          <w:sz w:val="18"/>
          <w:szCs w:val="18"/>
          <w:highlight w:val="yellow"/>
          <w:u w:val="double"/>
          <w:lang w:val="en-AU"/>
        </w:rPr>
        <w:t>Assess</w:t>
      </w:r>
      <w:r w:rsidRPr="003C15F7">
        <w:rPr>
          <w:rFonts w:ascii="Arial" w:hAnsi="Arial" w:cs="Arial"/>
          <w:sz w:val="18"/>
          <w:szCs w:val="18"/>
        </w:rPr>
        <w:t xml:space="preserve"> </w:t>
      </w:r>
      <w:r w:rsidRPr="003C15F7">
        <w:rPr>
          <w:rFonts w:ascii="Arial" w:hAnsi="Arial" w:cs="Arial"/>
          <w:sz w:val="18"/>
          <w:szCs w:val="18"/>
          <w:u w:val="double"/>
        </w:rPr>
        <w:t xml:space="preserve">the </w:t>
      </w:r>
      <w:r w:rsidRPr="003C15F7">
        <w:rPr>
          <w:rFonts w:ascii="Arial" w:hAnsi="Arial" w:cs="Arial"/>
          <w:i/>
          <w:iCs/>
          <w:sz w:val="18"/>
          <w:szCs w:val="18"/>
          <w:u w:val="double"/>
        </w:rPr>
        <w:t xml:space="preserve">disease risk </w:t>
      </w:r>
      <w:r w:rsidRPr="003C15F7">
        <w:rPr>
          <w:rFonts w:ascii="Arial" w:hAnsi="Arial" w:cs="Arial"/>
          <w:sz w:val="18"/>
          <w:szCs w:val="18"/>
          <w:u w:val="double"/>
        </w:rPr>
        <w:t>associated with</w:t>
      </w:r>
      <w:r w:rsidRPr="003C15F7">
        <w:rPr>
          <w:rFonts w:ascii="Arial" w:hAnsi="Arial" w:cs="Arial"/>
          <w:sz w:val="18"/>
          <w:szCs w:val="18"/>
        </w:rPr>
        <w:t xml:space="preserve"> any fomites </w:t>
      </w:r>
      <w:r w:rsidRPr="00685B5C">
        <w:rPr>
          <w:rFonts w:ascii="Arial" w:hAnsi="Arial" w:cs="Arial"/>
          <w:strike/>
          <w:sz w:val="18"/>
          <w:szCs w:val="18"/>
          <w:highlight w:val="yellow"/>
        </w:rPr>
        <w:t>brought</w:t>
      </w:r>
      <w:r w:rsidRPr="003C15F7">
        <w:rPr>
          <w:rFonts w:ascii="Arial" w:hAnsi="Arial" w:cs="Arial"/>
          <w:sz w:val="18"/>
          <w:szCs w:val="18"/>
          <w:highlight w:val="yellow"/>
        </w:rPr>
        <w:t xml:space="preserve"> </w:t>
      </w:r>
      <w:r w:rsidRPr="003C15F7">
        <w:rPr>
          <w:rFonts w:ascii="Arial" w:hAnsi="Arial" w:cs="Arial"/>
          <w:sz w:val="18"/>
          <w:szCs w:val="18"/>
          <w:highlight w:val="yellow"/>
          <w:u w:val="double"/>
        </w:rPr>
        <w:t>moved</w:t>
      </w:r>
      <w:r w:rsidRPr="003C15F7">
        <w:rPr>
          <w:rFonts w:ascii="Arial" w:hAnsi="Arial" w:cs="Arial"/>
          <w:sz w:val="18"/>
          <w:szCs w:val="18"/>
        </w:rPr>
        <w:t xml:space="preserve"> into</w:t>
      </w:r>
      <w:r w:rsidRPr="003C15F7">
        <w:rPr>
          <w:rFonts w:ascii="Arial" w:hAnsi="Arial" w:cs="Arial"/>
          <w:sz w:val="18"/>
          <w:szCs w:val="18"/>
          <w:highlight w:val="yellow"/>
          <w:u w:val="double"/>
        </w:rPr>
        <w:t xml:space="preserve">, </w:t>
      </w:r>
      <w:r w:rsidRPr="003C15F7">
        <w:rPr>
          <w:rFonts w:ascii="Arial" w:hAnsi="Arial" w:cs="Arial"/>
          <w:color w:val="000000"/>
          <w:sz w:val="18"/>
          <w:szCs w:val="18"/>
          <w:highlight w:val="yellow"/>
          <w:u w:val="double"/>
        </w:rPr>
        <w:t>within or from</w:t>
      </w:r>
      <w:r w:rsidRPr="003C15F7">
        <w:rPr>
          <w:rFonts w:ascii="Arial" w:hAnsi="Arial" w:cs="Arial"/>
          <w:sz w:val="18"/>
          <w:szCs w:val="18"/>
          <w:highlight w:val="yellow"/>
          <w:u w:val="double"/>
        </w:rPr>
        <w:t xml:space="preserve"> </w:t>
      </w:r>
      <w:r w:rsidRPr="003C15F7">
        <w:rPr>
          <w:rFonts w:ascii="Arial" w:hAnsi="Arial" w:cs="Arial"/>
          <w:sz w:val="18"/>
          <w:szCs w:val="18"/>
        </w:rPr>
        <w:t xml:space="preserve">the </w:t>
      </w:r>
      <w:r w:rsidRPr="003C15F7">
        <w:rPr>
          <w:rFonts w:ascii="Arial" w:hAnsi="Arial" w:cs="Arial"/>
          <w:i/>
          <w:sz w:val="18"/>
          <w:szCs w:val="18"/>
        </w:rPr>
        <w:t>aquaculture establishment</w:t>
      </w:r>
      <w:r w:rsidRPr="003C15F7">
        <w:rPr>
          <w:rFonts w:ascii="Arial" w:hAnsi="Arial" w:cs="Arial"/>
          <w:sz w:val="18"/>
          <w:szCs w:val="18"/>
        </w:rPr>
        <w:t xml:space="preserve"> </w:t>
      </w:r>
      <w:r w:rsidRPr="003C15F7">
        <w:rPr>
          <w:rFonts w:ascii="Arial" w:hAnsi="Arial" w:cs="Arial"/>
          <w:strike/>
          <w:sz w:val="18"/>
          <w:szCs w:val="18"/>
        </w:rPr>
        <w:t xml:space="preserve">for their </w:t>
      </w:r>
      <w:r w:rsidRPr="003C15F7">
        <w:rPr>
          <w:rFonts w:ascii="Arial" w:hAnsi="Arial" w:cs="Arial"/>
          <w:i/>
          <w:strike/>
          <w:sz w:val="18"/>
          <w:szCs w:val="18"/>
        </w:rPr>
        <w:t>disease</w:t>
      </w:r>
      <w:r w:rsidRPr="003C15F7">
        <w:rPr>
          <w:rFonts w:ascii="Arial" w:eastAsia="SimSun" w:hAnsi="Arial" w:cs="Arial"/>
          <w:i/>
          <w:strike/>
          <w:sz w:val="18"/>
          <w:szCs w:val="18"/>
          <w:lang w:eastAsia="zh-CN"/>
        </w:rPr>
        <w:t xml:space="preserve"> </w:t>
      </w:r>
      <w:r w:rsidRPr="003C15F7">
        <w:rPr>
          <w:rFonts w:ascii="Arial" w:hAnsi="Arial" w:cs="Arial"/>
          <w:i/>
          <w:strike/>
          <w:sz w:val="18"/>
          <w:szCs w:val="18"/>
        </w:rPr>
        <w:t>risk</w:t>
      </w:r>
      <w:r w:rsidRPr="003C15F7">
        <w:rPr>
          <w:rFonts w:ascii="Arial" w:hAnsi="Arial" w:cs="Arial"/>
          <w:sz w:val="18"/>
          <w:szCs w:val="18"/>
        </w:rPr>
        <w:t>.</w:t>
      </w:r>
    </w:p>
    <w:p w14:paraId="05F69226" w14:textId="583E63A6" w:rsidR="0094086E" w:rsidRPr="003C15F7" w:rsidRDefault="0094086E" w:rsidP="0094086E">
      <w:pPr>
        <w:spacing w:after="240"/>
        <w:ind w:left="851" w:hanging="425"/>
        <w:jc w:val="both"/>
        <w:rPr>
          <w:rFonts w:ascii="Arial" w:hAnsi="Arial" w:cs="Arial"/>
          <w:sz w:val="18"/>
          <w:szCs w:val="18"/>
        </w:rPr>
      </w:pPr>
      <w:r w:rsidRPr="003C15F7">
        <w:rPr>
          <w:rFonts w:ascii="Arial" w:hAnsi="Arial" w:cs="Arial"/>
          <w:i/>
          <w:sz w:val="18"/>
          <w:szCs w:val="18"/>
          <w:u w:val="double"/>
        </w:rPr>
        <w:t>b</w:t>
      </w:r>
      <w:r w:rsidRPr="003C15F7">
        <w:rPr>
          <w:rFonts w:ascii="Arial" w:hAnsi="Arial" w:cs="Arial"/>
          <w:i/>
          <w:sz w:val="18"/>
          <w:szCs w:val="18"/>
        </w:rPr>
        <w:t>)</w:t>
      </w:r>
      <w:r w:rsidRPr="003C15F7">
        <w:rPr>
          <w:rFonts w:ascii="Arial" w:hAnsi="Arial" w:cs="Arial"/>
          <w:sz w:val="18"/>
          <w:szCs w:val="18"/>
        </w:rPr>
        <w:tab/>
      </w:r>
      <w:r w:rsidRPr="003C15F7">
        <w:rPr>
          <w:rFonts w:ascii="Arial" w:hAnsi="Arial" w:cs="Arial"/>
          <w:strike/>
          <w:sz w:val="18"/>
          <w:szCs w:val="18"/>
          <w:highlight w:val="yellow"/>
        </w:rPr>
        <w:t>Ensur</w:t>
      </w:r>
      <w:r w:rsidRPr="00685B5C">
        <w:rPr>
          <w:rFonts w:ascii="Arial" w:hAnsi="Arial" w:cs="Arial"/>
          <w:strike/>
          <w:sz w:val="18"/>
          <w:szCs w:val="18"/>
          <w:highlight w:val="yellow"/>
          <w:lang w:val="en-AU"/>
        </w:rPr>
        <w:t>ing</w:t>
      </w:r>
      <w:r w:rsidRPr="003C15F7">
        <w:rPr>
          <w:rFonts w:ascii="Arial" w:hAnsi="Arial" w:cs="Arial"/>
          <w:sz w:val="18"/>
          <w:szCs w:val="18"/>
        </w:rPr>
        <w:t xml:space="preserve"> </w:t>
      </w:r>
      <w:r w:rsidR="00365A65" w:rsidRPr="003C15F7">
        <w:rPr>
          <w:rFonts w:ascii="Arial" w:hAnsi="Arial" w:cs="Arial"/>
          <w:sz w:val="18"/>
          <w:szCs w:val="18"/>
          <w:highlight w:val="yellow"/>
          <w:u w:val="double"/>
        </w:rPr>
        <w:t>Ensure</w:t>
      </w:r>
      <w:r w:rsidR="00365A65" w:rsidRPr="003C15F7">
        <w:rPr>
          <w:rFonts w:ascii="Arial" w:hAnsi="Arial" w:cs="Arial"/>
          <w:sz w:val="18"/>
          <w:szCs w:val="18"/>
        </w:rPr>
        <w:t xml:space="preserve"> </w:t>
      </w:r>
      <w:r w:rsidRPr="003C15F7">
        <w:rPr>
          <w:rFonts w:ascii="Arial" w:hAnsi="Arial" w:cs="Arial"/>
          <w:sz w:val="18"/>
          <w:szCs w:val="18"/>
        </w:rPr>
        <w:t>procedures and infrastructure are in place to clean and disinfect fomites, including at designated delivery and loading areas</w:t>
      </w:r>
      <w:r w:rsidRPr="003C15F7">
        <w:rPr>
          <w:rFonts w:ascii="Arial" w:hAnsi="Arial" w:cs="Arial"/>
          <w:sz w:val="18"/>
          <w:szCs w:val="18"/>
          <w:u w:val="double"/>
          <w:lang w:val="en-AU"/>
        </w:rPr>
        <w:t xml:space="preserve">, prior to entry into the </w:t>
      </w:r>
      <w:r w:rsidRPr="003C15F7">
        <w:rPr>
          <w:rFonts w:ascii="Arial" w:hAnsi="Arial" w:cs="Arial"/>
          <w:i/>
          <w:iCs/>
          <w:sz w:val="18"/>
          <w:szCs w:val="18"/>
          <w:u w:val="double"/>
          <w:lang w:val="en-AU"/>
        </w:rPr>
        <w:t>aquaculture establishment</w:t>
      </w:r>
      <w:r w:rsidRPr="003C15F7">
        <w:rPr>
          <w:rFonts w:ascii="Arial" w:hAnsi="Arial" w:cs="Arial"/>
          <w:sz w:val="18"/>
          <w:szCs w:val="18"/>
          <w:u w:val="double"/>
        </w:rPr>
        <w:t>.</w:t>
      </w:r>
      <w:r w:rsidRPr="003C15F7">
        <w:rPr>
          <w:rFonts w:ascii="Arial" w:hAnsi="Arial" w:cs="Arial"/>
          <w:sz w:val="18"/>
          <w:szCs w:val="18"/>
        </w:rPr>
        <w:t xml:space="preserve"> Recommendations for the cleaning and </w:t>
      </w:r>
      <w:r w:rsidRPr="003C15F7">
        <w:rPr>
          <w:rFonts w:ascii="Arial" w:hAnsi="Arial" w:cs="Arial"/>
          <w:strike/>
          <w:sz w:val="18"/>
          <w:szCs w:val="18"/>
        </w:rPr>
        <w:t>disinfection</w:t>
      </w:r>
      <w:r w:rsidRPr="003C15F7">
        <w:rPr>
          <w:rFonts w:ascii="Arial" w:hAnsi="Arial" w:cs="Arial"/>
          <w:sz w:val="18"/>
          <w:szCs w:val="18"/>
        </w:rPr>
        <w:t xml:space="preserve"> </w:t>
      </w:r>
      <w:r w:rsidRPr="003C15F7">
        <w:rPr>
          <w:rFonts w:ascii="Arial" w:hAnsi="Arial" w:cs="Arial"/>
          <w:i/>
          <w:iCs/>
          <w:sz w:val="18"/>
          <w:szCs w:val="18"/>
          <w:u w:val="double"/>
        </w:rPr>
        <w:t>disinfection</w:t>
      </w:r>
      <w:r w:rsidRPr="003C15F7">
        <w:rPr>
          <w:rFonts w:ascii="Arial" w:hAnsi="Arial" w:cs="Arial"/>
          <w:sz w:val="18"/>
          <w:szCs w:val="18"/>
        </w:rPr>
        <w:t xml:space="preserve"> of fomites are described in Chapter 4.3.</w:t>
      </w:r>
    </w:p>
    <w:p w14:paraId="5F517C64" w14:textId="77777777" w:rsidR="0094086E" w:rsidRPr="003C15F7" w:rsidRDefault="0094086E" w:rsidP="0094086E">
      <w:pPr>
        <w:spacing w:after="240"/>
        <w:ind w:left="851" w:hanging="425"/>
        <w:jc w:val="both"/>
        <w:rPr>
          <w:rFonts w:ascii="Arial" w:hAnsi="Arial" w:cs="Arial"/>
          <w:strike/>
          <w:sz w:val="18"/>
          <w:szCs w:val="18"/>
        </w:rPr>
      </w:pPr>
      <w:r w:rsidRPr="003C15F7">
        <w:rPr>
          <w:rFonts w:ascii="Arial" w:hAnsi="Arial" w:cs="Arial"/>
          <w:i/>
          <w:strike/>
          <w:sz w:val="18"/>
          <w:szCs w:val="18"/>
          <w:u w:val="double"/>
        </w:rPr>
        <w:t>c</w:t>
      </w:r>
      <w:r w:rsidRPr="003C15F7">
        <w:rPr>
          <w:rFonts w:ascii="Arial" w:hAnsi="Arial" w:cs="Arial"/>
          <w:i/>
          <w:strike/>
          <w:sz w:val="18"/>
          <w:szCs w:val="18"/>
        </w:rPr>
        <w:t>)</w:t>
      </w:r>
      <w:r w:rsidRPr="003C15F7">
        <w:rPr>
          <w:rFonts w:ascii="Arial" w:hAnsi="Arial" w:cs="Arial"/>
          <w:sz w:val="18"/>
          <w:szCs w:val="18"/>
        </w:rPr>
        <w:tab/>
      </w:r>
      <w:r w:rsidRPr="003C15F7">
        <w:rPr>
          <w:rFonts w:ascii="Arial" w:hAnsi="Arial" w:cs="Arial"/>
          <w:strike/>
          <w:sz w:val="18"/>
          <w:szCs w:val="18"/>
        </w:rPr>
        <w:t xml:space="preserve">Assigning dedicated equipment for use in production units of different health status. Where equipment must be used in multiple production units it should be cleaned and disinfected prior to movement between units. </w:t>
      </w:r>
    </w:p>
    <w:p w14:paraId="541DF832" w14:textId="2A0C0C69" w:rsidR="0094086E" w:rsidRPr="003C15F7" w:rsidRDefault="0094086E" w:rsidP="0094086E">
      <w:pPr>
        <w:pStyle w:val="NormalWeb"/>
        <w:spacing w:before="0" w:beforeAutospacing="0" w:after="240" w:afterAutospacing="0"/>
        <w:ind w:left="851" w:hanging="425"/>
        <w:jc w:val="both"/>
        <w:rPr>
          <w:rFonts w:ascii="Arial" w:hAnsi="Arial" w:cs="Arial"/>
          <w:sz w:val="18"/>
          <w:szCs w:val="18"/>
          <w:u w:val="double"/>
          <w:lang w:val="en-AU"/>
        </w:rPr>
      </w:pPr>
      <w:r w:rsidRPr="003C15F7">
        <w:rPr>
          <w:rFonts w:ascii="Arial" w:hAnsi="Arial" w:cs="Arial"/>
          <w:i/>
          <w:sz w:val="18"/>
          <w:szCs w:val="18"/>
          <w:u w:val="double"/>
          <w:lang w:val="en-AU"/>
        </w:rPr>
        <w:t>c)</w:t>
      </w:r>
      <w:r w:rsidRPr="003C15F7">
        <w:rPr>
          <w:rFonts w:ascii="Arial" w:hAnsi="Arial" w:cs="Arial"/>
          <w:sz w:val="18"/>
          <w:szCs w:val="18"/>
          <w:lang w:val="en-AU"/>
        </w:rPr>
        <w:tab/>
      </w:r>
      <w:r w:rsidRPr="003C15F7">
        <w:rPr>
          <w:rFonts w:ascii="Arial" w:hAnsi="Arial" w:cs="Arial"/>
          <w:strike/>
          <w:sz w:val="18"/>
          <w:szCs w:val="18"/>
          <w:highlight w:val="yellow"/>
          <w:u w:val="double"/>
          <w:lang w:val="en-AU"/>
        </w:rPr>
        <w:t>Wherever possible, dedicating</w:t>
      </w:r>
      <w:r w:rsidRPr="003C15F7">
        <w:rPr>
          <w:rFonts w:ascii="Arial" w:hAnsi="Arial" w:cs="Arial"/>
          <w:sz w:val="18"/>
          <w:szCs w:val="18"/>
          <w:u w:val="double"/>
          <w:lang w:val="en-AU"/>
        </w:rPr>
        <w:t xml:space="preserve"> </w:t>
      </w:r>
      <w:r w:rsidR="00365A65" w:rsidRPr="003C15F7">
        <w:rPr>
          <w:rFonts w:ascii="Arial" w:hAnsi="Arial" w:cs="Arial"/>
          <w:sz w:val="18"/>
          <w:szCs w:val="18"/>
          <w:highlight w:val="yellow"/>
          <w:u w:val="double"/>
          <w:lang w:val="en-AU"/>
        </w:rPr>
        <w:t>Dedicate, where possible,</w:t>
      </w:r>
      <w:r w:rsidR="00365A65" w:rsidRPr="003C15F7">
        <w:rPr>
          <w:rFonts w:ascii="Arial" w:hAnsi="Arial" w:cs="Arial"/>
          <w:sz w:val="18"/>
          <w:szCs w:val="18"/>
          <w:u w:val="double"/>
          <w:lang w:val="en-AU"/>
        </w:rPr>
        <w:t xml:space="preserve"> </w:t>
      </w:r>
      <w:r w:rsidRPr="003C15F7">
        <w:rPr>
          <w:rFonts w:ascii="Arial" w:hAnsi="Arial" w:cs="Arial"/>
          <w:sz w:val="18"/>
          <w:szCs w:val="18"/>
          <w:u w:val="double"/>
          <w:lang w:val="en-AU"/>
        </w:rPr>
        <w:t xml:space="preserve">items that are difficult to disinfect, or those with a high likelihood of contamination, to a specific </w:t>
      </w:r>
      <w:r w:rsidRPr="003C15F7">
        <w:rPr>
          <w:rFonts w:ascii="Arial" w:hAnsi="Arial" w:cs="Arial"/>
          <w:i/>
          <w:iCs/>
          <w:sz w:val="18"/>
          <w:szCs w:val="18"/>
          <w:u w:val="double"/>
          <w:lang w:val="en-AU"/>
        </w:rPr>
        <w:t>aquaculture establishment</w:t>
      </w:r>
      <w:r w:rsidRPr="003C15F7">
        <w:rPr>
          <w:rFonts w:ascii="Arial" w:hAnsi="Arial" w:cs="Arial"/>
          <w:sz w:val="18"/>
          <w:szCs w:val="18"/>
          <w:u w:val="double"/>
          <w:lang w:val="en-AU"/>
        </w:rPr>
        <w:t xml:space="preserve"> </w:t>
      </w:r>
      <w:r w:rsidRPr="003C15F7">
        <w:rPr>
          <w:rFonts w:ascii="Arial" w:hAnsi="Arial" w:cs="Arial"/>
          <w:strike/>
          <w:sz w:val="18"/>
          <w:szCs w:val="18"/>
          <w:highlight w:val="yellow"/>
          <w:u w:val="double"/>
          <w:lang w:val="en-AU"/>
        </w:rPr>
        <w:t>rather than</w:t>
      </w:r>
      <w:r w:rsidRPr="003C15F7">
        <w:rPr>
          <w:rFonts w:ascii="Arial" w:hAnsi="Arial" w:cs="Arial"/>
          <w:sz w:val="18"/>
          <w:szCs w:val="18"/>
          <w:u w:val="double"/>
          <w:lang w:val="en-AU"/>
        </w:rPr>
        <w:t xml:space="preserve"> </w:t>
      </w:r>
      <w:r w:rsidR="00365A65" w:rsidRPr="003C15F7">
        <w:rPr>
          <w:rFonts w:ascii="Arial" w:hAnsi="Arial" w:cs="Arial"/>
          <w:sz w:val="18"/>
          <w:szCs w:val="18"/>
          <w:highlight w:val="yellow"/>
          <w:u w:val="double"/>
          <w:lang w:val="en-AU"/>
        </w:rPr>
        <w:t>instead of</w:t>
      </w:r>
      <w:r w:rsidR="00365A65" w:rsidRPr="003C15F7">
        <w:rPr>
          <w:rFonts w:ascii="Arial" w:hAnsi="Arial" w:cs="Arial"/>
          <w:sz w:val="18"/>
          <w:szCs w:val="18"/>
          <w:u w:val="double"/>
          <w:lang w:val="en-AU"/>
        </w:rPr>
        <w:t xml:space="preserve"> </w:t>
      </w:r>
      <w:r w:rsidRPr="003C15F7">
        <w:rPr>
          <w:rFonts w:ascii="Arial" w:hAnsi="Arial" w:cs="Arial"/>
          <w:sz w:val="18"/>
          <w:szCs w:val="18"/>
          <w:u w:val="double"/>
          <w:lang w:val="en-AU"/>
        </w:rPr>
        <w:t xml:space="preserve">moving them between </w:t>
      </w:r>
      <w:r w:rsidRPr="003C15F7">
        <w:rPr>
          <w:rFonts w:ascii="Arial" w:hAnsi="Arial" w:cs="Arial"/>
          <w:i/>
          <w:iCs/>
          <w:sz w:val="18"/>
          <w:szCs w:val="18"/>
          <w:u w:val="double"/>
          <w:lang w:val="en-AU"/>
        </w:rPr>
        <w:t xml:space="preserve">aquaculture establishments </w:t>
      </w:r>
      <w:r w:rsidRPr="003C15F7">
        <w:rPr>
          <w:rFonts w:ascii="Arial" w:hAnsi="Arial" w:cs="Arial"/>
          <w:sz w:val="18"/>
          <w:szCs w:val="18"/>
          <w:u w:val="double"/>
          <w:lang w:val="en-AU"/>
        </w:rPr>
        <w:t xml:space="preserve">after </w:t>
      </w:r>
      <w:r w:rsidRPr="003C15F7">
        <w:rPr>
          <w:rFonts w:ascii="Arial" w:hAnsi="Arial" w:cs="Arial"/>
          <w:i/>
          <w:iCs/>
          <w:sz w:val="18"/>
          <w:szCs w:val="18"/>
          <w:u w:val="double"/>
          <w:lang w:val="en-AU"/>
        </w:rPr>
        <w:t>disinfection</w:t>
      </w:r>
      <w:r w:rsidRPr="003C15F7">
        <w:rPr>
          <w:rFonts w:ascii="Arial" w:hAnsi="Arial" w:cs="Arial"/>
          <w:sz w:val="18"/>
          <w:szCs w:val="18"/>
          <w:u w:val="double"/>
          <w:lang w:val="en-AU"/>
        </w:rPr>
        <w:t xml:space="preserve">. </w:t>
      </w:r>
    </w:p>
    <w:p w14:paraId="1CC77746" w14:textId="480345BD" w:rsidR="0094086E" w:rsidRPr="003C15F7" w:rsidRDefault="0094086E" w:rsidP="0094086E">
      <w:pPr>
        <w:spacing w:after="240"/>
        <w:ind w:left="851" w:hanging="425"/>
        <w:jc w:val="both"/>
        <w:rPr>
          <w:rFonts w:ascii="Arial" w:hAnsi="Arial" w:cs="Arial"/>
          <w:sz w:val="18"/>
          <w:szCs w:val="18"/>
          <w:u w:val="double"/>
        </w:rPr>
      </w:pPr>
      <w:r w:rsidRPr="003C15F7">
        <w:rPr>
          <w:rFonts w:ascii="Arial" w:hAnsi="Arial" w:cs="Arial"/>
          <w:i/>
          <w:sz w:val="18"/>
          <w:szCs w:val="18"/>
          <w:u w:val="double"/>
        </w:rPr>
        <w:t>d)</w:t>
      </w:r>
      <w:r w:rsidRPr="003C15F7">
        <w:rPr>
          <w:rFonts w:ascii="Arial" w:hAnsi="Arial" w:cs="Arial"/>
          <w:sz w:val="18"/>
          <w:szCs w:val="18"/>
        </w:rPr>
        <w:tab/>
      </w:r>
      <w:r w:rsidRPr="003C15F7">
        <w:rPr>
          <w:rFonts w:ascii="Arial" w:hAnsi="Arial" w:cs="Arial"/>
          <w:strike/>
          <w:sz w:val="18"/>
          <w:szCs w:val="18"/>
          <w:highlight w:val="yellow"/>
          <w:u w:val="double"/>
        </w:rPr>
        <w:t>Apply</w:t>
      </w:r>
      <w:r w:rsidRPr="003C15F7">
        <w:rPr>
          <w:rFonts w:ascii="Arial" w:hAnsi="Arial" w:cs="Arial"/>
          <w:strike/>
          <w:sz w:val="18"/>
          <w:szCs w:val="18"/>
          <w:highlight w:val="yellow"/>
          <w:u w:val="double"/>
          <w:lang w:val="en-AU"/>
        </w:rPr>
        <w:t>ing</w:t>
      </w:r>
      <w:r w:rsidRPr="003C15F7">
        <w:rPr>
          <w:rFonts w:ascii="Arial" w:hAnsi="Arial" w:cs="Arial"/>
          <w:sz w:val="18"/>
          <w:szCs w:val="18"/>
          <w:u w:val="double"/>
        </w:rPr>
        <w:t xml:space="preserve"> </w:t>
      </w:r>
      <w:r w:rsidR="00365A65" w:rsidRPr="003C15F7">
        <w:rPr>
          <w:rFonts w:ascii="Arial" w:hAnsi="Arial" w:cs="Arial"/>
          <w:sz w:val="18"/>
          <w:szCs w:val="18"/>
          <w:highlight w:val="yellow"/>
          <w:u w:val="double"/>
        </w:rPr>
        <w:t>Apply</w:t>
      </w:r>
      <w:r w:rsidR="00365A65" w:rsidRPr="003C15F7">
        <w:rPr>
          <w:rFonts w:ascii="Arial" w:hAnsi="Arial" w:cs="Arial"/>
          <w:sz w:val="18"/>
          <w:szCs w:val="18"/>
          <w:u w:val="double"/>
        </w:rPr>
        <w:t xml:space="preserve"> </w:t>
      </w:r>
      <w:r w:rsidRPr="003C15F7">
        <w:rPr>
          <w:rFonts w:ascii="Arial" w:hAnsi="Arial" w:cs="Arial"/>
          <w:sz w:val="18"/>
          <w:szCs w:val="18"/>
          <w:u w:val="double"/>
        </w:rPr>
        <w:t xml:space="preserve">the mitigation measures described at points </w:t>
      </w:r>
      <w:r w:rsidRPr="003C15F7">
        <w:rPr>
          <w:rFonts w:ascii="Arial" w:hAnsi="Arial" w:cs="Arial"/>
          <w:i/>
          <w:sz w:val="18"/>
          <w:szCs w:val="18"/>
          <w:u w:val="double"/>
        </w:rPr>
        <w:t>a)</w:t>
      </w:r>
      <w:r w:rsidRPr="003C15F7">
        <w:rPr>
          <w:rFonts w:ascii="Arial" w:hAnsi="Arial" w:cs="Arial"/>
          <w:sz w:val="18"/>
          <w:szCs w:val="18"/>
          <w:u w:val="double"/>
        </w:rPr>
        <w:t xml:space="preserve"> to </w:t>
      </w:r>
      <w:r w:rsidRPr="003C15F7">
        <w:rPr>
          <w:rFonts w:ascii="Arial" w:hAnsi="Arial" w:cs="Arial"/>
          <w:i/>
          <w:sz w:val="18"/>
          <w:szCs w:val="18"/>
          <w:u w:val="double"/>
        </w:rPr>
        <w:t xml:space="preserve">c) </w:t>
      </w:r>
      <w:r w:rsidRPr="003C15F7">
        <w:rPr>
          <w:rFonts w:ascii="Arial" w:hAnsi="Arial" w:cs="Arial"/>
          <w:sz w:val="18"/>
          <w:szCs w:val="18"/>
          <w:u w:val="double"/>
        </w:rPr>
        <w:t xml:space="preserve">above to the movement of </w:t>
      </w:r>
      <w:r w:rsidRPr="003C15F7">
        <w:rPr>
          <w:rFonts w:ascii="Arial" w:hAnsi="Arial" w:cs="Arial"/>
          <w:iCs/>
          <w:sz w:val="18"/>
          <w:szCs w:val="18"/>
          <w:u w:val="double"/>
        </w:rPr>
        <w:t>fomites</w:t>
      </w:r>
      <w:r w:rsidRPr="003C15F7">
        <w:rPr>
          <w:rFonts w:ascii="Arial" w:hAnsi="Arial" w:cs="Arial"/>
          <w:sz w:val="18"/>
          <w:szCs w:val="18"/>
          <w:u w:val="double"/>
        </w:rPr>
        <w:t xml:space="preserve"> between production units within an </w:t>
      </w:r>
      <w:r w:rsidRPr="003C15F7">
        <w:rPr>
          <w:rFonts w:ascii="Arial" w:hAnsi="Arial" w:cs="Arial"/>
          <w:i/>
          <w:iCs/>
          <w:sz w:val="18"/>
          <w:szCs w:val="18"/>
          <w:u w:val="double"/>
        </w:rPr>
        <w:t>aquaculture establishment</w:t>
      </w:r>
      <w:r w:rsidRPr="003C15F7">
        <w:rPr>
          <w:rFonts w:ascii="Arial" w:hAnsi="Arial" w:cs="Arial"/>
          <w:sz w:val="18"/>
          <w:szCs w:val="18"/>
          <w:u w:val="double"/>
        </w:rPr>
        <w:t xml:space="preserve"> with the measures determined based on an evaluation of the </w:t>
      </w:r>
      <w:r w:rsidRPr="003C15F7">
        <w:rPr>
          <w:rFonts w:ascii="Arial" w:hAnsi="Arial" w:cs="Arial"/>
          <w:i/>
          <w:iCs/>
          <w:sz w:val="18"/>
          <w:szCs w:val="18"/>
          <w:highlight w:val="yellow"/>
          <w:u w:val="double"/>
        </w:rPr>
        <w:t>risk</w:t>
      </w:r>
      <w:r w:rsidRPr="003C15F7">
        <w:rPr>
          <w:rFonts w:ascii="Arial" w:hAnsi="Arial" w:cs="Arial"/>
          <w:sz w:val="18"/>
          <w:szCs w:val="18"/>
          <w:highlight w:val="yellow"/>
          <w:u w:val="double"/>
        </w:rPr>
        <w:t xml:space="preserve"> of </w:t>
      </w:r>
      <w:r w:rsidRPr="003C15F7">
        <w:rPr>
          <w:rFonts w:ascii="Arial" w:hAnsi="Arial" w:cs="Arial"/>
          <w:i/>
          <w:iCs/>
          <w:sz w:val="18"/>
          <w:szCs w:val="18"/>
          <w:highlight w:val="yellow"/>
          <w:u w:val="double"/>
        </w:rPr>
        <w:t>disease</w:t>
      </w:r>
      <w:r w:rsidRPr="003C15F7">
        <w:rPr>
          <w:rFonts w:ascii="Arial" w:hAnsi="Arial" w:cs="Arial"/>
          <w:sz w:val="18"/>
          <w:szCs w:val="18"/>
          <w:highlight w:val="yellow"/>
          <w:u w:val="double"/>
        </w:rPr>
        <w:t xml:space="preserve"> transmission</w:t>
      </w:r>
      <w:r w:rsidRPr="003C15F7">
        <w:rPr>
          <w:rFonts w:ascii="Arial" w:hAnsi="Arial" w:cs="Arial"/>
          <w:sz w:val="18"/>
          <w:szCs w:val="18"/>
          <w:u w:val="double"/>
        </w:rPr>
        <w:t xml:space="preserve"> </w:t>
      </w:r>
      <w:r w:rsidRPr="003C15F7">
        <w:rPr>
          <w:rFonts w:ascii="Arial" w:hAnsi="Arial" w:cs="Arial"/>
          <w:i/>
          <w:iCs/>
          <w:strike/>
          <w:sz w:val="18"/>
          <w:szCs w:val="18"/>
          <w:highlight w:val="yellow"/>
          <w:u w:val="double"/>
        </w:rPr>
        <w:t>disease risks</w:t>
      </w:r>
      <w:r w:rsidRPr="003C15F7">
        <w:rPr>
          <w:rFonts w:ascii="Arial" w:hAnsi="Arial" w:cs="Arial"/>
          <w:sz w:val="18"/>
          <w:szCs w:val="18"/>
          <w:u w:val="double"/>
        </w:rPr>
        <w:t>.</w:t>
      </w:r>
    </w:p>
    <w:p w14:paraId="2B377B7E" w14:textId="77777777" w:rsidR="0094086E" w:rsidRPr="003C15F7" w:rsidRDefault="0094086E" w:rsidP="0094086E">
      <w:pPr>
        <w:spacing w:after="240"/>
        <w:ind w:left="426" w:hanging="426"/>
        <w:jc w:val="both"/>
        <w:rPr>
          <w:rFonts w:ascii="Arial" w:hAnsi="Arial" w:cs="Arial"/>
          <w:color w:val="000000"/>
          <w:sz w:val="18"/>
          <w:szCs w:val="18"/>
          <w:u w:val="single"/>
        </w:rPr>
      </w:pPr>
      <w:r w:rsidRPr="003C15F7">
        <w:rPr>
          <w:rFonts w:ascii="Arial" w:hAnsi="Arial" w:cs="Arial"/>
          <w:color w:val="000000"/>
          <w:sz w:val="18"/>
          <w:szCs w:val="18"/>
        </w:rPr>
        <w:t>6. </w:t>
      </w:r>
      <w:r w:rsidRPr="003C15F7">
        <w:rPr>
          <w:rFonts w:ascii="Arial" w:hAnsi="Arial" w:cs="Arial"/>
          <w:color w:val="000000"/>
          <w:sz w:val="18"/>
          <w:szCs w:val="18"/>
        </w:rPr>
        <w:tab/>
      </w:r>
      <w:r w:rsidRPr="003C15F7">
        <w:rPr>
          <w:rFonts w:ascii="Arial" w:hAnsi="Arial" w:cs="Arial"/>
          <w:color w:val="000000"/>
          <w:sz w:val="18"/>
          <w:szCs w:val="18"/>
          <w:u w:val="single"/>
        </w:rPr>
        <w:t>Vectors</w:t>
      </w:r>
    </w:p>
    <w:p w14:paraId="0A895A0F" w14:textId="77777777" w:rsidR="0094086E" w:rsidRPr="003C15F7" w:rsidRDefault="0094086E" w:rsidP="0094086E">
      <w:pPr>
        <w:spacing w:after="240"/>
        <w:ind w:left="426"/>
        <w:jc w:val="both"/>
        <w:rPr>
          <w:rFonts w:ascii="Arial" w:hAnsi="Arial" w:cs="Arial"/>
          <w:strike/>
          <w:color w:val="000000"/>
          <w:sz w:val="18"/>
          <w:szCs w:val="18"/>
          <w:u w:val="double"/>
        </w:rPr>
      </w:pPr>
      <w:r w:rsidRPr="003C15F7">
        <w:rPr>
          <w:rFonts w:ascii="Arial" w:hAnsi="Arial" w:cs="Arial"/>
          <w:i/>
          <w:color w:val="000000"/>
          <w:sz w:val="18"/>
          <w:szCs w:val="18"/>
        </w:rPr>
        <w:t>Vectors</w:t>
      </w:r>
      <w:r w:rsidRPr="003C15F7">
        <w:rPr>
          <w:rFonts w:ascii="Arial" w:hAnsi="Arial" w:cs="Arial"/>
          <w:color w:val="000000"/>
          <w:sz w:val="18"/>
          <w:szCs w:val="18"/>
        </w:rPr>
        <w:t xml:space="preserve"> can </w:t>
      </w:r>
      <w:r w:rsidRPr="003C15F7">
        <w:rPr>
          <w:rFonts w:ascii="Arial" w:hAnsi="Arial" w:cs="Arial"/>
          <w:sz w:val="18"/>
          <w:szCs w:val="18"/>
        </w:rPr>
        <w:t xml:space="preserve">transport </w:t>
      </w:r>
      <w:r w:rsidRPr="003C15F7">
        <w:rPr>
          <w:rFonts w:ascii="Arial" w:hAnsi="Arial" w:cs="Arial"/>
          <w:i/>
          <w:color w:val="000000"/>
          <w:sz w:val="18"/>
          <w:szCs w:val="18"/>
        </w:rPr>
        <w:t>pathogenic agents</w:t>
      </w:r>
      <w:r w:rsidRPr="003C15F7">
        <w:rPr>
          <w:rFonts w:ascii="Arial" w:hAnsi="Arial" w:cs="Arial"/>
          <w:sz w:val="18"/>
          <w:szCs w:val="18"/>
        </w:rPr>
        <w:t xml:space="preserve"> to susceptible </w:t>
      </w:r>
      <w:r w:rsidRPr="003C15F7">
        <w:rPr>
          <w:rFonts w:ascii="Arial" w:hAnsi="Arial" w:cs="Arial"/>
          <w:i/>
          <w:color w:val="000000"/>
          <w:sz w:val="18"/>
          <w:szCs w:val="18"/>
        </w:rPr>
        <w:t>aquatic animals</w:t>
      </w:r>
      <w:r w:rsidRPr="003C15F7">
        <w:rPr>
          <w:rFonts w:ascii="Arial" w:eastAsia="SimSun" w:hAnsi="Arial" w:cs="Arial"/>
          <w:i/>
          <w:color w:val="000000"/>
          <w:sz w:val="18"/>
          <w:szCs w:val="18"/>
          <w:lang w:eastAsia="zh-CN"/>
        </w:rPr>
        <w:t xml:space="preserve"> </w:t>
      </w:r>
      <w:r w:rsidRPr="003C15F7">
        <w:rPr>
          <w:rFonts w:ascii="Arial" w:hAnsi="Arial" w:cs="Arial"/>
          <w:color w:val="000000"/>
          <w:sz w:val="18"/>
          <w:szCs w:val="18"/>
        </w:rPr>
        <w:t xml:space="preserve">in </w:t>
      </w:r>
      <w:r w:rsidRPr="003C15F7">
        <w:rPr>
          <w:rFonts w:ascii="Arial" w:hAnsi="Arial" w:cs="Arial"/>
          <w:i/>
          <w:color w:val="000000"/>
          <w:sz w:val="18"/>
          <w:szCs w:val="18"/>
        </w:rPr>
        <w:t>aquaculture establishments</w:t>
      </w:r>
      <w:r w:rsidRPr="003C15F7">
        <w:rPr>
          <w:rFonts w:ascii="Arial" w:hAnsi="Arial" w:cs="Arial"/>
          <w:color w:val="000000"/>
          <w:sz w:val="18"/>
          <w:szCs w:val="18"/>
        </w:rPr>
        <w:t xml:space="preserve">. </w:t>
      </w:r>
      <w:r w:rsidRPr="003C15F7">
        <w:rPr>
          <w:rFonts w:ascii="Arial" w:hAnsi="Arial" w:cs="Arial"/>
          <w:strike/>
          <w:color w:val="000000"/>
          <w:sz w:val="18"/>
          <w:szCs w:val="18"/>
        </w:rPr>
        <w:t xml:space="preserve">These </w:t>
      </w:r>
      <w:r w:rsidRPr="003C15F7">
        <w:rPr>
          <w:rFonts w:ascii="Arial" w:hAnsi="Arial" w:cs="Arial"/>
          <w:color w:val="000000"/>
          <w:sz w:val="18"/>
          <w:szCs w:val="18"/>
          <w:u w:val="double"/>
        </w:rPr>
        <w:t>They</w:t>
      </w:r>
      <w:r w:rsidRPr="003C15F7">
        <w:rPr>
          <w:rFonts w:ascii="Arial" w:hAnsi="Arial" w:cs="Arial"/>
          <w:color w:val="000000"/>
          <w:sz w:val="18"/>
          <w:szCs w:val="18"/>
        </w:rPr>
        <w:t xml:space="preserve"> include wild </w:t>
      </w:r>
      <w:r w:rsidRPr="003C15F7">
        <w:rPr>
          <w:rFonts w:ascii="Arial" w:hAnsi="Arial" w:cs="Arial"/>
          <w:i/>
          <w:color w:val="000000"/>
          <w:sz w:val="18"/>
          <w:szCs w:val="18"/>
        </w:rPr>
        <w:t>aquatic animals</w:t>
      </w:r>
      <w:r w:rsidRPr="003C15F7">
        <w:rPr>
          <w:rFonts w:ascii="Arial" w:hAnsi="Arial" w:cs="Arial"/>
          <w:color w:val="000000"/>
          <w:sz w:val="18"/>
          <w:szCs w:val="18"/>
        </w:rPr>
        <w:t xml:space="preserve"> entering via the water supply, predators, wild birds, </w:t>
      </w:r>
      <w:r w:rsidRPr="003C15F7">
        <w:rPr>
          <w:rFonts w:ascii="Arial" w:hAnsi="Arial" w:cs="Arial"/>
          <w:strike/>
          <w:color w:val="000000"/>
          <w:sz w:val="18"/>
          <w:szCs w:val="18"/>
        </w:rPr>
        <w:t>and</w:t>
      </w:r>
      <w:r w:rsidRPr="003C15F7">
        <w:rPr>
          <w:rFonts w:ascii="Arial" w:hAnsi="Arial" w:cs="Arial"/>
          <w:color w:val="000000"/>
          <w:sz w:val="18"/>
          <w:szCs w:val="18"/>
          <w:u w:val="double"/>
        </w:rPr>
        <w:t xml:space="preserve"> scavengers,</w:t>
      </w:r>
      <w:r w:rsidRPr="003C15F7">
        <w:rPr>
          <w:rFonts w:ascii="Arial" w:hAnsi="Arial" w:cs="Arial"/>
          <w:color w:val="000000"/>
          <w:sz w:val="18"/>
          <w:szCs w:val="18"/>
        </w:rPr>
        <w:t xml:space="preserve"> pest animals such as rodents</w:t>
      </w:r>
      <w:r w:rsidRPr="003C15F7">
        <w:rPr>
          <w:rFonts w:ascii="Arial" w:hAnsi="Arial" w:cs="Arial"/>
          <w:strike/>
          <w:color w:val="000000"/>
          <w:sz w:val="18"/>
          <w:szCs w:val="18"/>
          <w:highlight w:val="yellow"/>
          <w:u w:val="double"/>
        </w:rPr>
        <w:t>, and people</w:t>
      </w:r>
      <w:r w:rsidRPr="003C15F7">
        <w:rPr>
          <w:rFonts w:ascii="Arial" w:hAnsi="Arial" w:cs="Arial"/>
          <w:color w:val="000000"/>
          <w:sz w:val="18"/>
          <w:szCs w:val="18"/>
        </w:rPr>
        <w:t xml:space="preserve">. </w:t>
      </w:r>
      <w:r w:rsidRPr="003C15F7">
        <w:rPr>
          <w:rFonts w:ascii="Arial" w:hAnsi="Arial" w:cs="Arial"/>
          <w:i/>
          <w:color w:val="000000"/>
          <w:sz w:val="18"/>
          <w:szCs w:val="18"/>
        </w:rPr>
        <w:t>Vectors</w:t>
      </w:r>
      <w:r w:rsidRPr="003C15F7">
        <w:rPr>
          <w:rFonts w:ascii="Arial" w:hAnsi="Arial" w:cs="Arial"/>
          <w:color w:val="000000"/>
          <w:sz w:val="18"/>
          <w:szCs w:val="18"/>
        </w:rPr>
        <w:t xml:space="preserve"> can </w:t>
      </w:r>
      <w:r w:rsidRPr="003C15F7">
        <w:rPr>
          <w:rFonts w:ascii="Arial" w:hAnsi="Arial" w:cs="Arial"/>
          <w:color w:val="000000"/>
          <w:sz w:val="18"/>
          <w:szCs w:val="18"/>
          <w:highlight w:val="yellow"/>
          <w:u w:val="double"/>
        </w:rPr>
        <w:t>also</w:t>
      </w:r>
      <w:r w:rsidRPr="003C15F7">
        <w:rPr>
          <w:rFonts w:ascii="Arial" w:hAnsi="Arial" w:cs="Arial"/>
          <w:color w:val="000000"/>
          <w:sz w:val="18"/>
          <w:szCs w:val="18"/>
          <w:highlight w:val="yellow"/>
        </w:rPr>
        <w:t xml:space="preserve"> </w:t>
      </w:r>
      <w:r w:rsidRPr="003C15F7">
        <w:rPr>
          <w:rFonts w:ascii="Arial" w:hAnsi="Arial" w:cs="Arial"/>
          <w:color w:val="000000"/>
          <w:sz w:val="18"/>
          <w:szCs w:val="18"/>
        </w:rPr>
        <w:t xml:space="preserve">transfer </w:t>
      </w:r>
      <w:r w:rsidRPr="003C15F7">
        <w:rPr>
          <w:rFonts w:ascii="Arial" w:hAnsi="Arial" w:cs="Arial"/>
          <w:i/>
          <w:color w:val="000000"/>
          <w:sz w:val="18"/>
          <w:szCs w:val="18"/>
        </w:rPr>
        <w:t>pathogenic agents</w:t>
      </w:r>
      <w:r w:rsidRPr="003C15F7">
        <w:rPr>
          <w:rFonts w:ascii="Arial" w:hAnsi="Arial" w:cs="Arial"/>
          <w:color w:val="000000"/>
          <w:sz w:val="18"/>
          <w:szCs w:val="18"/>
        </w:rPr>
        <w:t xml:space="preserve"> </w:t>
      </w:r>
      <w:r w:rsidRPr="003C15F7">
        <w:rPr>
          <w:rFonts w:ascii="Arial" w:hAnsi="Arial" w:cs="Arial"/>
          <w:strike/>
          <w:color w:val="000000"/>
          <w:sz w:val="18"/>
          <w:szCs w:val="18"/>
          <w:highlight w:val="yellow"/>
        </w:rPr>
        <w:t>into,</w:t>
      </w:r>
      <w:r w:rsidRPr="003C15F7">
        <w:rPr>
          <w:rFonts w:ascii="Arial" w:hAnsi="Arial" w:cs="Arial"/>
          <w:color w:val="000000"/>
          <w:sz w:val="18"/>
          <w:szCs w:val="18"/>
        </w:rPr>
        <w:t xml:space="preserve"> within and from an </w:t>
      </w:r>
      <w:r w:rsidRPr="003C15F7">
        <w:rPr>
          <w:rFonts w:ascii="Arial" w:hAnsi="Arial" w:cs="Arial"/>
          <w:i/>
          <w:color w:val="000000"/>
          <w:sz w:val="18"/>
          <w:szCs w:val="18"/>
        </w:rPr>
        <w:t>aquaculture establishment</w:t>
      </w:r>
      <w:r w:rsidRPr="007F1A6A">
        <w:rPr>
          <w:rFonts w:ascii="Arial" w:hAnsi="Arial" w:cs="Arial"/>
          <w:strike/>
          <w:color w:val="000000"/>
          <w:sz w:val="18"/>
          <w:szCs w:val="18"/>
          <w:highlight w:val="yellow"/>
        </w:rPr>
        <w:t xml:space="preserve">, </w:t>
      </w:r>
      <w:r w:rsidRPr="00685B5C">
        <w:rPr>
          <w:rFonts w:ascii="Arial" w:hAnsi="Arial" w:cs="Arial"/>
          <w:strike/>
          <w:color w:val="000000"/>
          <w:sz w:val="18"/>
          <w:szCs w:val="18"/>
          <w:highlight w:val="yellow"/>
        </w:rPr>
        <w:t xml:space="preserve">either by mechanical transfer or as a developmental stage of the </w:t>
      </w:r>
      <w:r w:rsidRPr="00685B5C">
        <w:rPr>
          <w:rFonts w:ascii="Arial" w:hAnsi="Arial" w:cs="Arial"/>
          <w:i/>
          <w:strike/>
          <w:color w:val="000000"/>
          <w:sz w:val="18"/>
          <w:szCs w:val="18"/>
          <w:highlight w:val="yellow"/>
        </w:rPr>
        <w:t xml:space="preserve">pathogenic agent </w:t>
      </w:r>
      <w:r w:rsidRPr="00685B5C">
        <w:rPr>
          <w:rFonts w:ascii="Arial" w:hAnsi="Arial" w:cs="Arial"/>
          <w:strike/>
          <w:color w:val="000000"/>
          <w:sz w:val="18"/>
          <w:szCs w:val="18"/>
          <w:highlight w:val="yellow"/>
        </w:rPr>
        <w:t xml:space="preserve">within the </w:t>
      </w:r>
      <w:r w:rsidRPr="00685B5C">
        <w:rPr>
          <w:rFonts w:ascii="Arial" w:hAnsi="Arial" w:cs="Arial"/>
          <w:i/>
          <w:strike/>
          <w:color w:val="000000"/>
          <w:sz w:val="18"/>
          <w:szCs w:val="18"/>
          <w:highlight w:val="yellow"/>
        </w:rPr>
        <w:t>vector</w:t>
      </w:r>
      <w:r w:rsidRPr="00685B5C">
        <w:rPr>
          <w:rFonts w:ascii="Arial" w:hAnsi="Arial" w:cs="Arial"/>
          <w:color w:val="000000"/>
          <w:sz w:val="18"/>
          <w:szCs w:val="18"/>
          <w:highlight w:val="yellow"/>
        </w:rPr>
        <w:t>.</w:t>
      </w:r>
      <w:r w:rsidRPr="003C15F7">
        <w:rPr>
          <w:rFonts w:ascii="Arial" w:hAnsi="Arial" w:cs="Arial"/>
          <w:sz w:val="18"/>
          <w:szCs w:val="18"/>
          <w:lang w:val="en-CA"/>
        </w:rPr>
        <w:t xml:space="preserve"> </w:t>
      </w:r>
      <w:r w:rsidRPr="003C15F7">
        <w:rPr>
          <w:rFonts w:ascii="Arial" w:hAnsi="Arial" w:cs="Arial"/>
          <w:strike/>
          <w:sz w:val="18"/>
          <w:szCs w:val="18"/>
          <w:u w:val="double"/>
          <w:lang w:val="en-CA"/>
        </w:rPr>
        <w:t xml:space="preserve">The </w:t>
      </w:r>
      <w:r w:rsidRPr="003C15F7">
        <w:rPr>
          <w:rFonts w:ascii="Arial" w:hAnsi="Arial" w:cs="Arial"/>
          <w:i/>
          <w:strike/>
          <w:sz w:val="18"/>
          <w:szCs w:val="18"/>
          <w:u w:val="double"/>
          <w:lang w:val="en-CA"/>
        </w:rPr>
        <w:t>risk</w:t>
      </w:r>
      <w:r w:rsidRPr="003C15F7">
        <w:rPr>
          <w:rFonts w:ascii="Arial" w:hAnsi="Arial" w:cs="Arial"/>
          <w:strike/>
          <w:sz w:val="18"/>
          <w:szCs w:val="18"/>
          <w:u w:val="double"/>
          <w:lang w:val="en-CA"/>
        </w:rPr>
        <w:t xml:space="preserve"> of unintentional exposure to </w:t>
      </w:r>
      <w:r w:rsidRPr="003C15F7">
        <w:rPr>
          <w:rFonts w:ascii="Arial" w:hAnsi="Arial" w:cs="Arial"/>
          <w:i/>
          <w:strike/>
          <w:sz w:val="18"/>
          <w:szCs w:val="18"/>
          <w:u w:val="double"/>
          <w:lang w:val="en-CA"/>
        </w:rPr>
        <w:t>vectors</w:t>
      </w:r>
      <w:r w:rsidRPr="003C15F7">
        <w:rPr>
          <w:rFonts w:ascii="Arial" w:hAnsi="Arial" w:cs="Arial"/>
          <w:strike/>
          <w:sz w:val="18"/>
          <w:szCs w:val="18"/>
          <w:u w:val="double"/>
          <w:lang w:val="en-CA"/>
        </w:rPr>
        <w:t xml:space="preserve"> will be influenced by the category of </w:t>
      </w:r>
      <w:r w:rsidRPr="003C15F7">
        <w:rPr>
          <w:rFonts w:ascii="Arial" w:hAnsi="Arial" w:cs="Arial"/>
          <w:i/>
          <w:strike/>
          <w:sz w:val="18"/>
          <w:szCs w:val="18"/>
          <w:u w:val="double"/>
          <w:lang w:val="en-CA"/>
        </w:rPr>
        <w:t>aquaculture</w:t>
      </w:r>
      <w:r w:rsidRPr="003C15F7">
        <w:rPr>
          <w:rFonts w:ascii="Arial" w:hAnsi="Arial" w:cs="Arial"/>
          <w:strike/>
          <w:sz w:val="18"/>
          <w:szCs w:val="18"/>
          <w:u w:val="double"/>
          <w:lang w:val="en-CA"/>
        </w:rPr>
        <w:t xml:space="preserve"> production system.</w:t>
      </w:r>
    </w:p>
    <w:p w14:paraId="5250974A" w14:textId="77777777" w:rsidR="0094086E" w:rsidRPr="003C15F7" w:rsidRDefault="0094086E" w:rsidP="0094086E">
      <w:pPr>
        <w:spacing w:after="240"/>
        <w:ind w:left="426"/>
        <w:jc w:val="both"/>
        <w:rPr>
          <w:rFonts w:ascii="Arial" w:hAnsi="Arial" w:cs="Arial"/>
          <w:strike/>
          <w:color w:val="000000"/>
          <w:sz w:val="18"/>
          <w:szCs w:val="18"/>
          <w:u w:val="double"/>
        </w:rPr>
      </w:pPr>
      <w:r w:rsidRPr="003C15F7">
        <w:rPr>
          <w:rFonts w:ascii="Arial" w:hAnsi="Arial" w:cs="Arial"/>
          <w:color w:val="000000"/>
          <w:sz w:val="18"/>
          <w:szCs w:val="18"/>
        </w:rPr>
        <w:t xml:space="preserve">The </w:t>
      </w:r>
      <w:r w:rsidRPr="00685B5C">
        <w:rPr>
          <w:rFonts w:ascii="Arial" w:hAnsi="Arial" w:cs="Arial"/>
          <w:i/>
          <w:iCs/>
          <w:strike/>
          <w:color w:val="000000"/>
          <w:sz w:val="18"/>
          <w:szCs w:val="18"/>
          <w:highlight w:val="yellow"/>
        </w:rPr>
        <w:t>risk</w:t>
      </w:r>
      <w:r w:rsidRPr="003C15F7">
        <w:rPr>
          <w:rFonts w:ascii="Arial" w:hAnsi="Arial" w:cs="Arial"/>
          <w:color w:val="000000"/>
          <w:sz w:val="18"/>
          <w:szCs w:val="18"/>
        </w:rPr>
        <w:t xml:space="preserve"> </w:t>
      </w:r>
      <w:r w:rsidRPr="003C15F7">
        <w:rPr>
          <w:rFonts w:ascii="Arial" w:hAnsi="Arial" w:cs="Arial"/>
          <w:color w:val="000000"/>
          <w:sz w:val="18"/>
          <w:szCs w:val="18"/>
          <w:highlight w:val="yellow"/>
          <w:u w:val="double"/>
        </w:rPr>
        <w:t>likelihood</w:t>
      </w:r>
      <w:r w:rsidRPr="003C15F7">
        <w:rPr>
          <w:rFonts w:ascii="Arial" w:hAnsi="Arial" w:cs="Arial"/>
          <w:color w:val="000000"/>
          <w:sz w:val="18"/>
          <w:szCs w:val="18"/>
        </w:rPr>
        <w:t xml:space="preserve"> of transferring </w:t>
      </w:r>
      <w:r w:rsidRPr="003C15F7">
        <w:rPr>
          <w:rFonts w:ascii="Arial" w:hAnsi="Arial" w:cs="Arial"/>
          <w:i/>
          <w:color w:val="000000"/>
          <w:sz w:val="18"/>
          <w:szCs w:val="18"/>
        </w:rPr>
        <w:t>pathogenic</w:t>
      </w:r>
      <w:r w:rsidRPr="003C15F7">
        <w:rPr>
          <w:rFonts w:ascii="Arial" w:eastAsia="SimSun" w:hAnsi="Arial" w:cs="Arial"/>
          <w:i/>
          <w:color w:val="000000"/>
          <w:sz w:val="18"/>
          <w:szCs w:val="18"/>
          <w:lang w:eastAsia="zh-CN"/>
        </w:rPr>
        <w:t xml:space="preserve"> </w:t>
      </w:r>
      <w:r w:rsidRPr="003C15F7">
        <w:rPr>
          <w:rFonts w:ascii="Arial" w:hAnsi="Arial" w:cs="Arial"/>
          <w:i/>
          <w:color w:val="000000"/>
          <w:sz w:val="18"/>
          <w:szCs w:val="18"/>
        </w:rPr>
        <w:t>agents</w:t>
      </w:r>
      <w:r w:rsidRPr="003C15F7">
        <w:rPr>
          <w:rFonts w:ascii="Arial" w:hAnsi="Arial" w:cs="Arial"/>
          <w:color w:val="000000"/>
          <w:sz w:val="18"/>
          <w:szCs w:val="18"/>
        </w:rPr>
        <w:t xml:space="preserve"> via </w:t>
      </w:r>
      <w:r w:rsidRPr="003C15F7">
        <w:rPr>
          <w:rFonts w:ascii="Arial" w:hAnsi="Arial" w:cs="Arial"/>
          <w:i/>
          <w:color w:val="000000"/>
          <w:sz w:val="18"/>
          <w:szCs w:val="18"/>
        </w:rPr>
        <w:t>vectors</w:t>
      </w:r>
      <w:r w:rsidRPr="003C15F7">
        <w:rPr>
          <w:rFonts w:ascii="Arial" w:hAnsi="Arial" w:cs="Arial"/>
          <w:color w:val="000000"/>
          <w:sz w:val="18"/>
          <w:szCs w:val="18"/>
        </w:rPr>
        <w:t xml:space="preserve"> varies with </w:t>
      </w:r>
      <w:r w:rsidRPr="003C15F7">
        <w:rPr>
          <w:rFonts w:ascii="Arial" w:hAnsi="Arial" w:cs="Arial"/>
          <w:color w:val="000000"/>
          <w:sz w:val="18"/>
          <w:szCs w:val="18"/>
          <w:u w:val="double"/>
        </w:rPr>
        <w:t xml:space="preserve">the type of </w:t>
      </w:r>
      <w:r w:rsidRPr="003C15F7">
        <w:rPr>
          <w:rFonts w:ascii="Arial" w:hAnsi="Arial" w:cs="Arial"/>
          <w:i/>
          <w:color w:val="000000"/>
          <w:sz w:val="18"/>
          <w:szCs w:val="18"/>
        </w:rPr>
        <w:t>vector</w:t>
      </w:r>
      <w:r w:rsidRPr="003C15F7">
        <w:rPr>
          <w:rFonts w:ascii="Arial" w:hAnsi="Arial" w:cs="Arial"/>
          <w:color w:val="000000"/>
          <w:sz w:val="18"/>
          <w:szCs w:val="18"/>
        </w:rPr>
        <w:t xml:space="preserve"> </w:t>
      </w:r>
      <w:r w:rsidRPr="003C15F7">
        <w:rPr>
          <w:rFonts w:ascii="Arial" w:hAnsi="Arial" w:cs="Arial"/>
          <w:strike/>
          <w:color w:val="000000"/>
          <w:sz w:val="18"/>
          <w:szCs w:val="18"/>
        </w:rPr>
        <w:t>species</w:t>
      </w:r>
      <w:r w:rsidRPr="003C15F7">
        <w:rPr>
          <w:rFonts w:ascii="Arial" w:hAnsi="Arial" w:cs="Arial"/>
          <w:color w:val="000000"/>
          <w:sz w:val="18"/>
          <w:szCs w:val="18"/>
        </w:rPr>
        <w:t xml:space="preserve">, the nature of the </w:t>
      </w:r>
      <w:r w:rsidRPr="003C15F7">
        <w:rPr>
          <w:rFonts w:ascii="Arial" w:hAnsi="Arial" w:cs="Arial"/>
          <w:i/>
          <w:color w:val="000000"/>
          <w:sz w:val="18"/>
          <w:szCs w:val="18"/>
        </w:rPr>
        <w:t>pathogenic agent</w:t>
      </w:r>
      <w:r w:rsidRPr="003C15F7">
        <w:rPr>
          <w:rFonts w:ascii="Arial" w:hAnsi="Arial" w:cs="Arial"/>
          <w:color w:val="000000"/>
          <w:sz w:val="18"/>
          <w:szCs w:val="18"/>
        </w:rPr>
        <w:t xml:space="preserve">, the category of </w:t>
      </w:r>
      <w:r w:rsidRPr="003C15F7">
        <w:rPr>
          <w:rFonts w:ascii="Arial" w:hAnsi="Arial" w:cs="Arial"/>
          <w:i/>
          <w:color w:val="000000"/>
          <w:sz w:val="18"/>
          <w:szCs w:val="18"/>
        </w:rPr>
        <w:t>aquaculture</w:t>
      </w:r>
      <w:r w:rsidRPr="003C15F7">
        <w:rPr>
          <w:rFonts w:ascii="Arial" w:eastAsia="SimSun" w:hAnsi="Arial" w:cs="Arial"/>
          <w:i/>
          <w:color w:val="000000"/>
          <w:sz w:val="18"/>
          <w:szCs w:val="18"/>
          <w:lang w:eastAsia="zh-CN"/>
        </w:rPr>
        <w:t xml:space="preserve"> </w:t>
      </w:r>
      <w:r w:rsidRPr="003C15F7">
        <w:rPr>
          <w:rFonts w:ascii="Arial" w:hAnsi="Arial" w:cs="Arial"/>
          <w:color w:val="000000"/>
          <w:sz w:val="18"/>
          <w:szCs w:val="18"/>
        </w:rPr>
        <w:t xml:space="preserve">production system, and the level of </w:t>
      </w:r>
      <w:r w:rsidRPr="003C15F7">
        <w:rPr>
          <w:rFonts w:ascii="Arial" w:hAnsi="Arial" w:cs="Arial"/>
          <w:i/>
          <w:color w:val="000000"/>
          <w:sz w:val="18"/>
          <w:szCs w:val="18"/>
        </w:rPr>
        <w:t>biosecurity</w:t>
      </w:r>
      <w:r w:rsidRPr="003C15F7">
        <w:rPr>
          <w:rFonts w:ascii="Arial" w:hAnsi="Arial" w:cs="Arial"/>
          <w:color w:val="000000"/>
          <w:sz w:val="18"/>
          <w:szCs w:val="18"/>
        </w:rPr>
        <w:t xml:space="preserve">. </w:t>
      </w:r>
      <w:r w:rsidRPr="003C15F7">
        <w:rPr>
          <w:rFonts w:ascii="Arial" w:hAnsi="Arial" w:cs="Arial"/>
          <w:strike/>
          <w:color w:val="000000"/>
          <w:sz w:val="18"/>
          <w:szCs w:val="18"/>
          <w:u w:val="double"/>
        </w:rPr>
        <w:t xml:space="preserve">Measures identified to mitigate </w:t>
      </w:r>
      <w:r w:rsidRPr="003C15F7">
        <w:rPr>
          <w:rFonts w:ascii="Arial" w:hAnsi="Arial" w:cs="Arial"/>
          <w:i/>
          <w:strike/>
          <w:color w:val="000000"/>
          <w:sz w:val="18"/>
          <w:szCs w:val="18"/>
          <w:u w:val="double"/>
        </w:rPr>
        <w:t>risks</w:t>
      </w:r>
      <w:r w:rsidRPr="003C15F7">
        <w:rPr>
          <w:rFonts w:ascii="Arial" w:hAnsi="Arial" w:cs="Arial"/>
          <w:strike/>
          <w:color w:val="000000"/>
          <w:sz w:val="18"/>
          <w:szCs w:val="18"/>
          <w:u w:val="double"/>
        </w:rPr>
        <w:t xml:space="preserve"> associated with </w:t>
      </w:r>
      <w:r w:rsidRPr="003C15F7">
        <w:rPr>
          <w:rFonts w:ascii="Arial" w:hAnsi="Arial" w:cs="Arial"/>
          <w:i/>
          <w:strike/>
          <w:color w:val="000000"/>
          <w:sz w:val="18"/>
          <w:szCs w:val="18"/>
          <w:u w:val="double"/>
        </w:rPr>
        <w:t>aquatic animals,</w:t>
      </w:r>
      <w:r w:rsidRPr="003C15F7">
        <w:rPr>
          <w:rFonts w:ascii="Arial" w:hAnsi="Arial" w:cs="Arial"/>
          <w:strike/>
          <w:color w:val="000000"/>
          <w:sz w:val="18"/>
          <w:szCs w:val="18"/>
          <w:u w:val="double"/>
        </w:rPr>
        <w:t xml:space="preserve"> as described in point 1, can also be applied to mitigate </w:t>
      </w:r>
      <w:r w:rsidRPr="003C15F7">
        <w:rPr>
          <w:rFonts w:ascii="Arial" w:hAnsi="Arial" w:cs="Arial"/>
          <w:i/>
          <w:strike/>
          <w:color w:val="000000"/>
          <w:sz w:val="18"/>
          <w:szCs w:val="18"/>
          <w:u w:val="double"/>
        </w:rPr>
        <w:t>risks</w:t>
      </w:r>
      <w:r w:rsidRPr="003C15F7">
        <w:rPr>
          <w:rFonts w:ascii="Arial" w:hAnsi="Arial" w:cs="Arial"/>
          <w:strike/>
          <w:color w:val="000000"/>
          <w:sz w:val="18"/>
          <w:szCs w:val="18"/>
          <w:u w:val="double"/>
        </w:rPr>
        <w:t xml:space="preserve"> associated with </w:t>
      </w:r>
      <w:r w:rsidRPr="003C15F7">
        <w:rPr>
          <w:rFonts w:ascii="Arial" w:hAnsi="Arial" w:cs="Arial"/>
          <w:i/>
          <w:strike/>
          <w:color w:val="000000"/>
          <w:sz w:val="18"/>
          <w:szCs w:val="18"/>
          <w:u w:val="double"/>
        </w:rPr>
        <w:t>vectors</w:t>
      </w:r>
      <w:r w:rsidRPr="003C15F7">
        <w:rPr>
          <w:rFonts w:ascii="Arial" w:hAnsi="Arial" w:cs="Arial"/>
          <w:strike/>
          <w:color w:val="000000"/>
          <w:sz w:val="18"/>
          <w:szCs w:val="18"/>
          <w:u w:val="double"/>
        </w:rPr>
        <w:t xml:space="preserve">. Mitigation measures for other </w:t>
      </w:r>
      <w:r w:rsidRPr="003C15F7">
        <w:rPr>
          <w:rFonts w:ascii="Arial" w:hAnsi="Arial" w:cs="Arial"/>
          <w:i/>
          <w:strike/>
          <w:color w:val="000000"/>
          <w:sz w:val="18"/>
          <w:szCs w:val="18"/>
          <w:u w:val="double"/>
        </w:rPr>
        <w:t>vectors</w:t>
      </w:r>
      <w:r w:rsidRPr="003C15F7">
        <w:rPr>
          <w:rFonts w:ascii="Arial" w:hAnsi="Arial" w:cs="Arial"/>
          <w:strike/>
          <w:color w:val="000000"/>
          <w:sz w:val="18"/>
          <w:szCs w:val="18"/>
          <w:u w:val="double"/>
        </w:rPr>
        <w:t xml:space="preserve"> include:</w:t>
      </w:r>
    </w:p>
    <w:p w14:paraId="78C8C14E" w14:textId="77777777" w:rsidR="0094086E" w:rsidRPr="003C15F7" w:rsidRDefault="0094086E" w:rsidP="0094086E">
      <w:pPr>
        <w:spacing w:after="240"/>
        <w:ind w:left="425"/>
        <w:jc w:val="both"/>
        <w:rPr>
          <w:rFonts w:ascii="Arial" w:hAnsi="Arial" w:cs="Arial"/>
          <w:sz w:val="18"/>
          <w:szCs w:val="18"/>
          <w:u w:val="double"/>
          <w:lang w:val="en-US"/>
        </w:rPr>
      </w:pPr>
      <w:r w:rsidRPr="003C15F7">
        <w:rPr>
          <w:rFonts w:ascii="Arial" w:hAnsi="Arial" w:cs="Arial"/>
          <w:sz w:val="18"/>
          <w:szCs w:val="18"/>
          <w:u w:val="double"/>
          <w:lang w:val="en-US"/>
        </w:rPr>
        <w:t xml:space="preserve">The </w:t>
      </w:r>
      <w:r w:rsidRPr="003C15F7">
        <w:rPr>
          <w:rFonts w:ascii="Arial" w:hAnsi="Arial" w:cs="Arial"/>
          <w:i/>
          <w:sz w:val="18"/>
          <w:szCs w:val="18"/>
          <w:u w:val="double"/>
          <w:lang w:val="en-US"/>
        </w:rPr>
        <w:t>risk</w:t>
      </w:r>
      <w:r w:rsidRPr="003C15F7">
        <w:rPr>
          <w:rFonts w:ascii="Arial" w:hAnsi="Arial" w:cs="Arial"/>
          <w:sz w:val="18"/>
          <w:szCs w:val="18"/>
          <w:u w:val="double"/>
          <w:lang w:val="en-US"/>
        </w:rPr>
        <w:t xml:space="preserve"> of transmitting </w:t>
      </w:r>
      <w:r w:rsidRPr="003C15F7">
        <w:rPr>
          <w:rFonts w:ascii="Arial" w:hAnsi="Arial" w:cs="Arial"/>
          <w:i/>
          <w:sz w:val="18"/>
          <w:szCs w:val="18"/>
          <w:u w:val="double"/>
          <w:lang w:val="en-US"/>
        </w:rPr>
        <w:t>pathogenic agents</w:t>
      </w:r>
      <w:r w:rsidRPr="003C15F7">
        <w:rPr>
          <w:rFonts w:ascii="Arial" w:hAnsi="Arial" w:cs="Arial"/>
          <w:sz w:val="18"/>
          <w:szCs w:val="18"/>
          <w:u w:val="double"/>
          <w:lang w:val="en-US"/>
        </w:rPr>
        <w:t xml:space="preserve"> via </w:t>
      </w:r>
      <w:r w:rsidRPr="003C15F7">
        <w:rPr>
          <w:rFonts w:ascii="Arial" w:hAnsi="Arial" w:cs="Arial"/>
          <w:i/>
          <w:iCs/>
          <w:sz w:val="18"/>
          <w:szCs w:val="18"/>
          <w:u w:val="double"/>
          <w:lang w:val="en-US"/>
        </w:rPr>
        <w:t>vectors</w:t>
      </w:r>
      <w:r w:rsidRPr="003C15F7">
        <w:rPr>
          <w:rFonts w:ascii="Arial" w:hAnsi="Arial" w:cs="Arial"/>
          <w:sz w:val="18"/>
          <w:szCs w:val="18"/>
          <w:u w:val="double"/>
          <w:lang w:val="en-US"/>
        </w:rPr>
        <w:t xml:space="preserve"> </w:t>
      </w:r>
      <w:r w:rsidRPr="003C15F7">
        <w:rPr>
          <w:rFonts w:ascii="Arial" w:hAnsi="Arial" w:cs="Arial"/>
          <w:sz w:val="18"/>
          <w:szCs w:val="18"/>
          <w:u w:val="double"/>
          <w:lang w:val="en-CA"/>
        </w:rPr>
        <w:t xml:space="preserve">should be </w:t>
      </w:r>
      <w:r w:rsidRPr="003C15F7">
        <w:rPr>
          <w:rFonts w:ascii="Arial" w:hAnsi="Arial" w:cs="Arial"/>
          <w:sz w:val="18"/>
          <w:szCs w:val="18"/>
          <w:highlight w:val="yellow"/>
          <w:u w:val="double"/>
          <w:lang w:val="en-CA"/>
        </w:rPr>
        <w:t>assessed, and</w:t>
      </w:r>
      <w:r w:rsidRPr="003C15F7">
        <w:rPr>
          <w:rFonts w:ascii="Arial" w:hAnsi="Arial" w:cs="Arial"/>
          <w:sz w:val="18"/>
          <w:szCs w:val="18"/>
          <w:u w:val="double"/>
          <w:lang w:val="en-CA"/>
        </w:rPr>
        <w:t xml:space="preserve"> managed giving consideration to the following mitigation measures:</w:t>
      </w:r>
    </w:p>
    <w:p w14:paraId="48ACBBDB" w14:textId="77777777" w:rsidR="0094086E" w:rsidRPr="003C15F7" w:rsidRDefault="0094086E" w:rsidP="0094086E">
      <w:pPr>
        <w:autoSpaceDE w:val="0"/>
        <w:autoSpaceDN w:val="0"/>
        <w:spacing w:after="240"/>
        <w:ind w:left="851" w:hanging="425"/>
        <w:jc w:val="both"/>
        <w:rPr>
          <w:rFonts w:ascii="Arial" w:hAnsi="Arial" w:cs="Arial"/>
          <w:sz w:val="18"/>
          <w:szCs w:val="18"/>
          <w:u w:val="double"/>
          <w:lang w:val="en-US"/>
        </w:rPr>
      </w:pPr>
      <w:r w:rsidRPr="003C15F7">
        <w:rPr>
          <w:rFonts w:ascii="Arial" w:hAnsi="Arial" w:cs="Arial"/>
          <w:i/>
          <w:sz w:val="18"/>
          <w:szCs w:val="18"/>
          <w:u w:val="double"/>
          <w:lang w:val="en-AU"/>
        </w:rPr>
        <w:t>a)</w:t>
      </w:r>
      <w:r w:rsidRPr="003C15F7">
        <w:rPr>
          <w:rFonts w:ascii="Arial" w:hAnsi="Arial" w:cs="Arial"/>
          <w:sz w:val="18"/>
          <w:szCs w:val="18"/>
          <w:lang w:val="en-AU"/>
        </w:rPr>
        <w:tab/>
      </w:r>
      <w:r w:rsidRPr="003C15F7">
        <w:rPr>
          <w:rFonts w:ascii="Arial" w:hAnsi="Arial" w:cs="Arial"/>
          <w:strike/>
          <w:sz w:val="18"/>
          <w:szCs w:val="18"/>
          <w:u w:val="double"/>
          <w:lang w:val="en-AU"/>
        </w:rPr>
        <w:t>netting (to prevent access by birds);</w:t>
      </w:r>
      <w:r w:rsidRPr="003C15F7">
        <w:rPr>
          <w:rFonts w:ascii="Arial" w:hAnsi="Arial" w:cs="Arial"/>
          <w:color w:val="FF0000"/>
          <w:sz w:val="18"/>
          <w:szCs w:val="18"/>
          <w:lang w:val="en-AU"/>
        </w:rPr>
        <w:t xml:space="preserve"> </w:t>
      </w:r>
      <w:r w:rsidRPr="003C15F7">
        <w:rPr>
          <w:rFonts w:ascii="Arial" w:hAnsi="Arial" w:cs="Arial"/>
          <w:sz w:val="18"/>
          <w:szCs w:val="18"/>
          <w:u w:val="double"/>
          <w:lang w:val="en-AU"/>
        </w:rPr>
        <w:t>P</w:t>
      </w:r>
      <w:r w:rsidRPr="003C15F7">
        <w:rPr>
          <w:rFonts w:ascii="Arial" w:hAnsi="Arial" w:cs="Arial"/>
          <w:sz w:val="18"/>
          <w:szCs w:val="18"/>
          <w:u w:val="double"/>
          <w:lang w:val="en-US"/>
        </w:rPr>
        <w:t xml:space="preserve">hysical mitigation measures </w:t>
      </w:r>
      <w:r w:rsidRPr="003C15F7">
        <w:rPr>
          <w:rFonts w:ascii="Arial" w:hAnsi="Arial" w:cs="Arial"/>
          <w:strike/>
          <w:sz w:val="18"/>
          <w:szCs w:val="18"/>
          <w:highlight w:val="yellow"/>
          <w:u w:val="double"/>
          <w:lang w:val="en-US"/>
        </w:rPr>
        <w:t>should be used</w:t>
      </w:r>
      <w:r w:rsidRPr="003C15F7">
        <w:rPr>
          <w:rFonts w:ascii="Arial" w:hAnsi="Arial" w:cs="Arial"/>
          <w:sz w:val="18"/>
          <w:szCs w:val="18"/>
          <w:u w:val="double"/>
          <w:lang w:val="en-US"/>
        </w:rPr>
        <w:t xml:space="preserve"> to prevent the access of </w:t>
      </w:r>
      <w:r w:rsidRPr="003C15F7">
        <w:rPr>
          <w:rFonts w:ascii="Arial" w:hAnsi="Arial" w:cs="Arial"/>
          <w:i/>
          <w:iCs/>
          <w:sz w:val="18"/>
          <w:szCs w:val="18"/>
          <w:u w:val="double"/>
          <w:lang w:val="en-US"/>
        </w:rPr>
        <w:t>vectors</w:t>
      </w:r>
      <w:r w:rsidRPr="003C15F7">
        <w:rPr>
          <w:rFonts w:ascii="Arial" w:hAnsi="Arial" w:cs="Arial"/>
          <w:sz w:val="18"/>
          <w:szCs w:val="18"/>
          <w:u w:val="double"/>
          <w:lang w:val="en-US"/>
        </w:rPr>
        <w:t xml:space="preserve"> to </w:t>
      </w:r>
      <w:r w:rsidRPr="003C15F7">
        <w:rPr>
          <w:rFonts w:ascii="Arial" w:hAnsi="Arial" w:cs="Arial"/>
          <w:i/>
          <w:iCs/>
          <w:sz w:val="18"/>
          <w:szCs w:val="18"/>
          <w:u w:val="double"/>
          <w:lang w:val="en-US"/>
        </w:rPr>
        <w:t xml:space="preserve">aquaculture establishments </w:t>
      </w:r>
      <w:r w:rsidRPr="003C15F7">
        <w:rPr>
          <w:rFonts w:ascii="Arial" w:hAnsi="Arial" w:cs="Arial"/>
          <w:strike/>
          <w:sz w:val="18"/>
          <w:szCs w:val="18"/>
          <w:highlight w:val="yellow"/>
          <w:u w:val="double"/>
          <w:lang w:val="en-US"/>
        </w:rPr>
        <w:t>including</w:t>
      </w:r>
      <w:r w:rsidRPr="003C15F7">
        <w:rPr>
          <w:rFonts w:ascii="Arial" w:hAnsi="Arial" w:cs="Arial"/>
          <w:sz w:val="18"/>
          <w:szCs w:val="18"/>
          <w:highlight w:val="yellow"/>
          <w:u w:val="double"/>
          <w:lang w:val="en-US"/>
        </w:rPr>
        <w:t xml:space="preserve"> may include</w:t>
      </w:r>
      <w:r w:rsidRPr="003C15F7">
        <w:rPr>
          <w:rFonts w:ascii="Arial" w:hAnsi="Arial" w:cs="Arial"/>
          <w:iCs/>
          <w:sz w:val="18"/>
          <w:szCs w:val="18"/>
          <w:u w:val="double"/>
          <w:lang w:val="en-US"/>
        </w:rPr>
        <w:t>:</w:t>
      </w:r>
    </w:p>
    <w:p w14:paraId="374C88EF" w14:textId="77777777" w:rsidR="003C15F7" w:rsidRDefault="003C15F7">
      <w:pPr>
        <w:rPr>
          <w:szCs w:val="20"/>
          <w:u w:val="single"/>
          <w:lang w:val="en-US"/>
        </w:rPr>
      </w:pPr>
      <w:r>
        <w:rPr>
          <w:szCs w:val="20"/>
          <w:u w:val="single"/>
          <w:lang w:val="en-US"/>
        </w:rPr>
        <w:br w:type="page"/>
      </w:r>
    </w:p>
    <w:p w14:paraId="044C5F0A" w14:textId="332BEDBF" w:rsidR="003C15F7" w:rsidRDefault="003C15F7" w:rsidP="003C15F7">
      <w:pPr>
        <w:spacing w:after="480" w:line="240" w:lineRule="auto"/>
        <w:ind w:left="425" w:hanging="425"/>
        <w:rPr>
          <w:szCs w:val="20"/>
        </w:rPr>
      </w:pPr>
      <w:r w:rsidRPr="008270D6">
        <w:rPr>
          <w:szCs w:val="20"/>
          <w:u w:val="single"/>
        </w:rPr>
        <w:lastRenderedPageBreak/>
        <w:t>Annex 2</w:t>
      </w:r>
      <w:r w:rsidRPr="008270D6">
        <w:rPr>
          <w:szCs w:val="20"/>
        </w:rPr>
        <w:t xml:space="preserve"> (contd)</w:t>
      </w:r>
    </w:p>
    <w:p w14:paraId="25AF9767" w14:textId="77777777" w:rsidR="0094086E" w:rsidRPr="003C15F7" w:rsidRDefault="0094086E" w:rsidP="00BC2523">
      <w:pPr>
        <w:autoSpaceDE w:val="0"/>
        <w:autoSpaceDN w:val="0"/>
        <w:spacing w:after="120"/>
        <w:ind w:left="1276" w:hanging="425"/>
        <w:jc w:val="both"/>
        <w:rPr>
          <w:rFonts w:ascii="Arial" w:hAnsi="Arial" w:cs="Arial"/>
          <w:sz w:val="18"/>
          <w:szCs w:val="18"/>
          <w:u w:val="double"/>
          <w:shd w:val="clear" w:color="auto" w:fill="FFFFFF"/>
        </w:rPr>
      </w:pPr>
      <w:r w:rsidRPr="003C15F7">
        <w:rPr>
          <w:rFonts w:ascii="Arial" w:hAnsi="Arial" w:cs="Arial"/>
          <w:i/>
          <w:sz w:val="18"/>
          <w:szCs w:val="18"/>
          <w:u w:val="double"/>
          <w:lang w:val="en-AU"/>
        </w:rPr>
        <w:t>i)</w:t>
      </w:r>
      <w:r w:rsidRPr="003C15F7">
        <w:rPr>
          <w:rFonts w:ascii="Arial" w:hAnsi="Arial" w:cs="Arial"/>
          <w:i/>
          <w:sz w:val="18"/>
          <w:szCs w:val="18"/>
          <w:shd w:val="clear" w:color="auto" w:fill="FFFFFF"/>
        </w:rPr>
        <w:t xml:space="preserve"> </w:t>
      </w:r>
      <w:r w:rsidRPr="003C15F7">
        <w:rPr>
          <w:rFonts w:ascii="Arial" w:hAnsi="Arial" w:cs="Arial"/>
          <w:i/>
          <w:sz w:val="18"/>
          <w:szCs w:val="18"/>
          <w:shd w:val="clear" w:color="auto" w:fill="FFFFFF"/>
        </w:rPr>
        <w:tab/>
      </w:r>
      <w:r w:rsidRPr="003C15F7">
        <w:rPr>
          <w:rFonts w:ascii="Arial" w:hAnsi="Arial" w:cs="Arial"/>
          <w:sz w:val="18"/>
          <w:szCs w:val="18"/>
          <w:u w:val="double"/>
          <w:shd w:val="clear" w:color="auto" w:fill="FFFFFF"/>
        </w:rPr>
        <w:t xml:space="preserve">filtering or screening of water entering </w:t>
      </w:r>
      <w:r w:rsidRPr="003C15F7">
        <w:rPr>
          <w:rFonts w:ascii="Arial" w:hAnsi="Arial" w:cs="Arial"/>
          <w:sz w:val="18"/>
          <w:szCs w:val="18"/>
          <w:highlight w:val="yellow"/>
          <w:u w:val="double"/>
          <w:shd w:val="clear" w:color="auto" w:fill="FFFFFF"/>
        </w:rPr>
        <w:t>and exiting</w:t>
      </w:r>
      <w:r w:rsidRPr="003C15F7">
        <w:rPr>
          <w:rFonts w:ascii="Arial" w:hAnsi="Arial" w:cs="Arial"/>
          <w:sz w:val="18"/>
          <w:szCs w:val="18"/>
          <w:u w:val="double"/>
          <w:shd w:val="clear" w:color="auto" w:fill="FFFFFF"/>
        </w:rPr>
        <w:t xml:space="preserve"> semi-closed and closed </w:t>
      </w:r>
      <w:r w:rsidRPr="003C15F7">
        <w:rPr>
          <w:rFonts w:ascii="Arial" w:hAnsi="Arial" w:cs="Arial"/>
          <w:i/>
          <w:iCs/>
          <w:sz w:val="18"/>
          <w:szCs w:val="18"/>
          <w:u w:val="double"/>
          <w:shd w:val="clear" w:color="auto" w:fill="FFFFFF"/>
        </w:rPr>
        <w:t>aquaculture</w:t>
      </w:r>
      <w:r w:rsidRPr="003C15F7">
        <w:rPr>
          <w:rFonts w:ascii="Arial" w:hAnsi="Arial" w:cs="Arial"/>
          <w:sz w:val="18"/>
          <w:szCs w:val="18"/>
          <w:u w:val="double"/>
          <w:shd w:val="clear" w:color="auto" w:fill="FFFFFF"/>
        </w:rPr>
        <w:t xml:space="preserve"> production systems to prevent entry of wild </w:t>
      </w:r>
      <w:r w:rsidRPr="003C15F7">
        <w:rPr>
          <w:rFonts w:ascii="Arial" w:hAnsi="Arial" w:cs="Arial"/>
          <w:i/>
          <w:iCs/>
          <w:sz w:val="18"/>
          <w:szCs w:val="18"/>
          <w:u w:val="double"/>
          <w:shd w:val="clear" w:color="auto" w:fill="FFFFFF"/>
        </w:rPr>
        <w:t>aquatic animals</w:t>
      </w:r>
      <w:r w:rsidRPr="003C15F7">
        <w:rPr>
          <w:rFonts w:ascii="Arial" w:hAnsi="Arial" w:cs="Arial"/>
          <w:sz w:val="18"/>
          <w:szCs w:val="18"/>
          <w:u w:val="double"/>
          <w:shd w:val="clear" w:color="auto" w:fill="FFFFFF"/>
        </w:rPr>
        <w:t>;</w:t>
      </w:r>
    </w:p>
    <w:p w14:paraId="5C5011E6" w14:textId="77777777" w:rsidR="0094086E" w:rsidRPr="003C15F7" w:rsidRDefault="0094086E" w:rsidP="00BC2523">
      <w:pPr>
        <w:spacing w:after="120"/>
        <w:ind w:left="1276" w:hanging="425"/>
        <w:jc w:val="both"/>
        <w:rPr>
          <w:rFonts w:ascii="Arial" w:hAnsi="Arial" w:cs="Arial"/>
          <w:iCs/>
          <w:sz w:val="18"/>
          <w:szCs w:val="18"/>
          <w:u w:val="double"/>
          <w:lang w:val="en-AU"/>
        </w:rPr>
      </w:pPr>
      <w:r w:rsidRPr="003C15F7">
        <w:rPr>
          <w:rFonts w:ascii="Arial" w:hAnsi="Arial" w:cs="Arial"/>
          <w:i/>
          <w:sz w:val="18"/>
          <w:szCs w:val="18"/>
          <w:u w:val="double"/>
          <w:shd w:val="clear" w:color="auto" w:fill="FFFFFF"/>
        </w:rPr>
        <w:t>ii)</w:t>
      </w:r>
      <w:r w:rsidRPr="003C15F7">
        <w:rPr>
          <w:rFonts w:ascii="Arial" w:hAnsi="Arial" w:cs="Arial"/>
          <w:sz w:val="18"/>
          <w:szCs w:val="18"/>
          <w:shd w:val="clear" w:color="auto" w:fill="FFFFFF"/>
        </w:rPr>
        <w:tab/>
      </w:r>
      <w:r w:rsidRPr="003C15F7">
        <w:rPr>
          <w:rFonts w:ascii="Arial" w:hAnsi="Arial" w:cs="Arial"/>
          <w:iCs/>
          <w:sz w:val="18"/>
          <w:szCs w:val="18"/>
          <w:u w:val="double"/>
          <w:lang w:val="en-AU"/>
        </w:rPr>
        <w:t>surrounding land-based</w:t>
      </w:r>
      <w:r w:rsidRPr="003C15F7">
        <w:rPr>
          <w:rFonts w:ascii="Arial" w:hAnsi="Arial" w:cs="Arial"/>
          <w:sz w:val="18"/>
          <w:szCs w:val="18"/>
          <w:u w:val="double"/>
          <w:shd w:val="clear" w:color="auto" w:fill="FFFFFF"/>
        </w:rPr>
        <w:t> </w:t>
      </w:r>
      <w:r w:rsidRPr="003C15F7">
        <w:rPr>
          <w:rFonts w:ascii="Arial" w:hAnsi="Arial" w:cs="Arial"/>
          <w:i/>
          <w:iCs/>
          <w:sz w:val="18"/>
          <w:szCs w:val="18"/>
          <w:u w:val="double"/>
          <w:shd w:val="clear" w:color="auto" w:fill="FFFFFF"/>
        </w:rPr>
        <w:t>aquaculture</w:t>
      </w:r>
      <w:r w:rsidRPr="003C15F7">
        <w:rPr>
          <w:rFonts w:ascii="Arial" w:hAnsi="Arial" w:cs="Arial"/>
          <w:sz w:val="18"/>
          <w:szCs w:val="18"/>
          <w:u w:val="double"/>
          <w:shd w:val="clear" w:color="auto" w:fill="FFFFFF"/>
        </w:rPr>
        <w:t> production systems</w:t>
      </w:r>
      <w:r w:rsidRPr="003C15F7">
        <w:rPr>
          <w:rFonts w:ascii="Arial" w:hAnsi="Arial" w:cs="Arial"/>
          <w:iCs/>
          <w:sz w:val="18"/>
          <w:szCs w:val="18"/>
          <w:u w:val="double"/>
          <w:lang w:val="en-AU"/>
        </w:rPr>
        <w:t xml:space="preserve"> by a fence or a wall to prevent entry of animals and people, with a gate for controlled access;</w:t>
      </w:r>
    </w:p>
    <w:p w14:paraId="06CB8956" w14:textId="77777777" w:rsidR="0094086E" w:rsidRPr="003C15F7" w:rsidRDefault="0094086E" w:rsidP="00BC2523">
      <w:pPr>
        <w:autoSpaceDE w:val="0"/>
        <w:autoSpaceDN w:val="0"/>
        <w:spacing w:after="120" w:line="240" w:lineRule="auto"/>
        <w:ind w:left="1276" w:hanging="425"/>
        <w:jc w:val="both"/>
        <w:rPr>
          <w:rFonts w:ascii="Arial" w:hAnsi="Arial" w:cs="Arial"/>
          <w:sz w:val="18"/>
          <w:szCs w:val="18"/>
          <w:u w:val="double"/>
          <w:lang w:val="en-AU"/>
        </w:rPr>
      </w:pPr>
      <w:r w:rsidRPr="003C15F7">
        <w:rPr>
          <w:rFonts w:ascii="Arial" w:hAnsi="Arial" w:cs="Arial"/>
          <w:i/>
          <w:iCs/>
          <w:sz w:val="18"/>
          <w:szCs w:val="18"/>
          <w:u w:val="double"/>
          <w:lang w:val="en-AU"/>
        </w:rPr>
        <w:t>iii)</w:t>
      </w:r>
      <w:r w:rsidRPr="003C15F7">
        <w:rPr>
          <w:rFonts w:ascii="Arial" w:hAnsi="Arial" w:cs="Arial"/>
          <w:iCs/>
          <w:sz w:val="18"/>
          <w:szCs w:val="18"/>
          <w:lang w:val="en-AU"/>
        </w:rPr>
        <w:tab/>
      </w:r>
      <w:r w:rsidRPr="003C15F7">
        <w:rPr>
          <w:rFonts w:ascii="Arial" w:hAnsi="Arial" w:cs="Arial"/>
          <w:iCs/>
          <w:sz w:val="18"/>
          <w:szCs w:val="18"/>
          <w:u w:val="double"/>
          <w:lang w:val="en-AU"/>
        </w:rPr>
        <w:t xml:space="preserve">surrounding floating </w:t>
      </w:r>
      <w:r w:rsidRPr="003C15F7">
        <w:rPr>
          <w:rFonts w:ascii="Arial" w:hAnsi="Arial" w:cs="Arial"/>
          <w:i/>
          <w:iCs/>
          <w:sz w:val="18"/>
          <w:szCs w:val="18"/>
          <w:u w:val="double"/>
          <w:shd w:val="clear" w:color="auto" w:fill="FFFFFF"/>
        </w:rPr>
        <w:t>aquaculture</w:t>
      </w:r>
      <w:r w:rsidRPr="003C15F7">
        <w:rPr>
          <w:rFonts w:ascii="Arial" w:hAnsi="Arial" w:cs="Arial"/>
          <w:sz w:val="18"/>
          <w:szCs w:val="18"/>
          <w:u w:val="double"/>
          <w:shd w:val="clear" w:color="auto" w:fill="FFFFFF"/>
        </w:rPr>
        <w:t xml:space="preserve"> production systems </w:t>
      </w:r>
      <w:r w:rsidRPr="003C15F7">
        <w:rPr>
          <w:rFonts w:ascii="Arial" w:hAnsi="Arial" w:cs="Arial"/>
          <w:iCs/>
          <w:sz w:val="18"/>
          <w:szCs w:val="18"/>
          <w:u w:val="double"/>
          <w:lang w:val="en-AU"/>
        </w:rPr>
        <w:t xml:space="preserve">by </w:t>
      </w:r>
      <w:r w:rsidRPr="003C15F7">
        <w:rPr>
          <w:rFonts w:ascii="Arial" w:hAnsi="Arial" w:cs="Arial"/>
          <w:sz w:val="18"/>
          <w:szCs w:val="18"/>
          <w:u w:val="double"/>
          <w:lang w:val="en-AU"/>
        </w:rPr>
        <w:t xml:space="preserve">barriers on the establishment perimeter to prevent contact with or entry of </w:t>
      </w:r>
      <w:r w:rsidRPr="003C15F7">
        <w:rPr>
          <w:rFonts w:ascii="Arial" w:hAnsi="Arial" w:cs="Arial"/>
          <w:sz w:val="18"/>
          <w:szCs w:val="18"/>
          <w:u w:val="double"/>
        </w:rPr>
        <w:t xml:space="preserve">wild </w:t>
      </w:r>
      <w:r w:rsidRPr="003C15F7">
        <w:rPr>
          <w:rFonts w:ascii="Arial" w:hAnsi="Arial" w:cs="Arial"/>
          <w:i/>
          <w:sz w:val="18"/>
          <w:szCs w:val="18"/>
          <w:u w:val="double"/>
        </w:rPr>
        <w:t xml:space="preserve">aquatic animals </w:t>
      </w:r>
      <w:r w:rsidRPr="003C15F7">
        <w:rPr>
          <w:rFonts w:ascii="Arial" w:hAnsi="Arial" w:cs="Arial"/>
          <w:iCs/>
          <w:sz w:val="18"/>
          <w:szCs w:val="18"/>
          <w:u w:val="double"/>
        </w:rPr>
        <w:t xml:space="preserve">and </w:t>
      </w:r>
      <w:r w:rsidRPr="003C15F7">
        <w:rPr>
          <w:rFonts w:ascii="Arial" w:hAnsi="Arial" w:cs="Arial"/>
          <w:sz w:val="18"/>
          <w:szCs w:val="18"/>
          <w:u w:val="double"/>
          <w:lang w:val="en-AU"/>
        </w:rPr>
        <w:t>other animals;</w:t>
      </w:r>
    </w:p>
    <w:p w14:paraId="4960677B" w14:textId="77777777" w:rsidR="0094086E" w:rsidRPr="003C15F7" w:rsidRDefault="0094086E" w:rsidP="00BC2523">
      <w:pPr>
        <w:autoSpaceDE w:val="0"/>
        <w:autoSpaceDN w:val="0"/>
        <w:spacing w:after="120" w:line="240" w:lineRule="auto"/>
        <w:ind w:left="1276" w:hanging="425"/>
        <w:jc w:val="both"/>
        <w:rPr>
          <w:rFonts w:ascii="Arial" w:hAnsi="Arial" w:cs="Arial"/>
          <w:sz w:val="18"/>
          <w:szCs w:val="18"/>
          <w:u w:val="double"/>
          <w:lang w:val="en-AU"/>
        </w:rPr>
      </w:pPr>
      <w:r w:rsidRPr="003C15F7">
        <w:rPr>
          <w:rFonts w:ascii="Arial" w:hAnsi="Arial" w:cs="Arial"/>
          <w:i/>
          <w:sz w:val="18"/>
          <w:szCs w:val="18"/>
          <w:u w:val="double"/>
          <w:lang w:val="en-AU"/>
        </w:rPr>
        <w:t>iv)</w:t>
      </w:r>
      <w:r w:rsidRPr="003C15F7">
        <w:rPr>
          <w:rFonts w:ascii="Arial" w:hAnsi="Arial" w:cs="Arial"/>
          <w:sz w:val="18"/>
          <w:szCs w:val="18"/>
          <w:lang w:val="en-AU"/>
        </w:rPr>
        <w:tab/>
      </w:r>
      <w:r w:rsidRPr="003C15F7">
        <w:rPr>
          <w:rFonts w:ascii="Arial" w:hAnsi="Arial" w:cs="Arial"/>
          <w:sz w:val="18"/>
          <w:szCs w:val="18"/>
          <w:u w:val="double"/>
          <w:lang w:val="en-AU"/>
        </w:rPr>
        <w:t xml:space="preserve">covering outdoor </w:t>
      </w:r>
      <w:r w:rsidRPr="003C15F7">
        <w:rPr>
          <w:rFonts w:ascii="Arial" w:hAnsi="Arial" w:cs="Arial"/>
          <w:i/>
          <w:iCs/>
          <w:sz w:val="18"/>
          <w:szCs w:val="18"/>
          <w:u w:val="double"/>
          <w:shd w:val="clear" w:color="auto" w:fill="FFFFFF"/>
        </w:rPr>
        <w:t>aquaculture</w:t>
      </w:r>
      <w:r w:rsidRPr="003C15F7">
        <w:rPr>
          <w:rFonts w:ascii="Arial" w:hAnsi="Arial" w:cs="Arial"/>
          <w:sz w:val="18"/>
          <w:szCs w:val="18"/>
          <w:u w:val="double"/>
          <w:shd w:val="clear" w:color="auto" w:fill="FFFFFF"/>
        </w:rPr>
        <w:t> production systems</w:t>
      </w:r>
      <w:r w:rsidRPr="003C15F7">
        <w:rPr>
          <w:rFonts w:ascii="Arial" w:hAnsi="Arial" w:cs="Arial"/>
          <w:sz w:val="18"/>
          <w:szCs w:val="18"/>
          <w:u w:val="double"/>
          <w:lang w:val="en-AU"/>
        </w:rPr>
        <w:t xml:space="preserve"> with nets to prevent access by birds.</w:t>
      </w:r>
    </w:p>
    <w:p w14:paraId="126EBF37" w14:textId="77777777" w:rsidR="0094086E" w:rsidRPr="003C15F7" w:rsidRDefault="0094086E" w:rsidP="00BC2523">
      <w:pPr>
        <w:autoSpaceDE w:val="0"/>
        <w:autoSpaceDN w:val="0"/>
        <w:spacing w:after="120" w:line="240" w:lineRule="auto"/>
        <w:ind w:left="851" w:hanging="425"/>
        <w:jc w:val="both"/>
        <w:rPr>
          <w:rFonts w:ascii="Arial" w:hAnsi="Arial" w:cs="Arial"/>
          <w:strike/>
          <w:sz w:val="18"/>
          <w:szCs w:val="18"/>
          <w:u w:val="double"/>
          <w:lang w:val="en-AU"/>
        </w:rPr>
      </w:pPr>
      <w:r w:rsidRPr="003C15F7">
        <w:rPr>
          <w:rFonts w:ascii="Arial" w:hAnsi="Arial" w:cs="Arial"/>
          <w:i/>
          <w:strike/>
          <w:sz w:val="18"/>
          <w:szCs w:val="18"/>
          <w:u w:val="double"/>
          <w:lang w:val="en-AU"/>
        </w:rPr>
        <w:t>b)</w:t>
      </w:r>
      <w:r w:rsidRPr="003C15F7">
        <w:rPr>
          <w:rFonts w:ascii="Arial" w:hAnsi="Arial" w:cs="Arial"/>
          <w:sz w:val="18"/>
          <w:szCs w:val="18"/>
          <w:lang w:val="en-AU"/>
        </w:rPr>
        <w:tab/>
      </w:r>
      <w:r w:rsidRPr="003C15F7">
        <w:rPr>
          <w:rFonts w:ascii="Arial" w:hAnsi="Arial" w:cs="Arial"/>
          <w:strike/>
          <w:sz w:val="18"/>
          <w:szCs w:val="18"/>
          <w:u w:val="double"/>
          <w:lang w:val="en-AU"/>
        </w:rPr>
        <w:t>barriers on the establishment perimeter to prevent entry by of other animals (e.g. electric fencing);</w:t>
      </w:r>
    </w:p>
    <w:p w14:paraId="3DAA592D" w14:textId="77777777" w:rsidR="0094086E" w:rsidRPr="003C15F7" w:rsidRDefault="0094086E" w:rsidP="00BC2523">
      <w:pPr>
        <w:autoSpaceDE w:val="0"/>
        <w:autoSpaceDN w:val="0"/>
        <w:spacing w:after="120" w:line="240" w:lineRule="auto"/>
        <w:ind w:left="851" w:hanging="425"/>
        <w:jc w:val="both"/>
        <w:rPr>
          <w:rFonts w:ascii="Arial" w:hAnsi="Arial" w:cs="Arial"/>
          <w:strike/>
          <w:sz w:val="18"/>
          <w:szCs w:val="18"/>
          <w:u w:val="double"/>
          <w:lang w:val="en-US"/>
        </w:rPr>
      </w:pPr>
      <w:r w:rsidRPr="003C15F7">
        <w:rPr>
          <w:rFonts w:ascii="Arial" w:hAnsi="Arial" w:cs="Arial"/>
          <w:i/>
          <w:iCs/>
          <w:strike/>
          <w:sz w:val="18"/>
          <w:szCs w:val="18"/>
          <w:u w:val="double"/>
          <w:lang w:val="en-AU"/>
        </w:rPr>
        <w:t>b)</w:t>
      </w:r>
      <w:r w:rsidRPr="003C15F7">
        <w:rPr>
          <w:rFonts w:ascii="Arial" w:hAnsi="Arial" w:cs="Arial"/>
          <w:i/>
          <w:iCs/>
          <w:sz w:val="18"/>
          <w:szCs w:val="18"/>
          <w:lang w:val="en-AU"/>
        </w:rPr>
        <w:tab/>
      </w:r>
      <w:r w:rsidRPr="003C15F7">
        <w:rPr>
          <w:rFonts w:ascii="Arial" w:hAnsi="Arial" w:cs="Arial"/>
          <w:strike/>
          <w:sz w:val="18"/>
          <w:szCs w:val="18"/>
          <w:u w:val="double"/>
          <w:lang w:val="en-AU"/>
        </w:rPr>
        <w:t>Controlling</w:t>
      </w:r>
      <w:r w:rsidRPr="003C15F7">
        <w:rPr>
          <w:rFonts w:ascii="Arial" w:hAnsi="Arial" w:cs="Arial"/>
          <w:i/>
          <w:iCs/>
          <w:strike/>
          <w:sz w:val="18"/>
          <w:szCs w:val="18"/>
          <w:u w:val="double"/>
          <w:lang w:val="en-AU"/>
        </w:rPr>
        <w:t xml:space="preserve"> </w:t>
      </w:r>
      <w:r w:rsidRPr="003C15F7">
        <w:rPr>
          <w:rFonts w:ascii="Arial" w:hAnsi="Arial" w:cs="Arial"/>
          <w:iCs/>
          <w:strike/>
          <w:sz w:val="18"/>
          <w:szCs w:val="18"/>
          <w:u w:val="double"/>
          <w:lang w:val="en-AU"/>
        </w:rPr>
        <w:t>A</w:t>
      </w:r>
      <w:r w:rsidRPr="003C15F7">
        <w:rPr>
          <w:rFonts w:ascii="Arial" w:hAnsi="Arial" w:cs="Arial"/>
          <w:strike/>
          <w:sz w:val="18"/>
          <w:szCs w:val="18"/>
          <w:u w:val="double"/>
          <w:lang w:val="en-AU"/>
        </w:rPr>
        <w:t xml:space="preserve">ccess of personnel to </w:t>
      </w:r>
      <w:r w:rsidRPr="003C15F7">
        <w:rPr>
          <w:rFonts w:ascii="Arial" w:hAnsi="Arial" w:cs="Arial"/>
          <w:i/>
          <w:iCs/>
          <w:strike/>
          <w:sz w:val="18"/>
          <w:szCs w:val="18"/>
          <w:u w:val="double"/>
          <w:lang w:val="en-US"/>
        </w:rPr>
        <w:t>aquaculture establishments</w:t>
      </w:r>
      <w:r w:rsidRPr="003C15F7">
        <w:rPr>
          <w:rFonts w:ascii="Arial" w:hAnsi="Arial" w:cs="Arial"/>
          <w:strike/>
          <w:sz w:val="18"/>
          <w:szCs w:val="18"/>
          <w:u w:val="double"/>
          <w:lang w:val="en-US"/>
        </w:rPr>
        <w:t xml:space="preserve"> should be controlled by creating a </w:t>
      </w:r>
      <w:r w:rsidRPr="003C15F7">
        <w:rPr>
          <w:rFonts w:ascii="Arial" w:hAnsi="Arial" w:cs="Arial"/>
          <w:strike/>
          <w:sz w:val="18"/>
          <w:szCs w:val="18"/>
          <w:u w:val="double"/>
          <w:lang w:val="en-US" w:eastAsia="nb-NO"/>
        </w:rPr>
        <w:t>defined border between the outer risk area and the inner biosecure area comprising facilities for</w:t>
      </w:r>
      <w:r w:rsidRPr="003C15F7">
        <w:rPr>
          <w:rFonts w:ascii="Arial" w:hAnsi="Arial" w:cs="Arial"/>
          <w:strike/>
          <w:sz w:val="18"/>
          <w:szCs w:val="18"/>
          <w:u w:val="double"/>
          <w:lang w:val="en-US"/>
        </w:rPr>
        <w:t>:</w:t>
      </w:r>
    </w:p>
    <w:p w14:paraId="4B2BF607" w14:textId="77777777" w:rsidR="0094086E" w:rsidRPr="003C15F7" w:rsidRDefault="0094086E" w:rsidP="00BC2523">
      <w:pPr>
        <w:autoSpaceDE w:val="0"/>
        <w:autoSpaceDN w:val="0"/>
        <w:spacing w:after="120" w:line="240" w:lineRule="auto"/>
        <w:ind w:left="1276" w:hanging="425"/>
        <w:jc w:val="both"/>
        <w:rPr>
          <w:rFonts w:ascii="Arial" w:hAnsi="Arial" w:cs="Arial"/>
          <w:strike/>
          <w:sz w:val="18"/>
          <w:szCs w:val="18"/>
          <w:u w:val="double"/>
          <w:lang w:val="en-AU"/>
        </w:rPr>
      </w:pPr>
      <w:r w:rsidRPr="003C15F7">
        <w:rPr>
          <w:rFonts w:ascii="Arial" w:hAnsi="Arial" w:cs="Arial"/>
          <w:i/>
          <w:strike/>
          <w:sz w:val="18"/>
          <w:szCs w:val="18"/>
          <w:u w:val="double"/>
          <w:lang w:val="en-AU"/>
        </w:rPr>
        <w:t>i)</w:t>
      </w:r>
      <w:r w:rsidRPr="003C15F7">
        <w:rPr>
          <w:rFonts w:ascii="Arial" w:hAnsi="Arial" w:cs="Arial"/>
          <w:i/>
          <w:strike/>
          <w:sz w:val="18"/>
          <w:szCs w:val="18"/>
          <w:lang w:val="en-AU"/>
        </w:rPr>
        <w:t xml:space="preserve"> </w:t>
      </w:r>
      <w:r w:rsidRPr="003C15F7">
        <w:rPr>
          <w:rFonts w:ascii="Arial" w:hAnsi="Arial" w:cs="Arial"/>
          <w:sz w:val="18"/>
          <w:szCs w:val="18"/>
          <w:lang w:val="en-AU"/>
        </w:rPr>
        <w:tab/>
      </w:r>
      <w:r w:rsidRPr="003C15F7">
        <w:rPr>
          <w:rFonts w:ascii="Arial" w:hAnsi="Arial" w:cs="Arial"/>
          <w:strike/>
          <w:sz w:val="18"/>
          <w:szCs w:val="18"/>
          <w:u w:val="double"/>
          <w:lang w:val="en-AU"/>
        </w:rPr>
        <w:t>changing of clothes and shoes, or use of disposal coverings (hoods, coats, shoe coverings);</w:t>
      </w:r>
    </w:p>
    <w:p w14:paraId="708A4CD9" w14:textId="77777777" w:rsidR="0094086E" w:rsidRPr="003C15F7" w:rsidRDefault="0094086E" w:rsidP="00BC2523">
      <w:pPr>
        <w:autoSpaceDE w:val="0"/>
        <w:autoSpaceDN w:val="0"/>
        <w:spacing w:after="120" w:line="240" w:lineRule="auto"/>
        <w:ind w:left="1276" w:hanging="425"/>
        <w:jc w:val="both"/>
        <w:rPr>
          <w:rFonts w:ascii="Arial" w:hAnsi="Arial" w:cs="Arial"/>
          <w:strike/>
          <w:sz w:val="18"/>
          <w:szCs w:val="18"/>
          <w:u w:val="double"/>
          <w:lang w:val="en-AU"/>
        </w:rPr>
      </w:pPr>
      <w:r w:rsidRPr="003C15F7">
        <w:rPr>
          <w:rFonts w:ascii="Arial" w:hAnsi="Arial" w:cs="Arial"/>
          <w:i/>
          <w:strike/>
          <w:sz w:val="18"/>
          <w:szCs w:val="18"/>
          <w:u w:val="double"/>
          <w:lang w:val="en-AU"/>
        </w:rPr>
        <w:t>ii)</w:t>
      </w:r>
      <w:r w:rsidRPr="003C15F7">
        <w:rPr>
          <w:rFonts w:ascii="Arial" w:hAnsi="Arial" w:cs="Arial"/>
          <w:sz w:val="18"/>
          <w:szCs w:val="18"/>
          <w:lang w:val="en-AU"/>
        </w:rPr>
        <w:tab/>
      </w:r>
      <w:r w:rsidRPr="003C15F7">
        <w:rPr>
          <w:rFonts w:ascii="Arial" w:hAnsi="Arial" w:cs="Arial"/>
          <w:i/>
          <w:strike/>
          <w:sz w:val="18"/>
          <w:szCs w:val="18"/>
          <w:u w:val="double"/>
          <w:lang w:val="en-AU"/>
        </w:rPr>
        <w:t>disinfection</w:t>
      </w:r>
      <w:r w:rsidRPr="003C15F7">
        <w:rPr>
          <w:rFonts w:ascii="Arial" w:hAnsi="Arial" w:cs="Arial"/>
          <w:strike/>
          <w:sz w:val="18"/>
          <w:szCs w:val="18"/>
          <w:u w:val="double"/>
          <w:lang w:val="en-AU"/>
        </w:rPr>
        <w:t xml:space="preserve"> of hands, and the use of foot baths for shoe disinfection.</w:t>
      </w:r>
    </w:p>
    <w:p w14:paraId="04B306AA" w14:textId="77777777" w:rsidR="0094086E" w:rsidRPr="003C15F7" w:rsidRDefault="0094086E" w:rsidP="00BC2523">
      <w:pPr>
        <w:autoSpaceDE w:val="0"/>
        <w:autoSpaceDN w:val="0"/>
        <w:spacing w:after="120" w:line="240" w:lineRule="auto"/>
        <w:ind w:left="851" w:hanging="425"/>
        <w:jc w:val="both"/>
        <w:rPr>
          <w:rFonts w:ascii="Arial" w:hAnsi="Arial" w:cs="Arial"/>
          <w:sz w:val="18"/>
          <w:szCs w:val="18"/>
          <w:u w:val="double"/>
          <w:lang w:val="en-AU"/>
        </w:rPr>
      </w:pPr>
      <w:r w:rsidRPr="00685B5C">
        <w:rPr>
          <w:rFonts w:ascii="Arial" w:hAnsi="Arial" w:cs="Arial"/>
          <w:i/>
          <w:iCs/>
          <w:strike/>
          <w:sz w:val="18"/>
          <w:szCs w:val="18"/>
          <w:highlight w:val="yellow"/>
          <w:lang w:val="en-AU"/>
        </w:rPr>
        <w:t>c</w:t>
      </w:r>
      <w:r w:rsidRPr="003C15F7">
        <w:rPr>
          <w:rFonts w:ascii="Arial" w:hAnsi="Arial" w:cs="Arial"/>
          <w:i/>
          <w:iCs/>
          <w:sz w:val="18"/>
          <w:szCs w:val="18"/>
          <w:highlight w:val="yellow"/>
          <w:u w:val="double"/>
          <w:lang w:val="en-AU"/>
        </w:rPr>
        <w:t>b</w:t>
      </w:r>
      <w:r w:rsidRPr="003C15F7">
        <w:rPr>
          <w:rFonts w:ascii="Arial" w:hAnsi="Arial" w:cs="Arial"/>
          <w:sz w:val="18"/>
          <w:szCs w:val="18"/>
          <w:lang w:val="en-AU"/>
        </w:rPr>
        <w:t xml:space="preserve">) </w:t>
      </w:r>
      <w:r w:rsidRPr="003C15F7">
        <w:rPr>
          <w:rFonts w:ascii="Arial" w:hAnsi="Arial" w:cs="Arial"/>
          <w:sz w:val="18"/>
          <w:szCs w:val="18"/>
          <w:lang w:val="en-AU"/>
        </w:rPr>
        <w:tab/>
      </w:r>
      <w:r w:rsidRPr="003C15F7">
        <w:rPr>
          <w:rFonts w:ascii="Arial" w:hAnsi="Arial" w:cs="Arial"/>
          <w:sz w:val="18"/>
          <w:szCs w:val="18"/>
          <w:u w:val="double"/>
          <w:lang w:val="en-AU"/>
        </w:rPr>
        <w:t>P</w:t>
      </w:r>
      <w:r w:rsidRPr="003C15F7">
        <w:rPr>
          <w:rFonts w:ascii="Arial" w:hAnsi="Arial" w:cs="Arial"/>
          <w:strike/>
          <w:sz w:val="18"/>
          <w:szCs w:val="18"/>
          <w:u w:val="double"/>
          <w:lang w:val="en-AU"/>
        </w:rPr>
        <w:t>p</w:t>
      </w:r>
      <w:r w:rsidRPr="003C15F7">
        <w:rPr>
          <w:rFonts w:ascii="Arial" w:hAnsi="Arial" w:cs="Arial"/>
          <w:sz w:val="18"/>
          <w:szCs w:val="18"/>
          <w:u w:val="double"/>
          <w:lang w:val="en-AU"/>
        </w:rPr>
        <w:t xml:space="preserve">est control. </w:t>
      </w:r>
      <w:r w:rsidRPr="003C15F7">
        <w:rPr>
          <w:rFonts w:ascii="Arial" w:hAnsi="Arial" w:cs="Arial"/>
          <w:strike/>
          <w:sz w:val="18"/>
          <w:szCs w:val="18"/>
          <w:u w:val="double"/>
          <w:lang w:val="en-AU"/>
        </w:rPr>
        <w:t>and secure storage of feed and mortalities</w:t>
      </w:r>
      <w:r w:rsidRPr="003C15F7">
        <w:rPr>
          <w:rFonts w:ascii="Arial" w:hAnsi="Arial" w:cs="Arial"/>
          <w:sz w:val="18"/>
          <w:szCs w:val="18"/>
          <w:u w:val="double"/>
          <w:lang w:val="en-AU"/>
        </w:rPr>
        <w:t>.</w:t>
      </w:r>
    </w:p>
    <w:p w14:paraId="6313558A" w14:textId="77777777" w:rsidR="0094086E" w:rsidRPr="003C15F7" w:rsidRDefault="0094086E" w:rsidP="00BC2523">
      <w:pPr>
        <w:spacing w:after="120" w:line="240" w:lineRule="auto"/>
        <w:ind w:left="426" w:hanging="426"/>
        <w:jc w:val="both"/>
        <w:rPr>
          <w:rFonts w:ascii="Arial" w:hAnsi="Arial" w:cs="Arial"/>
          <w:color w:val="000000"/>
          <w:sz w:val="18"/>
          <w:szCs w:val="18"/>
          <w:u w:val="double"/>
        </w:rPr>
      </w:pPr>
      <w:r w:rsidRPr="003C15F7">
        <w:rPr>
          <w:rFonts w:ascii="Arial" w:hAnsi="Arial" w:cs="Arial"/>
          <w:color w:val="000000"/>
          <w:sz w:val="18"/>
          <w:szCs w:val="18"/>
          <w:highlight w:val="yellow"/>
          <w:u w:val="double"/>
        </w:rPr>
        <w:t>7.</w:t>
      </w:r>
      <w:r w:rsidRPr="003C15F7">
        <w:rPr>
          <w:rFonts w:ascii="Arial" w:hAnsi="Arial" w:cs="Arial"/>
          <w:color w:val="000000"/>
          <w:sz w:val="18"/>
          <w:szCs w:val="18"/>
        </w:rPr>
        <w:tab/>
      </w:r>
      <w:r w:rsidRPr="003C15F7">
        <w:rPr>
          <w:rFonts w:ascii="Arial" w:hAnsi="Arial" w:cs="Arial"/>
          <w:color w:val="000000"/>
          <w:sz w:val="18"/>
          <w:szCs w:val="18"/>
          <w:highlight w:val="yellow"/>
          <w:u w:val="double"/>
        </w:rPr>
        <w:t>Personnel and visitors</w:t>
      </w:r>
    </w:p>
    <w:p w14:paraId="77C5684B" w14:textId="77777777" w:rsidR="0094086E" w:rsidRPr="003C15F7" w:rsidRDefault="0094086E" w:rsidP="00BC2523">
      <w:pPr>
        <w:autoSpaceDE w:val="0"/>
        <w:autoSpaceDN w:val="0"/>
        <w:spacing w:after="120" w:line="240" w:lineRule="auto"/>
        <w:ind w:left="851" w:hanging="425"/>
        <w:jc w:val="both"/>
        <w:rPr>
          <w:rFonts w:ascii="Arial" w:hAnsi="Arial" w:cs="Arial"/>
          <w:sz w:val="18"/>
          <w:szCs w:val="18"/>
          <w:highlight w:val="yellow"/>
          <w:u w:val="double"/>
          <w:lang w:val="en-US"/>
        </w:rPr>
      </w:pPr>
      <w:r w:rsidRPr="003C15F7">
        <w:rPr>
          <w:rFonts w:ascii="Arial" w:hAnsi="Arial" w:cs="Arial"/>
          <w:i/>
          <w:iCs/>
          <w:sz w:val="18"/>
          <w:szCs w:val="18"/>
          <w:highlight w:val="yellow"/>
          <w:u w:val="double"/>
          <w:lang w:val="en-AU"/>
        </w:rPr>
        <w:t>a)</w:t>
      </w:r>
      <w:r w:rsidRPr="003C15F7">
        <w:rPr>
          <w:rFonts w:ascii="Arial" w:hAnsi="Arial" w:cs="Arial"/>
          <w:i/>
          <w:iCs/>
          <w:sz w:val="18"/>
          <w:szCs w:val="18"/>
          <w:lang w:val="en-AU"/>
        </w:rPr>
        <w:tab/>
      </w:r>
      <w:r w:rsidRPr="003C15F7">
        <w:rPr>
          <w:rFonts w:ascii="Arial" w:hAnsi="Arial" w:cs="Arial"/>
          <w:iCs/>
          <w:sz w:val="18"/>
          <w:szCs w:val="18"/>
          <w:highlight w:val="yellow"/>
          <w:u w:val="double"/>
          <w:lang w:val="en-AU"/>
        </w:rPr>
        <w:t>A</w:t>
      </w:r>
      <w:r w:rsidRPr="003C15F7">
        <w:rPr>
          <w:rFonts w:ascii="Arial" w:hAnsi="Arial" w:cs="Arial"/>
          <w:sz w:val="18"/>
          <w:szCs w:val="18"/>
          <w:highlight w:val="yellow"/>
          <w:u w:val="double"/>
          <w:lang w:val="en-AU"/>
        </w:rPr>
        <w:t xml:space="preserve">ccess of personnel and visitors to </w:t>
      </w:r>
      <w:r w:rsidRPr="003C15F7">
        <w:rPr>
          <w:rFonts w:ascii="Arial" w:hAnsi="Arial" w:cs="Arial"/>
          <w:i/>
          <w:iCs/>
          <w:sz w:val="18"/>
          <w:szCs w:val="18"/>
          <w:highlight w:val="yellow"/>
          <w:u w:val="double"/>
          <w:lang w:val="en-US"/>
        </w:rPr>
        <w:t>aquaculture establishments</w:t>
      </w:r>
      <w:r w:rsidRPr="003C15F7">
        <w:rPr>
          <w:rFonts w:ascii="Arial" w:hAnsi="Arial" w:cs="Arial"/>
          <w:sz w:val="18"/>
          <w:szCs w:val="18"/>
          <w:highlight w:val="yellow"/>
          <w:u w:val="double"/>
          <w:lang w:val="en-US"/>
        </w:rPr>
        <w:t xml:space="preserve"> should be controlled by creating a </w:t>
      </w:r>
      <w:r w:rsidRPr="003C15F7">
        <w:rPr>
          <w:rFonts w:ascii="Arial" w:hAnsi="Arial" w:cs="Arial"/>
          <w:sz w:val="18"/>
          <w:szCs w:val="18"/>
          <w:highlight w:val="yellow"/>
          <w:u w:val="double"/>
          <w:lang w:val="en-US" w:eastAsia="nb-NO"/>
        </w:rPr>
        <w:t>defined border between the outer risk area and the inner biosecure area comprising facilities for</w:t>
      </w:r>
      <w:r w:rsidRPr="003C15F7">
        <w:rPr>
          <w:rFonts w:ascii="Arial" w:hAnsi="Arial" w:cs="Arial"/>
          <w:sz w:val="18"/>
          <w:szCs w:val="18"/>
          <w:highlight w:val="yellow"/>
          <w:u w:val="double"/>
          <w:lang w:val="en-US"/>
        </w:rPr>
        <w:t>:</w:t>
      </w:r>
    </w:p>
    <w:p w14:paraId="6B3F0B4A" w14:textId="77777777" w:rsidR="0094086E" w:rsidRPr="003C15F7" w:rsidRDefault="0094086E" w:rsidP="00BC2523">
      <w:pPr>
        <w:autoSpaceDE w:val="0"/>
        <w:autoSpaceDN w:val="0"/>
        <w:spacing w:after="120" w:line="240" w:lineRule="auto"/>
        <w:ind w:left="1276" w:hanging="425"/>
        <w:jc w:val="both"/>
        <w:rPr>
          <w:rFonts w:ascii="Arial" w:hAnsi="Arial" w:cs="Arial"/>
          <w:sz w:val="18"/>
          <w:szCs w:val="18"/>
          <w:highlight w:val="yellow"/>
          <w:u w:val="double"/>
          <w:lang w:val="en-AU"/>
        </w:rPr>
      </w:pPr>
      <w:r w:rsidRPr="003C15F7">
        <w:rPr>
          <w:rFonts w:ascii="Arial" w:hAnsi="Arial" w:cs="Arial"/>
          <w:i/>
          <w:sz w:val="18"/>
          <w:szCs w:val="18"/>
          <w:highlight w:val="yellow"/>
          <w:u w:val="double"/>
          <w:lang w:val="en-AU"/>
        </w:rPr>
        <w:t>i)</w:t>
      </w:r>
      <w:r w:rsidRPr="003C15F7">
        <w:rPr>
          <w:rFonts w:ascii="Arial" w:hAnsi="Arial" w:cs="Arial"/>
          <w:i/>
          <w:sz w:val="18"/>
          <w:szCs w:val="18"/>
          <w:highlight w:val="yellow"/>
          <w:lang w:val="en-AU"/>
        </w:rPr>
        <w:t xml:space="preserve"> </w:t>
      </w:r>
      <w:r w:rsidRPr="003C15F7">
        <w:rPr>
          <w:rFonts w:ascii="Arial" w:hAnsi="Arial" w:cs="Arial"/>
          <w:sz w:val="18"/>
          <w:szCs w:val="18"/>
          <w:lang w:val="en-AU"/>
        </w:rPr>
        <w:tab/>
      </w:r>
      <w:r w:rsidRPr="003C15F7">
        <w:rPr>
          <w:rFonts w:ascii="Arial" w:hAnsi="Arial" w:cs="Arial"/>
          <w:sz w:val="18"/>
          <w:szCs w:val="18"/>
          <w:highlight w:val="yellow"/>
          <w:u w:val="double"/>
          <w:lang w:val="en-AU"/>
        </w:rPr>
        <w:t>changing of clothes and shoes, or use of disposable</w:t>
      </w:r>
      <w:r w:rsidRPr="003C15F7">
        <w:rPr>
          <w:rFonts w:ascii="Arial" w:hAnsi="Arial" w:cs="Arial"/>
          <w:strike/>
          <w:sz w:val="18"/>
          <w:szCs w:val="18"/>
          <w:highlight w:val="yellow"/>
          <w:u w:val="double"/>
          <w:lang w:val="en-AU"/>
        </w:rPr>
        <w:t xml:space="preserve"> </w:t>
      </w:r>
      <w:r w:rsidRPr="003C15F7">
        <w:rPr>
          <w:rFonts w:ascii="Arial" w:hAnsi="Arial" w:cs="Arial"/>
          <w:sz w:val="18"/>
          <w:szCs w:val="18"/>
          <w:highlight w:val="yellow"/>
          <w:u w:val="double"/>
          <w:lang w:val="en-AU"/>
        </w:rPr>
        <w:t>coverings (hoods, coats, shoe coverings);</w:t>
      </w:r>
    </w:p>
    <w:p w14:paraId="6CA1146F" w14:textId="77777777" w:rsidR="0094086E" w:rsidRPr="003C15F7" w:rsidRDefault="0094086E" w:rsidP="00BC2523">
      <w:pPr>
        <w:autoSpaceDE w:val="0"/>
        <w:autoSpaceDN w:val="0"/>
        <w:spacing w:after="120" w:line="240" w:lineRule="auto"/>
        <w:ind w:left="1276" w:hanging="425"/>
        <w:jc w:val="both"/>
        <w:rPr>
          <w:rFonts w:ascii="Arial" w:hAnsi="Arial" w:cs="Arial"/>
          <w:sz w:val="18"/>
          <w:szCs w:val="18"/>
          <w:highlight w:val="yellow"/>
          <w:u w:val="double"/>
          <w:lang w:val="en-AU"/>
        </w:rPr>
      </w:pPr>
      <w:r w:rsidRPr="003C15F7">
        <w:rPr>
          <w:rFonts w:ascii="Arial" w:hAnsi="Arial" w:cs="Arial"/>
          <w:i/>
          <w:sz w:val="18"/>
          <w:szCs w:val="18"/>
          <w:highlight w:val="yellow"/>
          <w:u w:val="double"/>
          <w:lang w:val="en-AU"/>
        </w:rPr>
        <w:t>ii)</w:t>
      </w:r>
      <w:r w:rsidRPr="003C15F7">
        <w:rPr>
          <w:rFonts w:ascii="Arial" w:hAnsi="Arial" w:cs="Arial"/>
          <w:sz w:val="18"/>
          <w:szCs w:val="18"/>
          <w:lang w:val="en-AU"/>
        </w:rPr>
        <w:tab/>
      </w:r>
      <w:r w:rsidRPr="003C15F7">
        <w:rPr>
          <w:rFonts w:ascii="Arial" w:hAnsi="Arial" w:cs="Arial"/>
          <w:i/>
          <w:sz w:val="18"/>
          <w:szCs w:val="18"/>
          <w:highlight w:val="yellow"/>
          <w:u w:val="double"/>
          <w:lang w:val="en-AU"/>
        </w:rPr>
        <w:t>disinfection</w:t>
      </w:r>
      <w:r w:rsidRPr="003C15F7">
        <w:rPr>
          <w:rFonts w:ascii="Arial" w:hAnsi="Arial" w:cs="Arial"/>
          <w:sz w:val="18"/>
          <w:szCs w:val="18"/>
          <w:highlight w:val="yellow"/>
          <w:u w:val="double"/>
          <w:lang w:val="en-AU"/>
        </w:rPr>
        <w:t xml:space="preserve"> of hands, and the use of foot baths </w:t>
      </w:r>
      <w:r w:rsidRPr="003C15F7">
        <w:rPr>
          <w:rFonts w:ascii="Arial" w:hAnsi="Arial" w:cs="Arial"/>
          <w:strike/>
          <w:sz w:val="18"/>
          <w:szCs w:val="18"/>
          <w:highlight w:val="yellow"/>
          <w:u w:val="double"/>
          <w:lang w:val="en-AU"/>
        </w:rPr>
        <w:t>for shoe disinfection</w:t>
      </w:r>
      <w:r w:rsidRPr="003C15F7">
        <w:rPr>
          <w:rFonts w:ascii="Arial" w:hAnsi="Arial" w:cs="Arial"/>
          <w:sz w:val="18"/>
          <w:szCs w:val="18"/>
          <w:highlight w:val="yellow"/>
          <w:u w:val="double"/>
          <w:lang w:val="en-AU"/>
        </w:rPr>
        <w:t>.</w:t>
      </w:r>
    </w:p>
    <w:p w14:paraId="7A99DE95" w14:textId="40973F39" w:rsidR="0094086E" w:rsidRPr="003C15F7" w:rsidRDefault="0094086E" w:rsidP="00BC2523">
      <w:pPr>
        <w:autoSpaceDE w:val="0"/>
        <w:autoSpaceDN w:val="0"/>
        <w:spacing w:after="120" w:line="240" w:lineRule="auto"/>
        <w:ind w:left="851" w:hanging="425"/>
        <w:jc w:val="both"/>
        <w:rPr>
          <w:rFonts w:ascii="Arial" w:hAnsi="Arial" w:cs="Arial"/>
          <w:sz w:val="18"/>
          <w:szCs w:val="18"/>
          <w:lang w:val="en-AU"/>
        </w:rPr>
      </w:pPr>
      <w:r w:rsidRPr="003C15F7">
        <w:rPr>
          <w:rFonts w:ascii="Arial" w:hAnsi="Arial" w:cs="Arial"/>
          <w:i/>
          <w:sz w:val="18"/>
          <w:szCs w:val="18"/>
          <w:highlight w:val="yellow"/>
          <w:u w:val="double"/>
          <w:lang w:val="en-AU"/>
        </w:rPr>
        <w:t>b)</w:t>
      </w:r>
      <w:r w:rsidRPr="003C15F7">
        <w:rPr>
          <w:rFonts w:ascii="Arial" w:hAnsi="Arial" w:cs="Arial"/>
          <w:sz w:val="18"/>
          <w:szCs w:val="18"/>
          <w:lang w:val="en-AU"/>
        </w:rPr>
        <w:tab/>
      </w:r>
      <w:r w:rsidRPr="003C15F7">
        <w:rPr>
          <w:rFonts w:ascii="Arial" w:hAnsi="Arial" w:cs="Arial"/>
          <w:sz w:val="18"/>
          <w:szCs w:val="18"/>
          <w:highlight w:val="yellow"/>
          <w:u w:val="double"/>
          <w:lang w:val="en-AU"/>
        </w:rPr>
        <w:t xml:space="preserve">All visitors should be briefed and supervised to ensure compliance with the </w:t>
      </w:r>
      <w:r w:rsidRPr="003C15F7">
        <w:rPr>
          <w:rFonts w:ascii="Arial" w:hAnsi="Arial" w:cs="Arial"/>
          <w:i/>
          <w:iCs/>
          <w:sz w:val="18"/>
          <w:szCs w:val="18"/>
          <w:highlight w:val="yellow"/>
          <w:u w:val="double"/>
          <w:lang w:val="en-AU"/>
        </w:rPr>
        <w:t>biosecurity</w:t>
      </w:r>
      <w:r w:rsidRPr="003C15F7">
        <w:rPr>
          <w:rFonts w:ascii="Arial" w:hAnsi="Arial" w:cs="Arial"/>
          <w:sz w:val="18"/>
          <w:szCs w:val="18"/>
          <w:highlight w:val="yellow"/>
          <w:u w:val="double"/>
          <w:lang w:val="en-AU"/>
        </w:rPr>
        <w:t xml:space="preserve"> </w:t>
      </w:r>
      <w:r w:rsidRPr="003C15F7">
        <w:rPr>
          <w:rFonts w:ascii="Arial" w:hAnsi="Arial" w:cs="Arial"/>
          <w:i/>
          <w:iCs/>
          <w:sz w:val="18"/>
          <w:szCs w:val="18"/>
          <w:highlight w:val="yellow"/>
          <w:u w:val="double"/>
          <w:lang w:val="en-AU"/>
        </w:rPr>
        <w:t>plan</w:t>
      </w:r>
      <w:r w:rsidR="000709C8" w:rsidRPr="003C15F7">
        <w:rPr>
          <w:rFonts w:ascii="Arial" w:hAnsi="Arial" w:cs="Arial"/>
          <w:sz w:val="18"/>
          <w:szCs w:val="18"/>
          <w:u w:val="double"/>
          <w:lang w:val="en-AU"/>
        </w:rPr>
        <w:t>.</w:t>
      </w:r>
    </w:p>
    <w:p w14:paraId="30703F68" w14:textId="77777777" w:rsidR="0094086E" w:rsidRPr="003C15F7" w:rsidRDefault="0094086E" w:rsidP="00BC2523">
      <w:pPr>
        <w:jc w:val="center"/>
        <w:rPr>
          <w:rFonts w:ascii="Ottawa" w:hAnsi="Ottawa" w:cs="Times New Roman"/>
          <w:sz w:val="18"/>
          <w:szCs w:val="18"/>
        </w:rPr>
      </w:pPr>
      <w:r w:rsidRPr="003C15F7">
        <w:rPr>
          <w:rFonts w:ascii="Ottawa" w:hAnsi="Ottawa" w:cs="Times New Roman"/>
          <w:sz w:val="18"/>
          <w:szCs w:val="18"/>
        </w:rPr>
        <w:t>Article 4.X.7.</w:t>
      </w:r>
    </w:p>
    <w:p w14:paraId="5D3D4894" w14:textId="77777777" w:rsidR="0094086E" w:rsidRPr="003C15F7" w:rsidRDefault="0094086E" w:rsidP="00BC2523">
      <w:pPr>
        <w:jc w:val="both"/>
        <w:rPr>
          <w:rFonts w:ascii="Ottawa" w:hAnsi="Ottawa" w:cs="Times New Roman"/>
          <w:b/>
          <w:color w:val="000000"/>
          <w:sz w:val="18"/>
          <w:szCs w:val="18"/>
        </w:rPr>
      </w:pPr>
      <w:r w:rsidRPr="003C15F7">
        <w:rPr>
          <w:rFonts w:ascii="Ottawa" w:hAnsi="Ottawa" w:cs="Times New Roman"/>
          <w:b/>
          <w:color w:val="000000"/>
          <w:sz w:val="18"/>
          <w:szCs w:val="18"/>
        </w:rPr>
        <w:t xml:space="preserve">Risk analysis </w:t>
      </w:r>
    </w:p>
    <w:p w14:paraId="131640C4" w14:textId="77777777" w:rsidR="0094086E" w:rsidRPr="003C15F7" w:rsidRDefault="0094086E" w:rsidP="00BC2523">
      <w:pPr>
        <w:pStyle w:val="NormalWeb"/>
        <w:spacing w:before="0" w:beforeAutospacing="0" w:after="160" w:afterAutospacing="0"/>
        <w:jc w:val="both"/>
        <w:rPr>
          <w:rFonts w:ascii="Arial" w:hAnsi="Arial" w:cs="Arial"/>
          <w:sz w:val="18"/>
          <w:szCs w:val="18"/>
          <w:u w:val="double"/>
          <w:lang w:val="en-US"/>
        </w:rPr>
      </w:pPr>
      <w:r w:rsidRPr="003C15F7">
        <w:rPr>
          <w:rFonts w:ascii="Arial" w:hAnsi="Arial" w:cs="Arial"/>
          <w:i/>
          <w:sz w:val="18"/>
          <w:szCs w:val="18"/>
          <w:lang w:val="en-US"/>
        </w:rPr>
        <w:t>Risk analysis</w:t>
      </w:r>
      <w:r w:rsidRPr="003C15F7">
        <w:rPr>
          <w:rFonts w:ascii="Arial" w:hAnsi="Arial" w:cs="Arial"/>
          <w:sz w:val="18"/>
          <w:szCs w:val="18"/>
          <w:lang w:val="en-US"/>
        </w:rPr>
        <w:t xml:space="preserve"> is an accepted approach for evaluating </w:t>
      </w:r>
      <w:r w:rsidRPr="003C15F7">
        <w:rPr>
          <w:rFonts w:ascii="Arial" w:hAnsi="Arial" w:cs="Arial"/>
          <w:i/>
          <w:sz w:val="18"/>
          <w:szCs w:val="18"/>
          <w:lang w:val="en-US"/>
        </w:rPr>
        <w:t>biosecurity</w:t>
      </w:r>
      <w:r w:rsidRPr="003C15F7">
        <w:rPr>
          <w:rFonts w:ascii="Arial" w:hAnsi="Arial" w:cs="Arial"/>
          <w:sz w:val="18"/>
          <w:szCs w:val="18"/>
          <w:lang w:val="en-US"/>
        </w:rPr>
        <w:t xml:space="preserve"> threats and </w:t>
      </w:r>
      <w:r w:rsidRPr="003C15F7">
        <w:rPr>
          <w:rFonts w:ascii="Arial" w:hAnsi="Arial" w:cs="Arial"/>
          <w:sz w:val="18"/>
          <w:szCs w:val="18"/>
          <w:u w:val="double"/>
          <w:lang w:val="en-US"/>
        </w:rPr>
        <w:t>is used</w:t>
      </w:r>
      <w:r w:rsidRPr="003C15F7">
        <w:rPr>
          <w:rFonts w:ascii="Arial" w:hAnsi="Arial" w:cs="Arial"/>
          <w:sz w:val="18"/>
          <w:szCs w:val="18"/>
          <w:lang w:val="en-US"/>
        </w:rPr>
        <w:t xml:space="preserve"> to support the development of mitigation measures. A formal </w:t>
      </w:r>
      <w:r w:rsidRPr="003C15F7">
        <w:rPr>
          <w:rFonts w:ascii="Arial" w:hAnsi="Arial" w:cs="Arial"/>
          <w:i/>
          <w:sz w:val="18"/>
          <w:szCs w:val="18"/>
          <w:lang w:val="en-US"/>
        </w:rPr>
        <w:t xml:space="preserve">risk analysis </w:t>
      </w:r>
      <w:r w:rsidRPr="003C15F7">
        <w:rPr>
          <w:rFonts w:ascii="Arial" w:hAnsi="Arial" w:cs="Arial"/>
          <w:sz w:val="18"/>
          <w:szCs w:val="18"/>
          <w:lang w:val="en-US"/>
        </w:rPr>
        <w:t xml:space="preserve">has four components: </w:t>
      </w:r>
      <w:r w:rsidRPr="003C15F7">
        <w:rPr>
          <w:rFonts w:ascii="Arial" w:hAnsi="Arial" w:cs="Arial"/>
          <w:i/>
          <w:sz w:val="18"/>
          <w:szCs w:val="18"/>
          <w:lang w:val="en-US"/>
        </w:rPr>
        <w:t>hazard</w:t>
      </w:r>
      <w:r w:rsidRPr="003C15F7">
        <w:rPr>
          <w:rFonts w:ascii="Arial" w:hAnsi="Arial" w:cs="Arial"/>
          <w:sz w:val="18"/>
          <w:szCs w:val="18"/>
          <w:lang w:val="en-US"/>
        </w:rPr>
        <w:t xml:space="preserve"> identification, </w:t>
      </w:r>
      <w:r w:rsidRPr="003C15F7">
        <w:rPr>
          <w:rFonts w:ascii="Arial" w:hAnsi="Arial" w:cs="Arial"/>
          <w:i/>
          <w:sz w:val="18"/>
          <w:szCs w:val="18"/>
          <w:lang w:val="en-US"/>
        </w:rPr>
        <w:t>risk assessment</w:t>
      </w:r>
      <w:r w:rsidRPr="003C15F7">
        <w:rPr>
          <w:rFonts w:ascii="Arial" w:hAnsi="Arial" w:cs="Arial"/>
          <w:sz w:val="18"/>
          <w:szCs w:val="18"/>
          <w:lang w:val="en-US"/>
        </w:rPr>
        <w:t xml:space="preserve">, </w:t>
      </w:r>
      <w:r w:rsidRPr="003C15F7">
        <w:rPr>
          <w:rFonts w:ascii="Arial" w:hAnsi="Arial" w:cs="Arial"/>
          <w:i/>
          <w:sz w:val="18"/>
          <w:szCs w:val="18"/>
          <w:lang w:val="en-US"/>
        </w:rPr>
        <w:t>risk management</w:t>
      </w:r>
      <w:r w:rsidRPr="003C15F7">
        <w:rPr>
          <w:rFonts w:ascii="Arial" w:hAnsi="Arial" w:cs="Arial"/>
          <w:sz w:val="18"/>
          <w:szCs w:val="18"/>
          <w:lang w:val="en-US"/>
        </w:rPr>
        <w:t xml:space="preserve"> and </w:t>
      </w:r>
      <w:r w:rsidRPr="003C15F7">
        <w:rPr>
          <w:rFonts w:ascii="Arial" w:hAnsi="Arial" w:cs="Arial"/>
          <w:i/>
          <w:sz w:val="18"/>
          <w:szCs w:val="18"/>
          <w:lang w:val="en-US"/>
        </w:rPr>
        <w:t>risk communication</w:t>
      </w:r>
      <w:r w:rsidRPr="003C15F7">
        <w:rPr>
          <w:rFonts w:ascii="Arial" w:hAnsi="Arial" w:cs="Arial"/>
          <w:sz w:val="18"/>
          <w:szCs w:val="18"/>
          <w:lang w:val="en-US"/>
        </w:rPr>
        <w:t xml:space="preserve"> </w:t>
      </w:r>
      <w:r w:rsidRPr="003C15F7">
        <w:rPr>
          <w:rFonts w:ascii="Arial" w:hAnsi="Arial" w:cs="Arial"/>
          <w:strike/>
          <w:sz w:val="18"/>
          <w:szCs w:val="18"/>
          <w:lang w:val="en-US"/>
        </w:rPr>
        <w:t>(see Chapter 2.1.)</w:t>
      </w:r>
      <w:r w:rsidRPr="003C15F7">
        <w:rPr>
          <w:rFonts w:ascii="Arial" w:hAnsi="Arial" w:cs="Arial"/>
          <w:sz w:val="18"/>
          <w:szCs w:val="18"/>
          <w:lang w:val="en-US"/>
        </w:rPr>
        <w:t xml:space="preserve">. </w:t>
      </w:r>
      <w:r w:rsidRPr="003C15F7">
        <w:rPr>
          <w:rFonts w:ascii="Arial" w:hAnsi="Arial" w:cs="Arial"/>
          <w:sz w:val="18"/>
          <w:szCs w:val="18"/>
          <w:u w:val="double"/>
          <w:lang w:val="en-US"/>
        </w:rPr>
        <w:t xml:space="preserve">This article elaborates the principles in Chapter 2.1. and applies them for the development of </w:t>
      </w:r>
      <w:r w:rsidRPr="003C15F7">
        <w:rPr>
          <w:rFonts w:ascii="Arial" w:hAnsi="Arial" w:cs="Arial"/>
          <w:i/>
          <w:sz w:val="18"/>
          <w:szCs w:val="18"/>
          <w:u w:val="double"/>
          <w:lang w:val="en-US"/>
        </w:rPr>
        <w:t>biosecurity</w:t>
      </w:r>
      <w:r w:rsidRPr="003C15F7">
        <w:rPr>
          <w:rFonts w:ascii="Arial" w:hAnsi="Arial" w:cs="Arial"/>
          <w:sz w:val="18"/>
          <w:szCs w:val="18"/>
          <w:u w:val="double"/>
          <w:lang w:val="en-US"/>
        </w:rPr>
        <w:t xml:space="preserve"> </w:t>
      </w:r>
      <w:r w:rsidRPr="003C15F7">
        <w:rPr>
          <w:rFonts w:ascii="Arial" w:hAnsi="Arial" w:cs="Arial"/>
          <w:i/>
          <w:sz w:val="18"/>
          <w:szCs w:val="18"/>
          <w:u w:val="double"/>
          <w:lang w:val="en-US"/>
        </w:rPr>
        <w:t>plans</w:t>
      </w:r>
      <w:r w:rsidRPr="003C15F7">
        <w:rPr>
          <w:rFonts w:ascii="Arial" w:hAnsi="Arial" w:cs="Arial"/>
          <w:sz w:val="18"/>
          <w:szCs w:val="18"/>
          <w:u w:val="double"/>
          <w:lang w:val="en-US"/>
        </w:rPr>
        <w:t xml:space="preserve"> for </w:t>
      </w:r>
      <w:r w:rsidRPr="003C15F7">
        <w:rPr>
          <w:rFonts w:ascii="Arial" w:hAnsi="Arial" w:cs="Arial"/>
          <w:i/>
          <w:sz w:val="18"/>
          <w:szCs w:val="18"/>
          <w:u w:val="double"/>
          <w:lang w:val="en-US"/>
        </w:rPr>
        <w:t>aquaculture establishments</w:t>
      </w:r>
      <w:r w:rsidRPr="003C15F7">
        <w:rPr>
          <w:rFonts w:ascii="Arial" w:hAnsi="Arial" w:cs="Arial"/>
          <w:sz w:val="18"/>
          <w:szCs w:val="18"/>
          <w:u w:val="double"/>
          <w:lang w:val="en-US"/>
        </w:rPr>
        <w:t xml:space="preserve">. </w:t>
      </w:r>
    </w:p>
    <w:p w14:paraId="57BF615D" w14:textId="77777777" w:rsidR="0094086E" w:rsidRPr="003C15F7" w:rsidRDefault="0094086E" w:rsidP="0094086E">
      <w:pPr>
        <w:pStyle w:val="NormalWeb"/>
        <w:spacing w:before="0" w:beforeAutospacing="0" w:after="240" w:afterAutospacing="0"/>
        <w:jc w:val="both"/>
        <w:rPr>
          <w:rFonts w:ascii="Arial" w:hAnsi="Arial" w:cs="Arial"/>
          <w:sz w:val="18"/>
          <w:szCs w:val="18"/>
          <w:lang w:val="en-US"/>
        </w:rPr>
      </w:pPr>
      <w:r w:rsidRPr="003C15F7">
        <w:rPr>
          <w:rFonts w:ascii="Arial" w:hAnsi="Arial" w:cs="Arial"/>
          <w:sz w:val="18"/>
          <w:szCs w:val="18"/>
          <w:lang w:val="en-US"/>
        </w:rPr>
        <w:t xml:space="preserve">A </w:t>
      </w:r>
      <w:r w:rsidRPr="003C15F7">
        <w:rPr>
          <w:rFonts w:ascii="Arial" w:hAnsi="Arial" w:cs="Arial"/>
          <w:i/>
          <w:sz w:val="18"/>
          <w:szCs w:val="18"/>
          <w:lang w:val="en-US"/>
        </w:rPr>
        <w:t>biosecurity plan</w:t>
      </w:r>
      <w:r w:rsidRPr="003C15F7">
        <w:rPr>
          <w:rFonts w:ascii="Arial" w:hAnsi="Arial" w:cs="Arial"/>
          <w:sz w:val="18"/>
          <w:szCs w:val="18"/>
          <w:lang w:val="en-US"/>
        </w:rPr>
        <w:t xml:space="preserve"> may not necessarily require a comprehensive </w:t>
      </w:r>
      <w:r w:rsidRPr="003C15F7">
        <w:rPr>
          <w:rFonts w:ascii="Arial" w:hAnsi="Arial" w:cs="Arial"/>
          <w:i/>
          <w:sz w:val="18"/>
          <w:szCs w:val="18"/>
          <w:lang w:val="en-US"/>
        </w:rPr>
        <w:t>risk analysis</w:t>
      </w:r>
      <w:r w:rsidRPr="003C15F7">
        <w:rPr>
          <w:rFonts w:ascii="Arial" w:hAnsi="Arial" w:cs="Arial"/>
          <w:sz w:val="18"/>
          <w:szCs w:val="18"/>
          <w:lang w:val="en-US"/>
        </w:rPr>
        <w:t xml:space="preserve"> to evaluate </w:t>
      </w:r>
      <w:r w:rsidRPr="003C15F7">
        <w:rPr>
          <w:rFonts w:ascii="Arial" w:hAnsi="Arial" w:cs="Arial"/>
          <w:i/>
          <w:sz w:val="18"/>
          <w:szCs w:val="18"/>
          <w:lang w:val="en-US"/>
        </w:rPr>
        <w:t>disease risks</w:t>
      </w:r>
      <w:r w:rsidRPr="003C15F7">
        <w:rPr>
          <w:rFonts w:ascii="Arial" w:hAnsi="Arial" w:cs="Arial"/>
          <w:sz w:val="18"/>
          <w:szCs w:val="18"/>
          <w:lang w:val="en-US"/>
        </w:rPr>
        <w:t xml:space="preserve"> linked to transmission pathways. The chosen approach may depend on the objectives of the </w:t>
      </w:r>
      <w:r w:rsidRPr="003C15F7">
        <w:rPr>
          <w:rFonts w:ascii="Arial" w:hAnsi="Arial" w:cs="Arial"/>
          <w:i/>
          <w:sz w:val="18"/>
          <w:szCs w:val="18"/>
          <w:lang w:val="en-US"/>
        </w:rPr>
        <w:t>biosecurity plan</w:t>
      </w:r>
      <w:r w:rsidRPr="003C15F7">
        <w:rPr>
          <w:rFonts w:ascii="Arial" w:eastAsia="SimSun" w:hAnsi="Arial" w:cs="Arial"/>
          <w:sz w:val="18"/>
          <w:szCs w:val="18"/>
          <w:lang w:val="en-US" w:eastAsia="zh-CN"/>
        </w:rPr>
        <w:t>,</w:t>
      </w:r>
      <w:r w:rsidRPr="003C15F7">
        <w:rPr>
          <w:rFonts w:ascii="Arial" w:hAnsi="Arial" w:cs="Arial"/>
          <w:sz w:val="18"/>
          <w:szCs w:val="18"/>
          <w:lang w:val="en-US"/>
        </w:rPr>
        <w:t xml:space="preserve"> the level of </w:t>
      </w:r>
      <w:r w:rsidRPr="003C15F7">
        <w:rPr>
          <w:rFonts w:ascii="Arial" w:hAnsi="Arial" w:cs="Arial"/>
          <w:i/>
          <w:sz w:val="18"/>
          <w:szCs w:val="18"/>
          <w:lang w:val="en-US"/>
        </w:rPr>
        <w:t>biosecurity</w:t>
      </w:r>
      <w:r w:rsidRPr="003C15F7">
        <w:rPr>
          <w:rFonts w:ascii="Arial" w:hAnsi="Arial" w:cs="Arial"/>
          <w:sz w:val="18"/>
          <w:szCs w:val="18"/>
          <w:lang w:val="en-US"/>
        </w:rPr>
        <w:t xml:space="preserve"> that is appropriate for the specific production requirements of the </w:t>
      </w:r>
      <w:r w:rsidRPr="003C15F7">
        <w:rPr>
          <w:rFonts w:ascii="Arial" w:hAnsi="Arial" w:cs="Arial"/>
          <w:i/>
          <w:sz w:val="18"/>
          <w:szCs w:val="18"/>
          <w:lang w:val="en-US"/>
        </w:rPr>
        <w:t>aquaculture establishment</w:t>
      </w:r>
      <w:r w:rsidRPr="003C15F7">
        <w:rPr>
          <w:rFonts w:ascii="Arial" w:hAnsi="Arial" w:cs="Arial"/>
          <w:sz w:val="18"/>
          <w:szCs w:val="18"/>
          <w:lang w:val="en-US"/>
        </w:rPr>
        <w:t xml:space="preserve">, the complexity of the threats to be addressed, and </w:t>
      </w:r>
      <w:r w:rsidRPr="003C15F7">
        <w:rPr>
          <w:rFonts w:ascii="Arial" w:eastAsia="SimSun" w:hAnsi="Arial" w:cs="Arial"/>
          <w:sz w:val="18"/>
          <w:szCs w:val="18"/>
          <w:lang w:val="en-US" w:eastAsia="zh-CN"/>
        </w:rPr>
        <w:t xml:space="preserve">the </w:t>
      </w:r>
      <w:r w:rsidRPr="003C15F7">
        <w:rPr>
          <w:rFonts w:ascii="Arial" w:hAnsi="Arial" w:cs="Arial"/>
          <w:sz w:val="18"/>
          <w:szCs w:val="18"/>
          <w:lang w:val="en-US"/>
        </w:rPr>
        <w:t xml:space="preserve">availability of information and resources. Depending on these circumstances, a partial analysis may be appropriate, and can build on previous experiences to identify the </w:t>
      </w:r>
      <w:r w:rsidRPr="003C15F7">
        <w:rPr>
          <w:rFonts w:ascii="Arial" w:hAnsi="Arial" w:cs="Arial"/>
          <w:i/>
          <w:sz w:val="18"/>
          <w:szCs w:val="18"/>
          <w:lang w:val="en-US"/>
        </w:rPr>
        <w:t>hazards</w:t>
      </w:r>
      <w:r w:rsidRPr="003C15F7">
        <w:rPr>
          <w:rFonts w:ascii="Arial" w:hAnsi="Arial" w:cs="Arial"/>
          <w:sz w:val="18"/>
          <w:szCs w:val="18"/>
          <w:lang w:val="en-US"/>
        </w:rPr>
        <w:t xml:space="preserve"> associated with relevant transmission pathways.</w:t>
      </w:r>
    </w:p>
    <w:p w14:paraId="64071588" w14:textId="457E1CE3" w:rsidR="0094086E" w:rsidRDefault="0094086E" w:rsidP="0094086E">
      <w:pPr>
        <w:spacing w:after="240"/>
        <w:jc w:val="both"/>
        <w:rPr>
          <w:rFonts w:ascii="Arial" w:hAnsi="Arial" w:cs="Arial"/>
          <w:sz w:val="18"/>
          <w:szCs w:val="18"/>
        </w:rPr>
      </w:pPr>
      <w:r w:rsidRPr="003C15F7">
        <w:rPr>
          <w:rFonts w:ascii="Arial" w:hAnsi="Arial" w:cs="Arial"/>
          <w:sz w:val="18"/>
          <w:szCs w:val="18"/>
        </w:rPr>
        <w:t xml:space="preserve">The three formal steps of the </w:t>
      </w:r>
      <w:r w:rsidRPr="003C15F7">
        <w:rPr>
          <w:rFonts w:ascii="Arial" w:hAnsi="Arial" w:cs="Arial"/>
          <w:i/>
          <w:sz w:val="18"/>
          <w:szCs w:val="18"/>
        </w:rPr>
        <w:t>risk analysis</w:t>
      </w:r>
      <w:r w:rsidRPr="003C15F7">
        <w:rPr>
          <w:rFonts w:ascii="Arial" w:hAnsi="Arial" w:cs="Arial"/>
          <w:sz w:val="18"/>
          <w:szCs w:val="18"/>
        </w:rPr>
        <w:t xml:space="preserve"> process to underpin </w:t>
      </w:r>
      <w:r w:rsidRPr="003C15F7">
        <w:rPr>
          <w:rFonts w:ascii="Arial" w:hAnsi="Arial" w:cs="Arial"/>
          <w:sz w:val="18"/>
          <w:szCs w:val="18"/>
          <w:u w:val="double"/>
        </w:rPr>
        <w:t>a</w:t>
      </w:r>
      <w:r w:rsidRPr="003C15F7">
        <w:rPr>
          <w:rFonts w:ascii="Arial" w:hAnsi="Arial" w:cs="Arial"/>
          <w:sz w:val="18"/>
          <w:szCs w:val="18"/>
        </w:rPr>
        <w:t xml:space="preserve"> </w:t>
      </w:r>
      <w:r w:rsidRPr="003C15F7">
        <w:rPr>
          <w:rFonts w:ascii="Arial" w:hAnsi="Arial" w:cs="Arial"/>
          <w:strike/>
          <w:sz w:val="18"/>
          <w:szCs w:val="18"/>
        </w:rPr>
        <w:t>the</w:t>
      </w:r>
      <w:r w:rsidRPr="003C15F7">
        <w:rPr>
          <w:rFonts w:ascii="Arial" w:hAnsi="Arial" w:cs="Arial"/>
          <w:sz w:val="18"/>
          <w:szCs w:val="18"/>
        </w:rPr>
        <w:t xml:space="preserve"> </w:t>
      </w:r>
      <w:r w:rsidRPr="003C15F7">
        <w:rPr>
          <w:rFonts w:ascii="Arial" w:hAnsi="Arial" w:cs="Arial"/>
          <w:i/>
          <w:sz w:val="18"/>
          <w:szCs w:val="18"/>
        </w:rPr>
        <w:t>biosecurity plan</w:t>
      </w:r>
      <w:r w:rsidRPr="003C15F7">
        <w:rPr>
          <w:rFonts w:ascii="Arial" w:hAnsi="Arial" w:cs="Arial"/>
          <w:sz w:val="18"/>
          <w:szCs w:val="18"/>
        </w:rPr>
        <w:t xml:space="preserve"> are: </w:t>
      </w:r>
    </w:p>
    <w:p w14:paraId="7ED2000F" w14:textId="79E93871" w:rsidR="0094086E" w:rsidRPr="003C15F7" w:rsidRDefault="0094086E" w:rsidP="0094086E">
      <w:pPr>
        <w:spacing w:after="240"/>
        <w:jc w:val="both"/>
        <w:rPr>
          <w:rFonts w:ascii="Arial" w:hAnsi="Arial" w:cs="Arial"/>
          <w:b/>
          <w:color w:val="000000"/>
          <w:sz w:val="18"/>
          <w:szCs w:val="18"/>
        </w:rPr>
      </w:pPr>
      <w:r w:rsidRPr="003C15F7">
        <w:rPr>
          <w:rFonts w:ascii="Arial" w:hAnsi="Arial" w:cs="Arial"/>
          <w:b/>
          <w:color w:val="000000"/>
          <w:sz w:val="18"/>
          <w:szCs w:val="18"/>
        </w:rPr>
        <w:t xml:space="preserve">Step 1 ‒ Hazard </w:t>
      </w:r>
      <w:r w:rsidRPr="003C15F7">
        <w:rPr>
          <w:rFonts w:ascii="Arial" w:hAnsi="Arial" w:cs="Arial"/>
          <w:b/>
          <w:strike/>
          <w:color w:val="000000"/>
          <w:sz w:val="18"/>
          <w:szCs w:val="18"/>
        </w:rPr>
        <w:t>I</w:t>
      </w:r>
      <w:r w:rsidRPr="003C15F7">
        <w:rPr>
          <w:rFonts w:ascii="Arial" w:hAnsi="Arial" w:cs="Arial"/>
          <w:b/>
          <w:color w:val="000000"/>
          <w:sz w:val="18"/>
          <w:szCs w:val="18"/>
        </w:rPr>
        <w:t>identification</w:t>
      </w:r>
    </w:p>
    <w:p w14:paraId="595930BD" w14:textId="77777777" w:rsidR="0094086E" w:rsidRPr="003C15F7" w:rsidRDefault="0094086E" w:rsidP="0094086E">
      <w:pPr>
        <w:shd w:val="clear" w:color="auto" w:fill="FFFFFF"/>
        <w:spacing w:after="240"/>
        <w:jc w:val="both"/>
        <w:rPr>
          <w:rFonts w:ascii="Arial" w:hAnsi="Arial" w:cs="Arial"/>
          <w:sz w:val="18"/>
          <w:szCs w:val="18"/>
          <w:u w:val="single"/>
          <w:lang w:val="en-US"/>
        </w:rPr>
      </w:pPr>
      <w:r w:rsidRPr="003C15F7">
        <w:rPr>
          <w:rFonts w:ascii="Arial" w:hAnsi="Arial" w:cs="Arial"/>
          <w:i/>
          <w:sz w:val="18"/>
          <w:szCs w:val="18"/>
        </w:rPr>
        <w:t xml:space="preserve">Hazard </w:t>
      </w:r>
      <w:r w:rsidRPr="003C15F7">
        <w:rPr>
          <w:rFonts w:ascii="Arial" w:hAnsi="Arial" w:cs="Arial"/>
          <w:sz w:val="18"/>
          <w:szCs w:val="18"/>
        </w:rPr>
        <w:t xml:space="preserve">identification determines which </w:t>
      </w:r>
      <w:r w:rsidRPr="003C15F7">
        <w:rPr>
          <w:rFonts w:ascii="Arial" w:hAnsi="Arial" w:cs="Arial"/>
          <w:i/>
          <w:sz w:val="18"/>
          <w:szCs w:val="18"/>
        </w:rPr>
        <w:t>pathogenic agents</w:t>
      </w:r>
      <w:r w:rsidRPr="003C15F7">
        <w:rPr>
          <w:rFonts w:ascii="Arial" w:hAnsi="Arial" w:cs="Arial"/>
          <w:sz w:val="18"/>
          <w:szCs w:val="18"/>
        </w:rPr>
        <w:t xml:space="preserve"> should be the subject of the </w:t>
      </w:r>
      <w:r w:rsidRPr="003C15F7">
        <w:rPr>
          <w:rFonts w:ascii="Arial" w:hAnsi="Arial" w:cs="Arial"/>
          <w:i/>
          <w:sz w:val="18"/>
          <w:szCs w:val="18"/>
        </w:rPr>
        <w:t>risk assessment</w:t>
      </w:r>
      <w:r w:rsidRPr="003C15F7">
        <w:rPr>
          <w:rFonts w:ascii="Arial" w:hAnsi="Arial" w:cs="Arial"/>
          <w:sz w:val="18"/>
          <w:szCs w:val="18"/>
        </w:rPr>
        <w:t xml:space="preserve">. </w:t>
      </w:r>
      <w:r w:rsidRPr="003C15F7">
        <w:rPr>
          <w:rFonts w:ascii="Arial" w:hAnsi="Arial" w:cs="Arial"/>
          <w:sz w:val="18"/>
          <w:szCs w:val="18"/>
          <w:u w:val="double"/>
        </w:rPr>
        <w:t xml:space="preserve">A </w:t>
      </w:r>
      <w:r w:rsidRPr="003C15F7">
        <w:rPr>
          <w:rFonts w:ascii="Arial" w:hAnsi="Arial" w:cs="Arial"/>
          <w:i/>
          <w:sz w:val="18"/>
          <w:szCs w:val="18"/>
          <w:u w:val="double"/>
        </w:rPr>
        <w:t>hazard</w:t>
      </w:r>
      <w:r w:rsidRPr="003C15F7">
        <w:rPr>
          <w:rFonts w:ascii="Arial" w:hAnsi="Arial" w:cs="Arial"/>
          <w:sz w:val="18"/>
          <w:szCs w:val="18"/>
          <w:u w:val="double"/>
        </w:rPr>
        <w:t xml:space="preserve"> may include a specific </w:t>
      </w:r>
      <w:r w:rsidRPr="003C15F7">
        <w:rPr>
          <w:rFonts w:ascii="Arial" w:hAnsi="Arial" w:cs="Arial"/>
          <w:i/>
          <w:sz w:val="18"/>
          <w:szCs w:val="18"/>
          <w:u w:val="double"/>
        </w:rPr>
        <w:t>pathogenic agent</w:t>
      </w:r>
      <w:r w:rsidRPr="003C15F7">
        <w:rPr>
          <w:rFonts w:ascii="Arial" w:hAnsi="Arial" w:cs="Arial"/>
          <w:sz w:val="18"/>
          <w:szCs w:val="18"/>
          <w:u w:val="double"/>
        </w:rPr>
        <w:t xml:space="preserve"> or be defined in more general terms as a group of </w:t>
      </w:r>
      <w:r w:rsidRPr="003C15F7">
        <w:rPr>
          <w:rFonts w:ascii="Arial" w:hAnsi="Arial" w:cs="Arial"/>
          <w:i/>
          <w:sz w:val="18"/>
          <w:szCs w:val="18"/>
          <w:u w:val="double"/>
        </w:rPr>
        <w:t xml:space="preserve">pathogenic agents. </w:t>
      </w:r>
      <w:r w:rsidRPr="003C15F7">
        <w:rPr>
          <w:rFonts w:ascii="Arial" w:hAnsi="Arial" w:cs="Arial"/>
          <w:sz w:val="18"/>
          <w:szCs w:val="18"/>
        </w:rPr>
        <w:t xml:space="preserve">This step includes identifying and collecting relevant information on the </w:t>
      </w:r>
      <w:r w:rsidRPr="003C15F7">
        <w:rPr>
          <w:rFonts w:ascii="Arial" w:hAnsi="Arial" w:cs="Arial"/>
          <w:i/>
          <w:sz w:val="18"/>
          <w:szCs w:val="18"/>
        </w:rPr>
        <w:t>pathogenic agents</w:t>
      </w:r>
      <w:r w:rsidRPr="003C15F7">
        <w:rPr>
          <w:rFonts w:ascii="Arial" w:hAnsi="Arial" w:cs="Arial"/>
          <w:sz w:val="18"/>
          <w:szCs w:val="18"/>
        </w:rPr>
        <w:t xml:space="preserve"> that have </w:t>
      </w:r>
      <w:r w:rsidRPr="003C15F7">
        <w:rPr>
          <w:rFonts w:ascii="Arial" w:hAnsi="Arial" w:cs="Arial"/>
          <w:strike/>
          <w:sz w:val="18"/>
          <w:szCs w:val="18"/>
        </w:rPr>
        <w:t>a</w:t>
      </w:r>
      <w:r w:rsidRPr="003C15F7">
        <w:rPr>
          <w:rFonts w:ascii="Arial" w:hAnsi="Arial" w:cs="Arial"/>
          <w:sz w:val="18"/>
          <w:szCs w:val="18"/>
        </w:rPr>
        <w:t xml:space="preserve"> potential to cause </w:t>
      </w:r>
      <w:r w:rsidRPr="003C15F7">
        <w:rPr>
          <w:rFonts w:ascii="Arial" w:hAnsi="Arial" w:cs="Arial"/>
          <w:i/>
          <w:sz w:val="18"/>
          <w:szCs w:val="18"/>
        </w:rPr>
        <w:t>diseases</w:t>
      </w:r>
      <w:r w:rsidRPr="003C15F7">
        <w:rPr>
          <w:rFonts w:ascii="Arial" w:hAnsi="Arial" w:cs="Arial"/>
          <w:sz w:val="18"/>
          <w:szCs w:val="18"/>
        </w:rPr>
        <w:t xml:space="preserve"> in</w:t>
      </w:r>
      <w:r w:rsidRPr="003C15F7">
        <w:rPr>
          <w:rFonts w:ascii="Arial" w:eastAsia="SimSun" w:hAnsi="Arial" w:cs="Arial"/>
          <w:sz w:val="18"/>
          <w:szCs w:val="18"/>
          <w:lang w:eastAsia="zh-CN"/>
        </w:rPr>
        <w:t xml:space="preserve"> </w:t>
      </w:r>
      <w:r w:rsidRPr="003C15F7">
        <w:rPr>
          <w:rFonts w:ascii="Arial" w:hAnsi="Arial" w:cs="Arial"/>
          <w:i/>
          <w:sz w:val="18"/>
          <w:szCs w:val="18"/>
        </w:rPr>
        <w:t>aquatic animal</w:t>
      </w:r>
      <w:r w:rsidRPr="003C15F7">
        <w:rPr>
          <w:rFonts w:ascii="Arial" w:hAnsi="Arial" w:cs="Arial"/>
          <w:sz w:val="18"/>
          <w:szCs w:val="18"/>
        </w:rPr>
        <w:t xml:space="preserve"> populations within an </w:t>
      </w:r>
      <w:r w:rsidRPr="003C15F7">
        <w:rPr>
          <w:rFonts w:ascii="Arial" w:hAnsi="Arial" w:cs="Arial"/>
          <w:i/>
          <w:sz w:val="18"/>
          <w:szCs w:val="18"/>
        </w:rPr>
        <w:t>aquaculture establishment</w:t>
      </w:r>
      <w:r w:rsidRPr="003C15F7">
        <w:rPr>
          <w:rFonts w:ascii="Arial" w:hAnsi="Arial" w:cs="Arial"/>
          <w:sz w:val="18"/>
          <w:szCs w:val="18"/>
        </w:rPr>
        <w:t xml:space="preserve">. This process must consider the </w:t>
      </w:r>
      <w:r w:rsidRPr="003C15F7">
        <w:rPr>
          <w:rFonts w:ascii="Arial" w:hAnsi="Arial" w:cs="Arial"/>
          <w:i/>
          <w:sz w:val="18"/>
          <w:szCs w:val="18"/>
        </w:rPr>
        <w:t>aquatic animal health</w:t>
      </w:r>
      <w:r w:rsidRPr="003C15F7">
        <w:rPr>
          <w:rFonts w:ascii="Arial" w:eastAsia="SimSun" w:hAnsi="Arial" w:cs="Arial"/>
          <w:i/>
          <w:sz w:val="18"/>
          <w:szCs w:val="18"/>
          <w:lang w:eastAsia="zh-CN"/>
        </w:rPr>
        <w:t xml:space="preserve"> </w:t>
      </w:r>
      <w:r w:rsidRPr="003C15F7">
        <w:rPr>
          <w:rFonts w:ascii="Arial" w:hAnsi="Arial" w:cs="Arial"/>
          <w:i/>
          <w:sz w:val="18"/>
          <w:szCs w:val="18"/>
        </w:rPr>
        <w:t>status</w:t>
      </w:r>
      <w:r w:rsidRPr="003C15F7">
        <w:rPr>
          <w:rFonts w:ascii="Arial" w:hAnsi="Arial" w:cs="Arial"/>
          <w:sz w:val="18"/>
          <w:szCs w:val="18"/>
        </w:rPr>
        <w:t xml:space="preserve"> of the establishment and, for semi-open and semi-closed </w:t>
      </w:r>
      <w:r w:rsidRPr="003C15F7">
        <w:rPr>
          <w:rFonts w:ascii="Arial" w:hAnsi="Arial" w:cs="Arial"/>
          <w:i/>
          <w:sz w:val="18"/>
          <w:szCs w:val="18"/>
        </w:rPr>
        <w:t>aquaculture</w:t>
      </w:r>
      <w:r w:rsidRPr="003C15F7">
        <w:rPr>
          <w:rFonts w:ascii="Arial" w:hAnsi="Arial" w:cs="Arial"/>
          <w:sz w:val="18"/>
          <w:szCs w:val="18"/>
        </w:rPr>
        <w:t xml:space="preserve"> production systems, the </w:t>
      </w:r>
      <w:r w:rsidRPr="003C15F7">
        <w:rPr>
          <w:rFonts w:ascii="Arial" w:hAnsi="Arial" w:cs="Arial"/>
          <w:i/>
          <w:sz w:val="18"/>
          <w:szCs w:val="18"/>
        </w:rPr>
        <w:t>aquatic animal health</w:t>
      </w:r>
      <w:r w:rsidRPr="003C15F7">
        <w:rPr>
          <w:rFonts w:ascii="Arial" w:eastAsia="SimSun" w:hAnsi="Arial" w:cs="Arial"/>
          <w:i/>
          <w:sz w:val="18"/>
          <w:szCs w:val="18"/>
          <w:lang w:eastAsia="zh-CN"/>
        </w:rPr>
        <w:t xml:space="preserve"> </w:t>
      </w:r>
      <w:r w:rsidRPr="003C15F7">
        <w:rPr>
          <w:rFonts w:ascii="Arial" w:hAnsi="Arial" w:cs="Arial"/>
          <w:i/>
          <w:sz w:val="18"/>
          <w:szCs w:val="18"/>
        </w:rPr>
        <w:t>status</w:t>
      </w:r>
      <w:r w:rsidRPr="003C15F7">
        <w:rPr>
          <w:rFonts w:ascii="Arial" w:hAnsi="Arial" w:cs="Arial"/>
          <w:sz w:val="18"/>
          <w:szCs w:val="18"/>
        </w:rPr>
        <w:t xml:space="preserve"> of the epidemiologically linked environments. </w:t>
      </w:r>
      <w:r w:rsidRPr="003C15F7">
        <w:rPr>
          <w:rFonts w:ascii="Arial" w:hAnsi="Arial" w:cs="Arial"/>
          <w:strike/>
          <w:sz w:val="18"/>
          <w:szCs w:val="18"/>
          <w:highlight w:val="yellow"/>
        </w:rPr>
        <w:t xml:space="preserve">The following step is to identify both known and </w:t>
      </w:r>
      <w:r w:rsidRPr="003C15F7">
        <w:rPr>
          <w:rFonts w:ascii="Arial" w:hAnsi="Arial" w:cs="Arial"/>
          <w:i/>
          <w:strike/>
          <w:sz w:val="18"/>
          <w:szCs w:val="18"/>
          <w:highlight w:val="yellow"/>
        </w:rPr>
        <w:t>emerging diseases</w:t>
      </w:r>
      <w:r w:rsidRPr="003C15F7">
        <w:rPr>
          <w:rFonts w:ascii="Arial" w:hAnsi="Arial" w:cs="Arial"/>
          <w:strike/>
          <w:sz w:val="18"/>
          <w:szCs w:val="18"/>
          <w:highlight w:val="yellow"/>
        </w:rPr>
        <w:t xml:space="preserve">, not present in the </w:t>
      </w:r>
      <w:r w:rsidRPr="003C15F7">
        <w:rPr>
          <w:rFonts w:ascii="Arial" w:hAnsi="Arial" w:cs="Arial"/>
          <w:i/>
          <w:strike/>
          <w:sz w:val="18"/>
          <w:szCs w:val="18"/>
          <w:highlight w:val="yellow"/>
        </w:rPr>
        <w:t xml:space="preserve">aquaculture </w:t>
      </w:r>
      <w:r w:rsidRPr="003C15F7">
        <w:rPr>
          <w:rFonts w:ascii="Arial" w:hAnsi="Arial" w:cs="Arial"/>
          <w:i/>
          <w:strike/>
          <w:sz w:val="18"/>
          <w:szCs w:val="18"/>
          <w:highlight w:val="yellow"/>
          <w:lang w:val="en-AU"/>
        </w:rPr>
        <w:t>establishment</w:t>
      </w:r>
      <w:r w:rsidRPr="003C15F7">
        <w:rPr>
          <w:rFonts w:ascii="Arial" w:hAnsi="Arial" w:cs="Arial"/>
          <w:strike/>
          <w:sz w:val="18"/>
          <w:szCs w:val="18"/>
          <w:highlight w:val="yellow"/>
        </w:rPr>
        <w:t xml:space="preserve">, which may negatively impact the farmed population. </w:t>
      </w:r>
      <w:r w:rsidRPr="003C15F7">
        <w:rPr>
          <w:rFonts w:ascii="Arial" w:hAnsi="Arial" w:cs="Arial"/>
          <w:sz w:val="18"/>
          <w:szCs w:val="18"/>
          <w:highlight w:val="yellow"/>
          <w:u w:val="double"/>
        </w:rPr>
        <w:t xml:space="preserve">Known and </w:t>
      </w:r>
      <w:r w:rsidRPr="003C15F7">
        <w:rPr>
          <w:rFonts w:ascii="Arial" w:hAnsi="Arial" w:cs="Arial"/>
          <w:i/>
          <w:iCs/>
          <w:sz w:val="18"/>
          <w:szCs w:val="18"/>
          <w:highlight w:val="yellow"/>
          <w:u w:val="double"/>
        </w:rPr>
        <w:t>emerging</w:t>
      </w:r>
      <w:r w:rsidRPr="003C15F7">
        <w:rPr>
          <w:rFonts w:ascii="Arial" w:hAnsi="Arial" w:cs="Arial"/>
          <w:sz w:val="18"/>
          <w:szCs w:val="18"/>
          <w:highlight w:val="yellow"/>
          <w:u w:val="double"/>
        </w:rPr>
        <w:t xml:space="preserve"> </w:t>
      </w:r>
      <w:r w:rsidRPr="003C15F7">
        <w:rPr>
          <w:rFonts w:ascii="Arial" w:hAnsi="Arial" w:cs="Arial"/>
          <w:i/>
          <w:iCs/>
          <w:sz w:val="18"/>
          <w:szCs w:val="18"/>
          <w:highlight w:val="yellow"/>
          <w:u w:val="double"/>
        </w:rPr>
        <w:t>diseases</w:t>
      </w:r>
      <w:r w:rsidRPr="003C15F7">
        <w:rPr>
          <w:rFonts w:ascii="Arial" w:hAnsi="Arial" w:cs="Arial"/>
          <w:sz w:val="18"/>
          <w:szCs w:val="18"/>
          <w:highlight w:val="yellow"/>
          <w:u w:val="double"/>
        </w:rPr>
        <w:t xml:space="preserve"> which could negatively impact the farmed population should be identified, regardless of whether they are present in the </w:t>
      </w:r>
      <w:r w:rsidRPr="003C15F7">
        <w:rPr>
          <w:rFonts w:ascii="Arial" w:hAnsi="Arial" w:cs="Arial"/>
          <w:i/>
          <w:iCs/>
          <w:sz w:val="18"/>
          <w:szCs w:val="18"/>
          <w:highlight w:val="yellow"/>
          <w:u w:val="double"/>
        </w:rPr>
        <w:t>aquaculture establishment</w:t>
      </w:r>
      <w:r w:rsidRPr="003C15F7">
        <w:rPr>
          <w:rFonts w:ascii="Arial" w:hAnsi="Arial" w:cs="Arial"/>
          <w:sz w:val="18"/>
          <w:szCs w:val="18"/>
          <w:highlight w:val="yellow"/>
          <w:u w:val="double"/>
        </w:rPr>
        <w:t>.</w:t>
      </w:r>
    </w:p>
    <w:p w14:paraId="4F54C0B6" w14:textId="77777777" w:rsidR="00BC2523" w:rsidRDefault="00BC2523" w:rsidP="00BC2523">
      <w:pPr>
        <w:spacing w:after="480" w:line="240" w:lineRule="auto"/>
        <w:ind w:left="425" w:hanging="425"/>
        <w:jc w:val="right"/>
        <w:rPr>
          <w:szCs w:val="20"/>
        </w:rPr>
      </w:pPr>
      <w:r w:rsidRPr="008270D6">
        <w:rPr>
          <w:szCs w:val="20"/>
          <w:u w:val="single"/>
        </w:rPr>
        <w:lastRenderedPageBreak/>
        <w:t>Annex 2</w:t>
      </w:r>
      <w:r w:rsidRPr="008270D6">
        <w:rPr>
          <w:szCs w:val="20"/>
        </w:rPr>
        <w:t xml:space="preserve"> (contd)</w:t>
      </w:r>
    </w:p>
    <w:p w14:paraId="4DAFB513" w14:textId="77777777" w:rsidR="0094086E" w:rsidRPr="003C15F7" w:rsidRDefault="0094086E" w:rsidP="0094086E">
      <w:pPr>
        <w:spacing w:after="240"/>
        <w:jc w:val="both"/>
        <w:rPr>
          <w:rFonts w:ascii="Arial" w:hAnsi="Arial" w:cs="Arial"/>
          <w:i/>
          <w:sz w:val="18"/>
          <w:szCs w:val="18"/>
        </w:rPr>
      </w:pPr>
      <w:r w:rsidRPr="003C15F7">
        <w:rPr>
          <w:rFonts w:ascii="Arial" w:hAnsi="Arial" w:cs="Arial"/>
          <w:sz w:val="18"/>
          <w:szCs w:val="18"/>
        </w:rPr>
        <w:t xml:space="preserve">To complete the next steps of the </w:t>
      </w:r>
      <w:r w:rsidRPr="003C15F7">
        <w:rPr>
          <w:rFonts w:ascii="Arial" w:hAnsi="Arial" w:cs="Arial"/>
          <w:i/>
          <w:sz w:val="18"/>
          <w:szCs w:val="18"/>
        </w:rPr>
        <w:t>risk assessment</w:t>
      </w:r>
      <w:r w:rsidRPr="003C15F7">
        <w:rPr>
          <w:rFonts w:ascii="Arial" w:hAnsi="Arial" w:cs="Arial"/>
          <w:sz w:val="18"/>
          <w:szCs w:val="18"/>
        </w:rPr>
        <w:t xml:space="preserve">, </w:t>
      </w:r>
      <w:r w:rsidRPr="003C15F7">
        <w:rPr>
          <w:rFonts w:ascii="Arial" w:hAnsi="Arial" w:cs="Arial"/>
          <w:strike/>
          <w:sz w:val="18"/>
          <w:szCs w:val="18"/>
        </w:rPr>
        <w:t>required</w:t>
      </w:r>
      <w:r w:rsidRPr="003C15F7">
        <w:rPr>
          <w:rFonts w:ascii="Arial" w:hAnsi="Arial" w:cs="Arial"/>
          <w:sz w:val="18"/>
          <w:szCs w:val="18"/>
        </w:rPr>
        <w:t xml:space="preserve"> information on the identified </w:t>
      </w:r>
      <w:r w:rsidRPr="003C15F7">
        <w:rPr>
          <w:rFonts w:ascii="Arial" w:hAnsi="Arial" w:cs="Arial"/>
          <w:i/>
          <w:sz w:val="18"/>
          <w:szCs w:val="18"/>
        </w:rPr>
        <w:t>hazards</w:t>
      </w:r>
      <w:r w:rsidRPr="003C15F7">
        <w:rPr>
          <w:rFonts w:ascii="Arial" w:hAnsi="Arial" w:cs="Arial"/>
          <w:sz w:val="18"/>
          <w:szCs w:val="18"/>
        </w:rPr>
        <w:t xml:space="preserve"> is </w:t>
      </w:r>
      <w:r w:rsidRPr="003C15F7">
        <w:rPr>
          <w:rFonts w:ascii="Arial" w:hAnsi="Arial" w:cs="Arial"/>
          <w:sz w:val="18"/>
          <w:szCs w:val="18"/>
          <w:u w:val="double"/>
        </w:rPr>
        <w:t>required</w:t>
      </w:r>
      <w:r w:rsidRPr="003C15F7">
        <w:rPr>
          <w:rFonts w:ascii="Arial" w:hAnsi="Arial" w:cs="Arial"/>
          <w:sz w:val="18"/>
          <w:szCs w:val="18"/>
        </w:rPr>
        <w:t xml:space="preserve"> </w:t>
      </w:r>
      <w:r w:rsidRPr="003C15F7">
        <w:rPr>
          <w:rFonts w:ascii="Arial" w:hAnsi="Arial" w:cs="Arial"/>
          <w:strike/>
          <w:sz w:val="18"/>
          <w:szCs w:val="18"/>
        </w:rPr>
        <w:t>needed</w:t>
      </w:r>
      <w:r w:rsidRPr="003C15F7">
        <w:rPr>
          <w:rFonts w:ascii="Arial" w:hAnsi="Arial" w:cs="Arial"/>
          <w:sz w:val="18"/>
          <w:szCs w:val="18"/>
        </w:rPr>
        <w:t xml:space="preserve"> and includes: i) the frequency of occurrence, ii) </w:t>
      </w:r>
      <w:r w:rsidRPr="003C15F7">
        <w:rPr>
          <w:rFonts w:ascii="Arial" w:eastAsia="SimSun" w:hAnsi="Arial" w:cs="Arial"/>
          <w:sz w:val="18"/>
          <w:szCs w:val="18"/>
          <w:lang w:eastAsia="zh-CN"/>
        </w:rPr>
        <w:t xml:space="preserve">the </w:t>
      </w:r>
      <w:r w:rsidRPr="003C15F7">
        <w:rPr>
          <w:rFonts w:ascii="Arial" w:hAnsi="Arial" w:cs="Arial"/>
          <w:sz w:val="18"/>
          <w:szCs w:val="18"/>
        </w:rPr>
        <w:t xml:space="preserve">biophysical characteristics, iii) </w:t>
      </w:r>
      <w:r w:rsidRPr="003C15F7">
        <w:rPr>
          <w:rFonts w:ascii="Arial" w:eastAsia="SimSun" w:hAnsi="Arial" w:cs="Arial"/>
          <w:sz w:val="18"/>
          <w:szCs w:val="18"/>
          <w:lang w:eastAsia="zh-CN"/>
        </w:rPr>
        <w:t xml:space="preserve">the </w:t>
      </w:r>
      <w:r w:rsidRPr="003C15F7">
        <w:rPr>
          <w:rFonts w:ascii="Arial" w:hAnsi="Arial" w:cs="Arial"/>
          <w:sz w:val="18"/>
          <w:szCs w:val="18"/>
        </w:rPr>
        <w:t xml:space="preserve">likelihood of detection if present and iv) </w:t>
      </w:r>
      <w:r w:rsidRPr="003C15F7">
        <w:rPr>
          <w:rFonts w:ascii="Arial" w:eastAsia="SimSun" w:hAnsi="Arial" w:cs="Arial"/>
          <w:sz w:val="18"/>
          <w:szCs w:val="18"/>
          <w:lang w:eastAsia="zh-CN"/>
        </w:rPr>
        <w:t xml:space="preserve">the </w:t>
      </w:r>
      <w:r w:rsidRPr="003C15F7">
        <w:rPr>
          <w:rFonts w:ascii="Arial" w:hAnsi="Arial" w:cs="Arial"/>
          <w:sz w:val="18"/>
          <w:szCs w:val="18"/>
        </w:rPr>
        <w:t xml:space="preserve">possible transmission pathways </w:t>
      </w:r>
      <w:r w:rsidRPr="003C15F7">
        <w:rPr>
          <w:rFonts w:ascii="Arial" w:hAnsi="Arial" w:cs="Arial"/>
          <w:sz w:val="18"/>
          <w:szCs w:val="18"/>
          <w:u w:val="double"/>
        </w:rPr>
        <w:t>(described in Article 4.X.6.)</w:t>
      </w:r>
      <w:r w:rsidRPr="003C15F7">
        <w:rPr>
          <w:rFonts w:ascii="Arial" w:hAnsi="Arial" w:cs="Arial"/>
          <w:sz w:val="18"/>
          <w:szCs w:val="18"/>
        </w:rPr>
        <w:t xml:space="preserve">. </w:t>
      </w:r>
      <w:r w:rsidRPr="003C15F7">
        <w:rPr>
          <w:rFonts w:ascii="Arial" w:hAnsi="Arial" w:cs="Arial"/>
          <w:sz w:val="18"/>
          <w:szCs w:val="18"/>
          <w:u w:val="double"/>
        </w:rPr>
        <w:t xml:space="preserve">Many of the </w:t>
      </w:r>
      <w:r w:rsidRPr="003C15F7">
        <w:rPr>
          <w:rFonts w:ascii="Arial" w:hAnsi="Arial" w:cs="Arial"/>
          <w:i/>
          <w:iCs/>
          <w:sz w:val="18"/>
          <w:szCs w:val="18"/>
          <w:u w:val="double"/>
        </w:rPr>
        <w:t>hazards</w:t>
      </w:r>
      <w:r w:rsidRPr="003C15F7">
        <w:rPr>
          <w:rFonts w:ascii="Arial" w:hAnsi="Arial" w:cs="Arial"/>
          <w:sz w:val="18"/>
          <w:szCs w:val="18"/>
          <w:u w:val="double"/>
        </w:rPr>
        <w:t xml:space="preserve"> will share the same pathways.</w:t>
      </w:r>
      <w:r w:rsidRPr="003C15F7">
        <w:rPr>
          <w:rFonts w:ascii="Arial" w:hAnsi="Arial" w:cs="Arial"/>
          <w:sz w:val="18"/>
          <w:szCs w:val="18"/>
        </w:rPr>
        <w:t xml:space="preserve"> </w:t>
      </w:r>
      <w:r w:rsidRPr="003C15F7">
        <w:rPr>
          <w:rFonts w:ascii="Arial" w:hAnsi="Arial" w:cs="Arial"/>
          <w:strike/>
          <w:sz w:val="18"/>
          <w:szCs w:val="18"/>
        </w:rPr>
        <w:t xml:space="preserve">A </w:t>
      </w:r>
      <w:r w:rsidRPr="003C15F7">
        <w:rPr>
          <w:rFonts w:ascii="Arial" w:hAnsi="Arial" w:cs="Arial"/>
          <w:i/>
          <w:strike/>
          <w:sz w:val="18"/>
          <w:szCs w:val="18"/>
        </w:rPr>
        <w:t>hazard</w:t>
      </w:r>
      <w:r w:rsidRPr="003C15F7">
        <w:rPr>
          <w:rFonts w:ascii="Arial" w:hAnsi="Arial" w:cs="Arial"/>
          <w:strike/>
          <w:sz w:val="18"/>
          <w:szCs w:val="18"/>
        </w:rPr>
        <w:t xml:space="preserve"> may include a specific </w:t>
      </w:r>
      <w:r w:rsidRPr="003C15F7">
        <w:rPr>
          <w:rFonts w:ascii="Arial" w:hAnsi="Arial" w:cs="Arial"/>
          <w:i/>
          <w:strike/>
          <w:sz w:val="18"/>
          <w:szCs w:val="18"/>
        </w:rPr>
        <w:t>pathogenic agent</w:t>
      </w:r>
      <w:r w:rsidRPr="003C15F7">
        <w:rPr>
          <w:rFonts w:ascii="Arial" w:hAnsi="Arial" w:cs="Arial"/>
          <w:strike/>
          <w:sz w:val="18"/>
          <w:szCs w:val="18"/>
        </w:rPr>
        <w:t xml:space="preserve"> or be defined in more general terms as a group of </w:t>
      </w:r>
      <w:r w:rsidRPr="003C15F7">
        <w:rPr>
          <w:rFonts w:ascii="Arial" w:hAnsi="Arial" w:cs="Arial"/>
          <w:i/>
          <w:strike/>
          <w:sz w:val="18"/>
          <w:szCs w:val="18"/>
        </w:rPr>
        <w:t>pathogenic agents.</w:t>
      </w:r>
    </w:p>
    <w:p w14:paraId="44260C9C" w14:textId="77777777" w:rsidR="0094086E" w:rsidRPr="003C15F7" w:rsidRDefault="0094086E" w:rsidP="0094086E">
      <w:pPr>
        <w:spacing w:after="240"/>
        <w:jc w:val="both"/>
        <w:rPr>
          <w:rFonts w:ascii="Arial" w:hAnsi="Arial" w:cs="Arial"/>
          <w:b/>
          <w:color w:val="000000"/>
          <w:sz w:val="18"/>
          <w:szCs w:val="18"/>
        </w:rPr>
      </w:pPr>
      <w:r w:rsidRPr="003C15F7">
        <w:rPr>
          <w:rFonts w:ascii="Arial" w:hAnsi="Arial" w:cs="Arial"/>
          <w:b/>
          <w:color w:val="000000"/>
          <w:sz w:val="18"/>
          <w:szCs w:val="18"/>
        </w:rPr>
        <w:t xml:space="preserve">Step 2 – Risk </w:t>
      </w:r>
      <w:r w:rsidRPr="003C15F7">
        <w:rPr>
          <w:rFonts w:ascii="Arial" w:hAnsi="Arial" w:cs="Arial"/>
          <w:b/>
          <w:strike/>
          <w:color w:val="000000"/>
          <w:sz w:val="18"/>
          <w:szCs w:val="18"/>
          <w:u w:val="double"/>
        </w:rPr>
        <w:t>A</w:t>
      </w:r>
      <w:r w:rsidRPr="003C15F7">
        <w:rPr>
          <w:rFonts w:ascii="Arial" w:hAnsi="Arial" w:cs="Arial"/>
          <w:b/>
          <w:color w:val="000000"/>
          <w:sz w:val="18"/>
          <w:szCs w:val="18"/>
          <w:u w:val="double"/>
        </w:rPr>
        <w:t>assessment</w:t>
      </w:r>
    </w:p>
    <w:p w14:paraId="02BE843C" w14:textId="77777777" w:rsidR="0094086E" w:rsidRPr="003C15F7" w:rsidRDefault="0094086E" w:rsidP="0094086E">
      <w:pPr>
        <w:spacing w:after="240"/>
        <w:jc w:val="both"/>
        <w:rPr>
          <w:rFonts w:ascii="Arial" w:hAnsi="Arial" w:cs="Arial"/>
          <w:sz w:val="18"/>
          <w:szCs w:val="18"/>
        </w:rPr>
      </w:pPr>
      <w:r w:rsidRPr="003C15F7">
        <w:rPr>
          <w:rFonts w:ascii="Arial" w:hAnsi="Arial" w:cs="Arial"/>
          <w:sz w:val="18"/>
          <w:szCs w:val="18"/>
        </w:rPr>
        <w:t xml:space="preserve">A </w:t>
      </w:r>
      <w:r w:rsidRPr="003C15F7">
        <w:rPr>
          <w:rFonts w:ascii="Arial" w:hAnsi="Arial" w:cs="Arial"/>
          <w:i/>
          <w:sz w:val="18"/>
          <w:szCs w:val="18"/>
        </w:rPr>
        <w:t>risk assessment</w:t>
      </w:r>
      <w:r w:rsidRPr="003C15F7">
        <w:rPr>
          <w:rFonts w:ascii="Arial" w:hAnsi="Arial" w:cs="Arial"/>
          <w:sz w:val="18"/>
          <w:szCs w:val="18"/>
        </w:rPr>
        <w:t xml:space="preserve"> can be initiated once it has been identified that a </w:t>
      </w:r>
      <w:r w:rsidRPr="003C15F7">
        <w:rPr>
          <w:rFonts w:ascii="Arial" w:hAnsi="Arial" w:cs="Arial"/>
          <w:strike/>
          <w:sz w:val="18"/>
          <w:szCs w:val="18"/>
        </w:rPr>
        <w:t>biological</w:t>
      </w:r>
      <w:r w:rsidRPr="003C15F7">
        <w:rPr>
          <w:rFonts w:ascii="Arial" w:hAnsi="Arial" w:cs="Arial"/>
          <w:sz w:val="18"/>
          <w:szCs w:val="18"/>
        </w:rPr>
        <w:t xml:space="preserve"> </w:t>
      </w:r>
      <w:r w:rsidRPr="003C15F7">
        <w:rPr>
          <w:rFonts w:ascii="Arial" w:hAnsi="Arial" w:cs="Arial"/>
          <w:i/>
          <w:sz w:val="18"/>
          <w:szCs w:val="18"/>
        </w:rPr>
        <w:t>hazard</w:t>
      </w:r>
      <w:r w:rsidRPr="003C15F7">
        <w:rPr>
          <w:rFonts w:ascii="Arial" w:hAnsi="Arial" w:cs="Arial"/>
          <w:sz w:val="18"/>
          <w:szCs w:val="18"/>
        </w:rPr>
        <w:t xml:space="preserve"> exists, </w:t>
      </w:r>
      <w:r w:rsidRPr="003C15F7">
        <w:rPr>
          <w:rFonts w:ascii="Arial" w:hAnsi="Arial" w:cs="Arial"/>
          <w:sz w:val="18"/>
          <w:szCs w:val="18"/>
          <w:u w:val="double"/>
        </w:rPr>
        <w:t>and the required information listed under step 1 has been gathered</w:t>
      </w:r>
      <w:r w:rsidRPr="003C15F7">
        <w:rPr>
          <w:rFonts w:ascii="Arial" w:hAnsi="Arial" w:cs="Arial"/>
          <w:sz w:val="18"/>
          <w:szCs w:val="18"/>
        </w:rPr>
        <w:t xml:space="preserve">. The aim of the </w:t>
      </w:r>
      <w:r w:rsidRPr="003C15F7">
        <w:rPr>
          <w:rFonts w:ascii="Arial" w:hAnsi="Arial" w:cs="Arial"/>
          <w:i/>
          <w:sz w:val="18"/>
          <w:szCs w:val="18"/>
        </w:rPr>
        <w:t>risk assessment</w:t>
      </w:r>
      <w:r w:rsidRPr="003C15F7">
        <w:rPr>
          <w:rFonts w:ascii="Arial" w:hAnsi="Arial" w:cs="Arial"/>
          <w:sz w:val="18"/>
          <w:szCs w:val="18"/>
        </w:rPr>
        <w:t xml:space="preserve"> is to establish a </w:t>
      </w:r>
      <w:r w:rsidRPr="003C15F7">
        <w:rPr>
          <w:rFonts w:ascii="Arial" w:hAnsi="Arial" w:cs="Arial"/>
          <w:i/>
          <w:sz w:val="18"/>
          <w:szCs w:val="18"/>
        </w:rPr>
        <w:t>risk</w:t>
      </w:r>
      <w:r w:rsidRPr="003C15F7">
        <w:rPr>
          <w:rFonts w:ascii="Arial" w:hAnsi="Arial" w:cs="Arial"/>
          <w:sz w:val="18"/>
          <w:szCs w:val="18"/>
        </w:rPr>
        <w:t xml:space="preserve"> estimate, which is the product of the likelihood and consequences of </w:t>
      </w:r>
      <w:r w:rsidRPr="003C15F7">
        <w:rPr>
          <w:rFonts w:ascii="Arial" w:hAnsi="Arial" w:cs="Arial"/>
          <w:sz w:val="18"/>
          <w:szCs w:val="18"/>
          <w:u w:val="double"/>
        </w:rPr>
        <w:t>entry of a</w:t>
      </w:r>
      <w:r w:rsidRPr="003C15F7">
        <w:rPr>
          <w:rFonts w:ascii="Arial" w:hAnsi="Arial" w:cs="Arial"/>
          <w:sz w:val="18"/>
          <w:szCs w:val="18"/>
        </w:rPr>
        <w:t xml:space="preserve"> </w:t>
      </w:r>
      <w:r w:rsidRPr="003C15F7">
        <w:rPr>
          <w:rFonts w:ascii="Arial" w:hAnsi="Arial" w:cs="Arial"/>
          <w:i/>
          <w:sz w:val="18"/>
          <w:szCs w:val="18"/>
        </w:rPr>
        <w:t>pathogenic agent</w:t>
      </w:r>
      <w:r w:rsidRPr="003C15F7">
        <w:rPr>
          <w:rFonts w:ascii="Arial" w:hAnsi="Arial" w:cs="Arial"/>
          <w:sz w:val="18"/>
          <w:szCs w:val="18"/>
        </w:rPr>
        <w:t xml:space="preserve"> </w:t>
      </w:r>
      <w:r w:rsidRPr="003C15F7">
        <w:rPr>
          <w:rFonts w:ascii="Arial" w:hAnsi="Arial" w:cs="Arial"/>
          <w:strike/>
          <w:sz w:val="18"/>
          <w:szCs w:val="18"/>
        </w:rPr>
        <w:t>entry</w:t>
      </w:r>
      <w:r w:rsidRPr="003C15F7">
        <w:rPr>
          <w:rFonts w:ascii="Arial" w:hAnsi="Arial" w:cs="Arial"/>
          <w:sz w:val="18"/>
          <w:szCs w:val="18"/>
        </w:rPr>
        <w:t xml:space="preserve"> into, spread within or release from the </w:t>
      </w:r>
      <w:r w:rsidRPr="003C15F7">
        <w:rPr>
          <w:rFonts w:ascii="Arial" w:hAnsi="Arial" w:cs="Arial"/>
          <w:i/>
          <w:sz w:val="18"/>
          <w:szCs w:val="18"/>
        </w:rPr>
        <w:t>aquaculture establishment</w:t>
      </w:r>
      <w:r w:rsidRPr="003C15F7">
        <w:rPr>
          <w:rFonts w:ascii="Arial" w:hAnsi="Arial" w:cs="Arial"/>
          <w:sz w:val="18"/>
          <w:szCs w:val="18"/>
        </w:rPr>
        <w:t xml:space="preserve">. </w:t>
      </w:r>
    </w:p>
    <w:p w14:paraId="61E390D1" w14:textId="77777777" w:rsidR="0094086E" w:rsidRPr="003C15F7" w:rsidRDefault="0094086E" w:rsidP="0094086E">
      <w:pPr>
        <w:spacing w:after="240"/>
        <w:jc w:val="both"/>
        <w:rPr>
          <w:rFonts w:ascii="Arial" w:hAnsi="Arial" w:cs="Arial"/>
          <w:sz w:val="18"/>
          <w:szCs w:val="18"/>
        </w:rPr>
      </w:pPr>
      <w:r w:rsidRPr="003C15F7">
        <w:rPr>
          <w:rFonts w:ascii="Arial" w:hAnsi="Arial" w:cs="Arial"/>
          <w:sz w:val="18"/>
          <w:szCs w:val="18"/>
        </w:rPr>
        <w:t xml:space="preserve">A </w:t>
      </w:r>
      <w:r w:rsidRPr="003C15F7">
        <w:rPr>
          <w:rFonts w:ascii="Arial" w:hAnsi="Arial" w:cs="Arial"/>
          <w:i/>
          <w:sz w:val="18"/>
          <w:szCs w:val="18"/>
        </w:rPr>
        <w:t>risk assessment</w:t>
      </w:r>
      <w:r w:rsidRPr="003C15F7">
        <w:rPr>
          <w:rFonts w:ascii="Arial" w:hAnsi="Arial" w:cs="Arial"/>
          <w:sz w:val="18"/>
          <w:szCs w:val="18"/>
        </w:rPr>
        <w:t xml:space="preserve"> can be quantitative or qualitative. Both methods require the same conceptual pathway which identifies the necessary steps for </w:t>
      </w:r>
      <w:r w:rsidRPr="003C15F7">
        <w:rPr>
          <w:rFonts w:ascii="Arial" w:hAnsi="Arial" w:cs="Arial"/>
          <w:i/>
          <w:sz w:val="18"/>
          <w:szCs w:val="18"/>
        </w:rPr>
        <w:t>hazard</w:t>
      </w:r>
      <w:r w:rsidRPr="003C15F7">
        <w:rPr>
          <w:rFonts w:ascii="Arial" w:hAnsi="Arial" w:cs="Arial"/>
          <w:sz w:val="18"/>
          <w:szCs w:val="18"/>
        </w:rPr>
        <w:t xml:space="preserve"> introduction, establishment and spread to be constructed. In a qualitative assessment, introduction and establishment are estimated using descriptors of likelihood. A quantitative assessment requires data on which to estimate likelihood. In most circumstances, </w:t>
      </w:r>
      <w:r w:rsidRPr="003C15F7">
        <w:rPr>
          <w:rFonts w:ascii="Arial" w:hAnsi="Arial" w:cs="Arial"/>
          <w:sz w:val="18"/>
          <w:szCs w:val="18"/>
          <w:highlight w:val="yellow"/>
          <w:u w:val="double"/>
        </w:rPr>
        <w:t xml:space="preserve">the likelihood of </w:t>
      </w:r>
      <w:r w:rsidRPr="003C15F7">
        <w:rPr>
          <w:rFonts w:ascii="Arial" w:hAnsi="Arial" w:cs="Arial"/>
          <w:i/>
          <w:iCs/>
          <w:sz w:val="18"/>
          <w:szCs w:val="18"/>
          <w:highlight w:val="yellow"/>
          <w:u w:val="double"/>
        </w:rPr>
        <w:t>disease</w:t>
      </w:r>
      <w:r w:rsidRPr="003C15F7">
        <w:rPr>
          <w:rFonts w:ascii="Arial" w:hAnsi="Arial" w:cs="Arial"/>
          <w:sz w:val="18"/>
          <w:szCs w:val="18"/>
          <w:highlight w:val="yellow"/>
        </w:rPr>
        <w:t xml:space="preserve"> </w:t>
      </w:r>
      <w:r w:rsidRPr="003C15F7">
        <w:rPr>
          <w:rFonts w:ascii="Arial" w:hAnsi="Arial" w:cs="Arial"/>
          <w:sz w:val="18"/>
          <w:szCs w:val="18"/>
        </w:rPr>
        <w:t xml:space="preserve">transmission </w:t>
      </w:r>
      <w:r w:rsidRPr="003C15F7">
        <w:rPr>
          <w:rFonts w:ascii="Arial" w:hAnsi="Arial" w:cs="Arial"/>
          <w:sz w:val="18"/>
          <w:szCs w:val="18"/>
          <w:highlight w:val="yellow"/>
          <w:u w:val="double"/>
        </w:rPr>
        <w:t>and associated consequences</w:t>
      </w:r>
      <w:r w:rsidRPr="003C15F7">
        <w:rPr>
          <w:rFonts w:ascii="Arial" w:hAnsi="Arial" w:cs="Arial"/>
          <w:sz w:val="18"/>
          <w:szCs w:val="18"/>
        </w:rPr>
        <w:t xml:space="preserve"> </w:t>
      </w:r>
      <w:r w:rsidRPr="00685B5C">
        <w:rPr>
          <w:rFonts w:ascii="Arial" w:hAnsi="Arial" w:cs="Arial"/>
          <w:strike/>
          <w:sz w:val="18"/>
          <w:szCs w:val="18"/>
          <w:highlight w:val="yellow"/>
        </w:rPr>
        <w:t>pathways</w:t>
      </w:r>
      <w:r w:rsidRPr="003C15F7">
        <w:rPr>
          <w:rFonts w:ascii="Arial" w:hAnsi="Arial" w:cs="Arial"/>
          <w:sz w:val="18"/>
          <w:szCs w:val="18"/>
        </w:rPr>
        <w:t xml:space="preserve"> will be assessed qualitatively but within a formal </w:t>
      </w:r>
      <w:r w:rsidRPr="003C15F7">
        <w:rPr>
          <w:rFonts w:ascii="Arial" w:hAnsi="Arial" w:cs="Arial"/>
          <w:i/>
          <w:sz w:val="18"/>
          <w:szCs w:val="18"/>
        </w:rPr>
        <w:t>risk assessment</w:t>
      </w:r>
      <w:r w:rsidRPr="003C15F7">
        <w:rPr>
          <w:rFonts w:ascii="Arial" w:hAnsi="Arial" w:cs="Arial"/>
          <w:sz w:val="18"/>
          <w:szCs w:val="18"/>
        </w:rPr>
        <w:t xml:space="preserve"> framework. Examples of descriptors for </w:t>
      </w:r>
      <w:r w:rsidRPr="003C15F7">
        <w:rPr>
          <w:rFonts w:ascii="Arial" w:hAnsi="Arial" w:cs="Arial"/>
          <w:sz w:val="18"/>
          <w:szCs w:val="18"/>
          <w:u w:val="double"/>
        </w:rPr>
        <w:t>qualitative</w:t>
      </w:r>
      <w:r w:rsidRPr="003C15F7">
        <w:rPr>
          <w:rFonts w:ascii="Arial" w:hAnsi="Arial" w:cs="Arial"/>
          <w:sz w:val="18"/>
          <w:szCs w:val="18"/>
        </w:rPr>
        <w:t xml:space="preserve"> estimates of likelihood and consequence are given in Tables 1 and 2. Table 3 illustrates how estimates of likelihood and consequence can be combined in a matrix to give an estimate of </w:t>
      </w:r>
      <w:r w:rsidRPr="003C15F7">
        <w:rPr>
          <w:rFonts w:ascii="Arial" w:hAnsi="Arial" w:cs="Arial"/>
          <w:i/>
          <w:sz w:val="18"/>
          <w:szCs w:val="18"/>
        </w:rPr>
        <w:t>risk</w:t>
      </w:r>
      <w:r w:rsidRPr="003C15F7">
        <w:rPr>
          <w:rFonts w:ascii="Arial" w:hAnsi="Arial" w:cs="Arial"/>
          <w:sz w:val="18"/>
          <w:szCs w:val="18"/>
        </w:rPr>
        <w:t xml:space="preserve">. </w:t>
      </w:r>
    </w:p>
    <w:p w14:paraId="72378368" w14:textId="77777777" w:rsidR="0094086E" w:rsidRPr="003C15F7" w:rsidRDefault="0094086E" w:rsidP="0094086E">
      <w:pPr>
        <w:spacing w:after="240" w:line="240" w:lineRule="auto"/>
        <w:ind w:left="709" w:hanging="709"/>
        <w:jc w:val="both"/>
        <w:rPr>
          <w:rFonts w:ascii="Arial" w:hAnsi="Arial" w:cs="Arial"/>
          <w:b/>
          <w:sz w:val="18"/>
          <w:szCs w:val="18"/>
        </w:rPr>
      </w:pPr>
      <w:r w:rsidRPr="003C15F7">
        <w:rPr>
          <w:rFonts w:ascii="Arial" w:hAnsi="Arial" w:cs="Arial"/>
          <w:b/>
          <w:sz w:val="18"/>
          <w:szCs w:val="18"/>
        </w:rPr>
        <w:t>Table 1. Qualitative descriptors of likelihood</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796"/>
      </w:tblGrid>
      <w:tr w:rsidR="0094086E" w:rsidRPr="003C15F7" w14:paraId="2B5B976B" w14:textId="77777777" w:rsidTr="00E51BAB">
        <w:tc>
          <w:tcPr>
            <w:tcW w:w="1560" w:type="dxa"/>
            <w:shd w:val="clear" w:color="auto" w:fill="auto"/>
          </w:tcPr>
          <w:p w14:paraId="56B929B0" w14:textId="77777777" w:rsidR="0094086E" w:rsidRPr="003C15F7" w:rsidRDefault="0094086E" w:rsidP="00E51BAB">
            <w:pPr>
              <w:spacing w:before="40" w:after="40" w:line="240" w:lineRule="auto"/>
              <w:jc w:val="both"/>
              <w:rPr>
                <w:rFonts w:ascii="Arial" w:hAnsi="Arial" w:cs="Arial"/>
                <w:b/>
                <w:sz w:val="18"/>
                <w:szCs w:val="18"/>
              </w:rPr>
            </w:pPr>
            <w:r w:rsidRPr="003C15F7">
              <w:rPr>
                <w:rFonts w:ascii="Arial" w:hAnsi="Arial" w:cs="Arial"/>
                <w:b/>
                <w:sz w:val="18"/>
                <w:szCs w:val="18"/>
              </w:rPr>
              <w:t>Estimate</w:t>
            </w:r>
          </w:p>
        </w:tc>
        <w:tc>
          <w:tcPr>
            <w:tcW w:w="7796" w:type="dxa"/>
            <w:shd w:val="clear" w:color="auto" w:fill="auto"/>
          </w:tcPr>
          <w:p w14:paraId="188116FD" w14:textId="77777777" w:rsidR="0094086E" w:rsidRPr="003C15F7" w:rsidRDefault="0094086E" w:rsidP="00E51BAB">
            <w:pPr>
              <w:spacing w:before="40" w:after="40" w:line="240" w:lineRule="auto"/>
              <w:jc w:val="both"/>
              <w:rPr>
                <w:rFonts w:ascii="Arial" w:hAnsi="Arial" w:cs="Arial"/>
                <w:b/>
                <w:sz w:val="18"/>
                <w:szCs w:val="18"/>
              </w:rPr>
            </w:pPr>
            <w:r w:rsidRPr="003C15F7">
              <w:rPr>
                <w:rFonts w:ascii="Arial" w:hAnsi="Arial" w:cs="Arial"/>
                <w:b/>
                <w:sz w:val="18"/>
                <w:szCs w:val="18"/>
              </w:rPr>
              <w:t>Descriptor</w:t>
            </w:r>
          </w:p>
        </w:tc>
      </w:tr>
      <w:tr w:rsidR="0094086E" w:rsidRPr="003C15F7" w14:paraId="482901C9" w14:textId="77777777" w:rsidTr="00E51BAB">
        <w:tc>
          <w:tcPr>
            <w:tcW w:w="1560" w:type="dxa"/>
            <w:shd w:val="clear" w:color="auto" w:fill="auto"/>
          </w:tcPr>
          <w:p w14:paraId="73CC9D7D" w14:textId="77777777" w:rsidR="0094086E" w:rsidRPr="003C15F7" w:rsidRDefault="0094086E" w:rsidP="00E51BAB">
            <w:pPr>
              <w:spacing w:before="40" w:after="40" w:line="240" w:lineRule="auto"/>
              <w:jc w:val="both"/>
              <w:rPr>
                <w:rFonts w:ascii="Arial" w:hAnsi="Arial" w:cs="Arial"/>
                <w:sz w:val="18"/>
                <w:szCs w:val="18"/>
              </w:rPr>
            </w:pPr>
            <w:r w:rsidRPr="003C15F7">
              <w:rPr>
                <w:rFonts w:ascii="Arial" w:hAnsi="Arial" w:cs="Arial"/>
                <w:sz w:val="18"/>
                <w:szCs w:val="18"/>
              </w:rPr>
              <w:t>Remote</w:t>
            </w:r>
          </w:p>
        </w:tc>
        <w:tc>
          <w:tcPr>
            <w:tcW w:w="7796" w:type="dxa"/>
            <w:shd w:val="clear" w:color="auto" w:fill="auto"/>
          </w:tcPr>
          <w:p w14:paraId="0BC2B867" w14:textId="569C44D0" w:rsidR="0094086E" w:rsidRPr="003C15F7" w:rsidRDefault="0094086E" w:rsidP="00E51BAB">
            <w:pPr>
              <w:spacing w:before="40" w:after="40" w:line="240" w:lineRule="auto"/>
              <w:jc w:val="both"/>
              <w:rPr>
                <w:rFonts w:ascii="Arial" w:hAnsi="Arial" w:cs="Arial"/>
                <w:sz w:val="18"/>
                <w:szCs w:val="18"/>
              </w:rPr>
            </w:pPr>
            <w:r w:rsidRPr="003C15F7">
              <w:rPr>
                <w:rFonts w:ascii="Arial" w:hAnsi="Arial" w:cs="Arial"/>
                <w:strike/>
                <w:sz w:val="18"/>
                <w:szCs w:val="18"/>
                <w:highlight w:val="yellow"/>
              </w:rPr>
              <w:t>Never heard of</w:t>
            </w:r>
            <w:r w:rsidR="00B93E16" w:rsidRPr="003C15F7">
              <w:rPr>
                <w:rFonts w:ascii="Arial" w:hAnsi="Arial" w:cs="Arial"/>
                <w:sz w:val="18"/>
                <w:szCs w:val="18"/>
              </w:rPr>
              <w:t xml:space="preserve"> </w:t>
            </w:r>
            <w:r w:rsidR="003178CC" w:rsidRPr="003C15F7">
              <w:rPr>
                <w:rFonts w:ascii="Arial" w:hAnsi="Arial" w:cs="Arial"/>
                <w:sz w:val="18"/>
                <w:szCs w:val="18"/>
                <w:highlight w:val="yellow"/>
                <w:u w:val="double"/>
              </w:rPr>
              <w:t>Very unlikely</w:t>
            </w:r>
            <w:r w:rsidRPr="003C15F7">
              <w:rPr>
                <w:rFonts w:ascii="Arial" w:hAnsi="Arial" w:cs="Arial"/>
                <w:sz w:val="18"/>
                <w:szCs w:val="18"/>
              </w:rPr>
              <w:t>, but not impossible.</w:t>
            </w:r>
          </w:p>
        </w:tc>
      </w:tr>
      <w:tr w:rsidR="0094086E" w:rsidRPr="003C15F7" w14:paraId="7928DCB9" w14:textId="77777777" w:rsidTr="00E51BAB">
        <w:tc>
          <w:tcPr>
            <w:tcW w:w="1560" w:type="dxa"/>
            <w:shd w:val="clear" w:color="auto" w:fill="auto"/>
          </w:tcPr>
          <w:p w14:paraId="683668F7" w14:textId="77777777" w:rsidR="0094086E" w:rsidRPr="003C15F7" w:rsidRDefault="0094086E" w:rsidP="00E51BAB">
            <w:pPr>
              <w:spacing w:before="40" w:after="40" w:line="240" w:lineRule="auto"/>
              <w:jc w:val="both"/>
              <w:rPr>
                <w:rFonts w:ascii="Arial" w:hAnsi="Arial" w:cs="Arial"/>
                <w:sz w:val="18"/>
                <w:szCs w:val="18"/>
              </w:rPr>
            </w:pPr>
            <w:r w:rsidRPr="003C15F7">
              <w:rPr>
                <w:rFonts w:ascii="Arial" w:hAnsi="Arial" w:cs="Arial"/>
                <w:sz w:val="18"/>
                <w:szCs w:val="18"/>
              </w:rPr>
              <w:t>Unlikely</w:t>
            </w:r>
          </w:p>
        </w:tc>
        <w:tc>
          <w:tcPr>
            <w:tcW w:w="7796" w:type="dxa"/>
            <w:shd w:val="clear" w:color="auto" w:fill="auto"/>
          </w:tcPr>
          <w:p w14:paraId="0A65A99F" w14:textId="77777777" w:rsidR="0094086E" w:rsidRPr="003C15F7" w:rsidRDefault="0094086E" w:rsidP="00E51BAB">
            <w:pPr>
              <w:spacing w:before="40" w:after="40" w:line="240" w:lineRule="auto"/>
              <w:jc w:val="both"/>
              <w:rPr>
                <w:rFonts w:ascii="Arial" w:hAnsi="Arial" w:cs="Arial"/>
                <w:sz w:val="18"/>
                <w:szCs w:val="18"/>
              </w:rPr>
            </w:pPr>
            <w:r w:rsidRPr="003C15F7">
              <w:rPr>
                <w:rFonts w:ascii="Arial" w:hAnsi="Arial" w:cs="Arial"/>
                <w:sz w:val="18"/>
                <w:szCs w:val="18"/>
              </w:rPr>
              <w:t>May occur here, but only in rare circumstances.</w:t>
            </w:r>
          </w:p>
        </w:tc>
      </w:tr>
      <w:tr w:rsidR="0094086E" w:rsidRPr="003C15F7" w14:paraId="141E86B1" w14:textId="77777777" w:rsidTr="00E51BAB">
        <w:tc>
          <w:tcPr>
            <w:tcW w:w="1560" w:type="dxa"/>
            <w:shd w:val="clear" w:color="auto" w:fill="auto"/>
          </w:tcPr>
          <w:p w14:paraId="2FA8AC9B" w14:textId="77777777" w:rsidR="0094086E" w:rsidRPr="003C15F7" w:rsidRDefault="0094086E" w:rsidP="00E51BAB">
            <w:pPr>
              <w:spacing w:before="40" w:after="40" w:line="240" w:lineRule="auto"/>
              <w:jc w:val="both"/>
              <w:rPr>
                <w:rFonts w:ascii="Arial" w:hAnsi="Arial" w:cs="Arial"/>
                <w:sz w:val="18"/>
                <w:szCs w:val="18"/>
              </w:rPr>
            </w:pPr>
            <w:r w:rsidRPr="003C15F7">
              <w:rPr>
                <w:rFonts w:ascii="Arial" w:hAnsi="Arial" w:cs="Arial"/>
                <w:sz w:val="18"/>
                <w:szCs w:val="18"/>
              </w:rPr>
              <w:t>Possible</w:t>
            </w:r>
          </w:p>
        </w:tc>
        <w:tc>
          <w:tcPr>
            <w:tcW w:w="7796" w:type="dxa"/>
            <w:shd w:val="clear" w:color="auto" w:fill="auto"/>
          </w:tcPr>
          <w:p w14:paraId="74F27279" w14:textId="77777777" w:rsidR="0094086E" w:rsidRPr="003C15F7" w:rsidRDefault="0094086E" w:rsidP="00E51BAB">
            <w:pPr>
              <w:spacing w:before="40" w:after="40" w:line="240" w:lineRule="auto"/>
              <w:jc w:val="both"/>
              <w:rPr>
                <w:rFonts w:ascii="Arial" w:hAnsi="Arial" w:cs="Arial"/>
                <w:sz w:val="18"/>
                <w:szCs w:val="18"/>
              </w:rPr>
            </w:pPr>
            <w:r w:rsidRPr="003C15F7">
              <w:rPr>
                <w:rFonts w:ascii="Arial" w:hAnsi="Arial" w:cs="Arial"/>
                <w:sz w:val="18"/>
                <w:szCs w:val="18"/>
              </w:rPr>
              <w:t>Clear evidence to suggest this is possible in this situation.</w:t>
            </w:r>
          </w:p>
        </w:tc>
      </w:tr>
      <w:tr w:rsidR="0094086E" w:rsidRPr="003C15F7" w14:paraId="75DAF587" w14:textId="77777777" w:rsidTr="00E51BAB">
        <w:tc>
          <w:tcPr>
            <w:tcW w:w="1560" w:type="dxa"/>
            <w:shd w:val="clear" w:color="auto" w:fill="auto"/>
          </w:tcPr>
          <w:p w14:paraId="7221FC27" w14:textId="77777777" w:rsidR="0094086E" w:rsidRPr="003C15F7" w:rsidRDefault="0094086E" w:rsidP="00E51BAB">
            <w:pPr>
              <w:spacing w:before="40" w:after="40" w:line="240" w:lineRule="auto"/>
              <w:jc w:val="both"/>
              <w:rPr>
                <w:rFonts w:ascii="Arial" w:hAnsi="Arial" w:cs="Arial"/>
                <w:sz w:val="18"/>
                <w:szCs w:val="18"/>
              </w:rPr>
            </w:pPr>
            <w:r w:rsidRPr="003C15F7">
              <w:rPr>
                <w:rFonts w:ascii="Arial" w:hAnsi="Arial" w:cs="Arial"/>
                <w:sz w:val="18"/>
                <w:szCs w:val="18"/>
              </w:rPr>
              <w:t>Likely</w:t>
            </w:r>
          </w:p>
        </w:tc>
        <w:tc>
          <w:tcPr>
            <w:tcW w:w="7796" w:type="dxa"/>
            <w:shd w:val="clear" w:color="auto" w:fill="auto"/>
          </w:tcPr>
          <w:p w14:paraId="1CD36BCA" w14:textId="77777777" w:rsidR="0094086E" w:rsidRPr="003C15F7" w:rsidRDefault="0094086E" w:rsidP="00E51BAB">
            <w:pPr>
              <w:spacing w:before="40" w:after="40" w:line="240" w:lineRule="auto"/>
              <w:jc w:val="both"/>
              <w:rPr>
                <w:rFonts w:ascii="Arial" w:hAnsi="Arial" w:cs="Arial"/>
                <w:sz w:val="18"/>
                <w:szCs w:val="18"/>
              </w:rPr>
            </w:pPr>
            <w:r w:rsidRPr="003C15F7">
              <w:rPr>
                <w:rFonts w:ascii="Arial" w:hAnsi="Arial" w:cs="Arial"/>
                <w:sz w:val="18"/>
                <w:szCs w:val="18"/>
              </w:rPr>
              <w:t>It is likely, but not certain, to occur here.</w:t>
            </w:r>
          </w:p>
        </w:tc>
      </w:tr>
      <w:tr w:rsidR="0094086E" w:rsidRPr="003C15F7" w14:paraId="707D2302" w14:textId="77777777" w:rsidTr="00E51BAB">
        <w:tc>
          <w:tcPr>
            <w:tcW w:w="1560" w:type="dxa"/>
            <w:shd w:val="clear" w:color="auto" w:fill="auto"/>
          </w:tcPr>
          <w:p w14:paraId="6C0A3161" w14:textId="77777777" w:rsidR="0094086E" w:rsidRPr="003C15F7" w:rsidRDefault="0094086E" w:rsidP="00E51BAB">
            <w:pPr>
              <w:spacing w:before="40" w:after="40" w:line="240" w:lineRule="auto"/>
              <w:jc w:val="both"/>
              <w:rPr>
                <w:rFonts w:ascii="Arial" w:hAnsi="Arial" w:cs="Arial"/>
                <w:sz w:val="18"/>
                <w:szCs w:val="18"/>
              </w:rPr>
            </w:pPr>
            <w:r w:rsidRPr="003C15F7">
              <w:rPr>
                <w:rFonts w:ascii="Arial" w:hAnsi="Arial" w:cs="Arial"/>
                <w:sz w:val="18"/>
                <w:szCs w:val="18"/>
              </w:rPr>
              <w:t>Certain</w:t>
            </w:r>
          </w:p>
        </w:tc>
        <w:tc>
          <w:tcPr>
            <w:tcW w:w="7796" w:type="dxa"/>
            <w:shd w:val="clear" w:color="auto" w:fill="auto"/>
          </w:tcPr>
          <w:p w14:paraId="5E154176" w14:textId="77777777" w:rsidR="0094086E" w:rsidRPr="003C15F7" w:rsidRDefault="0094086E" w:rsidP="00E51BAB">
            <w:pPr>
              <w:spacing w:before="40" w:after="40" w:line="240" w:lineRule="auto"/>
              <w:jc w:val="both"/>
              <w:rPr>
                <w:rFonts w:ascii="Arial" w:hAnsi="Arial" w:cs="Arial"/>
                <w:sz w:val="18"/>
                <w:szCs w:val="18"/>
              </w:rPr>
            </w:pPr>
            <w:r w:rsidRPr="003C15F7">
              <w:rPr>
                <w:rFonts w:ascii="Arial" w:hAnsi="Arial" w:cs="Arial"/>
                <w:sz w:val="18"/>
                <w:szCs w:val="18"/>
              </w:rPr>
              <w:t>It is certain to occur.</w:t>
            </w:r>
          </w:p>
        </w:tc>
      </w:tr>
    </w:tbl>
    <w:p w14:paraId="0BB4E716" w14:textId="77777777" w:rsidR="0094086E" w:rsidRPr="003C15F7" w:rsidRDefault="0094086E" w:rsidP="0094086E">
      <w:pPr>
        <w:spacing w:after="0"/>
        <w:rPr>
          <w:rFonts w:ascii="Arial" w:hAnsi="Arial" w:cs="Arial"/>
          <w:color w:val="000000"/>
          <w:sz w:val="18"/>
          <w:szCs w:val="18"/>
          <w:lang w:val="en-US" w:eastAsia="en-AU"/>
        </w:rPr>
      </w:pPr>
    </w:p>
    <w:p w14:paraId="3611E513" w14:textId="77777777" w:rsidR="0094086E" w:rsidRPr="003C15F7" w:rsidRDefault="0094086E" w:rsidP="0094086E">
      <w:pPr>
        <w:spacing w:after="240" w:line="240" w:lineRule="auto"/>
        <w:jc w:val="both"/>
        <w:rPr>
          <w:rFonts w:ascii="Arial" w:hAnsi="Arial" w:cs="Arial"/>
          <w:b/>
          <w:sz w:val="18"/>
          <w:szCs w:val="18"/>
        </w:rPr>
      </w:pPr>
      <w:r w:rsidRPr="003C15F7">
        <w:rPr>
          <w:rFonts w:ascii="Arial" w:hAnsi="Arial" w:cs="Arial"/>
          <w:b/>
          <w:sz w:val="18"/>
          <w:szCs w:val="18"/>
        </w:rPr>
        <w:t xml:space="preserve">Table 2. Qualitative descriptors of consequences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7"/>
        <w:gridCol w:w="7729"/>
      </w:tblGrid>
      <w:tr w:rsidR="0094086E" w:rsidRPr="003C15F7" w14:paraId="57260158" w14:textId="77777777" w:rsidTr="00E51BAB">
        <w:trPr>
          <w:trHeight w:val="361"/>
        </w:trPr>
        <w:tc>
          <w:tcPr>
            <w:tcW w:w="1560" w:type="dxa"/>
            <w:shd w:val="clear" w:color="auto" w:fill="auto"/>
          </w:tcPr>
          <w:p w14:paraId="678DD893" w14:textId="77777777" w:rsidR="0094086E" w:rsidRPr="003C15F7" w:rsidRDefault="0094086E" w:rsidP="00E51BAB">
            <w:pPr>
              <w:spacing w:before="40" w:after="40" w:line="240" w:lineRule="auto"/>
              <w:rPr>
                <w:rFonts w:ascii="Arial" w:hAnsi="Arial" w:cs="Arial"/>
                <w:b/>
                <w:sz w:val="18"/>
                <w:szCs w:val="18"/>
              </w:rPr>
            </w:pPr>
            <w:r w:rsidRPr="003C15F7">
              <w:rPr>
                <w:rFonts w:ascii="Arial" w:hAnsi="Arial" w:cs="Arial"/>
                <w:b/>
                <w:sz w:val="18"/>
                <w:szCs w:val="18"/>
              </w:rPr>
              <w:t>Estimate</w:t>
            </w:r>
          </w:p>
        </w:tc>
        <w:tc>
          <w:tcPr>
            <w:tcW w:w="7796" w:type="dxa"/>
            <w:shd w:val="clear" w:color="auto" w:fill="auto"/>
          </w:tcPr>
          <w:p w14:paraId="47BA74F7" w14:textId="77777777" w:rsidR="0094086E" w:rsidRPr="003C15F7" w:rsidRDefault="0094086E" w:rsidP="00E51BAB">
            <w:pPr>
              <w:spacing w:before="40" w:after="40" w:line="240" w:lineRule="auto"/>
              <w:rPr>
                <w:rFonts w:ascii="Arial" w:hAnsi="Arial" w:cs="Arial"/>
                <w:b/>
                <w:sz w:val="18"/>
                <w:szCs w:val="18"/>
              </w:rPr>
            </w:pPr>
            <w:r w:rsidRPr="003C15F7">
              <w:rPr>
                <w:rFonts w:ascii="Arial" w:hAnsi="Arial" w:cs="Arial"/>
                <w:b/>
                <w:sz w:val="18"/>
                <w:szCs w:val="18"/>
              </w:rPr>
              <w:t xml:space="preserve">Descriptor </w:t>
            </w:r>
            <w:r w:rsidRPr="003C15F7">
              <w:rPr>
                <w:rFonts w:ascii="Arial" w:hAnsi="Arial" w:cs="Arial"/>
                <w:b/>
                <w:bCs/>
                <w:sz w:val="18"/>
                <w:szCs w:val="18"/>
                <w:u w:val="double"/>
              </w:rPr>
              <w:t>of consequences at level of the aquaculture establishment</w:t>
            </w:r>
          </w:p>
        </w:tc>
      </w:tr>
      <w:tr w:rsidR="0094086E" w:rsidRPr="003C15F7" w14:paraId="549662D8" w14:textId="77777777" w:rsidTr="00E51BAB">
        <w:tc>
          <w:tcPr>
            <w:tcW w:w="1560" w:type="dxa"/>
            <w:shd w:val="clear" w:color="auto" w:fill="auto"/>
          </w:tcPr>
          <w:p w14:paraId="680E7019"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Insignificant</w:t>
            </w:r>
          </w:p>
        </w:tc>
        <w:tc>
          <w:tcPr>
            <w:tcW w:w="7796" w:type="dxa"/>
            <w:shd w:val="clear" w:color="auto" w:fill="auto"/>
          </w:tcPr>
          <w:p w14:paraId="0CEF54D7"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 xml:space="preserve">Impact not detectable or minimal. </w:t>
            </w:r>
            <w:r w:rsidRPr="003C15F7">
              <w:rPr>
                <w:rFonts w:ascii="Arial" w:hAnsi="Arial" w:cs="Arial"/>
                <w:sz w:val="18"/>
                <w:szCs w:val="18"/>
                <w:u w:val="double"/>
              </w:rPr>
              <w:t>No trade impact.</w:t>
            </w:r>
          </w:p>
        </w:tc>
      </w:tr>
      <w:tr w:rsidR="0094086E" w:rsidRPr="003C15F7" w14:paraId="476B8F0A" w14:textId="77777777" w:rsidTr="00E51BAB">
        <w:tc>
          <w:tcPr>
            <w:tcW w:w="1560" w:type="dxa"/>
            <w:shd w:val="clear" w:color="auto" w:fill="auto"/>
          </w:tcPr>
          <w:p w14:paraId="285ACECA"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Minor</w:t>
            </w:r>
          </w:p>
        </w:tc>
        <w:tc>
          <w:tcPr>
            <w:tcW w:w="7796" w:type="dxa"/>
            <w:shd w:val="clear" w:color="auto" w:fill="auto"/>
          </w:tcPr>
          <w:p w14:paraId="3EBBD873" w14:textId="5CA29B95" w:rsidR="0094086E" w:rsidRPr="003C15F7" w:rsidRDefault="0094086E" w:rsidP="00E356C7">
            <w:pPr>
              <w:spacing w:before="40" w:after="40" w:line="240" w:lineRule="auto"/>
              <w:rPr>
                <w:rFonts w:ascii="Arial" w:hAnsi="Arial" w:cs="Arial"/>
                <w:sz w:val="18"/>
                <w:szCs w:val="18"/>
              </w:rPr>
            </w:pPr>
            <w:r w:rsidRPr="003C15F7">
              <w:rPr>
                <w:rFonts w:ascii="Arial" w:hAnsi="Arial" w:cs="Arial"/>
                <w:strike/>
                <w:sz w:val="18"/>
                <w:szCs w:val="18"/>
              </w:rPr>
              <w:t>Impact</w:t>
            </w:r>
            <w:r w:rsidRPr="003C15F7">
              <w:rPr>
                <w:rFonts w:ascii="Arial" w:hAnsi="Arial" w:cs="Arial"/>
                <w:sz w:val="18"/>
                <w:szCs w:val="18"/>
              </w:rPr>
              <w:t xml:space="preserve"> </w:t>
            </w:r>
            <w:r w:rsidRPr="003C15F7">
              <w:rPr>
                <w:rFonts w:ascii="Arial" w:hAnsi="Arial" w:cs="Arial"/>
                <w:sz w:val="18"/>
                <w:szCs w:val="18"/>
                <w:u w:val="double"/>
              </w:rPr>
              <w:t xml:space="preserve">Limited decreased production </w:t>
            </w:r>
            <w:r w:rsidRPr="003C15F7">
              <w:rPr>
                <w:rFonts w:ascii="Arial" w:hAnsi="Arial" w:cs="Arial"/>
                <w:strike/>
                <w:sz w:val="18"/>
                <w:szCs w:val="18"/>
              </w:rPr>
              <w:t xml:space="preserve">on </w:t>
            </w:r>
            <w:r w:rsidRPr="003C15F7">
              <w:rPr>
                <w:rFonts w:ascii="Arial" w:hAnsi="Arial" w:cs="Arial"/>
                <w:i/>
                <w:strike/>
                <w:sz w:val="18"/>
                <w:szCs w:val="18"/>
              </w:rPr>
              <w:t>aquaculture establishment</w:t>
            </w:r>
            <w:r w:rsidRPr="003C15F7">
              <w:rPr>
                <w:rFonts w:ascii="Arial" w:hAnsi="Arial" w:cs="Arial"/>
                <w:strike/>
                <w:sz w:val="18"/>
                <w:szCs w:val="18"/>
              </w:rPr>
              <w:t xml:space="preserve"> productivity limited to some</w:t>
            </w:r>
            <w:r w:rsidRPr="003C15F7">
              <w:rPr>
                <w:rFonts w:ascii="Arial" w:hAnsi="Arial" w:cs="Arial"/>
                <w:sz w:val="18"/>
                <w:szCs w:val="18"/>
              </w:rPr>
              <w:t xml:space="preserve"> </w:t>
            </w:r>
            <w:r w:rsidRPr="003C15F7">
              <w:rPr>
                <w:rFonts w:ascii="Arial" w:hAnsi="Arial" w:cs="Arial"/>
                <w:sz w:val="18"/>
                <w:szCs w:val="18"/>
                <w:u w:val="double"/>
              </w:rPr>
              <w:t xml:space="preserve">affecting only a small number of </w:t>
            </w:r>
            <w:r w:rsidRPr="003C15F7">
              <w:rPr>
                <w:rFonts w:ascii="Arial" w:hAnsi="Arial" w:cs="Arial"/>
                <w:strike/>
                <w:sz w:val="18"/>
                <w:szCs w:val="18"/>
              </w:rPr>
              <w:t xml:space="preserve">production </w:t>
            </w:r>
            <w:r w:rsidRPr="003C15F7">
              <w:rPr>
                <w:rFonts w:ascii="Arial" w:hAnsi="Arial" w:cs="Arial"/>
                <w:sz w:val="18"/>
                <w:szCs w:val="18"/>
              </w:rPr>
              <w:t>units or short</w:t>
            </w:r>
            <w:r w:rsidRPr="003C15F7">
              <w:rPr>
                <w:rFonts w:ascii="Arial" w:hAnsi="Arial" w:cs="Arial"/>
                <w:sz w:val="18"/>
                <w:szCs w:val="18"/>
                <w:u w:val="double"/>
              </w:rPr>
              <w:t>-</w:t>
            </w:r>
            <w:r w:rsidRPr="003C15F7">
              <w:rPr>
                <w:rFonts w:ascii="Arial" w:hAnsi="Arial" w:cs="Arial"/>
                <w:sz w:val="18"/>
                <w:szCs w:val="18"/>
              </w:rPr>
              <w:t>term</w:t>
            </w:r>
            <w:r w:rsidRPr="003C15F7">
              <w:rPr>
                <w:rFonts w:ascii="Arial" w:hAnsi="Arial" w:cs="Arial"/>
                <w:sz w:val="18"/>
                <w:szCs w:val="18"/>
                <w:u w:val="double"/>
              </w:rPr>
              <w:t>, and/or very limited and transitory disruption to trade.</w:t>
            </w:r>
            <w:r w:rsidRPr="003C15F7">
              <w:rPr>
                <w:rFonts w:ascii="Arial" w:hAnsi="Arial" w:cs="Arial"/>
                <w:sz w:val="18"/>
                <w:szCs w:val="18"/>
              </w:rPr>
              <w:t xml:space="preserve"> </w:t>
            </w:r>
            <w:r w:rsidRPr="003C15F7">
              <w:rPr>
                <w:rFonts w:ascii="Arial" w:hAnsi="Arial" w:cs="Arial"/>
                <w:strike/>
                <w:sz w:val="18"/>
                <w:szCs w:val="18"/>
              </w:rPr>
              <w:t>only.</w:t>
            </w:r>
          </w:p>
        </w:tc>
      </w:tr>
      <w:tr w:rsidR="0094086E" w:rsidRPr="003C15F7" w14:paraId="21CE638A" w14:textId="77777777" w:rsidTr="00E51BAB">
        <w:tc>
          <w:tcPr>
            <w:tcW w:w="1560" w:type="dxa"/>
            <w:shd w:val="clear" w:color="auto" w:fill="auto"/>
          </w:tcPr>
          <w:p w14:paraId="045B559E"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Moderate</w:t>
            </w:r>
          </w:p>
        </w:tc>
        <w:tc>
          <w:tcPr>
            <w:tcW w:w="7796" w:type="dxa"/>
            <w:shd w:val="clear" w:color="auto" w:fill="auto"/>
          </w:tcPr>
          <w:p w14:paraId="3EF03FDA" w14:textId="77777777" w:rsidR="0094086E" w:rsidRPr="003C15F7" w:rsidRDefault="0094086E" w:rsidP="00E51BAB">
            <w:pPr>
              <w:spacing w:before="40" w:after="40" w:line="240" w:lineRule="auto"/>
              <w:rPr>
                <w:rFonts w:ascii="Arial" w:hAnsi="Arial" w:cs="Arial"/>
                <w:sz w:val="18"/>
                <w:szCs w:val="18"/>
                <w:u w:val="double"/>
              </w:rPr>
            </w:pPr>
            <w:r w:rsidRPr="003C15F7">
              <w:rPr>
                <w:rFonts w:ascii="Arial" w:hAnsi="Arial" w:cs="Arial"/>
                <w:strike/>
                <w:sz w:val="18"/>
                <w:szCs w:val="18"/>
              </w:rPr>
              <w:t xml:space="preserve">Widespread impact on </w:t>
            </w:r>
            <w:r w:rsidRPr="003C15F7">
              <w:rPr>
                <w:rFonts w:ascii="Arial" w:hAnsi="Arial" w:cs="Arial"/>
                <w:i/>
                <w:strike/>
                <w:sz w:val="18"/>
                <w:szCs w:val="18"/>
              </w:rPr>
              <w:t>aquaculture establishment</w:t>
            </w:r>
            <w:r w:rsidRPr="003C15F7">
              <w:rPr>
                <w:rFonts w:ascii="Arial" w:hAnsi="Arial" w:cs="Arial"/>
                <w:strike/>
                <w:sz w:val="18"/>
                <w:szCs w:val="18"/>
              </w:rPr>
              <w:t xml:space="preserve"> productivity due to increased mortality or decreased performance. </w:t>
            </w:r>
            <w:r w:rsidRPr="003C15F7">
              <w:rPr>
                <w:rFonts w:ascii="Arial" w:hAnsi="Arial" w:cs="Arial"/>
                <w:sz w:val="18"/>
                <w:szCs w:val="18"/>
                <w:u w:val="double"/>
              </w:rPr>
              <w:t xml:space="preserve">Decreased production (e.g. sustained increased mortality or decreased growth rate) and/or some short-term to medium-term disruption to trade, resulting in financial loss. </w:t>
            </w:r>
          </w:p>
        </w:tc>
      </w:tr>
      <w:tr w:rsidR="0094086E" w:rsidRPr="003C15F7" w14:paraId="26047F9D" w14:textId="77777777" w:rsidTr="00E51BAB">
        <w:tc>
          <w:tcPr>
            <w:tcW w:w="1560" w:type="dxa"/>
            <w:shd w:val="clear" w:color="auto" w:fill="auto"/>
          </w:tcPr>
          <w:p w14:paraId="05CD7AB4"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Major</w:t>
            </w:r>
          </w:p>
        </w:tc>
        <w:tc>
          <w:tcPr>
            <w:tcW w:w="7796" w:type="dxa"/>
            <w:shd w:val="clear" w:color="auto" w:fill="auto"/>
          </w:tcPr>
          <w:p w14:paraId="36E90F80" w14:textId="2FE27549"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Considerable</w:t>
            </w:r>
            <w:r w:rsidRPr="003C15F7">
              <w:rPr>
                <w:rFonts w:ascii="Arial" w:hAnsi="Arial" w:cs="Arial"/>
                <w:sz w:val="18"/>
                <w:szCs w:val="18"/>
                <w:u w:val="double"/>
              </w:rPr>
              <w:t>,</w:t>
            </w:r>
            <w:r w:rsidRPr="003C15F7">
              <w:rPr>
                <w:rFonts w:ascii="Arial" w:hAnsi="Arial" w:cs="Arial"/>
                <w:sz w:val="18"/>
                <w:szCs w:val="18"/>
              </w:rPr>
              <w:t xml:space="preserve"> </w:t>
            </w:r>
            <w:r w:rsidRPr="003C15F7">
              <w:rPr>
                <w:rFonts w:ascii="Arial" w:hAnsi="Arial" w:cs="Arial"/>
                <w:sz w:val="18"/>
                <w:szCs w:val="18"/>
                <w:u w:val="double"/>
              </w:rPr>
              <w:t xml:space="preserve">decreased </w:t>
            </w:r>
            <w:r w:rsidRPr="003C15F7">
              <w:rPr>
                <w:rFonts w:ascii="Arial" w:hAnsi="Arial" w:cs="Arial"/>
                <w:strike/>
                <w:sz w:val="18"/>
                <w:szCs w:val="18"/>
              </w:rPr>
              <w:t xml:space="preserve">impact on </w:t>
            </w:r>
            <w:r w:rsidRPr="003C15F7">
              <w:rPr>
                <w:rFonts w:ascii="Arial" w:hAnsi="Arial" w:cs="Arial"/>
                <w:i/>
                <w:strike/>
                <w:sz w:val="18"/>
                <w:szCs w:val="18"/>
              </w:rPr>
              <w:t>aquaculture establishment</w:t>
            </w:r>
            <w:r w:rsidRPr="003C15F7">
              <w:rPr>
                <w:rFonts w:ascii="Arial" w:hAnsi="Arial" w:cs="Arial"/>
                <w:sz w:val="18"/>
                <w:szCs w:val="18"/>
              </w:rPr>
              <w:t xml:space="preserve"> production</w:t>
            </w:r>
            <w:r w:rsidRPr="003C15F7">
              <w:rPr>
                <w:rFonts w:ascii="Arial" w:hAnsi="Arial" w:cs="Arial"/>
                <w:sz w:val="18"/>
                <w:szCs w:val="18"/>
                <w:u w:val="double"/>
              </w:rPr>
              <w:t>,</w:t>
            </w:r>
            <w:r w:rsidRPr="003C15F7">
              <w:rPr>
                <w:rFonts w:ascii="Arial" w:hAnsi="Arial" w:cs="Arial"/>
                <w:sz w:val="18"/>
                <w:szCs w:val="18"/>
                <w:u w:val="single"/>
              </w:rPr>
              <w:t xml:space="preserve"> </w:t>
            </w:r>
            <w:r w:rsidRPr="003C15F7">
              <w:rPr>
                <w:rFonts w:ascii="Arial" w:hAnsi="Arial" w:cs="Arial"/>
                <w:sz w:val="18"/>
                <w:szCs w:val="18"/>
                <w:u w:val="double"/>
              </w:rPr>
              <w:t>and/or some medium-term to long-term disruption to trade, resulting in significant financial loss</w:t>
            </w:r>
            <w:r w:rsidRPr="003C15F7">
              <w:rPr>
                <w:rFonts w:ascii="Arial" w:hAnsi="Arial" w:cs="Arial"/>
                <w:strike/>
                <w:sz w:val="18"/>
                <w:szCs w:val="18"/>
                <w:u w:val="double"/>
              </w:rPr>
              <w:t xml:space="preserve"> </w:t>
            </w:r>
            <w:r w:rsidRPr="003C15F7">
              <w:rPr>
                <w:rFonts w:ascii="Arial" w:hAnsi="Arial" w:cs="Arial"/>
                <w:strike/>
                <w:sz w:val="18"/>
                <w:szCs w:val="18"/>
              </w:rPr>
              <w:t xml:space="preserve"> resulting in serious supply constraints and financial impact</w:t>
            </w:r>
            <w:r w:rsidRPr="003C15F7">
              <w:rPr>
                <w:rFonts w:ascii="Arial" w:hAnsi="Arial" w:cs="Arial"/>
                <w:sz w:val="18"/>
                <w:szCs w:val="18"/>
              </w:rPr>
              <w:t>.</w:t>
            </w:r>
          </w:p>
        </w:tc>
      </w:tr>
      <w:tr w:rsidR="0094086E" w:rsidRPr="003C15F7" w14:paraId="0D5277DC" w14:textId="77777777" w:rsidTr="00E51BAB">
        <w:tc>
          <w:tcPr>
            <w:tcW w:w="1560" w:type="dxa"/>
            <w:shd w:val="clear" w:color="auto" w:fill="auto"/>
          </w:tcPr>
          <w:p w14:paraId="15A062E9"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Catastrophic</w:t>
            </w:r>
          </w:p>
        </w:tc>
        <w:tc>
          <w:tcPr>
            <w:tcW w:w="7796" w:type="dxa"/>
            <w:shd w:val="clear" w:color="auto" w:fill="auto"/>
          </w:tcPr>
          <w:p w14:paraId="44FF32F3"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 xml:space="preserve">Complete </w:t>
            </w:r>
            <w:r w:rsidRPr="003C15F7">
              <w:rPr>
                <w:rFonts w:ascii="Arial" w:hAnsi="Arial" w:cs="Arial"/>
                <w:strike/>
                <w:sz w:val="18"/>
                <w:szCs w:val="18"/>
              </w:rPr>
              <w:t>depopulation</w:t>
            </w:r>
            <w:r w:rsidRPr="003C15F7">
              <w:rPr>
                <w:rFonts w:ascii="Arial" w:hAnsi="Arial" w:cs="Arial"/>
                <w:sz w:val="18"/>
                <w:szCs w:val="18"/>
              </w:rPr>
              <w:t xml:space="preserve"> </w:t>
            </w:r>
            <w:r w:rsidRPr="003C15F7">
              <w:rPr>
                <w:rFonts w:ascii="Arial" w:hAnsi="Arial" w:cs="Arial"/>
                <w:sz w:val="18"/>
                <w:szCs w:val="18"/>
                <w:u w:val="double"/>
              </w:rPr>
              <w:t xml:space="preserve">production loss, </w:t>
            </w:r>
            <w:r w:rsidRPr="003C15F7">
              <w:rPr>
                <w:rFonts w:ascii="Arial" w:hAnsi="Arial" w:cs="Arial"/>
                <w:strike/>
                <w:sz w:val="18"/>
                <w:szCs w:val="18"/>
                <w:u w:val="double"/>
              </w:rPr>
              <w:t xml:space="preserve">in </w:t>
            </w:r>
            <w:r w:rsidRPr="003C15F7">
              <w:rPr>
                <w:rFonts w:ascii="Arial" w:hAnsi="Arial" w:cs="Arial"/>
                <w:strike/>
                <w:sz w:val="18"/>
                <w:szCs w:val="18"/>
              </w:rPr>
              <w:t xml:space="preserve">of the </w:t>
            </w:r>
            <w:r w:rsidRPr="003C15F7">
              <w:rPr>
                <w:rFonts w:ascii="Arial" w:hAnsi="Arial" w:cs="Arial"/>
                <w:i/>
                <w:strike/>
                <w:sz w:val="18"/>
                <w:szCs w:val="18"/>
              </w:rPr>
              <w:t>aquaculture establishment</w:t>
            </w:r>
            <w:r w:rsidRPr="003C15F7">
              <w:rPr>
                <w:rFonts w:ascii="Arial" w:hAnsi="Arial" w:cs="Arial"/>
                <w:strike/>
                <w:sz w:val="18"/>
                <w:szCs w:val="18"/>
              </w:rPr>
              <w:t xml:space="preserve"> and</w:t>
            </w:r>
            <w:r w:rsidRPr="003C15F7">
              <w:rPr>
                <w:rFonts w:ascii="Arial" w:hAnsi="Arial" w:cs="Arial"/>
                <w:sz w:val="18"/>
                <w:szCs w:val="18"/>
              </w:rPr>
              <w:t xml:space="preserve"> possibly barriers to resumption of production</w:t>
            </w:r>
            <w:r w:rsidRPr="003C15F7">
              <w:rPr>
                <w:rFonts w:ascii="Arial" w:hAnsi="Arial" w:cs="Arial"/>
                <w:sz w:val="18"/>
                <w:szCs w:val="18"/>
                <w:u w:val="double"/>
              </w:rPr>
              <w:t>, and/or complete loss of trade, resulting in extreme financial loss</w:t>
            </w:r>
            <w:r w:rsidRPr="003C15F7">
              <w:rPr>
                <w:rFonts w:ascii="Arial" w:hAnsi="Arial" w:cs="Arial"/>
                <w:sz w:val="18"/>
                <w:szCs w:val="18"/>
              </w:rPr>
              <w:t>.</w:t>
            </w:r>
          </w:p>
        </w:tc>
      </w:tr>
    </w:tbl>
    <w:p w14:paraId="2FCCF5C2" w14:textId="77777777" w:rsidR="0094086E" w:rsidRPr="003C15F7" w:rsidRDefault="0094086E" w:rsidP="0094086E">
      <w:pPr>
        <w:spacing w:before="240" w:after="0" w:line="240" w:lineRule="auto"/>
        <w:jc w:val="both"/>
        <w:rPr>
          <w:rFonts w:ascii="Arial" w:hAnsi="Arial" w:cs="Arial"/>
          <w:b/>
          <w:sz w:val="18"/>
          <w:szCs w:val="18"/>
        </w:rPr>
      </w:pPr>
    </w:p>
    <w:p w14:paraId="6A1330B0" w14:textId="77777777" w:rsidR="00BC2523" w:rsidRDefault="00BC2523">
      <w:pPr>
        <w:rPr>
          <w:rFonts w:ascii="Arial" w:hAnsi="Arial" w:cs="Arial"/>
          <w:b/>
          <w:sz w:val="18"/>
          <w:szCs w:val="18"/>
        </w:rPr>
      </w:pPr>
      <w:r>
        <w:rPr>
          <w:rFonts w:ascii="Arial" w:hAnsi="Arial" w:cs="Arial"/>
          <w:b/>
          <w:sz w:val="18"/>
          <w:szCs w:val="18"/>
        </w:rPr>
        <w:br w:type="page"/>
      </w:r>
    </w:p>
    <w:p w14:paraId="24295421" w14:textId="77777777" w:rsidR="00BC2523" w:rsidRDefault="00BC2523" w:rsidP="00BC2523">
      <w:pPr>
        <w:spacing w:after="480" w:line="240" w:lineRule="auto"/>
        <w:ind w:left="425" w:hanging="425"/>
        <w:rPr>
          <w:szCs w:val="20"/>
        </w:rPr>
      </w:pPr>
      <w:r w:rsidRPr="008270D6">
        <w:rPr>
          <w:szCs w:val="20"/>
          <w:u w:val="single"/>
        </w:rPr>
        <w:lastRenderedPageBreak/>
        <w:t>Annex 2</w:t>
      </w:r>
      <w:r w:rsidRPr="008270D6">
        <w:rPr>
          <w:szCs w:val="20"/>
        </w:rPr>
        <w:t xml:space="preserve"> (contd)</w:t>
      </w:r>
    </w:p>
    <w:p w14:paraId="2B5BA529" w14:textId="532914E3" w:rsidR="0094086E" w:rsidRPr="003C15F7" w:rsidRDefault="0094086E" w:rsidP="0094086E">
      <w:pPr>
        <w:spacing w:before="240" w:after="0" w:line="240" w:lineRule="auto"/>
        <w:jc w:val="both"/>
        <w:rPr>
          <w:rFonts w:ascii="Arial" w:hAnsi="Arial" w:cs="Arial"/>
          <w:b/>
          <w:sz w:val="18"/>
          <w:szCs w:val="18"/>
        </w:rPr>
      </w:pPr>
      <w:r w:rsidRPr="003C15F7">
        <w:rPr>
          <w:rFonts w:ascii="Arial" w:hAnsi="Arial" w:cs="Arial"/>
          <w:b/>
          <w:sz w:val="18"/>
          <w:szCs w:val="18"/>
        </w:rPr>
        <w:t xml:space="preserve">Table 3. Matrix for </w:t>
      </w:r>
      <w:r w:rsidRPr="003C15F7">
        <w:rPr>
          <w:rFonts w:ascii="Arial" w:hAnsi="Arial" w:cs="Arial"/>
          <w:b/>
          <w:strike/>
          <w:sz w:val="18"/>
          <w:szCs w:val="18"/>
        </w:rPr>
        <w:t>assessing</w:t>
      </w:r>
      <w:r w:rsidRPr="003C15F7">
        <w:rPr>
          <w:rFonts w:ascii="Arial" w:hAnsi="Arial" w:cs="Arial"/>
          <w:b/>
          <w:sz w:val="18"/>
          <w:szCs w:val="18"/>
        </w:rPr>
        <w:t xml:space="preserve"> </w:t>
      </w:r>
      <w:r w:rsidRPr="003C15F7">
        <w:rPr>
          <w:rFonts w:ascii="Arial" w:hAnsi="Arial" w:cs="Arial"/>
          <w:b/>
          <w:sz w:val="18"/>
          <w:szCs w:val="18"/>
          <w:u w:val="double"/>
        </w:rPr>
        <w:t>estimating</w:t>
      </w:r>
      <w:r w:rsidRPr="003C15F7">
        <w:rPr>
          <w:rFonts w:ascii="Arial" w:hAnsi="Arial" w:cs="Arial"/>
          <w:b/>
          <w:sz w:val="18"/>
          <w:szCs w:val="18"/>
        </w:rPr>
        <w:t xml:space="preserve"> risk </w:t>
      </w:r>
    </w:p>
    <w:p w14:paraId="75DBE89D" w14:textId="2AF9638A" w:rsidR="0094086E" w:rsidRPr="003C15F7" w:rsidRDefault="0094086E" w:rsidP="0094086E">
      <w:pPr>
        <w:spacing w:before="240" w:after="0" w:line="240" w:lineRule="auto"/>
        <w:jc w:val="both"/>
        <w:rPr>
          <w:rFonts w:ascii="Arial" w:hAnsi="Arial" w:cs="Arial"/>
          <w:sz w:val="18"/>
          <w:szCs w:val="1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5"/>
        <w:gridCol w:w="1316"/>
        <w:gridCol w:w="1316"/>
        <w:gridCol w:w="1316"/>
        <w:gridCol w:w="1316"/>
        <w:gridCol w:w="1316"/>
        <w:gridCol w:w="1569"/>
      </w:tblGrid>
      <w:tr w:rsidR="0094086E" w:rsidRPr="003C15F7" w14:paraId="2568E6E2" w14:textId="77777777" w:rsidTr="00E51BAB">
        <w:tc>
          <w:tcPr>
            <w:tcW w:w="1315" w:type="dxa"/>
            <w:vMerge w:val="restart"/>
            <w:shd w:val="clear" w:color="auto" w:fill="auto"/>
            <w:textDirection w:val="btLr"/>
            <w:vAlign w:val="center"/>
          </w:tcPr>
          <w:p w14:paraId="1077BD42" w14:textId="77777777" w:rsidR="0094086E" w:rsidRPr="003C15F7" w:rsidRDefault="0094086E" w:rsidP="00E51BAB">
            <w:pPr>
              <w:spacing w:after="0"/>
              <w:ind w:left="113" w:right="113"/>
              <w:jc w:val="center"/>
              <w:rPr>
                <w:rFonts w:ascii="Arial" w:hAnsi="Arial" w:cs="Arial"/>
                <w:b/>
                <w:sz w:val="18"/>
                <w:szCs w:val="18"/>
              </w:rPr>
            </w:pPr>
            <w:r w:rsidRPr="003C15F7">
              <w:rPr>
                <w:rFonts w:ascii="Arial" w:hAnsi="Arial" w:cs="Arial"/>
                <w:b/>
                <w:sz w:val="18"/>
                <w:szCs w:val="18"/>
              </w:rPr>
              <w:t>Likelihood estimate</w:t>
            </w:r>
          </w:p>
        </w:tc>
        <w:tc>
          <w:tcPr>
            <w:tcW w:w="8149" w:type="dxa"/>
            <w:gridSpan w:val="6"/>
            <w:shd w:val="clear" w:color="auto" w:fill="auto"/>
          </w:tcPr>
          <w:p w14:paraId="5CA447F2" w14:textId="77777777" w:rsidR="0094086E" w:rsidRPr="003C15F7" w:rsidRDefault="0094086E" w:rsidP="00E51BAB">
            <w:pPr>
              <w:spacing w:after="0"/>
              <w:jc w:val="center"/>
              <w:rPr>
                <w:rFonts w:ascii="Arial" w:hAnsi="Arial" w:cs="Arial"/>
                <w:b/>
                <w:sz w:val="18"/>
                <w:szCs w:val="18"/>
              </w:rPr>
            </w:pPr>
            <w:r w:rsidRPr="003C15F7">
              <w:rPr>
                <w:rFonts w:ascii="Arial" w:hAnsi="Arial" w:cs="Arial"/>
                <w:sz w:val="18"/>
                <w:szCs w:val="18"/>
              </w:rPr>
              <w:t>Consequence rating</w:t>
            </w:r>
          </w:p>
        </w:tc>
      </w:tr>
      <w:tr w:rsidR="0094086E" w:rsidRPr="003C15F7" w14:paraId="626E8CDB" w14:textId="77777777" w:rsidTr="00E51BAB">
        <w:tc>
          <w:tcPr>
            <w:tcW w:w="1315" w:type="dxa"/>
            <w:vMerge/>
            <w:shd w:val="clear" w:color="auto" w:fill="auto"/>
          </w:tcPr>
          <w:p w14:paraId="446E2905" w14:textId="77777777" w:rsidR="0094086E" w:rsidRPr="003C15F7" w:rsidRDefault="0094086E" w:rsidP="00E51BAB">
            <w:pPr>
              <w:spacing w:after="0"/>
              <w:jc w:val="both"/>
              <w:rPr>
                <w:rFonts w:ascii="Arial" w:hAnsi="Arial" w:cs="Arial"/>
                <w:b/>
                <w:sz w:val="18"/>
                <w:szCs w:val="18"/>
              </w:rPr>
            </w:pPr>
          </w:p>
        </w:tc>
        <w:tc>
          <w:tcPr>
            <w:tcW w:w="1316" w:type="dxa"/>
            <w:shd w:val="clear" w:color="auto" w:fill="auto"/>
          </w:tcPr>
          <w:p w14:paraId="51287224" w14:textId="77777777" w:rsidR="0094086E" w:rsidRPr="003C15F7" w:rsidRDefault="0094086E" w:rsidP="00E51BAB">
            <w:pPr>
              <w:spacing w:after="0"/>
              <w:jc w:val="both"/>
              <w:rPr>
                <w:rFonts w:ascii="Arial" w:hAnsi="Arial" w:cs="Arial"/>
                <w:b/>
                <w:sz w:val="18"/>
                <w:szCs w:val="18"/>
              </w:rPr>
            </w:pPr>
          </w:p>
        </w:tc>
        <w:tc>
          <w:tcPr>
            <w:tcW w:w="1316" w:type="dxa"/>
            <w:tcBorders>
              <w:bottom w:val="single" w:sz="4" w:space="0" w:color="auto"/>
            </w:tcBorders>
            <w:shd w:val="clear" w:color="auto" w:fill="auto"/>
          </w:tcPr>
          <w:p w14:paraId="17AFBA4E"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insignificant</w:t>
            </w:r>
          </w:p>
        </w:tc>
        <w:tc>
          <w:tcPr>
            <w:tcW w:w="1316" w:type="dxa"/>
            <w:tcBorders>
              <w:bottom w:val="single" w:sz="4" w:space="0" w:color="auto"/>
            </w:tcBorders>
            <w:shd w:val="clear" w:color="auto" w:fill="auto"/>
          </w:tcPr>
          <w:p w14:paraId="4B8AF30A"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minor</w:t>
            </w:r>
          </w:p>
        </w:tc>
        <w:tc>
          <w:tcPr>
            <w:tcW w:w="1316" w:type="dxa"/>
            <w:tcBorders>
              <w:bottom w:val="single" w:sz="4" w:space="0" w:color="auto"/>
            </w:tcBorders>
            <w:shd w:val="clear" w:color="auto" w:fill="auto"/>
          </w:tcPr>
          <w:p w14:paraId="2C9AA305"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moderate</w:t>
            </w:r>
          </w:p>
        </w:tc>
        <w:tc>
          <w:tcPr>
            <w:tcW w:w="1316" w:type="dxa"/>
            <w:tcBorders>
              <w:bottom w:val="single" w:sz="4" w:space="0" w:color="auto"/>
            </w:tcBorders>
            <w:shd w:val="clear" w:color="auto" w:fill="auto"/>
          </w:tcPr>
          <w:p w14:paraId="436CCF3B"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major</w:t>
            </w:r>
          </w:p>
        </w:tc>
        <w:tc>
          <w:tcPr>
            <w:tcW w:w="1569" w:type="dxa"/>
            <w:tcBorders>
              <w:bottom w:val="single" w:sz="4" w:space="0" w:color="auto"/>
            </w:tcBorders>
            <w:shd w:val="clear" w:color="auto" w:fill="auto"/>
          </w:tcPr>
          <w:p w14:paraId="4056F129"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catastrophic</w:t>
            </w:r>
          </w:p>
        </w:tc>
      </w:tr>
      <w:tr w:rsidR="0094086E" w:rsidRPr="003C15F7" w14:paraId="6144BCA0" w14:textId="77777777" w:rsidTr="00E51BAB">
        <w:tc>
          <w:tcPr>
            <w:tcW w:w="1315" w:type="dxa"/>
            <w:vMerge/>
            <w:shd w:val="clear" w:color="auto" w:fill="auto"/>
          </w:tcPr>
          <w:p w14:paraId="461E9B07" w14:textId="77777777" w:rsidR="0094086E" w:rsidRPr="003C15F7" w:rsidRDefault="0094086E" w:rsidP="00E51BAB">
            <w:pPr>
              <w:spacing w:after="0"/>
              <w:jc w:val="both"/>
              <w:rPr>
                <w:rFonts w:ascii="Arial" w:hAnsi="Arial" w:cs="Arial"/>
                <w:b/>
                <w:sz w:val="18"/>
                <w:szCs w:val="18"/>
              </w:rPr>
            </w:pPr>
          </w:p>
        </w:tc>
        <w:tc>
          <w:tcPr>
            <w:tcW w:w="1316" w:type="dxa"/>
            <w:shd w:val="clear" w:color="auto" w:fill="auto"/>
          </w:tcPr>
          <w:p w14:paraId="1F2E43D8"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remote</w:t>
            </w:r>
          </w:p>
        </w:tc>
        <w:tc>
          <w:tcPr>
            <w:tcW w:w="1316" w:type="dxa"/>
            <w:tcBorders>
              <w:bottom w:val="single" w:sz="4" w:space="0" w:color="auto"/>
            </w:tcBorders>
            <w:shd w:val="clear" w:color="auto" w:fill="F2F2F2"/>
          </w:tcPr>
          <w:p w14:paraId="4CED8950"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negligible</w:t>
            </w:r>
          </w:p>
        </w:tc>
        <w:tc>
          <w:tcPr>
            <w:tcW w:w="1316" w:type="dxa"/>
            <w:shd w:val="clear" w:color="auto" w:fill="F2F2F2"/>
          </w:tcPr>
          <w:p w14:paraId="4FB9A5B7" w14:textId="77777777" w:rsidR="0094086E" w:rsidRPr="003C15F7" w:rsidDel="00535AF7" w:rsidRDefault="0094086E" w:rsidP="00E51BAB">
            <w:pPr>
              <w:spacing w:after="0"/>
              <w:jc w:val="center"/>
              <w:rPr>
                <w:rFonts w:ascii="Arial" w:hAnsi="Arial" w:cs="Arial"/>
                <w:sz w:val="18"/>
                <w:szCs w:val="18"/>
              </w:rPr>
            </w:pPr>
            <w:r w:rsidRPr="003C15F7">
              <w:rPr>
                <w:rFonts w:ascii="Arial" w:hAnsi="Arial" w:cs="Arial"/>
                <w:sz w:val="18"/>
                <w:szCs w:val="18"/>
              </w:rPr>
              <w:t>low</w:t>
            </w:r>
          </w:p>
        </w:tc>
        <w:tc>
          <w:tcPr>
            <w:tcW w:w="1316" w:type="dxa"/>
            <w:tcBorders>
              <w:bottom w:val="single" w:sz="4" w:space="0" w:color="auto"/>
            </w:tcBorders>
            <w:shd w:val="clear" w:color="auto" w:fill="F2F2F2"/>
          </w:tcPr>
          <w:p w14:paraId="20174DA7"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low</w:t>
            </w:r>
          </w:p>
        </w:tc>
        <w:tc>
          <w:tcPr>
            <w:tcW w:w="1316" w:type="dxa"/>
            <w:tcBorders>
              <w:bottom w:val="single" w:sz="4" w:space="0" w:color="auto"/>
            </w:tcBorders>
            <w:shd w:val="clear" w:color="auto" w:fill="F2F2F2"/>
          </w:tcPr>
          <w:p w14:paraId="390AAFEC"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low</w:t>
            </w:r>
          </w:p>
        </w:tc>
        <w:tc>
          <w:tcPr>
            <w:tcW w:w="1569" w:type="dxa"/>
            <w:tcBorders>
              <w:bottom w:val="single" w:sz="4" w:space="0" w:color="auto"/>
            </w:tcBorders>
            <w:shd w:val="clear" w:color="auto" w:fill="D9D9D9"/>
          </w:tcPr>
          <w:p w14:paraId="6A0BC9AC"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medium</w:t>
            </w:r>
          </w:p>
        </w:tc>
      </w:tr>
      <w:tr w:rsidR="0094086E" w:rsidRPr="003C15F7" w14:paraId="256AF0C0" w14:textId="77777777" w:rsidTr="00E51BAB">
        <w:tc>
          <w:tcPr>
            <w:tcW w:w="1315" w:type="dxa"/>
            <w:vMerge/>
            <w:shd w:val="clear" w:color="auto" w:fill="auto"/>
          </w:tcPr>
          <w:p w14:paraId="25052A9B" w14:textId="77777777" w:rsidR="0094086E" w:rsidRPr="003C15F7" w:rsidRDefault="0094086E" w:rsidP="00E51BAB">
            <w:pPr>
              <w:spacing w:after="0"/>
              <w:jc w:val="both"/>
              <w:rPr>
                <w:rFonts w:ascii="Arial" w:hAnsi="Arial" w:cs="Arial"/>
                <w:b/>
                <w:sz w:val="18"/>
                <w:szCs w:val="18"/>
              </w:rPr>
            </w:pPr>
          </w:p>
        </w:tc>
        <w:tc>
          <w:tcPr>
            <w:tcW w:w="1316" w:type="dxa"/>
            <w:shd w:val="clear" w:color="auto" w:fill="auto"/>
          </w:tcPr>
          <w:p w14:paraId="5240460A"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unlikely</w:t>
            </w:r>
          </w:p>
        </w:tc>
        <w:tc>
          <w:tcPr>
            <w:tcW w:w="1316" w:type="dxa"/>
            <w:shd w:val="clear" w:color="auto" w:fill="F2F2F2"/>
          </w:tcPr>
          <w:p w14:paraId="06CBBD49"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low</w:t>
            </w:r>
          </w:p>
        </w:tc>
        <w:tc>
          <w:tcPr>
            <w:tcW w:w="1316" w:type="dxa"/>
            <w:tcBorders>
              <w:bottom w:val="single" w:sz="4" w:space="0" w:color="auto"/>
            </w:tcBorders>
            <w:shd w:val="clear" w:color="auto" w:fill="F2F2F2"/>
          </w:tcPr>
          <w:p w14:paraId="51295037" w14:textId="77777777" w:rsidR="0094086E" w:rsidRPr="003C15F7" w:rsidDel="00535AF7" w:rsidRDefault="0094086E" w:rsidP="00E51BAB">
            <w:pPr>
              <w:spacing w:after="0"/>
              <w:jc w:val="center"/>
              <w:rPr>
                <w:rFonts w:ascii="Arial" w:hAnsi="Arial" w:cs="Arial"/>
                <w:sz w:val="18"/>
                <w:szCs w:val="18"/>
              </w:rPr>
            </w:pPr>
            <w:r w:rsidRPr="003C15F7">
              <w:rPr>
                <w:rFonts w:ascii="Arial" w:hAnsi="Arial" w:cs="Arial"/>
                <w:sz w:val="18"/>
                <w:szCs w:val="18"/>
              </w:rPr>
              <w:t>low</w:t>
            </w:r>
          </w:p>
        </w:tc>
        <w:tc>
          <w:tcPr>
            <w:tcW w:w="1316" w:type="dxa"/>
            <w:tcBorders>
              <w:bottom w:val="single" w:sz="4" w:space="0" w:color="auto"/>
            </w:tcBorders>
            <w:shd w:val="clear" w:color="auto" w:fill="D9D9D9"/>
          </w:tcPr>
          <w:p w14:paraId="38F73EC0"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medium</w:t>
            </w:r>
          </w:p>
        </w:tc>
        <w:tc>
          <w:tcPr>
            <w:tcW w:w="1316" w:type="dxa"/>
            <w:tcBorders>
              <w:bottom w:val="single" w:sz="4" w:space="0" w:color="auto"/>
            </w:tcBorders>
            <w:shd w:val="clear" w:color="auto" w:fill="D9D9D9"/>
          </w:tcPr>
          <w:p w14:paraId="002F0D64"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medium</w:t>
            </w:r>
          </w:p>
        </w:tc>
        <w:tc>
          <w:tcPr>
            <w:tcW w:w="1569" w:type="dxa"/>
            <w:shd w:val="clear" w:color="auto" w:fill="BFBFBF"/>
          </w:tcPr>
          <w:p w14:paraId="28216D4D"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high</w:t>
            </w:r>
          </w:p>
        </w:tc>
      </w:tr>
      <w:tr w:rsidR="0094086E" w:rsidRPr="003C15F7" w14:paraId="49486F06" w14:textId="77777777" w:rsidTr="00E51BAB">
        <w:tc>
          <w:tcPr>
            <w:tcW w:w="1315" w:type="dxa"/>
            <w:vMerge/>
            <w:shd w:val="clear" w:color="auto" w:fill="auto"/>
          </w:tcPr>
          <w:p w14:paraId="12A2CC72" w14:textId="77777777" w:rsidR="0094086E" w:rsidRPr="003C15F7" w:rsidRDefault="0094086E" w:rsidP="00E51BAB">
            <w:pPr>
              <w:spacing w:after="0"/>
              <w:jc w:val="both"/>
              <w:rPr>
                <w:rFonts w:ascii="Arial" w:hAnsi="Arial" w:cs="Arial"/>
                <w:b/>
                <w:sz w:val="18"/>
                <w:szCs w:val="18"/>
              </w:rPr>
            </w:pPr>
          </w:p>
        </w:tc>
        <w:tc>
          <w:tcPr>
            <w:tcW w:w="1316" w:type="dxa"/>
            <w:shd w:val="clear" w:color="auto" w:fill="auto"/>
          </w:tcPr>
          <w:p w14:paraId="0A89EAF6"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possible</w:t>
            </w:r>
          </w:p>
        </w:tc>
        <w:tc>
          <w:tcPr>
            <w:tcW w:w="1316" w:type="dxa"/>
            <w:shd w:val="clear" w:color="auto" w:fill="F2F2F2"/>
          </w:tcPr>
          <w:p w14:paraId="6807A606"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low</w:t>
            </w:r>
          </w:p>
        </w:tc>
        <w:tc>
          <w:tcPr>
            <w:tcW w:w="1316" w:type="dxa"/>
            <w:tcBorders>
              <w:bottom w:val="single" w:sz="4" w:space="0" w:color="auto"/>
            </w:tcBorders>
            <w:shd w:val="clear" w:color="auto" w:fill="D9D9D9"/>
          </w:tcPr>
          <w:p w14:paraId="08791909" w14:textId="77777777" w:rsidR="0094086E" w:rsidRPr="003C15F7" w:rsidDel="00535AF7" w:rsidRDefault="0094086E" w:rsidP="00E51BAB">
            <w:pPr>
              <w:spacing w:after="0"/>
              <w:jc w:val="center"/>
              <w:rPr>
                <w:rFonts w:ascii="Arial" w:hAnsi="Arial" w:cs="Arial"/>
                <w:sz w:val="18"/>
                <w:szCs w:val="18"/>
              </w:rPr>
            </w:pPr>
            <w:r w:rsidRPr="003C15F7">
              <w:rPr>
                <w:rFonts w:ascii="Arial" w:hAnsi="Arial" w:cs="Arial"/>
                <w:sz w:val="18"/>
                <w:szCs w:val="18"/>
              </w:rPr>
              <w:t>medium</w:t>
            </w:r>
          </w:p>
        </w:tc>
        <w:tc>
          <w:tcPr>
            <w:tcW w:w="1316" w:type="dxa"/>
            <w:tcBorders>
              <w:top w:val="single" w:sz="4" w:space="0" w:color="auto"/>
              <w:bottom w:val="single" w:sz="4" w:space="0" w:color="auto"/>
            </w:tcBorders>
            <w:shd w:val="clear" w:color="auto" w:fill="D9D9D9"/>
          </w:tcPr>
          <w:p w14:paraId="28C2347B"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medium</w:t>
            </w:r>
          </w:p>
        </w:tc>
        <w:tc>
          <w:tcPr>
            <w:tcW w:w="1316" w:type="dxa"/>
            <w:shd w:val="clear" w:color="auto" w:fill="BFBFBF"/>
          </w:tcPr>
          <w:p w14:paraId="3D640DBA"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high</w:t>
            </w:r>
          </w:p>
        </w:tc>
        <w:tc>
          <w:tcPr>
            <w:tcW w:w="1569" w:type="dxa"/>
            <w:tcBorders>
              <w:bottom w:val="single" w:sz="4" w:space="0" w:color="auto"/>
            </w:tcBorders>
            <w:shd w:val="clear" w:color="auto" w:fill="BFBFBF"/>
          </w:tcPr>
          <w:p w14:paraId="426F7781"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high</w:t>
            </w:r>
          </w:p>
        </w:tc>
      </w:tr>
      <w:tr w:rsidR="0094086E" w:rsidRPr="003C15F7" w14:paraId="6B1CDA45" w14:textId="77777777" w:rsidTr="00E51BAB">
        <w:tc>
          <w:tcPr>
            <w:tcW w:w="1315" w:type="dxa"/>
            <w:vMerge/>
            <w:shd w:val="clear" w:color="auto" w:fill="auto"/>
          </w:tcPr>
          <w:p w14:paraId="7AD806E1" w14:textId="77777777" w:rsidR="0094086E" w:rsidRPr="003C15F7" w:rsidRDefault="0094086E" w:rsidP="00E51BAB">
            <w:pPr>
              <w:spacing w:after="0"/>
              <w:jc w:val="both"/>
              <w:rPr>
                <w:rFonts w:ascii="Arial" w:hAnsi="Arial" w:cs="Arial"/>
                <w:b/>
                <w:sz w:val="18"/>
                <w:szCs w:val="18"/>
              </w:rPr>
            </w:pPr>
          </w:p>
        </w:tc>
        <w:tc>
          <w:tcPr>
            <w:tcW w:w="1316" w:type="dxa"/>
            <w:shd w:val="clear" w:color="auto" w:fill="auto"/>
          </w:tcPr>
          <w:p w14:paraId="4C8CCD70"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likely</w:t>
            </w:r>
          </w:p>
        </w:tc>
        <w:tc>
          <w:tcPr>
            <w:tcW w:w="1316" w:type="dxa"/>
            <w:tcBorders>
              <w:bottom w:val="single" w:sz="4" w:space="0" w:color="auto"/>
            </w:tcBorders>
            <w:shd w:val="clear" w:color="auto" w:fill="F2F2F2"/>
          </w:tcPr>
          <w:p w14:paraId="50B22A83"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low</w:t>
            </w:r>
          </w:p>
        </w:tc>
        <w:tc>
          <w:tcPr>
            <w:tcW w:w="1316" w:type="dxa"/>
            <w:tcBorders>
              <w:top w:val="single" w:sz="4" w:space="0" w:color="auto"/>
              <w:bottom w:val="single" w:sz="4" w:space="0" w:color="auto"/>
            </w:tcBorders>
            <w:shd w:val="clear" w:color="auto" w:fill="D9D9D9"/>
          </w:tcPr>
          <w:p w14:paraId="5E15C1D9" w14:textId="77777777" w:rsidR="0094086E" w:rsidRPr="003C15F7" w:rsidDel="00535AF7" w:rsidRDefault="0094086E" w:rsidP="00E51BAB">
            <w:pPr>
              <w:spacing w:after="0"/>
              <w:jc w:val="center"/>
              <w:rPr>
                <w:rFonts w:ascii="Arial" w:hAnsi="Arial" w:cs="Arial"/>
                <w:sz w:val="18"/>
                <w:szCs w:val="18"/>
              </w:rPr>
            </w:pPr>
            <w:r w:rsidRPr="003C15F7">
              <w:rPr>
                <w:rFonts w:ascii="Arial" w:hAnsi="Arial" w:cs="Arial"/>
                <w:sz w:val="18"/>
                <w:szCs w:val="18"/>
              </w:rPr>
              <w:t>medium</w:t>
            </w:r>
          </w:p>
        </w:tc>
        <w:tc>
          <w:tcPr>
            <w:tcW w:w="1316" w:type="dxa"/>
            <w:shd w:val="clear" w:color="auto" w:fill="BFBFBF"/>
          </w:tcPr>
          <w:p w14:paraId="03BA8F02"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high</w:t>
            </w:r>
          </w:p>
        </w:tc>
        <w:tc>
          <w:tcPr>
            <w:tcW w:w="1316" w:type="dxa"/>
            <w:tcBorders>
              <w:bottom w:val="single" w:sz="4" w:space="0" w:color="auto"/>
            </w:tcBorders>
            <w:shd w:val="clear" w:color="auto" w:fill="BFBFBF"/>
          </w:tcPr>
          <w:p w14:paraId="270CE5CB"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high</w:t>
            </w:r>
          </w:p>
        </w:tc>
        <w:tc>
          <w:tcPr>
            <w:tcW w:w="1569" w:type="dxa"/>
            <w:tcBorders>
              <w:bottom w:val="single" w:sz="4" w:space="0" w:color="auto"/>
            </w:tcBorders>
            <w:shd w:val="clear" w:color="auto" w:fill="A6A6A6"/>
          </w:tcPr>
          <w:p w14:paraId="34D85AB6"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extreme</w:t>
            </w:r>
          </w:p>
        </w:tc>
      </w:tr>
      <w:tr w:rsidR="0094086E" w:rsidRPr="003C15F7" w14:paraId="50DB0239" w14:textId="77777777" w:rsidTr="00E51BAB">
        <w:tc>
          <w:tcPr>
            <w:tcW w:w="1315" w:type="dxa"/>
            <w:vMerge/>
            <w:shd w:val="clear" w:color="auto" w:fill="auto"/>
          </w:tcPr>
          <w:p w14:paraId="4CEE8752" w14:textId="77777777" w:rsidR="0094086E" w:rsidRPr="003C15F7" w:rsidRDefault="0094086E" w:rsidP="00E51BAB">
            <w:pPr>
              <w:spacing w:after="0"/>
              <w:jc w:val="both"/>
              <w:rPr>
                <w:rFonts w:ascii="Arial" w:hAnsi="Arial" w:cs="Arial"/>
                <w:b/>
                <w:sz w:val="18"/>
                <w:szCs w:val="18"/>
              </w:rPr>
            </w:pPr>
          </w:p>
        </w:tc>
        <w:tc>
          <w:tcPr>
            <w:tcW w:w="1316" w:type="dxa"/>
            <w:shd w:val="clear" w:color="auto" w:fill="auto"/>
          </w:tcPr>
          <w:p w14:paraId="75CA312C" w14:textId="77777777" w:rsidR="0094086E" w:rsidRPr="003C15F7" w:rsidRDefault="0094086E" w:rsidP="00E51BAB">
            <w:pPr>
              <w:spacing w:after="0"/>
              <w:jc w:val="center"/>
              <w:rPr>
                <w:rFonts w:ascii="Arial" w:hAnsi="Arial" w:cs="Arial"/>
                <w:sz w:val="18"/>
                <w:szCs w:val="18"/>
              </w:rPr>
            </w:pPr>
            <w:r w:rsidRPr="003C15F7">
              <w:rPr>
                <w:rFonts w:ascii="Arial" w:hAnsi="Arial" w:cs="Arial"/>
                <w:sz w:val="18"/>
                <w:szCs w:val="18"/>
              </w:rPr>
              <w:t>certain</w:t>
            </w:r>
          </w:p>
        </w:tc>
        <w:tc>
          <w:tcPr>
            <w:tcW w:w="1316" w:type="dxa"/>
            <w:shd w:val="clear" w:color="auto" w:fill="D9D9D9"/>
          </w:tcPr>
          <w:p w14:paraId="68CD63C3" w14:textId="77777777" w:rsidR="0094086E" w:rsidRPr="003C15F7" w:rsidDel="00535AF7" w:rsidRDefault="0094086E" w:rsidP="00E51BAB">
            <w:pPr>
              <w:spacing w:after="0"/>
              <w:jc w:val="center"/>
              <w:rPr>
                <w:rFonts w:ascii="Arial" w:hAnsi="Arial" w:cs="Arial"/>
                <w:sz w:val="18"/>
                <w:szCs w:val="18"/>
                <w:u w:val="double"/>
              </w:rPr>
            </w:pPr>
            <w:r w:rsidRPr="00685B5C">
              <w:rPr>
                <w:rFonts w:ascii="Arial" w:hAnsi="Arial" w:cs="Arial"/>
                <w:strike/>
                <w:sz w:val="18"/>
                <w:szCs w:val="18"/>
                <w:highlight w:val="yellow"/>
              </w:rPr>
              <w:t>medium</w:t>
            </w:r>
            <w:r w:rsidRPr="003C15F7">
              <w:rPr>
                <w:rFonts w:ascii="Arial" w:hAnsi="Arial" w:cs="Arial"/>
                <w:sz w:val="18"/>
                <w:szCs w:val="18"/>
                <w:highlight w:val="yellow"/>
                <w:u w:val="double"/>
              </w:rPr>
              <w:t xml:space="preserve"> low</w:t>
            </w:r>
          </w:p>
        </w:tc>
        <w:tc>
          <w:tcPr>
            <w:tcW w:w="1316" w:type="dxa"/>
            <w:shd w:val="clear" w:color="auto" w:fill="BFBFBF"/>
          </w:tcPr>
          <w:p w14:paraId="2A791691" w14:textId="77777777" w:rsidR="0094086E" w:rsidRPr="003C15F7" w:rsidDel="00535AF7" w:rsidRDefault="0094086E" w:rsidP="00E51BAB">
            <w:pPr>
              <w:spacing w:after="0"/>
              <w:jc w:val="center"/>
              <w:rPr>
                <w:rFonts w:ascii="Arial" w:hAnsi="Arial" w:cs="Arial"/>
                <w:sz w:val="18"/>
                <w:szCs w:val="18"/>
              </w:rPr>
            </w:pPr>
            <w:r w:rsidRPr="003C15F7">
              <w:rPr>
                <w:rFonts w:ascii="Arial" w:hAnsi="Arial" w:cs="Arial"/>
                <w:sz w:val="18"/>
                <w:szCs w:val="18"/>
              </w:rPr>
              <w:t>high</w:t>
            </w:r>
          </w:p>
        </w:tc>
        <w:tc>
          <w:tcPr>
            <w:tcW w:w="1316" w:type="dxa"/>
            <w:shd w:val="clear" w:color="auto" w:fill="BFBFBF"/>
          </w:tcPr>
          <w:p w14:paraId="026393A5" w14:textId="77777777" w:rsidR="0094086E" w:rsidRPr="003C15F7" w:rsidDel="00535AF7" w:rsidRDefault="0094086E" w:rsidP="00E51BAB">
            <w:pPr>
              <w:spacing w:after="0"/>
              <w:jc w:val="center"/>
              <w:rPr>
                <w:rFonts w:ascii="Arial" w:hAnsi="Arial" w:cs="Arial"/>
                <w:sz w:val="18"/>
                <w:szCs w:val="18"/>
              </w:rPr>
            </w:pPr>
            <w:r w:rsidRPr="003C15F7">
              <w:rPr>
                <w:rFonts w:ascii="Arial" w:hAnsi="Arial" w:cs="Arial"/>
                <w:sz w:val="18"/>
                <w:szCs w:val="18"/>
              </w:rPr>
              <w:t>high</w:t>
            </w:r>
          </w:p>
        </w:tc>
        <w:tc>
          <w:tcPr>
            <w:tcW w:w="1316" w:type="dxa"/>
            <w:shd w:val="clear" w:color="auto" w:fill="A6A6A6"/>
          </w:tcPr>
          <w:p w14:paraId="4123C1AF" w14:textId="77777777" w:rsidR="0094086E" w:rsidRPr="003C15F7" w:rsidDel="00535AF7" w:rsidRDefault="0094086E" w:rsidP="00E51BAB">
            <w:pPr>
              <w:spacing w:after="0"/>
              <w:jc w:val="center"/>
              <w:rPr>
                <w:rFonts w:ascii="Arial" w:hAnsi="Arial" w:cs="Arial"/>
                <w:sz w:val="18"/>
                <w:szCs w:val="18"/>
              </w:rPr>
            </w:pPr>
            <w:r w:rsidRPr="003C15F7">
              <w:rPr>
                <w:rFonts w:ascii="Arial" w:hAnsi="Arial" w:cs="Arial"/>
                <w:sz w:val="18"/>
                <w:szCs w:val="18"/>
              </w:rPr>
              <w:t>extreme</w:t>
            </w:r>
          </w:p>
        </w:tc>
        <w:tc>
          <w:tcPr>
            <w:tcW w:w="1569" w:type="dxa"/>
            <w:shd w:val="clear" w:color="auto" w:fill="A6A6A6"/>
          </w:tcPr>
          <w:p w14:paraId="13CA3EE1" w14:textId="77777777" w:rsidR="0094086E" w:rsidRPr="003C15F7" w:rsidDel="00535AF7" w:rsidRDefault="0094086E" w:rsidP="00E51BAB">
            <w:pPr>
              <w:spacing w:after="0"/>
              <w:jc w:val="center"/>
              <w:rPr>
                <w:rFonts w:ascii="Arial" w:hAnsi="Arial" w:cs="Arial"/>
                <w:sz w:val="18"/>
                <w:szCs w:val="18"/>
              </w:rPr>
            </w:pPr>
            <w:r w:rsidRPr="003C15F7">
              <w:rPr>
                <w:rFonts w:ascii="Arial" w:hAnsi="Arial" w:cs="Arial"/>
                <w:sz w:val="18"/>
                <w:szCs w:val="18"/>
              </w:rPr>
              <w:t>extreme</w:t>
            </w:r>
          </w:p>
        </w:tc>
      </w:tr>
    </w:tbl>
    <w:p w14:paraId="7CF11F4B" w14:textId="77777777" w:rsidR="0094086E" w:rsidRPr="003C15F7" w:rsidRDefault="0094086E" w:rsidP="0094086E">
      <w:pPr>
        <w:spacing w:after="0"/>
        <w:jc w:val="both"/>
        <w:rPr>
          <w:rFonts w:ascii="Arial" w:hAnsi="Arial" w:cs="Arial"/>
          <w:b/>
          <w:sz w:val="18"/>
          <w:szCs w:val="18"/>
        </w:rPr>
      </w:pPr>
    </w:p>
    <w:p w14:paraId="494A713D" w14:textId="22E168C0" w:rsidR="0094086E" w:rsidRPr="003C15F7" w:rsidRDefault="007D03EB" w:rsidP="0094086E">
      <w:pPr>
        <w:spacing w:after="0"/>
        <w:jc w:val="both"/>
        <w:rPr>
          <w:rFonts w:ascii="Arial" w:hAnsi="Arial" w:cs="Arial"/>
          <w:sz w:val="18"/>
          <w:szCs w:val="18"/>
        </w:rPr>
      </w:pPr>
      <w:r w:rsidRPr="003C15F7">
        <w:rPr>
          <w:rFonts w:ascii="Arial" w:hAnsi="Arial" w:cs="Arial"/>
          <w:strike/>
          <w:sz w:val="18"/>
          <w:szCs w:val="18"/>
        </w:rPr>
        <w:t xml:space="preserve">Results of </w:t>
      </w:r>
      <w:r w:rsidRPr="003C15F7">
        <w:rPr>
          <w:rFonts w:ascii="Arial" w:hAnsi="Arial" w:cs="Arial"/>
          <w:i/>
          <w:strike/>
          <w:sz w:val="18"/>
          <w:szCs w:val="18"/>
          <w:highlight w:val="yellow"/>
          <w:u w:val="double"/>
        </w:rPr>
        <w:t>r</w:t>
      </w:r>
      <w:r w:rsidRPr="003C15F7">
        <w:rPr>
          <w:rFonts w:ascii="Arial" w:hAnsi="Arial" w:cs="Arial"/>
          <w:i/>
          <w:sz w:val="18"/>
          <w:szCs w:val="18"/>
          <w:u w:val="double"/>
        </w:rPr>
        <w:t>Risk</w:t>
      </w:r>
      <w:r w:rsidRPr="003C15F7">
        <w:rPr>
          <w:rFonts w:ascii="Arial" w:hAnsi="Arial" w:cs="Arial"/>
          <w:i/>
          <w:sz w:val="18"/>
          <w:szCs w:val="18"/>
        </w:rPr>
        <w:t xml:space="preserve"> assessment</w:t>
      </w:r>
      <w:r w:rsidRPr="003C15F7">
        <w:rPr>
          <w:rFonts w:ascii="Arial" w:hAnsi="Arial" w:cs="Arial"/>
          <w:i/>
          <w:sz w:val="18"/>
          <w:szCs w:val="18"/>
          <w:u w:val="double"/>
        </w:rPr>
        <w:t>s</w:t>
      </w:r>
      <w:r w:rsidRPr="003C15F7">
        <w:rPr>
          <w:rFonts w:ascii="Arial" w:hAnsi="Arial" w:cs="Arial"/>
          <w:i/>
          <w:sz w:val="18"/>
          <w:szCs w:val="18"/>
        </w:rPr>
        <w:t xml:space="preserve"> </w:t>
      </w:r>
      <w:r w:rsidRPr="003C15F7">
        <w:rPr>
          <w:rFonts w:ascii="Arial" w:hAnsi="Arial" w:cs="Arial"/>
          <w:sz w:val="18"/>
          <w:szCs w:val="18"/>
        </w:rPr>
        <w:t>inform</w:t>
      </w:r>
      <w:r w:rsidRPr="003C15F7">
        <w:rPr>
          <w:rFonts w:ascii="Arial" w:hAnsi="Arial" w:cs="Arial"/>
          <w:strike/>
          <w:sz w:val="18"/>
          <w:szCs w:val="18"/>
        </w:rPr>
        <w:t>s</w:t>
      </w:r>
      <w:r w:rsidRPr="003C15F7">
        <w:rPr>
          <w:rFonts w:ascii="Arial" w:hAnsi="Arial" w:cs="Arial"/>
          <w:sz w:val="18"/>
          <w:szCs w:val="18"/>
        </w:rPr>
        <w:t xml:space="preserve"> which </w:t>
      </w:r>
      <w:r w:rsidRPr="00685B5C">
        <w:rPr>
          <w:rFonts w:ascii="Arial" w:hAnsi="Arial" w:cs="Arial"/>
          <w:strike/>
          <w:sz w:val="18"/>
          <w:szCs w:val="18"/>
          <w:highlight w:val="yellow"/>
        </w:rPr>
        <w:t>biological</w:t>
      </w:r>
      <w:r w:rsidRPr="003C15F7">
        <w:rPr>
          <w:rFonts w:ascii="Arial" w:hAnsi="Arial" w:cs="Arial"/>
          <w:sz w:val="18"/>
          <w:szCs w:val="18"/>
        </w:rPr>
        <w:t xml:space="preserve"> </w:t>
      </w:r>
      <w:r w:rsidRPr="003C15F7">
        <w:rPr>
          <w:rFonts w:ascii="Arial" w:hAnsi="Arial" w:cs="Arial"/>
          <w:i/>
          <w:sz w:val="18"/>
          <w:szCs w:val="18"/>
        </w:rPr>
        <w:t>hazards</w:t>
      </w:r>
      <w:r w:rsidRPr="003C15F7">
        <w:rPr>
          <w:rFonts w:ascii="Arial" w:hAnsi="Arial" w:cs="Arial"/>
          <w:sz w:val="18"/>
          <w:szCs w:val="18"/>
        </w:rPr>
        <w:t xml:space="preserve"> need to be addressed, which critical control points on the transmission pathway should be targeted, and the measures </w:t>
      </w:r>
      <w:r w:rsidRPr="003C15F7">
        <w:rPr>
          <w:rFonts w:ascii="Arial" w:hAnsi="Arial" w:cs="Arial"/>
          <w:strike/>
          <w:sz w:val="18"/>
          <w:szCs w:val="18"/>
        </w:rPr>
        <w:t>which</w:t>
      </w:r>
      <w:r w:rsidRPr="003C15F7">
        <w:rPr>
          <w:rFonts w:ascii="Arial" w:hAnsi="Arial" w:cs="Arial"/>
          <w:sz w:val="18"/>
          <w:szCs w:val="18"/>
        </w:rPr>
        <w:t xml:space="preserve"> </w:t>
      </w:r>
      <w:r w:rsidRPr="003C15F7">
        <w:rPr>
          <w:rFonts w:ascii="Arial" w:hAnsi="Arial" w:cs="Arial"/>
          <w:sz w:val="18"/>
          <w:szCs w:val="18"/>
          <w:u w:val="double"/>
        </w:rPr>
        <w:t>that</w:t>
      </w:r>
      <w:r w:rsidRPr="003C15F7">
        <w:rPr>
          <w:rFonts w:ascii="Arial" w:hAnsi="Arial" w:cs="Arial"/>
          <w:sz w:val="18"/>
          <w:szCs w:val="18"/>
        </w:rPr>
        <w:t xml:space="preserve"> are most likely to be effective in reducing </w:t>
      </w:r>
      <w:r w:rsidRPr="003C15F7">
        <w:rPr>
          <w:rFonts w:ascii="Arial" w:hAnsi="Arial" w:cs="Arial"/>
          <w:i/>
          <w:sz w:val="18"/>
          <w:szCs w:val="18"/>
        </w:rPr>
        <w:t>risk</w:t>
      </w:r>
      <w:r w:rsidRPr="003C15F7">
        <w:rPr>
          <w:rFonts w:ascii="Arial" w:hAnsi="Arial" w:cs="Arial"/>
          <w:sz w:val="18"/>
          <w:szCs w:val="18"/>
        </w:rPr>
        <w:t>.</w:t>
      </w:r>
    </w:p>
    <w:p w14:paraId="3C7C6411" w14:textId="77777777" w:rsidR="007D03EB" w:rsidRPr="003C15F7" w:rsidRDefault="007D03EB" w:rsidP="0094086E">
      <w:pPr>
        <w:spacing w:after="0"/>
        <w:jc w:val="both"/>
        <w:rPr>
          <w:rFonts w:ascii="Arial" w:hAnsi="Arial" w:cs="Arial"/>
          <w:b/>
          <w:sz w:val="18"/>
          <w:szCs w:val="18"/>
        </w:rPr>
      </w:pPr>
    </w:p>
    <w:p w14:paraId="47E707B4" w14:textId="77777777" w:rsidR="0094086E" w:rsidRPr="003C15F7" w:rsidRDefault="0094086E" w:rsidP="0094086E">
      <w:pPr>
        <w:spacing w:after="240" w:line="240" w:lineRule="auto"/>
        <w:ind w:left="709" w:hanging="709"/>
        <w:jc w:val="both"/>
        <w:rPr>
          <w:rFonts w:ascii="Arial" w:hAnsi="Arial" w:cs="Arial"/>
          <w:b/>
          <w:sz w:val="18"/>
          <w:szCs w:val="18"/>
        </w:rPr>
      </w:pPr>
      <w:bookmarkStart w:id="63" w:name="_Hlk36542307"/>
      <w:r w:rsidRPr="003C15F7">
        <w:rPr>
          <w:rFonts w:ascii="Arial" w:hAnsi="Arial" w:cs="Arial"/>
          <w:b/>
          <w:sz w:val="18"/>
          <w:szCs w:val="18"/>
        </w:rPr>
        <w:t>Table 4. Interpretation of risk estimates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512"/>
      </w:tblGrid>
      <w:tr w:rsidR="0094086E" w:rsidRPr="003C15F7" w14:paraId="3E2AA9AE" w14:textId="77777777" w:rsidTr="00E51BAB">
        <w:tc>
          <w:tcPr>
            <w:tcW w:w="1668" w:type="dxa"/>
            <w:shd w:val="clear" w:color="auto" w:fill="auto"/>
          </w:tcPr>
          <w:p w14:paraId="051F565E" w14:textId="77777777" w:rsidR="0094086E" w:rsidRPr="003C15F7" w:rsidRDefault="0094086E" w:rsidP="00E51BAB">
            <w:pPr>
              <w:spacing w:before="40" w:after="40" w:line="240" w:lineRule="auto"/>
              <w:rPr>
                <w:rFonts w:ascii="Arial" w:hAnsi="Arial" w:cs="Arial"/>
                <w:b/>
                <w:sz w:val="18"/>
                <w:szCs w:val="18"/>
              </w:rPr>
            </w:pPr>
            <w:r w:rsidRPr="003C15F7">
              <w:rPr>
                <w:rFonts w:ascii="Arial" w:hAnsi="Arial" w:cs="Arial"/>
                <w:b/>
                <w:i/>
                <w:sz w:val="18"/>
                <w:szCs w:val="18"/>
              </w:rPr>
              <w:t>Risk</w:t>
            </w:r>
            <w:r w:rsidRPr="003C15F7">
              <w:rPr>
                <w:rFonts w:ascii="Arial" w:hAnsi="Arial" w:cs="Arial"/>
                <w:b/>
                <w:sz w:val="18"/>
                <w:szCs w:val="18"/>
              </w:rPr>
              <w:t xml:space="preserve"> </w:t>
            </w:r>
            <w:r w:rsidRPr="003C15F7">
              <w:rPr>
                <w:rFonts w:ascii="Arial" w:hAnsi="Arial" w:cs="Arial"/>
                <w:b/>
                <w:strike/>
                <w:sz w:val="18"/>
                <w:szCs w:val="18"/>
              </w:rPr>
              <w:t>level</w:t>
            </w:r>
            <w:r w:rsidRPr="003C15F7">
              <w:rPr>
                <w:rFonts w:ascii="Arial" w:hAnsi="Arial" w:cs="Arial"/>
                <w:b/>
                <w:sz w:val="18"/>
                <w:szCs w:val="18"/>
              </w:rPr>
              <w:t xml:space="preserve"> </w:t>
            </w:r>
            <w:r w:rsidRPr="003C15F7">
              <w:rPr>
                <w:rFonts w:ascii="Arial" w:hAnsi="Arial" w:cs="Arial"/>
                <w:b/>
                <w:sz w:val="18"/>
                <w:szCs w:val="18"/>
                <w:u w:val="double"/>
              </w:rPr>
              <w:t>estimate</w:t>
            </w:r>
            <w:r w:rsidRPr="003C15F7">
              <w:rPr>
                <w:rFonts w:ascii="Arial" w:hAnsi="Arial" w:cs="Arial"/>
                <w:b/>
                <w:sz w:val="18"/>
                <w:szCs w:val="18"/>
              </w:rPr>
              <w:t>*</w:t>
            </w:r>
          </w:p>
        </w:tc>
        <w:tc>
          <w:tcPr>
            <w:tcW w:w="7512" w:type="dxa"/>
            <w:shd w:val="clear" w:color="auto" w:fill="auto"/>
          </w:tcPr>
          <w:p w14:paraId="1E40FCB0" w14:textId="77777777" w:rsidR="0094086E" w:rsidRPr="003C15F7" w:rsidRDefault="0094086E" w:rsidP="00E51BAB">
            <w:pPr>
              <w:spacing w:before="40" w:after="40" w:line="240" w:lineRule="auto"/>
              <w:rPr>
                <w:rFonts w:ascii="Arial" w:hAnsi="Arial" w:cs="Arial"/>
                <w:b/>
                <w:sz w:val="18"/>
                <w:szCs w:val="18"/>
              </w:rPr>
            </w:pPr>
            <w:r w:rsidRPr="003C15F7">
              <w:rPr>
                <w:rFonts w:ascii="Arial" w:hAnsi="Arial" w:cs="Arial"/>
                <w:b/>
                <w:sz w:val="18"/>
                <w:szCs w:val="18"/>
              </w:rPr>
              <w:t>Explanation and management response</w:t>
            </w:r>
          </w:p>
        </w:tc>
      </w:tr>
      <w:tr w:rsidR="0094086E" w:rsidRPr="003C15F7" w14:paraId="79C21472" w14:textId="77777777" w:rsidTr="00E51BAB">
        <w:tc>
          <w:tcPr>
            <w:tcW w:w="1668" w:type="dxa"/>
            <w:shd w:val="clear" w:color="auto" w:fill="auto"/>
          </w:tcPr>
          <w:p w14:paraId="05BC4577"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Negligible</w:t>
            </w:r>
          </w:p>
        </w:tc>
        <w:tc>
          <w:tcPr>
            <w:tcW w:w="7512" w:type="dxa"/>
            <w:shd w:val="clear" w:color="auto" w:fill="auto"/>
          </w:tcPr>
          <w:p w14:paraId="22C1A420"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 xml:space="preserve">Acceptable level of </w:t>
            </w:r>
            <w:r w:rsidRPr="003C15F7">
              <w:rPr>
                <w:rFonts w:ascii="Arial" w:hAnsi="Arial" w:cs="Arial"/>
                <w:i/>
                <w:sz w:val="18"/>
                <w:szCs w:val="18"/>
              </w:rPr>
              <w:t>risk</w:t>
            </w:r>
            <w:r w:rsidRPr="003C15F7">
              <w:rPr>
                <w:rFonts w:ascii="Arial" w:hAnsi="Arial" w:cs="Arial"/>
                <w:sz w:val="18"/>
                <w:szCs w:val="18"/>
              </w:rPr>
              <w:t>. No action required.</w:t>
            </w:r>
          </w:p>
        </w:tc>
      </w:tr>
      <w:tr w:rsidR="0094086E" w:rsidRPr="003C15F7" w14:paraId="07AF8EC3" w14:textId="77777777" w:rsidTr="00E51BAB">
        <w:tc>
          <w:tcPr>
            <w:tcW w:w="1668" w:type="dxa"/>
            <w:shd w:val="clear" w:color="auto" w:fill="auto"/>
          </w:tcPr>
          <w:p w14:paraId="25975BCB"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Low</w:t>
            </w:r>
          </w:p>
        </w:tc>
        <w:tc>
          <w:tcPr>
            <w:tcW w:w="7512" w:type="dxa"/>
            <w:shd w:val="clear" w:color="auto" w:fill="auto"/>
          </w:tcPr>
          <w:p w14:paraId="3AA93052"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 xml:space="preserve">Acceptable level of </w:t>
            </w:r>
            <w:r w:rsidRPr="003C15F7">
              <w:rPr>
                <w:rFonts w:ascii="Arial" w:hAnsi="Arial" w:cs="Arial"/>
                <w:i/>
                <w:sz w:val="18"/>
                <w:szCs w:val="18"/>
              </w:rPr>
              <w:t>risk</w:t>
            </w:r>
            <w:r w:rsidRPr="003C15F7">
              <w:rPr>
                <w:rFonts w:ascii="Arial" w:hAnsi="Arial" w:cs="Arial"/>
                <w:sz w:val="18"/>
                <w:szCs w:val="18"/>
              </w:rPr>
              <w:t>. On-going monitoring may be required.</w:t>
            </w:r>
          </w:p>
        </w:tc>
      </w:tr>
      <w:tr w:rsidR="0094086E" w:rsidRPr="003C15F7" w14:paraId="0B438892" w14:textId="77777777" w:rsidTr="00E51BAB">
        <w:tc>
          <w:tcPr>
            <w:tcW w:w="1668" w:type="dxa"/>
            <w:shd w:val="clear" w:color="auto" w:fill="auto"/>
          </w:tcPr>
          <w:p w14:paraId="75048190"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Medium</w:t>
            </w:r>
          </w:p>
        </w:tc>
        <w:tc>
          <w:tcPr>
            <w:tcW w:w="7512" w:type="dxa"/>
            <w:shd w:val="clear" w:color="auto" w:fill="auto"/>
          </w:tcPr>
          <w:p w14:paraId="48EB7064"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 xml:space="preserve">Unacceptable level of </w:t>
            </w:r>
            <w:r w:rsidRPr="003C15F7">
              <w:rPr>
                <w:rFonts w:ascii="Arial" w:hAnsi="Arial" w:cs="Arial"/>
                <w:i/>
                <w:sz w:val="18"/>
                <w:szCs w:val="18"/>
              </w:rPr>
              <w:t>risk</w:t>
            </w:r>
            <w:r w:rsidRPr="003C15F7">
              <w:rPr>
                <w:rFonts w:ascii="Arial" w:hAnsi="Arial" w:cs="Arial"/>
                <w:sz w:val="18"/>
                <w:szCs w:val="18"/>
              </w:rPr>
              <w:t xml:space="preserve">. </w:t>
            </w:r>
            <w:r w:rsidRPr="003C15F7">
              <w:rPr>
                <w:rFonts w:ascii="Arial" w:hAnsi="Arial" w:cs="Arial"/>
                <w:strike/>
                <w:sz w:val="18"/>
                <w:szCs w:val="18"/>
              </w:rPr>
              <w:t>Active management</w:t>
            </w:r>
            <w:r w:rsidRPr="003C15F7">
              <w:rPr>
                <w:rFonts w:ascii="Arial" w:hAnsi="Arial" w:cs="Arial"/>
                <w:sz w:val="18"/>
                <w:szCs w:val="18"/>
              </w:rPr>
              <w:t xml:space="preserve"> </w:t>
            </w:r>
            <w:r w:rsidRPr="003C15F7">
              <w:rPr>
                <w:rFonts w:ascii="Arial" w:hAnsi="Arial" w:cs="Arial"/>
                <w:sz w:val="18"/>
                <w:szCs w:val="18"/>
                <w:u w:val="double"/>
              </w:rPr>
              <w:t xml:space="preserve">Review and strengthen the risk mitigation measures </w:t>
            </w:r>
            <w:r w:rsidRPr="003C15F7">
              <w:rPr>
                <w:rFonts w:ascii="Arial" w:hAnsi="Arial" w:cs="Arial"/>
                <w:strike/>
                <w:sz w:val="18"/>
                <w:szCs w:val="18"/>
              </w:rPr>
              <w:t>is required</w:t>
            </w:r>
            <w:r w:rsidRPr="003C15F7">
              <w:rPr>
                <w:rFonts w:ascii="Arial" w:hAnsi="Arial" w:cs="Arial"/>
                <w:sz w:val="18"/>
                <w:szCs w:val="18"/>
              </w:rPr>
              <w:t xml:space="preserve"> </w:t>
            </w:r>
            <w:r w:rsidRPr="003C15F7">
              <w:rPr>
                <w:rFonts w:ascii="Arial" w:hAnsi="Arial" w:cs="Arial"/>
                <w:strike/>
                <w:sz w:val="18"/>
                <w:szCs w:val="18"/>
              </w:rPr>
              <w:t xml:space="preserve">to reduce the level of </w:t>
            </w:r>
            <w:r w:rsidRPr="003C15F7">
              <w:rPr>
                <w:rFonts w:ascii="Arial" w:hAnsi="Arial" w:cs="Arial"/>
                <w:i/>
                <w:strike/>
                <w:sz w:val="18"/>
                <w:szCs w:val="18"/>
              </w:rPr>
              <w:t>risk</w:t>
            </w:r>
            <w:r w:rsidRPr="003C15F7">
              <w:rPr>
                <w:rFonts w:ascii="Arial" w:hAnsi="Arial" w:cs="Arial"/>
                <w:i/>
                <w:sz w:val="18"/>
                <w:szCs w:val="18"/>
              </w:rPr>
              <w:t>.</w:t>
            </w:r>
          </w:p>
        </w:tc>
      </w:tr>
      <w:tr w:rsidR="0094086E" w:rsidRPr="003C15F7" w14:paraId="524B78ED" w14:textId="77777777" w:rsidTr="00E51BAB">
        <w:tc>
          <w:tcPr>
            <w:tcW w:w="1668" w:type="dxa"/>
            <w:shd w:val="clear" w:color="auto" w:fill="auto"/>
          </w:tcPr>
          <w:p w14:paraId="38DAED28"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High</w:t>
            </w:r>
          </w:p>
        </w:tc>
        <w:tc>
          <w:tcPr>
            <w:tcW w:w="7512" w:type="dxa"/>
            <w:shd w:val="clear" w:color="auto" w:fill="auto"/>
          </w:tcPr>
          <w:p w14:paraId="41C8E023"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 xml:space="preserve">Unacceptable level of </w:t>
            </w:r>
            <w:r w:rsidRPr="003C15F7">
              <w:rPr>
                <w:rFonts w:ascii="Arial" w:hAnsi="Arial" w:cs="Arial"/>
                <w:i/>
                <w:sz w:val="18"/>
                <w:szCs w:val="18"/>
              </w:rPr>
              <w:t>risk</w:t>
            </w:r>
            <w:r w:rsidRPr="003C15F7">
              <w:rPr>
                <w:rFonts w:ascii="Arial" w:hAnsi="Arial" w:cs="Arial"/>
                <w:sz w:val="18"/>
                <w:szCs w:val="18"/>
              </w:rPr>
              <w:t xml:space="preserve">. </w:t>
            </w:r>
            <w:r w:rsidRPr="003C15F7">
              <w:rPr>
                <w:rFonts w:ascii="Arial" w:hAnsi="Arial" w:cs="Arial"/>
                <w:strike/>
                <w:sz w:val="18"/>
                <w:szCs w:val="18"/>
              </w:rPr>
              <w:t>Intervention</w:t>
            </w:r>
            <w:r w:rsidRPr="003C15F7">
              <w:rPr>
                <w:rFonts w:ascii="Arial" w:hAnsi="Arial" w:cs="Arial"/>
                <w:sz w:val="18"/>
                <w:szCs w:val="18"/>
                <w:u w:val="double"/>
              </w:rPr>
              <w:t xml:space="preserve"> Identify and implement additional </w:t>
            </w:r>
            <w:r w:rsidRPr="003C15F7">
              <w:rPr>
                <w:rFonts w:ascii="Arial" w:hAnsi="Arial" w:cs="Arial"/>
                <w:i/>
                <w:iCs/>
                <w:sz w:val="18"/>
                <w:szCs w:val="18"/>
                <w:highlight w:val="yellow"/>
                <w:u w:val="double"/>
              </w:rPr>
              <w:t>risk</w:t>
            </w:r>
            <w:r w:rsidRPr="003C15F7">
              <w:rPr>
                <w:rFonts w:ascii="Arial" w:hAnsi="Arial" w:cs="Arial"/>
                <w:sz w:val="18"/>
                <w:szCs w:val="18"/>
                <w:u w:val="double"/>
              </w:rPr>
              <w:t xml:space="preserve"> mitigation measures</w:t>
            </w:r>
            <w:r w:rsidRPr="003C15F7">
              <w:rPr>
                <w:rFonts w:ascii="Arial" w:hAnsi="Arial" w:cs="Arial"/>
                <w:sz w:val="18"/>
                <w:szCs w:val="18"/>
              </w:rPr>
              <w:t xml:space="preserve"> </w:t>
            </w:r>
            <w:r w:rsidRPr="003C15F7">
              <w:rPr>
                <w:rFonts w:ascii="Arial" w:hAnsi="Arial" w:cs="Arial"/>
                <w:strike/>
                <w:sz w:val="18"/>
                <w:szCs w:val="18"/>
              </w:rPr>
              <w:t xml:space="preserve">is required to mitigate the </w:t>
            </w:r>
            <w:r w:rsidRPr="003C15F7">
              <w:rPr>
                <w:rFonts w:ascii="Arial" w:hAnsi="Arial" w:cs="Arial"/>
                <w:i/>
                <w:strike/>
                <w:sz w:val="18"/>
                <w:szCs w:val="18"/>
              </w:rPr>
              <w:t>risk</w:t>
            </w:r>
            <w:r w:rsidRPr="003C15F7">
              <w:rPr>
                <w:rFonts w:ascii="Arial" w:hAnsi="Arial" w:cs="Arial"/>
                <w:i/>
                <w:sz w:val="18"/>
                <w:szCs w:val="18"/>
              </w:rPr>
              <w:t>.</w:t>
            </w:r>
          </w:p>
        </w:tc>
      </w:tr>
      <w:tr w:rsidR="0094086E" w:rsidRPr="003C15F7" w14:paraId="7D5D1762" w14:textId="77777777" w:rsidTr="00E51BAB">
        <w:tc>
          <w:tcPr>
            <w:tcW w:w="1668" w:type="dxa"/>
            <w:shd w:val="clear" w:color="auto" w:fill="auto"/>
          </w:tcPr>
          <w:p w14:paraId="346B109D"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Extreme</w:t>
            </w:r>
          </w:p>
        </w:tc>
        <w:tc>
          <w:tcPr>
            <w:tcW w:w="7512" w:type="dxa"/>
            <w:shd w:val="clear" w:color="auto" w:fill="auto"/>
          </w:tcPr>
          <w:p w14:paraId="0A691BD3" w14:textId="77777777" w:rsidR="0094086E" w:rsidRPr="003C15F7" w:rsidRDefault="0094086E" w:rsidP="00E51BAB">
            <w:pPr>
              <w:spacing w:before="40" w:after="40" w:line="240" w:lineRule="auto"/>
              <w:rPr>
                <w:rFonts w:ascii="Arial" w:hAnsi="Arial" w:cs="Arial"/>
                <w:sz w:val="18"/>
                <w:szCs w:val="18"/>
              </w:rPr>
            </w:pPr>
            <w:r w:rsidRPr="003C15F7">
              <w:rPr>
                <w:rFonts w:ascii="Arial" w:hAnsi="Arial" w:cs="Arial"/>
                <w:sz w:val="18"/>
                <w:szCs w:val="18"/>
              </w:rPr>
              <w:t xml:space="preserve">Unacceptable level of </w:t>
            </w:r>
            <w:r w:rsidRPr="003C15F7">
              <w:rPr>
                <w:rFonts w:ascii="Arial" w:hAnsi="Arial" w:cs="Arial"/>
                <w:i/>
                <w:sz w:val="18"/>
                <w:szCs w:val="18"/>
              </w:rPr>
              <w:t>risk</w:t>
            </w:r>
            <w:r w:rsidRPr="003C15F7">
              <w:rPr>
                <w:rFonts w:ascii="Arial" w:hAnsi="Arial" w:cs="Arial"/>
                <w:sz w:val="18"/>
                <w:szCs w:val="18"/>
              </w:rPr>
              <w:t xml:space="preserve">. </w:t>
            </w:r>
            <w:r w:rsidRPr="003C15F7">
              <w:rPr>
                <w:rFonts w:ascii="Arial" w:hAnsi="Arial" w:cs="Arial"/>
                <w:sz w:val="18"/>
                <w:szCs w:val="18"/>
                <w:u w:val="double"/>
              </w:rPr>
              <w:t>Take immediate action to mitigate the risk.</w:t>
            </w:r>
            <w:r w:rsidRPr="003C15F7">
              <w:rPr>
                <w:rFonts w:ascii="Arial" w:hAnsi="Arial" w:cs="Arial"/>
                <w:sz w:val="18"/>
                <w:szCs w:val="18"/>
              </w:rPr>
              <w:t xml:space="preserve"> </w:t>
            </w:r>
            <w:r w:rsidRPr="003C15F7">
              <w:rPr>
                <w:rFonts w:ascii="Arial" w:hAnsi="Arial" w:cs="Arial"/>
                <w:strike/>
                <w:sz w:val="18"/>
                <w:szCs w:val="18"/>
              </w:rPr>
              <w:t xml:space="preserve">Urgent intervention is required to mitigate the level of </w:t>
            </w:r>
            <w:r w:rsidRPr="003C15F7">
              <w:rPr>
                <w:rFonts w:ascii="Arial" w:hAnsi="Arial" w:cs="Arial"/>
                <w:i/>
                <w:strike/>
                <w:sz w:val="18"/>
                <w:szCs w:val="18"/>
              </w:rPr>
              <w:t>risk.</w:t>
            </w:r>
          </w:p>
        </w:tc>
      </w:tr>
    </w:tbl>
    <w:p w14:paraId="77571178" w14:textId="0238C57C" w:rsidR="0094086E" w:rsidRPr="003C15F7" w:rsidRDefault="0094086E" w:rsidP="0094086E">
      <w:pPr>
        <w:spacing w:before="240" w:after="280" w:line="240" w:lineRule="auto"/>
        <w:jc w:val="both"/>
        <w:rPr>
          <w:rFonts w:ascii="Arial" w:hAnsi="Arial" w:cs="Arial"/>
          <w:sz w:val="18"/>
          <w:szCs w:val="18"/>
          <w:u w:val="double"/>
        </w:rPr>
      </w:pPr>
      <w:r w:rsidRPr="003C15F7">
        <w:rPr>
          <w:rFonts w:ascii="Arial" w:hAnsi="Arial" w:cs="Arial"/>
          <w:sz w:val="18"/>
          <w:szCs w:val="18"/>
        </w:rPr>
        <w:t>*</w:t>
      </w:r>
      <w:r w:rsidRPr="003C15F7">
        <w:rPr>
          <w:rFonts w:ascii="Arial" w:hAnsi="Arial" w:cs="Arial"/>
          <w:strike/>
          <w:sz w:val="18"/>
          <w:szCs w:val="18"/>
          <w:highlight w:val="yellow"/>
          <w:u w:val="double"/>
        </w:rPr>
        <w:t>The</w:t>
      </w:r>
      <w:r w:rsidRPr="003C15F7">
        <w:rPr>
          <w:rFonts w:ascii="Arial" w:hAnsi="Arial" w:cs="Arial"/>
          <w:strike/>
          <w:sz w:val="18"/>
          <w:szCs w:val="18"/>
          <w:highlight w:val="yellow"/>
        </w:rPr>
        <w:t xml:space="preserve"> </w:t>
      </w:r>
      <w:r w:rsidRPr="003C15F7">
        <w:rPr>
          <w:rFonts w:ascii="Arial" w:hAnsi="Arial" w:cs="Arial"/>
          <w:i/>
          <w:strike/>
          <w:sz w:val="18"/>
          <w:szCs w:val="18"/>
          <w:highlight w:val="yellow"/>
          <w:u w:val="double"/>
        </w:rPr>
        <w:t>Rrisk</w:t>
      </w:r>
      <w:r w:rsidRPr="003C15F7">
        <w:rPr>
          <w:rFonts w:ascii="Arial" w:hAnsi="Arial" w:cs="Arial"/>
          <w:strike/>
          <w:sz w:val="18"/>
          <w:szCs w:val="18"/>
          <w:highlight w:val="yellow"/>
        </w:rPr>
        <w:t xml:space="preserve"> level </w:t>
      </w:r>
      <w:r w:rsidRPr="003C15F7">
        <w:rPr>
          <w:rFonts w:ascii="Arial" w:hAnsi="Arial" w:cs="Arial"/>
          <w:strike/>
          <w:sz w:val="18"/>
          <w:szCs w:val="18"/>
          <w:highlight w:val="yellow"/>
          <w:u w:val="double"/>
        </w:rPr>
        <w:t>estimate</w:t>
      </w:r>
      <w:r w:rsidRPr="003C15F7">
        <w:rPr>
          <w:rFonts w:ascii="Arial" w:hAnsi="Arial" w:cs="Arial"/>
          <w:strike/>
          <w:sz w:val="18"/>
          <w:szCs w:val="18"/>
          <w:highlight w:val="yellow"/>
        </w:rPr>
        <w:t xml:space="preserve"> </w:t>
      </w:r>
      <w:r w:rsidRPr="003C15F7">
        <w:rPr>
          <w:rFonts w:ascii="Arial" w:hAnsi="Arial" w:cs="Arial"/>
          <w:strike/>
          <w:sz w:val="18"/>
          <w:szCs w:val="18"/>
          <w:highlight w:val="yellow"/>
          <w:u w:val="double"/>
        </w:rPr>
        <w:t>is</w:t>
      </w:r>
      <w:r w:rsidRPr="003C15F7">
        <w:rPr>
          <w:rFonts w:ascii="Arial" w:hAnsi="Arial" w:cs="Arial"/>
          <w:strike/>
          <w:sz w:val="18"/>
          <w:szCs w:val="18"/>
          <w:highlight w:val="yellow"/>
        </w:rPr>
        <w:t xml:space="preserve"> determined by </w:t>
      </w:r>
      <w:r w:rsidRPr="003C15F7">
        <w:rPr>
          <w:rFonts w:ascii="Arial" w:hAnsi="Arial" w:cs="Arial"/>
          <w:strike/>
          <w:sz w:val="18"/>
          <w:szCs w:val="18"/>
          <w:highlight w:val="yellow"/>
          <w:u w:val="double"/>
        </w:rPr>
        <w:t>from</w:t>
      </w:r>
      <w:r w:rsidRPr="003C15F7">
        <w:rPr>
          <w:rFonts w:ascii="Arial" w:hAnsi="Arial" w:cs="Arial"/>
          <w:strike/>
          <w:sz w:val="18"/>
          <w:szCs w:val="18"/>
          <w:highlight w:val="yellow"/>
        </w:rPr>
        <w:t xml:space="preserve"> </w:t>
      </w:r>
      <w:r w:rsidRPr="003C15F7">
        <w:rPr>
          <w:rFonts w:ascii="Arial" w:hAnsi="Arial" w:cs="Arial"/>
          <w:strike/>
          <w:sz w:val="18"/>
          <w:szCs w:val="18"/>
          <w:highlight w:val="yellow"/>
          <w:u w:val="double"/>
        </w:rPr>
        <w:t>a</w:t>
      </w:r>
      <w:r w:rsidRPr="003C15F7">
        <w:rPr>
          <w:rFonts w:ascii="Arial" w:hAnsi="Arial" w:cs="Arial"/>
          <w:strike/>
          <w:sz w:val="18"/>
          <w:szCs w:val="18"/>
          <w:highlight w:val="yellow"/>
        </w:rPr>
        <w:t xml:space="preserve"> combination of </w:t>
      </w:r>
      <w:r w:rsidRPr="003C15F7">
        <w:rPr>
          <w:rFonts w:ascii="Arial" w:hAnsi="Arial" w:cs="Arial"/>
          <w:strike/>
          <w:sz w:val="18"/>
          <w:szCs w:val="18"/>
          <w:highlight w:val="yellow"/>
          <w:u w:val="double"/>
        </w:rPr>
        <w:t>the</w:t>
      </w:r>
      <w:r w:rsidRPr="003C15F7">
        <w:rPr>
          <w:rFonts w:ascii="Arial" w:hAnsi="Arial" w:cs="Arial"/>
          <w:strike/>
          <w:sz w:val="18"/>
          <w:szCs w:val="18"/>
          <w:highlight w:val="yellow"/>
        </w:rPr>
        <w:t xml:space="preserve"> likelihood and consequence </w:t>
      </w:r>
      <w:r w:rsidRPr="003C15F7">
        <w:rPr>
          <w:rFonts w:ascii="Arial" w:hAnsi="Arial" w:cs="Arial"/>
          <w:strike/>
          <w:sz w:val="18"/>
          <w:szCs w:val="18"/>
          <w:highlight w:val="yellow"/>
          <w:u w:val="double"/>
        </w:rPr>
        <w:t>estimates</w:t>
      </w:r>
      <w:r w:rsidRPr="003C15F7">
        <w:rPr>
          <w:rFonts w:ascii="Arial" w:hAnsi="Arial" w:cs="Arial"/>
          <w:strike/>
          <w:sz w:val="18"/>
          <w:szCs w:val="18"/>
          <w:highlight w:val="yellow"/>
        </w:rPr>
        <w:t xml:space="preserve"> score </w:t>
      </w:r>
      <w:r w:rsidRPr="003C15F7">
        <w:rPr>
          <w:rFonts w:ascii="Arial" w:hAnsi="Arial" w:cs="Arial"/>
          <w:strike/>
          <w:sz w:val="18"/>
          <w:szCs w:val="18"/>
          <w:highlight w:val="yellow"/>
          <w:u w:val="double"/>
        </w:rPr>
        <w:t>obtained</w:t>
      </w:r>
      <w:r w:rsidRPr="003C15F7">
        <w:rPr>
          <w:rFonts w:ascii="Arial" w:hAnsi="Arial" w:cs="Arial"/>
          <w:strike/>
          <w:sz w:val="18"/>
          <w:szCs w:val="18"/>
          <w:highlight w:val="yellow"/>
        </w:rPr>
        <w:t xml:space="preserve"> using the </w:t>
      </w:r>
      <w:r w:rsidRPr="003C15F7">
        <w:rPr>
          <w:rFonts w:ascii="Arial" w:hAnsi="Arial" w:cs="Arial"/>
          <w:i/>
          <w:strike/>
          <w:sz w:val="18"/>
          <w:szCs w:val="18"/>
          <w:highlight w:val="yellow"/>
        </w:rPr>
        <w:t>risk</w:t>
      </w:r>
      <w:r w:rsidRPr="003C15F7">
        <w:rPr>
          <w:rFonts w:ascii="Arial" w:hAnsi="Arial" w:cs="Arial"/>
          <w:strike/>
          <w:sz w:val="18"/>
          <w:szCs w:val="18"/>
          <w:highlight w:val="yellow"/>
        </w:rPr>
        <w:t xml:space="preserve"> matrix (Table 3)</w:t>
      </w:r>
      <w:r w:rsidRPr="003C15F7">
        <w:rPr>
          <w:rFonts w:ascii="Arial" w:hAnsi="Arial" w:cs="Arial"/>
          <w:sz w:val="18"/>
          <w:szCs w:val="18"/>
        </w:rPr>
        <w:t>.</w:t>
      </w:r>
      <w:r w:rsidR="007D03EB" w:rsidRPr="003C15F7">
        <w:rPr>
          <w:rFonts w:ascii="Arial" w:hAnsi="Arial" w:cs="Arial"/>
          <w:sz w:val="18"/>
          <w:szCs w:val="18"/>
        </w:rPr>
        <w:t xml:space="preserve"> </w:t>
      </w:r>
      <w:r w:rsidR="007D03EB" w:rsidRPr="003C15F7">
        <w:rPr>
          <w:rFonts w:ascii="Arial" w:hAnsi="Arial" w:cs="Arial"/>
          <w:sz w:val="18"/>
          <w:szCs w:val="18"/>
          <w:highlight w:val="yellow"/>
          <w:u w:val="double"/>
        </w:rPr>
        <w:t>Likelihood and consequence estimates are combined using the risk matrix (Table 3) to produce the risk estimate.</w:t>
      </w:r>
    </w:p>
    <w:bookmarkEnd w:id="63"/>
    <w:p w14:paraId="624626FF" w14:textId="77777777" w:rsidR="0094086E" w:rsidRPr="003C15F7" w:rsidRDefault="0094086E" w:rsidP="0094086E">
      <w:pPr>
        <w:spacing w:after="280" w:line="240" w:lineRule="auto"/>
        <w:rPr>
          <w:rFonts w:ascii="Arial" w:hAnsi="Arial" w:cs="Arial"/>
          <w:b/>
          <w:sz w:val="18"/>
          <w:szCs w:val="18"/>
        </w:rPr>
      </w:pPr>
      <w:r w:rsidRPr="003C15F7">
        <w:rPr>
          <w:rFonts w:ascii="Arial" w:hAnsi="Arial" w:cs="Arial"/>
          <w:b/>
          <w:sz w:val="18"/>
          <w:szCs w:val="18"/>
        </w:rPr>
        <w:t>Step 3 ‒ Risk Management</w:t>
      </w:r>
    </w:p>
    <w:p w14:paraId="3852EEF6" w14:textId="77777777" w:rsidR="0094086E" w:rsidRPr="003C15F7" w:rsidRDefault="0094086E" w:rsidP="0094086E">
      <w:pPr>
        <w:spacing w:after="280" w:line="240" w:lineRule="auto"/>
        <w:jc w:val="both"/>
        <w:rPr>
          <w:rFonts w:ascii="Arial" w:hAnsi="Arial" w:cs="Arial"/>
          <w:b/>
          <w:sz w:val="18"/>
          <w:szCs w:val="18"/>
        </w:rPr>
      </w:pPr>
      <w:r w:rsidRPr="003C15F7">
        <w:rPr>
          <w:rFonts w:ascii="Arial" w:hAnsi="Arial" w:cs="Arial"/>
          <w:i/>
          <w:iCs/>
          <w:sz w:val="18"/>
          <w:szCs w:val="18"/>
        </w:rPr>
        <w:t>Risk management</w:t>
      </w:r>
      <w:r w:rsidRPr="003C15F7">
        <w:rPr>
          <w:rFonts w:ascii="Arial" w:hAnsi="Arial" w:cs="Arial"/>
          <w:sz w:val="18"/>
          <w:szCs w:val="18"/>
        </w:rPr>
        <w:t> is used to determine the appropriate management</w:t>
      </w:r>
      <w:r w:rsidRPr="003C15F7">
        <w:rPr>
          <w:rFonts w:ascii="Arial" w:eastAsia="SimSun" w:hAnsi="Arial" w:cs="Arial"/>
          <w:sz w:val="18"/>
          <w:szCs w:val="18"/>
          <w:lang w:eastAsia="zh-CN"/>
        </w:rPr>
        <w:t xml:space="preserve"> </w:t>
      </w:r>
      <w:r w:rsidRPr="003C15F7">
        <w:rPr>
          <w:rFonts w:ascii="Arial" w:hAnsi="Arial" w:cs="Arial"/>
          <w:sz w:val="18"/>
          <w:szCs w:val="18"/>
        </w:rPr>
        <w:t xml:space="preserve">response for the assessed level of </w:t>
      </w:r>
      <w:r w:rsidRPr="003C15F7">
        <w:rPr>
          <w:rFonts w:ascii="Arial" w:hAnsi="Arial" w:cs="Arial"/>
          <w:i/>
          <w:sz w:val="18"/>
          <w:szCs w:val="18"/>
        </w:rPr>
        <w:t>risk</w:t>
      </w:r>
      <w:r w:rsidRPr="003C15F7">
        <w:rPr>
          <w:rFonts w:ascii="Arial" w:hAnsi="Arial" w:cs="Arial"/>
          <w:sz w:val="18"/>
          <w:szCs w:val="18"/>
        </w:rPr>
        <w:t xml:space="preserve"> as described in Table 4. The </w:t>
      </w:r>
      <w:r w:rsidRPr="003C15F7">
        <w:rPr>
          <w:rFonts w:ascii="Arial" w:hAnsi="Arial" w:cs="Arial"/>
          <w:i/>
          <w:sz w:val="18"/>
          <w:szCs w:val="18"/>
        </w:rPr>
        <w:t>risk assessment</w:t>
      </w:r>
      <w:r w:rsidRPr="003C15F7">
        <w:rPr>
          <w:rFonts w:ascii="Arial" w:hAnsi="Arial" w:cs="Arial"/>
          <w:sz w:val="18"/>
          <w:szCs w:val="18"/>
        </w:rPr>
        <w:t xml:space="preserve"> process identifies the steps within transmission pathways necessary for a </w:t>
      </w:r>
      <w:r w:rsidRPr="003C15F7">
        <w:rPr>
          <w:rFonts w:ascii="Arial" w:hAnsi="Arial" w:cs="Arial"/>
          <w:i/>
          <w:sz w:val="18"/>
          <w:szCs w:val="18"/>
        </w:rPr>
        <w:t>risk</w:t>
      </w:r>
      <w:r w:rsidRPr="003C15F7">
        <w:rPr>
          <w:rFonts w:ascii="Arial" w:hAnsi="Arial" w:cs="Arial"/>
          <w:sz w:val="18"/>
          <w:szCs w:val="18"/>
        </w:rPr>
        <w:t xml:space="preserve"> to be realised</w:t>
      </w:r>
      <w:r w:rsidRPr="003C15F7">
        <w:rPr>
          <w:rFonts w:ascii="Arial" w:eastAsia="SimSun" w:hAnsi="Arial" w:cs="Arial"/>
          <w:sz w:val="18"/>
          <w:szCs w:val="18"/>
          <w:lang w:eastAsia="zh-CN"/>
        </w:rPr>
        <w:t xml:space="preserve"> </w:t>
      </w:r>
      <w:r w:rsidRPr="003C15F7">
        <w:rPr>
          <w:rFonts w:ascii="Arial" w:hAnsi="Arial" w:cs="Arial"/>
          <w:sz w:val="18"/>
          <w:szCs w:val="18"/>
        </w:rPr>
        <w:t xml:space="preserve">and thus allows the most effective mitigation measures to be determined. Many of the </w:t>
      </w:r>
      <w:r w:rsidRPr="003C15F7">
        <w:rPr>
          <w:rFonts w:ascii="Arial" w:hAnsi="Arial" w:cs="Arial"/>
          <w:i/>
          <w:sz w:val="18"/>
          <w:szCs w:val="18"/>
        </w:rPr>
        <w:t>hazards</w:t>
      </w:r>
      <w:r w:rsidRPr="003C15F7">
        <w:rPr>
          <w:rFonts w:ascii="Arial" w:hAnsi="Arial" w:cs="Arial"/>
          <w:sz w:val="18"/>
          <w:szCs w:val="18"/>
        </w:rPr>
        <w:t xml:space="preserve"> will share the same pathways and </w:t>
      </w:r>
      <w:r w:rsidRPr="003C15F7">
        <w:rPr>
          <w:rFonts w:ascii="Arial" w:hAnsi="Arial" w:cs="Arial"/>
          <w:strike/>
          <w:sz w:val="18"/>
          <w:szCs w:val="18"/>
        </w:rPr>
        <w:t>thus</w:t>
      </w:r>
      <w:r w:rsidRPr="003C15F7">
        <w:rPr>
          <w:rFonts w:ascii="Arial" w:hAnsi="Arial" w:cs="Arial"/>
          <w:sz w:val="18"/>
          <w:szCs w:val="18"/>
        </w:rPr>
        <w:t xml:space="preserve"> </w:t>
      </w:r>
      <w:r w:rsidRPr="003C15F7">
        <w:rPr>
          <w:rFonts w:ascii="Arial" w:hAnsi="Arial" w:cs="Arial"/>
          <w:sz w:val="18"/>
          <w:szCs w:val="18"/>
          <w:u w:val="double"/>
        </w:rPr>
        <w:t>therefore</w:t>
      </w:r>
      <w:r w:rsidRPr="003C15F7">
        <w:rPr>
          <w:rFonts w:ascii="Arial" w:hAnsi="Arial" w:cs="Arial"/>
          <w:sz w:val="18"/>
          <w:szCs w:val="18"/>
        </w:rPr>
        <w:t xml:space="preserve"> mitigation measures may be effective against more than one </w:t>
      </w:r>
      <w:r w:rsidRPr="003C15F7">
        <w:rPr>
          <w:rFonts w:ascii="Arial" w:hAnsi="Arial" w:cs="Arial"/>
          <w:i/>
          <w:sz w:val="18"/>
          <w:szCs w:val="18"/>
        </w:rPr>
        <w:t>hazard</w:t>
      </w:r>
      <w:r w:rsidRPr="003C15F7">
        <w:rPr>
          <w:rFonts w:ascii="Arial" w:hAnsi="Arial" w:cs="Arial"/>
          <w:sz w:val="18"/>
          <w:szCs w:val="18"/>
        </w:rPr>
        <w:t xml:space="preserve">. </w:t>
      </w:r>
      <w:r w:rsidRPr="003C15F7">
        <w:rPr>
          <w:rFonts w:ascii="Arial" w:hAnsi="Arial" w:cs="Arial"/>
          <w:sz w:val="18"/>
          <w:szCs w:val="18"/>
          <w:u w:val="double"/>
        </w:rPr>
        <w:t xml:space="preserve">Information on hazards and their pathways of introduction (step 1) should be combined with </w:t>
      </w:r>
      <w:r w:rsidRPr="003C15F7">
        <w:rPr>
          <w:rFonts w:ascii="Arial" w:hAnsi="Arial" w:cs="Arial"/>
          <w:sz w:val="18"/>
          <w:szCs w:val="18"/>
          <w:highlight w:val="yellow"/>
          <w:u w:val="double"/>
        </w:rPr>
        <w:t xml:space="preserve">an assessment of </w:t>
      </w:r>
      <w:r w:rsidRPr="003C15F7">
        <w:rPr>
          <w:rFonts w:ascii="Arial" w:hAnsi="Arial" w:cs="Arial"/>
          <w:i/>
          <w:iCs/>
          <w:sz w:val="18"/>
          <w:szCs w:val="18"/>
          <w:highlight w:val="yellow"/>
          <w:u w:val="double"/>
        </w:rPr>
        <w:t>risk</w:t>
      </w:r>
      <w:r w:rsidRPr="003C15F7">
        <w:rPr>
          <w:rFonts w:ascii="Arial" w:hAnsi="Arial" w:cs="Arial"/>
          <w:sz w:val="18"/>
          <w:szCs w:val="18"/>
          <w:highlight w:val="yellow"/>
          <w:u w:val="double"/>
        </w:rPr>
        <w:t xml:space="preserve"> associated with each</w:t>
      </w:r>
      <w:r w:rsidRPr="003C15F7">
        <w:rPr>
          <w:rFonts w:ascii="Arial" w:hAnsi="Arial" w:cs="Arial"/>
          <w:sz w:val="18"/>
          <w:szCs w:val="18"/>
          <w:u w:val="double"/>
        </w:rPr>
        <w:t xml:space="preserve"> </w:t>
      </w:r>
      <w:r w:rsidRPr="003C15F7">
        <w:rPr>
          <w:rFonts w:ascii="Arial" w:hAnsi="Arial" w:cs="Arial"/>
          <w:strike/>
          <w:sz w:val="18"/>
          <w:szCs w:val="18"/>
          <w:highlight w:val="yellow"/>
          <w:u w:val="double"/>
        </w:rPr>
        <w:t>the assessment of the</w:t>
      </w:r>
      <w:r w:rsidRPr="003C15F7">
        <w:rPr>
          <w:rFonts w:ascii="Arial" w:hAnsi="Arial" w:cs="Arial"/>
          <w:sz w:val="18"/>
          <w:szCs w:val="18"/>
          <w:u w:val="double"/>
        </w:rPr>
        <w:t xml:space="preserve"> pathway</w:t>
      </w:r>
      <w:r w:rsidRPr="003C15F7">
        <w:rPr>
          <w:rFonts w:ascii="Arial" w:hAnsi="Arial" w:cs="Arial"/>
          <w:strike/>
          <w:sz w:val="18"/>
          <w:szCs w:val="18"/>
          <w:highlight w:val="yellow"/>
          <w:u w:val="double"/>
        </w:rPr>
        <w:t>s</w:t>
      </w:r>
      <w:r w:rsidRPr="003C15F7">
        <w:rPr>
          <w:rFonts w:ascii="Arial" w:hAnsi="Arial" w:cs="Arial"/>
          <w:sz w:val="18"/>
          <w:szCs w:val="18"/>
          <w:u w:val="double"/>
        </w:rPr>
        <w:t xml:space="preserve"> (step 2) to identify the most appropriate and cost-effective </w:t>
      </w:r>
      <w:r w:rsidRPr="003C15F7">
        <w:rPr>
          <w:rFonts w:ascii="Arial" w:hAnsi="Arial" w:cs="Arial"/>
          <w:i/>
          <w:iCs/>
          <w:sz w:val="18"/>
          <w:szCs w:val="18"/>
          <w:highlight w:val="yellow"/>
          <w:u w:val="double"/>
        </w:rPr>
        <w:t>risk</w:t>
      </w:r>
      <w:r w:rsidRPr="003C15F7">
        <w:rPr>
          <w:rFonts w:ascii="Arial" w:hAnsi="Arial" w:cs="Arial"/>
          <w:sz w:val="18"/>
          <w:szCs w:val="18"/>
          <w:u w:val="double"/>
        </w:rPr>
        <w:t xml:space="preserve"> mitigation measures. </w:t>
      </w:r>
    </w:p>
    <w:p w14:paraId="60A6238A" w14:textId="77777777" w:rsidR="0094086E" w:rsidRPr="003C15F7" w:rsidRDefault="0094086E" w:rsidP="0094086E">
      <w:pPr>
        <w:spacing w:after="280" w:line="240" w:lineRule="auto"/>
        <w:jc w:val="both"/>
        <w:rPr>
          <w:rFonts w:ascii="Arial" w:hAnsi="Arial" w:cs="Arial"/>
          <w:sz w:val="18"/>
          <w:szCs w:val="18"/>
        </w:rPr>
      </w:pPr>
      <w:r w:rsidRPr="003C15F7">
        <w:rPr>
          <w:rFonts w:ascii="Arial" w:hAnsi="Arial" w:cs="Arial"/>
          <w:sz w:val="18"/>
          <w:szCs w:val="18"/>
        </w:rPr>
        <w:t xml:space="preserve">Article X.X.6. describes some possible mitigation measures relevant </w:t>
      </w:r>
      <w:r w:rsidRPr="003C15F7">
        <w:rPr>
          <w:rFonts w:ascii="Arial" w:hAnsi="Arial" w:cs="Arial"/>
          <w:strike/>
          <w:sz w:val="18"/>
          <w:szCs w:val="18"/>
        </w:rPr>
        <w:t>for</w:t>
      </w:r>
      <w:r w:rsidRPr="003C15F7">
        <w:rPr>
          <w:rFonts w:ascii="Arial" w:hAnsi="Arial" w:cs="Arial"/>
          <w:sz w:val="18"/>
          <w:szCs w:val="18"/>
        </w:rPr>
        <w:t xml:space="preserve"> </w:t>
      </w:r>
      <w:r w:rsidRPr="003C15F7">
        <w:rPr>
          <w:rFonts w:ascii="Arial" w:hAnsi="Arial" w:cs="Arial"/>
          <w:sz w:val="18"/>
          <w:szCs w:val="18"/>
          <w:u w:val="double"/>
        </w:rPr>
        <w:t>to</w:t>
      </w:r>
      <w:r w:rsidRPr="003C15F7">
        <w:rPr>
          <w:rFonts w:ascii="Arial" w:hAnsi="Arial" w:cs="Arial"/>
          <w:sz w:val="18"/>
          <w:szCs w:val="18"/>
        </w:rPr>
        <w:t xml:space="preserve"> different transmission pathways. The most appropriate mitigation measures for a specific </w:t>
      </w:r>
      <w:r w:rsidRPr="003C15F7">
        <w:rPr>
          <w:rFonts w:ascii="Arial" w:hAnsi="Arial" w:cs="Arial"/>
          <w:i/>
          <w:sz w:val="18"/>
          <w:szCs w:val="18"/>
        </w:rPr>
        <w:t>aquaculture establishment</w:t>
      </w:r>
      <w:r w:rsidRPr="003C15F7">
        <w:rPr>
          <w:rFonts w:ascii="Arial" w:hAnsi="Arial" w:cs="Arial"/>
          <w:sz w:val="18"/>
          <w:szCs w:val="18"/>
        </w:rPr>
        <w:t xml:space="preserve"> will depend on </w:t>
      </w:r>
      <w:r w:rsidRPr="00685B5C">
        <w:rPr>
          <w:rFonts w:ascii="Arial" w:hAnsi="Arial" w:cs="Arial"/>
          <w:strike/>
          <w:sz w:val="18"/>
          <w:szCs w:val="18"/>
          <w:highlight w:val="yellow"/>
        </w:rPr>
        <w:t xml:space="preserve">the </w:t>
      </w:r>
      <w:r w:rsidRPr="00685B5C">
        <w:rPr>
          <w:rFonts w:ascii="Arial" w:hAnsi="Arial" w:cs="Arial"/>
          <w:i/>
          <w:strike/>
          <w:sz w:val="18"/>
          <w:szCs w:val="18"/>
        </w:rPr>
        <w:t>risks</w:t>
      </w:r>
      <w:r w:rsidRPr="00685B5C">
        <w:rPr>
          <w:rFonts w:ascii="Arial" w:hAnsi="Arial" w:cs="Arial"/>
          <w:strike/>
          <w:sz w:val="18"/>
          <w:szCs w:val="18"/>
        </w:rPr>
        <w:t xml:space="preserve"> </w:t>
      </w:r>
      <w:r w:rsidRPr="003C15F7">
        <w:rPr>
          <w:rFonts w:ascii="Arial" w:hAnsi="Arial" w:cs="Arial"/>
          <w:i/>
          <w:strike/>
          <w:sz w:val="18"/>
          <w:szCs w:val="18"/>
          <w:highlight w:val="yellow"/>
          <w:u w:val="double"/>
        </w:rPr>
        <w:t>hazards</w:t>
      </w:r>
      <w:r w:rsidRPr="003C15F7">
        <w:rPr>
          <w:rFonts w:ascii="Arial" w:hAnsi="Arial" w:cs="Arial"/>
          <w:strike/>
          <w:sz w:val="18"/>
          <w:szCs w:val="18"/>
          <w:highlight w:val="yellow"/>
          <w:u w:val="double"/>
        </w:rPr>
        <w:t xml:space="preserve"> </w:t>
      </w:r>
      <w:r w:rsidRPr="00685B5C">
        <w:rPr>
          <w:rFonts w:ascii="Arial" w:hAnsi="Arial" w:cs="Arial"/>
          <w:strike/>
          <w:sz w:val="18"/>
          <w:szCs w:val="18"/>
          <w:highlight w:val="yellow"/>
        </w:rPr>
        <w:t>identified</w:t>
      </w:r>
      <w:r w:rsidRPr="003C15F7">
        <w:rPr>
          <w:rFonts w:ascii="Arial" w:hAnsi="Arial" w:cs="Arial"/>
          <w:strike/>
          <w:sz w:val="18"/>
          <w:szCs w:val="18"/>
          <w:highlight w:val="yellow"/>
          <w:u w:val="double"/>
        </w:rPr>
        <w:t>,</w:t>
      </w:r>
      <w:r w:rsidRPr="003C15F7">
        <w:rPr>
          <w:rFonts w:ascii="Arial" w:hAnsi="Arial" w:cs="Arial"/>
          <w:sz w:val="18"/>
          <w:szCs w:val="18"/>
        </w:rPr>
        <w:t xml:space="preserve"> the effectiveness and reliability of the mitigation measure, the category of </w:t>
      </w:r>
      <w:r w:rsidRPr="003C15F7">
        <w:rPr>
          <w:rFonts w:ascii="Arial" w:hAnsi="Arial" w:cs="Arial"/>
          <w:i/>
          <w:sz w:val="18"/>
          <w:szCs w:val="18"/>
        </w:rPr>
        <w:t>aquaculture</w:t>
      </w:r>
      <w:r w:rsidRPr="003C15F7">
        <w:rPr>
          <w:rFonts w:ascii="Arial" w:hAnsi="Arial" w:cs="Arial"/>
          <w:sz w:val="18"/>
          <w:szCs w:val="18"/>
        </w:rPr>
        <w:t xml:space="preserve"> production system and cost.</w:t>
      </w:r>
    </w:p>
    <w:p w14:paraId="60AE4C9B" w14:textId="7D3F024C" w:rsidR="0094086E" w:rsidRPr="003C15F7" w:rsidRDefault="0094086E" w:rsidP="0094086E">
      <w:pPr>
        <w:spacing w:after="280" w:line="240" w:lineRule="auto"/>
        <w:jc w:val="both"/>
        <w:rPr>
          <w:rFonts w:ascii="Arial" w:hAnsi="Arial" w:cs="Arial"/>
          <w:sz w:val="18"/>
          <w:szCs w:val="18"/>
        </w:rPr>
      </w:pPr>
      <w:r w:rsidRPr="003C15F7">
        <w:rPr>
          <w:rFonts w:ascii="Arial" w:hAnsi="Arial" w:cs="Arial"/>
          <w:sz w:val="18"/>
          <w:szCs w:val="18"/>
        </w:rPr>
        <w:t xml:space="preserve">After the implementation of the </w:t>
      </w:r>
      <w:r w:rsidRPr="003C15F7">
        <w:rPr>
          <w:rFonts w:ascii="Arial" w:hAnsi="Arial" w:cs="Arial"/>
          <w:i/>
          <w:sz w:val="18"/>
          <w:szCs w:val="18"/>
        </w:rPr>
        <w:t>biosecurity plan</w:t>
      </w:r>
      <w:r w:rsidRPr="003C15F7">
        <w:rPr>
          <w:rFonts w:ascii="Arial" w:hAnsi="Arial" w:cs="Arial"/>
          <w:sz w:val="18"/>
          <w:szCs w:val="18"/>
        </w:rPr>
        <w:t xml:space="preserve">, </w:t>
      </w:r>
      <w:r w:rsidRPr="003C15F7">
        <w:rPr>
          <w:rFonts w:ascii="Arial" w:hAnsi="Arial" w:cs="Arial"/>
          <w:i/>
          <w:sz w:val="18"/>
          <w:szCs w:val="18"/>
        </w:rPr>
        <w:t>hazards</w:t>
      </w:r>
      <w:r w:rsidRPr="003C15F7">
        <w:rPr>
          <w:rFonts w:ascii="Arial" w:hAnsi="Arial" w:cs="Arial"/>
          <w:sz w:val="18"/>
          <w:szCs w:val="18"/>
        </w:rPr>
        <w:t xml:space="preserve"> should be regularly reassessed, and measures adjusted according to any changed </w:t>
      </w:r>
      <w:r w:rsidRPr="003C15F7">
        <w:rPr>
          <w:rFonts w:ascii="Arial" w:hAnsi="Arial" w:cs="Arial"/>
          <w:i/>
          <w:sz w:val="18"/>
          <w:szCs w:val="18"/>
        </w:rPr>
        <w:t>risk</w:t>
      </w:r>
      <w:r w:rsidRPr="003C15F7">
        <w:rPr>
          <w:rFonts w:ascii="Arial" w:hAnsi="Arial" w:cs="Arial"/>
          <w:sz w:val="18"/>
          <w:szCs w:val="18"/>
        </w:rPr>
        <w:t xml:space="preserve"> estimates.</w:t>
      </w:r>
      <w:r w:rsidR="005834F9" w:rsidRPr="003C15F7">
        <w:rPr>
          <w:rFonts w:ascii="Arial" w:hAnsi="Arial" w:cs="Arial"/>
          <w:sz w:val="18"/>
          <w:szCs w:val="18"/>
        </w:rPr>
        <w:t xml:space="preserve"> </w:t>
      </w:r>
    </w:p>
    <w:p w14:paraId="31652B4D" w14:textId="77777777" w:rsidR="00BC2523" w:rsidRDefault="00BC2523">
      <w:pPr>
        <w:rPr>
          <w:rFonts w:ascii="Ottawa" w:hAnsi="Ottawa" w:cs="Arial"/>
          <w:sz w:val="18"/>
          <w:szCs w:val="18"/>
        </w:rPr>
      </w:pPr>
      <w:r>
        <w:rPr>
          <w:rFonts w:ascii="Ottawa" w:hAnsi="Ottawa" w:cs="Arial"/>
          <w:sz w:val="18"/>
          <w:szCs w:val="18"/>
        </w:rPr>
        <w:br w:type="page"/>
      </w:r>
    </w:p>
    <w:p w14:paraId="3C83B8F8" w14:textId="77777777" w:rsidR="00BC2523" w:rsidRDefault="00BC2523" w:rsidP="00BC2523">
      <w:pPr>
        <w:spacing w:after="480" w:line="240" w:lineRule="auto"/>
        <w:ind w:left="425" w:hanging="425"/>
        <w:jc w:val="right"/>
        <w:rPr>
          <w:szCs w:val="20"/>
        </w:rPr>
      </w:pPr>
      <w:r w:rsidRPr="008270D6">
        <w:rPr>
          <w:szCs w:val="20"/>
          <w:u w:val="single"/>
        </w:rPr>
        <w:lastRenderedPageBreak/>
        <w:t>Annex 2</w:t>
      </w:r>
      <w:r w:rsidRPr="008270D6">
        <w:rPr>
          <w:szCs w:val="20"/>
        </w:rPr>
        <w:t xml:space="preserve"> (contd)</w:t>
      </w:r>
    </w:p>
    <w:p w14:paraId="4643035E" w14:textId="52F8E48F" w:rsidR="0094086E" w:rsidRPr="00BC2523" w:rsidRDefault="0094086E" w:rsidP="0094086E">
      <w:pPr>
        <w:spacing w:after="280" w:line="240" w:lineRule="auto"/>
        <w:jc w:val="center"/>
        <w:rPr>
          <w:rFonts w:ascii="Ottawa" w:hAnsi="Ottawa" w:cs="Arial"/>
          <w:sz w:val="18"/>
          <w:szCs w:val="18"/>
        </w:rPr>
      </w:pPr>
      <w:r w:rsidRPr="00BC2523">
        <w:rPr>
          <w:rFonts w:ascii="Ottawa" w:hAnsi="Ottawa" w:cs="Arial"/>
          <w:sz w:val="18"/>
          <w:szCs w:val="18"/>
        </w:rPr>
        <w:t>Article 4.X.8.</w:t>
      </w:r>
    </w:p>
    <w:p w14:paraId="13E50425" w14:textId="77777777" w:rsidR="0094086E" w:rsidRPr="00BC2523" w:rsidRDefault="0094086E" w:rsidP="0094086E">
      <w:pPr>
        <w:spacing w:after="280" w:line="240" w:lineRule="auto"/>
        <w:jc w:val="both"/>
        <w:rPr>
          <w:rFonts w:ascii="Ottawa" w:hAnsi="Ottawa" w:cs="Arial"/>
          <w:b/>
          <w:color w:val="000000"/>
          <w:sz w:val="18"/>
          <w:szCs w:val="18"/>
        </w:rPr>
      </w:pPr>
      <w:r w:rsidRPr="00BC2523">
        <w:rPr>
          <w:rFonts w:ascii="Ottawa" w:hAnsi="Ottawa" w:cs="Arial"/>
          <w:b/>
          <w:color w:val="000000"/>
          <w:sz w:val="18"/>
          <w:szCs w:val="18"/>
        </w:rPr>
        <w:t>Biosecurity plan development</w:t>
      </w:r>
    </w:p>
    <w:p w14:paraId="53DCAE7F" w14:textId="77777777" w:rsidR="0094086E" w:rsidRPr="00BC2523" w:rsidRDefault="0094086E" w:rsidP="0094086E">
      <w:pPr>
        <w:spacing w:after="280" w:line="240" w:lineRule="auto"/>
        <w:jc w:val="both"/>
        <w:rPr>
          <w:rFonts w:ascii="Arial" w:hAnsi="Arial" w:cs="Arial"/>
          <w:i/>
          <w:color w:val="000000"/>
          <w:sz w:val="18"/>
          <w:szCs w:val="18"/>
          <w:shd w:val="clear" w:color="auto" w:fill="FFFFFF"/>
        </w:rPr>
      </w:pPr>
      <w:r w:rsidRPr="00BC2523">
        <w:rPr>
          <w:rFonts w:ascii="Arial" w:hAnsi="Arial" w:cs="Arial"/>
          <w:sz w:val="18"/>
          <w:szCs w:val="18"/>
          <w:lang w:eastAsia="fr-FR"/>
        </w:rPr>
        <w:t xml:space="preserve">The purpose of a </w:t>
      </w:r>
      <w:r w:rsidRPr="00BC2523">
        <w:rPr>
          <w:rFonts w:ascii="Arial" w:hAnsi="Arial" w:cs="Arial"/>
          <w:i/>
          <w:sz w:val="18"/>
          <w:szCs w:val="18"/>
          <w:lang w:eastAsia="fr-FR"/>
        </w:rPr>
        <w:t>biosecurity</w:t>
      </w:r>
      <w:r w:rsidRPr="00BC2523">
        <w:rPr>
          <w:rFonts w:ascii="Arial" w:eastAsia="SimSun" w:hAnsi="Arial" w:cs="Arial"/>
          <w:i/>
          <w:sz w:val="18"/>
          <w:szCs w:val="18"/>
          <w:lang w:eastAsia="zh-CN"/>
        </w:rPr>
        <w:t xml:space="preserve"> </w:t>
      </w:r>
      <w:r w:rsidRPr="00BC2523">
        <w:rPr>
          <w:rFonts w:ascii="Arial" w:hAnsi="Arial" w:cs="Arial"/>
          <w:i/>
          <w:sz w:val="18"/>
          <w:szCs w:val="18"/>
          <w:lang w:eastAsia="fr-FR"/>
        </w:rPr>
        <w:t>plan</w:t>
      </w:r>
      <w:r w:rsidRPr="00BC2523">
        <w:rPr>
          <w:rFonts w:ascii="Arial" w:hAnsi="Arial" w:cs="Arial"/>
          <w:sz w:val="18"/>
          <w:szCs w:val="18"/>
          <w:lang w:eastAsia="fr-FR"/>
        </w:rPr>
        <w:t xml:space="preserve"> is </w:t>
      </w:r>
      <w:r w:rsidRPr="00BC2523">
        <w:rPr>
          <w:rStyle w:val="normaltextrun"/>
          <w:rFonts w:ascii="Arial" w:hAnsi="Arial" w:cs="Arial"/>
          <w:color w:val="000000"/>
          <w:sz w:val="18"/>
          <w:szCs w:val="18"/>
          <w:shd w:val="clear" w:color="auto" w:fill="FFFFFF"/>
        </w:rPr>
        <w:t xml:space="preserve">primarily </w:t>
      </w:r>
      <w:r w:rsidRPr="00BC2523">
        <w:rPr>
          <w:rFonts w:ascii="Arial" w:hAnsi="Arial" w:cs="Arial"/>
          <w:sz w:val="18"/>
          <w:szCs w:val="18"/>
          <w:lang w:eastAsia="fr-FR"/>
        </w:rPr>
        <w:t xml:space="preserve">to reduce the </w:t>
      </w:r>
      <w:r w:rsidRPr="00BC2523">
        <w:rPr>
          <w:rFonts w:ascii="Arial" w:hAnsi="Arial" w:cs="Arial"/>
          <w:i/>
          <w:sz w:val="18"/>
          <w:szCs w:val="18"/>
          <w:lang w:eastAsia="fr-FR"/>
        </w:rPr>
        <w:t>risk</w:t>
      </w:r>
      <w:r w:rsidRPr="00BC2523">
        <w:rPr>
          <w:rFonts w:ascii="Arial" w:hAnsi="Arial" w:cs="Arial"/>
          <w:sz w:val="18"/>
          <w:szCs w:val="18"/>
          <w:lang w:eastAsia="fr-FR"/>
        </w:rPr>
        <w:t xml:space="preserve"> of introducing </w:t>
      </w:r>
      <w:r w:rsidRPr="00BC2523">
        <w:rPr>
          <w:rFonts w:ascii="Arial" w:hAnsi="Arial" w:cs="Arial"/>
          <w:i/>
          <w:sz w:val="18"/>
          <w:szCs w:val="18"/>
          <w:lang w:eastAsia="fr-FR"/>
        </w:rPr>
        <w:t xml:space="preserve">pathogenic agents </w:t>
      </w:r>
      <w:r w:rsidRPr="00BC2523">
        <w:rPr>
          <w:rFonts w:ascii="Arial" w:hAnsi="Arial" w:cs="Arial"/>
          <w:sz w:val="18"/>
          <w:szCs w:val="18"/>
          <w:lang w:eastAsia="fr-FR"/>
        </w:rPr>
        <w:t>into</w:t>
      </w:r>
      <w:r w:rsidRPr="00BC2523">
        <w:rPr>
          <w:rFonts w:ascii="Arial" w:hAnsi="Arial" w:cs="Arial"/>
          <w:i/>
          <w:color w:val="000000"/>
          <w:sz w:val="18"/>
          <w:szCs w:val="18"/>
        </w:rPr>
        <w:t xml:space="preserve"> </w:t>
      </w:r>
      <w:r w:rsidRPr="00BC2523">
        <w:rPr>
          <w:rFonts w:ascii="Arial" w:hAnsi="Arial" w:cs="Arial"/>
          <w:color w:val="000000"/>
          <w:sz w:val="18"/>
          <w:szCs w:val="18"/>
        </w:rPr>
        <w:t>an</w:t>
      </w:r>
      <w:r w:rsidRPr="00BC2523">
        <w:rPr>
          <w:rFonts w:ascii="Arial" w:hAnsi="Arial" w:cs="Arial"/>
          <w:i/>
          <w:color w:val="000000"/>
          <w:sz w:val="18"/>
          <w:szCs w:val="18"/>
        </w:rPr>
        <w:t xml:space="preserve"> aquacultur</w:t>
      </w:r>
      <w:r w:rsidRPr="00BC2523">
        <w:rPr>
          <w:rFonts w:ascii="Arial" w:hAnsi="Arial" w:cs="Arial"/>
          <w:color w:val="000000"/>
          <w:sz w:val="18"/>
          <w:szCs w:val="18"/>
        </w:rPr>
        <w:t>e</w:t>
      </w:r>
      <w:r w:rsidRPr="00BC2523">
        <w:rPr>
          <w:rStyle w:val="normaltextrun"/>
          <w:rFonts w:ascii="Arial" w:hAnsi="Arial" w:cs="Arial"/>
          <w:color w:val="000000"/>
          <w:sz w:val="18"/>
          <w:szCs w:val="18"/>
          <w:shd w:val="clear" w:color="auto" w:fill="FFFFFF"/>
        </w:rPr>
        <w:t xml:space="preserve"> </w:t>
      </w:r>
      <w:r w:rsidRPr="00685B5C">
        <w:rPr>
          <w:rStyle w:val="normaltextrun"/>
          <w:rFonts w:ascii="Arial" w:hAnsi="Arial" w:cs="Arial"/>
          <w:i/>
          <w:iCs/>
          <w:color w:val="000000"/>
          <w:sz w:val="18"/>
          <w:szCs w:val="18"/>
          <w:shd w:val="clear" w:color="auto" w:fill="FFFFFF"/>
        </w:rPr>
        <w:t>establishment</w:t>
      </w:r>
      <w:r w:rsidRPr="00BC2523">
        <w:rPr>
          <w:rFonts w:ascii="Arial" w:hAnsi="Arial" w:cs="Arial"/>
          <w:sz w:val="18"/>
          <w:szCs w:val="18"/>
          <w:lang w:eastAsia="fr-FR"/>
        </w:rPr>
        <w:t xml:space="preserve">, </w:t>
      </w:r>
      <w:r w:rsidRPr="00BC2523">
        <w:rPr>
          <w:rFonts w:ascii="Arial" w:hAnsi="Arial" w:cs="Arial"/>
          <w:color w:val="000000"/>
          <w:sz w:val="18"/>
          <w:szCs w:val="18"/>
        </w:rPr>
        <w:t xml:space="preserve">and if </w:t>
      </w:r>
      <w:r w:rsidRPr="00BC2523">
        <w:rPr>
          <w:rFonts w:ascii="Arial" w:hAnsi="Arial" w:cs="Arial"/>
          <w:i/>
          <w:color w:val="000000"/>
          <w:sz w:val="18"/>
          <w:szCs w:val="18"/>
        </w:rPr>
        <w:t>pathogenic agents</w:t>
      </w:r>
      <w:r w:rsidRPr="00BC2523">
        <w:rPr>
          <w:rFonts w:ascii="Arial" w:hAnsi="Arial" w:cs="Arial"/>
          <w:color w:val="000000"/>
          <w:sz w:val="18"/>
          <w:szCs w:val="18"/>
        </w:rPr>
        <w:t xml:space="preserve"> are introduced, to reduce the </w:t>
      </w:r>
      <w:r w:rsidRPr="00BC2523">
        <w:rPr>
          <w:rFonts w:ascii="Arial" w:hAnsi="Arial" w:cs="Arial"/>
          <w:i/>
          <w:color w:val="000000"/>
          <w:sz w:val="18"/>
          <w:szCs w:val="18"/>
        </w:rPr>
        <w:t>risk</w:t>
      </w:r>
      <w:r w:rsidRPr="00BC2523">
        <w:rPr>
          <w:rFonts w:ascii="Arial" w:hAnsi="Arial" w:cs="Arial"/>
          <w:color w:val="000000"/>
          <w:sz w:val="18"/>
          <w:szCs w:val="18"/>
        </w:rPr>
        <w:t xml:space="preserve"> of further </w:t>
      </w:r>
      <w:r w:rsidRPr="00BC2523">
        <w:rPr>
          <w:rFonts w:ascii="Arial" w:hAnsi="Arial" w:cs="Arial"/>
          <w:sz w:val="18"/>
          <w:szCs w:val="18"/>
          <w:lang w:eastAsia="fr-FR"/>
        </w:rPr>
        <w:t xml:space="preserve">spread within or release from the </w:t>
      </w:r>
      <w:r w:rsidRPr="00BC2523">
        <w:rPr>
          <w:rFonts w:ascii="Arial" w:hAnsi="Arial" w:cs="Arial"/>
          <w:i/>
          <w:sz w:val="18"/>
          <w:szCs w:val="18"/>
          <w:lang w:eastAsia="fr-FR"/>
        </w:rPr>
        <w:t>aquaculture establishment</w:t>
      </w:r>
      <w:r w:rsidRPr="00BC2523">
        <w:rPr>
          <w:rFonts w:ascii="Arial" w:hAnsi="Arial" w:cs="Arial"/>
          <w:sz w:val="18"/>
          <w:szCs w:val="18"/>
          <w:lang w:eastAsia="fr-FR"/>
        </w:rPr>
        <w:t xml:space="preserve">. The plan will document identified transmission pathways and the outputs of any </w:t>
      </w:r>
      <w:r w:rsidRPr="00BC2523">
        <w:rPr>
          <w:rFonts w:ascii="Arial" w:hAnsi="Arial" w:cs="Arial"/>
          <w:i/>
          <w:sz w:val="18"/>
          <w:szCs w:val="18"/>
          <w:lang w:eastAsia="fr-FR"/>
        </w:rPr>
        <w:t>risk analysis</w:t>
      </w:r>
      <w:r w:rsidRPr="00BC2523">
        <w:rPr>
          <w:rFonts w:ascii="Arial" w:hAnsi="Arial" w:cs="Arial"/>
          <w:sz w:val="18"/>
          <w:szCs w:val="18"/>
          <w:lang w:eastAsia="fr-FR"/>
        </w:rPr>
        <w:t xml:space="preserve"> performed (</w:t>
      </w:r>
      <w:r w:rsidRPr="00BC2523">
        <w:rPr>
          <w:rFonts w:ascii="Arial" w:hAnsi="Arial" w:cs="Arial"/>
          <w:i/>
          <w:sz w:val="18"/>
          <w:szCs w:val="18"/>
          <w:lang w:eastAsia="fr-FR"/>
        </w:rPr>
        <w:t>hazards, risk</w:t>
      </w:r>
      <w:r w:rsidRPr="00BC2523">
        <w:rPr>
          <w:rFonts w:ascii="Arial" w:hAnsi="Arial" w:cs="Arial"/>
          <w:sz w:val="18"/>
          <w:szCs w:val="18"/>
          <w:lang w:eastAsia="fr-FR"/>
        </w:rPr>
        <w:t xml:space="preserve"> estimate and mitigation measures), and information relevant to ongoing implementation, monitoring and review of the plan.</w:t>
      </w:r>
      <w:r w:rsidRPr="00BC2523">
        <w:rPr>
          <w:rStyle w:val="normaltextrun"/>
          <w:rFonts w:ascii="Arial" w:hAnsi="Arial" w:cs="Arial"/>
          <w:color w:val="000000"/>
          <w:sz w:val="18"/>
          <w:szCs w:val="18"/>
          <w:shd w:val="clear" w:color="auto" w:fill="FFFFFF"/>
        </w:rPr>
        <w:t xml:space="preserve"> </w:t>
      </w:r>
    </w:p>
    <w:p w14:paraId="541F1AAC" w14:textId="77777777" w:rsidR="0094086E" w:rsidRPr="00BC2523" w:rsidRDefault="0094086E" w:rsidP="0094086E">
      <w:pPr>
        <w:spacing w:after="280" w:line="240" w:lineRule="auto"/>
        <w:ind w:left="426" w:hanging="426"/>
        <w:jc w:val="both"/>
        <w:rPr>
          <w:rFonts w:ascii="Arial" w:hAnsi="Arial" w:cs="Arial"/>
          <w:sz w:val="18"/>
          <w:szCs w:val="18"/>
          <w:lang w:eastAsia="fr-FR"/>
        </w:rPr>
      </w:pPr>
      <w:r w:rsidRPr="00BC2523">
        <w:rPr>
          <w:rFonts w:ascii="Arial" w:hAnsi="Arial" w:cs="Arial"/>
          <w:sz w:val="18"/>
          <w:szCs w:val="18"/>
          <w:lang w:eastAsia="fr-FR"/>
        </w:rPr>
        <w:t>1.</w:t>
      </w:r>
      <w:r w:rsidRPr="00BC2523">
        <w:rPr>
          <w:rFonts w:ascii="Arial" w:hAnsi="Arial" w:cs="Arial"/>
          <w:sz w:val="18"/>
          <w:szCs w:val="18"/>
          <w:lang w:eastAsia="fr-FR"/>
        </w:rPr>
        <w:tab/>
      </w:r>
      <w:r w:rsidRPr="00BC2523">
        <w:rPr>
          <w:rFonts w:ascii="Arial" w:hAnsi="Arial" w:cs="Arial"/>
          <w:sz w:val="18"/>
          <w:szCs w:val="18"/>
          <w:u w:val="single"/>
          <w:lang w:eastAsia="fr-FR"/>
        </w:rPr>
        <w:t>Development of a biosecurity plan</w:t>
      </w:r>
    </w:p>
    <w:p w14:paraId="484F1ED6" w14:textId="77777777" w:rsidR="0094086E" w:rsidRPr="00BC2523" w:rsidRDefault="0094086E" w:rsidP="0094086E">
      <w:pPr>
        <w:spacing w:after="280" w:line="240" w:lineRule="auto"/>
        <w:ind w:left="426"/>
        <w:jc w:val="both"/>
        <w:rPr>
          <w:rFonts w:ascii="Arial" w:hAnsi="Arial" w:cs="Arial"/>
          <w:sz w:val="18"/>
          <w:szCs w:val="18"/>
          <w:lang w:eastAsia="fr-FR"/>
        </w:rPr>
      </w:pPr>
      <w:r w:rsidRPr="00BC2523">
        <w:rPr>
          <w:rFonts w:ascii="Arial" w:hAnsi="Arial" w:cs="Arial"/>
          <w:sz w:val="18"/>
          <w:szCs w:val="18"/>
          <w:lang w:eastAsia="fr-FR"/>
        </w:rPr>
        <w:t xml:space="preserve">The process </w:t>
      </w:r>
      <w:r w:rsidRPr="00BC2523">
        <w:rPr>
          <w:rFonts w:ascii="Arial" w:hAnsi="Arial" w:cs="Arial"/>
          <w:strike/>
          <w:sz w:val="18"/>
          <w:szCs w:val="18"/>
          <w:lang w:eastAsia="fr-FR"/>
        </w:rPr>
        <w:t>to</w:t>
      </w:r>
      <w:r w:rsidRPr="00BC2523">
        <w:rPr>
          <w:rFonts w:ascii="Arial" w:hAnsi="Arial" w:cs="Arial"/>
          <w:sz w:val="18"/>
          <w:szCs w:val="18"/>
          <w:lang w:eastAsia="fr-FR"/>
        </w:rPr>
        <w:t xml:space="preserve"> </w:t>
      </w:r>
      <w:r w:rsidRPr="00BC2523">
        <w:rPr>
          <w:rFonts w:ascii="Arial" w:hAnsi="Arial" w:cs="Arial"/>
          <w:sz w:val="18"/>
          <w:szCs w:val="18"/>
          <w:u w:val="double"/>
          <w:lang w:eastAsia="fr-FR"/>
        </w:rPr>
        <w:t>of</w:t>
      </w:r>
      <w:r w:rsidRPr="00BC2523">
        <w:rPr>
          <w:rFonts w:ascii="Arial" w:hAnsi="Arial" w:cs="Arial"/>
          <w:sz w:val="18"/>
          <w:szCs w:val="18"/>
          <w:lang w:eastAsia="fr-FR"/>
        </w:rPr>
        <w:t xml:space="preserve"> develop</w:t>
      </w:r>
      <w:r w:rsidRPr="00BC2523">
        <w:rPr>
          <w:rFonts w:ascii="Arial" w:hAnsi="Arial" w:cs="Arial"/>
          <w:sz w:val="18"/>
          <w:szCs w:val="18"/>
          <w:u w:val="double"/>
          <w:lang w:eastAsia="fr-FR"/>
        </w:rPr>
        <w:t>ing</w:t>
      </w:r>
      <w:r w:rsidRPr="00BC2523">
        <w:rPr>
          <w:rFonts w:ascii="Arial" w:hAnsi="Arial" w:cs="Arial"/>
          <w:sz w:val="18"/>
          <w:szCs w:val="18"/>
          <w:lang w:eastAsia="fr-FR"/>
        </w:rPr>
        <w:t xml:space="preserve"> a </w:t>
      </w:r>
      <w:r w:rsidRPr="00BC2523">
        <w:rPr>
          <w:rFonts w:ascii="Arial" w:hAnsi="Arial" w:cs="Arial"/>
          <w:i/>
          <w:sz w:val="18"/>
          <w:szCs w:val="18"/>
          <w:lang w:eastAsia="fr-FR"/>
        </w:rPr>
        <w:t>biosecurity plan</w:t>
      </w:r>
      <w:r w:rsidRPr="00BC2523">
        <w:rPr>
          <w:rFonts w:ascii="Arial" w:eastAsia="SimSun" w:hAnsi="Arial" w:cs="Arial"/>
          <w:i/>
          <w:sz w:val="18"/>
          <w:szCs w:val="18"/>
          <w:lang w:eastAsia="zh-CN"/>
        </w:rPr>
        <w:t xml:space="preserve"> </w:t>
      </w:r>
      <w:r w:rsidRPr="00BC2523">
        <w:rPr>
          <w:rFonts w:ascii="Arial" w:hAnsi="Arial" w:cs="Arial"/>
          <w:sz w:val="18"/>
          <w:szCs w:val="18"/>
          <w:lang w:eastAsia="fr-FR"/>
        </w:rPr>
        <w:t xml:space="preserve">will vary depending on </w:t>
      </w:r>
      <w:r w:rsidRPr="00BC2523">
        <w:rPr>
          <w:rFonts w:ascii="Arial" w:hAnsi="Arial" w:cs="Arial"/>
          <w:sz w:val="18"/>
          <w:szCs w:val="18"/>
          <w:u w:val="double"/>
          <w:lang w:eastAsia="fr-FR"/>
        </w:rPr>
        <w:t>its</w:t>
      </w:r>
      <w:r w:rsidRPr="00BC2523">
        <w:rPr>
          <w:rFonts w:ascii="Arial" w:hAnsi="Arial" w:cs="Arial"/>
          <w:sz w:val="18"/>
          <w:szCs w:val="18"/>
          <w:lang w:eastAsia="fr-FR"/>
        </w:rPr>
        <w:t xml:space="preserve"> objectives </w:t>
      </w:r>
      <w:r w:rsidRPr="00BC2523">
        <w:rPr>
          <w:rFonts w:ascii="Arial" w:hAnsi="Arial" w:cs="Arial"/>
          <w:strike/>
          <w:sz w:val="18"/>
          <w:szCs w:val="18"/>
          <w:lang w:eastAsia="fr-FR"/>
        </w:rPr>
        <w:t xml:space="preserve">of the </w:t>
      </w:r>
      <w:r w:rsidRPr="00BC2523">
        <w:rPr>
          <w:rFonts w:ascii="Arial" w:hAnsi="Arial" w:cs="Arial"/>
          <w:i/>
          <w:strike/>
          <w:sz w:val="18"/>
          <w:szCs w:val="18"/>
          <w:lang w:eastAsia="fr-FR"/>
        </w:rPr>
        <w:t>biosecurity plan</w:t>
      </w:r>
      <w:r w:rsidRPr="00BC2523">
        <w:rPr>
          <w:rFonts w:ascii="Arial" w:hAnsi="Arial" w:cs="Arial"/>
          <w:sz w:val="18"/>
          <w:szCs w:val="18"/>
          <w:lang w:eastAsia="fr-FR"/>
        </w:rPr>
        <w:t xml:space="preserve">, the level of </w:t>
      </w:r>
      <w:r w:rsidRPr="00BC2523">
        <w:rPr>
          <w:rFonts w:ascii="Arial" w:hAnsi="Arial" w:cs="Arial"/>
          <w:i/>
          <w:sz w:val="18"/>
          <w:szCs w:val="18"/>
          <w:lang w:eastAsia="fr-FR"/>
        </w:rPr>
        <w:t>biosecurity</w:t>
      </w:r>
      <w:r w:rsidRPr="00BC2523">
        <w:rPr>
          <w:rFonts w:ascii="Arial" w:eastAsia="SimSun" w:hAnsi="Arial" w:cs="Arial"/>
          <w:i/>
          <w:sz w:val="18"/>
          <w:szCs w:val="18"/>
          <w:lang w:eastAsia="zh-CN"/>
        </w:rPr>
        <w:t xml:space="preserve"> </w:t>
      </w:r>
      <w:r w:rsidRPr="00BC2523">
        <w:rPr>
          <w:rFonts w:ascii="Arial" w:hAnsi="Arial" w:cs="Arial"/>
          <w:sz w:val="18"/>
          <w:szCs w:val="18"/>
          <w:lang w:eastAsia="fr-FR"/>
        </w:rPr>
        <w:t>appropriate</w:t>
      </w:r>
      <w:r w:rsidRPr="00BC2523">
        <w:rPr>
          <w:rFonts w:ascii="Arial" w:eastAsia="SimSun" w:hAnsi="Arial" w:cs="Arial"/>
          <w:sz w:val="18"/>
          <w:szCs w:val="18"/>
          <w:lang w:eastAsia="zh-CN"/>
        </w:rPr>
        <w:t xml:space="preserve"> </w:t>
      </w:r>
      <w:r w:rsidRPr="00BC2523">
        <w:rPr>
          <w:rFonts w:ascii="Arial" w:hAnsi="Arial" w:cs="Arial"/>
          <w:sz w:val="18"/>
          <w:szCs w:val="18"/>
          <w:lang w:eastAsia="fr-FR"/>
        </w:rPr>
        <w:t xml:space="preserve">to the specific production system requirements, the complexity of the </w:t>
      </w:r>
      <w:r w:rsidRPr="00BC2523">
        <w:rPr>
          <w:rFonts w:ascii="Arial" w:hAnsi="Arial" w:cs="Arial"/>
          <w:i/>
          <w:sz w:val="18"/>
          <w:szCs w:val="18"/>
          <w:lang w:eastAsia="fr-FR"/>
        </w:rPr>
        <w:t>disease risks</w:t>
      </w:r>
      <w:r w:rsidRPr="00BC2523">
        <w:rPr>
          <w:rFonts w:ascii="Arial" w:hAnsi="Arial" w:cs="Arial"/>
          <w:sz w:val="18"/>
          <w:szCs w:val="18"/>
          <w:lang w:eastAsia="fr-FR"/>
        </w:rPr>
        <w:t xml:space="preserve"> to be addressed, and availability of information and resources. Consideration and documentation of the following issues are recommended:</w:t>
      </w:r>
    </w:p>
    <w:p w14:paraId="1E5ED63B" w14:textId="77777777" w:rsidR="0094086E" w:rsidRPr="00BC2523" w:rsidRDefault="0094086E" w:rsidP="00562F64">
      <w:pPr>
        <w:pStyle w:val="Paragraphedeliste"/>
        <w:numPr>
          <w:ilvl w:val="0"/>
          <w:numId w:val="24"/>
        </w:numPr>
        <w:spacing w:after="240" w:line="240" w:lineRule="auto"/>
        <w:jc w:val="both"/>
        <w:rPr>
          <w:rFonts w:ascii="Arial" w:hAnsi="Arial" w:cs="Arial"/>
          <w:sz w:val="18"/>
          <w:szCs w:val="18"/>
          <w:lang w:eastAsia="fr-FR"/>
        </w:rPr>
      </w:pPr>
      <w:r w:rsidRPr="00BC2523">
        <w:rPr>
          <w:rFonts w:ascii="Arial" w:hAnsi="Arial" w:cs="Arial"/>
          <w:sz w:val="18"/>
          <w:szCs w:val="18"/>
          <w:lang w:eastAsia="fr-FR"/>
        </w:rPr>
        <w:t>objectives</w:t>
      </w:r>
      <w:r w:rsidRPr="00BC2523">
        <w:rPr>
          <w:rFonts w:ascii="Arial" w:hAnsi="Arial" w:cs="Arial"/>
          <w:sz w:val="18"/>
          <w:szCs w:val="18"/>
          <w:highlight w:val="yellow"/>
          <w:u w:val="double"/>
          <w:lang w:eastAsia="fr-FR"/>
        </w:rPr>
        <w:t>, scope</w:t>
      </w:r>
      <w:r w:rsidRPr="00BC2523">
        <w:rPr>
          <w:rFonts w:ascii="Arial" w:hAnsi="Arial" w:cs="Arial"/>
          <w:sz w:val="18"/>
          <w:szCs w:val="18"/>
          <w:lang w:eastAsia="fr-FR"/>
        </w:rPr>
        <w:t xml:space="preserve"> and regulatory requirements for the </w:t>
      </w:r>
      <w:r w:rsidRPr="00BC2523">
        <w:rPr>
          <w:rFonts w:ascii="Arial" w:hAnsi="Arial" w:cs="Arial"/>
          <w:i/>
          <w:sz w:val="18"/>
          <w:szCs w:val="18"/>
          <w:lang w:eastAsia="fr-FR"/>
        </w:rPr>
        <w:t>biosecurity plan</w:t>
      </w:r>
      <w:r w:rsidRPr="00BC2523">
        <w:rPr>
          <w:rFonts w:ascii="Arial" w:hAnsi="Arial" w:cs="Arial"/>
          <w:sz w:val="18"/>
          <w:szCs w:val="18"/>
          <w:lang w:eastAsia="fr-FR"/>
        </w:rPr>
        <w:t>;</w:t>
      </w:r>
    </w:p>
    <w:p w14:paraId="374D4AC9" w14:textId="77777777" w:rsidR="0094086E" w:rsidRPr="00BC2523" w:rsidRDefault="0094086E" w:rsidP="0094086E">
      <w:pPr>
        <w:spacing w:after="240" w:line="240" w:lineRule="auto"/>
        <w:ind w:left="851" w:hanging="425"/>
        <w:jc w:val="both"/>
        <w:rPr>
          <w:rFonts w:ascii="Arial" w:hAnsi="Arial" w:cs="Arial"/>
          <w:sz w:val="18"/>
          <w:szCs w:val="18"/>
          <w:lang w:eastAsia="fr-FR"/>
        </w:rPr>
      </w:pPr>
      <w:r w:rsidRPr="00BC2523">
        <w:rPr>
          <w:rFonts w:ascii="Arial" w:hAnsi="Arial" w:cs="Arial"/>
          <w:i/>
          <w:sz w:val="18"/>
          <w:szCs w:val="18"/>
          <w:lang w:eastAsia="fr-FR"/>
        </w:rPr>
        <w:t>b)</w:t>
      </w:r>
      <w:r w:rsidRPr="00BC2523">
        <w:rPr>
          <w:rFonts w:ascii="Arial" w:hAnsi="Arial" w:cs="Arial"/>
          <w:sz w:val="18"/>
          <w:szCs w:val="18"/>
          <w:lang w:eastAsia="fr-FR"/>
        </w:rPr>
        <w:tab/>
        <w:t xml:space="preserve">information about the </w:t>
      </w:r>
      <w:r w:rsidRPr="00BC2523">
        <w:rPr>
          <w:rFonts w:ascii="Arial" w:hAnsi="Arial" w:cs="Arial"/>
          <w:i/>
          <w:sz w:val="18"/>
          <w:szCs w:val="18"/>
          <w:lang w:eastAsia="fr-FR"/>
        </w:rPr>
        <w:t>aquaculture establishment</w:t>
      </w:r>
      <w:r w:rsidRPr="00BC2523">
        <w:rPr>
          <w:rFonts w:ascii="Arial" w:hAnsi="Arial" w:cs="Arial"/>
          <w:sz w:val="18"/>
          <w:szCs w:val="18"/>
          <w:lang w:eastAsia="fr-FR"/>
        </w:rPr>
        <w:t xml:space="preserve"> including </w:t>
      </w:r>
      <w:r w:rsidRPr="00BC2523">
        <w:rPr>
          <w:rFonts w:ascii="Arial" w:hAnsi="Arial" w:cs="Arial"/>
          <w:sz w:val="18"/>
          <w:szCs w:val="18"/>
          <w:u w:val="double"/>
          <w:lang w:eastAsia="fr-FR"/>
        </w:rPr>
        <w:t xml:space="preserve">an up-to-date plan of </w:t>
      </w:r>
      <w:r w:rsidRPr="00BC2523">
        <w:rPr>
          <w:rFonts w:ascii="Arial" w:hAnsi="Arial" w:cs="Arial"/>
          <w:sz w:val="18"/>
          <w:szCs w:val="18"/>
          <w:lang w:eastAsia="fr-FR"/>
        </w:rPr>
        <w:t>the layout of buildings and production units (</w:t>
      </w:r>
      <w:r w:rsidRPr="00BC2523">
        <w:rPr>
          <w:rFonts w:ascii="Arial" w:hAnsi="Arial" w:cs="Arial"/>
          <w:sz w:val="18"/>
          <w:szCs w:val="18"/>
          <w:u w:val="double"/>
          <w:lang w:eastAsia="fr-FR"/>
        </w:rPr>
        <w:t xml:space="preserve">including </w:t>
      </w:r>
      <w:r w:rsidRPr="00BC2523">
        <w:rPr>
          <w:rFonts w:ascii="Arial" w:hAnsi="Arial" w:cs="Arial"/>
          <w:i/>
          <w:sz w:val="18"/>
          <w:szCs w:val="18"/>
          <w:u w:val="double"/>
          <w:lang w:eastAsia="fr-FR"/>
        </w:rPr>
        <w:t>epidemiological units</w:t>
      </w:r>
      <w:r w:rsidRPr="00BC2523">
        <w:rPr>
          <w:rFonts w:ascii="Arial" w:hAnsi="Arial" w:cs="Arial"/>
          <w:sz w:val="18"/>
          <w:szCs w:val="18"/>
          <w:u w:val="double"/>
          <w:lang w:eastAsia="fr-FR"/>
        </w:rPr>
        <w:t xml:space="preserve">, if any, and structures and </w:t>
      </w:r>
      <w:r w:rsidRPr="00BC2523">
        <w:rPr>
          <w:rFonts w:ascii="Arial" w:hAnsi="Arial" w:cs="Arial"/>
          <w:strike/>
          <w:sz w:val="18"/>
          <w:szCs w:val="18"/>
          <w:lang w:eastAsia="fr-FR"/>
        </w:rPr>
        <w:t>the</w:t>
      </w:r>
      <w:r w:rsidRPr="00BC2523">
        <w:rPr>
          <w:rFonts w:ascii="Arial" w:hAnsi="Arial" w:cs="Arial"/>
          <w:sz w:val="18"/>
          <w:szCs w:val="18"/>
          <w:u w:val="double"/>
          <w:lang w:eastAsia="fr-FR"/>
        </w:rPr>
        <w:t xml:space="preserve"> processes to maintain separation</w:t>
      </w:r>
      <w:r w:rsidRPr="00BC2523">
        <w:rPr>
          <w:rFonts w:ascii="Arial" w:hAnsi="Arial" w:cs="Arial"/>
          <w:strike/>
          <w:sz w:val="18"/>
          <w:szCs w:val="18"/>
          <w:u w:val="double"/>
          <w:lang w:eastAsia="fr-FR"/>
        </w:rPr>
        <w:t>methods</w:t>
      </w:r>
      <w:r w:rsidRPr="00BC2523">
        <w:rPr>
          <w:rFonts w:ascii="Arial" w:hAnsi="Arial" w:cs="Arial"/>
          <w:sz w:val="18"/>
          <w:szCs w:val="18"/>
          <w:u w:val="double"/>
          <w:lang w:eastAsia="fr-FR"/>
        </w:rPr>
        <w:t xml:space="preserve">), loading/ unloading, unpacking, processing, </w:t>
      </w:r>
      <w:r w:rsidRPr="00BC2523">
        <w:rPr>
          <w:rFonts w:ascii="Arial" w:hAnsi="Arial" w:cs="Arial"/>
          <w:i/>
          <w:iCs/>
          <w:sz w:val="18"/>
          <w:szCs w:val="18"/>
          <w:u w:val="double"/>
          <w:lang w:eastAsia="fr-FR"/>
        </w:rPr>
        <w:t>feed</w:t>
      </w:r>
      <w:r w:rsidRPr="00BC2523">
        <w:rPr>
          <w:rFonts w:ascii="Arial" w:hAnsi="Arial" w:cs="Arial"/>
          <w:sz w:val="18"/>
          <w:szCs w:val="18"/>
          <w:u w:val="double"/>
          <w:lang w:eastAsia="fr-FR"/>
        </w:rPr>
        <w:t xml:space="preserve"> storage, </w:t>
      </w:r>
      <w:r w:rsidRPr="00BC2523">
        <w:rPr>
          <w:rFonts w:ascii="Arial" w:hAnsi="Arial" w:cs="Arial"/>
          <w:strike/>
          <w:sz w:val="18"/>
          <w:szCs w:val="18"/>
          <w:u w:val="double"/>
          <w:lang w:eastAsia="fr-FR"/>
        </w:rPr>
        <w:t>waste</w:t>
      </w:r>
      <w:r w:rsidRPr="00BC2523">
        <w:rPr>
          <w:rFonts w:ascii="Arial" w:hAnsi="Arial" w:cs="Arial"/>
          <w:sz w:val="18"/>
          <w:szCs w:val="18"/>
          <w:u w:val="double"/>
          <w:lang w:eastAsia="fr-FR"/>
        </w:rPr>
        <w:t xml:space="preserve"> </w:t>
      </w:r>
      <w:r w:rsidRPr="00BC2523">
        <w:rPr>
          <w:rFonts w:ascii="Arial" w:hAnsi="Arial" w:cs="Arial"/>
          <w:i/>
          <w:iCs/>
          <w:sz w:val="18"/>
          <w:szCs w:val="18"/>
          <w:u w:val="double"/>
          <w:lang w:eastAsia="fr-FR"/>
        </w:rPr>
        <w:t>aquatic animal waste</w:t>
      </w:r>
      <w:r w:rsidRPr="00BC2523">
        <w:rPr>
          <w:rFonts w:ascii="Arial" w:hAnsi="Arial" w:cs="Arial"/>
          <w:sz w:val="18"/>
          <w:szCs w:val="18"/>
          <w:u w:val="double"/>
          <w:lang w:eastAsia="fr-FR"/>
        </w:rPr>
        <w:t xml:space="preserve"> storage, reception areas</w:t>
      </w:r>
      <w:r w:rsidRPr="00BC2523">
        <w:rPr>
          <w:rFonts w:ascii="Arial" w:hAnsi="Arial" w:cs="Arial"/>
          <w:sz w:val="18"/>
          <w:szCs w:val="18"/>
          <w:lang w:eastAsia="fr-FR"/>
        </w:rPr>
        <w:t xml:space="preserve">, </w:t>
      </w:r>
      <w:r w:rsidRPr="00BC2523">
        <w:rPr>
          <w:rFonts w:ascii="Arial" w:hAnsi="Arial" w:cs="Arial"/>
          <w:sz w:val="18"/>
          <w:szCs w:val="18"/>
          <w:highlight w:val="yellow"/>
          <w:u w:val="double"/>
          <w:lang w:eastAsia="fr-FR"/>
        </w:rPr>
        <w:t>access points</w:t>
      </w:r>
      <w:r w:rsidRPr="00BC2523">
        <w:rPr>
          <w:rFonts w:ascii="Arial" w:hAnsi="Arial" w:cs="Arial"/>
          <w:sz w:val="18"/>
          <w:szCs w:val="18"/>
          <w:lang w:eastAsia="fr-FR"/>
        </w:rPr>
        <w:t xml:space="preserve"> and maps showing major movements of </w:t>
      </w:r>
      <w:r w:rsidRPr="00BC2523">
        <w:rPr>
          <w:rFonts w:ascii="Arial" w:hAnsi="Arial" w:cs="Arial"/>
          <w:i/>
          <w:sz w:val="18"/>
          <w:szCs w:val="18"/>
          <w:lang w:eastAsia="fr-FR"/>
        </w:rPr>
        <w:t>aquatic animals</w:t>
      </w:r>
      <w:r w:rsidRPr="00BC2523">
        <w:rPr>
          <w:rFonts w:ascii="Arial" w:hAnsi="Arial" w:cs="Arial"/>
          <w:sz w:val="18"/>
          <w:szCs w:val="18"/>
          <w:lang w:eastAsia="fr-FR"/>
        </w:rPr>
        <w:t xml:space="preserve">, </w:t>
      </w:r>
      <w:r w:rsidRPr="00BC2523">
        <w:rPr>
          <w:rFonts w:ascii="Arial" w:hAnsi="Arial" w:cs="Arial"/>
          <w:i/>
          <w:sz w:val="18"/>
          <w:szCs w:val="18"/>
          <w:lang w:eastAsia="fr-FR"/>
        </w:rPr>
        <w:t>aquatic animal products</w:t>
      </w:r>
      <w:r w:rsidRPr="00BC2523">
        <w:rPr>
          <w:rFonts w:ascii="Arial" w:hAnsi="Arial" w:cs="Arial"/>
          <w:sz w:val="18"/>
          <w:szCs w:val="18"/>
          <w:lang w:eastAsia="fr-FR"/>
        </w:rPr>
        <w:t xml:space="preserve"> and </w:t>
      </w:r>
      <w:r w:rsidRPr="00BC2523">
        <w:rPr>
          <w:rFonts w:ascii="Arial" w:hAnsi="Arial" w:cs="Arial"/>
          <w:i/>
          <w:sz w:val="18"/>
          <w:szCs w:val="18"/>
          <w:u w:val="double"/>
          <w:lang w:eastAsia="fr-FR"/>
        </w:rPr>
        <w:t>aquatic animal</w:t>
      </w:r>
      <w:r w:rsidRPr="00BC2523">
        <w:rPr>
          <w:rFonts w:ascii="Arial" w:hAnsi="Arial" w:cs="Arial"/>
          <w:i/>
          <w:sz w:val="18"/>
          <w:szCs w:val="18"/>
          <w:lang w:eastAsia="fr-FR"/>
        </w:rPr>
        <w:t xml:space="preserve"> </w:t>
      </w:r>
      <w:r w:rsidRPr="00BC2523">
        <w:rPr>
          <w:rFonts w:ascii="Arial" w:hAnsi="Arial" w:cs="Arial"/>
          <w:strike/>
          <w:sz w:val="18"/>
          <w:szCs w:val="18"/>
          <w:u w:val="double"/>
          <w:lang w:eastAsia="fr-FR"/>
        </w:rPr>
        <w:t>waste</w:t>
      </w:r>
      <w:r w:rsidRPr="00BC2523">
        <w:rPr>
          <w:rFonts w:ascii="Arial" w:hAnsi="Arial" w:cs="Arial"/>
          <w:sz w:val="18"/>
          <w:szCs w:val="18"/>
          <w:u w:val="double"/>
          <w:lang w:eastAsia="fr-FR"/>
        </w:rPr>
        <w:t xml:space="preserve"> </w:t>
      </w:r>
      <w:r w:rsidRPr="00BC2523">
        <w:rPr>
          <w:rFonts w:ascii="Arial" w:hAnsi="Arial" w:cs="Arial"/>
          <w:i/>
          <w:iCs/>
          <w:sz w:val="18"/>
          <w:szCs w:val="18"/>
          <w:u w:val="double"/>
          <w:lang w:eastAsia="fr-FR"/>
        </w:rPr>
        <w:t>waste</w:t>
      </w:r>
      <w:r w:rsidRPr="00BC2523">
        <w:rPr>
          <w:rFonts w:ascii="Arial" w:hAnsi="Arial" w:cs="Arial"/>
          <w:sz w:val="18"/>
          <w:szCs w:val="18"/>
          <w:lang w:eastAsia="fr-FR"/>
        </w:rPr>
        <w:t xml:space="preserve">, water, </w:t>
      </w:r>
      <w:r w:rsidRPr="00BC2523">
        <w:rPr>
          <w:rFonts w:ascii="Arial" w:hAnsi="Arial" w:cs="Arial"/>
          <w:i/>
          <w:sz w:val="18"/>
          <w:szCs w:val="18"/>
          <w:lang w:eastAsia="fr-FR"/>
        </w:rPr>
        <w:t>feed</w:t>
      </w:r>
      <w:r w:rsidRPr="00BC2523">
        <w:rPr>
          <w:rFonts w:ascii="Arial" w:hAnsi="Arial" w:cs="Arial"/>
          <w:sz w:val="18"/>
          <w:szCs w:val="18"/>
          <w:lang w:eastAsia="fr-FR"/>
        </w:rPr>
        <w:t xml:space="preserve"> and fomites </w:t>
      </w:r>
      <w:r w:rsidRPr="00BC2523">
        <w:rPr>
          <w:rFonts w:ascii="Arial" w:hAnsi="Arial" w:cs="Arial"/>
          <w:strike/>
          <w:sz w:val="18"/>
          <w:szCs w:val="18"/>
          <w:lang w:eastAsia="fr-FR"/>
        </w:rPr>
        <w:t xml:space="preserve">(including staff, equipment and </w:t>
      </w:r>
      <w:r w:rsidRPr="00BC2523">
        <w:rPr>
          <w:rFonts w:ascii="Arial" w:hAnsi="Arial" w:cs="Arial"/>
          <w:i/>
          <w:strike/>
          <w:sz w:val="18"/>
          <w:szCs w:val="18"/>
          <w:lang w:eastAsia="fr-FR"/>
        </w:rPr>
        <w:t>vehicles</w:t>
      </w:r>
      <w:r w:rsidRPr="00BC2523">
        <w:rPr>
          <w:rFonts w:ascii="Arial" w:hAnsi="Arial" w:cs="Arial"/>
          <w:strike/>
          <w:sz w:val="18"/>
          <w:szCs w:val="18"/>
          <w:lang w:eastAsia="fr-FR"/>
        </w:rPr>
        <w:t>)</w:t>
      </w:r>
      <w:r w:rsidRPr="00BC2523">
        <w:rPr>
          <w:rFonts w:ascii="Arial" w:hAnsi="Arial" w:cs="Arial"/>
          <w:sz w:val="18"/>
          <w:szCs w:val="18"/>
          <w:lang w:eastAsia="fr-FR"/>
        </w:rPr>
        <w:t xml:space="preserve">; </w:t>
      </w:r>
    </w:p>
    <w:p w14:paraId="2B3AC116" w14:textId="77777777" w:rsidR="0094086E" w:rsidRPr="00BC2523" w:rsidRDefault="0094086E" w:rsidP="0094086E">
      <w:pPr>
        <w:spacing w:after="240" w:line="240" w:lineRule="auto"/>
        <w:ind w:left="851" w:hanging="425"/>
        <w:jc w:val="both"/>
        <w:rPr>
          <w:rFonts w:ascii="Arial" w:hAnsi="Arial" w:cs="Arial"/>
          <w:sz w:val="18"/>
          <w:szCs w:val="18"/>
          <w:lang w:eastAsia="fr-FR"/>
        </w:rPr>
      </w:pPr>
      <w:r w:rsidRPr="00BC2523">
        <w:rPr>
          <w:rFonts w:ascii="Arial" w:hAnsi="Arial" w:cs="Arial"/>
          <w:i/>
          <w:sz w:val="18"/>
          <w:szCs w:val="18"/>
          <w:lang w:eastAsia="fr-FR"/>
        </w:rPr>
        <w:t>c)</w:t>
      </w:r>
      <w:r w:rsidRPr="00BC2523">
        <w:rPr>
          <w:rFonts w:ascii="Arial" w:hAnsi="Arial" w:cs="Arial"/>
          <w:sz w:val="18"/>
          <w:szCs w:val="18"/>
          <w:lang w:eastAsia="fr-FR"/>
        </w:rPr>
        <w:tab/>
        <w:t xml:space="preserve">the potential pathways for entry of </w:t>
      </w:r>
      <w:r w:rsidRPr="00BC2523">
        <w:rPr>
          <w:rFonts w:ascii="Arial" w:hAnsi="Arial" w:cs="Arial"/>
          <w:i/>
          <w:sz w:val="18"/>
          <w:szCs w:val="18"/>
          <w:lang w:eastAsia="fr-FR"/>
        </w:rPr>
        <w:t>pathogenic agents</w:t>
      </w:r>
      <w:r w:rsidRPr="00BC2523">
        <w:rPr>
          <w:rFonts w:ascii="Arial" w:hAnsi="Arial" w:cs="Arial"/>
          <w:sz w:val="18"/>
          <w:szCs w:val="18"/>
          <w:lang w:eastAsia="fr-FR"/>
        </w:rPr>
        <w:t xml:space="preserve"> into, spread within or release from the </w:t>
      </w:r>
      <w:r w:rsidRPr="00BC2523">
        <w:rPr>
          <w:rFonts w:ascii="Arial" w:hAnsi="Arial" w:cs="Arial"/>
          <w:i/>
          <w:sz w:val="18"/>
          <w:szCs w:val="18"/>
          <w:lang w:eastAsia="fr-FR"/>
        </w:rPr>
        <w:t xml:space="preserve">aquaculture establishment </w:t>
      </w:r>
      <w:r w:rsidRPr="00BC2523">
        <w:rPr>
          <w:rFonts w:ascii="Arial" w:hAnsi="Arial" w:cs="Arial"/>
          <w:sz w:val="18"/>
          <w:szCs w:val="18"/>
          <w:lang w:eastAsia="fr-FR"/>
        </w:rPr>
        <w:t>(refer to Article X.X.6. above);</w:t>
      </w:r>
    </w:p>
    <w:p w14:paraId="080E2816" w14:textId="77777777" w:rsidR="0094086E" w:rsidRPr="00BC2523" w:rsidRDefault="0094086E" w:rsidP="0094086E">
      <w:pPr>
        <w:spacing w:after="240" w:line="240" w:lineRule="auto"/>
        <w:ind w:left="851" w:hanging="425"/>
        <w:jc w:val="both"/>
        <w:rPr>
          <w:rFonts w:ascii="Arial" w:hAnsi="Arial" w:cs="Arial"/>
          <w:sz w:val="18"/>
          <w:szCs w:val="18"/>
          <w:lang w:eastAsia="fr-FR"/>
        </w:rPr>
      </w:pPr>
      <w:r w:rsidRPr="00BC2523">
        <w:rPr>
          <w:rFonts w:ascii="Arial" w:hAnsi="Arial" w:cs="Arial"/>
          <w:i/>
          <w:sz w:val="18"/>
          <w:szCs w:val="18"/>
          <w:lang w:eastAsia="fr-FR"/>
        </w:rPr>
        <w:t>d)</w:t>
      </w:r>
      <w:r w:rsidRPr="00BC2523">
        <w:rPr>
          <w:rFonts w:ascii="Arial" w:hAnsi="Arial" w:cs="Arial"/>
          <w:sz w:val="18"/>
          <w:szCs w:val="18"/>
          <w:lang w:eastAsia="fr-FR"/>
        </w:rPr>
        <w:tab/>
        <w:t xml:space="preserve">a </w:t>
      </w:r>
      <w:r w:rsidRPr="00BC2523">
        <w:rPr>
          <w:rFonts w:ascii="Arial" w:hAnsi="Arial" w:cs="Arial"/>
          <w:i/>
          <w:sz w:val="18"/>
          <w:szCs w:val="18"/>
          <w:lang w:eastAsia="fr-FR"/>
        </w:rPr>
        <w:t>risk analysis</w:t>
      </w:r>
      <w:r w:rsidRPr="00BC2523">
        <w:rPr>
          <w:rFonts w:ascii="Arial" w:hAnsi="Arial" w:cs="Arial"/>
          <w:sz w:val="18"/>
          <w:szCs w:val="18"/>
          <w:lang w:eastAsia="fr-FR"/>
        </w:rPr>
        <w:t xml:space="preserve">, including identification of the major </w:t>
      </w:r>
      <w:r w:rsidRPr="00BC2523">
        <w:rPr>
          <w:rFonts w:ascii="Arial" w:hAnsi="Arial" w:cs="Arial"/>
          <w:i/>
          <w:sz w:val="18"/>
          <w:szCs w:val="18"/>
          <w:lang w:eastAsia="fr-FR"/>
        </w:rPr>
        <w:t>disease hazards</w:t>
      </w:r>
      <w:r w:rsidRPr="00BC2523">
        <w:rPr>
          <w:rFonts w:ascii="Arial" w:hAnsi="Arial" w:cs="Arial"/>
          <w:sz w:val="18"/>
          <w:szCs w:val="18"/>
          <w:lang w:eastAsia="fr-FR"/>
        </w:rPr>
        <w:t xml:space="preserve"> to the </w:t>
      </w:r>
      <w:r w:rsidRPr="00BC2523">
        <w:rPr>
          <w:rFonts w:ascii="Arial" w:hAnsi="Arial" w:cs="Arial"/>
          <w:i/>
          <w:sz w:val="18"/>
          <w:szCs w:val="18"/>
          <w:lang w:eastAsia="fr-FR"/>
        </w:rPr>
        <w:t>aquaculture establishment</w:t>
      </w:r>
      <w:r w:rsidRPr="00BC2523">
        <w:rPr>
          <w:rFonts w:ascii="Arial" w:hAnsi="Arial" w:cs="Arial"/>
          <w:sz w:val="18"/>
          <w:szCs w:val="18"/>
          <w:lang w:eastAsia="fr-FR"/>
        </w:rPr>
        <w:t xml:space="preserve"> (refer to Article X.X.7. above);</w:t>
      </w:r>
    </w:p>
    <w:p w14:paraId="22248539" w14:textId="77777777" w:rsidR="0094086E" w:rsidRPr="00BC2523" w:rsidRDefault="0094086E" w:rsidP="0094086E">
      <w:pPr>
        <w:spacing w:after="240" w:line="240" w:lineRule="auto"/>
        <w:ind w:left="851" w:hanging="425"/>
        <w:jc w:val="both"/>
        <w:rPr>
          <w:rFonts w:ascii="Arial" w:hAnsi="Arial" w:cs="Arial"/>
          <w:sz w:val="18"/>
          <w:szCs w:val="18"/>
          <w:lang w:eastAsia="fr-FR"/>
        </w:rPr>
      </w:pPr>
      <w:r w:rsidRPr="00BC2523">
        <w:rPr>
          <w:rFonts w:ascii="Arial" w:hAnsi="Arial" w:cs="Arial"/>
          <w:i/>
          <w:sz w:val="18"/>
          <w:szCs w:val="18"/>
          <w:lang w:eastAsia="fr-FR"/>
        </w:rPr>
        <w:t>e)</w:t>
      </w:r>
      <w:r w:rsidRPr="00BC2523">
        <w:rPr>
          <w:rFonts w:ascii="Arial" w:hAnsi="Arial" w:cs="Arial"/>
          <w:sz w:val="18"/>
          <w:szCs w:val="18"/>
          <w:lang w:eastAsia="fr-FR"/>
        </w:rPr>
        <w:tab/>
        <w:t xml:space="preserve">the mitigation measures that have been determined to address </w:t>
      </w:r>
      <w:r w:rsidRPr="00BC2523">
        <w:rPr>
          <w:rFonts w:ascii="Arial" w:hAnsi="Arial" w:cs="Arial"/>
          <w:strike/>
          <w:sz w:val="18"/>
          <w:szCs w:val="18"/>
          <w:lang w:eastAsia="fr-FR"/>
        </w:rPr>
        <w:t>identified</w:t>
      </w:r>
      <w:r w:rsidRPr="00BC2523">
        <w:rPr>
          <w:rFonts w:ascii="Arial" w:hAnsi="Arial" w:cs="Arial"/>
          <w:sz w:val="18"/>
          <w:szCs w:val="18"/>
          <w:lang w:eastAsia="fr-FR"/>
        </w:rPr>
        <w:t xml:space="preserve"> </w:t>
      </w:r>
      <w:r w:rsidRPr="00BC2523">
        <w:rPr>
          <w:rFonts w:ascii="Arial" w:hAnsi="Arial" w:cs="Arial"/>
          <w:i/>
          <w:sz w:val="18"/>
          <w:szCs w:val="18"/>
          <w:lang w:eastAsia="fr-FR"/>
        </w:rPr>
        <w:t>risks</w:t>
      </w:r>
      <w:r w:rsidRPr="00BC2523">
        <w:rPr>
          <w:rFonts w:ascii="Arial" w:hAnsi="Arial" w:cs="Arial"/>
          <w:sz w:val="18"/>
          <w:szCs w:val="18"/>
          <w:lang w:eastAsia="fr-FR"/>
        </w:rPr>
        <w:t>;</w:t>
      </w:r>
    </w:p>
    <w:p w14:paraId="6E179C25" w14:textId="77777777" w:rsidR="0094086E" w:rsidRPr="00BC2523" w:rsidRDefault="0094086E" w:rsidP="0094086E">
      <w:pPr>
        <w:spacing w:after="240" w:line="240" w:lineRule="auto"/>
        <w:ind w:left="851" w:hanging="425"/>
        <w:jc w:val="both"/>
        <w:rPr>
          <w:rFonts w:ascii="Arial" w:hAnsi="Arial" w:cs="Arial"/>
          <w:sz w:val="18"/>
          <w:szCs w:val="18"/>
          <w:lang w:eastAsia="fr-FR"/>
        </w:rPr>
      </w:pPr>
      <w:r w:rsidRPr="00BC2523">
        <w:rPr>
          <w:rFonts w:ascii="Arial" w:hAnsi="Arial" w:cs="Arial"/>
          <w:i/>
          <w:sz w:val="18"/>
          <w:szCs w:val="18"/>
          <w:lang w:eastAsia="fr-FR"/>
        </w:rPr>
        <w:t>f)</w:t>
      </w:r>
      <w:r w:rsidRPr="00BC2523">
        <w:rPr>
          <w:rFonts w:ascii="Arial" w:hAnsi="Arial" w:cs="Arial"/>
          <w:sz w:val="18"/>
          <w:szCs w:val="18"/>
          <w:lang w:eastAsia="fr-FR"/>
        </w:rPr>
        <w:tab/>
        <w:t xml:space="preserve">emergency procedures in the event of a </w:t>
      </w:r>
      <w:r w:rsidRPr="00BC2523">
        <w:rPr>
          <w:rFonts w:ascii="Arial" w:hAnsi="Arial" w:cs="Arial"/>
          <w:i/>
          <w:sz w:val="18"/>
          <w:szCs w:val="18"/>
          <w:lang w:eastAsia="fr-FR"/>
        </w:rPr>
        <w:t>biosecurity</w:t>
      </w:r>
      <w:r w:rsidRPr="00BC2523">
        <w:rPr>
          <w:rFonts w:ascii="Arial" w:hAnsi="Arial" w:cs="Arial"/>
          <w:sz w:val="18"/>
          <w:szCs w:val="18"/>
          <w:lang w:eastAsia="fr-FR"/>
        </w:rPr>
        <w:t xml:space="preserve"> failure. </w:t>
      </w:r>
      <w:r w:rsidRPr="00BC2523">
        <w:rPr>
          <w:rFonts w:ascii="Arial" w:hAnsi="Arial" w:cs="Arial"/>
          <w:sz w:val="18"/>
          <w:szCs w:val="18"/>
          <w:u w:val="double"/>
        </w:rPr>
        <w:t xml:space="preserve">These </w:t>
      </w:r>
      <w:r w:rsidRPr="00BC2523">
        <w:rPr>
          <w:rFonts w:ascii="Arial" w:hAnsi="Arial" w:cs="Arial"/>
          <w:strike/>
          <w:sz w:val="18"/>
          <w:szCs w:val="18"/>
          <w:u w:val="double"/>
        </w:rPr>
        <w:t>They</w:t>
      </w:r>
      <w:r w:rsidRPr="00BC2523">
        <w:rPr>
          <w:rFonts w:ascii="Arial" w:hAnsi="Arial" w:cs="Arial"/>
          <w:sz w:val="18"/>
          <w:szCs w:val="18"/>
          <w:u w:val="double"/>
        </w:rPr>
        <w:t xml:space="preserve"> may include reporting requirements, </w:t>
      </w:r>
      <w:r w:rsidRPr="00BC2523">
        <w:rPr>
          <w:rFonts w:ascii="Arial" w:hAnsi="Arial" w:cs="Arial"/>
          <w:sz w:val="18"/>
          <w:szCs w:val="18"/>
          <w:highlight w:val="yellow"/>
          <w:u w:val="double"/>
        </w:rPr>
        <w:t>and</w:t>
      </w:r>
      <w:r w:rsidRPr="00BC2523">
        <w:rPr>
          <w:rFonts w:ascii="Arial" w:hAnsi="Arial" w:cs="Arial"/>
          <w:sz w:val="18"/>
          <w:szCs w:val="18"/>
          <w:u w:val="double"/>
        </w:rPr>
        <w:t xml:space="preserve"> emergency measures to eradicate </w:t>
      </w:r>
      <w:r w:rsidRPr="00BC2523">
        <w:rPr>
          <w:rFonts w:ascii="Arial" w:hAnsi="Arial" w:cs="Arial"/>
          <w:i/>
          <w:sz w:val="18"/>
          <w:szCs w:val="18"/>
          <w:u w:val="double"/>
        </w:rPr>
        <w:t>pathogenic agents</w:t>
      </w:r>
      <w:r w:rsidRPr="00BC2523">
        <w:rPr>
          <w:rFonts w:ascii="Arial" w:hAnsi="Arial" w:cs="Arial"/>
          <w:sz w:val="18"/>
          <w:szCs w:val="18"/>
          <w:u w:val="double"/>
        </w:rPr>
        <w:t xml:space="preserve"> such as </w:t>
      </w:r>
      <w:r w:rsidRPr="00BC2523">
        <w:rPr>
          <w:rFonts w:ascii="Arial" w:hAnsi="Arial" w:cs="Arial"/>
          <w:i/>
          <w:iCs/>
          <w:sz w:val="18"/>
          <w:szCs w:val="18"/>
          <w:u w:val="double"/>
        </w:rPr>
        <w:t>aquatic animal</w:t>
      </w:r>
      <w:r w:rsidRPr="00BC2523">
        <w:rPr>
          <w:rFonts w:ascii="Arial" w:hAnsi="Arial" w:cs="Arial"/>
          <w:sz w:val="18"/>
          <w:szCs w:val="18"/>
          <w:u w:val="double"/>
        </w:rPr>
        <w:t xml:space="preserve"> depopulation and disposal, and site </w:t>
      </w:r>
      <w:r w:rsidRPr="00BC2523">
        <w:rPr>
          <w:rFonts w:ascii="Arial" w:hAnsi="Arial" w:cs="Arial"/>
          <w:i/>
          <w:iCs/>
          <w:sz w:val="18"/>
          <w:szCs w:val="18"/>
          <w:u w:val="double"/>
        </w:rPr>
        <w:t>disinfection</w:t>
      </w:r>
      <w:r w:rsidRPr="00BC2523">
        <w:rPr>
          <w:rFonts w:ascii="Arial" w:hAnsi="Arial" w:cs="Arial"/>
          <w:sz w:val="18"/>
          <w:szCs w:val="18"/>
          <w:u w:val="double"/>
        </w:rPr>
        <w:t>, in accordance with Chapters 4.3. and 7.4.</w:t>
      </w:r>
      <w:r w:rsidRPr="00BC2523">
        <w:rPr>
          <w:rFonts w:ascii="Arial" w:hAnsi="Arial" w:cs="Arial"/>
          <w:sz w:val="18"/>
          <w:szCs w:val="18"/>
          <w:lang w:eastAsia="fr-FR"/>
        </w:rPr>
        <w:t>;</w:t>
      </w:r>
    </w:p>
    <w:p w14:paraId="1ACE1960" w14:textId="77777777" w:rsidR="0094086E" w:rsidRPr="00BC2523" w:rsidRDefault="0094086E" w:rsidP="0094086E">
      <w:pPr>
        <w:spacing w:after="240" w:line="240" w:lineRule="auto"/>
        <w:ind w:left="851" w:hanging="425"/>
        <w:jc w:val="both"/>
        <w:rPr>
          <w:rFonts w:ascii="Arial" w:hAnsi="Arial" w:cs="Arial"/>
          <w:strike/>
          <w:sz w:val="18"/>
          <w:szCs w:val="18"/>
          <w:lang w:eastAsia="fr-FR"/>
        </w:rPr>
      </w:pPr>
      <w:r w:rsidRPr="00BC2523">
        <w:rPr>
          <w:rFonts w:ascii="Arial" w:hAnsi="Arial" w:cs="Arial"/>
          <w:i/>
          <w:strike/>
          <w:sz w:val="18"/>
          <w:szCs w:val="18"/>
          <w:lang w:eastAsia="fr-FR"/>
        </w:rPr>
        <w:t>g)</w:t>
      </w:r>
      <w:r w:rsidRPr="00BC2523">
        <w:rPr>
          <w:rFonts w:ascii="Arial" w:hAnsi="Arial" w:cs="Arial"/>
          <w:sz w:val="18"/>
          <w:szCs w:val="18"/>
          <w:lang w:eastAsia="fr-FR"/>
        </w:rPr>
        <w:tab/>
      </w:r>
      <w:r w:rsidRPr="00BC2523">
        <w:rPr>
          <w:rFonts w:ascii="Arial" w:hAnsi="Arial" w:cs="Arial"/>
          <w:strike/>
          <w:sz w:val="18"/>
          <w:szCs w:val="18"/>
          <w:lang w:eastAsia="fr-FR"/>
        </w:rPr>
        <w:t>standard operating procedures required to support implementation of the mitigation measures, emergency procedures and the training requirements of personnel;</w:t>
      </w:r>
    </w:p>
    <w:p w14:paraId="6FB03AEF" w14:textId="77777777" w:rsidR="0094086E" w:rsidRPr="00BC2523" w:rsidRDefault="0094086E" w:rsidP="0094086E">
      <w:pPr>
        <w:spacing w:after="240" w:line="240" w:lineRule="auto"/>
        <w:ind w:left="851" w:hanging="425"/>
        <w:jc w:val="both"/>
        <w:rPr>
          <w:rFonts w:ascii="Arial" w:hAnsi="Arial" w:cs="Arial"/>
          <w:sz w:val="18"/>
          <w:szCs w:val="18"/>
          <w:lang w:eastAsia="fr-FR"/>
        </w:rPr>
      </w:pPr>
      <w:r w:rsidRPr="00BC2523">
        <w:rPr>
          <w:rFonts w:ascii="Arial" w:hAnsi="Arial" w:cs="Arial"/>
          <w:i/>
          <w:sz w:val="18"/>
          <w:szCs w:val="18"/>
          <w:u w:val="double"/>
          <w:lang w:eastAsia="fr-FR"/>
        </w:rPr>
        <w:t>g</w:t>
      </w:r>
      <w:r w:rsidRPr="00BC2523">
        <w:rPr>
          <w:rFonts w:ascii="Arial" w:hAnsi="Arial" w:cs="Arial"/>
          <w:i/>
          <w:strike/>
          <w:sz w:val="18"/>
          <w:szCs w:val="18"/>
          <w:lang w:eastAsia="fr-FR"/>
        </w:rPr>
        <w:t>h</w:t>
      </w:r>
      <w:r w:rsidRPr="00BC2523">
        <w:rPr>
          <w:rFonts w:ascii="Arial" w:hAnsi="Arial" w:cs="Arial"/>
          <w:i/>
          <w:sz w:val="18"/>
          <w:szCs w:val="18"/>
          <w:lang w:eastAsia="fr-FR"/>
        </w:rPr>
        <w:t>)</w:t>
      </w:r>
      <w:r w:rsidRPr="00BC2523">
        <w:rPr>
          <w:rFonts w:ascii="Arial" w:hAnsi="Arial" w:cs="Arial"/>
          <w:sz w:val="18"/>
          <w:szCs w:val="18"/>
          <w:lang w:eastAsia="fr-FR"/>
        </w:rPr>
        <w:tab/>
        <w:t xml:space="preserve">internal and external communication procedures, </w:t>
      </w:r>
      <w:r w:rsidRPr="00BC2523">
        <w:rPr>
          <w:rFonts w:ascii="Arial" w:hAnsi="Arial" w:cs="Arial"/>
          <w:strike/>
          <w:sz w:val="18"/>
          <w:szCs w:val="18"/>
          <w:lang w:eastAsia="fr-FR"/>
        </w:rPr>
        <w:t>and</w:t>
      </w:r>
      <w:r w:rsidRPr="00BC2523">
        <w:rPr>
          <w:rFonts w:ascii="Arial" w:hAnsi="Arial" w:cs="Arial"/>
          <w:sz w:val="18"/>
          <w:szCs w:val="18"/>
          <w:lang w:eastAsia="fr-FR"/>
        </w:rPr>
        <w:t xml:space="preserve"> roles and responsibilities of </w:t>
      </w:r>
      <w:r w:rsidRPr="00BC2523">
        <w:rPr>
          <w:rFonts w:ascii="Arial" w:hAnsi="Arial" w:cs="Arial"/>
          <w:strike/>
          <w:sz w:val="18"/>
          <w:szCs w:val="18"/>
          <w:lang w:eastAsia="fr-FR"/>
        </w:rPr>
        <w:t>personnel</w:t>
      </w:r>
      <w:r w:rsidRPr="00BC2523">
        <w:rPr>
          <w:rFonts w:ascii="Arial" w:hAnsi="Arial" w:cs="Arial"/>
          <w:sz w:val="18"/>
          <w:szCs w:val="18"/>
          <w:lang w:eastAsia="fr-FR"/>
        </w:rPr>
        <w:t xml:space="preserve"> </w:t>
      </w:r>
      <w:r w:rsidRPr="00BC2523">
        <w:rPr>
          <w:rFonts w:ascii="Arial" w:hAnsi="Arial" w:cs="Arial"/>
          <w:i/>
          <w:iCs/>
          <w:sz w:val="18"/>
          <w:szCs w:val="18"/>
          <w:u w:val="double"/>
          <w:lang w:eastAsia="fr-FR"/>
        </w:rPr>
        <w:t xml:space="preserve">aquaculture establishment </w:t>
      </w:r>
      <w:r w:rsidRPr="00BC2523">
        <w:rPr>
          <w:rFonts w:ascii="Arial" w:hAnsi="Arial" w:cs="Arial"/>
          <w:sz w:val="18"/>
          <w:szCs w:val="18"/>
          <w:u w:val="double"/>
          <w:lang w:eastAsia="fr-FR"/>
        </w:rPr>
        <w:t>staff</w:t>
      </w:r>
      <w:r w:rsidRPr="00BC2523">
        <w:rPr>
          <w:rFonts w:ascii="Arial" w:hAnsi="Arial" w:cs="Arial"/>
          <w:sz w:val="18"/>
          <w:szCs w:val="18"/>
          <w:lang w:eastAsia="fr-FR"/>
        </w:rPr>
        <w:t xml:space="preserve"> </w:t>
      </w:r>
      <w:r w:rsidRPr="00BC2523">
        <w:rPr>
          <w:rFonts w:ascii="Arial" w:hAnsi="Arial" w:cs="Arial"/>
          <w:sz w:val="18"/>
          <w:szCs w:val="18"/>
          <w:u w:val="double"/>
        </w:rPr>
        <w:t xml:space="preserve">and essential contact information, e.g. for </w:t>
      </w:r>
      <w:r w:rsidRPr="00BC2523">
        <w:rPr>
          <w:rFonts w:ascii="Arial" w:hAnsi="Arial" w:cs="Arial"/>
          <w:strike/>
          <w:sz w:val="18"/>
          <w:szCs w:val="18"/>
          <w:u w:val="double"/>
        </w:rPr>
        <w:t>personnel,</w:t>
      </w:r>
      <w:r w:rsidRPr="00BC2523">
        <w:rPr>
          <w:rFonts w:ascii="Arial" w:hAnsi="Arial" w:cs="Arial"/>
          <w:sz w:val="18"/>
          <w:szCs w:val="18"/>
          <w:u w:val="double"/>
        </w:rPr>
        <w:t xml:space="preserve">staff, farm </w:t>
      </w:r>
      <w:r w:rsidRPr="00BC2523">
        <w:rPr>
          <w:rFonts w:ascii="Arial" w:hAnsi="Arial" w:cs="Arial"/>
          <w:i/>
          <w:iCs/>
          <w:sz w:val="18"/>
          <w:szCs w:val="18"/>
          <w:u w:val="double"/>
        </w:rPr>
        <w:t>veterinarian</w:t>
      </w:r>
      <w:r w:rsidRPr="00BC2523">
        <w:rPr>
          <w:rFonts w:ascii="Arial" w:hAnsi="Arial" w:cs="Arial"/>
          <w:sz w:val="18"/>
          <w:szCs w:val="18"/>
          <w:u w:val="double"/>
        </w:rPr>
        <w:t xml:space="preserve"> and the </w:t>
      </w:r>
      <w:r w:rsidRPr="00BC2523">
        <w:rPr>
          <w:rFonts w:ascii="Arial" w:hAnsi="Arial" w:cs="Arial"/>
          <w:i/>
          <w:iCs/>
          <w:sz w:val="18"/>
          <w:szCs w:val="18"/>
          <w:u w:val="double"/>
        </w:rPr>
        <w:t>Competent Authority</w:t>
      </w:r>
      <w:r w:rsidRPr="00BC2523">
        <w:rPr>
          <w:rFonts w:ascii="Arial" w:hAnsi="Arial" w:cs="Arial"/>
          <w:sz w:val="18"/>
          <w:szCs w:val="18"/>
          <w:lang w:eastAsia="fr-FR"/>
        </w:rPr>
        <w:t>;</w:t>
      </w:r>
    </w:p>
    <w:p w14:paraId="56D1D277" w14:textId="77777777" w:rsidR="0094086E" w:rsidRPr="00BC2523" w:rsidRDefault="0094086E" w:rsidP="0094086E">
      <w:pPr>
        <w:spacing w:after="240" w:line="240" w:lineRule="auto"/>
        <w:ind w:left="851" w:hanging="425"/>
        <w:jc w:val="both"/>
        <w:rPr>
          <w:rFonts w:ascii="Arial" w:hAnsi="Arial" w:cs="Arial"/>
          <w:sz w:val="18"/>
          <w:szCs w:val="18"/>
          <w:lang w:eastAsia="fr-FR"/>
        </w:rPr>
      </w:pPr>
      <w:r w:rsidRPr="00BC2523">
        <w:rPr>
          <w:rFonts w:ascii="Arial" w:hAnsi="Arial" w:cs="Arial"/>
          <w:i/>
          <w:sz w:val="18"/>
          <w:szCs w:val="18"/>
          <w:u w:val="double"/>
          <w:lang w:eastAsia="fr-FR"/>
        </w:rPr>
        <w:t>h</w:t>
      </w:r>
      <w:r w:rsidRPr="00BC2523">
        <w:rPr>
          <w:rFonts w:ascii="Arial" w:hAnsi="Arial" w:cs="Arial"/>
          <w:i/>
          <w:strike/>
          <w:sz w:val="18"/>
          <w:szCs w:val="18"/>
          <w:lang w:eastAsia="fr-FR"/>
        </w:rPr>
        <w:t>i</w:t>
      </w:r>
      <w:r w:rsidRPr="00BC2523">
        <w:rPr>
          <w:rFonts w:ascii="Arial" w:hAnsi="Arial" w:cs="Arial"/>
          <w:i/>
          <w:sz w:val="18"/>
          <w:szCs w:val="18"/>
          <w:lang w:eastAsia="fr-FR"/>
        </w:rPr>
        <w:t>)</w:t>
      </w:r>
      <w:r w:rsidRPr="00BC2523">
        <w:rPr>
          <w:rFonts w:ascii="Arial" w:hAnsi="Arial" w:cs="Arial"/>
          <w:sz w:val="18"/>
          <w:szCs w:val="18"/>
          <w:lang w:eastAsia="fr-FR"/>
        </w:rPr>
        <w:tab/>
        <w:t>monitoring and audit schedule;</w:t>
      </w:r>
    </w:p>
    <w:p w14:paraId="4A8411F2" w14:textId="77777777" w:rsidR="0094086E" w:rsidRPr="00BC2523" w:rsidRDefault="0094086E" w:rsidP="0094086E">
      <w:pPr>
        <w:spacing w:after="240" w:line="240" w:lineRule="auto"/>
        <w:ind w:left="851" w:hanging="425"/>
        <w:jc w:val="both"/>
        <w:rPr>
          <w:rFonts w:ascii="Arial" w:hAnsi="Arial" w:cs="Arial"/>
          <w:sz w:val="18"/>
          <w:szCs w:val="18"/>
          <w:lang w:eastAsia="fr-FR"/>
        </w:rPr>
      </w:pPr>
      <w:r w:rsidRPr="00BC2523">
        <w:rPr>
          <w:rFonts w:ascii="Arial" w:hAnsi="Arial" w:cs="Arial"/>
          <w:i/>
          <w:sz w:val="18"/>
          <w:szCs w:val="18"/>
          <w:u w:val="double"/>
          <w:lang w:eastAsia="fr-FR"/>
        </w:rPr>
        <w:t>i</w:t>
      </w:r>
      <w:r w:rsidRPr="00BC2523">
        <w:rPr>
          <w:rFonts w:ascii="Arial" w:hAnsi="Arial" w:cs="Arial"/>
          <w:i/>
          <w:strike/>
          <w:sz w:val="18"/>
          <w:szCs w:val="18"/>
          <w:lang w:eastAsia="fr-FR"/>
        </w:rPr>
        <w:t>j</w:t>
      </w:r>
      <w:r w:rsidRPr="00BC2523">
        <w:rPr>
          <w:rFonts w:ascii="Arial" w:hAnsi="Arial" w:cs="Arial"/>
          <w:i/>
          <w:sz w:val="18"/>
          <w:szCs w:val="18"/>
          <w:lang w:eastAsia="fr-FR"/>
        </w:rPr>
        <w:t>)</w:t>
      </w:r>
      <w:r w:rsidRPr="00BC2523">
        <w:rPr>
          <w:rFonts w:ascii="Arial" w:hAnsi="Arial" w:cs="Arial"/>
          <w:sz w:val="18"/>
          <w:szCs w:val="18"/>
          <w:lang w:eastAsia="fr-FR"/>
        </w:rPr>
        <w:tab/>
        <w:t>performance evaluation;</w:t>
      </w:r>
    </w:p>
    <w:p w14:paraId="0C289A0C" w14:textId="77777777" w:rsidR="005834F9" w:rsidRPr="00BC2523" w:rsidRDefault="0094086E" w:rsidP="0094086E">
      <w:pPr>
        <w:spacing w:after="240" w:line="240" w:lineRule="auto"/>
        <w:ind w:left="851" w:hanging="425"/>
        <w:jc w:val="both"/>
        <w:rPr>
          <w:rFonts w:ascii="Arial" w:hAnsi="Arial" w:cs="Arial"/>
          <w:sz w:val="18"/>
          <w:szCs w:val="18"/>
          <w:u w:val="double"/>
          <w:lang w:eastAsia="fr-FR"/>
        </w:rPr>
      </w:pPr>
      <w:r w:rsidRPr="00BC2523">
        <w:rPr>
          <w:rFonts w:ascii="Arial" w:hAnsi="Arial" w:cs="Arial"/>
          <w:i/>
          <w:sz w:val="18"/>
          <w:szCs w:val="18"/>
          <w:u w:val="double"/>
          <w:lang w:eastAsia="fr-FR"/>
        </w:rPr>
        <w:t>j)</w:t>
      </w:r>
      <w:r w:rsidRPr="00BC2523">
        <w:rPr>
          <w:rFonts w:ascii="Arial" w:hAnsi="Arial" w:cs="Arial"/>
          <w:sz w:val="18"/>
          <w:szCs w:val="18"/>
          <w:lang w:eastAsia="fr-FR"/>
        </w:rPr>
        <w:tab/>
      </w:r>
      <w:r w:rsidRPr="00BC2523">
        <w:rPr>
          <w:rFonts w:ascii="Arial" w:hAnsi="Arial" w:cs="Arial"/>
          <w:sz w:val="18"/>
          <w:szCs w:val="18"/>
          <w:u w:val="double"/>
          <w:lang w:eastAsia="fr-FR"/>
        </w:rPr>
        <w:t xml:space="preserve">standard operating procedures required to support </w:t>
      </w:r>
      <w:r w:rsidRPr="00BC2523">
        <w:rPr>
          <w:rFonts w:ascii="Arial" w:hAnsi="Arial" w:cs="Arial"/>
          <w:strike/>
          <w:sz w:val="18"/>
          <w:szCs w:val="18"/>
          <w:u w:val="double"/>
          <w:lang w:eastAsia="fr-FR"/>
        </w:rPr>
        <w:t>all</w:t>
      </w:r>
      <w:r w:rsidRPr="00BC2523">
        <w:rPr>
          <w:rFonts w:ascii="Arial" w:hAnsi="Arial" w:cs="Arial"/>
          <w:sz w:val="18"/>
          <w:szCs w:val="18"/>
          <w:u w:val="double"/>
          <w:lang w:eastAsia="fr-FR"/>
        </w:rPr>
        <w:t xml:space="preserve"> implementation of the mitigation measures </w:t>
      </w:r>
      <w:r w:rsidRPr="00BC2523">
        <w:rPr>
          <w:rFonts w:ascii="Arial" w:hAnsi="Arial" w:cs="Arial"/>
          <w:sz w:val="18"/>
          <w:szCs w:val="18"/>
          <w:highlight w:val="yellow"/>
          <w:u w:val="double"/>
          <w:lang w:eastAsia="fr-FR"/>
        </w:rPr>
        <w:t xml:space="preserve">described by the </w:t>
      </w:r>
      <w:r w:rsidRPr="00BC2523">
        <w:rPr>
          <w:rFonts w:ascii="Arial" w:hAnsi="Arial" w:cs="Arial"/>
          <w:i/>
          <w:iCs/>
          <w:sz w:val="18"/>
          <w:szCs w:val="18"/>
          <w:highlight w:val="yellow"/>
          <w:u w:val="double"/>
          <w:lang w:eastAsia="fr-FR"/>
        </w:rPr>
        <w:t>biosecurity</w:t>
      </w:r>
      <w:r w:rsidRPr="00BC2523">
        <w:rPr>
          <w:rFonts w:ascii="Arial" w:hAnsi="Arial" w:cs="Arial"/>
          <w:sz w:val="18"/>
          <w:szCs w:val="18"/>
          <w:highlight w:val="yellow"/>
          <w:u w:val="double"/>
          <w:lang w:eastAsia="fr-FR"/>
        </w:rPr>
        <w:t xml:space="preserve"> plan</w:t>
      </w:r>
      <w:r w:rsidRPr="00BC2523">
        <w:rPr>
          <w:rFonts w:ascii="Arial" w:hAnsi="Arial" w:cs="Arial"/>
          <w:sz w:val="18"/>
          <w:szCs w:val="18"/>
          <w:u w:val="double"/>
          <w:lang w:eastAsia="fr-FR"/>
        </w:rPr>
        <w:t xml:space="preserve">, emergency procedures and the training requirements of </w:t>
      </w:r>
      <w:r w:rsidRPr="00BC2523">
        <w:rPr>
          <w:rFonts w:ascii="Arial" w:hAnsi="Arial" w:cs="Arial"/>
          <w:sz w:val="18"/>
          <w:szCs w:val="18"/>
          <w:highlight w:val="yellow"/>
          <w:u w:val="double"/>
          <w:lang w:eastAsia="fr-FR"/>
        </w:rPr>
        <w:t>establishment</w:t>
      </w:r>
      <w:r w:rsidRPr="00BC2523">
        <w:rPr>
          <w:rFonts w:ascii="Arial" w:hAnsi="Arial" w:cs="Arial"/>
          <w:sz w:val="18"/>
          <w:szCs w:val="18"/>
          <w:u w:val="double"/>
          <w:lang w:eastAsia="fr-FR"/>
        </w:rPr>
        <w:t xml:space="preserve"> personnel.</w:t>
      </w:r>
    </w:p>
    <w:p w14:paraId="6FA0BCCB" w14:textId="77777777" w:rsidR="00BC2523" w:rsidRDefault="00BC2523">
      <w:pPr>
        <w:rPr>
          <w:rFonts w:ascii="Arial" w:hAnsi="Arial" w:cs="Arial"/>
          <w:sz w:val="18"/>
          <w:szCs w:val="18"/>
          <w:lang w:eastAsia="fr-FR"/>
        </w:rPr>
      </w:pPr>
      <w:r>
        <w:rPr>
          <w:rFonts w:ascii="Arial" w:hAnsi="Arial" w:cs="Arial"/>
          <w:sz w:val="18"/>
          <w:szCs w:val="18"/>
          <w:lang w:eastAsia="fr-FR"/>
        </w:rPr>
        <w:br w:type="page"/>
      </w:r>
    </w:p>
    <w:p w14:paraId="5ACBE341" w14:textId="77777777" w:rsidR="00BC2523" w:rsidRDefault="00BC2523" w:rsidP="00BC2523">
      <w:pPr>
        <w:spacing w:after="480" w:line="240" w:lineRule="auto"/>
        <w:ind w:left="425" w:hanging="425"/>
        <w:rPr>
          <w:szCs w:val="20"/>
        </w:rPr>
      </w:pPr>
      <w:r w:rsidRPr="008270D6">
        <w:rPr>
          <w:szCs w:val="20"/>
          <w:u w:val="single"/>
        </w:rPr>
        <w:lastRenderedPageBreak/>
        <w:t>Annex 2</w:t>
      </w:r>
      <w:r w:rsidRPr="008270D6">
        <w:rPr>
          <w:szCs w:val="20"/>
        </w:rPr>
        <w:t xml:space="preserve"> (contd)</w:t>
      </w:r>
    </w:p>
    <w:p w14:paraId="4E252C45" w14:textId="26C85CE6" w:rsidR="0094086E" w:rsidRPr="00BC2523" w:rsidRDefault="0094086E" w:rsidP="0094086E">
      <w:pPr>
        <w:spacing w:after="240" w:line="240" w:lineRule="auto"/>
        <w:ind w:left="426" w:hanging="426"/>
        <w:jc w:val="both"/>
        <w:rPr>
          <w:rFonts w:ascii="Arial" w:hAnsi="Arial" w:cs="Arial"/>
          <w:sz w:val="18"/>
          <w:szCs w:val="18"/>
          <w:lang w:eastAsia="fr-FR"/>
        </w:rPr>
      </w:pPr>
      <w:r w:rsidRPr="00BC2523">
        <w:rPr>
          <w:rFonts w:ascii="Arial" w:hAnsi="Arial" w:cs="Arial"/>
          <w:sz w:val="18"/>
          <w:szCs w:val="18"/>
          <w:lang w:eastAsia="fr-FR"/>
        </w:rPr>
        <w:t>2.</w:t>
      </w:r>
      <w:r w:rsidRPr="00BC2523">
        <w:rPr>
          <w:rFonts w:ascii="Arial" w:hAnsi="Arial" w:cs="Arial"/>
          <w:sz w:val="18"/>
          <w:szCs w:val="18"/>
          <w:lang w:eastAsia="fr-FR"/>
        </w:rPr>
        <w:tab/>
      </w:r>
      <w:r w:rsidRPr="00BC2523">
        <w:rPr>
          <w:rFonts w:ascii="Arial" w:hAnsi="Arial" w:cs="Arial"/>
          <w:sz w:val="18"/>
          <w:szCs w:val="18"/>
          <w:u w:val="single"/>
          <w:lang w:eastAsia="fr-FR"/>
        </w:rPr>
        <w:t>Key components of a biosecurity plan</w:t>
      </w:r>
    </w:p>
    <w:p w14:paraId="032032E7" w14:textId="77777777" w:rsidR="0094086E" w:rsidRPr="00BC2523" w:rsidRDefault="0094086E" w:rsidP="0094086E">
      <w:pPr>
        <w:spacing w:after="240" w:line="240" w:lineRule="auto"/>
        <w:ind w:left="851" w:hanging="425"/>
        <w:jc w:val="both"/>
        <w:rPr>
          <w:rFonts w:ascii="Arial" w:hAnsi="Arial" w:cs="Arial"/>
          <w:sz w:val="18"/>
          <w:szCs w:val="18"/>
          <w:lang w:eastAsia="fr-FR"/>
        </w:rPr>
      </w:pPr>
      <w:r w:rsidRPr="00BC2523">
        <w:rPr>
          <w:rFonts w:ascii="Arial" w:hAnsi="Arial" w:cs="Arial"/>
          <w:i/>
          <w:sz w:val="18"/>
          <w:szCs w:val="18"/>
          <w:lang w:eastAsia="fr-FR"/>
        </w:rPr>
        <w:t>a)</w:t>
      </w:r>
      <w:r w:rsidRPr="00BC2523">
        <w:rPr>
          <w:rFonts w:ascii="Arial" w:hAnsi="Arial" w:cs="Arial"/>
          <w:sz w:val="18"/>
          <w:szCs w:val="18"/>
          <w:lang w:eastAsia="fr-FR"/>
        </w:rPr>
        <w:tab/>
        <w:t xml:space="preserve">Standard operating procedures (SOPs) </w:t>
      </w:r>
    </w:p>
    <w:p w14:paraId="054D879C" w14:textId="77777777" w:rsidR="0094086E" w:rsidRPr="00BC2523" w:rsidRDefault="0094086E" w:rsidP="0094086E">
      <w:pPr>
        <w:spacing w:after="240" w:line="240" w:lineRule="auto"/>
        <w:ind w:left="851"/>
        <w:jc w:val="both"/>
        <w:rPr>
          <w:rFonts w:ascii="Arial" w:hAnsi="Arial" w:cs="Arial"/>
          <w:sz w:val="18"/>
          <w:szCs w:val="18"/>
          <w:lang w:eastAsia="fr-FR"/>
        </w:rPr>
      </w:pPr>
      <w:r w:rsidRPr="00BC2523">
        <w:rPr>
          <w:rFonts w:ascii="Arial" w:hAnsi="Arial" w:cs="Arial"/>
          <w:sz w:val="18"/>
          <w:szCs w:val="18"/>
          <w:lang w:eastAsia="fr-FR"/>
        </w:rPr>
        <w:t xml:space="preserve">SOPs describe routine management processes that must be performed to support the effectiveness of the </w:t>
      </w:r>
      <w:r w:rsidRPr="00BC2523">
        <w:rPr>
          <w:rFonts w:ascii="Arial" w:hAnsi="Arial" w:cs="Arial"/>
          <w:i/>
          <w:sz w:val="18"/>
          <w:szCs w:val="18"/>
          <w:lang w:eastAsia="fr-FR"/>
        </w:rPr>
        <w:t>biosecurity plan</w:t>
      </w:r>
      <w:r w:rsidRPr="00BC2523">
        <w:rPr>
          <w:rFonts w:ascii="Arial" w:hAnsi="Arial" w:cs="Arial"/>
          <w:sz w:val="18"/>
          <w:szCs w:val="18"/>
          <w:lang w:eastAsia="fr-FR"/>
        </w:rPr>
        <w:t xml:space="preserve">. Each SOP should clearly describe its objectives, staff responsibilities, the procedure (including record keeping), precautions and a review date. </w:t>
      </w:r>
    </w:p>
    <w:p w14:paraId="0A582E4A" w14:textId="77777777" w:rsidR="0094086E" w:rsidRPr="00BC2523" w:rsidRDefault="0094086E" w:rsidP="0094086E">
      <w:pPr>
        <w:spacing w:after="240" w:line="240" w:lineRule="auto"/>
        <w:ind w:left="851"/>
        <w:jc w:val="both"/>
        <w:rPr>
          <w:rFonts w:ascii="Arial" w:hAnsi="Arial" w:cs="Arial"/>
          <w:sz w:val="18"/>
          <w:szCs w:val="18"/>
          <w:lang w:eastAsia="fr-FR"/>
        </w:rPr>
      </w:pPr>
      <w:r w:rsidRPr="00BC2523">
        <w:rPr>
          <w:rFonts w:ascii="Arial" w:hAnsi="Arial" w:cs="Arial"/>
          <w:sz w:val="18"/>
          <w:szCs w:val="18"/>
          <w:lang w:eastAsia="fr-FR"/>
        </w:rPr>
        <w:t xml:space="preserve">Staff should be trained in the application of the SOPs including completion of forms, checklists and other records associated with each procedure, as well as routine communication requirements. </w:t>
      </w:r>
    </w:p>
    <w:p w14:paraId="73F48358" w14:textId="77777777" w:rsidR="0094086E" w:rsidRPr="00BC2523" w:rsidRDefault="0094086E" w:rsidP="0094086E">
      <w:pPr>
        <w:spacing w:after="240" w:line="240" w:lineRule="auto"/>
        <w:ind w:left="851" w:hanging="401"/>
        <w:jc w:val="both"/>
        <w:rPr>
          <w:rFonts w:ascii="Arial" w:hAnsi="Arial" w:cs="Arial"/>
          <w:sz w:val="18"/>
          <w:szCs w:val="18"/>
          <w:lang w:eastAsia="fr-FR"/>
        </w:rPr>
      </w:pPr>
      <w:r w:rsidRPr="00BC2523">
        <w:rPr>
          <w:rFonts w:ascii="Arial" w:hAnsi="Arial" w:cs="Arial"/>
          <w:i/>
          <w:sz w:val="18"/>
          <w:szCs w:val="18"/>
          <w:lang w:eastAsia="fr-FR"/>
        </w:rPr>
        <w:t>b)</w:t>
      </w:r>
      <w:r w:rsidRPr="00BC2523">
        <w:rPr>
          <w:rFonts w:ascii="Arial" w:hAnsi="Arial" w:cs="Arial"/>
          <w:sz w:val="18"/>
          <w:szCs w:val="18"/>
          <w:lang w:eastAsia="fr-FR"/>
        </w:rPr>
        <w:tab/>
        <w:t>Documentation and record keeping</w:t>
      </w:r>
    </w:p>
    <w:p w14:paraId="065FB9F1" w14:textId="77777777" w:rsidR="0094086E" w:rsidRPr="00BC2523" w:rsidRDefault="0094086E" w:rsidP="0094086E">
      <w:pPr>
        <w:spacing w:after="240" w:line="240" w:lineRule="auto"/>
        <w:ind w:left="851"/>
        <w:jc w:val="both"/>
        <w:rPr>
          <w:rFonts w:ascii="Arial" w:hAnsi="Arial" w:cs="Arial"/>
          <w:sz w:val="18"/>
          <w:szCs w:val="18"/>
          <w:lang w:eastAsia="fr-FR"/>
        </w:rPr>
      </w:pPr>
      <w:r w:rsidRPr="00BC2523">
        <w:rPr>
          <w:rFonts w:ascii="Arial" w:hAnsi="Arial" w:cs="Arial"/>
          <w:sz w:val="18"/>
          <w:szCs w:val="18"/>
          <w:lang w:eastAsia="fr-FR"/>
        </w:rPr>
        <w:t xml:space="preserve">The </w:t>
      </w:r>
      <w:r w:rsidRPr="00BC2523">
        <w:rPr>
          <w:rFonts w:ascii="Arial" w:hAnsi="Arial" w:cs="Arial"/>
          <w:i/>
          <w:sz w:val="18"/>
          <w:szCs w:val="18"/>
          <w:lang w:eastAsia="fr-FR"/>
        </w:rPr>
        <w:t>biosecurity plan</w:t>
      </w:r>
      <w:r w:rsidRPr="00BC2523">
        <w:rPr>
          <w:rFonts w:ascii="Arial" w:hAnsi="Arial" w:cs="Arial"/>
          <w:sz w:val="18"/>
          <w:szCs w:val="18"/>
          <w:lang w:eastAsia="fr-FR"/>
        </w:rPr>
        <w:t xml:space="preserve"> describes </w:t>
      </w:r>
      <w:r w:rsidRPr="00BC2523">
        <w:rPr>
          <w:rFonts w:ascii="Arial" w:hAnsi="Arial" w:cs="Arial"/>
          <w:sz w:val="18"/>
          <w:szCs w:val="18"/>
          <w:u w:val="double"/>
          <w:lang w:eastAsia="fr-FR"/>
        </w:rPr>
        <w:t>the</w:t>
      </w:r>
      <w:r w:rsidRPr="00BC2523">
        <w:rPr>
          <w:rFonts w:ascii="Arial" w:hAnsi="Arial" w:cs="Arial"/>
          <w:sz w:val="18"/>
          <w:szCs w:val="18"/>
          <w:lang w:eastAsia="fr-FR"/>
        </w:rPr>
        <w:t xml:space="preserve"> documentation necessary to provide evidence of compliance with the </w:t>
      </w:r>
      <w:r w:rsidRPr="00685B5C">
        <w:rPr>
          <w:rFonts w:ascii="Arial" w:hAnsi="Arial" w:cs="Arial"/>
          <w:strike/>
          <w:sz w:val="18"/>
          <w:szCs w:val="18"/>
          <w:highlight w:val="yellow"/>
          <w:lang w:eastAsia="fr-FR"/>
        </w:rPr>
        <w:t>mitigation measures</w:t>
      </w:r>
      <w:r w:rsidRPr="00BC2523">
        <w:rPr>
          <w:rFonts w:ascii="Arial" w:hAnsi="Arial" w:cs="Arial"/>
          <w:sz w:val="18"/>
          <w:szCs w:val="18"/>
          <w:lang w:eastAsia="fr-FR"/>
        </w:rPr>
        <w:t xml:space="preserve"> </w:t>
      </w:r>
      <w:r w:rsidRPr="00BC2523">
        <w:rPr>
          <w:rFonts w:ascii="Arial" w:hAnsi="Arial" w:cs="Arial"/>
          <w:sz w:val="18"/>
          <w:szCs w:val="18"/>
          <w:highlight w:val="yellow"/>
          <w:u w:val="double"/>
          <w:lang w:eastAsia="fr-FR"/>
        </w:rPr>
        <w:t>plan</w:t>
      </w:r>
      <w:r w:rsidRPr="00BC2523">
        <w:rPr>
          <w:rFonts w:ascii="Arial" w:hAnsi="Arial" w:cs="Arial"/>
          <w:sz w:val="18"/>
          <w:szCs w:val="18"/>
          <w:lang w:eastAsia="fr-FR"/>
        </w:rPr>
        <w:t xml:space="preserve">. The level of detail required in the documentation depends on the outcomes of the transmission pathway assessment. </w:t>
      </w:r>
    </w:p>
    <w:p w14:paraId="216CFF96" w14:textId="77777777" w:rsidR="0094086E" w:rsidRPr="00BC2523" w:rsidRDefault="0094086E" w:rsidP="0094086E">
      <w:pPr>
        <w:spacing w:after="240" w:line="240" w:lineRule="auto"/>
        <w:ind w:left="851"/>
        <w:jc w:val="both"/>
        <w:rPr>
          <w:rFonts w:ascii="Arial" w:hAnsi="Arial" w:cs="Arial"/>
          <w:sz w:val="18"/>
          <w:szCs w:val="18"/>
          <w:lang w:eastAsia="fr-FR"/>
        </w:rPr>
      </w:pPr>
      <w:r w:rsidRPr="00BC2523">
        <w:rPr>
          <w:rFonts w:ascii="Arial" w:hAnsi="Arial" w:cs="Arial"/>
          <w:sz w:val="18"/>
          <w:szCs w:val="18"/>
          <w:lang w:eastAsia="fr-FR"/>
        </w:rPr>
        <w:t xml:space="preserve">Examples of documentation required </w:t>
      </w:r>
      <w:r w:rsidRPr="00BC2523">
        <w:rPr>
          <w:rFonts w:ascii="Arial" w:hAnsi="Arial" w:cs="Arial"/>
          <w:strike/>
          <w:sz w:val="18"/>
          <w:szCs w:val="18"/>
          <w:lang w:eastAsia="fr-FR"/>
        </w:rPr>
        <w:t>may</w:t>
      </w:r>
      <w:r w:rsidRPr="00BC2523">
        <w:rPr>
          <w:rFonts w:ascii="Arial" w:hAnsi="Arial" w:cs="Arial"/>
          <w:sz w:val="18"/>
          <w:szCs w:val="18"/>
          <w:lang w:eastAsia="fr-FR"/>
        </w:rPr>
        <w:t xml:space="preserve"> include: </w:t>
      </w:r>
      <w:r w:rsidRPr="00BC2523">
        <w:rPr>
          <w:rFonts w:ascii="Arial" w:hAnsi="Arial" w:cs="Arial"/>
          <w:i/>
          <w:sz w:val="18"/>
          <w:szCs w:val="18"/>
          <w:lang w:eastAsia="fr-FR"/>
        </w:rPr>
        <w:t>aquaculture establishment</w:t>
      </w:r>
      <w:r w:rsidRPr="00BC2523">
        <w:rPr>
          <w:rFonts w:ascii="Arial" w:hAnsi="Arial" w:cs="Arial"/>
          <w:sz w:val="18"/>
          <w:szCs w:val="18"/>
          <w:lang w:eastAsia="fr-FR"/>
        </w:rPr>
        <w:t xml:space="preserve"> layout, movements of </w:t>
      </w:r>
      <w:r w:rsidRPr="00BC2523">
        <w:rPr>
          <w:rFonts w:ascii="Arial" w:hAnsi="Arial" w:cs="Arial"/>
          <w:i/>
          <w:sz w:val="18"/>
          <w:szCs w:val="18"/>
          <w:lang w:eastAsia="fr-FR"/>
        </w:rPr>
        <w:t>aquatic animals</w:t>
      </w:r>
      <w:r w:rsidRPr="00BC2523">
        <w:rPr>
          <w:rFonts w:ascii="Arial" w:eastAsia="SimSun" w:hAnsi="Arial" w:cs="Arial"/>
          <w:sz w:val="18"/>
          <w:szCs w:val="18"/>
          <w:lang w:eastAsia="zh-CN"/>
        </w:rPr>
        <w:t>,</w:t>
      </w:r>
      <w:r w:rsidRPr="00BC2523">
        <w:rPr>
          <w:rFonts w:ascii="Arial" w:hAnsi="Arial" w:cs="Arial"/>
          <w:sz w:val="18"/>
          <w:szCs w:val="18"/>
          <w:lang w:eastAsia="fr-FR"/>
        </w:rPr>
        <w:t xml:space="preserve"> </w:t>
      </w:r>
      <w:r w:rsidRPr="00BC2523">
        <w:rPr>
          <w:rFonts w:ascii="Arial" w:hAnsi="Arial" w:cs="Arial"/>
          <w:strike/>
          <w:sz w:val="18"/>
          <w:szCs w:val="18"/>
          <w:lang w:eastAsia="fr-FR"/>
        </w:rPr>
        <w:t>escapees</w:t>
      </w:r>
      <w:r w:rsidRPr="00BC2523">
        <w:rPr>
          <w:rFonts w:ascii="Arial" w:eastAsia="SimSun" w:hAnsi="Arial" w:cs="Arial"/>
          <w:strike/>
          <w:sz w:val="18"/>
          <w:szCs w:val="18"/>
          <w:lang w:eastAsia="zh-CN"/>
        </w:rPr>
        <w:t>,</w:t>
      </w:r>
      <w:r w:rsidRPr="00BC2523">
        <w:rPr>
          <w:rFonts w:ascii="Arial" w:hAnsi="Arial" w:cs="Arial"/>
          <w:sz w:val="18"/>
          <w:szCs w:val="18"/>
          <w:lang w:eastAsia="fr-FR"/>
        </w:rPr>
        <w:t xml:space="preserve"> origin</w:t>
      </w:r>
      <w:r w:rsidRPr="00BC2523">
        <w:rPr>
          <w:rFonts w:ascii="Arial" w:hAnsi="Arial" w:cs="Arial"/>
          <w:sz w:val="18"/>
          <w:szCs w:val="18"/>
          <w:u w:val="double"/>
          <w:lang w:eastAsia="fr-FR"/>
        </w:rPr>
        <w:t xml:space="preserve"> and destination</w:t>
      </w:r>
      <w:r w:rsidRPr="00BC2523">
        <w:rPr>
          <w:rFonts w:ascii="Arial" w:hAnsi="Arial" w:cs="Arial"/>
          <w:sz w:val="18"/>
          <w:szCs w:val="18"/>
          <w:lang w:eastAsia="fr-FR"/>
        </w:rPr>
        <w:t xml:space="preserve"> and health status of the </w:t>
      </w:r>
      <w:r w:rsidRPr="00BC2523">
        <w:rPr>
          <w:rFonts w:ascii="Arial" w:hAnsi="Arial" w:cs="Arial"/>
          <w:i/>
          <w:sz w:val="18"/>
          <w:szCs w:val="18"/>
          <w:lang w:eastAsia="fr-FR"/>
        </w:rPr>
        <w:t>aquatic animals</w:t>
      </w:r>
      <w:r w:rsidRPr="00BC2523">
        <w:rPr>
          <w:rFonts w:ascii="Arial" w:hAnsi="Arial" w:cs="Arial"/>
          <w:sz w:val="18"/>
          <w:szCs w:val="18"/>
          <w:lang w:eastAsia="fr-FR"/>
        </w:rPr>
        <w:t xml:space="preserve"> introduced to the </w:t>
      </w:r>
      <w:r w:rsidRPr="00BC2523">
        <w:rPr>
          <w:rFonts w:ascii="Arial" w:hAnsi="Arial" w:cs="Arial"/>
          <w:i/>
          <w:sz w:val="18"/>
          <w:szCs w:val="18"/>
          <w:lang w:eastAsia="fr-FR"/>
        </w:rPr>
        <w:t>aquaculture establishment</w:t>
      </w:r>
      <w:r w:rsidRPr="00BC2523">
        <w:rPr>
          <w:rFonts w:ascii="Arial" w:eastAsia="SimSun" w:hAnsi="Arial" w:cs="Arial"/>
          <w:sz w:val="18"/>
          <w:szCs w:val="18"/>
          <w:lang w:eastAsia="zh-CN"/>
        </w:rPr>
        <w:t xml:space="preserve">, </w:t>
      </w:r>
      <w:r w:rsidRPr="00BC2523">
        <w:rPr>
          <w:rFonts w:ascii="Arial" w:eastAsia="SimSun" w:hAnsi="Arial" w:cs="Arial"/>
          <w:sz w:val="18"/>
          <w:szCs w:val="18"/>
          <w:highlight w:val="yellow"/>
          <w:u w:val="double"/>
          <w:lang w:eastAsia="zh-CN"/>
        </w:rPr>
        <w:t>quarantine measures,</w:t>
      </w:r>
      <w:r w:rsidRPr="00BC2523">
        <w:rPr>
          <w:rFonts w:ascii="Arial" w:eastAsia="SimSun" w:hAnsi="Arial" w:cs="Arial"/>
          <w:sz w:val="18"/>
          <w:szCs w:val="18"/>
          <w:lang w:eastAsia="zh-CN"/>
        </w:rPr>
        <w:t xml:space="preserve"> </w:t>
      </w:r>
      <w:r w:rsidRPr="00BC2523">
        <w:rPr>
          <w:rFonts w:ascii="Arial" w:eastAsia="SimSun" w:hAnsi="Arial" w:cs="Arial"/>
          <w:sz w:val="18"/>
          <w:szCs w:val="18"/>
          <w:u w:val="double"/>
          <w:lang w:eastAsia="zh-CN"/>
        </w:rPr>
        <w:t>records of</w:t>
      </w:r>
      <w:r w:rsidRPr="00BC2523">
        <w:rPr>
          <w:rFonts w:ascii="Arial" w:eastAsia="SimSun" w:hAnsi="Arial" w:cs="Arial"/>
          <w:sz w:val="18"/>
          <w:szCs w:val="18"/>
          <w:lang w:eastAsia="zh-CN"/>
        </w:rPr>
        <w:t xml:space="preserve"> </w:t>
      </w:r>
      <w:r w:rsidRPr="00BC2523">
        <w:rPr>
          <w:rFonts w:ascii="Arial" w:eastAsia="SimSun" w:hAnsi="Arial" w:cs="Arial"/>
          <w:sz w:val="18"/>
          <w:szCs w:val="18"/>
          <w:u w:val="double"/>
          <w:lang w:eastAsia="zh-CN"/>
        </w:rPr>
        <w:t>visitors to the establishment,</w:t>
      </w:r>
      <w:r w:rsidRPr="00BC2523">
        <w:rPr>
          <w:rFonts w:ascii="Arial" w:hAnsi="Arial" w:cs="Arial"/>
          <w:sz w:val="18"/>
          <w:szCs w:val="18"/>
          <w:lang w:eastAsia="fr-FR"/>
        </w:rPr>
        <w:t xml:space="preserve"> </w:t>
      </w:r>
      <w:r w:rsidRPr="00BC2523">
        <w:rPr>
          <w:rFonts w:ascii="Arial" w:hAnsi="Arial" w:cs="Arial"/>
          <w:sz w:val="18"/>
          <w:szCs w:val="18"/>
          <w:u w:val="double"/>
          <w:lang w:eastAsia="fr-FR"/>
        </w:rPr>
        <w:t>escapees,</w:t>
      </w:r>
      <w:r w:rsidRPr="00BC2523">
        <w:rPr>
          <w:rFonts w:ascii="Arial" w:hAnsi="Arial" w:cs="Arial"/>
          <w:sz w:val="18"/>
          <w:szCs w:val="18"/>
          <w:lang w:eastAsia="fr-FR"/>
        </w:rPr>
        <w:t xml:space="preserve"> stocking densities</w:t>
      </w:r>
      <w:r w:rsidRPr="00BC2523">
        <w:rPr>
          <w:rFonts w:ascii="Arial" w:eastAsia="SimSun" w:hAnsi="Arial" w:cs="Arial"/>
          <w:sz w:val="18"/>
          <w:szCs w:val="18"/>
          <w:lang w:eastAsia="zh-CN"/>
        </w:rPr>
        <w:t>,</w:t>
      </w:r>
      <w:r w:rsidRPr="00BC2523">
        <w:rPr>
          <w:rFonts w:ascii="Arial" w:hAnsi="Arial" w:cs="Arial"/>
          <w:sz w:val="18"/>
          <w:szCs w:val="18"/>
          <w:lang w:eastAsia="fr-FR"/>
        </w:rPr>
        <w:t xml:space="preserve"> feeding and growth rates, records of staff training</w:t>
      </w:r>
      <w:r w:rsidRPr="00BC2523">
        <w:rPr>
          <w:rFonts w:ascii="Arial" w:eastAsia="SimSun" w:hAnsi="Arial" w:cs="Arial"/>
          <w:sz w:val="18"/>
          <w:szCs w:val="18"/>
          <w:lang w:eastAsia="zh-CN"/>
        </w:rPr>
        <w:t>,</w:t>
      </w:r>
      <w:r w:rsidRPr="00BC2523">
        <w:rPr>
          <w:rFonts w:ascii="Arial" w:hAnsi="Arial" w:cs="Arial"/>
          <w:sz w:val="18"/>
          <w:szCs w:val="18"/>
          <w:lang w:eastAsia="fr-FR"/>
        </w:rPr>
        <w:t xml:space="preserve"> treatments/vaccination</w:t>
      </w:r>
      <w:r w:rsidRPr="00BC2523">
        <w:rPr>
          <w:rFonts w:ascii="Arial" w:eastAsia="SimSun" w:hAnsi="Arial" w:cs="Arial"/>
          <w:sz w:val="18"/>
          <w:szCs w:val="18"/>
          <w:lang w:eastAsia="zh-CN"/>
        </w:rPr>
        <w:t>,</w:t>
      </w:r>
      <w:r w:rsidRPr="00BC2523">
        <w:rPr>
          <w:rFonts w:ascii="Arial" w:hAnsi="Arial" w:cs="Arial"/>
          <w:sz w:val="18"/>
          <w:szCs w:val="18"/>
          <w:lang w:eastAsia="fr-FR"/>
        </w:rPr>
        <w:t xml:space="preserve"> water quality</w:t>
      </w:r>
      <w:r w:rsidRPr="00BC2523">
        <w:rPr>
          <w:rFonts w:ascii="Arial" w:eastAsia="SimSun" w:hAnsi="Arial" w:cs="Arial"/>
          <w:sz w:val="18"/>
          <w:szCs w:val="18"/>
          <w:lang w:eastAsia="zh-CN"/>
        </w:rPr>
        <w:t>,</w:t>
      </w:r>
      <w:r w:rsidRPr="00BC2523">
        <w:rPr>
          <w:rFonts w:ascii="Arial" w:hAnsi="Arial" w:cs="Arial"/>
          <w:sz w:val="18"/>
          <w:szCs w:val="18"/>
          <w:lang w:eastAsia="fr-FR"/>
        </w:rPr>
        <w:t xml:space="preserve"> </w:t>
      </w:r>
      <w:r w:rsidRPr="00BC2523">
        <w:rPr>
          <w:rFonts w:ascii="Arial" w:hAnsi="Arial" w:cs="Arial"/>
          <w:sz w:val="18"/>
          <w:szCs w:val="18"/>
          <w:u w:val="double"/>
          <w:lang w:eastAsia="fr-FR"/>
        </w:rPr>
        <w:t xml:space="preserve">cleaning and </w:t>
      </w:r>
      <w:r w:rsidRPr="00BC2523">
        <w:rPr>
          <w:rFonts w:ascii="Arial" w:hAnsi="Arial" w:cs="Arial"/>
          <w:i/>
          <w:sz w:val="18"/>
          <w:szCs w:val="18"/>
          <w:u w:val="double"/>
          <w:lang w:eastAsia="fr-FR"/>
        </w:rPr>
        <w:t>disinfection</w:t>
      </w:r>
      <w:r w:rsidRPr="00BC2523">
        <w:rPr>
          <w:rFonts w:ascii="Arial" w:hAnsi="Arial" w:cs="Arial"/>
          <w:sz w:val="18"/>
          <w:szCs w:val="18"/>
          <w:u w:val="double"/>
          <w:lang w:eastAsia="fr-FR"/>
        </w:rPr>
        <w:t xml:space="preserve"> events, </w:t>
      </w:r>
      <w:r w:rsidRPr="00BC2523">
        <w:rPr>
          <w:rFonts w:ascii="Arial" w:hAnsi="Arial" w:cs="Arial"/>
          <w:sz w:val="18"/>
          <w:szCs w:val="18"/>
          <w:lang w:eastAsia="fr-FR"/>
        </w:rPr>
        <w:t xml:space="preserve">morbidity and mortality </w:t>
      </w:r>
      <w:r w:rsidRPr="00BC2523">
        <w:rPr>
          <w:rFonts w:ascii="Arial" w:hAnsi="Arial" w:cs="Arial"/>
          <w:sz w:val="18"/>
          <w:szCs w:val="18"/>
          <w:u w:val="double"/>
          <w:lang w:eastAsia="fr-FR"/>
        </w:rPr>
        <w:t>(including removal and disposal of mortalities)</w:t>
      </w:r>
      <w:r w:rsidRPr="00BC2523">
        <w:rPr>
          <w:rFonts w:ascii="Arial" w:eastAsia="SimSun" w:hAnsi="Arial" w:cs="Arial"/>
          <w:sz w:val="18"/>
          <w:szCs w:val="18"/>
          <w:u w:val="double"/>
          <w:lang w:eastAsia="zh-CN"/>
        </w:rPr>
        <w:t>,</w:t>
      </w:r>
      <w:r w:rsidRPr="00BC2523">
        <w:rPr>
          <w:rFonts w:ascii="Arial" w:hAnsi="Arial" w:cs="Arial"/>
          <w:sz w:val="18"/>
          <w:szCs w:val="18"/>
          <w:lang w:eastAsia="fr-FR"/>
        </w:rPr>
        <w:t xml:space="preserve"> </w:t>
      </w:r>
      <w:r w:rsidRPr="00BC2523">
        <w:rPr>
          <w:rFonts w:ascii="Arial" w:hAnsi="Arial" w:cs="Arial"/>
          <w:i/>
          <w:sz w:val="18"/>
          <w:szCs w:val="18"/>
          <w:lang w:eastAsia="fr-FR"/>
        </w:rPr>
        <w:t>surveillance</w:t>
      </w:r>
      <w:r w:rsidRPr="00BC2523">
        <w:rPr>
          <w:rFonts w:ascii="Arial" w:hAnsi="Arial" w:cs="Arial"/>
          <w:sz w:val="18"/>
          <w:szCs w:val="18"/>
          <w:lang w:eastAsia="fr-FR"/>
        </w:rPr>
        <w:t xml:space="preserve"> and laboratory records. </w:t>
      </w:r>
    </w:p>
    <w:p w14:paraId="6D95D756" w14:textId="77777777" w:rsidR="0094086E" w:rsidRPr="00BC2523" w:rsidRDefault="0094086E" w:rsidP="0094086E">
      <w:pPr>
        <w:spacing w:after="240" w:line="240" w:lineRule="auto"/>
        <w:ind w:left="851" w:hanging="401"/>
        <w:jc w:val="both"/>
        <w:rPr>
          <w:rFonts w:ascii="Arial" w:hAnsi="Arial" w:cs="Arial"/>
          <w:sz w:val="18"/>
          <w:szCs w:val="18"/>
          <w:lang w:eastAsia="fr-FR"/>
        </w:rPr>
      </w:pPr>
      <w:r w:rsidRPr="00BC2523">
        <w:rPr>
          <w:rFonts w:ascii="Arial" w:hAnsi="Arial" w:cs="Arial"/>
          <w:i/>
          <w:sz w:val="18"/>
          <w:szCs w:val="18"/>
          <w:lang w:eastAsia="fr-FR"/>
        </w:rPr>
        <w:t>c)</w:t>
      </w:r>
      <w:r w:rsidRPr="00BC2523">
        <w:rPr>
          <w:rFonts w:ascii="Arial" w:hAnsi="Arial" w:cs="Arial"/>
          <w:sz w:val="18"/>
          <w:szCs w:val="18"/>
          <w:lang w:eastAsia="fr-FR"/>
        </w:rPr>
        <w:tab/>
        <w:t>Emergency procedures</w:t>
      </w:r>
    </w:p>
    <w:p w14:paraId="2872E0C6" w14:textId="77777777" w:rsidR="0094086E" w:rsidRPr="00BC2523" w:rsidRDefault="0094086E" w:rsidP="0094086E">
      <w:pPr>
        <w:spacing w:after="240" w:line="240" w:lineRule="auto"/>
        <w:ind w:left="851"/>
        <w:jc w:val="both"/>
        <w:rPr>
          <w:rFonts w:ascii="Arial" w:hAnsi="Arial" w:cs="Arial"/>
          <w:sz w:val="18"/>
          <w:szCs w:val="18"/>
          <w:lang w:eastAsia="fr-FR"/>
        </w:rPr>
      </w:pPr>
      <w:r w:rsidRPr="00BC2523">
        <w:rPr>
          <w:rFonts w:ascii="Arial" w:hAnsi="Arial" w:cs="Arial"/>
          <w:sz w:val="18"/>
          <w:szCs w:val="18"/>
          <w:lang w:eastAsia="fr-FR"/>
        </w:rPr>
        <w:t xml:space="preserve">Procedures should be developed and, when necessary, implemented to minimise the impact of emergencies, </w:t>
      </w:r>
      <w:r w:rsidRPr="00BC2523">
        <w:rPr>
          <w:rFonts w:ascii="Arial" w:hAnsi="Arial" w:cs="Arial"/>
          <w:i/>
          <w:sz w:val="18"/>
          <w:szCs w:val="18"/>
          <w:lang w:eastAsia="fr-FR"/>
        </w:rPr>
        <w:t>disease</w:t>
      </w:r>
      <w:r w:rsidRPr="00BC2523">
        <w:rPr>
          <w:rFonts w:ascii="Arial" w:hAnsi="Arial" w:cs="Arial"/>
          <w:sz w:val="18"/>
          <w:szCs w:val="18"/>
          <w:lang w:eastAsia="fr-FR"/>
        </w:rPr>
        <w:t xml:space="preserve"> events, or unexplained mortality in </w:t>
      </w:r>
      <w:r w:rsidRPr="00BC2523">
        <w:rPr>
          <w:rFonts w:ascii="Arial" w:hAnsi="Arial" w:cs="Arial"/>
          <w:i/>
          <w:sz w:val="18"/>
          <w:szCs w:val="18"/>
          <w:lang w:eastAsia="fr-FR"/>
        </w:rPr>
        <w:t>aquatic animals</w:t>
      </w:r>
      <w:r w:rsidRPr="00BC2523">
        <w:rPr>
          <w:rFonts w:ascii="Arial" w:hAnsi="Arial" w:cs="Arial"/>
          <w:sz w:val="18"/>
          <w:szCs w:val="18"/>
          <w:lang w:eastAsia="fr-FR"/>
        </w:rPr>
        <w:t xml:space="preserve">. These procedures should include clearly defined thresholds that help to identify an emergency incident and activate response protocols, including reporting requirements. </w:t>
      </w:r>
    </w:p>
    <w:p w14:paraId="5A25E05F" w14:textId="77777777" w:rsidR="0094086E" w:rsidRPr="00BC2523" w:rsidRDefault="0094086E" w:rsidP="0094086E">
      <w:pPr>
        <w:spacing w:after="240" w:line="240" w:lineRule="auto"/>
        <w:ind w:left="851" w:hanging="401"/>
        <w:jc w:val="both"/>
        <w:rPr>
          <w:rFonts w:ascii="Arial" w:hAnsi="Arial" w:cs="Arial"/>
          <w:sz w:val="18"/>
          <w:szCs w:val="18"/>
          <w:lang w:eastAsia="fr-FR"/>
        </w:rPr>
      </w:pPr>
      <w:r w:rsidRPr="00BC2523">
        <w:rPr>
          <w:rFonts w:ascii="Arial" w:hAnsi="Arial" w:cs="Arial"/>
          <w:i/>
          <w:sz w:val="18"/>
          <w:szCs w:val="18"/>
          <w:lang w:eastAsia="fr-FR"/>
        </w:rPr>
        <w:t>d)</w:t>
      </w:r>
      <w:r w:rsidRPr="00BC2523">
        <w:rPr>
          <w:rFonts w:ascii="Arial" w:hAnsi="Arial" w:cs="Arial"/>
          <w:i/>
          <w:sz w:val="18"/>
          <w:szCs w:val="18"/>
          <w:lang w:eastAsia="fr-FR"/>
        </w:rPr>
        <w:tab/>
      </w:r>
      <w:r w:rsidRPr="00BC2523">
        <w:rPr>
          <w:rFonts w:ascii="Arial" w:hAnsi="Arial" w:cs="Arial"/>
          <w:sz w:val="18"/>
          <w:szCs w:val="18"/>
          <w:lang w:eastAsia="fr-FR"/>
        </w:rPr>
        <w:t>Health monitoring</w:t>
      </w:r>
    </w:p>
    <w:p w14:paraId="7A1D918C" w14:textId="77777777" w:rsidR="0094086E" w:rsidRPr="00BC2523" w:rsidRDefault="0094086E" w:rsidP="0094086E">
      <w:pPr>
        <w:spacing w:after="240" w:line="240" w:lineRule="auto"/>
        <w:ind w:left="851"/>
        <w:jc w:val="both"/>
        <w:rPr>
          <w:rFonts w:ascii="Arial" w:hAnsi="Arial" w:cs="Arial"/>
          <w:sz w:val="18"/>
          <w:szCs w:val="18"/>
          <w:lang w:eastAsia="fr-FR"/>
        </w:rPr>
      </w:pPr>
      <w:r w:rsidRPr="00BC2523">
        <w:rPr>
          <w:rFonts w:ascii="Arial" w:hAnsi="Arial" w:cs="Arial"/>
          <w:sz w:val="18"/>
          <w:szCs w:val="18"/>
          <w:lang w:eastAsia="fr-FR"/>
        </w:rPr>
        <w:t xml:space="preserve">Health monitoring as part of the </w:t>
      </w:r>
      <w:r w:rsidRPr="00BC2523">
        <w:rPr>
          <w:rFonts w:ascii="Arial" w:hAnsi="Arial" w:cs="Arial"/>
          <w:i/>
          <w:sz w:val="18"/>
          <w:szCs w:val="18"/>
          <w:lang w:eastAsia="fr-FR"/>
        </w:rPr>
        <w:t>biosecurity plan</w:t>
      </w:r>
      <w:r w:rsidRPr="00BC2523">
        <w:rPr>
          <w:rFonts w:ascii="Arial" w:hAnsi="Arial" w:cs="Arial"/>
          <w:sz w:val="18"/>
          <w:szCs w:val="18"/>
          <w:lang w:eastAsia="fr-FR"/>
        </w:rPr>
        <w:t xml:space="preserve"> involves monitoring of the health status of </w:t>
      </w:r>
      <w:r w:rsidRPr="00BC2523">
        <w:rPr>
          <w:rFonts w:ascii="Arial" w:hAnsi="Arial" w:cs="Arial"/>
          <w:i/>
          <w:sz w:val="18"/>
          <w:szCs w:val="18"/>
          <w:lang w:eastAsia="fr-FR"/>
        </w:rPr>
        <w:t>aquatic animals</w:t>
      </w:r>
      <w:r w:rsidRPr="00BC2523">
        <w:rPr>
          <w:rFonts w:ascii="Arial" w:eastAsia="SimSun" w:hAnsi="Arial" w:cs="Arial"/>
          <w:i/>
          <w:sz w:val="18"/>
          <w:szCs w:val="18"/>
          <w:lang w:eastAsia="zh-CN"/>
        </w:rPr>
        <w:t xml:space="preserve"> </w:t>
      </w:r>
      <w:r w:rsidRPr="00BC2523">
        <w:rPr>
          <w:rFonts w:ascii="Arial" w:hAnsi="Arial" w:cs="Arial"/>
          <w:sz w:val="18"/>
          <w:szCs w:val="18"/>
          <w:lang w:eastAsia="fr-FR"/>
        </w:rPr>
        <w:t xml:space="preserve">in </w:t>
      </w:r>
      <w:r w:rsidRPr="00BC2523">
        <w:rPr>
          <w:rFonts w:ascii="Arial" w:hAnsi="Arial" w:cs="Arial"/>
          <w:i/>
          <w:sz w:val="18"/>
          <w:szCs w:val="18"/>
          <w:lang w:eastAsia="fr-FR"/>
        </w:rPr>
        <w:t>aquaculture establishments</w:t>
      </w:r>
      <w:r w:rsidRPr="00BC2523">
        <w:rPr>
          <w:rFonts w:ascii="Arial" w:hAnsi="Arial" w:cs="Arial"/>
          <w:sz w:val="18"/>
          <w:szCs w:val="18"/>
          <w:lang w:eastAsia="fr-FR"/>
        </w:rPr>
        <w:t xml:space="preserve">. Activities may include </w:t>
      </w:r>
      <w:r w:rsidRPr="00BC2523">
        <w:rPr>
          <w:rFonts w:ascii="Arial" w:hAnsi="Arial" w:cs="Arial"/>
          <w:i/>
          <w:sz w:val="18"/>
          <w:szCs w:val="18"/>
          <w:lang w:eastAsia="fr-FR"/>
        </w:rPr>
        <w:t>disease</w:t>
      </w:r>
      <w:r w:rsidRPr="00BC2523">
        <w:rPr>
          <w:rFonts w:ascii="Arial" w:eastAsia="SimSun" w:hAnsi="Arial" w:cs="Arial"/>
          <w:i/>
          <w:sz w:val="18"/>
          <w:szCs w:val="18"/>
          <w:lang w:eastAsia="zh-CN"/>
        </w:rPr>
        <w:t xml:space="preserve"> </w:t>
      </w:r>
      <w:r w:rsidRPr="00BC2523">
        <w:rPr>
          <w:rFonts w:ascii="Arial" w:hAnsi="Arial" w:cs="Arial"/>
          <w:i/>
          <w:sz w:val="18"/>
          <w:szCs w:val="18"/>
          <w:lang w:eastAsia="fr-FR"/>
        </w:rPr>
        <w:t>surveillance</w:t>
      </w:r>
      <w:r w:rsidRPr="00BC2523">
        <w:rPr>
          <w:rFonts w:ascii="Arial" w:hAnsi="Arial" w:cs="Arial"/>
          <w:sz w:val="18"/>
          <w:szCs w:val="18"/>
          <w:lang w:eastAsia="fr-FR"/>
        </w:rPr>
        <w:t xml:space="preserve">, routine monitoring of stock for important health and production parameters </w:t>
      </w:r>
      <w:r w:rsidRPr="00BC2523">
        <w:rPr>
          <w:rFonts w:ascii="Arial" w:hAnsi="Arial" w:cs="Arial"/>
          <w:sz w:val="18"/>
          <w:szCs w:val="18"/>
          <w:u w:val="double"/>
          <w:lang w:eastAsia="fr-FR"/>
        </w:rPr>
        <w:t xml:space="preserve">(e.g. by staff, an </w:t>
      </w:r>
      <w:r w:rsidRPr="00BC2523">
        <w:rPr>
          <w:rFonts w:ascii="Arial" w:hAnsi="Arial" w:cs="Arial"/>
          <w:i/>
          <w:sz w:val="18"/>
          <w:szCs w:val="18"/>
          <w:u w:val="double"/>
          <w:lang w:eastAsia="fr-FR"/>
        </w:rPr>
        <w:t>aquatic animal health professional</w:t>
      </w:r>
      <w:r w:rsidRPr="00BC2523">
        <w:rPr>
          <w:rFonts w:ascii="Arial" w:hAnsi="Arial" w:cs="Arial"/>
          <w:sz w:val="18"/>
          <w:szCs w:val="18"/>
          <w:u w:val="double"/>
          <w:lang w:eastAsia="fr-FR"/>
        </w:rPr>
        <w:t xml:space="preserve"> or a </w:t>
      </w:r>
      <w:r w:rsidRPr="00BC2523">
        <w:rPr>
          <w:rFonts w:ascii="Arial" w:hAnsi="Arial" w:cs="Arial"/>
          <w:i/>
          <w:sz w:val="18"/>
          <w:szCs w:val="18"/>
          <w:u w:val="double"/>
          <w:lang w:eastAsia="fr-FR"/>
        </w:rPr>
        <w:t>veterinarian</w:t>
      </w:r>
      <w:r w:rsidRPr="00BC2523">
        <w:rPr>
          <w:rFonts w:ascii="Arial" w:hAnsi="Arial" w:cs="Arial"/>
          <w:sz w:val="18"/>
          <w:szCs w:val="18"/>
          <w:u w:val="double"/>
          <w:lang w:eastAsia="fr-FR"/>
        </w:rPr>
        <w:t>)</w:t>
      </w:r>
      <w:r w:rsidRPr="00BC2523">
        <w:rPr>
          <w:rFonts w:ascii="Arial" w:hAnsi="Arial" w:cs="Arial"/>
          <w:sz w:val="18"/>
          <w:szCs w:val="18"/>
          <w:lang w:eastAsia="fr-FR"/>
        </w:rPr>
        <w:t xml:space="preserve">, recording of clinical signs of </w:t>
      </w:r>
      <w:r w:rsidRPr="00BC2523">
        <w:rPr>
          <w:rFonts w:ascii="Arial" w:hAnsi="Arial" w:cs="Arial"/>
          <w:i/>
          <w:sz w:val="18"/>
          <w:szCs w:val="18"/>
          <w:lang w:eastAsia="fr-FR"/>
        </w:rPr>
        <w:t>disease</w:t>
      </w:r>
      <w:r w:rsidRPr="00BC2523">
        <w:rPr>
          <w:rFonts w:ascii="Arial" w:hAnsi="Arial" w:cs="Arial"/>
          <w:sz w:val="18"/>
          <w:szCs w:val="18"/>
          <w:lang w:eastAsia="fr-FR"/>
        </w:rPr>
        <w:t xml:space="preserve">, morbidity and mortality, and analysis of these data (e.g. calculation of </w:t>
      </w:r>
      <w:r w:rsidRPr="00BC2523">
        <w:rPr>
          <w:rFonts w:ascii="Arial" w:hAnsi="Arial" w:cs="Arial"/>
          <w:sz w:val="18"/>
          <w:szCs w:val="18"/>
          <w:u w:val="double"/>
          <w:lang w:eastAsia="fr-FR"/>
        </w:rPr>
        <w:t>rates of</w:t>
      </w:r>
      <w:r w:rsidRPr="00BC2523">
        <w:rPr>
          <w:rFonts w:ascii="Arial" w:hAnsi="Arial" w:cs="Arial"/>
          <w:sz w:val="18"/>
          <w:szCs w:val="18"/>
          <w:lang w:eastAsia="fr-FR"/>
        </w:rPr>
        <w:t xml:space="preserve"> </w:t>
      </w:r>
      <w:r w:rsidRPr="00BC2523">
        <w:rPr>
          <w:rFonts w:ascii="Arial" w:hAnsi="Arial" w:cs="Arial"/>
          <w:sz w:val="18"/>
          <w:szCs w:val="18"/>
          <w:u w:val="double"/>
          <w:lang w:eastAsia="fr-FR"/>
        </w:rPr>
        <w:t>morbidity</w:t>
      </w:r>
      <w:r w:rsidRPr="00BC2523">
        <w:rPr>
          <w:rFonts w:ascii="Arial" w:hAnsi="Arial" w:cs="Arial"/>
          <w:sz w:val="18"/>
          <w:szCs w:val="18"/>
          <w:lang w:eastAsia="fr-FR"/>
        </w:rPr>
        <w:t xml:space="preserve"> </w:t>
      </w:r>
      <w:r w:rsidRPr="00BC2523">
        <w:rPr>
          <w:rFonts w:ascii="Arial" w:hAnsi="Arial" w:cs="Arial"/>
          <w:sz w:val="18"/>
          <w:szCs w:val="18"/>
          <w:u w:val="double"/>
          <w:lang w:eastAsia="fr-FR"/>
        </w:rPr>
        <w:t>and</w:t>
      </w:r>
      <w:r w:rsidRPr="00BC2523">
        <w:rPr>
          <w:rFonts w:ascii="Arial" w:hAnsi="Arial" w:cs="Arial"/>
          <w:sz w:val="18"/>
          <w:szCs w:val="18"/>
          <w:lang w:eastAsia="fr-FR"/>
        </w:rPr>
        <w:t xml:space="preserve"> mortality </w:t>
      </w:r>
      <w:r w:rsidRPr="00BC2523">
        <w:rPr>
          <w:rFonts w:ascii="Arial" w:hAnsi="Arial" w:cs="Arial"/>
          <w:strike/>
          <w:sz w:val="18"/>
          <w:szCs w:val="18"/>
          <w:lang w:eastAsia="fr-FR"/>
        </w:rPr>
        <w:t>and diseases</w:t>
      </w:r>
      <w:r w:rsidRPr="00BC2523">
        <w:rPr>
          <w:rFonts w:ascii="Arial" w:hAnsi="Arial" w:cs="Arial"/>
          <w:sz w:val="18"/>
          <w:szCs w:val="18"/>
          <w:lang w:eastAsia="fr-FR"/>
        </w:rPr>
        <w:t xml:space="preserve">). </w:t>
      </w:r>
    </w:p>
    <w:p w14:paraId="5B659D6C" w14:textId="77777777" w:rsidR="0094086E" w:rsidRPr="00BC2523" w:rsidRDefault="0094086E" w:rsidP="0094086E">
      <w:pPr>
        <w:spacing w:after="240" w:line="240" w:lineRule="auto"/>
        <w:ind w:left="851" w:hanging="401"/>
        <w:jc w:val="both"/>
        <w:rPr>
          <w:rFonts w:ascii="Arial" w:hAnsi="Arial" w:cs="Arial"/>
          <w:sz w:val="18"/>
          <w:szCs w:val="18"/>
          <w:lang w:eastAsia="fr-FR"/>
        </w:rPr>
      </w:pPr>
      <w:r w:rsidRPr="00BC2523">
        <w:rPr>
          <w:rFonts w:ascii="Arial" w:hAnsi="Arial" w:cs="Arial"/>
          <w:i/>
          <w:sz w:val="18"/>
          <w:szCs w:val="18"/>
          <w:lang w:eastAsia="fr-FR"/>
        </w:rPr>
        <w:t>e)</w:t>
      </w:r>
      <w:r w:rsidRPr="00BC2523">
        <w:rPr>
          <w:rFonts w:ascii="Arial" w:hAnsi="Arial" w:cs="Arial"/>
          <w:sz w:val="18"/>
          <w:szCs w:val="18"/>
          <w:lang w:eastAsia="fr-FR"/>
        </w:rPr>
        <w:tab/>
        <w:t>Routine review and auditing</w:t>
      </w:r>
    </w:p>
    <w:p w14:paraId="645511EC" w14:textId="77777777" w:rsidR="0094086E" w:rsidRPr="00BC2523" w:rsidRDefault="0094086E" w:rsidP="0094086E">
      <w:pPr>
        <w:spacing w:after="240" w:line="240" w:lineRule="auto"/>
        <w:ind w:left="851"/>
        <w:jc w:val="both"/>
        <w:rPr>
          <w:rFonts w:ascii="Arial" w:hAnsi="Arial" w:cs="Arial"/>
          <w:sz w:val="18"/>
          <w:szCs w:val="18"/>
          <w:lang w:eastAsia="fr-FR"/>
        </w:rPr>
      </w:pPr>
      <w:r w:rsidRPr="00BC2523">
        <w:rPr>
          <w:rFonts w:ascii="Arial" w:hAnsi="Arial" w:cs="Arial"/>
          <w:sz w:val="18"/>
          <w:szCs w:val="18"/>
          <w:lang w:eastAsia="fr-FR"/>
        </w:rPr>
        <w:t xml:space="preserve">The </w:t>
      </w:r>
      <w:r w:rsidRPr="00BC2523">
        <w:rPr>
          <w:rFonts w:ascii="Arial" w:hAnsi="Arial" w:cs="Arial"/>
          <w:i/>
          <w:sz w:val="18"/>
          <w:szCs w:val="18"/>
          <w:lang w:eastAsia="fr-FR"/>
        </w:rPr>
        <w:t>biosecurity plan</w:t>
      </w:r>
      <w:r w:rsidRPr="00BC2523">
        <w:rPr>
          <w:rFonts w:ascii="Arial" w:hAnsi="Arial" w:cs="Arial"/>
          <w:sz w:val="18"/>
          <w:szCs w:val="18"/>
          <w:lang w:eastAsia="fr-FR"/>
        </w:rPr>
        <w:t xml:space="preserve"> should describe a systematic auditing schedule to verify implementation and compliance with the requirements of the </w:t>
      </w:r>
      <w:r w:rsidRPr="00BC2523">
        <w:rPr>
          <w:rFonts w:ascii="Arial" w:hAnsi="Arial" w:cs="Arial"/>
          <w:i/>
          <w:sz w:val="18"/>
          <w:szCs w:val="18"/>
          <w:lang w:eastAsia="fr-FR"/>
        </w:rPr>
        <w:t>biosecurity plan</w:t>
      </w:r>
      <w:r w:rsidRPr="00BC2523">
        <w:rPr>
          <w:rFonts w:ascii="Arial" w:hAnsi="Arial" w:cs="Arial"/>
          <w:sz w:val="18"/>
          <w:szCs w:val="18"/>
          <w:lang w:eastAsia="fr-FR"/>
        </w:rPr>
        <w:t xml:space="preserve">. Routine revision of the </w:t>
      </w:r>
      <w:r w:rsidRPr="00BC2523">
        <w:rPr>
          <w:rFonts w:ascii="Arial" w:hAnsi="Arial" w:cs="Arial"/>
          <w:i/>
          <w:sz w:val="18"/>
          <w:szCs w:val="18"/>
          <w:lang w:eastAsia="fr-FR"/>
        </w:rPr>
        <w:t>biosecurity plan</w:t>
      </w:r>
      <w:r w:rsidRPr="00BC2523">
        <w:rPr>
          <w:rFonts w:ascii="Arial" w:hAnsi="Arial" w:cs="Arial"/>
          <w:sz w:val="18"/>
          <w:szCs w:val="18"/>
          <w:lang w:eastAsia="fr-FR"/>
        </w:rPr>
        <w:t xml:space="preserve"> is necessary to ensure </w:t>
      </w:r>
      <w:r w:rsidRPr="00BC2523">
        <w:rPr>
          <w:rFonts w:ascii="Arial" w:hAnsi="Arial" w:cs="Arial"/>
          <w:sz w:val="18"/>
          <w:szCs w:val="18"/>
          <w:u w:val="double"/>
          <w:lang w:eastAsia="fr-FR"/>
        </w:rPr>
        <w:t>that</w:t>
      </w:r>
      <w:r w:rsidRPr="00BC2523">
        <w:rPr>
          <w:rFonts w:ascii="Arial" w:hAnsi="Arial" w:cs="Arial"/>
          <w:sz w:val="18"/>
          <w:szCs w:val="18"/>
          <w:lang w:eastAsia="fr-FR"/>
        </w:rPr>
        <w:t xml:space="preserve"> it continues to effectively address </w:t>
      </w:r>
      <w:r w:rsidRPr="00BC2523">
        <w:rPr>
          <w:rFonts w:ascii="Arial" w:hAnsi="Arial" w:cs="Arial"/>
          <w:i/>
          <w:sz w:val="18"/>
          <w:szCs w:val="18"/>
          <w:lang w:eastAsia="fr-FR"/>
        </w:rPr>
        <w:t>biosecurity</w:t>
      </w:r>
      <w:r w:rsidRPr="00BC2523">
        <w:rPr>
          <w:rFonts w:ascii="Arial" w:eastAsia="SimSun" w:hAnsi="Arial" w:cs="Arial"/>
          <w:i/>
          <w:sz w:val="18"/>
          <w:szCs w:val="18"/>
          <w:lang w:eastAsia="zh-CN"/>
        </w:rPr>
        <w:t xml:space="preserve"> </w:t>
      </w:r>
      <w:r w:rsidRPr="00BC2523">
        <w:rPr>
          <w:rFonts w:ascii="Arial" w:hAnsi="Arial" w:cs="Arial"/>
          <w:i/>
          <w:sz w:val="18"/>
          <w:szCs w:val="18"/>
          <w:lang w:eastAsia="fr-FR"/>
        </w:rPr>
        <w:t>risks</w:t>
      </w:r>
      <w:r w:rsidRPr="00BC2523">
        <w:rPr>
          <w:rFonts w:ascii="Arial" w:hAnsi="Arial" w:cs="Arial"/>
          <w:sz w:val="18"/>
          <w:szCs w:val="18"/>
          <w:lang w:eastAsia="fr-FR"/>
        </w:rPr>
        <w:t xml:space="preserve">. </w:t>
      </w:r>
    </w:p>
    <w:p w14:paraId="2E9D74D6" w14:textId="77777777" w:rsidR="0094086E" w:rsidRPr="00BC2523" w:rsidRDefault="0094086E" w:rsidP="0094086E">
      <w:pPr>
        <w:spacing w:after="240" w:line="240" w:lineRule="auto"/>
        <w:ind w:left="851"/>
        <w:jc w:val="both"/>
        <w:rPr>
          <w:rFonts w:ascii="Arial" w:hAnsi="Arial" w:cs="Arial"/>
          <w:sz w:val="18"/>
          <w:szCs w:val="18"/>
          <w:lang w:eastAsia="fr-FR"/>
        </w:rPr>
      </w:pPr>
      <w:r w:rsidRPr="00BC2523">
        <w:rPr>
          <w:rFonts w:ascii="Arial" w:hAnsi="Arial" w:cs="Arial"/>
          <w:sz w:val="18"/>
          <w:szCs w:val="18"/>
          <w:lang w:eastAsia="fr-FR"/>
        </w:rPr>
        <w:t xml:space="preserve">The </w:t>
      </w:r>
      <w:r w:rsidRPr="00BC2523">
        <w:rPr>
          <w:rFonts w:ascii="Arial" w:hAnsi="Arial" w:cs="Arial"/>
          <w:i/>
          <w:sz w:val="18"/>
          <w:szCs w:val="18"/>
          <w:lang w:eastAsia="fr-FR"/>
        </w:rPr>
        <w:t xml:space="preserve">biosecurity plan </w:t>
      </w:r>
      <w:r w:rsidRPr="00BC2523">
        <w:rPr>
          <w:rFonts w:ascii="Arial" w:hAnsi="Arial" w:cs="Arial"/>
          <w:sz w:val="18"/>
          <w:szCs w:val="18"/>
          <w:lang w:eastAsia="fr-FR"/>
        </w:rPr>
        <w:t xml:space="preserve">should also be reviewed </w:t>
      </w:r>
      <w:r w:rsidRPr="00BC2523">
        <w:rPr>
          <w:rFonts w:ascii="Arial" w:hAnsi="Arial" w:cs="Arial"/>
          <w:sz w:val="18"/>
          <w:szCs w:val="18"/>
          <w:u w:val="double"/>
          <w:lang w:eastAsia="fr-FR"/>
        </w:rPr>
        <w:t>at least annually or</w:t>
      </w:r>
      <w:r w:rsidRPr="00BC2523">
        <w:rPr>
          <w:rFonts w:ascii="Arial" w:hAnsi="Arial" w:cs="Arial"/>
          <w:sz w:val="18"/>
          <w:szCs w:val="18"/>
          <w:lang w:eastAsia="fr-FR"/>
        </w:rPr>
        <w:t xml:space="preserve"> in response to changes to the </w:t>
      </w:r>
      <w:r w:rsidRPr="00BC2523">
        <w:rPr>
          <w:rFonts w:ascii="Arial" w:hAnsi="Arial" w:cs="Arial"/>
          <w:i/>
          <w:sz w:val="18"/>
          <w:szCs w:val="18"/>
          <w:lang w:eastAsia="fr-FR"/>
        </w:rPr>
        <w:t xml:space="preserve">aquaculture establishment </w:t>
      </w:r>
      <w:r w:rsidRPr="00BC2523">
        <w:rPr>
          <w:rFonts w:ascii="Arial" w:hAnsi="Arial" w:cs="Arial"/>
          <w:sz w:val="18"/>
          <w:szCs w:val="18"/>
          <w:lang w:eastAsia="fr-FR"/>
        </w:rPr>
        <w:t xml:space="preserve">operations, </w:t>
      </w:r>
      <w:r w:rsidRPr="00BC2523">
        <w:rPr>
          <w:rFonts w:ascii="Arial" w:hAnsi="Arial" w:cs="Arial"/>
          <w:sz w:val="18"/>
          <w:szCs w:val="18"/>
          <w:u w:val="double"/>
          <w:lang w:eastAsia="fr-FR"/>
        </w:rPr>
        <w:t>changes in facility design,</w:t>
      </w:r>
      <w:r w:rsidRPr="00BC2523">
        <w:rPr>
          <w:rFonts w:ascii="Arial" w:hAnsi="Arial" w:cs="Arial"/>
          <w:sz w:val="18"/>
          <w:szCs w:val="18"/>
          <w:lang w:eastAsia="fr-FR"/>
        </w:rPr>
        <w:t xml:space="preserve"> changes </w:t>
      </w:r>
      <w:r w:rsidRPr="00BC2523">
        <w:rPr>
          <w:rFonts w:ascii="Arial" w:hAnsi="Arial" w:cs="Arial"/>
          <w:strike/>
          <w:sz w:val="18"/>
          <w:szCs w:val="18"/>
          <w:lang w:eastAsia="fr-FR"/>
        </w:rPr>
        <w:t>to</w:t>
      </w:r>
      <w:r w:rsidRPr="00BC2523">
        <w:rPr>
          <w:rFonts w:ascii="Arial" w:hAnsi="Arial" w:cs="Arial"/>
          <w:sz w:val="18"/>
          <w:szCs w:val="18"/>
          <w:lang w:eastAsia="fr-FR"/>
        </w:rPr>
        <w:t xml:space="preserve"> </w:t>
      </w:r>
      <w:r w:rsidRPr="00BC2523">
        <w:rPr>
          <w:rFonts w:ascii="Arial" w:hAnsi="Arial" w:cs="Arial"/>
          <w:sz w:val="18"/>
          <w:szCs w:val="18"/>
          <w:u w:val="double"/>
          <w:lang w:eastAsia="fr-FR"/>
        </w:rPr>
        <w:t>in</w:t>
      </w:r>
      <w:r w:rsidRPr="00BC2523">
        <w:rPr>
          <w:rFonts w:ascii="Arial" w:hAnsi="Arial" w:cs="Arial"/>
          <w:sz w:val="18"/>
          <w:szCs w:val="18"/>
          <w:lang w:eastAsia="fr-FR"/>
        </w:rPr>
        <w:t xml:space="preserve"> husbandry approaches, identification of a new </w:t>
      </w:r>
      <w:r w:rsidRPr="00BC2523">
        <w:rPr>
          <w:rFonts w:ascii="Arial" w:hAnsi="Arial" w:cs="Arial"/>
          <w:i/>
          <w:sz w:val="18"/>
          <w:szCs w:val="18"/>
          <w:lang w:eastAsia="fr-FR"/>
        </w:rPr>
        <w:t>disease risk</w:t>
      </w:r>
      <w:r w:rsidRPr="00BC2523">
        <w:rPr>
          <w:rFonts w:ascii="Arial" w:hAnsi="Arial" w:cs="Arial"/>
          <w:sz w:val="18"/>
          <w:szCs w:val="18"/>
          <w:lang w:eastAsia="fr-FR"/>
        </w:rPr>
        <w:t xml:space="preserve">, or the occurrence of a </w:t>
      </w:r>
      <w:r w:rsidRPr="00BC2523">
        <w:rPr>
          <w:rFonts w:ascii="Arial" w:hAnsi="Arial" w:cs="Arial"/>
          <w:i/>
          <w:sz w:val="18"/>
          <w:szCs w:val="18"/>
          <w:lang w:eastAsia="fr-FR"/>
        </w:rPr>
        <w:t>biosecurity</w:t>
      </w:r>
      <w:r w:rsidRPr="00BC2523">
        <w:rPr>
          <w:rFonts w:ascii="Arial" w:hAnsi="Arial" w:cs="Arial"/>
          <w:sz w:val="18"/>
          <w:szCs w:val="18"/>
          <w:lang w:eastAsia="fr-FR"/>
        </w:rPr>
        <w:t xml:space="preserve"> incident. </w:t>
      </w:r>
      <w:r w:rsidRPr="00BC2523">
        <w:rPr>
          <w:rFonts w:ascii="Arial" w:hAnsi="Arial" w:cs="Arial"/>
          <w:i/>
          <w:sz w:val="18"/>
          <w:szCs w:val="18"/>
          <w:lang w:eastAsia="fr-FR"/>
        </w:rPr>
        <w:t>Biosecurity</w:t>
      </w:r>
      <w:r w:rsidRPr="00BC2523">
        <w:rPr>
          <w:rFonts w:ascii="Arial" w:hAnsi="Arial" w:cs="Arial"/>
          <w:sz w:val="18"/>
          <w:szCs w:val="18"/>
          <w:lang w:eastAsia="fr-FR"/>
        </w:rPr>
        <w:t xml:space="preserve"> incidents, and actions taken to remedy them, should be documented to enable </w:t>
      </w:r>
      <w:r w:rsidRPr="00BC2523">
        <w:rPr>
          <w:rFonts w:ascii="Arial" w:hAnsi="Arial" w:cs="Arial"/>
          <w:strike/>
          <w:sz w:val="18"/>
          <w:szCs w:val="18"/>
          <w:lang w:eastAsia="fr-FR"/>
        </w:rPr>
        <w:t>SOP</w:t>
      </w:r>
      <w:r w:rsidRPr="00BC2523">
        <w:rPr>
          <w:rFonts w:ascii="Arial" w:hAnsi="Arial" w:cs="Arial"/>
          <w:sz w:val="18"/>
          <w:szCs w:val="18"/>
          <w:lang w:eastAsia="fr-FR"/>
        </w:rPr>
        <w:t xml:space="preserve"> re-assessment</w:t>
      </w:r>
      <w:r w:rsidRPr="00BC2523">
        <w:rPr>
          <w:rFonts w:ascii="Arial" w:hAnsi="Arial" w:cs="Arial"/>
          <w:sz w:val="18"/>
          <w:szCs w:val="18"/>
          <w:u w:val="double"/>
          <w:lang w:eastAsia="fr-FR"/>
        </w:rPr>
        <w:t>s of SOPs</w:t>
      </w:r>
      <w:r w:rsidRPr="00BC2523">
        <w:rPr>
          <w:rFonts w:ascii="Arial" w:hAnsi="Arial" w:cs="Arial"/>
          <w:sz w:val="18"/>
          <w:szCs w:val="18"/>
          <w:lang w:eastAsia="fr-FR"/>
        </w:rPr>
        <w:t>.</w:t>
      </w:r>
    </w:p>
    <w:p w14:paraId="6997F102" w14:textId="77777777" w:rsidR="0094086E" w:rsidRPr="00BC2523" w:rsidRDefault="0094086E" w:rsidP="0094086E">
      <w:pPr>
        <w:spacing w:after="720"/>
        <w:ind w:right="51"/>
        <w:jc w:val="center"/>
        <w:rPr>
          <w:rFonts w:ascii="Arial" w:eastAsia="MS Mincho" w:hAnsi="Arial" w:cs="Arial"/>
          <w:kern w:val="2"/>
          <w:sz w:val="18"/>
          <w:szCs w:val="18"/>
        </w:rPr>
        <w:sectPr w:rsidR="0094086E" w:rsidRPr="00BC2523" w:rsidSect="00D31BA5">
          <w:headerReference w:type="even" r:id="rId42"/>
          <w:headerReference w:type="default" r:id="rId43"/>
          <w:headerReference w:type="first" r:id="rId44"/>
          <w:footerReference w:type="first" r:id="rId45"/>
          <w:type w:val="oddPage"/>
          <w:pgSz w:w="12240" w:h="15840" w:code="1"/>
          <w:pgMar w:top="1418" w:right="1418" w:bottom="1418" w:left="1418" w:header="709" w:footer="709" w:gutter="0"/>
          <w:cols w:space="720"/>
          <w:titlePg/>
          <w:docGrid w:linePitch="360"/>
        </w:sectPr>
      </w:pPr>
      <w:r w:rsidRPr="00BC2523">
        <w:rPr>
          <w:rFonts w:ascii="Arial" w:eastAsia="MS Mincho" w:hAnsi="Arial" w:cs="Arial"/>
          <w:kern w:val="2"/>
          <w:sz w:val="18"/>
          <w:szCs w:val="18"/>
        </w:rPr>
        <w:t>____________________________</w:t>
      </w:r>
    </w:p>
    <w:p w14:paraId="44811EC8" w14:textId="627484BC" w:rsidR="0094086E" w:rsidRPr="006A2D15" w:rsidRDefault="00B04DDB" w:rsidP="006A2D15">
      <w:pPr>
        <w:pStyle w:val="Titre4"/>
        <w:spacing w:before="0" w:after="480" w:line="240" w:lineRule="auto"/>
        <w:ind w:left="720"/>
        <w:jc w:val="right"/>
        <w:rPr>
          <w:rFonts w:ascii="Times New Roman" w:hAnsi="Times New Roman" w:cs="Times New Roman"/>
          <w:i w:val="0"/>
          <w:iCs w:val="0"/>
          <w:color w:val="auto"/>
          <w:u w:val="single"/>
          <w:lang w:val="en-US"/>
        </w:rPr>
      </w:pPr>
      <w:bookmarkStart w:id="64" w:name="_Annex_3"/>
      <w:bookmarkEnd w:id="64"/>
      <w:r w:rsidRPr="006A2D15">
        <w:rPr>
          <w:rFonts w:ascii="Times New Roman" w:hAnsi="Times New Roman" w:cs="Times New Roman"/>
          <w:i w:val="0"/>
          <w:iCs w:val="0"/>
          <w:color w:val="auto"/>
          <w:u w:val="single"/>
          <w:lang w:val="en-US"/>
        </w:rPr>
        <w:lastRenderedPageBreak/>
        <w:t>Annex 3</w:t>
      </w:r>
    </w:p>
    <w:p w14:paraId="2886BBCB" w14:textId="77777777" w:rsidR="0094086E" w:rsidRPr="009623A4" w:rsidRDefault="0094086E" w:rsidP="0094086E">
      <w:pPr>
        <w:spacing w:after="480"/>
        <w:jc w:val="center"/>
        <w:rPr>
          <w:rFonts w:ascii="Ottawa" w:hAnsi="Ottawa" w:cs="Arial"/>
          <w:b/>
          <w:bCs/>
          <w:caps/>
          <w:color w:val="000000"/>
          <w:spacing w:val="57"/>
          <w:sz w:val="28"/>
          <w:szCs w:val="28"/>
          <w:lang w:val="en-US"/>
        </w:rPr>
      </w:pPr>
      <w:r w:rsidRPr="009623A4">
        <w:rPr>
          <w:rFonts w:ascii="Ottawa" w:hAnsi="Ottawa" w:cs="Arial"/>
          <w:caps/>
          <w:color w:val="000000"/>
          <w:spacing w:val="57"/>
          <w:sz w:val="24"/>
          <w:szCs w:val="24"/>
          <w:lang w:val="en-US"/>
        </w:rPr>
        <w:t>CHAPTER 1.3.</w:t>
      </w:r>
      <w:r w:rsidRPr="009623A4">
        <w:rPr>
          <w:rFonts w:ascii="Ottawa" w:hAnsi="Ottawa" w:cs="Arial"/>
          <w:caps/>
          <w:color w:val="000000"/>
          <w:spacing w:val="57"/>
          <w:sz w:val="24"/>
          <w:szCs w:val="24"/>
          <w:lang w:val="en-US"/>
        </w:rPr>
        <w:br/>
      </w:r>
      <w:r w:rsidRPr="009623A4">
        <w:rPr>
          <w:rFonts w:ascii="Ottawa" w:hAnsi="Ottawa" w:cs="Arial"/>
          <w:caps/>
          <w:color w:val="000000"/>
          <w:spacing w:val="57"/>
          <w:sz w:val="24"/>
          <w:szCs w:val="24"/>
          <w:lang w:val="en-US"/>
        </w:rPr>
        <w:br/>
      </w:r>
      <w:r w:rsidRPr="009623A4">
        <w:rPr>
          <w:rFonts w:ascii="Ottawa" w:hAnsi="Ottawa" w:cs="Arial"/>
          <w:b/>
          <w:bCs/>
          <w:caps/>
          <w:color w:val="000000"/>
          <w:spacing w:val="57"/>
          <w:sz w:val="28"/>
          <w:szCs w:val="28"/>
          <w:lang w:val="en-US"/>
        </w:rPr>
        <w:t>DISEASES LISTED BY THE OIE</w:t>
      </w:r>
    </w:p>
    <w:p w14:paraId="53DF2C1E" w14:textId="77777777" w:rsidR="0094086E" w:rsidRPr="00BC2523" w:rsidRDefault="0094086E" w:rsidP="0094086E">
      <w:pPr>
        <w:spacing w:after="240"/>
        <w:jc w:val="center"/>
        <w:rPr>
          <w:rFonts w:ascii="Ottawa" w:eastAsia="Ottawa" w:hAnsi="Ottawa" w:cs="Arial"/>
          <w:spacing w:val="4"/>
          <w:sz w:val="18"/>
          <w:szCs w:val="18"/>
          <w:lang w:val="en-US" w:eastAsia="en-GB"/>
        </w:rPr>
      </w:pPr>
      <w:r w:rsidRPr="00BC2523">
        <w:rPr>
          <w:rFonts w:ascii="Ottawa" w:eastAsia="Ottawa" w:hAnsi="Ottawa" w:cs="Arial"/>
          <w:spacing w:val="4"/>
          <w:sz w:val="18"/>
          <w:szCs w:val="18"/>
          <w:lang w:val="en-US" w:eastAsia="en-GB"/>
        </w:rPr>
        <w:t>[…]</w:t>
      </w:r>
    </w:p>
    <w:p w14:paraId="33AC5EC7" w14:textId="77777777" w:rsidR="0094086E" w:rsidRPr="00BC2523" w:rsidRDefault="0094086E" w:rsidP="0094086E">
      <w:pPr>
        <w:spacing w:after="240"/>
        <w:jc w:val="center"/>
        <w:rPr>
          <w:rFonts w:ascii="Ottawa" w:eastAsia="Ottawa" w:hAnsi="Ottawa" w:cs="Times New Roman"/>
          <w:spacing w:val="4"/>
          <w:sz w:val="18"/>
          <w:szCs w:val="18"/>
          <w:lang w:val="en-US" w:eastAsia="en-GB"/>
        </w:rPr>
      </w:pPr>
      <w:r w:rsidRPr="00BC2523">
        <w:rPr>
          <w:rFonts w:ascii="Ottawa" w:eastAsia="Ottawa" w:hAnsi="Ottawa" w:cs="Times New Roman"/>
          <w:spacing w:val="4"/>
          <w:sz w:val="18"/>
          <w:szCs w:val="18"/>
          <w:lang w:val="en-US" w:eastAsia="en-GB"/>
        </w:rPr>
        <w:t>Article 1.3.3.</w:t>
      </w:r>
    </w:p>
    <w:p w14:paraId="76BCD700" w14:textId="77777777" w:rsidR="0094086E" w:rsidRPr="00BC2523" w:rsidRDefault="0094086E" w:rsidP="0094086E">
      <w:pPr>
        <w:spacing w:after="240"/>
        <w:rPr>
          <w:rFonts w:ascii="Arial" w:eastAsia="Ottawa" w:hAnsi="Arial" w:cs="Arial"/>
          <w:spacing w:val="4"/>
          <w:sz w:val="18"/>
          <w:szCs w:val="18"/>
          <w:lang w:val="en-US" w:eastAsia="en-GB"/>
        </w:rPr>
      </w:pPr>
      <w:r w:rsidRPr="00BC2523">
        <w:rPr>
          <w:rFonts w:ascii="Arial" w:eastAsia="Ottawa" w:hAnsi="Arial" w:cs="Arial"/>
          <w:spacing w:val="4"/>
          <w:sz w:val="18"/>
          <w:szCs w:val="18"/>
          <w:lang w:val="en-US" w:eastAsia="en-GB"/>
        </w:rPr>
        <w:t xml:space="preserve">The following </w:t>
      </w:r>
      <w:r w:rsidRPr="00BC2523">
        <w:rPr>
          <w:rFonts w:ascii="Arial" w:eastAsia="Ottawa" w:hAnsi="Arial" w:cs="Arial"/>
          <w:i/>
          <w:spacing w:val="4"/>
          <w:sz w:val="18"/>
          <w:szCs w:val="18"/>
          <w:lang w:val="en-US" w:eastAsia="en-GB"/>
        </w:rPr>
        <w:t>diseases</w:t>
      </w:r>
      <w:r w:rsidRPr="00BC2523">
        <w:rPr>
          <w:rFonts w:ascii="Arial" w:eastAsia="Ottawa" w:hAnsi="Arial" w:cs="Arial"/>
          <w:spacing w:val="4"/>
          <w:sz w:val="18"/>
          <w:szCs w:val="18"/>
          <w:lang w:val="en-US" w:eastAsia="en-GB"/>
        </w:rPr>
        <w:t xml:space="preserve"> of crustaceans are listed by the OIE:</w:t>
      </w:r>
    </w:p>
    <w:p w14:paraId="45910B9E" w14:textId="77777777" w:rsidR="0094086E" w:rsidRPr="00BC2523" w:rsidRDefault="0094086E" w:rsidP="0094086E">
      <w:pPr>
        <w:spacing w:after="240"/>
        <w:ind w:left="426" w:hanging="426"/>
        <w:rPr>
          <w:rFonts w:ascii="Arial" w:eastAsia="Ottawa" w:hAnsi="Arial" w:cs="Arial"/>
          <w:spacing w:val="4"/>
          <w:sz w:val="18"/>
          <w:szCs w:val="18"/>
          <w:lang w:val="en-US" w:eastAsia="en-GB"/>
        </w:rPr>
      </w:pPr>
      <w:r w:rsidRPr="00BC2523">
        <w:rPr>
          <w:rFonts w:ascii="Arial" w:eastAsia="Ottawa" w:hAnsi="Arial" w:cs="Arial"/>
          <w:spacing w:val="4"/>
          <w:sz w:val="18"/>
          <w:szCs w:val="18"/>
          <w:lang w:val="en-US" w:eastAsia="en-GB"/>
        </w:rPr>
        <w:t>‒</w:t>
      </w:r>
      <w:r w:rsidRPr="00BC2523">
        <w:rPr>
          <w:rFonts w:ascii="Arial" w:eastAsia="Ottawa" w:hAnsi="Arial" w:cs="Arial"/>
          <w:spacing w:val="4"/>
          <w:sz w:val="18"/>
          <w:szCs w:val="18"/>
          <w:lang w:val="en-US" w:eastAsia="en-GB"/>
        </w:rPr>
        <w:tab/>
        <w:t>Acute hepatopancreatic necrosis disease</w:t>
      </w:r>
    </w:p>
    <w:p w14:paraId="68778689" w14:textId="77777777" w:rsidR="0094086E" w:rsidRPr="00BC2523" w:rsidRDefault="0094086E" w:rsidP="0094086E">
      <w:pPr>
        <w:spacing w:after="240"/>
        <w:ind w:left="426" w:hanging="426"/>
        <w:rPr>
          <w:rFonts w:ascii="Arial" w:eastAsia="Ottawa" w:hAnsi="Arial" w:cs="Arial"/>
          <w:spacing w:val="4"/>
          <w:sz w:val="18"/>
          <w:szCs w:val="18"/>
          <w:lang w:val="en-US" w:eastAsia="en-GB"/>
        </w:rPr>
      </w:pPr>
      <w:r w:rsidRPr="00BC2523">
        <w:rPr>
          <w:rFonts w:ascii="Arial" w:eastAsia="Ottawa" w:hAnsi="Arial" w:cs="Arial"/>
          <w:spacing w:val="4"/>
          <w:sz w:val="18"/>
          <w:szCs w:val="18"/>
          <w:lang w:val="en-US" w:eastAsia="en-GB"/>
        </w:rPr>
        <w:t>‒</w:t>
      </w:r>
      <w:r w:rsidRPr="00BC2523">
        <w:rPr>
          <w:rFonts w:ascii="Arial" w:eastAsia="Ottawa" w:hAnsi="Arial" w:cs="Arial"/>
          <w:spacing w:val="4"/>
          <w:sz w:val="18"/>
          <w:szCs w:val="18"/>
          <w:lang w:val="en-US" w:eastAsia="en-GB"/>
        </w:rPr>
        <w:tab/>
        <w:t xml:space="preserve">Infection with </w:t>
      </w:r>
      <w:r w:rsidRPr="00BC2523">
        <w:rPr>
          <w:rFonts w:ascii="Arial" w:eastAsia="Ottawa" w:hAnsi="Arial" w:cs="Arial"/>
          <w:i/>
          <w:spacing w:val="4"/>
          <w:sz w:val="18"/>
          <w:szCs w:val="18"/>
          <w:lang w:val="en-US" w:eastAsia="en-GB"/>
        </w:rPr>
        <w:t>Aphanomyces</w:t>
      </w:r>
      <w:r w:rsidRPr="00BC2523">
        <w:rPr>
          <w:rFonts w:ascii="Arial" w:eastAsia="Ottawa" w:hAnsi="Arial" w:cs="Arial"/>
          <w:spacing w:val="4"/>
          <w:sz w:val="18"/>
          <w:szCs w:val="18"/>
          <w:lang w:val="en-US" w:eastAsia="en-GB"/>
        </w:rPr>
        <w:t xml:space="preserve"> </w:t>
      </w:r>
      <w:r w:rsidRPr="00BC2523">
        <w:rPr>
          <w:rFonts w:ascii="Arial" w:eastAsia="Ottawa" w:hAnsi="Arial" w:cs="Arial"/>
          <w:i/>
          <w:spacing w:val="4"/>
          <w:sz w:val="18"/>
          <w:szCs w:val="18"/>
          <w:lang w:val="en-US" w:eastAsia="en-GB"/>
        </w:rPr>
        <w:t>astaci</w:t>
      </w:r>
      <w:r w:rsidRPr="00BC2523">
        <w:rPr>
          <w:rFonts w:ascii="Arial" w:eastAsia="Ottawa" w:hAnsi="Arial" w:cs="Arial"/>
          <w:spacing w:val="4"/>
          <w:sz w:val="18"/>
          <w:szCs w:val="18"/>
          <w:lang w:val="en-US" w:eastAsia="en-GB"/>
        </w:rPr>
        <w:t xml:space="preserve"> (crayfish plague)</w:t>
      </w:r>
    </w:p>
    <w:p w14:paraId="4C712350" w14:textId="77777777" w:rsidR="0094086E" w:rsidRPr="00BC2523" w:rsidRDefault="0094086E" w:rsidP="0094086E">
      <w:pPr>
        <w:tabs>
          <w:tab w:val="left" w:pos="1080"/>
        </w:tabs>
        <w:spacing w:after="240"/>
        <w:ind w:left="426" w:hanging="426"/>
        <w:rPr>
          <w:rFonts w:ascii="Arial" w:eastAsia="Ottawa" w:hAnsi="Arial" w:cs="Arial"/>
          <w:spacing w:val="4"/>
          <w:sz w:val="18"/>
          <w:szCs w:val="18"/>
          <w:lang w:val="en-US" w:eastAsia="en-GB"/>
        </w:rPr>
      </w:pPr>
      <w:r w:rsidRPr="00BC2523">
        <w:rPr>
          <w:rFonts w:ascii="Arial" w:eastAsia="Ottawa" w:hAnsi="Arial" w:cs="Arial"/>
          <w:spacing w:val="4"/>
          <w:sz w:val="18"/>
          <w:szCs w:val="18"/>
          <w:lang w:val="en-US" w:eastAsia="en-GB"/>
        </w:rPr>
        <w:t>‒</w:t>
      </w:r>
      <w:r w:rsidRPr="00BC2523">
        <w:rPr>
          <w:rFonts w:ascii="Arial" w:eastAsia="Ottawa" w:hAnsi="Arial" w:cs="Arial"/>
          <w:spacing w:val="4"/>
          <w:sz w:val="18"/>
          <w:szCs w:val="18"/>
          <w:lang w:val="en-US" w:eastAsia="en-GB"/>
        </w:rPr>
        <w:tab/>
        <w:t xml:space="preserve">Infection with </w:t>
      </w:r>
      <w:r w:rsidRPr="00BC2523">
        <w:rPr>
          <w:rFonts w:ascii="Arial" w:eastAsia="Ottawa" w:hAnsi="Arial" w:cs="Arial"/>
          <w:i/>
          <w:spacing w:val="4"/>
          <w:sz w:val="18"/>
          <w:szCs w:val="18"/>
          <w:lang w:val="en-US" w:eastAsia="en-GB"/>
        </w:rPr>
        <w:t>Hepatobacter</w:t>
      </w:r>
      <w:r w:rsidRPr="00BC2523">
        <w:rPr>
          <w:rFonts w:ascii="Arial" w:eastAsia="Ottawa" w:hAnsi="Arial" w:cs="Arial"/>
          <w:spacing w:val="4"/>
          <w:sz w:val="18"/>
          <w:szCs w:val="18"/>
          <w:lang w:val="en-US" w:eastAsia="en-GB"/>
        </w:rPr>
        <w:t xml:space="preserve"> </w:t>
      </w:r>
      <w:r w:rsidRPr="00BC2523">
        <w:rPr>
          <w:rFonts w:ascii="Arial" w:eastAsia="Ottawa" w:hAnsi="Arial" w:cs="Arial"/>
          <w:i/>
          <w:spacing w:val="4"/>
          <w:sz w:val="18"/>
          <w:szCs w:val="18"/>
          <w:lang w:val="en-US" w:eastAsia="en-GB"/>
        </w:rPr>
        <w:t>penaei</w:t>
      </w:r>
      <w:r w:rsidRPr="00BC2523">
        <w:rPr>
          <w:rFonts w:ascii="Arial" w:eastAsia="Ottawa" w:hAnsi="Arial" w:cs="Arial"/>
          <w:spacing w:val="4"/>
          <w:sz w:val="18"/>
          <w:szCs w:val="18"/>
          <w:lang w:val="en-US" w:eastAsia="en-GB"/>
        </w:rPr>
        <w:t xml:space="preserve"> (necrotising hepatopancreatitis)</w:t>
      </w:r>
    </w:p>
    <w:p w14:paraId="2B64A355" w14:textId="77777777" w:rsidR="0094086E" w:rsidRPr="00BC2523" w:rsidRDefault="0094086E" w:rsidP="0094086E">
      <w:pPr>
        <w:spacing w:after="240"/>
        <w:ind w:left="426" w:hanging="426"/>
        <w:rPr>
          <w:rFonts w:ascii="Arial" w:eastAsia="Ottawa" w:hAnsi="Arial" w:cs="Arial"/>
          <w:spacing w:val="4"/>
          <w:sz w:val="18"/>
          <w:szCs w:val="18"/>
          <w:lang w:val="en-US" w:eastAsia="en-GB"/>
        </w:rPr>
      </w:pPr>
      <w:r w:rsidRPr="00BC2523">
        <w:rPr>
          <w:rFonts w:ascii="Arial" w:eastAsia="Ottawa" w:hAnsi="Arial" w:cs="Arial"/>
          <w:spacing w:val="4"/>
          <w:sz w:val="18"/>
          <w:szCs w:val="18"/>
          <w:lang w:val="en-US" w:eastAsia="en-GB"/>
        </w:rPr>
        <w:t>‒</w:t>
      </w:r>
      <w:r w:rsidRPr="00BC2523">
        <w:rPr>
          <w:rFonts w:ascii="Arial" w:eastAsia="Ottawa" w:hAnsi="Arial" w:cs="Arial"/>
          <w:spacing w:val="4"/>
          <w:sz w:val="18"/>
          <w:szCs w:val="18"/>
          <w:lang w:val="en-US" w:eastAsia="en-GB"/>
        </w:rPr>
        <w:tab/>
        <w:t>Infection with infectious hypodermal and haematopoietic necrosis virus</w:t>
      </w:r>
    </w:p>
    <w:p w14:paraId="4EDAC39A" w14:textId="77777777" w:rsidR="0094086E" w:rsidRPr="00BC2523" w:rsidRDefault="0094086E" w:rsidP="0094086E">
      <w:pPr>
        <w:spacing w:after="240"/>
        <w:ind w:left="426" w:hanging="426"/>
        <w:rPr>
          <w:rFonts w:ascii="Arial" w:eastAsia="Ottawa" w:hAnsi="Arial" w:cs="Arial"/>
          <w:spacing w:val="4"/>
          <w:sz w:val="18"/>
          <w:szCs w:val="18"/>
          <w:lang w:val="en-US" w:eastAsia="en-GB"/>
        </w:rPr>
      </w:pPr>
      <w:r w:rsidRPr="00BC2523">
        <w:rPr>
          <w:rFonts w:ascii="Arial" w:eastAsia="Ottawa" w:hAnsi="Arial" w:cs="Arial"/>
          <w:spacing w:val="4"/>
          <w:sz w:val="18"/>
          <w:szCs w:val="18"/>
          <w:lang w:val="en-US" w:eastAsia="en-GB"/>
        </w:rPr>
        <w:t>‒</w:t>
      </w:r>
      <w:r w:rsidRPr="00BC2523">
        <w:rPr>
          <w:rFonts w:ascii="Arial" w:eastAsia="Ottawa" w:hAnsi="Arial" w:cs="Arial"/>
          <w:spacing w:val="4"/>
          <w:sz w:val="18"/>
          <w:szCs w:val="18"/>
          <w:lang w:val="en-US" w:eastAsia="en-GB"/>
        </w:rPr>
        <w:tab/>
        <w:t>Infection with infectious myonecrosis virus</w:t>
      </w:r>
    </w:p>
    <w:p w14:paraId="398ECEFA" w14:textId="77777777" w:rsidR="0094086E" w:rsidRPr="00BC2523" w:rsidRDefault="0094086E" w:rsidP="0094086E">
      <w:pPr>
        <w:spacing w:after="240"/>
        <w:ind w:left="426" w:hanging="426"/>
        <w:rPr>
          <w:rFonts w:ascii="Arial" w:eastAsia="Ottawa" w:hAnsi="Arial" w:cs="Arial"/>
          <w:spacing w:val="4"/>
          <w:sz w:val="18"/>
          <w:szCs w:val="18"/>
          <w:lang w:val="en-US" w:eastAsia="en-GB"/>
        </w:rPr>
      </w:pPr>
      <w:r w:rsidRPr="00BC2523">
        <w:rPr>
          <w:rFonts w:ascii="Arial" w:eastAsia="Ottawa" w:hAnsi="Arial" w:cs="Arial"/>
          <w:spacing w:val="4"/>
          <w:sz w:val="18"/>
          <w:szCs w:val="18"/>
          <w:lang w:val="en-US" w:eastAsia="en-GB"/>
        </w:rPr>
        <w:t>‒</w:t>
      </w:r>
      <w:r w:rsidRPr="00BC2523">
        <w:rPr>
          <w:rFonts w:ascii="Arial" w:eastAsia="Ottawa" w:hAnsi="Arial" w:cs="Arial"/>
          <w:spacing w:val="4"/>
          <w:sz w:val="18"/>
          <w:szCs w:val="18"/>
          <w:lang w:val="en-US" w:eastAsia="en-GB"/>
        </w:rPr>
        <w:tab/>
        <w:t xml:space="preserve">Infection with </w:t>
      </w:r>
      <w:r w:rsidRPr="00BC2523">
        <w:rPr>
          <w:rFonts w:ascii="Arial" w:eastAsia="Ottawa" w:hAnsi="Arial" w:cs="Arial"/>
          <w:i/>
          <w:spacing w:val="4"/>
          <w:sz w:val="18"/>
          <w:szCs w:val="18"/>
          <w:lang w:val="en-US" w:eastAsia="en-GB"/>
        </w:rPr>
        <w:t>Macrobrachium</w:t>
      </w:r>
      <w:r w:rsidRPr="00BC2523">
        <w:rPr>
          <w:rFonts w:ascii="Arial" w:eastAsia="Ottawa" w:hAnsi="Arial" w:cs="Arial"/>
          <w:spacing w:val="4"/>
          <w:sz w:val="18"/>
          <w:szCs w:val="18"/>
          <w:lang w:val="en-US" w:eastAsia="en-GB"/>
        </w:rPr>
        <w:t xml:space="preserve"> </w:t>
      </w:r>
      <w:r w:rsidRPr="00BC2523">
        <w:rPr>
          <w:rFonts w:ascii="Arial" w:eastAsia="Ottawa" w:hAnsi="Arial" w:cs="Arial"/>
          <w:i/>
          <w:spacing w:val="4"/>
          <w:sz w:val="18"/>
          <w:szCs w:val="18"/>
          <w:lang w:val="en-US" w:eastAsia="en-GB"/>
        </w:rPr>
        <w:t>rosenbergii</w:t>
      </w:r>
      <w:r w:rsidRPr="00BC2523">
        <w:rPr>
          <w:rFonts w:ascii="Arial" w:eastAsia="Ottawa" w:hAnsi="Arial" w:cs="Arial"/>
          <w:spacing w:val="4"/>
          <w:sz w:val="18"/>
          <w:szCs w:val="18"/>
          <w:lang w:val="en-US" w:eastAsia="en-GB"/>
        </w:rPr>
        <w:t xml:space="preserve"> nodavirus (white tail disease)</w:t>
      </w:r>
    </w:p>
    <w:p w14:paraId="36A7131B" w14:textId="0E8D7795" w:rsidR="0094086E" w:rsidRPr="00BC2523" w:rsidRDefault="0094086E" w:rsidP="0094086E">
      <w:pPr>
        <w:spacing w:after="240"/>
        <w:ind w:left="426" w:hanging="426"/>
        <w:rPr>
          <w:rFonts w:ascii="Arial" w:eastAsia="Ottawa" w:hAnsi="Arial" w:cs="Arial"/>
          <w:spacing w:val="4"/>
          <w:sz w:val="18"/>
          <w:szCs w:val="18"/>
          <w:lang w:val="en-US" w:eastAsia="en-GB"/>
        </w:rPr>
      </w:pPr>
      <w:r w:rsidRPr="00BC2523">
        <w:rPr>
          <w:rFonts w:ascii="Arial" w:eastAsia="Ottawa" w:hAnsi="Arial" w:cs="Arial"/>
          <w:spacing w:val="4"/>
          <w:sz w:val="18"/>
          <w:szCs w:val="18"/>
          <w:lang w:val="en-US" w:eastAsia="en-GB"/>
        </w:rPr>
        <w:t>‒</w:t>
      </w:r>
      <w:r w:rsidRPr="00BC2523">
        <w:rPr>
          <w:rFonts w:ascii="Arial" w:eastAsia="Ottawa" w:hAnsi="Arial" w:cs="Arial"/>
          <w:spacing w:val="4"/>
          <w:sz w:val="18"/>
          <w:szCs w:val="18"/>
          <w:lang w:val="en-US" w:eastAsia="en-GB"/>
        </w:rPr>
        <w:tab/>
      </w:r>
      <w:r w:rsidRPr="00BC2523">
        <w:rPr>
          <w:rFonts w:ascii="Arial" w:eastAsia="Ottawa" w:hAnsi="Arial" w:cs="Arial"/>
          <w:strike/>
          <w:spacing w:val="4"/>
          <w:sz w:val="18"/>
          <w:szCs w:val="18"/>
          <w:u w:val="double"/>
          <w:lang w:val="en-US" w:eastAsia="en-GB"/>
        </w:rPr>
        <w:t xml:space="preserve">Infection with </w:t>
      </w:r>
      <w:r w:rsidRPr="00BC2523">
        <w:rPr>
          <w:rFonts w:ascii="Arial" w:hAnsi="Arial" w:cs="Arial"/>
          <w:strike/>
          <w:sz w:val="18"/>
          <w:szCs w:val="18"/>
          <w:u w:val="double"/>
          <w:lang w:val="en-US"/>
        </w:rPr>
        <w:t>shrimp haemocyte iridescent virus</w:t>
      </w:r>
      <w:r w:rsidRPr="00BC2523">
        <w:rPr>
          <w:rFonts w:ascii="Arial" w:hAnsi="Arial" w:cs="Arial"/>
          <w:sz w:val="18"/>
          <w:szCs w:val="18"/>
          <w:u w:val="double"/>
          <w:lang w:val="en-US"/>
        </w:rPr>
        <w:t xml:space="preserve"> Infection with decapod iridescent virus1</w:t>
      </w:r>
    </w:p>
    <w:p w14:paraId="4294B4D2" w14:textId="77777777" w:rsidR="0094086E" w:rsidRPr="00BC2523" w:rsidRDefault="0094086E" w:rsidP="0094086E">
      <w:pPr>
        <w:spacing w:after="240"/>
        <w:ind w:left="426" w:hanging="426"/>
        <w:rPr>
          <w:rFonts w:ascii="Arial" w:eastAsia="Ottawa" w:hAnsi="Arial" w:cs="Arial"/>
          <w:spacing w:val="4"/>
          <w:sz w:val="18"/>
          <w:szCs w:val="18"/>
          <w:lang w:val="en-US" w:eastAsia="en-GB"/>
        </w:rPr>
      </w:pPr>
      <w:r w:rsidRPr="00BC2523">
        <w:rPr>
          <w:rFonts w:ascii="Arial" w:eastAsia="Ottawa" w:hAnsi="Arial" w:cs="Arial"/>
          <w:spacing w:val="4"/>
          <w:sz w:val="18"/>
          <w:szCs w:val="18"/>
          <w:lang w:val="en-US" w:eastAsia="en-GB"/>
        </w:rPr>
        <w:t>‒</w:t>
      </w:r>
      <w:r w:rsidRPr="00BC2523">
        <w:rPr>
          <w:rFonts w:ascii="Arial" w:eastAsia="Ottawa" w:hAnsi="Arial" w:cs="Arial"/>
          <w:spacing w:val="4"/>
          <w:sz w:val="18"/>
          <w:szCs w:val="18"/>
          <w:lang w:val="en-US" w:eastAsia="en-GB"/>
        </w:rPr>
        <w:tab/>
        <w:t>Infection with Taura syndrome virus</w:t>
      </w:r>
    </w:p>
    <w:p w14:paraId="5DE9B71A" w14:textId="77777777" w:rsidR="0094086E" w:rsidRPr="00BC2523" w:rsidRDefault="0094086E" w:rsidP="0094086E">
      <w:pPr>
        <w:spacing w:after="240"/>
        <w:ind w:left="426" w:hanging="426"/>
        <w:rPr>
          <w:rFonts w:ascii="Arial" w:eastAsia="Ottawa" w:hAnsi="Arial" w:cs="Arial"/>
          <w:spacing w:val="4"/>
          <w:sz w:val="18"/>
          <w:szCs w:val="18"/>
          <w:lang w:val="en-US" w:eastAsia="en-GB"/>
        </w:rPr>
      </w:pPr>
      <w:r w:rsidRPr="00BC2523">
        <w:rPr>
          <w:rFonts w:ascii="Arial" w:eastAsia="Ottawa" w:hAnsi="Arial" w:cs="Arial"/>
          <w:spacing w:val="4"/>
          <w:sz w:val="18"/>
          <w:szCs w:val="18"/>
          <w:lang w:val="en-US" w:eastAsia="en-GB"/>
        </w:rPr>
        <w:t>‒</w:t>
      </w:r>
      <w:r w:rsidRPr="00BC2523">
        <w:rPr>
          <w:rFonts w:ascii="Arial" w:eastAsia="Ottawa" w:hAnsi="Arial" w:cs="Arial"/>
          <w:spacing w:val="4"/>
          <w:sz w:val="18"/>
          <w:szCs w:val="18"/>
          <w:lang w:val="en-US" w:eastAsia="en-GB"/>
        </w:rPr>
        <w:tab/>
        <w:t>Infection with white spot syndrome virus</w:t>
      </w:r>
    </w:p>
    <w:p w14:paraId="6A223FFA" w14:textId="77777777" w:rsidR="0094086E" w:rsidRPr="00BC2523" w:rsidRDefault="0094086E" w:rsidP="0094086E">
      <w:pPr>
        <w:spacing w:after="240"/>
        <w:ind w:left="426" w:hanging="426"/>
        <w:rPr>
          <w:rFonts w:ascii="Arial" w:eastAsia="Ottawa" w:hAnsi="Arial" w:cs="Arial"/>
          <w:spacing w:val="4"/>
          <w:sz w:val="18"/>
          <w:szCs w:val="18"/>
          <w:lang w:val="en-US" w:eastAsia="en-GB"/>
        </w:rPr>
      </w:pPr>
      <w:r w:rsidRPr="00BC2523">
        <w:rPr>
          <w:rFonts w:ascii="Arial" w:eastAsia="Ottawa" w:hAnsi="Arial" w:cs="Arial"/>
          <w:spacing w:val="4"/>
          <w:sz w:val="18"/>
          <w:szCs w:val="18"/>
          <w:lang w:val="en-US" w:eastAsia="en-GB"/>
        </w:rPr>
        <w:t>‒</w:t>
      </w:r>
      <w:r w:rsidRPr="00BC2523">
        <w:rPr>
          <w:rFonts w:ascii="Arial" w:eastAsia="Ottawa" w:hAnsi="Arial" w:cs="Arial"/>
          <w:spacing w:val="4"/>
          <w:sz w:val="18"/>
          <w:szCs w:val="18"/>
          <w:lang w:val="en-US" w:eastAsia="en-GB"/>
        </w:rPr>
        <w:tab/>
        <w:t>Infection with yellow head virus genotype 1.</w:t>
      </w:r>
    </w:p>
    <w:p w14:paraId="205E4614" w14:textId="78D28D37" w:rsidR="00E356C7" w:rsidRDefault="00BC2523" w:rsidP="00E356C7">
      <w:pPr>
        <w:spacing w:after="240" w:line="240" w:lineRule="auto"/>
        <w:jc w:val="center"/>
        <w:rPr>
          <w:rFonts w:ascii="Arial" w:eastAsia="MS Mincho" w:hAnsi="Arial" w:cs="Arial"/>
          <w:kern w:val="2"/>
          <w:sz w:val="18"/>
          <w:szCs w:val="18"/>
        </w:rPr>
      </w:pPr>
      <w:r w:rsidRPr="00BC2523">
        <w:rPr>
          <w:rFonts w:ascii="Arial" w:eastAsia="MS Mincho" w:hAnsi="Arial" w:cs="Arial"/>
          <w:kern w:val="2"/>
          <w:sz w:val="18"/>
          <w:szCs w:val="18"/>
        </w:rPr>
        <w:t>____________________________</w:t>
      </w:r>
      <w:bookmarkStart w:id="65" w:name="_Annex_4"/>
      <w:bookmarkStart w:id="66" w:name="_Annex_5"/>
      <w:bookmarkEnd w:id="65"/>
      <w:bookmarkEnd w:id="66"/>
    </w:p>
    <w:p w14:paraId="295B8BF4" w14:textId="77777777" w:rsidR="00796F38" w:rsidRDefault="00796F38" w:rsidP="00E356C7">
      <w:pPr>
        <w:pStyle w:val="Titre4"/>
        <w:spacing w:before="0" w:after="480" w:line="240" w:lineRule="auto"/>
        <w:ind w:left="720"/>
        <w:jc w:val="right"/>
        <w:rPr>
          <w:rFonts w:ascii="Times New Roman" w:hAnsi="Times New Roman" w:cs="Times New Roman"/>
          <w:i w:val="0"/>
          <w:iCs w:val="0"/>
          <w:color w:val="auto"/>
          <w:u w:val="single"/>
          <w:lang w:val="en-US"/>
        </w:rPr>
        <w:sectPr w:rsidR="00796F38">
          <w:headerReference w:type="even" r:id="rId46"/>
          <w:headerReference w:type="default" r:id="rId47"/>
          <w:footerReference w:type="even" r:id="rId48"/>
          <w:footerReference w:type="default" r:id="rId49"/>
          <w:headerReference w:type="first" r:id="rId50"/>
          <w:pgSz w:w="11906" w:h="16838"/>
          <w:pgMar w:top="1440" w:right="1440" w:bottom="1440" w:left="1440" w:header="708" w:footer="708" w:gutter="0"/>
          <w:cols w:space="708"/>
          <w:docGrid w:linePitch="360"/>
        </w:sectPr>
      </w:pPr>
    </w:p>
    <w:p w14:paraId="2EF9EAFA" w14:textId="2B9C61AA" w:rsidR="0094086E" w:rsidRPr="00E356C7" w:rsidRDefault="00E356C7" w:rsidP="00E356C7">
      <w:pPr>
        <w:pStyle w:val="Titre4"/>
        <w:spacing w:before="0" w:after="480" w:line="240" w:lineRule="auto"/>
        <w:ind w:left="720"/>
        <w:jc w:val="right"/>
        <w:rPr>
          <w:rFonts w:ascii="Times New Roman" w:hAnsi="Times New Roman" w:cs="Times New Roman"/>
          <w:i w:val="0"/>
          <w:color w:val="auto"/>
          <w:u w:val="single"/>
          <w:lang w:val="en-US"/>
        </w:rPr>
      </w:pPr>
      <w:r w:rsidRPr="00E356C7">
        <w:rPr>
          <w:rFonts w:ascii="Times New Roman" w:hAnsi="Times New Roman" w:cs="Times New Roman"/>
          <w:i w:val="0"/>
          <w:iCs w:val="0"/>
          <w:color w:val="auto"/>
          <w:u w:val="single"/>
          <w:lang w:val="en-US"/>
        </w:rPr>
        <w:lastRenderedPageBreak/>
        <w:t>Ann</w:t>
      </w:r>
      <w:r w:rsidR="0094086E" w:rsidRPr="00E356C7">
        <w:rPr>
          <w:rFonts w:ascii="Times New Roman" w:hAnsi="Times New Roman" w:cs="Times New Roman"/>
          <w:i w:val="0"/>
          <w:iCs w:val="0"/>
          <w:color w:val="auto"/>
          <w:u w:val="single"/>
          <w:lang w:val="en-US"/>
        </w:rPr>
        <w:t>ex</w:t>
      </w:r>
      <w:r w:rsidR="0094086E" w:rsidRPr="00E356C7">
        <w:rPr>
          <w:rFonts w:ascii="Times New Roman" w:hAnsi="Times New Roman" w:cs="Times New Roman"/>
          <w:i w:val="0"/>
          <w:color w:val="auto"/>
          <w:u w:val="single"/>
          <w:lang w:val="en-US"/>
        </w:rPr>
        <w:t xml:space="preserve"> </w:t>
      </w:r>
      <w:r w:rsidR="00FC6CE0" w:rsidRPr="00E356C7">
        <w:rPr>
          <w:rFonts w:ascii="Times New Roman" w:hAnsi="Times New Roman" w:cs="Times New Roman"/>
          <w:i w:val="0"/>
          <w:color w:val="auto"/>
          <w:u w:val="single"/>
          <w:lang w:val="en-US"/>
        </w:rPr>
        <w:t>4</w:t>
      </w:r>
    </w:p>
    <w:p w14:paraId="6D0E9D29" w14:textId="77777777" w:rsidR="0094086E" w:rsidRPr="00317C83" w:rsidRDefault="0094086E" w:rsidP="0094086E">
      <w:pPr>
        <w:spacing w:after="480" w:line="240" w:lineRule="auto"/>
        <w:jc w:val="center"/>
        <w:rPr>
          <w:rFonts w:ascii="Ottawa" w:eastAsia="Ottawa" w:hAnsi="Ottawa" w:cs="Arial"/>
          <w:b/>
          <w:caps/>
          <w:spacing w:val="4"/>
          <w:sz w:val="28"/>
          <w:szCs w:val="28"/>
          <w:lang w:eastAsia="en-GB"/>
        </w:rPr>
      </w:pPr>
      <w:r w:rsidRPr="00317C83">
        <w:rPr>
          <w:rFonts w:ascii="Ottawa" w:eastAsia="Ottawa" w:hAnsi="Ottawa" w:cs="Arial"/>
          <w:b/>
          <w:spacing w:val="4"/>
          <w:sz w:val="28"/>
          <w:szCs w:val="28"/>
          <w:lang w:val="en-US" w:eastAsia="en-GB"/>
        </w:rPr>
        <w:t xml:space="preserve">Model Article 10.X.13. </w:t>
      </w:r>
      <w:r w:rsidRPr="00317C83">
        <w:rPr>
          <w:rFonts w:ascii="Ottawa" w:eastAsia="Ottawa" w:hAnsi="Ottawa" w:cs="Arial"/>
          <w:b/>
          <w:spacing w:val="4"/>
          <w:sz w:val="28"/>
          <w:szCs w:val="28"/>
          <w:lang w:eastAsia="en-GB"/>
        </w:rPr>
        <w:t>for the fish disease-specific Chapters 10.5,</w:t>
      </w:r>
      <w:r>
        <w:rPr>
          <w:rFonts w:ascii="Ottawa" w:eastAsia="Ottawa" w:hAnsi="Ottawa" w:cs="Arial"/>
          <w:b/>
          <w:spacing w:val="4"/>
          <w:sz w:val="28"/>
          <w:szCs w:val="28"/>
          <w:lang w:eastAsia="en-GB"/>
        </w:rPr>
        <w:br/>
      </w:r>
      <w:r w:rsidRPr="00317C83">
        <w:rPr>
          <w:rFonts w:ascii="Ottawa" w:eastAsia="Ottawa" w:hAnsi="Ottawa" w:cs="Arial"/>
          <w:b/>
          <w:spacing w:val="4"/>
          <w:sz w:val="28"/>
          <w:szCs w:val="28"/>
          <w:lang w:eastAsia="en-GB"/>
        </w:rPr>
        <w:t>10.6. and 10.10. (</w:t>
      </w:r>
      <w:r w:rsidRPr="00317C83">
        <w:rPr>
          <w:rFonts w:ascii="Ottawa" w:eastAsia="Ottawa" w:hAnsi="Ottawa" w:cs="Arial"/>
          <w:b/>
          <w:spacing w:val="4"/>
          <w:sz w:val="28"/>
          <w:szCs w:val="28"/>
          <w:u w:val="double"/>
          <w:lang w:eastAsia="en-GB"/>
        </w:rPr>
        <w:t>and</w:t>
      </w:r>
      <w:r w:rsidRPr="00317C83">
        <w:rPr>
          <w:rFonts w:ascii="Ottawa" w:eastAsia="Ottawa" w:hAnsi="Ottawa" w:cs="Arial"/>
          <w:b/>
          <w:spacing w:val="4"/>
          <w:sz w:val="28"/>
          <w:szCs w:val="28"/>
          <w:lang w:eastAsia="en-GB"/>
        </w:rPr>
        <w:t xml:space="preserve"> Article 10.4.17. for</w:t>
      </w:r>
      <w:r w:rsidRPr="00317C83">
        <w:rPr>
          <w:rFonts w:ascii="Ottawa" w:eastAsia="Ottawa" w:hAnsi="Ottawa" w:cs="Arial"/>
          <w:b/>
          <w:spacing w:val="4"/>
          <w:sz w:val="28"/>
          <w:szCs w:val="28"/>
          <w:lang w:eastAsia="en-GB"/>
        </w:rPr>
        <w:br/>
      </w:r>
      <w:r w:rsidRPr="00317C83">
        <w:rPr>
          <w:rFonts w:ascii="Ottawa" w:eastAsia="Ottawa" w:hAnsi="Ottawa" w:cs="Arial"/>
          <w:b/>
          <w:spacing w:val="4"/>
          <w:sz w:val="28"/>
          <w:szCs w:val="28"/>
          <w:u w:val="double"/>
          <w:lang w:eastAsia="en-GB"/>
        </w:rPr>
        <w:t>Chapter 10.4.</w:t>
      </w:r>
      <w:r>
        <w:rPr>
          <w:rFonts w:ascii="Ottawa" w:eastAsia="Ottawa" w:hAnsi="Ottawa" w:cs="Arial"/>
          <w:b/>
          <w:spacing w:val="4"/>
          <w:sz w:val="28"/>
          <w:szCs w:val="28"/>
          <w:u w:val="double"/>
          <w:lang w:eastAsia="en-GB"/>
        </w:rPr>
        <w:t xml:space="preserve"> </w:t>
      </w:r>
      <w:r w:rsidRPr="00317C83">
        <w:rPr>
          <w:rFonts w:ascii="Ottawa" w:eastAsia="Ottawa" w:hAnsi="Ottawa" w:cs="Arial"/>
          <w:b/>
          <w:spacing w:val="4"/>
          <w:sz w:val="28"/>
          <w:szCs w:val="28"/>
          <w:u w:val="double"/>
          <w:lang w:eastAsia="en-GB"/>
        </w:rPr>
        <w:t>I</w:t>
      </w:r>
      <w:r w:rsidRPr="00317C83">
        <w:rPr>
          <w:rFonts w:ascii="Ottawa" w:eastAsia="Ottawa" w:hAnsi="Ottawa" w:cs="Arial"/>
          <w:b/>
          <w:spacing w:val="4"/>
          <w:sz w:val="28"/>
          <w:szCs w:val="28"/>
          <w:lang w:eastAsia="en-GB"/>
        </w:rPr>
        <w:t>nfection with infectious</w:t>
      </w:r>
      <w:r w:rsidRPr="00317C83">
        <w:rPr>
          <w:rFonts w:ascii="Ottawa" w:eastAsia="Ottawa" w:hAnsi="Ottawa" w:cs="Arial"/>
          <w:b/>
          <w:spacing w:val="4"/>
          <w:sz w:val="28"/>
          <w:szCs w:val="28"/>
          <w:lang w:eastAsia="en-GB"/>
        </w:rPr>
        <w:br/>
        <w:t>salmon anaemia virus)</w:t>
      </w:r>
    </w:p>
    <w:p w14:paraId="64B0227B" w14:textId="77777777" w:rsidR="0094086E" w:rsidRPr="009623A4" w:rsidRDefault="0094086E" w:rsidP="0094086E">
      <w:pPr>
        <w:spacing w:after="240" w:line="240" w:lineRule="auto"/>
        <w:jc w:val="center"/>
        <w:rPr>
          <w:rFonts w:ascii="Ottawa" w:hAnsi="Ottawa" w:cs="Arial"/>
          <w:sz w:val="18"/>
          <w:szCs w:val="18"/>
          <w:lang w:val="en"/>
        </w:rPr>
      </w:pPr>
      <w:r w:rsidRPr="009623A4">
        <w:rPr>
          <w:rFonts w:ascii="Ottawa" w:eastAsia="Ottawa" w:hAnsi="Ottawa" w:cs="Arial"/>
          <w:spacing w:val="4"/>
          <w:sz w:val="18"/>
          <w:szCs w:val="18"/>
          <w:lang w:val="en-US" w:eastAsia="en-GB"/>
        </w:rPr>
        <w:t xml:space="preserve"> […]</w:t>
      </w:r>
    </w:p>
    <w:p w14:paraId="5427BACC" w14:textId="77777777" w:rsidR="0094086E" w:rsidRPr="00D403F5" w:rsidRDefault="0094086E" w:rsidP="0094086E">
      <w:pPr>
        <w:spacing w:after="240" w:line="240" w:lineRule="auto"/>
        <w:jc w:val="center"/>
        <w:rPr>
          <w:rFonts w:ascii="Ottawa" w:hAnsi="Ottawa" w:cs="Arial"/>
          <w:sz w:val="18"/>
          <w:szCs w:val="18"/>
          <w:lang w:val="en"/>
        </w:rPr>
      </w:pPr>
      <w:r w:rsidRPr="00D403F5">
        <w:rPr>
          <w:rFonts w:ascii="Ottawa" w:hAnsi="Ottawa" w:cs="Arial"/>
          <w:sz w:val="18"/>
          <w:szCs w:val="18"/>
          <w:lang w:val="en"/>
        </w:rPr>
        <w:t>Article 10.X.13.</w:t>
      </w:r>
    </w:p>
    <w:p w14:paraId="13361674" w14:textId="77777777" w:rsidR="0094086E" w:rsidRPr="00A958DA" w:rsidRDefault="0094086E" w:rsidP="0094086E">
      <w:pPr>
        <w:spacing w:after="240" w:line="240" w:lineRule="auto"/>
        <w:jc w:val="both"/>
        <w:rPr>
          <w:rFonts w:ascii="Ottawa" w:hAnsi="Ottawa" w:cs="Arial"/>
          <w:b/>
          <w:sz w:val="18"/>
          <w:szCs w:val="18"/>
          <w:lang w:val="en"/>
        </w:rPr>
      </w:pPr>
      <w:r w:rsidRPr="00D403F5">
        <w:rPr>
          <w:rFonts w:ascii="Ottawa" w:hAnsi="Ottawa" w:cs="Arial"/>
          <w:b/>
          <w:sz w:val="18"/>
          <w:szCs w:val="18"/>
          <w:lang w:val="en"/>
        </w:rPr>
        <w:t xml:space="preserve">Importation of disinfected eggs for aquaculture from a country, zone or compartment not declared free from infection with </w:t>
      </w:r>
      <w:r w:rsidRPr="00A958DA">
        <w:rPr>
          <w:rFonts w:ascii="Ottawa" w:hAnsi="Ottawa" w:cs="Arial"/>
          <w:b/>
          <w:sz w:val="18"/>
          <w:szCs w:val="18"/>
          <w:u w:val="double"/>
          <w:lang w:val="en"/>
        </w:rPr>
        <w:t>[</w:t>
      </w:r>
      <w:r w:rsidRPr="00A958DA">
        <w:rPr>
          <w:rFonts w:ascii="Ottawa" w:hAnsi="Ottawa" w:cs="Arial"/>
          <w:b/>
          <w:sz w:val="18"/>
          <w:szCs w:val="18"/>
          <w:lang w:val="en"/>
        </w:rPr>
        <w:t>pathogenic agent X</w:t>
      </w:r>
      <w:r w:rsidRPr="00A958DA">
        <w:rPr>
          <w:rFonts w:ascii="Ottawa" w:hAnsi="Ottawa" w:cs="Arial"/>
          <w:b/>
          <w:sz w:val="18"/>
          <w:szCs w:val="18"/>
          <w:u w:val="double"/>
          <w:lang w:val="en"/>
        </w:rPr>
        <w:t>]</w:t>
      </w:r>
    </w:p>
    <w:p w14:paraId="1D081AA9" w14:textId="77777777" w:rsidR="0094086E" w:rsidRPr="00511F3F" w:rsidRDefault="0094086E" w:rsidP="0094086E">
      <w:pPr>
        <w:spacing w:after="240" w:line="240" w:lineRule="auto"/>
        <w:ind w:left="426" w:hanging="426"/>
        <w:jc w:val="both"/>
        <w:rPr>
          <w:rFonts w:ascii="Arial" w:hAnsi="Arial" w:cs="Arial"/>
          <w:sz w:val="18"/>
          <w:szCs w:val="18"/>
          <w:lang w:val="en"/>
        </w:rPr>
      </w:pPr>
      <w:r w:rsidRPr="00A958DA">
        <w:rPr>
          <w:rFonts w:ascii="Arial" w:hAnsi="Arial" w:cs="Arial"/>
          <w:sz w:val="18"/>
          <w:szCs w:val="18"/>
          <w:lang w:val="en"/>
        </w:rPr>
        <w:t>1)</w:t>
      </w:r>
      <w:r w:rsidRPr="00A958DA">
        <w:rPr>
          <w:rFonts w:ascii="Arial" w:hAnsi="Arial" w:cs="Arial"/>
          <w:sz w:val="18"/>
          <w:szCs w:val="18"/>
          <w:lang w:val="en"/>
        </w:rPr>
        <w:tab/>
        <w:t xml:space="preserve">When importing disinfected eggs of the species referred to in Article 10.X.2. for </w:t>
      </w:r>
      <w:r w:rsidRPr="00A958DA">
        <w:rPr>
          <w:rFonts w:ascii="Arial" w:hAnsi="Arial" w:cs="Arial"/>
          <w:i/>
          <w:iCs/>
          <w:sz w:val="18"/>
          <w:szCs w:val="18"/>
          <w:lang w:val="en"/>
        </w:rPr>
        <w:t>aquaculture</w:t>
      </w:r>
      <w:r w:rsidRPr="00A958DA">
        <w:rPr>
          <w:rFonts w:ascii="Arial" w:hAnsi="Arial" w:cs="Arial"/>
          <w:sz w:val="18"/>
          <w:szCs w:val="18"/>
          <w:lang w:val="en"/>
        </w:rPr>
        <w:t xml:space="preserve">, from a country, </w:t>
      </w:r>
      <w:r w:rsidRPr="00A958DA">
        <w:rPr>
          <w:rFonts w:ascii="Arial" w:hAnsi="Arial" w:cs="Arial"/>
          <w:i/>
          <w:iCs/>
          <w:sz w:val="18"/>
          <w:szCs w:val="18"/>
          <w:lang w:val="en"/>
        </w:rPr>
        <w:t>zone</w:t>
      </w:r>
      <w:r w:rsidRPr="00A958DA">
        <w:rPr>
          <w:rFonts w:ascii="Arial" w:hAnsi="Arial" w:cs="Arial"/>
          <w:sz w:val="18"/>
          <w:szCs w:val="18"/>
          <w:lang w:val="en"/>
        </w:rPr>
        <w:t xml:space="preserve"> or </w:t>
      </w:r>
      <w:r w:rsidRPr="00A958DA">
        <w:rPr>
          <w:rFonts w:ascii="Arial" w:hAnsi="Arial" w:cs="Arial"/>
          <w:i/>
          <w:iCs/>
          <w:sz w:val="18"/>
          <w:szCs w:val="18"/>
          <w:lang w:val="en"/>
        </w:rPr>
        <w:t>compartment</w:t>
      </w:r>
      <w:r w:rsidRPr="00A958DA">
        <w:rPr>
          <w:rFonts w:ascii="Arial" w:hAnsi="Arial" w:cs="Arial"/>
          <w:sz w:val="18"/>
          <w:szCs w:val="18"/>
          <w:lang w:val="en"/>
        </w:rPr>
        <w:t xml:space="preserve"> not declared free from infection with </w:t>
      </w:r>
      <w:r w:rsidRPr="00A958DA">
        <w:rPr>
          <w:rFonts w:ascii="Arial" w:hAnsi="Arial" w:cs="Arial"/>
          <w:sz w:val="18"/>
          <w:szCs w:val="18"/>
          <w:u w:val="double"/>
          <w:lang w:val="en"/>
        </w:rPr>
        <w:t>[pathogenic agent</w:t>
      </w:r>
      <w:r w:rsidRPr="00511F3F">
        <w:rPr>
          <w:rFonts w:ascii="Arial" w:hAnsi="Arial" w:cs="Arial"/>
          <w:sz w:val="18"/>
          <w:szCs w:val="18"/>
          <w:u w:val="double"/>
          <w:lang w:val="en"/>
        </w:rPr>
        <w:t xml:space="preserve"> X]</w:t>
      </w:r>
      <w:r w:rsidRPr="00511F3F">
        <w:rPr>
          <w:rFonts w:ascii="Arial" w:hAnsi="Arial" w:cs="Arial"/>
          <w:sz w:val="18"/>
          <w:szCs w:val="18"/>
          <w:lang w:val="en"/>
        </w:rPr>
        <w:t xml:space="preserve">, the </w:t>
      </w:r>
      <w:r w:rsidRPr="00511F3F">
        <w:rPr>
          <w:rFonts w:ascii="Arial" w:hAnsi="Arial" w:cs="Arial"/>
          <w:i/>
          <w:iCs/>
          <w:sz w:val="18"/>
          <w:szCs w:val="18"/>
          <w:lang w:val="en"/>
        </w:rPr>
        <w:t>Competent Authority</w:t>
      </w:r>
      <w:r w:rsidRPr="00511F3F">
        <w:rPr>
          <w:rFonts w:ascii="Arial" w:hAnsi="Arial" w:cs="Arial"/>
          <w:sz w:val="18"/>
          <w:szCs w:val="18"/>
          <w:lang w:val="en"/>
        </w:rPr>
        <w:t xml:space="preserve"> of the </w:t>
      </w:r>
      <w:r w:rsidRPr="00511F3F">
        <w:rPr>
          <w:rFonts w:ascii="Arial" w:hAnsi="Arial" w:cs="Arial"/>
          <w:i/>
          <w:iCs/>
          <w:sz w:val="18"/>
          <w:szCs w:val="18"/>
          <w:lang w:val="en"/>
        </w:rPr>
        <w:t>importing country</w:t>
      </w:r>
      <w:r w:rsidRPr="00511F3F">
        <w:rPr>
          <w:rFonts w:ascii="Arial" w:hAnsi="Arial" w:cs="Arial"/>
          <w:sz w:val="18"/>
          <w:szCs w:val="18"/>
          <w:lang w:val="en"/>
        </w:rPr>
        <w:t xml:space="preserve"> should assess </w:t>
      </w:r>
      <w:r w:rsidRPr="005B542B">
        <w:rPr>
          <w:rFonts w:ascii="Arial" w:hAnsi="Arial" w:cs="Arial"/>
          <w:sz w:val="18"/>
          <w:szCs w:val="18"/>
          <w:highlight w:val="yellow"/>
          <w:u w:val="double"/>
          <w:lang w:val="en"/>
        </w:rPr>
        <w:t>in accordance with Chapter 4.4.</w:t>
      </w:r>
      <w:r w:rsidRPr="00511F3F">
        <w:rPr>
          <w:rFonts w:ascii="Arial" w:hAnsi="Arial" w:cs="Arial"/>
          <w:strike/>
          <w:sz w:val="18"/>
          <w:szCs w:val="18"/>
          <w:lang w:val="en"/>
        </w:rPr>
        <w:t xml:space="preserve">the </w:t>
      </w:r>
      <w:r w:rsidRPr="00511F3F">
        <w:rPr>
          <w:rFonts w:ascii="Arial" w:hAnsi="Arial" w:cs="Arial"/>
          <w:i/>
          <w:iCs/>
          <w:strike/>
          <w:sz w:val="18"/>
          <w:szCs w:val="18"/>
          <w:lang w:val="en"/>
        </w:rPr>
        <w:t>risk</w:t>
      </w:r>
      <w:r w:rsidRPr="00511F3F">
        <w:rPr>
          <w:rFonts w:ascii="Arial" w:hAnsi="Arial" w:cs="Arial"/>
          <w:strike/>
          <w:sz w:val="18"/>
          <w:szCs w:val="18"/>
          <w:lang w:val="en"/>
        </w:rPr>
        <w:t xml:space="preserve"> associated with</w:t>
      </w:r>
      <w:r w:rsidRPr="00511F3F">
        <w:rPr>
          <w:rFonts w:ascii="Arial" w:hAnsi="Arial" w:cs="Arial"/>
          <w:sz w:val="18"/>
          <w:szCs w:val="18"/>
          <w:lang w:val="en"/>
        </w:rPr>
        <w:t xml:space="preserve"> at least </w:t>
      </w:r>
      <w:r w:rsidRPr="00511F3F">
        <w:rPr>
          <w:rFonts w:ascii="Arial" w:hAnsi="Arial" w:cs="Arial"/>
          <w:sz w:val="18"/>
          <w:szCs w:val="18"/>
          <w:u w:val="double"/>
          <w:lang w:val="en"/>
        </w:rPr>
        <w:t>the following</w:t>
      </w:r>
      <w:r w:rsidRPr="00511F3F">
        <w:rPr>
          <w:rFonts w:ascii="Arial" w:hAnsi="Arial" w:cs="Arial"/>
          <w:sz w:val="18"/>
          <w:szCs w:val="18"/>
          <w:lang w:val="en"/>
        </w:rPr>
        <w:t>:</w:t>
      </w:r>
    </w:p>
    <w:p w14:paraId="5AF399EA" w14:textId="77777777" w:rsidR="0094086E" w:rsidRPr="00511F3F" w:rsidRDefault="0094086E" w:rsidP="0094086E">
      <w:pPr>
        <w:spacing w:after="240" w:line="240" w:lineRule="auto"/>
        <w:ind w:left="851" w:hanging="425"/>
        <w:jc w:val="both"/>
        <w:rPr>
          <w:rFonts w:ascii="Arial" w:hAnsi="Arial" w:cs="Arial"/>
          <w:sz w:val="18"/>
          <w:szCs w:val="18"/>
          <w:lang w:val="en"/>
        </w:rPr>
      </w:pPr>
      <w:r w:rsidRPr="00511F3F">
        <w:rPr>
          <w:rFonts w:ascii="Arial" w:hAnsi="Arial" w:cs="Arial"/>
          <w:i/>
          <w:sz w:val="18"/>
          <w:szCs w:val="18"/>
          <w:lang w:val="en"/>
        </w:rPr>
        <w:t>a)</w:t>
      </w:r>
      <w:r w:rsidRPr="00511F3F">
        <w:rPr>
          <w:rFonts w:ascii="Arial" w:hAnsi="Arial" w:cs="Arial"/>
          <w:sz w:val="18"/>
          <w:szCs w:val="18"/>
          <w:lang w:val="en"/>
        </w:rPr>
        <w:tab/>
        <w:t xml:space="preserve">the </w:t>
      </w:r>
      <w:r w:rsidRPr="00511F3F">
        <w:rPr>
          <w:rFonts w:ascii="Arial" w:hAnsi="Arial" w:cs="Arial"/>
          <w:strike/>
          <w:sz w:val="18"/>
          <w:szCs w:val="18"/>
          <w:lang w:val="en"/>
        </w:rPr>
        <w:t>infection with pathogenic agent X</w:t>
      </w:r>
      <w:r w:rsidRPr="00511F3F">
        <w:rPr>
          <w:rFonts w:ascii="Arial" w:hAnsi="Arial" w:cs="Arial"/>
          <w:sz w:val="18"/>
          <w:szCs w:val="18"/>
          <w:lang w:val="en"/>
        </w:rPr>
        <w:t xml:space="preserve"> </w:t>
      </w:r>
      <w:r w:rsidRPr="00511F3F">
        <w:rPr>
          <w:rFonts w:ascii="Arial" w:hAnsi="Arial" w:cs="Arial"/>
          <w:sz w:val="18"/>
          <w:szCs w:val="18"/>
          <w:u w:val="double"/>
          <w:lang w:val="en"/>
        </w:rPr>
        <w:t>likelihood that</w:t>
      </w:r>
      <w:r w:rsidRPr="00511F3F">
        <w:rPr>
          <w:rFonts w:ascii="Arial" w:hAnsi="Arial" w:cs="Arial"/>
          <w:sz w:val="18"/>
          <w:szCs w:val="18"/>
          <w:lang w:val="en"/>
        </w:rPr>
        <w:t xml:space="preserve"> </w:t>
      </w:r>
      <w:r w:rsidRPr="00511F3F">
        <w:rPr>
          <w:rFonts w:ascii="Arial" w:hAnsi="Arial" w:cs="Arial"/>
          <w:strike/>
          <w:sz w:val="18"/>
          <w:szCs w:val="18"/>
          <w:lang w:val="en"/>
        </w:rPr>
        <w:t>status of the</w:t>
      </w:r>
      <w:r w:rsidRPr="00511F3F">
        <w:rPr>
          <w:rFonts w:ascii="Arial" w:hAnsi="Arial" w:cs="Arial"/>
          <w:sz w:val="18"/>
          <w:szCs w:val="18"/>
          <w:lang w:val="en"/>
        </w:rPr>
        <w:t xml:space="preserve"> water </w:t>
      </w:r>
      <w:r w:rsidRPr="00511F3F">
        <w:rPr>
          <w:rFonts w:ascii="Arial" w:hAnsi="Arial" w:cs="Arial"/>
          <w:strike/>
          <w:sz w:val="18"/>
          <w:szCs w:val="18"/>
          <w:lang w:val="en"/>
        </w:rPr>
        <w:t>to be</w:t>
      </w:r>
      <w:r w:rsidRPr="00511F3F">
        <w:rPr>
          <w:rFonts w:ascii="Arial" w:hAnsi="Arial" w:cs="Arial"/>
          <w:sz w:val="18"/>
          <w:szCs w:val="18"/>
          <w:lang w:val="en"/>
        </w:rPr>
        <w:t xml:space="preserve"> used during the </w:t>
      </w:r>
      <w:r w:rsidRPr="00511F3F">
        <w:rPr>
          <w:rFonts w:ascii="Arial" w:hAnsi="Arial" w:cs="Arial"/>
          <w:i/>
          <w:iCs/>
          <w:sz w:val="18"/>
          <w:szCs w:val="18"/>
          <w:lang w:val="en"/>
        </w:rPr>
        <w:t>disinfection</w:t>
      </w:r>
      <w:r w:rsidRPr="00511F3F">
        <w:rPr>
          <w:rFonts w:ascii="Arial" w:hAnsi="Arial" w:cs="Arial"/>
          <w:sz w:val="18"/>
          <w:szCs w:val="18"/>
          <w:lang w:val="en"/>
        </w:rPr>
        <w:t xml:space="preserve"> of the eggs </w:t>
      </w:r>
      <w:r w:rsidRPr="00511F3F">
        <w:rPr>
          <w:rFonts w:ascii="Arial" w:hAnsi="Arial" w:cs="Arial"/>
          <w:sz w:val="18"/>
          <w:szCs w:val="18"/>
          <w:u w:val="double"/>
          <w:lang w:val="en"/>
        </w:rPr>
        <w:t>is contaminated with [pathogenic agent X]</w:t>
      </w:r>
      <w:r w:rsidRPr="00511F3F">
        <w:rPr>
          <w:rFonts w:ascii="Arial" w:hAnsi="Arial" w:cs="Arial"/>
          <w:sz w:val="18"/>
          <w:szCs w:val="18"/>
          <w:lang w:val="en"/>
        </w:rPr>
        <w:t>;</w:t>
      </w:r>
    </w:p>
    <w:p w14:paraId="4E647BA6" w14:textId="77777777" w:rsidR="0094086E" w:rsidRPr="00511F3F" w:rsidRDefault="0094086E" w:rsidP="0094086E">
      <w:pPr>
        <w:spacing w:after="240" w:line="240" w:lineRule="auto"/>
        <w:ind w:left="851" w:hanging="425"/>
        <w:jc w:val="both"/>
        <w:rPr>
          <w:rFonts w:ascii="Arial" w:hAnsi="Arial" w:cs="Arial"/>
          <w:sz w:val="18"/>
          <w:szCs w:val="18"/>
          <w:lang w:val="en"/>
        </w:rPr>
      </w:pPr>
      <w:r w:rsidRPr="00511F3F">
        <w:rPr>
          <w:rFonts w:ascii="Arial" w:hAnsi="Arial" w:cs="Arial"/>
          <w:i/>
          <w:sz w:val="18"/>
          <w:szCs w:val="18"/>
          <w:lang w:val="en"/>
        </w:rPr>
        <w:t>b)</w:t>
      </w:r>
      <w:r w:rsidRPr="00511F3F">
        <w:rPr>
          <w:rFonts w:ascii="Arial" w:hAnsi="Arial" w:cs="Arial"/>
          <w:sz w:val="18"/>
          <w:szCs w:val="18"/>
          <w:lang w:val="en"/>
        </w:rPr>
        <w:tab/>
        <w:t xml:space="preserve">the prevalence of infection with </w:t>
      </w:r>
      <w:r w:rsidRPr="00511F3F">
        <w:rPr>
          <w:rFonts w:ascii="Arial" w:hAnsi="Arial" w:cs="Arial"/>
          <w:sz w:val="18"/>
          <w:szCs w:val="18"/>
          <w:u w:val="double"/>
          <w:lang w:val="en"/>
        </w:rPr>
        <w:t>[pathogenic agent X]</w:t>
      </w:r>
      <w:r>
        <w:rPr>
          <w:rFonts w:ascii="Arial" w:hAnsi="Arial" w:cs="Arial"/>
          <w:sz w:val="18"/>
          <w:szCs w:val="18"/>
          <w:u w:val="double"/>
          <w:lang w:val="en"/>
        </w:rPr>
        <w:t xml:space="preserve"> </w:t>
      </w:r>
      <w:r w:rsidRPr="00511F3F">
        <w:rPr>
          <w:rFonts w:ascii="Arial" w:hAnsi="Arial" w:cs="Arial"/>
          <w:sz w:val="18"/>
          <w:szCs w:val="18"/>
          <w:lang w:val="en"/>
        </w:rPr>
        <w:t>in broodstock (</w:t>
      </w:r>
      <w:r w:rsidRPr="00511F3F">
        <w:rPr>
          <w:rFonts w:ascii="Arial" w:hAnsi="Arial" w:cs="Arial"/>
          <w:sz w:val="18"/>
          <w:szCs w:val="18"/>
          <w:u w:val="double"/>
          <w:lang w:val="en"/>
        </w:rPr>
        <w:t xml:space="preserve">including </w:t>
      </w:r>
      <w:r w:rsidRPr="004053E8">
        <w:rPr>
          <w:rFonts w:ascii="Arial" w:hAnsi="Arial" w:cs="Arial"/>
          <w:strike/>
          <w:sz w:val="18"/>
          <w:szCs w:val="18"/>
          <w:highlight w:val="yellow"/>
          <w:u w:val="double"/>
          <w:lang w:val="en"/>
        </w:rPr>
        <w:t>by</w:t>
      </w:r>
      <w:r w:rsidRPr="004053E8">
        <w:rPr>
          <w:rFonts w:ascii="Arial" w:hAnsi="Arial" w:cs="Arial"/>
          <w:sz w:val="18"/>
          <w:szCs w:val="18"/>
          <w:highlight w:val="yellow"/>
          <w:u w:val="double"/>
          <w:lang w:val="en"/>
        </w:rPr>
        <w:t xml:space="preserve"> results from </w:t>
      </w:r>
      <w:r w:rsidRPr="00511F3F">
        <w:rPr>
          <w:rFonts w:ascii="Arial" w:hAnsi="Arial" w:cs="Arial"/>
          <w:sz w:val="18"/>
          <w:szCs w:val="18"/>
          <w:u w:val="double"/>
          <w:lang w:val="en"/>
        </w:rPr>
        <w:t>testing of</w:t>
      </w:r>
      <w:r w:rsidRPr="00511F3F">
        <w:rPr>
          <w:rFonts w:ascii="Arial" w:hAnsi="Arial" w:cs="Arial"/>
          <w:sz w:val="18"/>
          <w:szCs w:val="18"/>
          <w:lang w:val="en"/>
        </w:rPr>
        <w:t xml:space="preserve"> ovarian fluid and milt); and</w:t>
      </w:r>
    </w:p>
    <w:p w14:paraId="7FE880BE" w14:textId="77777777" w:rsidR="0094086E" w:rsidRPr="00511F3F" w:rsidRDefault="0094086E" w:rsidP="0094086E">
      <w:pPr>
        <w:spacing w:after="240" w:line="240" w:lineRule="auto"/>
        <w:ind w:left="851" w:hanging="425"/>
        <w:jc w:val="both"/>
        <w:rPr>
          <w:rFonts w:ascii="Arial" w:hAnsi="Arial" w:cs="Arial"/>
          <w:sz w:val="18"/>
          <w:szCs w:val="18"/>
          <w:lang w:val="en"/>
        </w:rPr>
      </w:pPr>
      <w:r w:rsidRPr="00511F3F">
        <w:rPr>
          <w:rFonts w:ascii="Arial" w:hAnsi="Arial" w:cs="Arial"/>
          <w:i/>
          <w:sz w:val="18"/>
          <w:szCs w:val="18"/>
          <w:lang w:val="en"/>
        </w:rPr>
        <w:t>c)</w:t>
      </w:r>
      <w:r w:rsidRPr="00511F3F">
        <w:rPr>
          <w:rFonts w:ascii="Arial" w:hAnsi="Arial" w:cs="Arial"/>
          <w:sz w:val="18"/>
          <w:szCs w:val="18"/>
          <w:lang w:val="en"/>
        </w:rPr>
        <w:tab/>
        <w:t xml:space="preserve">the temperature and pH of the water </w:t>
      </w:r>
      <w:r w:rsidRPr="00511F3F">
        <w:rPr>
          <w:rFonts w:ascii="Arial" w:hAnsi="Arial" w:cs="Arial"/>
          <w:strike/>
          <w:sz w:val="18"/>
          <w:szCs w:val="18"/>
          <w:lang w:val="en"/>
        </w:rPr>
        <w:t>to be</w:t>
      </w:r>
      <w:r w:rsidRPr="00511F3F">
        <w:rPr>
          <w:rFonts w:ascii="Arial" w:hAnsi="Arial" w:cs="Arial"/>
          <w:sz w:val="18"/>
          <w:szCs w:val="18"/>
          <w:lang w:val="en"/>
        </w:rPr>
        <w:t xml:space="preserve"> used for </w:t>
      </w:r>
      <w:r w:rsidRPr="00511F3F">
        <w:rPr>
          <w:rFonts w:ascii="Arial" w:hAnsi="Arial" w:cs="Arial"/>
          <w:i/>
          <w:iCs/>
          <w:sz w:val="18"/>
          <w:szCs w:val="18"/>
          <w:lang w:val="en"/>
        </w:rPr>
        <w:t>disinfection</w:t>
      </w:r>
      <w:r w:rsidRPr="00511F3F">
        <w:rPr>
          <w:rFonts w:ascii="Arial" w:hAnsi="Arial" w:cs="Arial"/>
          <w:sz w:val="18"/>
          <w:szCs w:val="18"/>
          <w:lang w:val="en"/>
        </w:rPr>
        <w:t>.</w:t>
      </w:r>
    </w:p>
    <w:p w14:paraId="159FF961" w14:textId="77777777" w:rsidR="0094086E" w:rsidRPr="00511F3F" w:rsidRDefault="0094086E" w:rsidP="0094086E">
      <w:pPr>
        <w:spacing w:after="240" w:line="240" w:lineRule="auto"/>
        <w:ind w:left="426" w:hanging="426"/>
        <w:jc w:val="both"/>
        <w:rPr>
          <w:rFonts w:ascii="Arial" w:hAnsi="Arial" w:cs="Arial"/>
          <w:sz w:val="18"/>
          <w:szCs w:val="18"/>
          <w:lang w:val="en"/>
        </w:rPr>
      </w:pPr>
      <w:r w:rsidRPr="00511F3F">
        <w:rPr>
          <w:rFonts w:ascii="Arial" w:hAnsi="Arial" w:cs="Arial"/>
          <w:sz w:val="18"/>
          <w:szCs w:val="18"/>
          <w:lang w:val="en"/>
        </w:rPr>
        <w:t>2)</w:t>
      </w:r>
      <w:r w:rsidRPr="00511F3F">
        <w:rPr>
          <w:rFonts w:ascii="Arial" w:hAnsi="Arial" w:cs="Arial"/>
          <w:sz w:val="18"/>
          <w:szCs w:val="18"/>
          <w:lang w:val="en"/>
        </w:rPr>
        <w:tab/>
        <w:t xml:space="preserve">If the </w:t>
      </w:r>
      <w:r w:rsidRPr="00511F3F">
        <w:rPr>
          <w:rFonts w:ascii="Arial" w:hAnsi="Arial" w:cs="Arial"/>
          <w:i/>
          <w:iCs/>
          <w:sz w:val="18"/>
          <w:szCs w:val="18"/>
          <w:lang w:val="en"/>
        </w:rPr>
        <w:t>Competent Authority</w:t>
      </w:r>
      <w:r w:rsidRPr="00511F3F">
        <w:rPr>
          <w:rFonts w:ascii="Arial" w:hAnsi="Arial" w:cs="Arial"/>
          <w:sz w:val="18"/>
          <w:szCs w:val="18"/>
          <w:lang w:val="en"/>
        </w:rPr>
        <w:t xml:space="preserve"> of the </w:t>
      </w:r>
      <w:r w:rsidRPr="00511F3F">
        <w:rPr>
          <w:rFonts w:ascii="Arial" w:hAnsi="Arial" w:cs="Arial"/>
          <w:i/>
          <w:iCs/>
          <w:sz w:val="18"/>
          <w:szCs w:val="18"/>
          <w:lang w:val="en"/>
        </w:rPr>
        <w:t>importing country</w:t>
      </w:r>
      <w:r w:rsidRPr="00511F3F">
        <w:rPr>
          <w:rFonts w:ascii="Arial" w:hAnsi="Arial" w:cs="Arial"/>
          <w:sz w:val="18"/>
          <w:szCs w:val="18"/>
          <w:lang w:val="en"/>
        </w:rPr>
        <w:t xml:space="preserve"> concludes that the importation is acceptable, it should </w:t>
      </w:r>
      <w:r w:rsidRPr="004053E8">
        <w:rPr>
          <w:rFonts w:ascii="Arial" w:hAnsi="Arial" w:cs="Arial"/>
          <w:sz w:val="18"/>
          <w:szCs w:val="18"/>
          <w:highlight w:val="yellow"/>
          <w:u w:val="double"/>
          <w:lang w:val="en"/>
        </w:rPr>
        <w:t>request that</w:t>
      </w:r>
      <w:r w:rsidRPr="004053E8">
        <w:rPr>
          <w:rFonts w:ascii="Arial" w:hAnsi="Arial" w:cs="Arial"/>
          <w:sz w:val="18"/>
          <w:szCs w:val="18"/>
          <w:highlight w:val="yellow"/>
          <w:lang w:val="en"/>
        </w:rPr>
        <w:t xml:space="preserve"> </w:t>
      </w:r>
      <w:r w:rsidRPr="004053E8">
        <w:rPr>
          <w:rFonts w:ascii="Arial" w:hAnsi="Arial" w:cs="Arial"/>
          <w:strike/>
          <w:sz w:val="18"/>
          <w:szCs w:val="18"/>
          <w:highlight w:val="yellow"/>
          <w:lang w:val="en"/>
        </w:rPr>
        <w:t>apply</w:t>
      </w:r>
      <w:r w:rsidRPr="004053E8">
        <w:rPr>
          <w:rFonts w:ascii="Arial" w:hAnsi="Arial" w:cs="Arial"/>
          <w:sz w:val="18"/>
          <w:szCs w:val="18"/>
          <w:highlight w:val="yellow"/>
          <w:lang w:val="en"/>
        </w:rPr>
        <w:t xml:space="preserve"> </w:t>
      </w:r>
      <w:r w:rsidRPr="00511F3F">
        <w:rPr>
          <w:rFonts w:ascii="Arial" w:hAnsi="Arial" w:cs="Arial"/>
          <w:strike/>
          <w:sz w:val="18"/>
          <w:szCs w:val="18"/>
          <w:lang w:val="en"/>
        </w:rPr>
        <w:t>the following</w:t>
      </w:r>
      <w:r w:rsidRPr="00511F3F">
        <w:rPr>
          <w:rFonts w:ascii="Arial" w:hAnsi="Arial" w:cs="Arial"/>
          <w:sz w:val="18"/>
          <w:szCs w:val="18"/>
          <w:lang w:val="en"/>
        </w:rPr>
        <w:t xml:space="preserve"> </w:t>
      </w:r>
      <w:r w:rsidRPr="00511F3F">
        <w:rPr>
          <w:rFonts w:ascii="Arial" w:hAnsi="Arial" w:cs="Arial"/>
          <w:i/>
          <w:iCs/>
          <w:sz w:val="18"/>
          <w:szCs w:val="18"/>
          <w:lang w:val="en"/>
        </w:rPr>
        <w:t>risk</w:t>
      </w:r>
      <w:r w:rsidRPr="00511F3F">
        <w:rPr>
          <w:rFonts w:ascii="Arial" w:hAnsi="Arial" w:cs="Arial"/>
          <w:sz w:val="18"/>
          <w:szCs w:val="18"/>
          <w:lang w:val="en"/>
        </w:rPr>
        <w:t xml:space="preserve"> mitigation measures </w:t>
      </w:r>
      <w:r w:rsidRPr="004053E8">
        <w:rPr>
          <w:rFonts w:ascii="Arial" w:hAnsi="Arial" w:cs="Arial"/>
          <w:sz w:val="18"/>
          <w:szCs w:val="18"/>
          <w:highlight w:val="yellow"/>
          <w:u w:val="double"/>
          <w:lang w:val="en"/>
        </w:rPr>
        <w:t>are applied,</w:t>
      </w:r>
      <w:r w:rsidRPr="004053E8">
        <w:rPr>
          <w:rFonts w:ascii="Arial" w:hAnsi="Arial" w:cs="Arial"/>
          <w:sz w:val="18"/>
          <w:szCs w:val="18"/>
          <w:highlight w:val="yellow"/>
          <w:lang w:val="en"/>
        </w:rPr>
        <w:t xml:space="preserve"> </w:t>
      </w:r>
      <w:r w:rsidRPr="00511F3F">
        <w:rPr>
          <w:rFonts w:ascii="Arial" w:hAnsi="Arial" w:cs="Arial"/>
          <w:sz w:val="18"/>
          <w:szCs w:val="18"/>
          <w:lang w:val="en"/>
        </w:rPr>
        <w:t>including:</w:t>
      </w:r>
    </w:p>
    <w:p w14:paraId="352EB78F" w14:textId="77777777" w:rsidR="0094086E" w:rsidRPr="00511F3F" w:rsidRDefault="0094086E" w:rsidP="0094086E">
      <w:pPr>
        <w:spacing w:after="240" w:line="240" w:lineRule="auto"/>
        <w:ind w:left="851" w:hanging="425"/>
        <w:jc w:val="both"/>
        <w:rPr>
          <w:rFonts w:ascii="Arial" w:hAnsi="Arial" w:cs="Arial"/>
          <w:sz w:val="18"/>
          <w:szCs w:val="18"/>
          <w:lang w:val="en"/>
        </w:rPr>
      </w:pPr>
      <w:r w:rsidRPr="00511F3F">
        <w:rPr>
          <w:rFonts w:ascii="Arial" w:hAnsi="Arial" w:cs="Arial"/>
          <w:i/>
          <w:sz w:val="18"/>
          <w:szCs w:val="18"/>
          <w:lang w:val="en"/>
        </w:rPr>
        <w:t>a)</w:t>
      </w:r>
      <w:r w:rsidRPr="00511F3F">
        <w:rPr>
          <w:rFonts w:ascii="Arial" w:hAnsi="Arial" w:cs="Arial"/>
          <w:sz w:val="18"/>
          <w:szCs w:val="18"/>
          <w:lang w:val="en"/>
        </w:rPr>
        <w:tab/>
      </w:r>
      <w:r w:rsidRPr="005B542B">
        <w:rPr>
          <w:rFonts w:ascii="Arial" w:hAnsi="Arial" w:cs="Arial"/>
          <w:i/>
          <w:iCs/>
          <w:sz w:val="18"/>
          <w:szCs w:val="18"/>
          <w:highlight w:val="yellow"/>
          <w:u w:val="double"/>
          <w:lang w:val="en"/>
        </w:rPr>
        <w:t>disinfection</w:t>
      </w:r>
      <w:r w:rsidRPr="005B542B">
        <w:rPr>
          <w:rFonts w:ascii="Arial" w:hAnsi="Arial" w:cs="Arial"/>
          <w:sz w:val="18"/>
          <w:szCs w:val="18"/>
          <w:highlight w:val="yellow"/>
          <w:u w:val="double"/>
          <w:lang w:val="en"/>
        </w:rPr>
        <w:t xml:space="preserve"> of</w:t>
      </w:r>
      <w:r>
        <w:rPr>
          <w:rFonts w:ascii="Arial" w:hAnsi="Arial" w:cs="Arial"/>
          <w:sz w:val="18"/>
          <w:szCs w:val="18"/>
          <w:lang w:val="en"/>
        </w:rPr>
        <w:t xml:space="preserve"> </w:t>
      </w:r>
      <w:r w:rsidRPr="00511F3F">
        <w:rPr>
          <w:rFonts w:ascii="Arial" w:hAnsi="Arial" w:cs="Arial"/>
          <w:sz w:val="18"/>
          <w:szCs w:val="18"/>
          <w:lang w:val="en"/>
        </w:rPr>
        <w:t xml:space="preserve">the eggs prior to importing, in accordance with recommendations in Chapter 4.4. </w:t>
      </w:r>
      <w:r w:rsidRPr="00511F3F">
        <w:rPr>
          <w:rFonts w:ascii="Arial" w:hAnsi="Arial" w:cs="Arial"/>
          <w:strike/>
          <w:sz w:val="18"/>
          <w:szCs w:val="18"/>
          <w:lang w:val="en"/>
        </w:rPr>
        <w:t xml:space="preserve">or those specified by the </w:t>
      </w:r>
      <w:r w:rsidRPr="00511F3F">
        <w:rPr>
          <w:rFonts w:ascii="Arial" w:hAnsi="Arial" w:cs="Arial"/>
          <w:i/>
          <w:iCs/>
          <w:strike/>
          <w:sz w:val="18"/>
          <w:szCs w:val="18"/>
          <w:lang w:val="en"/>
        </w:rPr>
        <w:t>Competent Authority</w:t>
      </w:r>
      <w:r w:rsidRPr="00511F3F">
        <w:rPr>
          <w:rFonts w:ascii="Arial" w:hAnsi="Arial" w:cs="Arial"/>
          <w:strike/>
          <w:sz w:val="18"/>
          <w:szCs w:val="18"/>
          <w:lang w:val="en"/>
        </w:rPr>
        <w:t xml:space="preserve"> of the </w:t>
      </w:r>
      <w:r w:rsidRPr="00511F3F">
        <w:rPr>
          <w:rFonts w:ascii="Arial" w:hAnsi="Arial" w:cs="Arial"/>
          <w:i/>
          <w:iCs/>
          <w:strike/>
          <w:sz w:val="18"/>
          <w:szCs w:val="18"/>
          <w:lang w:val="en"/>
        </w:rPr>
        <w:t>importing country</w:t>
      </w:r>
      <w:r w:rsidRPr="00511F3F">
        <w:rPr>
          <w:rFonts w:ascii="Arial" w:hAnsi="Arial" w:cs="Arial"/>
          <w:strike/>
          <w:sz w:val="18"/>
          <w:szCs w:val="18"/>
          <w:lang w:val="en"/>
        </w:rPr>
        <w:t>;</w:t>
      </w:r>
      <w:r w:rsidRPr="00511F3F">
        <w:rPr>
          <w:rFonts w:ascii="Arial" w:hAnsi="Arial" w:cs="Arial"/>
          <w:sz w:val="18"/>
          <w:szCs w:val="18"/>
          <w:lang w:val="en"/>
        </w:rPr>
        <w:t xml:space="preserve"> and</w:t>
      </w:r>
    </w:p>
    <w:p w14:paraId="5C44C110" w14:textId="77777777" w:rsidR="0094086E" w:rsidRPr="00511F3F" w:rsidRDefault="0094086E" w:rsidP="0094086E">
      <w:pPr>
        <w:spacing w:after="240" w:line="240" w:lineRule="auto"/>
        <w:ind w:left="851" w:hanging="425"/>
        <w:jc w:val="both"/>
        <w:rPr>
          <w:rFonts w:ascii="Arial" w:hAnsi="Arial" w:cs="Arial"/>
          <w:sz w:val="18"/>
          <w:szCs w:val="18"/>
          <w:lang w:val="en"/>
        </w:rPr>
      </w:pPr>
      <w:r w:rsidRPr="00511F3F">
        <w:rPr>
          <w:rFonts w:ascii="Arial" w:hAnsi="Arial" w:cs="Arial"/>
          <w:i/>
          <w:sz w:val="18"/>
          <w:szCs w:val="18"/>
          <w:lang w:val="en"/>
        </w:rPr>
        <w:t>b)</w:t>
      </w:r>
      <w:r w:rsidRPr="00511F3F">
        <w:rPr>
          <w:rFonts w:ascii="Arial" w:hAnsi="Arial" w:cs="Arial"/>
          <w:sz w:val="18"/>
          <w:szCs w:val="18"/>
          <w:lang w:val="en"/>
        </w:rPr>
        <w:tab/>
        <w:t xml:space="preserve">between </w:t>
      </w:r>
      <w:r w:rsidRPr="00511F3F">
        <w:rPr>
          <w:rFonts w:ascii="Arial" w:hAnsi="Arial" w:cs="Arial"/>
          <w:i/>
          <w:iCs/>
          <w:sz w:val="18"/>
          <w:szCs w:val="18"/>
          <w:lang w:val="en"/>
        </w:rPr>
        <w:t>disinfection</w:t>
      </w:r>
      <w:r w:rsidRPr="00511F3F">
        <w:rPr>
          <w:rFonts w:ascii="Arial" w:hAnsi="Arial" w:cs="Arial"/>
          <w:sz w:val="18"/>
          <w:szCs w:val="18"/>
          <w:lang w:val="en"/>
        </w:rPr>
        <w:t xml:space="preserve"> and </w:t>
      </w:r>
      <w:r w:rsidRPr="00511F3F">
        <w:rPr>
          <w:rFonts w:ascii="Arial" w:hAnsi="Arial" w:cs="Arial"/>
          <w:sz w:val="18"/>
          <w:szCs w:val="18"/>
          <w:u w:val="double"/>
          <w:lang w:val="en"/>
        </w:rPr>
        <w:t>importation</w:t>
      </w:r>
      <w:r w:rsidRPr="00511F3F">
        <w:rPr>
          <w:rFonts w:ascii="Arial" w:hAnsi="Arial" w:cs="Arial"/>
          <w:sz w:val="18"/>
          <w:szCs w:val="18"/>
          <w:lang w:val="en"/>
        </w:rPr>
        <w:t xml:space="preserve"> </w:t>
      </w:r>
      <w:r w:rsidRPr="00511F3F">
        <w:rPr>
          <w:rFonts w:ascii="Arial" w:hAnsi="Arial" w:cs="Arial"/>
          <w:strike/>
          <w:sz w:val="18"/>
          <w:szCs w:val="18"/>
          <w:lang w:val="en"/>
        </w:rPr>
        <w:t>the import</w:t>
      </w:r>
      <w:r w:rsidRPr="00511F3F">
        <w:rPr>
          <w:rFonts w:ascii="Arial" w:hAnsi="Arial" w:cs="Arial"/>
          <w:sz w:val="18"/>
          <w:szCs w:val="18"/>
          <w:lang w:val="en"/>
        </w:rPr>
        <w:t xml:space="preserve">, eggs should not come into contact with anything which may affect their health status. </w:t>
      </w:r>
    </w:p>
    <w:p w14:paraId="54AF7407" w14:textId="77777777" w:rsidR="0094086E" w:rsidRPr="005B542B" w:rsidRDefault="0094086E" w:rsidP="0094086E">
      <w:pPr>
        <w:spacing w:after="240" w:line="240" w:lineRule="auto"/>
        <w:ind w:left="426"/>
        <w:jc w:val="both"/>
        <w:rPr>
          <w:rFonts w:ascii="Arial" w:hAnsi="Arial" w:cs="Arial"/>
          <w:sz w:val="18"/>
          <w:szCs w:val="18"/>
          <w:lang w:val="en-NZ"/>
        </w:rPr>
      </w:pPr>
      <w:r w:rsidRPr="00511F3F">
        <w:rPr>
          <w:rFonts w:ascii="Arial" w:hAnsi="Arial" w:cs="Arial"/>
          <w:sz w:val="18"/>
          <w:szCs w:val="18"/>
          <w:lang w:val="en"/>
        </w:rPr>
        <w:t xml:space="preserve">The </w:t>
      </w:r>
      <w:r w:rsidRPr="00511F3F">
        <w:rPr>
          <w:rFonts w:ascii="Arial" w:hAnsi="Arial" w:cs="Arial"/>
          <w:i/>
          <w:iCs/>
          <w:sz w:val="18"/>
          <w:szCs w:val="18"/>
          <w:lang w:val="en"/>
        </w:rPr>
        <w:t>Competent Authority</w:t>
      </w:r>
      <w:r w:rsidRPr="00511F3F">
        <w:rPr>
          <w:rFonts w:ascii="Arial" w:hAnsi="Arial" w:cs="Arial"/>
          <w:sz w:val="18"/>
          <w:szCs w:val="18"/>
          <w:lang w:val="en"/>
        </w:rPr>
        <w:t xml:space="preserve"> </w:t>
      </w:r>
      <w:r w:rsidRPr="005B542B">
        <w:rPr>
          <w:rFonts w:ascii="Arial" w:hAnsi="Arial" w:cs="Arial"/>
          <w:sz w:val="18"/>
          <w:szCs w:val="18"/>
          <w:highlight w:val="yellow"/>
          <w:u w:val="double"/>
          <w:lang w:val="en"/>
        </w:rPr>
        <w:t>should</w:t>
      </w:r>
      <w:r w:rsidRPr="00511F3F">
        <w:rPr>
          <w:rFonts w:ascii="Arial" w:hAnsi="Arial" w:cs="Arial"/>
          <w:sz w:val="18"/>
          <w:szCs w:val="18"/>
          <w:lang w:val="en"/>
        </w:rPr>
        <w:t xml:space="preserve"> consider internal measures, such as </w:t>
      </w:r>
      <w:r w:rsidRPr="00511F3F">
        <w:rPr>
          <w:rFonts w:ascii="Arial" w:hAnsi="Arial" w:cs="Arial"/>
          <w:sz w:val="18"/>
          <w:szCs w:val="18"/>
          <w:u w:val="double"/>
          <w:lang w:val="en"/>
        </w:rPr>
        <w:t>additional</w:t>
      </w:r>
      <w:r w:rsidRPr="00511F3F">
        <w:rPr>
          <w:rFonts w:ascii="Arial" w:hAnsi="Arial" w:cs="Arial"/>
          <w:sz w:val="18"/>
          <w:szCs w:val="18"/>
          <w:lang w:val="en"/>
        </w:rPr>
        <w:t xml:space="preserve"> </w:t>
      </w:r>
      <w:r w:rsidRPr="00511F3F">
        <w:rPr>
          <w:rFonts w:ascii="Arial" w:hAnsi="Arial" w:cs="Arial"/>
          <w:strike/>
          <w:sz w:val="18"/>
          <w:szCs w:val="18"/>
          <w:lang w:val="en"/>
        </w:rPr>
        <w:t>renewed</w:t>
      </w:r>
      <w:r w:rsidRPr="00511F3F">
        <w:rPr>
          <w:rFonts w:ascii="Arial" w:hAnsi="Arial" w:cs="Arial"/>
          <w:sz w:val="18"/>
          <w:szCs w:val="18"/>
          <w:lang w:val="en"/>
        </w:rPr>
        <w:t xml:space="preserve"> </w:t>
      </w:r>
      <w:r w:rsidRPr="00511F3F">
        <w:rPr>
          <w:rFonts w:ascii="Arial" w:hAnsi="Arial" w:cs="Arial"/>
          <w:i/>
          <w:iCs/>
          <w:sz w:val="18"/>
          <w:szCs w:val="18"/>
          <w:lang w:val="en"/>
        </w:rPr>
        <w:t>disinfection</w:t>
      </w:r>
      <w:r w:rsidRPr="00511F3F">
        <w:rPr>
          <w:rFonts w:ascii="Arial" w:hAnsi="Arial" w:cs="Arial"/>
          <w:sz w:val="18"/>
          <w:szCs w:val="18"/>
          <w:lang w:val="en"/>
        </w:rPr>
        <w:t xml:space="preserve"> of the eggs upon arrival in the </w:t>
      </w:r>
      <w:r w:rsidRPr="00511F3F">
        <w:rPr>
          <w:rFonts w:ascii="Arial" w:hAnsi="Arial" w:cs="Arial"/>
          <w:i/>
          <w:iCs/>
          <w:sz w:val="18"/>
          <w:szCs w:val="18"/>
          <w:lang w:val="en"/>
        </w:rPr>
        <w:t>importing country</w:t>
      </w:r>
      <w:r w:rsidRPr="00511F3F">
        <w:rPr>
          <w:rFonts w:ascii="Arial" w:hAnsi="Arial" w:cs="Arial"/>
          <w:sz w:val="18"/>
          <w:szCs w:val="18"/>
          <w:lang w:val="en"/>
        </w:rPr>
        <w:t xml:space="preserve">. </w:t>
      </w:r>
    </w:p>
    <w:p w14:paraId="6A031BFD" w14:textId="77777777" w:rsidR="0094086E" w:rsidRPr="00511F3F" w:rsidRDefault="0094086E" w:rsidP="0094086E">
      <w:pPr>
        <w:spacing w:after="240" w:line="240" w:lineRule="auto"/>
        <w:ind w:left="426" w:hanging="426"/>
        <w:jc w:val="both"/>
        <w:rPr>
          <w:rFonts w:ascii="Arial" w:hAnsi="Arial" w:cs="Arial"/>
          <w:sz w:val="18"/>
          <w:szCs w:val="18"/>
          <w:lang w:val="en"/>
        </w:rPr>
      </w:pPr>
      <w:r w:rsidRPr="00511F3F">
        <w:rPr>
          <w:rFonts w:ascii="Arial" w:hAnsi="Arial" w:cs="Arial"/>
          <w:sz w:val="18"/>
          <w:szCs w:val="18"/>
          <w:lang w:val="en"/>
        </w:rPr>
        <w:t>3)</w:t>
      </w:r>
      <w:r w:rsidRPr="00511F3F">
        <w:rPr>
          <w:rFonts w:ascii="Arial" w:hAnsi="Arial" w:cs="Arial"/>
          <w:sz w:val="18"/>
          <w:szCs w:val="18"/>
          <w:lang w:val="en"/>
        </w:rPr>
        <w:tab/>
        <w:t xml:space="preserve">When importing disinfected eggs of the species referred to in Article 10.X.2. for </w:t>
      </w:r>
      <w:r w:rsidRPr="00511F3F">
        <w:rPr>
          <w:rFonts w:ascii="Arial" w:hAnsi="Arial" w:cs="Arial"/>
          <w:i/>
          <w:iCs/>
          <w:sz w:val="18"/>
          <w:szCs w:val="18"/>
          <w:lang w:val="en"/>
        </w:rPr>
        <w:t>aquaculture</w:t>
      </w:r>
      <w:r w:rsidRPr="00511F3F">
        <w:rPr>
          <w:rFonts w:ascii="Arial" w:hAnsi="Arial" w:cs="Arial"/>
          <w:sz w:val="18"/>
          <w:szCs w:val="18"/>
          <w:lang w:val="en"/>
        </w:rPr>
        <w:t xml:space="preserve">, from a country, </w:t>
      </w:r>
      <w:r w:rsidRPr="00511F3F">
        <w:rPr>
          <w:rFonts w:ascii="Arial" w:hAnsi="Arial" w:cs="Arial"/>
          <w:i/>
          <w:iCs/>
          <w:sz w:val="18"/>
          <w:szCs w:val="18"/>
          <w:lang w:val="en"/>
        </w:rPr>
        <w:t>zone</w:t>
      </w:r>
      <w:r w:rsidRPr="00511F3F">
        <w:rPr>
          <w:rFonts w:ascii="Arial" w:hAnsi="Arial" w:cs="Arial"/>
          <w:sz w:val="18"/>
          <w:szCs w:val="18"/>
          <w:lang w:val="en"/>
        </w:rPr>
        <w:t xml:space="preserve"> or </w:t>
      </w:r>
      <w:r w:rsidRPr="00511F3F">
        <w:rPr>
          <w:rFonts w:ascii="Arial" w:hAnsi="Arial" w:cs="Arial"/>
          <w:i/>
          <w:iCs/>
          <w:sz w:val="18"/>
          <w:szCs w:val="18"/>
          <w:lang w:val="en"/>
        </w:rPr>
        <w:t>compartment</w:t>
      </w:r>
      <w:r w:rsidRPr="00511F3F">
        <w:rPr>
          <w:rFonts w:ascii="Arial" w:hAnsi="Arial" w:cs="Arial"/>
          <w:sz w:val="18"/>
          <w:szCs w:val="18"/>
          <w:lang w:val="en"/>
        </w:rPr>
        <w:t xml:space="preserve"> not declared free from infection with </w:t>
      </w:r>
      <w:r w:rsidRPr="00511F3F">
        <w:rPr>
          <w:rFonts w:ascii="Arial" w:hAnsi="Arial" w:cs="Arial"/>
          <w:sz w:val="18"/>
          <w:szCs w:val="18"/>
          <w:u w:val="double"/>
          <w:lang w:val="en"/>
        </w:rPr>
        <w:t>[pathogenic agent X]</w:t>
      </w:r>
      <w:r w:rsidRPr="00511F3F">
        <w:rPr>
          <w:rFonts w:ascii="Arial" w:hAnsi="Arial" w:cs="Arial"/>
          <w:sz w:val="18"/>
          <w:szCs w:val="18"/>
          <w:lang w:val="en"/>
        </w:rPr>
        <w:t xml:space="preserve">, the </w:t>
      </w:r>
      <w:r w:rsidRPr="00511F3F">
        <w:rPr>
          <w:rFonts w:ascii="Arial" w:hAnsi="Arial" w:cs="Arial"/>
          <w:i/>
          <w:iCs/>
          <w:sz w:val="18"/>
          <w:szCs w:val="18"/>
          <w:lang w:val="en"/>
        </w:rPr>
        <w:t>Competent Authority</w:t>
      </w:r>
      <w:r w:rsidRPr="00511F3F">
        <w:rPr>
          <w:rFonts w:ascii="Arial" w:hAnsi="Arial" w:cs="Arial"/>
          <w:sz w:val="18"/>
          <w:szCs w:val="18"/>
          <w:lang w:val="en"/>
        </w:rPr>
        <w:t xml:space="preserve"> of the </w:t>
      </w:r>
      <w:r w:rsidRPr="00511F3F">
        <w:rPr>
          <w:rFonts w:ascii="Arial" w:hAnsi="Arial" w:cs="Arial"/>
          <w:i/>
          <w:iCs/>
          <w:sz w:val="18"/>
          <w:szCs w:val="18"/>
          <w:lang w:val="en"/>
        </w:rPr>
        <w:t>importing country</w:t>
      </w:r>
      <w:r w:rsidRPr="00511F3F">
        <w:rPr>
          <w:rFonts w:ascii="Arial" w:hAnsi="Arial" w:cs="Arial"/>
          <w:sz w:val="18"/>
          <w:szCs w:val="18"/>
          <w:lang w:val="en"/>
        </w:rPr>
        <w:t xml:space="preserve"> should require that the consignment be accompanied by an </w:t>
      </w:r>
      <w:r w:rsidRPr="00511F3F">
        <w:rPr>
          <w:rFonts w:ascii="Arial" w:hAnsi="Arial" w:cs="Arial"/>
          <w:i/>
          <w:iCs/>
          <w:sz w:val="18"/>
          <w:szCs w:val="18"/>
          <w:lang w:val="en"/>
        </w:rPr>
        <w:t>international aquatic animal health certificate</w:t>
      </w:r>
      <w:r w:rsidRPr="00511F3F">
        <w:rPr>
          <w:rFonts w:ascii="Arial" w:hAnsi="Arial" w:cs="Arial"/>
          <w:sz w:val="18"/>
          <w:szCs w:val="18"/>
          <w:lang w:val="en"/>
        </w:rPr>
        <w:t xml:space="preserve"> issued by the </w:t>
      </w:r>
      <w:r w:rsidRPr="00511F3F">
        <w:rPr>
          <w:rFonts w:ascii="Arial" w:hAnsi="Arial" w:cs="Arial"/>
          <w:i/>
          <w:iCs/>
          <w:sz w:val="18"/>
          <w:szCs w:val="18"/>
          <w:lang w:val="en"/>
        </w:rPr>
        <w:t>Competent Authority</w:t>
      </w:r>
      <w:r w:rsidRPr="00511F3F">
        <w:rPr>
          <w:rFonts w:ascii="Arial" w:hAnsi="Arial" w:cs="Arial"/>
          <w:sz w:val="18"/>
          <w:szCs w:val="18"/>
          <w:lang w:val="en"/>
        </w:rPr>
        <w:t xml:space="preserve"> of the </w:t>
      </w:r>
      <w:r w:rsidRPr="00511F3F">
        <w:rPr>
          <w:rFonts w:ascii="Arial" w:hAnsi="Arial" w:cs="Arial"/>
          <w:i/>
          <w:iCs/>
          <w:sz w:val="18"/>
          <w:szCs w:val="18"/>
          <w:lang w:val="en"/>
        </w:rPr>
        <w:t>exporting country</w:t>
      </w:r>
      <w:r w:rsidRPr="00511F3F">
        <w:rPr>
          <w:rFonts w:ascii="Arial" w:hAnsi="Arial" w:cs="Arial"/>
          <w:sz w:val="18"/>
          <w:szCs w:val="18"/>
          <w:lang w:val="en"/>
        </w:rPr>
        <w:t xml:space="preserve"> certifying that the procedures described in point 2 </w:t>
      </w:r>
      <w:r w:rsidRPr="004053E8">
        <w:rPr>
          <w:rFonts w:ascii="Arial" w:hAnsi="Arial" w:cs="Arial"/>
          <w:sz w:val="18"/>
          <w:szCs w:val="18"/>
          <w:highlight w:val="yellow"/>
          <w:u w:val="double"/>
          <w:lang w:val="en"/>
        </w:rPr>
        <w:t>a) and b)</w:t>
      </w:r>
      <w:r>
        <w:rPr>
          <w:rFonts w:ascii="Arial" w:hAnsi="Arial" w:cs="Arial"/>
          <w:sz w:val="18"/>
          <w:szCs w:val="18"/>
          <w:lang w:val="en"/>
        </w:rPr>
        <w:t xml:space="preserve"> </w:t>
      </w:r>
      <w:r w:rsidRPr="00511F3F">
        <w:rPr>
          <w:rFonts w:ascii="Arial" w:hAnsi="Arial" w:cs="Arial"/>
          <w:sz w:val="18"/>
          <w:szCs w:val="18"/>
          <w:lang w:val="en"/>
        </w:rPr>
        <w:t>of this article have been fulfilled.</w:t>
      </w:r>
    </w:p>
    <w:p w14:paraId="1455A4E3" w14:textId="77777777" w:rsidR="0094086E" w:rsidRPr="00511F3F" w:rsidRDefault="0094086E" w:rsidP="0094086E">
      <w:pPr>
        <w:spacing w:after="240" w:line="240" w:lineRule="auto"/>
        <w:ind w:left="426" w:hanging="426"/>
        <w:jc w:val="center"/>
        <w:rPr>
          <w:rFonts w:ascii="Arial" w:hAnsi="Arial" w:cs="Arial"/>
          <w:sz w:val="18"/>
          <w:szCs w:val="18"/>
          <w:lang w:val="en"/>
        </w:rPr>
      </w:pPr>
      <w:r w:rsidRPr="00511F3F">
        <w:rPr>
          <w:rFonts w:ascii="Ottawa" w:eastAsia="Ottawa" w:hAnsi="Ottawa" w:cs="Arial"/>
          <w:spacing w:val="4"/>
          <w:sz w:val="18"/>
          <w:szCs w:val="18"/>
          <w:lang w:val="en-US" w:eastAsia="en-GB"/>
        </w:rPr>
        <w:t>[…]</w:t>
      </w:r>
    </w:p>
    <w:p w14:paraId="663BBE4B" w14:textId="77777777" w:rsidR="00796F38" w:rsidRDefault="0094086E" w:rsidP="00796F38">
      <w:pPr>
        <w:spacing w:after="720"/>
        <w:ind w:right="51"/>
        <w:jc w:val="center"/>
        <w:rPr>
          <w:rFonts w:eastAsia="MS Mincho" w:cs="Times New Roman"/>
          <w:kern w:val="2"/>
          <w:szCs w:val="20"/>
        </w:rPr>
        <w:sectPr w:rsidR="00796F38" w:rsidSect="00796F38">
          <w:type w:val="oddPage"/>
          <w:pgSz w:w="11906" w:h="16838"/>
          <w:pgMar w:top="1440" w:right="1440" w:bottom="1440" w:left="1440" w:header="708" w:footer="708" w:gutter="0"/>
          <w:cols w:space="708"/>
          <w:docGrid w:linePitch="360"/>
        </w:sectPr>
      </w:pPr>
      <w:r w:rsidRPr="00511F3F">
        <w:rPr>
          <w:rFonts w:eastAsia="MS Mincho" w:cs="Times New Roman"/>
          <w:kern w:val="2"/>
          <w:szCs w:val="20"/>
        </w:rPr>
        <w:t>____________________________</w:t>
      </w:r>
      <w:bookmarkStart w:id="67" w:name="_Annex_6"/>
      <w:bookmarkEnd w:id="67"/>
    </w:p>
    <w:p w14:paraId="28E2EA6C" w14:textId="08EF7A84" w:rsidR="0094086E" w:rsidRPr="00796F38" w:rsidRDefault="00E356C7" w:rsidP="00796F38">
      <w:pPr>
        <w:pStyle w:val="Titre4"/>
        <w:spacing w:before="0" w:after="480" w:line="240" w:lineRule="auto"/>
        <w:ind w:left="720"/>
        <w:jc w:val="right"/>
        <w:rPr>
          <w:rFonts w:ascii="Times New Roman" w:hAnsi="Times New Roman" w:cs="Times New Roman"/>
          <w:i w:val="0"/>
          <w:iCs w:val="0"/>
          <w:color w:val="auto"/>
          <w:u w:val="single"/>
          <w:lang w:val="en-US"/>
        </w:rPr>
      </w:pPr>
      <w:r w:rsidRPr="00796F38">
        <w:rPr>
          <w:rFonts w:ascii="Times New Roman" w:hAnsi="Times New Roman" w:cs="Times New Roman"/>
          <w:i w:val="0"/>
          <w:iCs w:val="0"/>
          <w:color w:val="auto"/>
          <w:u w:val="single"/>
          <w:lang w:val="en-US"/>
        </w:rPr>
        <w:lastRenderedPageBreak/>
        <w:t>An</w:t>
      </w:r>
      <w:r w:rsidR="0094086E" w:rsidRPr="00796F38">
        <w:rPr>
          <w:rFonts w:ascii="Times New Roman" w:hAnsi="Times New Roman" w:cs="Times New Roman"/>
          <w:i w:val="0"/>
          <w:iCs w:val="0"/>
          <w:color w:val="auto"/>
          <w:u w:val="single"/>
          <w:lang w:val="en-US"/>
        </w:rPr>
        <w:t xml:space="preserve">nex </w:t>
      </w:r>
      <w:r w:rsidR="00FC6CE0" w:rsidRPr="00796F38">
        <w:rPr>
          <w:rFonts w:ascii="Times New Roman" w:hAnsi="Times New Roman" w:cs="Times New Roman"/>
          <w:i w:val="0"/>
          <w:iCs w:val="0"/>
          <w:color w:val="auto"/>
          <w:u w:val="single"/>
          <w:lang w:val="en-US"/>
        </w:rPr>
        <w:t>5</w:t>
      </w:r>
    </w:p>
    <w:p w14:paraId="51E66F92" w14:textId="77777777" w:rsidR="00E27870" w:rsidRPr="007933E3" w:rsidRDefault="00E27870" w:rsidP="00E27870">
      <w:pPr>
        <w:keepNext/>
        <w:keepLines/>
        <w:spacing w:after="480"/>
        <w:ind w:left="-431"/>
        <w:jc w:val="center"/>
        <w:outlineLvl w:val="2"/>
        <w:rPr>
          <w:rFonts w:ascii="Ottawa" w:hAnsi="Ottawa"/>
          <w:b/>
          <w:bCs/>
          <w:spacing w:val="57"/>
          <w:sz w:val="28"/>
          <w:szCs w:val="28"/>
        </w:rPr>
      </w:pPr>
      <w:bookmarkStart w:id="68" w:name="_Toc36627893"/>
      <w:bookmarkStart w:id="69" w:name="_Toc36712646"/>
      <w:bookmarkStart w:id="70" w:name="_Toc37917381"/>
      <w:bookmarkStart w:id="71" w:name="_Toc37917744"/>
      <w:bookmarkStart w:id="72" w:name="_Toc38028655"/>
      <w:r w:rsidRPr="007933E3">
        <w:rPr>
          <w:rFonts w:ascii="Ottawa" w:hAnsi="Ottawa"/>
          <w:spacing w:val="57"/>
          <w:sz w:val="24"/>
          <w:szCs w:val="24"/>
        </w:rPr>
        <w:t>CHAPTER 10.9</w:t>
      </w:r>
      <w:r w:rsidRPr="007933E3">
        <w:rPr>
          <w:rFonts w:ascii="Ottawa" w:eastAsiaTheme="majorEastAsia" w:hAnsi="Ottawa" w:cstheme="majorBidi"/>
          <w:spacing w:val="57"/>
          <w:sz w:val="24"/>
          <w:szCs w:val="24"/>
        </w:rPr>
        <w:t xml:space="preserve">. </w:t>
      </w:r>
      <w:r w:rsidRPr="007933E3">
        <w:rPr>
          <w:rFonts w:ascii="Ottawa" w:eastAsiaTheme="majorEastAsia" w:hAnsi="Ottawa" w:cstheme="majorBidi"/>
          <w:spacing w:val="57"/>
          <w:sz w:val="24"/>
          <w:szCs w:val="24"/>
        </w:rPr>
        <w:br/>
      </w:r>
      <w:r w:rsidR="0094086E" w:rsidRPr="007933E3">
        <w:rPr>
          <w:rFonts w:ascii="Ottawa" w:eastAsiaTheme="majorEastAsia" w:hAnsi="Ottawa" w:cstheme="majorBidi"/>
          <w:spacing w:val="57"/>
          <w:sz w:val="28"/>
          <w:szCs w:val="28"/>
        </w:rPr>
        <w:br/>
      </w:r>
      <w:bookmarkEnd w:id="68"/>
      <w:bookmarkEnd w:id="69"/>
      <w:bookmarkEnd w:id="70"/>
      <w:bookmarkEnd w:id="71"/>
      <w:r w:rsidRPr="007933E3">
        <w:rPr>
          <w:rFonts w:ascii="Ottawa" w:hAnsi="Ottawa"/>
          <w:b/>
          <w:bCs/>
          <w:spacing w:val="57"/>
          <w:sz w:val="28"/>
          <w:szCs w:val="28"/>
        </w:rPr>
        <w:t>INFECTION WITH SPRING VIRAEMIA OF</w:t>
      </w:r>
      <w:r w:rsidRPr="007933E3">
        <w:rPr>
          <w:rFonts w:ascii="Ottawa" w:hAnsi="Ottawa"/>
          <w:b/>
          <w:bCs/>
          <w:spacing w:val="57"/>
          <w:sz w:val="28"/>
          <w:szCs w:val="28"/>
        </w:rPr>
        <w:br/>
        <w:t> CARP VIRUS</w:t>
      </w:r>
      <w:bookmarkEnd w:id="72"/>
    </w:p>
    <w:p w14:paraId="2354D628" w14:textId="77777777" w:rsidR="0094086E" w:rsidRPr="00B81CE0" w:rsidRDefault="0094086E" w:rsidP="0094086E">
      <w:pPr>
        <w:widowControl w:val="0"/>
        <w:autoSpaceDE w:val="0"/>
        <w:autoSpaceDN w:val="0"/>
        <w:spacing w:after="240" w:line="240" w:lineRule="auto"/>
        <w:jc w:val="center"/>
        <w:rPr>
          <w:rFonts w:ascii="Ottawa" w:eastAsia="Arial" w:hAnsi="Ottawa" w:cs="Arial"/>
          <w:sz w:val="18"/>
          <w:szCs w:val="18"/>
          <w:lang w:val="en-US"/>
        </w:rPr>
      </w:pPr>
      <w:r w:rsidRPr="00B81CE0">
        <w:rPr>
          <w:rFonts w:ascii="Ottawa" w:eastAsia="Arial" w:hAnsi="Ottawa" w:cs="Arial"/>
          <w:sz w:val="18"/>
          <w:szCs w:val="18"/>
          <w:lang w:val="en-US"/>
        </w:rPr>
        <w:t>[…]</w:t>
      </w:r>
    </w:p>
    <w:p w14:paraId="08A88F08" w14:textId="77777777" w:rsidR="0094086E" w:rsidRPr="00B81CE0" w:rsidRDefault="0094086E" w:rsidP="0094086E">
      <w:pPr>
        <w:keepNext/>
        <w:keepLines/>
        <w:spacing w:after="240"/>
        <w:ind w:left="720" w:right="486"/>
        <w:jc w:val="center"/>
        <w:outlineLvl w:val="3"/>
        <w:rPr>
          <w:rFonts w:ascii="Ottawa" w:eastAsiaTheme="majorEastAsia" w:hAnsi="Ottawa" w:cs="Times New Roman"/>
          <w:iCs/>
          <w:sz w:val="18"/>
          <w:szCs w:val="18"/>
        </w:rPr>
      </w:pPr>
      <w:r w:rsidRPr="00B81CE0">
        <w:rPr>
          <w:rFonts w:ascii="Ottawa" w:eastAsiaTheme="majorEastAsia" w:hAnsi="Ottawa" w:cs="Times New Roman"/>
          <w:iCs/>
          <w:sz w:val="18"/>
          <w:szCs w:val="18"/>
        </w:rPr>
        <w:t>Article 10.9.2.</w:t>
      </w:r>
    </w:p>
    <w:p w14:paraId="4583D8DC" w14:textId="77777777" w:rsidR="0094086E" w:rsidRPr="00DB689E" w:rsidRDefault="0094086E" w:rsidP="0094086E">
      <w:pPr>
        <w:pStyle w:val="Corpsdetexte"/>
        <w:spacing w:after="240"/>
        <w:rPr>
          <w:rFonts w:ascii="Ottawa" w:hAnsi="Ottawa" w:cs="Times New Roman"/>
          <w:b/>
        </w:rPr>
      </w:pPr>
      <w:r w:rsidRPr="00DB689E">
        <w:rPr>
          <w:rFonts w:ascii="Ottawa" w:hAnsi="Ottawa" w:cs="Times New Roman"/>
          <w:b/>
        </w:rPr>
        <w:t>Scope</w:t>
      </w:r>
    </w:p>
    <w:p w14:paraId="6E23372D" w14:textId="77777777" w:rsidR="0094086E" w:rsidRPr="007933E3" w:rsidRDefault="0094086E" w:rsidP="0094086E">
      <w:pPr>
        <w:spacing w:after="240" w:line="254" w:lineRule="auto"/>
        <w:ind w:right="118"/>
        <w:jc w:val="both"/>
        <w:rPr>
          <w:rFonts w:ascii="Arial" w:hAnsi="Arial" w:cs="Arial"/>
          <w:spacing w:val="-12"/>
          <w:sz w:val="18"/>
          <w:szCs w:val="18"/>
        </w:rPr>
      </w:pPr>
      <w:r w:rsidRPr="007933E3">
        <w:rPr>
          <w:rFonts w:ascii="Arial" w:hAnsi="Arial" w:cs="Arial"/>
          <w:sz w:val="18"/>
          <w:szCs w:val="18"/>
        </w:rPr>
        <w:t>The recommendations in this chapter apply to the following species that meet the criteria for listing as susceptible in accordance</w:t>
      </w:r>
      <w:r w:rsidRPr="007933E3">
        <w:rPr>
          <w:rFonts w:ascii="Arial" w:hAnsi="Arial" w:cs="Arial"/>
          <w:spacing w:val="-14"/>
          <w:sz w:val="18"/>
          <w:szCs w:val="18"/>
        </w:rPr>
        <w:t xml:space="preserve"> </w:t>
      </w:r>
      <w:r w:rsidRPr="007933E3">
        <w:rPr>
          <w:rFonts w:ascii="Arial" w:hAnsi="Arial" w:cs="Arial"/>
          <w:sz w:val="18"/>
          <w:szCs w:val="18"/>
        </w:rPr>
        <w:t>with</w:t>
      </w:r>
      <w:r w:rsidRPr="007933E3">
        <w:rPr>
          <w:rFonts w:ascii="Arial" w:hAnsi="Arial" w:cs="Arial"/>
          <w:spacing w:val="-13"/>
          <w:sz w:val="18"/>
          <w:szCs w:val="18"/>
        </w:rPr>
        <w:t xml:space="preserve"> </w:t>
      </w:r>
      <w:r w:rsidRPr="007933E3">
        <w:rPr>
          <w:rFonts w:ascii="Arial" w:hAnsi="Arial" w:cs="Arial"/>
          <w:sz w:val="18"/>
          <w:szCs w:val="18"/>
        </w:rPr>
        <w:t>Chapter</w:t>
      </w:r>
      <w:r w:rsidRPr="007933E3">
        <w:rPr>
          <w:rFonts w:ascii="Arial" w:hAnsi="Arial" w:cs="Arial"/>
          <w:spacing w:val="-13"/>
          <w:sz w:val="18"/>
          <w:szCs w:val="18"/>
        </w:rPr>
        <w:t xml:space="preserve"> </w:t>
      </w:r>
      <w:hyperlink w:anchor="_bookmark153" w:history="1">
        <w:r w:rsidRPr="007933E3">
          <w:rPr>
            <w:rFonts w:ascii="Arial" w:hAnsi="Arial" w:cs="Arial"/>
            <w:sz w:val="18"/>
            <w:szCs w:val="18"/>
          </w:rPr>
          <w:t>1.5.:</w:t>
        </w:r>
        <w:r w:rsidRPr="007933E3">
          <w:rPr>
            <w:rFonts w:ascii="Arial" w:hAnsi="Arial" w:cs="Arial"/>
            <w:spacing w:val="-13"/>
            <w:sz w:val="18"/>
            <w:szCs w:val="18"/>
          </w:rPr>
          <w:t xml:space="preserve"> </w:t>
        </w:r>
      </w:hyperlink>
      <w:r w:rsidRPr="007933E3">
        <w:rPr>
          <w:rFonts w:ascii="Arial" w:hAnsi="Arial" w:cs="Arial"/>
          <w:spacing w:val="-12"/>
          <w:sz w:val="18"/>
          <w:szCs w:val="18"/>
        </w:rPr>
        <w:t xml:space="preserve"> </w:t>
      </w:r>
    </w:p>
    <w:p w14:paraId="5808AF95" w14:textId="77777777" w:rsidR="0094086E" w:rsidRPr="007933E3" w:rsidRDefault="0094086E" w:rsidP="0094086E">
      <w:pPr>
        <w:spacing w:after="240" w:line="254" w:lineRule="auto"/>
        <w:ind w:right="118"/>
        <w:jc w:val="both"/>
        <w:rPr>
          <w:rFonts w:ascii="Arial" w:hAnsi="Arial" w:cs="Arial"/>
          <w:strike/>
          <w:sz w:val="18"/>
          <w:szCs w:val="18"/>
        </w:rPr>
      </w:pPr>
      <w:r w:rsidRPr="007933E3">
        <w:rPr>
          <w:rFonts w:ascii="Arial" w:hAnsi="Arial" w:cs="Arial"/>
          <w:strike/>
          <w:sz w:val="18"/>
          <w:szCs w:val="18"/>
        </w:rPr>
        <w:t>all</w:t>
      </w:r>
      <w:r w:rsidRPr="007933E3">
        <w:rPr>
          <w:rFonts w:ascii="Arial" w:hAnsi="Arial" w:cs="Arial"/>
          <w:strike/>
          <w:spacing w:val="-13"/>
          <w:sz w:val="18"/>
          <w:szCs w:val="18"/>
        </w:rPr>
        <w:t xml:space="preserve"> </w:t>
      </w:r>
      <w:r w:rsidRPr="007933E3">
        <w:rPr>
          <w:rFonts w:ascii="Arial" w:hAnsi="Arial" w:cs="Arial"/>
          <w:strike/>
          <w:sz w:val="18"/>
          <w:szCs w:val="18"/>
        </w:rPr>
        <w:t>varieties</w:t>
      </w:r>
      <w:r w:rsidRPr="007933E3">
        <w:rPr>
          <w:rFonts w:ascii="Arial" w:hAnsi="Arial" w:cs="Arial"/>
          <w:strike/>
          <w:spacing w:val="-13"/>
          <w:sz w:val="18"/>
          <w:szCs w:val="18"/>
        </w:rPr>
        <w:t xml:space="preserve"> </w:t>
      </w:r>
      <w:r w:rsidRPr="007933E3">
        <w:rPr>
          <w:rFonts w:ascii="Arial" w:hAnsi="Arial" w:cs="Arial"/>
          <w:strike/>
          <w:sz w:val="18"/>
          <w:szCs w:val="18"/>
        </w:rPr>
        <w:t>and</w:t>
      </w:r>
      <w:r w:rsidRPr="007933E3">
        <w:rPr>
          <w:rFonts w:ascii="Arial" w:hAnsi="Arial" w:cs="Arial"/>
          <w:strike/>
          <w:spacing w:val="-13"/>
          <w:sz w:val="18"/>
          <w:szCs w:val="18"/>
        </w:rPr>
        <w:t xml:space="preserve"> </w:t>
      </w:r>
      <w:r w:rsidRPr="007933E3">
        <w:rPr>
          <w:rFonts w:ascii="Arial" w:hAnsi="Arial" w:cs="Arial"/>
          <w:strike/>
          <w:sz w:val="18"/>
          <w:szCs w:val="18"/>
        </w:rPr>
        <w:t>subspecies</w:t>
      </w:r>
      <w:r w:rsidRPr="007933E3">
        <w:rPr>
          <w:rFonts w:ascii="Arial" w:hAnsi="Arial" w:cs="Arial"/>
          <w:strike/>
          <w:spacing w:val="-13"/>
          <w:sz w:val="18"/>
          <w:szCs w:val="18"/>
        </w:rPr>
        <w:t xml:space="preserve"> </w:t>
      </w:r>
      <w:r w:rsidRPr="007933E3">
        <w:rPr>
          <w:rFonts w:ascii="Arial" w:hAnsi="Arial" w:cs="Arial"/>
          <w:strike/>
          <w:sz w:val="18"/>
          <w:szCs w:val="18"/>
        </w:rPr>
        <w:t>of</w:t>
      </w:r>
      <w:r w:rsidRPr="007933E3">
        <w:rPr>
          <w:rFonts w:ascii="Arial" w:hAnsi="Arial" w:cs="Arial"/>
          <w:strike/>
          <w:spacing w:val="-13"/>
          <w:sz w:val="18"/>
          <w:szCs w:val="18"/>
        </w:rPr>
        <w:t xml:space="preserve"> </w:t>
      </w:r>
      <w:r w:rsidRPr="007933E3">
        <w:rPr>
          <w:rFonts w:ascii="Arial" w:hAnsi="Arial" w:cs="Arial"/>
          <w:strike/>
          <w:sz w:val="18"/>
          <w:szCs w:val="18"/>
        </w:rPr>
        <w:t>common</w:t>
      </w:r>
      <w:r w:rsidRPr="007933E3">
        <w:rPr>
          <w:rFonts w:ascii="Arial" w:hAnsi="Arial" w:cs="Arial"/>
          <w:strike/>
          <w:spacing w:val="-13"/>
          <w:sz w:val="18"/>
          <w:szCs w:val="18"/>
        </w:rPr>
        <w:t xml:space="preserve"> </w:t>
      </w:r>
      <w:r w:rsidRPr="007933E3">
        <w:rPr>
          <w:rFonts w:ascii="Arial" w:hAnsi="Arial" w:cs="Arial"/>
          <w:strike/>
          <w:sz w:val="18"/>
          <w:szCs w:val="18"/>
        </w:rPr>
        <w:t>carp</w:t>
      </w:r>
      <w:r w:rsidRPr="007933E3">
        <w:rPr>
          <w:rFonts w:ascii="Arial" w:hAnsi="Arial" w:cs="Arial"/>
          <w:strike/>
          <w:spacing w:val="-12"/>
          <w:sz w:val="18"/>
          <w:szCs w:val="18"/>
        </w:rPr>
        <w:t xml:space="preserve"> </w:t>
      </w:r>
      <w:r w:rsidRPr="007933E3">
        <w:rPr>
          <w:rFonts w:ascii="Arial" w:hAnsi="Arial" w:cs="Arial"/>
          <w:i/>
          <w:strike/>
          <w:sz w:val="18"/>
          <w:szCs w:val="18"/>
        </w:rPr>
        <w:t>(Cyprinus</w:t>
      </w:r>
      <w:r w:rsidRPr="007933E3">
        <w:rPr>
          <w:rFonts w:ascii="Arial" w:hAnsi="Arial" w:cs="Arial"/>
          <w:i/>
          <w:strike/>
          <w:spacing w:val="-13"/>
          <w:sz w:val="18"/>
          <w:szCs w:val="18"/>
        </w:rPr>
        <w:t xml:space="preserve"> </w:t>
      </w:r>
      <w:r w:rsidRPr="007933E3">
        <w:rPr>
          <w:rFonts w:ascii="Arial" w:hAnsi="Arial" w:cs="Arial"/>
          <w:i/>
          <w:strike/>
          <w:sz w:val="18"/>
          <w:szCs w:val="18"/>
        </w:rPr>
        <w:t>carpio)</w:t>
      </w:r>
      <w:r w:rsidRPr="007933E3">
        <w:rPr>
          <w:rFonts w:ascii="Arial" w:hAnsi="Arial" w:cs="Arial"/>
          <w:strike/>
          <w:sz w:val="18"/>
          <w:szCs w:val="18"/>
        </w:rPr>
        <w:t>,</w:t>
      </w:r>
      <w:r w:rsidRPr="007933E3">
        <w:rPr>
          <w:rFonts w:ascii="Arial" w:hAnsi="Arial" w:cs="Arial"/>
          <w:strike/>
          <w:spacing w:val="-14"/>
          <w:sz w:val="18"/>
          <w:szCs w:val="18"/>
        </w:rPr>
        <w:t xml:space="preserve"> </w:t>
      </w:r>
      <w:r w:rsidRPr="007933E3">
        <w:rPr>
          <w:rFonts w:ascii="Arial" w:hAnsi="Arial" w:cs="Arial"/>
          <w:strike/>
          <w:sz w:val="18"/>
          <w:szCs w:val="18"/>
        </w:rPr>
        <w:t>bighead</w:t>
      </w:r>
      <w:r w:rsidRPr="007933E3">
        <w:rPr>
          <w:rFonts w:ascii="Arial" w:hAnsi="Arial" w:cs="Arial"/>
          <w:strike/>
          <w:spacing w:val="-13"/>
          <w:sz w:val="18"/>
          <w:szCs w:val="18"/>
        </w:rPr>
        <w:t xml:space="preserve"> </w:t>
      </w:r>
      <w:r w:rsidRPr="007933E3">
        <w:rPr>
          <w:rFonts w:ascii="Arial" w:hAnsi="Arial" w:cs="Arial"/>
          <w:strike/>
          <w:sz w:val="18"/>
          <w:szCs w:val="18"/>
        </w:rPr>
        <w:t>carp</w:t>
      </w:r>
      <w:r w:rsidRPr="007933E3">
        <w:rPr>
          <w:rFonts w:ascii="Arial" w:hAnsi="Arial" w:cs="Arial"/>
          <w:strike/>
          <w:spacing w:val="-13"/>
          <w:sz w:val="18"/>
          <w:szCs w:val="18"/>
        </w:rPr>
        <w:t xml:space="preserve"> </w:t>
      </w:r>
      <w:r w:rsidRPr="007933E3">
        <w:rPr>
          <w:rFonts w:ascii="Arial" w:hAnsi="Arial" w:cs="Arial"/>
          <w:i/>
          <w:strike/>
          <w:sz w:val="18"/>
          <w:szCs w:val="18"/>
        </w:rPr>
        <w:t>(Aristichthys nobilis)</w:t>
      </w:r>
      <w:r w:rsidRPr="007933E3">
        <w:rPr>
          <w:rFonts w:ascii="Arial" w:hAnsi="Arial" w:cs="Arial"/>
          <w:strike/>
          <w:sz w:val="18"/>
          <w:szCs w:val="18"/>
        </w:rPr>
        <w:t xml:space="preserve">, bream </w:t>
      </w:r>
      <w:r w:rsidRPr="007933E3">
        <w:rPr>
          <w:rFonts w:ascii="Arial" w:hAnsi="Arial" w:cs="Arial"/>
          <w:i/>
          <w:strike/>
          <w:sz w:val="18"/>
          <w:szCs w:val="18"/>
        </w:rPr>
        <w:t>(Abramis brama)</w:t>
      </w:r>
      <w:r w:rsidRPr="007933E3">
        <w:rPr>
          <w:rFonts w:ascii="Arial" w:hAnsi="Arial" w:cs="Arial"/>
          <w:strike/>
          <w:sz w:val="18"/>
          <w:szCs w:val="18"/>
        </w:rPr>
        <w:t xml:space="preserve">, Caspian white fish </w:t>
      </w:r>
      <w:r w:rsidRPr="007933E3">
        <w:rPr>
          <w:rFonts w:ascii="Arial" w:hAnsi="Arial" w:cs="Arial"/>
          <w:i/>
          <w:strike/>
          <w:sz w:val="18"/>
          <w:szCs w:val="18"/>
        </w:rPr>
        <w:t>(Rutilus kutum)</w:t>
      </w:r>
      <w:r w:rsidRPr="007933E3">
        <w:rPr>
          <w:rFonts w:ascii="Arial" w:hAnsi="Arial" w:cs="Arial"/>
          <w:strike/>
          <w:sz w:val="18"/>
          <w:szCs w:val="18"/>
        </w:rPr>
        <w:t xml:space="preserve">, fathead minnow </w:t>
      </w:r>
      <w:r w:rsidRPr="007933E3">
        <w:rPr>
          <w:rFonts w:ascii="Arial" w:hAnsi="Arial" w:cs="Arial"/>
          <w:i/>
          <w:strike/>
          <w:sz w:val="18"/>
          <w:szCs w:val="18"/>
        </w:rPr>
        <w:t>(Pimephales promelas)</w:t>
      </w:r>
      <w:r w:rsidRPr="007933E3">
        <w:rPr>
          <w:rFonts w:ascii="Arial" w:hAnsi="Arial" w:cs="Arial"/>
          <w:strike/>
          <w:sz w:val="18"/>
          <w:szCs w:val="18"/>
        </w:rPr>
        <w:t xml:space="preserve">, golden shiner </w:t>
      </w:r>
      <w:r w:rsidRPr="007933E3">
        <w:rPr>
          <w:rFonts w:ascii="Arial" w:hAnsi="Arial" w:cs="Arial"/>
          <w:i/>
          <w:strike/>
          <w:sz w:val="18"/>
          <w:szCs w:val="18"/>
        </w:rPr>
        <w:t>(Notemigonus crysoleucas)</w:t>
      </w:r>
      <w:r w:rsidRPr="007933E3">
        <w:rPr>
          <w:rFonts w:ascii="Arial" w:hAnsi="Arial" w:cs="Arial"/>
          <w:strike/>
          <w:sz w:val="18"/>
          <w:szCs w:val="18"/>
        </w:rPr>
        <w:t xml:space="preserve">, goldfish </w:t>
      </w:r>
      <w:r w:rsidRPr="007933E3">
        <w:rPr>
          <w:rFonts w:ascii="Arial" w:hAnsi="Arial" w:cs="Arial"/>
          <w:i/>
          <w:strike/>
          <w:sz w:val="18"/>
          <w:szCs w:val="18"/>
        </w:rPr>
        <w:t>(Carassius auratus)</w:t>
      </w:r>
      <w:r w:rsidRPr="007933E3">
        <w:rPr>
          <w:rFonts w:ascii="Arial" w:hAnsi="Arial" w:cs="Arial"/>
          <w:strike/>
          <w:sz w:val="18"/>
          <w:szCs w:val="18"/>
        </w:rPr>
        <w:t>, grass carp (</w:t>
      </w:r>
      <w:r w:rsidRPr="007933E3">
        <w:rPr>
          <w:rFonts w:ascii="Arial" w:hAnsi="Arial" w:cs="Arial"/>
          <w:i/>
          <w:strike/>
          <w:sz w:val="18"/>
          <w:szCs w:val="18"/>
        </w:rPr>
        <w:t>Ctenopharyngodon idella)</w:t>
      </w:r>
      <w:r w:rsidRPr="007933E3">
        <w:rPr>
          <w:rFonts w:ascii="Arial" w:hAnsi="Arial" w:cs="Arial"/>
          <w:strike/>
          <w:sz w:val="18"/>
          <w:szCs w:val="18"/>
        </w:rPr>
        <w:t xml:space="preserve">, roach </w:t>
      </w:r>
      <w:r w:rsidRPr="007933E3">
        <w:rPr>
          <w:rFonts w:ascii="Arial" w:hAnsi="Arial" w:cs="Arial"/>
          <w:i/>
          <w:strike/>
          <w:sz w:val="18"/>
          <w:szCs w:val="18"/>
        </w:rPr>
        <w:t xml:space="preserve">(Rutilus rutilus) </w:t>
      </w:r>
      <w:r w:rsidRPr="007933E3">
        <w:rPr>
          <w:rFonts w:ascii="Arial" w:hAnsi="Arial" w:cs="Arial"/>
          <w:sz w:val="18"/>
          <w:szCs w:val="18"/>
        </w:rPr>
        <w:t>and</w:t>
      </w:r>
      <w:r w:rsidRPr="007933E3">
        <w:rPr>
          <w:rFonts w:ascii="Arial" w:hAnsi="Arial" w:cs="Arial"/>
          <w:strike/>
          <w:sz w:val="18"/>
          <w:szCs w:val="18"/>
        </w:rPr>
        <w:t xml:space="preserve"> sheatfish (also known as European or wels catfish) </w:t>
      </w:r>
      <w:r w:rsidRPr="007933E3">
        <w:rPr>
          <w:rFonts w:ascii="Arial" w:hAnsi="Arial" w:cs="Arial"/>
          <w:i/>
          <w:strike/>
          <w:sz w:val="18"/>
          <w:szCs w:val="18"/>
        </w:rPr>
        <w:t>(Silurus</w:t>
      </w:r>
      <w:r w:rsidRPr="007933E3">
        <w:rPr>
          <w:rFonts w:ascii="Arial" w:hAnsi="Arial" w:cs="Arial"/>
          <w:i/>
          <w:strike/>
          <w:spacing w:val="-7"/>
          <w:sz w:val="18"/>
          <w:szCs w:val="18"/>
        </w:rPr>
        <w:t xml:space="preserve"> </w:t>
      </w:r>
      <w:r w:rsidRPr="007933E3">
        <w:rPr>
          <w:rFonts w:ascii="Arial" w:hAnsi="Arial" w:cs="Arial"/>
          <w:i/>
          <w:strike/>
          <w:sz w:val="18"/>
          <w:szCs w:val="18"/>
        </w:rPr>
        <w:t>glanis)</w:t>
      </w:r>
      <w:r w:rsidRPr="007933E3">
        <w:rPr>
          <w:rFonts w:ascii="Arial" w:hAnsi="Arial" w:cs="Arial"/>
          <w:strike/>
          <w:sz w:val="18"/>
          <w:szCs w:val="18"/>
        </w:rPr>
        <w:t>.</w:t>
      </w:r>
    </w:p>
    <w:tbl>
      <w:tblPr>
        <w:tblW w:w="6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21"/>
        <w:gridCol w:w="2158"/>
        <w:gridCol w:w="2158"/>
      </w:tblGrid>
      <w:tr w:rsidR="0094086E" w:rsidRPr="007933E3" w14:paraId="47444224" w14:textId="77777777" w:rsidTr="00E51BAB">
        <w:trPr>
          <w:tblHeader/>
          <w:jc w:val="center"/>
        </w:trPr>
        <w:tc>
          <w:tcPr>
            <w:tcW w:w="1921" w:type="dxa"/>
            <w:tcBorders>
              <w:top w:val="single" w:sz="4" w:space="0" w:color="auto"/>
              <w:bottom w:val="single" w:sz="4" w:space="0" w:color="auto"/>
            </w:tcBorders>
            <w:vAlign w:val="center"/>
          </w:tcPr>
          <w:p w14:paraId="6044D93E" w14:textId="77777777" w:rsidR="0094086E" w:rsidRPr="007933E3" w:rsidRDefault="0094086E" w:rsidP="00E51BAB">
            <w:pPr>
              <w:pStyle w:val="TableHead"/>
              <w:spacing w:before="40" w:after="40"/>
              <w:rPr>
                <w:rFonts w:ascii="Arial" w:hAnsi="Arial" w:cs="Arial"/>
                <w:szCs w:val="18"/>
                <w:u w:val="double"/>
                <w:lang w:val="en-GB"/>
              </w:rPr>
            </w:pPr>
            <w:r w:rsidRPr="007933E3">
              <w:rPr>
                <w:rFonts w:ascii="Arial" w:hAnsi="Arial" w:cs="Arial"/>
                <w:szCs w:val="18"/>
                <w:u w:val="double"/>
                <w:lang w:val="en-GB"/>
              </w:rPr>
              <w:t>Family</w:t>
            </w:r>
          </w:p>
        </w:tc>
        <w:tc>
          <w:tcPr>
            <w:tcW w:w="2158" w:type="dxa"/>
            <w:tcBorders>
              <w:top w:val="single" w:sz="4" w:space="0" w:color="auto"/>
              <w:bottom w:val="single" w:sz="4" w:space="0" w:color="auto"/>
            </w:tcBorders>
            <w:shd w:val="clear" w:color="auto" w:fill="auto"/>
            <w:vAlign w:val="center"/>
          </w:tcPr>
          <w:p w14:paraId="4C4F11DD" w14:textId="77777777" w:rsidR="0094086E" w:rsidRPr="007933E3" w:rsidRDefault="0094086E" w:rsidP="00E51BAB">
            <w:pPr>
              <w:pStyle w:val="TableHead"/>
              <w:spacing w:before="40" w:after="40"/>
              <w:rPr>
                <w:rFonts w:ascii="Arial" w:hAnsi="Arial" w:cs="Arial"/>
                <w:szCs w:val="18"/>
                <w:u w:val="double"/>
                <w:lang w:val="en-GB"/>
              </w:rPr>
            </w:pPr>
            <w:r w:rsidRPr="007933E3">
              <w:rPr>
                <w:rFonts w:ascii="Arial" w:hAnsi="Arial" w:cs="Arial"/>
                <w:szCs w:val="18"/>
                <w:u w:val="double"/>
                <w:lang w:val="en-GB"/>
              </w:rPr>
              <w:t>Scientific name</w:t>
            </w:r>
          </w:p>
        </w:tc>
        <w:tc>
          <w:tcPr>
            <w:tcW w:w="2158" w:type="dxa"/>
            <w:tcBorders>
              <w:top w:val="single" w:sz="4" w:space="0" w:color="auto"/>
              <w:bottom w:val="single" w:sz="4" w:space="0" w:color="auto"/>
            </w:tcBorders>
            <w:vAlign w:val="center"/>
          </w:tcPr>
          <w:p w14:paraId="106D2C2C" w14:textId="77777777" w:rsidR="0094086E" w:rsidRPr="007933E3" w:rsidRDefault="0094086E" w:rsidP="00E51BAB">
            <w:pPr>
              <w:pStyle w:val="TableHead"/>
              <w:spacing w:before="40" w:after="40"/>
              <w:rPr>
                <w:rFonts w:ascii="Arial" w:hAnsi="Arial" w:cs="Arial"/>
                <w:szCs w:val="18"/>
                <w:u w:val="double"/>
                <w:lang w:val="en-GB"/>
              </w:rPr>
            </w:pPr>
            <w:r w:rsidRPr="007933E3">
              <w:rPr>
                <w:rFonts w:ascii="Arial" w:hAnsi="Arial" w:cs="Arial"/>
                <w:szCs w:val="18"/>
                <w:u w:val="double"/>
                <w:lang w:val="en-GB"/>
              </w:rPr>
              <w:t>Common name</w:t>
            </w:r>
          </w:p>
        </w:tc>
      </w:tr>
      <w:tr w:rsidR="0094086E" w:rsidRPr="007933E3" w14:paraId="2AF764D6" w14:textId="77777777" w:rsidTr="00E51BAB">
        <w:trPr>
          <w:jc w:val="center"/>
        </w:trPr>
        <w:tc>
          <w:tcPr>
            <w:tcW w:w="1921" w:type="dxa"/>
            <w:vMerge w:val="restart"/>
            <w:vAlign w:val="center"/>
          </w:tcPr>
          <w:p w14:paraId="20AA34B9" w14:textId="77777777" w:rsidR="0094086E" w:rsidRPr="007933E3" w:rsidRDefault="00831075" w:rsidP="00E51BAB">
            <w:pPr>
              <w:spacing w:before="40" w:after="40"/>
              <w:jc w:val="center"/>
              <w:rPr>
                <w:rFonts w:ascii="Arial" w:hAnsi="Arial" w:cs="Arial"/>
                <w:color w:val="000000"/>
                <w:sz w:val="18"/>
                <w:szCs w:val="18"/>
                <w:u w:val="double"/>
              </w:rPr>
            </w:pPr>
            <w:hyperlink r:id="rId51" w:history="1">
              <w:r w:rsidR="0094086E" w:rsidRPr="007933E3">
                <w:rPr>
                  <w:rFonts w:ascii="Arial" w:eastAsia="Times New Roman" w:hAnsi="Arial" w:cs="Arial"/>
                  <w:sz w:val="18"/>
                  <w:szCs w:val="18"/>
                </w:rPr>
                <w:t>Cyprinidae</w:t>
              </w:r>
            </w:hyperlink>
          </w:p>
        </w:tc>
        <w:tc>
          <w:tcPr>
            <w:tcW w:w="2158" w:type="dxa"/>
            <w:tcBorders>
              <w:top w:val="single" w:sz="4" w:space="0" w:color="auto"/>
            </w:tcBorders>
            <w:shd w:val="clear" w:color="auto" w:fill="auto"/>
            <w:vAlign w:val="center"/>
          </w:tcPr>
          <w:p w14:paraId="3CB56849" w14:textId="77777777" w:rsidR="0094086E" w:rsidRPr="007933E3" w:rsidRDefault="0094086E" w:rsidP="00E51BAB">
            <w:pPr>
              <w:pStyle w:val="Tabletext"/>
              <w:spacing w:before="40" w:after="40"/>
              <w:rPr>
                <w:i/>
                <w:szCs w:val="18"/>
              </w:rPr>
            </w:pPr>
            <w:r w:rsidRPr="007933E3">
              <w:rPr>
                <w:i/>
                <w:szCs w:val="18"/>
              </w:rPr>
              <w:t>Abramis brama</w:t>
            </w:r>
          </w:p>
        </w:tc>
        <w:tc>
          <w:tcPr>
            <w:tcW w:w="2158" w:type="dxa"/>
            <w:tcBorders>
              <w:top w:val="single" w:sz="4" w:space="0" w:color="auto"/>
            </w:tcBorders>
            <w:vAlign w:val="center"/>
          </w:tcPr>
          <w:p w14:paraId="166E9283" w14:textId="77777777" w:rsidR="0094086E" w:rsidRPr="007933E3" w:rsidRDefault="0094086E" w:rsidP="00E51BAB">
            <w:pPr>
              <w:pStyle w:val="Tabletext"/>
              <w:spacing w:before="40" w:after="40"/>
              <w:rPr>
                <w:szCs w:val="18"/>
              </w:rPr>
            </w:pPr>
            <w:r w:rsidRPr="007933E3">
              <w:rPr>
                <w:szCs w:val="18"/>
              </w:rPr>
              <w:t>Bream</w:t>
            </w:r>
          </w:p>
        </w:tc>
      </w:tr>
      <w:tr w:rsidR="0094086E" w:rsidRPr="007933E3" w14:paraId="3C8F49BB" w14:textId="77777777" w:rsidTr="00E51BAB">
        <w:trPr>
          <w:jc w:val="center"/>
        </w:trPr>
        <w:tc>
          <w:tcPr>
            <w:tcW w:w="1921" w:type="dxa"/>
            <w:vMerge/>
            <w:vAlign w:val="center"/>
          </w:tcPr>
          <w:p w14:paraId="6FE436E3" w14:textId="77777777" w:rsidR="0094086E" w:rsidRPr="007933E3" w:rsidRDefault="0094086E" w:rsidP="00E51BAB">
            <w:pPr>
              <w:spacing w:before="40" w:after="40"/>
              <w:jc w:val="center"/>
              <w:rPr>
                <w:rFonts w:ascii="Arial" w:hAnsi="Arial" w:cs="Arial"/>
                <w:color w:val="000000"/>
                <w:sz w:val="18"/>
                <w:szCs w:val="18"/>
                <w:u w:val="double"/>
              </w:rPr>
            </w:pPr>
          </w:p>
        </w:tc>
        <w:tc>
          <w:tcPr>
            <w:tcW w:w="2158" w:type="dxa"/>
            <w:tcBorders>
              <w:top w:val="single" w:sz="4" w:space="0" w:color="auto"/>
            </w:tcBorders>
            <w:shd w:val="clear" w:color="auto" w:fill="auto"/>
            <w:vAlign w:val="center"/>
          </w:tcPr>
          <w:p w14:paraId="211A97CE" w14:textId="77777777" w:rsidR="0094086E" w:rsidRPr="007933E3" w:rsidRDefault="0094086E" w:rsidP="00E51BAB">
            <w:pPr>
              <w:pStyle w:val="Tabletext"/>
              <w:spacing w:before="40" w:after="40"/>
              <w:rPr>
                <w:i/>
                <w:iCs/>
                <w:color w:val="000000"/>
                <w:szCs w:val="18"/>
                <w:u w:val="double"/>
              </w:rPr>
            </w:pPr>
            <w:r w:rsidRPr="007933E3">
              <w:rPr>
                <w:i/>
                <w:szCs w:val="18"/>
              </w:rPr>
              <w:t>Aristichthys nobilis</w:t>
            </w:r>
          </w:p>
        </w:tc>
        <w:tc>
          <w:tcPr>
            <w:tcW w:w="2158" w:type="dxa"/>
            <w:tcBorders>
              <w:top w:val="single" w:sz="4" w:space="0" w:color="auto"/>
            </w:tcBorders>
            <w:vAlign w:val="center"/>
          </w:tcPr>
          <w:p w14:paraId="143E7EB3" w14:textId="77777777" w:rsidR="0094086E" w:rsidRPr="007933E3" w:rsidRDefault="0094086E" w:rsidP="00E51BAB">
            <w:pPr>
              <w:pStyle w:val="Tabletext"/>
              <w:spacing w:before="40" w:after="40"/>
              <w:rPr>
                <w:color w:val="000000"/>
                <w:szCs w:val="18"/>
                <w:u w:val="double"/>
              </w:rPr>
            </w:pPr>
            <w:r w:rsidRPr="007933E3">
              <w:rPr>
                <w:szCs w:val="18"/>
              </w:rPr>
              <w:t>Bighead</w:t>
            </w:r>
            <w:r w:rsidRPr="007933E3">
              <w:rPr>
                <w:spacing w:val="-13"/>
                <w:szCs w:val="18"/>
              </w:rPr>
              <w:t xml:space="preserve"> </w:t>
            </w:r>
            <w:r w:rsidRPr="007933E3">
              <w:rPr>
                <w:szCs w:val="18"/>
              </w:rPr>
              <w:t>carp</w:t>
            </w:r>
          </w:p>
        </w:tc>
      </w:tr>
      <w:tr w:rsidR="0094086E" w:rsidRPr="007933E3" w14:paraId="2C7A8A5D" w14:textId="77777777" w:rsidTr="00E51BAB">
        <w:trPr>
          <w:jc w:val="center"/>
        </w:trPr>
        <w:tc>
          <w:tcPr>
            <w:tcW w:w="1921" w:type="dxa"/>
            <w:vMerge/>
            <w:vAlign w:val="center"/>
          </w:tcPr>
          <w:p w14:paraId="600C6752" w14:textId="77777777" w:rsidR="0094086E" w:rsidRPr="007933E3" w:rsidRDefault="0094086E" w:rsidP="00E51BAB">
            <w:pPr>
              <w:spacing w:before="40" w:after="40"/>
              <w:jc w:val="center"/>
              <w:rPr>
                <w:rFonts w:ascii="Arial" w:hAnsi="Arial" w:cs="Arial"/>
                <w:color w:val="000000"/>
                <w:sz w:val="18"/>
                <w:szCs w:val="18"/>
                <w:u w:val="double"/>
              </w:rPr>
            </w:pPr>
          </w:p>
        </w:tc>
        <w:tc>
          <w:tcPr>
            <w:tcW w:w="2158" w:type="dxa"/>
            <w:tcBorders>
              <w:top w:val="single" w:sz="4" w:space="0" w:color="auto"/>
            </w:tcBorders>
            <w:shd w:val="clear" w:color="auto" w:fill="auto"/>
            <w:vAlign w:val="center"/>
          </w:tcPr>
          <w:p w14:paraId="56E48D34" w14:textId="77777777" w:rsidR="0094086E" w:rsidRPr="007933E3" w:rsidRDefault="0094086E" w:rsidP="00E51BAB">
            <w:pPr>
              <w:pStyle w:val="Tabletext"/>
              <w:spacing w:before="40" w:after="40"/>
              <w:rPr>
                <w:i/>
                <w:iCs/>
                <w:color w:val="000000"/>
                <w:szCs w:val="18"/>
                <w:u w:val="double"/>
              </w:rPr>
            </w:pPr>
            <w:r w:rsidRPr="007933E3">
              <w:rPr>
                <w:i/>
                <w:szCs w:val="18"/>
              </w:rPr>
              <w:t>Carassius auratus</w:t>
            </w:r>
          </w:p>
        </w:tc>
        <w:tc>
          <w:tcPr>
            <w:tcW w:w="2158" w:type="dxa"/>
            <w:tcBorders>
              <w:top w:val="single" w:sz="4" w:space="0" w:color="auto"/>
            </w:tcBorders>
            <w:vAlign w:val="center"/>
          </w:tcPr>
          <w:p w14:paraId="1909EA9F" w14:textId="77777777" w:rsidR="0094086E" w:rsidRPr="007933E3" w:rsidRDefault="0094086E" w:rsidP="00E51BAB">
            <w:pPr>
              <w:pStyle w:val="Tabletext"/>
              <w:spacing w:before="40" w:after="40"/>
              <w:rPr>
                <w:color w:val="000000"/>
                <w:szCs w:val="18"/>
                <w:u w:val="double"/>
              </w:rPr>
            </w:pPr>
            <w:r w:rsidRPr="007933E3">
              <w:rPr>
                <w:szCs w:val="18"/>
              </w:rPr>
              <w:t>Goldfish</w:t>
            </w:r>
          </w:p>
        </w:tc>
      </w:tr>
      <w:tr w:rsidR="0094086E" w:rsidRPr="007933E3" w14:paraId="1F228309" w14:textId="77777777" w:rsidTr="00E51BAB">
        <w:trPr>
          <w:jc w:val="center"/>
        </w:trPr>
        <w:tc>
          <w:tcPr>
            <w:tcW w:w="1921" w:type="dxa"/>
            <w:vMerge/>
            <w:vAlign w:val="center"/>
          </w:tcPr>
          <w:p w14:paraId="741AD8E4" w14:textId="77777777" w:rsidR="0094086E" w:rsidRPr="007933E3" w:rsidRDefault="0094086E" w:rsidP="00E51BAB">
            <w:pPr>
              <w:spacing w:before="40" w:after="40"/>
              <w:jc w:val="center"/>
              <w:rPr>
                <w:rFonts w:ascii="Arial" w:hAnsi="Arial" w:cs="Arial"/>
                <w:color w:val="000000"/>
                <w:sz w:val="18"/>
                <w:szCs w:val="18"/>
                <w:u w:val="double"/>
              </w:rPr>
            </w:pPr>
          </w:p>
        </w:tc>
        <w:tc>
          <w:tcPr>
            <w:tcW w:w="2158" w:type="dxa"/>
            <w:tcBorders>
              <w:top w:val="single" w:sz="4" w:space="0" w:color="auto"/>
            </w:tcBorders>
            <w:shd w:val="clear" w:color="auto" w:fill="auto"/>
            <w:vAlign w:val="center"/>
          </w:tcPr>
          <w:p w14:paraId="44FF8B21" w14:textId="77777777" w:rsidR="0094086E" w:rsidRPr="007933E3" w:rsidRDefault="0094086E" w:rsidP="00E51BAB">
            <w:pPr>
              <w:pStyle w:val="Tabletext"/>
              <w:spacing w:before="40" w:after="40"/>
              <w:rPr>
                <w:i/>
                <w:iCs/>
                <w:color w:val="000000"/>
                <w:szCs w:val="18"/>
                <w:u w:val="double"/>
              </w:rPr>
            </w:pPr>
            <w:r w:rsidRPr="007933E3">
              <w:rPr>
                <w:i/>
                <w:szCs w:val="18"/>
              </w:rPr>
              <w:t>Ctenopharyngodon idella</w:t>
            </w:r>
          </w:p>
        </w:tc>
        <w:tc>
          <w:tcPr>
            <w:tcW w:w="2158" w:type="dxa"/>
            <w:tcBorders>
              <w:top w:val="single" w:sz="4" w:space="0" w:color="auto"/>
            </w:tcBorders>
            <w:vAlign w:val="center"/>
          </w:tcPr>
          <w:p w14:paraId="1A8944D6" w14:textId="77777777" w:rsidR="0094086E" w:rsidRPr="007933E3" w:rsidRDefault="0094086E" w:rsidP="00E51BAB">
            <w:pPr>
              <w:pStyle w:val="Tabletext"/>
              <w:spacing w:before="40" w:after="40"/>
              <w:rPr>
                <w:color w:val="000000"/>
                <w:szCs w:val="18"/>
                <w:u w:val="double"/>
              </w:rPr>
            </w:pPr>
            <w:r w:rsidRPr="007933E3">
              <w:rPr>
                <w:szCs w:val="18"/>
              </w:rPr>
              <w:t>Grass carp</w:t>
            </w:r>
          </w:p>
        </w:tc>
      </w:tr>
      <w:tr w:rsidR="0094086E" w:rsidRPr="007933E3" w14:paraId="518D02C1" w14:textId="77777777" w:rsidTr="00E51BAB">
        <w:trPr>
          <w:jc w:val="center"/>
        </w:trPr>
        <w:tc>
          <w:tcPr>
            <w:tcW w:w="1921" w:type="dxa"/>
            <w:vMerge/>
            <w:vAlign w:val="center"/>
          </w:tcPr>
          <w:p w14:paraId="0A09BA14" w14:textId="77777777" w:rsidR="0094086E" w:rsidRPr="007933E3" w:rsidRDefault="0094086E" w:rsidP="00E51BAB">
            <w:pPr>
              <w:spacing w:before="40" w:after="40"/>
              <w:jc w:val="center"/>
              <w:rPr>
                <w:rFonts w:ascii="Arial" w:hAnsi="Arial" w:cs="Arial"/>
                <w:color w:val="000000"/>
                <w:sz w:val="18"/>
                <w:szCs w:val="18"/>
                <w:u w:val="double"/>
              </w:rPr>
            </w:pPr>
          </w:p>
        </w:tc>
        <w:tc>
          <w:tcPr>
            <w:tcW w:w="2158" w:type="dxa"/>
            <w:tcBorders>
              <w:top w:val="single" w:sz="4" w:space="0" w:color="auto"/>
            </w:tcBorders>
            <w:shd w:val="clear" w:color="auto" w:fill="auto"/>
            <w:vAlign w:val="center"/>
          </w:tcPr>
          <w:p w14:paraId="32344185" w14:textId="77777777" w:rsidR="0094086E" w:rsidRPr="007933E3" w:rsidRDefault="0094086E" w:rsidP="00E51BAB">
            <w:pPr>
              <w:pStyle w:val="Tabletext"/>
              <w:spacing w:before="40" w:after="40"/>
              <w:rPr>
                <w:i/>
                <w:iCs/>
                <w:color w:val="000000"/>
                <w:szCs w:val="18"/>
                <w:u w:val="double"/>
              </w:rPr>
            </w:pPr>
            <w:r w:rsidRPr="007933E3">
              <w:rPr>
                <w:i/>
                <w:szCs w:val="18"/>
              </w:rPr>
              <w:t>Cyprinus</w:t>
            </w:r>
            <w:r w:rsidRPr="007933E3">
              <w:rPr>
                <w:i/>
                <w:spacing w:val="-13"/>
                <w:szCs w:val="18"/>
              </w:rPr>
              <w:t xml:space="preserve"> </w:t>
            </w:r>
            <w:r w:rsidRPr="007933E3">
              <w:rPr>
                <w:i/>
                <w:szCs w:val="18"/>
              </w:rPr>
              <w:t>carpio</w:t>
            </w:r>
          </w:p>
        </w:tc>
        <w:tc>
          <w:tcPr>
            <w:tcW w:w="2158" w:type="dxa"/>
            <w:tcBorders>
              <w:top w:val="single" w:sz="4" w:space="0" w:color="auto"/>
            </w:tcBorders>
            <w:vAlign w:val="center"/>
          </w:tcPr>
          <w:p w14:paraId="19C26442" w14:textId="77777777" w:rsidR="0094086E" w:rsidRPr="007933E3" w:rsidRDefault="0094086E" w:rsidP="00E51BAB">
            <w:pPr>
              <w:pStyle w:val="Tabletext"/>
              <w:spacing w:before="40" w:after="40"/>
              <w:rPr>
                <w:color w:val="000000"/>
                <w:szCs w:val="18"/>
                <w:u w:val="double"/>
              </w:rPr>
            </w:pPr>
            <w:r w:rsidRPr="007933E3">
              <w:rPr>
                <w:szCs w:val="18"/>
              </w:rPr>
              <w:t>Common</w:t>
            </w:r>
            <w:r w:rsidRPr="007933E3">
              <w:rPr>
                <w:spacing w:val="-13"/>
                <w:szCs w:val="18"/>
              </w:rPr>
              <w:t xml:space="preserve"> </w:t>
            </w:r>
            <w:r w:rsidRPr="007933E3">
              <w:rPr>
                <w:szCs w:val="18"/>
              </w:rPr>
              <w:t>carp (all</w:t>
            </w:r>
            <w:r w:rsidRPr="007933E3">
              <w:rPr>
                <w:spacing w:val="-13"/>
                <w:szCs w:val="18"/>
              </w:rPr>
              <w:t xml:space="preserve"> </w:t>
            </w:r>
            <w:r w:rsidRPr="007933E3">
              <w:rPr>
                <w:szCs w:val="18"/>
              </w:rPr>
              <w:t>varieties</w:t>
            </w:r>
            <w:r w:rsidRPr="007933E3">
              <w:rPr>
                <w:spacing w:val="-13"/>
                <w:szCs w:val="18"/>
              </w:rPr>
              <w:t xml:space="preserve"> </w:t>
            </w:r>
            <w:r w:rsidRPr="007933E3">
              <w:rPr>
                <w:szCs w:val="18"/>
              </w:rPr>
              <w:t>and</w:t>
            </w:r>
            <w:r w:rsidRPr="007933E3">
              <w:rPr>
                <w:spacing w:val="-13"/>
                <w:szCs w:val="18"/>
              </w:rPr>
              <w:t xml:space="preserve"> </w:t>
            </w:r>
            <w:r w:rsidRPr="007933E3">
              <w:rPr>
                <w:szCs w:val="18"/>
              </w:rPr>
              <w:t>subspecies</w:t>
            </w:r>
            <w:r w:rsidRPr="007933E3">
              <w:rPr>
                <w:spacing w:val="-13"/>
                <w:szCs w:val="18"/>
              </w:rPr>
              <w:t xml:space="preserve">) </w:t>
            </w:r>
          </w:p>
        </w:tc>
      </w:tr>
      <w:tr w:rsidR="0094086E" w:rsidRPr="007933E3" w14:paraId="7D01D828" w14:textId="77777777" w:rsidTr="00E51BAB">
        <w:trPr>
          <w:jc w:val="center"/>
        </w:trPr>
        <w:tc>
          <w:tcPr>
            <w:tcW w:w="1921" w:type="dxa"/>
            <w:vMerge/>
            <w:vAlign w:val="center"/>
          </w:tcPr>
          <w:p w14:paraId="29AF8A98" w14:textId="77777777" w:rsidR="0094086E" w:rsidRPr="007933E3" w:rsidRDefault="0094086E" w:rsidP="00E51BAB">
            <w:pPr>
              <w:spacing w:before="40" w:after="40"/>
              <w:jc w:val="center"/>
              <w:rPr>
                <w:rFonts w:ascii="Arial" w:hAnsi="Arial" w:cs="Arial"/>
                <w:color w:val="000000"/>
                <w:sz w:val="18"/>
                <w:szCs w:val="18"/>
                <w:u w:val="double"/>
              </w:rPr>
            </w:pPr>
          </w:p>
        </w:tc>
        <w:tc>
          <w:tcPr>
            <w:tcW w:w="2158" w:type="dxa"/>
            <w:tcBorders>
              <w:top w:val="single" w:sz="4" w:space="0" w:color="auto"/>
            </w:tcBorders>
            <w:shd w:val="clear" w:color="auto" w:fill="auto"/>
            <w:vAlign w:val="center"/>
          </w:tcPr>
          <w:p w14:paraId="4E64B2F3" w14:textId="77777777" w:rsidR="0094086E" w:rsidRPr="007933E3" w:rsidRDefault="0094086E" w:rsidP="00E51BAB">
            <w:pPr>
              <w:pStyle w:val="Tabletext"/>
              <w:spacing w:before="40" w:after="40"/>
              <w:rPr>
                <w:i/>
                <w:iCs/>
                <w:color w:val="000000"/>
                <w:szCs w:val="18"/>
                <w:u w:val="double"/>
              </w:rPr>
            </w:pPr>
            <w:r w:rsidRPr="007933E3">
              <w:rPr>
                <w:i/>
                <w:szCs w:val="18"/>
                <w:u w:val="double"/>
              </w:rPr>
              <w:t>Danio rerio</w:t>
            </w:r>
          </w:p>
        </w:tc>
        <w:tc>
          <w:tcPr>
            <w:tcW w:w="2158" w:type="dxa"/>
            <w:tcBorders>
              <w:top w:val="single" w:sz="4" w:space="0" w:color="auto"/>
            </w:tcBorders>
            <w:vAlign w:val="center"/>
          </w:tcPr>
          <w:p w14:paraId="0831E3EE" w14:textId="77777777" w:rsidR="0094086E" w:rsidRPr="007933E3" w:rsidRDefault="0094086E" w:rsidP="00E51BAB">
            <w:pPr>
              <w:pStyle w:val="Tabletext"/>
              <w:spacing w:before="40" w:after="40"/>
              <w:rPr>
                <w:color w:val="000000"/>
                <w:szCs w:val="18"/>
                <w:u w:val="double"/>
              </w:rPr>
            </w:pPr>
            <w:r w:rsidRPr="007933E3">
              <w:rPr>
                <w:iCs/>
                <w:szCs w:val="18"/>
                <w:u w:val="double"/>
              </w:rPr>
              <w:t>Zebrafish</w:t>
            </w:r>
          </w:p>
        </w:tc>
      </w:tr>
      <w:tr w:rsidR="0094086E" w:rsidRPr="007933E3" w14:paraId="0CCA4D65" w14:textId="77777777" w:rsidTr="00E51BAB">
        <w:trPr>
          <w:jc w:val="center"/>
        </w:trPr>
        <w:tc>
          <w:tcPr>
            <w:tcW w:w="1921" w:type="dxa"/>
            <w:vMerge/>
            <w:vAlign w:val="center"/>
          </w:tcPr>
          <w:p w14:paraId="4ACE674C" w14:textId="77777777" w:rsidR="0094086E" w:rsidRPr="007933E3" w:rsidRDefault="0094086E" w:rsidP="00E51BAB">
            <w:pPr>
              <w:spacing w:before="40" w:after="40"/>
              <w:jc w:val="center"/>
              <w:rPr>
                <w:rFonts w:ascii="Arial" w:hAnsi="Arial" w:cs="Arial"/>
                <w:color w:val="000000"/>
                <w:sz w:val="18"/>
                <w:szCs w:val="18"/>
                <w:u w:val="double"/>
              </w:rPr>
            </w:pPr>
          </w:p>
        </w:tc>
        <w:tc>
          <w:tcPr>
            <w:tcW w:w="2158" w:type="dxa"/>
            <w:tcBorders>
              <w:top w:val="single" w:sz="4" w:space="0" w:color="auto"/>
            </w:tcBorders>
            <w:shd w:val="clear" w:color="auto" w:fill="auto"/>
            <w:vAlign w:val="center"/>
          </w:tcPr>
          <w:p w14:paraId="6B5DB6AF" w14:textId="77777777" w:rsidR="0094086E" w:rsidRPr="007933E3" w:rsidRDefault="0094086E" w:rsidP="00E51BAB">
            <w:pPr>
              <w:pStyle w:val="Tabletext"/>
              <w:spacing w:before="40" w:after="40"/>
              <w:rPr>
                <w:i/>
                <w:iCs/>
                <w:color w:val="000000"/>
                <w:szCs w:val="18"/>
                <w:u w:val="double"/>
              </w:rPr>
            </w:pPr>
            <w:r w:rsidRPr="007933E3">
              <w:rPr>
                <w:i/>
                <w:szCs w:val="18"/>
              </w:rPr>
              <w:t>Notemigonus crysoleucas</w:t>
            </w:r>
          </w:p>
        </w:tc>
        <w:tc>
          <w:tcPr>
            <w:tcW w:w="2158" w:type="dxa"/>
            <w:tcBorders>
              <w:top w:val="single" w:sz="4" w:space="0" w:color="auto"/>
            </w:tcBorders>
            <w:vAlign w:val="center"/>
          </w:tcPr>
          <w:p w14:paraId="05363CE2" w14:textId="77777777" w:rsidR="0094086E" w:rsidRPr="007933E3" w:rsidRDefault="0094086E" w:rsidP="00E51BAB">
            <w:pPr>
              <w:pStyle w:val="Tabletext"/>
              <w:spacing w:before="40" w:after="40"/>
              <w:rPr>
                <w:color w:val="000000"/>
                <w:szCs w:val="18"/>
                <w:u w:val="double"/>
              </w:rPr>
            </w:pPr>
            <w:r w:rsidRPr="007933E3">
              <w:rPr>
                <w:szCs w:val="18"/>
              </w:rPr>
              <w:t>Golden shiner</w:t>
            </w:r>
          </w:p>
        </w:tc>
      </w:tr>
      <w:tr w:rsidR="0094086E" w:rsidRPr="007933E3" w14:paraId="41FB88D3" w14:textId="77777777" w:rsidTr="00E51BAB">
        <w:trPr>
          <w:jc w:val="center"/>
        </w:trPr>
        <w:tc>
          <w:tcPr>
            <w:tcW w:w="1921" w:type="dxa"/>
            <w:vMerge/>
            <w:vAlign w:val="center"/>
          </w:tcPr>
          <w:p w14:paraId="4807E45F" w14:textId="77777777" w:rsidR="0094086E" w:rsidRPr="007933E3" w:rsidRDefault="0094086E" w:rsidP="00E51BAB">
            <w:pPr>
              <w:spacing w:before="40" w:after="40"/>
              <w:jc w:val="center"/>
              <w:rPr>
                <w:rFonts w:ascii="Arial" w:hAnsi="Arial" w:cs="Arial"/>
                <w:color w:val="000000"/>
                <w:sz w:val="18"/>
                <w:szCs w:val="18"/>
                <w:u w:val="double"/>
              </w:rPr>
            </w:pPr>
          </w:p>
        </w:tc>
        <w:tc>
          <w:tcPr>
            <w:tcW w:w="2158" w:type="dxa"/>
            <w:tcBorders>
              <w:top w:val="single" w:sz="4" w:space="0" w:color="auto"/>
            </w:tcBorders>
            <w:shd w:val="clear" w:color="auto" w:fill="auto"/>
            <w:vAlign w:val="center"/>
          </w:tcPr>
          <w:p w14:paraId="71D0F1B1" w14:textId="77777777" w:rsidR="0094086E" w:rsidRPr="007933E3" w:rsidRDefault="0094086E" w:rsidP="00E51BAB">
            <w:pPr>
              <w:pStyle w:val="Tabletext"/>
              <w:spacing w:before="40" w:after="40"/>
              <w:rPr>
                <w:i/>
                <w:iCs/>
                <w:color w:val="000000"/>
                <w:szCs w:val="18"/>
                <w:u w:val="double"/>
              </w:rPr>
            </w:pPr>
            <w:r w:rsidRPr="007933E3">
              <w:rPr>
                <w:i/>
                <w:szCs w:val="18"/>
              </w:rPr>
              <w:t>Pimephales promelas</w:t>
            </w:r>
          </w:p>
        </w:tc>
        <w:tc>
          <w:tcPr>
            <w:tcW w:w="2158" w:type="dxa"/>
            <w:tcBorders>
              <w:top w:val="single" w:sz="4" w:space="0" w:color="auto"/>
            </w:tcBorders>
            <w:vAlign w:val="center"/>
          </w:tcPr>
          <w:p w14:paraId="77D503B1" w14:textId="77777777" w:rsidR="0094086E" w:rsidRPr="007933E3" w:rsidRDefault="0094086E" w:rsidP="00E51BAB">
            <w:pPr>
              <w:pStyle w:val="Tabletext"/>
              <w:spacing w:before="40" w:after="40"/>
              <w:rPr>
                <w:color w:val="000000"/>
                <w:szCs w:val="18"/>
                <w:u w:val="double"/>
              </w:rPr>
            </w:pPr>
            <w:r w:rsidRPr="007933E3">
              <w:rPr>
                <w:szCs w:val="18"/>
              </w:rPr>
              <w:t>Fathead minnow</w:t>
            </w:r>
          </w:p>
        </w:tc>
      </w:tr>
      <w:tr w:rsidR="0094086E" w:rsidRPr="007933E3" w14:paraId="21A2EA60" w14:textId="77777777" w:rsidTr="00E51BAB">
        <w:trPr>
          <w:jc w:val="center"/>
        </w:trPr>
        <w:tc>
          <w:tcPr>
            <w:tcW w:w="1921" w:type="dxa"/>
            <w:vMerge/>
            <w:vAlign w:val="center"/>
          </w:tcPr>
          <w:p w14:paraId="69BCD34D" w14:textId="77777777" w:rsidR="0094086E" w:rsidRPr="007933E3" w:rsidRDefault="0094086E" w:rsidP="00E51BAB">
            <w:pPr>
              <w:spacing w:before="40" w:after="40"/>
              <w:jc w:val="center"/>
              <w:rPr>
                <w:rFonts w:ascii="Arial" w:hAnsi="Arial" w:cs="Arial"/>
                <w:sz w:val="18"/>
                <w:szCs w:val="18"/>
                <w:u w:val="double"/>
              </w:rPr>
            </w:pPr>
          </w:p>
        </w:tc>
        <w:tc>
          <w:tcPr>
            <w:tcW w:w="2158" w:type="dxa"/>
            <w:tcBorders>
              <w:top w:val="single" w:sz="4" w:space="0" w:color="auto"/>
            </w:tcBorders>
            <w:shd w:val="clear" w:color="auto" w:fill="auto"/>
            <w:vAlign w:val="center"/>
          </w:tcPr>
          <w:p w14:paraId="0C032A36" w14:textId="77777777" w:rsidR="0094086E" w:rsidRPr="007933E3" w:rsidRDefault="0094086E" w:rsidP="00E51BAB">
            <w:pPr>
              <w:pStyle w:val="Tabletext"/>
              <w:spacing w:before="40" w:after="40"/>
              <w:rPr>
                <w:i/>
                <w:szCs w:val="18"/>
                <w:u w:val="double"/>
                <w:lang w:val="en-GB"/>
              </w:rPr>
            </w:pPr>
            <w:r w:rsidRPr="007933E3">
              <w:rPr>
                <w:i/>
                <w:szCs w:val="18"/>
              </w:rPr>
              <w:t>Rutilus kutum</w:t>
            </w:r>
          </w:p>
        </w:tc>
        <w:tc>
          <w:tcPr>
            <w:tcW w:w="2158" w:type="dxa"/>
            <w:tcBorders>
              <w:top w:val="single" w:sz="4" w:space="0" w:color="auto"/>
            </w:tcBorders>
            <w:vAlign w:val="center"/>
          </w:tcPr>
          <w:p w14:paraId="7077090B" w14:textId="77777777" w:rsidR="0094086E" w:rsidRPr="007933E3" w:rsidRDefault="0094086E" w:rsidP="00E51BAB">
            <w:pPr>
              <w:pStyle w:val="Tabletext"/>
              <w:spacing w:before="40" w:after="40"/>
              <w:rPr>
                <w:iCs/>
                <w:szCs w:val="18"/>
                <w:u w:val="double"/>
                <w:lang w:val="en-GB"/>
              </w:rPr>
            </w:pPr>
            <w:r w:rsidRPr="007933E3">
              <w:rPr>
                <w:szCs w:val="18"/>
              </w:rPr>
              <w:t>Caspian white fish</w:t>
            </w:r>
          </w:p>
        </w:tc>
      </w:tr>
      <w:tr w:rsidR="0094086E" w:rsidRPr="007933E3" w14:paraId="21EEAE48" w14:textId="77777777" w:rsidTr="00E51BAB">
        <w:trPr>
          <w:jc w:val="center"/>
        </w:trPr>
        <w:tc>
          <w:tcPr>
            <w:tcW w:w="1921" w:type="dxa"/>
            <w:vMerge/>
            <w:vAlign w:val="center"/>
          </w:tcPr>
          <w:p w14:paraId="020636A0" w14:textId="77777777" w:rsidR="0094086E" w:rsidRPr="007933E3" w:rsidRDefault="0094086E" w:rsidP="00E51BAB">
            <w:pPr>
              <w:spacing w:before="40" w:after="40"/>
              <w:jc w:val="center"/>
              <w:rPr>
                <w:rFonts w:ascii="Arial" w:hAnsi="Arial" w:cs="Arial"/>
                <w:sz w:val="18"/>
                <w:szCs w:val="18"/>
                <w:u w:val="double"/>
              </w:rPr>
            </w:pPr>
          </w:p>
        </w:tc>
        <w:tc>
          <w:tcPr>
            <w:tcW w:w="2158" w:type="dxa"/>
            <w:tcBorders>
              <w:top w:val="single" w:sz="4" w:space="0" w:color="auto"/>
            </w:tcBorders>
            <w:shd w:val="clear" w:color="auto" w:fill="auto"/>
            <w:vAlign w:val="center"/>
          </w:tcPr>
          <w:p w14:paraId="436A521F" w14:textId="77777777" w:rsidR="0094086E" w:rsidRPr="007933E3" w:rsidRDefault="0094086E" w:rsidP="00E51BAB">
            <w:pPr>
              <w:pStyle w:val="Tabletext"/>
              <w:spacing w:before="40" w:after="40"/>
              <w:rPr>
                <w:i/>
                <w:szCs w:val="18"/>
                <w:u w:val="double"/>
                <w:lang w:val="en-GB"/>
              </w:rPr>
            </w:pPr>
            <w:r w:rsidRPr="007933E3">
              <w:rPr>
                <w:i/>
                <w:szCs w:val="18"/>
              </w:rPr>
              <w:t>Rutilus rutilus</w:t>
            </w:r>
          </w:p>
        </w:tc>
        <w:tc>
          <w:tcPr>
            <w:tcW w:w="2158" w:type="dxa"/>
            <w:tcBorders>
              <w:top w:val="single" w:sz="4" w:space="0" w:color="auto"/>
            </w:tcBorders>
            <w:vAlign w:val="center"/>
          </w:tcPr>
          <w:p w14:paraId="60DD395E" w14:textId="77777777" w:rsidR="0094086E" w:rsidRPr="007933E3" w:rsidRDefault="0094086E" w:rsidP="00E51BAB">
            <w:pPr>
              <w:pStyle w:val="Tabletext"/>
              <w:spacing w:before="40" w:after="40"/>
              <w:rPr>
                <w:iCs/>
                <w:szCs w:val="18"/>
                <w:u w:val="double"/>
                <w:lang w:val="en-GB"/>
              </w:rPr>
            </w:pPr>
            <w:r w:rsidRPr="007933E3">
              <w:rPr>
                <w:szCs w:val="18"/>
              </w:rPr>
              <w:t>Roach</w:t>
            </w:r>
          </w:p>
        </w:tc>
      </w:tr>
      <w:tr w:rsidR="0094086E" w:rsidRPr="007933E3" w14:paraId="64931E01" w14:textId="77777777" w:rsidTr="00E51BAB">
        <w:trPr>
          <w:jc w:val="center"/>
        </w:trPr>
        <w:tc>
          <w:tcPr>
            <w:tcW w:w="1921" w:type="dxa"/>
            <w:vAlign w:val="center"/>
          </w:tcPr>
          <w:p w14:paraId="5CA0BF8B" w14:textId="77777777" w:rsidR="0094086E" w:rsidRPr="007933E3" w:rsidRDefault="00831075" w:rsidP="00E51BAB">
            <w:pPr>
              <w:pStyle w:val="Tabletext"/>
              <w:spacing w:before="40" w:after="40"/>
              <w:rPr>
                <w:szCs w:val="18"/>
                <w:u w:val="double"/>
                <w:lang w:val="en-GB"/>
              </w:rPr>
            </w:pPr>
            <w:hyperlink r:id="rId52" w:history="1">
              <w:r w:rsidR="0094086E" w:rsidRPr="007933E3">
                <w:rPr>
                  <w:szCs w:val="18"/>
                </w:rPr>
                <w:t>Siluridae</w:t>
              </w:r>
            </w:hyperlink>
          </w:p>
        </w:tc>
        <w:tc>
          <w:tcPr>
            <w:tcW w:w="2158" w:type="dxa"/>
            <w:tcBorders>
              <w:top w:val="single" w:sz="4" w:space="0" w:color="auto"/>
            </w:tcBorders>
            <w:shd w:val="clear" w:color="auto" w:fill="auto"/>
            <w:vAlign w:val="center"/>
          </w:tcPr>
          <w:p w14:paraId="1DE12AF7" w14:textId="77777777" w:rsidR="0094086E" w:rsidRPr="007933E3" w:rsidRDefault="0094086E" w:rsidP="00E51BAB">
            <w:pPr>
              <w:pStyle w:val="Tabletext"/>
              <w:spacing w:before="40" w:after="40"/>
              <w:rPr>
                <w:i/>
                <w:szCs w:val="18"/>
                <w:u w:val="double"/>
                <w:lang w:val="en-GB"/>
              </w:rPr>
            </w:pPr>
            <w:r w:rsidRPr="007933E3">
              <w:rPr>
                <w:i/>
                <w:szCs w:val="18"/>
              </w:rPr>
              <w:t>Silurus</w:t>
            </w:r>
            <w:r w:rsidRPr="007933E3">
              <w:rPr>
                <w:i/>
                <w:spacing w:val="-7"/>
                <w:szCs w:val="18"/>
              </w:rPr>
              <w:t xml:space="preserve"> </w:t>
            </w:r>
            <w:r w:rsidRPr="007933E3">
              <w:rPr>
                <w:i/>
                <w:szCs w:val="18"/>
              </w:rPr>
              <w:t>glanis</w:t>
            </w:r>
          </w:p>
        </w:tc>
        <w:tc>
          <w:tcPr>
            <w:tcW w:w="2158" w:type="dxa"/>
            <w:tcBorders>
              <w:top w:val="single" w:sz="4" w:space="0" w:color="auto"/>
            </w:tcBorders>
            <w:vAlign w:val="center"/>
          </w:tcPr>
          <w:p w14:paraId="6239F5AF" w14:textId="23DE3FF7" w:rsidR="0094086E" w:rsidRPr="007933E3" w:rsidRDefault="0094086E" w:rsidP="00E51BAB">
            <w:pPr>
              <w:pStyle w:val="Tabletext"/>
              <w:spacing w:before="40" w:after="40"/>
              <w:rPr>
                <w:iCs/>
                <w:strike/>
                <w:szCs w:val="18"/>
                <w:u w:val="double"/>
                <w:lang w:val="en-GB"/>
              </w:rPr>
            </w:pPr>
            <w:r w:rsidRPr="007933E3">
              <w:rPr>
                <w:strike/>
                <w:szCs w:val="18"/>
                <w:highlight w:val="yellow"/>
              </w:rPr>
              <w:t>Sheatfish (also known as European or wels catfish)</w:t>
            </w:r>
            <w:r w:rsidR="00015606" w:rsidRPr="007933E3">
              <w:rPr>
                <w:szCs w:val="18"/>
              </w:rPr>
              <w:t xml:space="preserve"> </w:t>
            </w:r>
            <w:r w:rsidR="00015606" w:rsidRPr="007933E3">
              <w:rPr>
                <w:szCs w:val="18"/>
                <w:highlight w:val="yellow"/>
                <w:u w:val="double"/>
              </w:rPr>
              <w:t>Wels catfish</w:t>
            </w:r>
          </w:p>
        </w:tc>
      </w:tr>
    </w:tbl>
    <w:p w14:paraId="7AF2E79F" w14:textId="77777777" w:rsidR="0094086E" w:rsidRPr="00F024DD" w:rsidRDefault="0094086E" w:rsidP="0094086E">
      <w:pPr>
        <w:spacing w:after="0"/>
        <w:rPr>
          <w:rFonts w:cs="Times New Roman"/>
          <w:szCs w:val="20"/>
        </w:rPr>
      </w:pPr>
    </w:p>
    <w:p w14:paraId="53ACC81B" w14:textId="77777777" w:rsidR="0094086E" w:rsidRPr="00C94C0F" w:rsidRDefault="0094086E" w:rsidP="0094086E">
      <w:pPr>
        <w:pStyle w:val="Corpsdetexte"/>
        <w:jc w:val="center"/>
        <w:rPr>
          <w:rFonts w:ascii="Ottawa" w:hAnsi="Ottawa"/>
        </w:rPr>
      </w:pPr>
      <w:r w:rsidRPr="00C94C0F">
        <w:rPr>
          <w:rFonts w:ascii="Ottawa" w:hAnsi="Ottawa"/>
        </w:rPr>
        <w:t>[…]</w:t>
      </w:r>
    </w:p>
    <w:p w14:paraId="7C02B705" w14:textId="0E97A637" w:rsidR="007A2C72" w:rsidRDefault="0094086E" w:rsidP="00E356C7">
      <w:pPr>
        <w:spacing w:after="720"/>
        <w:ind w:right="51"/>
        <w:jc w:val="center"/>
        <w:rPr>
          <w:rFonts w:eastAsia="MS Mincho" w:cs="Times New Roman"/>
          <w:kern w:val="2"/>
          <w:szCs w:val="20"/>
        </w:rPr>
      </w:pPr>
      <w:r w:rsidRPr="00C94C0F">
        <w:rPr>
          <w:rFonts w:eastAsia="MS Mincho" w:cs="Times New Roman"/>
          <w:kern w:val="2"/>
          <w:szCs w:val="20"/>
        </w:rPr>
        <w:t>____________________________</w:t>
      </w:r>
    </w:p>
    <w:p w14:paraId="3E49239B" w14:textId="77777777" w:rsidR="00796F38" w:rsidRDefault="00796F38" w:rsidP="00E356C7">
      <w:pPr>
        <w:spacing w:after="720"/>
        <w:ind w:right="51"/>
        <w:jc w:val="center"/>
        <w:rPr>
          <w:rFonts w:eastAsia="MS Mincho" w:cs="Times New Roman"/>
          <w:kern w:val="2"/>
          <w:szCs w:val="20"/>
        </w:rPr>
        <w:sectPr w:rsidR="00796F38" w:rsidSect="00796F38">
          <w:type w:val="oddPage"/>
          <w:pgSz w:w="11906" w:h="16838"/>
          <w:pgMar w:top="1440" w:right="1440" w:bottom="1440" w:left="1440" w:header="708" w:footer="708" w:gutter="0"/>
          <w:cols w:space="708"/>
          <w:docGrid w:linePitch="360"/>
        </w:sectPr>
      </w:pPr>
    </w:p>
    <w:p w14:paraId="67F7910D" w14:textId="15EA0A9E" w:rsidR="0094086E" w:rsidRPr="006A2D15" w:rsidRDefault="00796F38" w:rsidP="006A2D15">
      <w:pPr>
        <w:pStyle w:val="Titre4"/>
        <w:spacing w:before="0" w:after="480" w:line="240" w:lineRule="auto"/>
        <w:ind w:left="720"/>
        <w:jc w:val="right"/>
        <w:rPr>
          <w:rFonts w:ascii="Times New Roman" w:hAnsi="Times New Roman" w:cs="Times New Roman"/>
          <w:i w:val="0"/>
          <w:iCs w:val="0"/>
          <w:color w:val="auto"/>
          <w:u w:val="single"/>
          <w:lang w:val="en-US"/>
        </w:rPr>
      </w:pPr>
      <w:bookmarkStart w:id="73" w:name="_Annex_7"/>
      <w:bookmarkEnd w:id="73"/>
      <w:r>
        <w:rPr>
          <w:rFonts w:ascii="Times New Roman" w:hAnsi="Times New Roman" w:cs="Times New Roman"/>
          <w:i w:val="0"/>
          <w:iCs w:val="0"/>
          <w:color w:val="auto"/>
          <w:u w:val="single"/>
          <w:lang w:val="en-US"/>
        </w:rPr>
        <w:lastRenderedPageBreak/>
        <w:t>A</w:t>
      </w:r>
      <w:r w:rsidR="0094086E" w:rsidRPr="006A2D15">
        <w:rPr>
          <w:rFonts w:ascii="Times New Roman" w:hAnsi="Times New Roman" w:cs="Times New Roman"/>
          <w:i w:val="0"/>
          <w:iCs w:val="0"/>
          <w:color w:val="auto"/>
          <w:u w:val="single"/>
          <w:lang w:val="en-US"/>
        </w:rPr>
        <w:t xml:space="preserve">nnex </w:t>
      </w:r>
      <w:r w:rsidR="00FC6CE0">
        <w:rPr>
          <w:rFonts w:ascii="Times New Roman" w:hAnsi="Times New Roman" w:cs="Times New Roman"/>
          <w:i w:val="0"/>
          <w:iCs w:val="0"/>
          <w:color w:val="auto"/>
          <w:u w:val="single"/>
          <w:lang w:val="en-US"/>
        </w:rPr>
        <w:t>6</w:t>
      </w:r>
    </w:p>
    <w:p w14:paraId="3A98DE9F" w14:textId="5419A9E1" w:rsidR="00B13C0A" w:rsidRPr="007933E3" w:rsidRDefault="0094086E" w:rsidP="00E27870">
      <w:pPr>
        <w:jc w:val="center"/>
        <w:rPr>
          <w:rFonts w:ascii="Ottawa" w:hAnsi="Ottawa"/>
          <w:b/>
          <w:bCs/>
          <w:spacing w:val="57"/>
          <w:sz w:val="28"/>
          <w:szCs w:val="28"/>
        </w:rPr>
      </w:pPr>
      <w:bookmarkStart w:id="74" w:name="_Toc36627894"/>
      <w:bookmarkStart w:id="75" w:name="_Toc36712647"/>
      <w:r w:rsidRPr="007933E3">
        <w:rPr>
          <w:rFonts w:ascii="Ottawa" w:hAnsi="Ottawa"/>
          <w:spacing w:val="57"/>
          <w:sz w:val="24"/>
          <w:szCs w:val="24"/>
        </w:rPr>
        <w:t xml:space="preserve">CHAPTER </w:t>
      </w:r>
      <w:bookmarkStart w:id="76" w:name="_bookmark414"/>
      <w:bookmarkEnd w:id="76"/>
      <w:r w:rsidRPr="007933E3">
        <w:rPr>
          <w:rFonts w:ascii="Ottawa" w:hAnsi="Ottawa"/>
          <w:spacing w:val="57"/>
          <w:sz w:val="24"/>
          <w:szCs w:val="24"/>
        </w:rPr>
        <w:t>10.10.</w:t>
      </w:r>
      <w:r w:rsidRPr="007933E3">
        <w:rPr>
          <w:rFonts w:ascii="Ottawa" w:hAnsi="Ottawa"/>
          <w:spacing w:val="57"/>
          <w:sz w:val="24"/>
          <w:szCs w:val="24"/>
        </w:rPr>
        <w:br/>
      </w:r>
      <w:r w:rsidRPr="007933E3">
        <w:rPr>
          <w:rFonts w:cs="Times New Roman"/>
          <w:spacing w:val="57"/>
        </w:rPr>
        <w:br/>
      </w:r>
      <w:bookmarkStart w:id="77" w:name="Infection_with_viral_haemorrhagic_septic"/>
      <w:bookmarkEnd w:id="74"/>
      <w:bookmarkEnd w:id="75"/>
      <w:bookmarkEnd w:id="77"/>
      <w:r w:rsidR="00B13C0A" w:rsidRPr="007933E3">
        <w:rPr>
          <w:rFonts w:ascii="Ottawa" w:hAnsi="Ottawa"/>
          <w:b/>
          <w:bCs/>
          <w:spacing w:val="57"/>
          <w:sz w:val="28"/>
          <w:szCs w:val="28"/>
        </w:rPr>
        <w:t>INFECTION WITH VIRAL HAEMORRHAGIC SEPTICAEMIA VIRUS</w:t>
      </w:r>
    </w:p>
    <w:p w14:paraId="1BBD9E03" w14:textId="77777777" w:rsidR="0094086E" w:rsidRPr="007933E3" w:rsidRDefault="0094086E" w:rsidP="0094086E">
      <w:pPr>
        <w:pStyle w:val="Corpsdetexte"/>
        <w:spacing w:after="120"/>
        <w:jc w:val="center"/>
        <w:rPr>
          <w:rFonts w:ascii="Ottawa" w:hAnsi="Ottawa"/>
        </w:rPr>
      </w:pPr>
      <w:r w:rsidRPr="007933E3">
        <w:rPr>
          <w:rFonts w:ascii="Ottawa" w:hAnsi="Ottawa"/>
        </w:rPr>
        <w:t>[…]</w:t>
      </w:r>
    </w:p>
    <w:p w14:paraId="546389A4" w14:textId="77777777" w:rsidR="0094086E" w:rsidRPr="007933E3" w:rsidRDefault="0094086E" w:rsidP="0094086E">
      <w:pPr>
        <w:pStyle w:val="Titre4"/>
        <w:spacing w:before="0" w:after="120"/>
        <w:ind w:left="720" w:right="486"/>
        <w:jc w:val="center"/>
        <w:rPr>
          <w:rFonts w:ascii="Ottawa" w:hAnsi="Ottawa" w:cs="Times New Roman"/>
          <w:i w:val="0"/>
          <w:color w:val="auto"/>
          <w:sz w:val="18"/>
          <w:szCs w:val="18"/>
        </w:rPr>
      </w:pPr>
      <w:bookmarkStart w:id="78" w:name="_bookmark415"/>
      <w:bookmarkEnd w:id="78"/>
    </w:p>
    <w:p w14:paraId="09A44D65" w14:textId="77777777" w:rsidR="0094086E" w:rsidRPr="007933E3" w:rsidRDefault="0094086E" w:rsidP="00B13C0A">
      <w:pPr>
        <w:jc w:val="center"/>
        <w:rPr>
          <w:rFonts w:ascii="Ottawa" w:hAnsi="Ottawa"/>
          <w:i/>
          <w:sz w:val="18"/>
          <w:szCs w:val="18"/>
        </w:rPr>
      </w:pPr>
      <w:r w:rsidRPr="007933E3">
        <w:rPr>
          <w:rFonts w:ascii="Ottawa" w:hAnsi="Ottawa"/>
          <w:sz w:val="18"/>
          <w:szCs w:val="18"/>
        </w:rPr>
        <w:t>Article 10.10.2.</w:t>
      </w:r>
    </w:p>
    <w:p w14:paraId="7F39D5FB" w14:textId="77777777" w:rsidR="0094086E" w:rsidRPr="007933E3" w:rsidRDefault="0094086E" w:rsidP="0094086E">
      <w:pPr>
        <w:spacing w:after="240" w:line="240" w:lineRule="auto"/>
        <w:ind w:left="108"/>
        <w:rPr>
          <w:rFonts w:ascii="Ottawa" w:hAnsi="Ottawa" w:cs="Arial"/>
          <w:b/>
          <w:w w:val="95"/>
          <w:sz w:val="18"/>
          <w:szCs w:val="18"/>
        </w:rPr>
      </w:pPr>
      <w:r w:rsidRPr="007933E3">
        <w:rPr>
          <w:rFonts w:ascii="Ottawa" w:hAnsi="Ottawa" w:cs="Arial"/>
          <w:b/>
          <w:w w:val="95"/>
          <w:sz w:val="18"/>
          <w:szCs w:val="18"/>
        </w:rPr>
        <w:t>Scope</w:t>
      </w:r>
    </w:p>
    <w:p w14:paraId="68D30A86" w14:textId="77777777" w:rsidR="0094086E" w:rsidRPr="007933E3" w:rsidRDefault="0094086E" w:rsidP="0094086E">
      <w:pPr>
        <w:spacing w:after="240" w:line="254" w:lineRule="auto"/>
        <w:ind w:left="108" w:right="119"/>
        <w:jc w:val="both"/>
        <w:rPr>
          <w:rFonts w:ascii="Arial" w:hAnsi="Arial" w:cs="Arial"/>
          <w:strike/>
          <w:sz w:val="18"/>
          <w:szCs w:val="18"/>
        </w:rPr>
      </w:pPr>
      <w:r w:rsidRPr="007933E3">
        <w:rPr>
          <w:rFonts w:ascii="Arial" w:hAnsi="Arial" w:cs="Arial"/>
          <w:sz w:val="18"/>
          <w:szCs w:val="18"/>
        </w:rPr>
        <w:t>The</w:t>
      </w:r>
      <w:r w:rsidRPr="007933E3">
        <w:rPr>
          <w:rFonts w:ascii="Arial" w:hAnsi="Arial" w:cs="Arial"/>
          <w:spacing w:val="-14"/>
          <w:sz w:val="18"/>
          <w:szCs w:val="18"/>
        </w:rPr>
        <w:t xml:space="preserve"> </w:t>
      </w:r>
      <w:r w:rsidRPr="007933E3">
        <w:rPr>
          <w:rFonts w:ascii="Arial" w:hAnsi="Arial" w:cs="Arial"/>
          <w:sz w:val="18"/>
          <w:szCs w:val="18"/>
        </w:rPr>
        <w:t>recommendations</w:t>
      </w:r>
      <w:r w:rsidRPr="007933E3">
        <w:rPr>
          <w:rFonts w:ascii="Arial" w:hAnsi="Arial" w:cs="Arial"/>
          <w:spacing w:val="-13"/>
          <w:sz w:val="18"/>
          <w:szCs w:val="18"/>
        </w:rPr>
        <w:t xml:space="preserve"> </w:t>
      </w:r>
      <w:r w:rsidRPr="007933E3">
        <w:rPr>
          <w:rFonts w:ascii="Arial" w:hAnsi="Arial" w:cs="Arial"/>
          <w:sz w:val="18"/>
          <w:szCs w:val="18"/>
        </w:rPr>
        <w:t>in</w:t>
      </w:r>
      <w:r w:rsidRPr="007933E3">
        <w:rPr>
          <w:rFonts w:ascii="Arial" w:hAnsi="Arial" w:cs="Arial"/>
          <w:spacing w:val="-13"/>
          <w:sz w:val="18"/>
          <w:szCs w:val="18"/>
        </w:rPr>
        <w:t xml:space="preserve"> </w:t>
      </w:r>
      <w:r w:rsidRPr="007933E3">
        <w:rPr>
          <w:rFonts w:ascii="Arial" w:hAnsi="Arial" w:cs="Arial"/>
          <w:sz w:val="18"/>
          <w:szCs w:val="18"/>
        </w:rPr>
        <w:t>this</w:t>
      </w:r>
      <w:r w:rsidRPr="007933E3">
        <w:rPr>
          <w:rFonts w:ascii="Arial" w:hAnsi="Arial" w:cs="Arial"/>
          <w:spacing w:val="-13"/>
          <w:sz w:val="18"/>
          <w:szCs w:val="18"/>
        </w:rPr>
        <w:t xml:space="preserve"> </w:t>
      </w:r>
      <w:r w:rsidRPr="007933E3">
        <w:rPr>
          <w:rFonts w:ascii="Arial" w:hAnsi="Arial" w:cs="Arial"/>
          <w:sz w:val="18"/>
          <w:szCs w:val="18"/>
        </w:rPr>
        <w:t>chapter</w:t>
      </w:r>
      <w:r w:rsidRPr="007933E3">
        <w:rPr>
          <w:rFonts w:ascii="Arial" w:hAnsi="Arial" w:cs="Arial"/>
          <w:spacing w:val="-13"/>
          <w:sz w:val="18"/>
          <w:szCs w:val="18"/>
        </w:rPr>
        <w:t xml:space="preserve"> </w:t>
      </w:r>
      <w:r w:rsidRPr="007933E3">
        <w:rPr>
          <w:rFonts w:ascii="Arial" w:hAnsi="Arial" w:cs="Arial"/>
          <w:sz w:val="18"/>
          <w:szCs w:val="18"/>
        </w:rPr>
        <w:t>apply</w:t>
      </w:r>
      <w:r w:rsidRPr="007933E3">
        <w:rPr>
          <w:rFonts w:ascii="Arial" w:hAnsi="Arial" w:cs="Arial"/>
          <w:spacing w:val="-13"/>
          <w:sz w:val="18"/>
          <w:szCs w:val="18"/>
        </w:rPr>
        <w:t xml:space="preserve"> </w:t>
      </w:r>
      <w:r w:rsidRPr="007933E3">
        <w:rPr>
          <w:rFonts w:ascii="Arial" w:hAnsi="Arial" w:cs="Arial"/>
          <w:sz w:val="18"/>
          <w:szCs w:val="18"/>
        </w:rPr>
        <w:t xml:space="preserve">to </w:t>
      </w:r>
      <w:r w:rsidRPr="007933E3">
        <w:rPr>
          <w:rFonts w:ascii="Arial" w:hAnsi="Arial" w:cs="Arial"/>
          <w:sz w:val="18"/>
          <w:szCs w:val="18"/>
          <w:u w:val="double"/>
        </w:rPr>
        <w:t>the following species that meet the criteria for listing as susceptible in accordance with Chapter 1.5.</w:t>
      </w:r>
      <w:r w:rsidRPr="007933E3">
        <w:rPr>
          <w:rFonts w:ascii="Arial" w:hAnsi="Arial" w:cs="Arial"/>
          <w:strike/>
          <w:sz w:val="18"/>
          <w:szCs w:val="18"/>
        </w:rPr>
        <w:t>:</w:t>
      </w:r>
      <w:r w:rsidRPr="007933E3">
        <w:rPr>
          <w:rFonts w:ascii="Arial" w:hAnsi="Arial" w:cs="Arial"/>
          <w:strike/>
          <w:spacing w:val="-14"/>
          <w:sz w:val="18"/>
          <w:szCs w:val="18"/>
        </w:rPr>
        <w:t xml:space="preserve"> </w:t>
      </w:r>
      <w:r w:rsidRPr="007933E3">
        <w:rPr>
          <w:rFonts w:ascii="Arial" w:hAnsi="Arial" w:cs="Arial"/>
          <w:strike/>
          <w:sz w:val="18"/>
          <w:szCs w:val="18"/>
        </w:rPr>
        <w:t>rainbow</w:t>
      </w:r>
      <w:r w:rsidRPr="007933E3">
        <w:rPr>
          <w:rFonts w:ascii="Arial" w:hAnsi="Arial" w:cs="Arial"/>
          <w:strike/>
          <w:spacing w:val="-13"/>
          <w:sz w:val="18"/>
          <w:szCs w:val="18"/>
        </w:rPr>
        <w:t xml:space="preserve"> </w:t>
      </w:r>
      <w:r w:rsidRPr="007933E3">
        <w:rPr>
          <w:rFonts w:ascii="Arial" w:hAnsi="Arial" w:cs="Arial"/>
          <w:strike/>
          <w:sz w:val="18"/>
          <w:szCs w:val="18"/>
        </w:rPr>
        <w:t>trout</w:t>
      </w:r>
      <w:r w:rsidRPr="007933E3">
        <w:rPr>
          <w:rFonts w:ascii="Arial" w:hAnsi="Arial" w:cs="Arial"/>
          <w:strike/>
          <w:spacing w:val="-14"/>
          <w:sz w:val="18"/>
          <w:szCs w:val="18"/>
        </w:rPr>
        <w:t xml:space="preserve"> </w:t>
      </w:r>
      <w:r w:rsidRPr="007933E3">
        <w:rPr>
          <w:rFonts w:ascii="Arial" w:hAnsi="Arial" w:cs="Arial"/>
          <w:i/>
          <w:strike/>
          <w:sz w:val="18"/>
          <w:szCs w:val="18"/>
        </w:rPr>
        <w:t>(Oncorhynchus</w:t>
      </w:r>
      <w:r w:rsidRPr="007933E3">
        <w:rPr>
          <w:rFonts w:ascii="Arial" w:hAnsi="Arial" w:cs="Arial"/>
          <w:i/>
          <w:strike/>
          <w:spacing w:val="-13"/>
          <w:sz w:val="18"/>
          <w:szCs w:val="18"/>
        </w:rPr>
        <w:t xml:space="preserve"> </w:t>
      </w:r>
      <w:r w:rsidRPr="007933E3">
        <w:rPr>
          <w:rFonts w:ascii="Arial" w:hAnsi="Arial" w:cs="Arial"/>
          <w:i/>
          <w:strike/>
          <w:sz w:val="18"/>
          <w:szCs w:val="18"/>
        </w:rPr>
        <w:t>mykiss)</w:t>
      </w:r>
      <w:r w:rsidRPr="007933E3">
        <w:rPr>
          <w:rFonts w:ascii="Arial" w:hAnsi="Arial" w:cs="Arial"/>
          <w:strike/>
          <w:sz w:val="18"/>
          <w:szCs w:val="18"/>
        </w:rPr>
        <w:t>,</w:t>
      </w:r>
      <w:r w:rsidRPr="007933E3">
        <w:rPr>
          <w:rFonts w:ascii="Arial" w:hAnsi="Arial" w:cs="Arial"/>
          <w:strike/>
          <w:spacing w:val="-13"/>
          <w:sz w:val="18"/>
          <w:szCs w:val="18"/>
        </w:rPr>
        <w:t xml:space="preserve"> </w:t>
      </w:r>
      <w:r w:rsidRPr="007933E3">
        <w:rPr>
          <w:rFonts w:ascii="Arial" w:hAnsi="Arial" w:cs="Arial"/>
          <w:strike/>
          <w:sz w:val="18"/>
          <w:szCs w:val="18"/>
        </w:rPr>
        <w:t>brown</w:t>
      </w:r>
      <w:r w:rsidRPr="007933E3">
        <w:rPr>
          <w:rFonts w:ascii="Arial" w:hAnsi="Arial" w:cs="Arial"/>
          <w:strike/>
          <w:spacing w:val="-13"/>
          <w:sz w:val="18"/>
          <w:szCs w:val="18"/>
        </w:rPr>
        <w:t xml:space="preserve"> </w:t>
      </w:r>
      <w:r w:rsidRPr="007933E3">
        <w:rPr>
          <w:rFonts w:ascii="Arial" w:hAnsi="Arial" w:cs="Arial"/>
          <w:strike/>
          <w:sz w:val="18"/>
          <w:szCs w:val="18"/>
        </w:rPr>
        <w:t>trout</w:t>
      </w:r>
      <w:r w:rsidRPr="007933E3">
        <w:rPr>
          <w:rFonts w:ascii="Arial" w:hAnsi="Arial" w:cs="Arial"/>
          <w:strike/>
          <w:spacing w:val="-14"/>
          <w:sz w:val="18"/>
          <w:szCs w:val="18"/>
        </w:rPr>
        <w:t xml:space="preserve"> </w:t>
      </w:r>
      <w:r w:rsidRPr="007933E3">
        <w:rPr>
          <w:rFonts w:ascii="Arial" w:hAnsi="Arial" w:cs="Arial"/>
          <w:i/>
          <w:strike/>
          <w:sz w:val="18"/>
          <w:szCs w:val="18"/>
        </w:rPr>
        <w:t>(Salmo</w:t>
      </w:r>
      <w:r w:rsidRPr="007933E3">
        <w:rPr>
          <w:rFonts w:ascii="Arial" w:hAnsi="Arial" w:cs="Arial"/>
          <w:i/>
          <w:strike/>
          <w:spacing w:val="-13"/>
          <w:sz w:val="18"/>
          <w:szCs w:val="18"/>
        </w:rPr>
        <w:t xml:space="preserve"> </w:t>
      </w:r>
      <w:r w:rsidRPr="007933E3">
        <w:rPr>
          <w:rFonts w:ascii="Arial" w:hAnsi="Arial" w:cs="Arial"/>
          <w:i/>
          <w:strike/>
          <w:sz w:val="18"/>
          <w:szCs w:val="18"/>
        </w:rPr>
        <w:t>trutta)</w:t>
      </w:r>
      <w:r w:rsidRPr="007933E3">
        <w:rPr>
          <w:rFonts w:ascii="Arial" w:hAnsi="Arial" w:cs="Arial"/>
          <w:strike/>
          <w:sz w:val="18"/>
          <w:szCs w:val="18"/>
        </w:rPr>
        <w:t>,</w:t>
      </w:r>
      <w:r w:rsidRPr="007933E3">
        <w:rPr>
          <w:rFonts w:ascii="Arial" w:hAnsi="Arial" w:cs="Arial"/>
          <w:strike/>
          <w:spacing w:val="-13"/>
          <w:sz w:val="18"/>
          <w:szCs w:val="18"/>
        </w:rPr>
        <w:t xml:space="preserve"> </w:t>
      </w:r>
      <w:r w:rsidRPr="007933E3">
        <w:rPr>
          <w:rFonts w:ascii="Arial" w:hAnsi="Arial" w:cs="Arial"/>
          <w:strike/>
          <w:sz w:val="18"/>
          <w:szCs w:val="18"/>
        </w:rPr>
        <w:t xml:space="preserve">grayling </w:t>
      </w:r>
      <w:r w:rsidRPr="007933E3">
        <w:rPr>
          <w:rFonts w:ascii="Arial" w:hAnsi="Arial" w:cs="Arial"/>
          <w:i/>
          <w:strike/>
          <w:sz w:val="18"/>
          <w:szCs w:val="18"/>
        </w:rPr>
        <w:t>(Thymallus thymallus)</w:t>
      </w:r>
      <w:r w:rsidRPr="007933E3">
        <w:rPr>
          <w:rFonts w:ascii="Arial" w:hAnsi="Arial" w:cs="Arial"/>
          <w:strike/>
          <w:sz w:val="18"/>
          <w:szCs w:val="18"/>
        </w:rPr>
        <w:t>, white fish (</w:t>
      </w:r>
      <w:r w:rsidRPr="007933E3">
        <w:rPr>
          <w:rFonts w:ascii="Arial" w:hAnsi="Arial" w:cs="Arial"/>
          <w:i/>
          <w:strike/>
          <w:sz w:val="18"/>
          <w:szCs w:val="18"/>
        </w:rPr>
        <w:t xml:space="preserve">Coregonus </w:t>
      </w:r>
      <w:r w:rsidRPr="007933E3">
        <w:rPr>
          <w:rFonts w:ascii="Arial" w:hAnsi="Arial" w:cs="Arial"/>
          <w:strike/>
          <w:sz w:val="18"/>
          <w:szCs w:val="18"/>
        </w:rPr>
        <w:t xml:space="preserve">spp.), pike </w:t>
      </w:r>
      <w:r w:rsidRPr="007933E3">
        <w:rPr>
          <w:rFonts w:ascii="Arial" w:hAnsi="Arial" w:cs="Arial"/>
          <w:i/>
          <w:strike/>
          <w:sz w:val="18"/>
          <w:szCs w:val="18"/>
        </w:rPr>
        <w:t>(Esox lucius)</w:t>
      </w:r>
      <w:r w:rsidRPr="007933E3">
        <w:rPr>
          <w:rFonts w:ascii="Arial" w:hAnsi="Arial" w:cs="Arial"/>
          <w:strike/>
          <w:sz w:val="18"/>
          <w:szCs w:val="18"/>
        </w:rPr>
        <w:t xml:space="preserve">, turbot </w:t>
      </w:r>
      <w:r w:rsidRPr="007933E3">
        <w:rPr>
          <w:rFonts w:ascii="Arial" w:hAnsi="Arial" w:cs="Arial"/>
          <w:i/>
          <w:strike/>
          <w:sz w:val="18"/>
          <w:szCs w:val="18"/>
        </w:rPr>
        <w:t>(Scophthalmus maximus)</w:t>
      </w:r>
      <w:r w:rsidRPr="007933E3">
        <w:rPr>
          <w:rFonts w:ascii="Arial" w:hAnsi="Arial" w:cs="Arial"/>
          <w:strike/>
          <w:sz w:val="18"/>
          <w:szCs w:val="18"/>
        </w:rPr>
        <w:t>, herring and sprat (</w:t>
      </w:r>
      <w:r w:rsidRPr="007933E3">
        <w:rPr>
          <w:rFonts w:ascii="Arial" w:hAnsi="Arial" w:cs="Arial"/>
          <w:i/>
          <w:strike/>
          <w:sz w:val="18"/>
          <w:szCs w:val="18"/>
        </w:rPr>
        <w:t xml:space="preserve">Clupea </w:t>
      </w:r>
      <w:r w:rsidRPr="007933E3">
        <w:rPr>
          <w:rFonts w:ascii="Arial" w:hAnsi="Arial" w:cs="Arial"/>
          <w:strike/>
          <w:sz w:val="18"/>
          <w:szCs w:val="18"/>
        </w:rPr>
        <w:t>spp.), Pacific salmon (</w:t>
      </w:r>
      <w:r w:rsidRPr="007933E3">
        <w:rPr>
          <w:rFonts w:ascii="Arial" w:hAnsi="Arial" w:cs="Arial"/>
          <w:i/>
          <w:strike/>
          <w:sz w:val="18"/>
          <w:szCs w:val="18"/>
        </w:rPr>
        <w:t xml:space="preserve">Oncorhynchus </w:t>
      </w:r>
      <w:r w:rsidRPr="007933E3">
        <w:rPr>
          <w:rFonts w:ascii="Arial" w:hAnsi="Arial" w:cs="Arial"/>
          <w:strike/>
          <w:sz w:val="18"/>
          <w:szCs w:val="18"/>
        </w:rPr>
        <w:t xml:space="preserve">spp.), Atlantic cod </w:t>
      </w:r>
      <w:r w:rsidRPr="007933E3">
        <w:rPr>
          <w:rFonts w:ascii="Arial" w:hAnsi="Arial" w:cs="Arial"/>
          <w:i/>
          <w:strike/>
          <w:sz w:val="18"/>
          <w:szCs w:val="18"/>
        </w:rPr>
        <w:t>(Gadus morhua)</w:t>
      </w:r>
      <w:r w:rsidRPr="007933E3">
        <w:rPr>
          <w:rFonts w:ascii="Arial" w:hAnsi="Arial" w:cs="Arial"/>
          <w:strike/>
          <w:sz w:val="18"/>
          <w:szCs w:val="18"/>
        </w:rPr>
        <w:t xml:space="preserve">, Pacific cod </w:t>
      </w:r>
      <w:r w:rsidRPr="007933E3">
        <w:rPr>
          <w:rFonts w:ascii="Arial" w:hAnsi="Arial" w:cs="Arial"/>
          <w:i/>
          <w:strike/>
          <w:sz w:val="18"/>
          <w:szCs w:val="18"/>
        </w:rPr>
        <w:t>(Gadus macrocephalus)</w:t>
      </w:r>
      <w:r w:rsidRPr="007933E3">
        <w:rPr>
          <w:rFonts w:ascii="Arial" w:hAnsi="Arial" w:cs="Arial"/>
          <w:strike/>
          <w:sz w:val="18"/>
          <w:szCs w:val="18"/>
        </w:rPr>
        <w:t>,</w:t>
      </w:r>
      <w:r w:rsidRPr="007933E3">
        <w:rPr>
          <w:rFonts w:ascii="Arial" w:hAnsi="Arial" w:cs="Arial"/>
          <w:strike/>
          <w:spacing w:val="-9"/>
          <w:sz w:val="18"/>
          <w:szCs w:val="18"/>
        </w:rPr>
        <w:t xml:space="preserve"> </w:t>
      </w:r>
      <w:r w:rsidRPr="007933E3">
        <w:rPr>
          <w:rFonts w:ascii="Arial" w:hAnsi="Arial" w:cs="Arial"/>
          <w:strike/>
          <w:sz w:val="18"/>
          <w:szCs w:val="18"/>
        </w:rPr>
        <w:t>haddock</w:t>
      </w:r>
      <w:r w:rsidRPr="007933E3">
        <w:rPr>
          <w:rFonts w:ascii="Arial" w:hAnsi="Arial" w:cs="Arial"/>
          <w:strike/>
          <w:spacing w:val="-9"/>
          <w:sz w:val="18"/>
          <w:szCs w:val="18"/>
        </w:rPr>
        <w:t xml:space="preserve"> </w:t>
      </w:r>
      <w:r w:rsidRPr="007933E3">
        <w:rPr>
          <w:rFonts w:ascii="Arial" w:hAnsi="Arial" w:cs="Arial"/>
          <w:i/>
          <w:strike/>
          <w:sz w:val="18"/>
          <w:szCs w:val="18"/>
        </w:rPr>
        <w:t>(Gadus</w:t>
      </w:r>
      <w:r w:rsidRPr="007933E3">
        <w:rPr>
          <w:rFonts w:ascii="Arial" w:hAnsi="Arial" w:cs="Arial"/>
          <w:i/>
          <w:strike/>
          <w:spacing w:val="-10"/>
          <w:sz w:val="18"/>
          <w:szCs w:val="18"/>
        </w:rPr>
        <w:t xml:space="preserve"> </w:t>
      </w:r>
      <w:r w:rsidRPr="007933E3">
        <w:rPr>
          <w:rFonts w:ascii="Arial" w:hAnsi="Arial" w:cs="Arial"/>
          <w:i/>
          <w:strike/>
          <w:sz w:val="18"/>
          <w:szCs w:val="18"/>
        </w:rPr>
        <w:t>aeglefinus)</w:t>
      </w:r>
      <w:r w:rsidRPr="007933E3">
        <w:rPr>
          <w:rFonts w:ascii="Arial" w:hAnsi="Arial" w:cs="Arial"/>
          <w:i/>
          <w:strike/>
          <w:spacing w:val="-9"/>
          <w:sz w:val="18"/>
          <w:szCs w:val="18"/>
        </w:rPr>
        <w:t xml:space="preserve"> </w:t>
      </w:r>
      <w:r w:rsidRPr="007933E3">
        <w:rPr>
          <w:rFonts w:ascii="Arial" w:hAnsi="Arial" w:cs="Arial"/>
          <w:strike/>
          <w:sz w:val="18"/>
          <w:szCs w:val="18"/>
        </w:rPr>
        <w:t>and</w:t>
      </w:r>
      <w:r w:rsidRPr="007933E3">
        <w:rPr>
          <w:rFonts w:ascii="Arial" w:hAnsi="Arial" w:cs="Arial"/>
          <w:strike/>
          <w:spacing w:val="-9"/>
          <w:sz w:val="18"/>
          <w:szCs w:val="18"/>
        </w:rPr>
        <w:t xml:space="preserve"> </w:t>
      </w:r>
      <w:r w:rsidRPr="007933E3">
        <w:rPr>
          <w:rFonts w:ascii="Arial" w:hAnsi="Arial" w:cs="Arial"/>
          <w:strike/>
          <w:sz w:val="18"/>
          <w:szCs w:val="18"/>
        </w:rPr>
        <w:t>rockling</w:t>
      </w:r>
      <w:r w:rsidRPr="007933E3">
        <w:rPr>
          <w:rFonts w:ascii="Arial" w:hAnsi="Arial" w:cs="Arial"/>
          <w:strike/>
          <w:spacing w:val="-10"/>
          <w:sz w:val="18"/>
          <w:szCs w:val="18"/>
        </w:rPr>
        <w:t xml:space="preserve"> </w:t>
      </w:r>
      <w:r w:rsidRPr="007933E3">
        <w:rPr>
          <w:rFonts w:ascii="Arial" w:hAnsi="Arial" w:cs="Arial"/>
          <w:i/>
          <w:strike/>
          <w:sz w:val="18"/>
          <w:szCs w:val="18"/>
        </w:rPr>
        <w:t>(Onos</w:t>
      </w:r>
      <w:r w:rsidRPr="007933E3">
        <w:rPr>
          <w:rFonts w:ascii="Arial" w:hAnsi="Arial" w:cs="Arial"/>
          <w:i/>
          <w:strike/>
          <w:spacing w:val="-9"/>
          <w:sz w:val="18"/>
          <w:szCs w:val="18"/>
        </w:rPr>
        <w:t xml:space="preserve"> </w:t>
      </w:r>
      <w:r w:rsidRPr="007933E3">
        <w:rPr>
          <w:rFonts w:ascii="Arial" w:hAnsi="Arial" w:cs="Arial"/>
          <w:i/>
          <w:strike/>
          <w:sz w:val="18"/>
          <w:szCs w:val="18"/>
        </w:rPr>
        <w:t>mustelus)</w:t>
      </w:r>
      <w:r w:rsidRPr="007933E3">
        <w:rPr>
          <w:rFonts w:ascii="Arial" w:hAnsi="Arial" w:cs="Arial"/>
          <w:strike/>
          <w:sz w:val="18"/>
          <w:szCs w:val="18"/>
        </w:rPr>
        <w:t>.</w:t>
      </w:r>
      <w:r w:rsidRPr="007933E3">
        <w:rPr>
          <w:rFonts w:ascii="Arial" w:hAnsi="Arial" w:cs="Arial"/>
          <w:strike/>
          <w:spacing w:val="-9"/>
          <w:sz w:val="18"/>
          <w:szCs w:val="18"/>
        </w:rPr>
        <w:t xml:space="preserve"> </w:t>
      </w:r>
      <w:r w:rsidRPr="007933E3">
        <w:rPr>
          <w:rFonts w:ascii="Arial" w:hAnsi="Arial" w:cs="Arial"/>
          <w:strike/>
          <w:sz w:val="18"/>
          <w:szCs w:val="18"/>
        </w:rPr>
        <w:t>These</w:t>
      </w:r>
      <w:r w:rsidRPr="007933E3">
        <w:rPr>
          <w:rFonts w:ascii="Arial" w:hAnsi="Arial" w:cs="Arial"/>
          <w:strike/>
          <w:spacing w:val="-10"/>
          <w:sz w:val="18"/>
          <w:szCs w:val="18"/>
        </w:rPr>
        <w:t xml:space="preserve"> </w:t>
      </w:r>
      <w:r w:rsidRPr="007933E3">
        <w:rPr>
          <w:rFonts w:ascii="Arial" w:hAnsi="Arial" w:cs="Arial"/>
          <w:strike/>
          <w:sz w:val="18"/>
          <w:szCs w:val="18"/>
        </w:rPr>
        <w:t>recommendations</w:t>
      </w:r>
      <w:r w:rsidRPr="007933E3">
        <w:rPr>
          <w:rFonts w:ascii="Arial" w:hAnsi="Arial" w:cs="Arial"/>
          <w:strike/>
          <w:spacing w:val="-9"/>
          <w:sz w:val="18"/>
          <w:szCs w:val="18"/>
        </w:rPr>
        <w:t xml:space="preserve"> </w:t>
      </w:r>
      <w:r w:rsidRPr="007933E3">
        <w:rPr>
          <w:rFonts w:ascii="Arial" w:hAnsi="Arial" w:cs="Arial"/>
          <w:strike/>
          <w:sz w:val="18"/>
          <w:szCs w:val="18"/>
        </w:rPr>
        <w:t>also</w:t>
      </w:r>
      <w:r w:rsidRPr="007933E3">
        <w:rPr>
          <w:rFonts w:ascii="Arial" w:hAnsi="Arial" w:cs="Arial"/>
          <w:strike/>
          <w:spacing w:val="-9"/>
          <w:sz w:val="18"/>
          <w:szCs w:val="18"/>
        </w:rPr>
        <w:t xml:space="preserve"> </w:t>
      </w:r>
      <w:r w:rsidRPr="007933E3">
        <w:rPr>
          <w:rFonts w:ascii="Arial" w:hAnsi="Arial" w:cs="Arial"/>
          <w:strike/>
          <w:sz w:val="18"/>
          <w:szCs w:val="18"/>
        </w:rPr>
        <w:t>apply</w:t>
      </w:r>
      <w:r w:rsidRPr="007933E3">
        <w:rPr>
          <w:rFonts w:ascii="Arial" w:hAnsi="Arial" w:cs="Arial"/>
          <w:strike/>
          <w:spacing w:val="-10"/>
          <w:sz w:val="18"/>
          <w:szCs w:val="18"/>
        </w:rPr>
        <w:t xml:space="preserve"> </w:t>
      </w:r>
      <w:r w:rsidRPr="007933E3">
        <w:rPr>
          <w:rFonts w:ascii="Arial" w:hAnsi="Arial" w:cs="Arial"/>
          <w:strike/>
          <w:sz w:val="18"/>
          <w:szCs w:val="18"/>
        </w:rPr>
        <w:t>to</w:t>
      </w:r>
      <w:r w:rsidRPr="007933E3">
        <w:rPr>
          <w:rFonts w:ascii="Arial" w:hAnsi="Arial" w:cs="Arial"/>
          <w:strike/>
          <w:spacing w:val="-9"/>
          <w:sz w:val="18"/>
          <w:szCs w:val="18"/>
        </w:rPr>
        <w:t xml:space="preserve"> </w:t>
      </w:r>
      <w:r w:rsidRPr="007933E3">
        <w:rPr>
          <w:rFonts w:ascii="Arial" w:hAnsi="Arial" w:cs="Arial"/>
          <w:strike/>
          <w:sz w:val="18"/>
          <w:szCs w:val="18"/>
        </w:rPr>
        <w:t xml:space="preserve">any other </w:t>
      </w:r>
      <w:hyperlink w:anchor="_bookmark121" w:history="1">
        <w:r w:rsidRPr="007933E3">
          <w:rPr>
            <w:rFonts w:ascii="Arial" w:hAnsi="Arial" w:cs="Arial"/>
            <w:i/>
            <w:strike/>
            <w:sz w:val="18"/>
            <w:szCs w:val="18"/>
          </w:rPr>
          <w:t xml:space="preserve">susceptible species </w:t>
        </w:r>
      </w:hyperlink>
      <w:r w:rsidRPr="007933E3">
        <w:rPr>
          <w:rFonts w:ascii="Arial" w:hAnsi="Arial" w:cs="Arial"/>
          <w:strike/>
          <w:sz w:val="18"/>
          <w:szCs w:val="18"/>
        </w:rPr>
        <w:t xml:space="preserve">referred to in the </w:t>
      </w:r>
      <w:hyperlink w:anchor="_bookmark20" w:history="1">
        <w:r w:rsidRPr="007933E3">
          <w:rPr>
            <w:rFonts w:ascii="Arial" w:hAnsi="Arial" w:cs="Arial"/>
            <w:i/>
            <w:strike/>
            <w:sz w:val="18"/>
            <w:szCs w:val="18"/>
          </w:rPr>
          <w:t xml:space="preserve">Aquatic Manual </w:t>
        </w:r>
      </w:hyperlink>
      <w:r w:rsidRPr="007933E3">
        <w:rPr>
          <w:rFonts w:ascii="Arial" w:hAnsi="Arial" w:cs="Arial"/>
          <w:strike/>
          <w:sz w:val="18"/>
          <w:szCs w:val="18"/>
        </w:rPr>
        <w:t>when traded</w:t>
      </w:r>
      <w:r w:rsidRPr="007933E3">
        <w:rPr>
          <w:rFonts w:ascii="Arial" w:hAnsi="Arial" w:cs="Arial"/>
          <w:strike/>
          <w:spacing w:val="-9"/>
          <w:sz w:val="18"/>
          <w:szCs w:val="18"/>
        </w:rPr>
        <w:t xml:space="preserve"> </w:t>
      </w:r>
      <w:r w:rsidRPr="007933E3">
        <w:rPr>
          <w:rFonts w:ascii="Arial" w:hAnsi="Arial" w:cs="Arial"/>
          <w:strike/>
          <w:sz w:val="18"/>
          <w:szCs w:val="18"/>
        </w:rPr>
        <w:t>internationally.</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7"/>
        <w:gridCol w:w="2217"/>
        <w:gridCol w:w="2218"/>
        <w:gridCol w:w="1238"/>
      </w:tblGrid>
      <w:tr w:rsidR="0094086E" w:rsidRPr="00F024DD" w14:paraId="4095D12B" w14:textId="77777777" w:rsidTr="00E51BAB">
        <w:trPr>
          <w:tblHeader/>
          <w:jc w:val="center"/>
        </w:trPr>
        <w:tc>
          <w:tcPr>
            <w:tcW w:w="1977" w:type="dxa"/>
            <w:tcBorders>
              <w:top w:val="single" w:sz="4" w:space="0" w:color="auto"/>
              <w:bottom w:val="single" w:sz="4" w:space="0" w:color="auto"/>
            </w:tcBorders>
            <w:vAlign w:val="center"/>
          </w:tcPr>
          <w:p w14:paraId="034798C4" w14:textId="77777777" w:rsidR="0094086E" w:rsidRPr="007933E3" w:rsidRDefault="0094086E" w:rsidP="00E51BAB">
            <w:pPr>
              <w:pStyle w:val="TableHead"/>
              <w:spacing w:before="40" w:after="40"/>
              <w:rPr>
                <w:rFonts w:ascii="Arial" w:hAnsi="Arial" w:cs="Arial"/>
                <w:szCs w:val="18"/>
                <w:u w:val="double"/>
                <w:lang w:val="en-GB"/>
              </w:rPr>
            </w:pPr>
            <w:bookmarkStart w:id="79" w:name="_Hlk21967176"/>
            <w:r w:rsidRPr="007933E3">
              <w:rPr>
                <w:rFonts w:ascii="Arial" w:hAnsi="Arial" w:cs="Arial"/>
                <w:szCs w:val="18"/>
                <w:u w:val="double"/>
                <w:lang w:val="en-GB"/>
              </w:rPr>
              <w:t>Family</w:t>
            </w:r>
          </w:p>
        </w:tc>
        <w:tc>
          <w:tcPr>
            <w:tcW w:w="2217" w:type="dxa"/>
            <w:tcBorders>
              <w:top w:val="single" w:sz="4" w:space="0" w:color="auto"/>
              <w:bottom w:val="single" w:sz="4" w:space="0" w:color="auto"/>
            </w:tcBorders>
            <w:shd w:val="clear" w:color="auto" w:fill="auto"/>
            <w:vAlign w:val="center"/>
          </w:tcPr>
          <w:p w14:paraId="6CBC41C3" w14:textId="77777777" w:rsidR="0094086E" w:rsidRPr="007933E3" w:rsidRDefault="0094086E" w:rsidP="00E51BAB">
            <w:pPr>
              <w:pStyle w:val="TableHead"/>
              <w:spacing w:before="40" w:after="40"/>
              <w:rPr>
                <w:rFonts w:ascii="Arial" w:hAnsi="Arial" w:cs="Arial"/>
                <w:szCs w:val="18"/>
                <w:u w:val="double"/>
                <w:lang w:val="en-GB"/>
              </w:rPr>
            </w:pPr>
            <w:r w:rsidRPr="007933E3">
              <w:rPr>
                <w:rFonts w:ascii="Arial" w:hAnsi="Arial" w:cs="Arial"/>
                <w:szCs w:val="18"/>
                <w:u w:val="double"/>
                <w:lang w:val="en-GB"/>
              </w:rPr>
              <w:t>Scientific name</w:t>
            </w:r>
          </w:p>
        </w:tc>
        <w:tc>
          <w:tcPr>
            <w:tcW w:w="2218" w:type="dxa"/>
            <w:tcBorders>
              <w:top w:val="single" w:sz="4" w:space="0" w:color="auto"/>
              <w:bottom w:val="single" w:sz="4" w:space="0" w:color="auto"/>
            </w:tcBorders>
            <w:vAlign w:val="center"/>
          </w:tcPr>
          <w:p w14:paraId="0D33B647" w14:textId="77777777" w:rsidR="0094086E" w:rsidRPr="007933E3" w:rsidRDefault="0094086E" w:rsidP="00E51BAB">
            <w:pPr>
              <w:pStyle w:val="TableHead"/>
              <w:spacing w:before="40" w:after="40"/>
              <w:rPr>
                <w:rFonts w:ascii="Arial" w:hAnsi="Arial" w:cs="Arial"/>
                <w:szCs w:val="18"/>
                <w:u w:val="double"/>
                <w:lang w:val="en-GB"/>
              </w:rPr>
            </w:pPr>
            <w:r w:rsidRPr="007933E3">
              <w:rPr>
                <w:rFonts w:ascii="Arial" w:hAnsi="Arial" w:cs="Arial"/>
                <w:szCs w:val="18"/>
                <w:u w:val="double"/>
                <w:lang w:val="en-GB"/>
              </w:rPr>
              <w:t>Common name</w:t>
            </w:r>
          </w:p>
        </w:tc>
        <w:tc>
          <w:tcPr>
            <w:tcW w:w="1238" w:type="dxa"/>
            <w:tcBorders>
              <w:top w:val="single" w:sz="4" w:space="0" w:color="auto"/>
              <w:bottom w:val="single" w:sz="4" w:space="0" w:color="auto"/>
            </w:tcBorders>
          </w:tcPr>
          <w:p w14:paraId="13E48382" w14:textId="77777777" w:rsidR="0094086E" w:rsidRPr="007933E3" w:rsidRDefault="0094086E" w:rsidP="00E51BAB">
            <w:pPr>
              <w:pStyle w:val="TableHead"/>
              <w:spacing w:before="40" w:after="40"/>
              <w:rPr>
                <w:rFonts w:ascii="Arial" w:hAnsi="Arial" w:cs="Arial"/>
                <w:strike/>
                <w:szCs w:val="18"/>
                <w:highlight w:val="yellow"/>
                <w:u w:val="double"/>
                <w:lang w:val="en-GB"/>
              </w:rPr>
            </w:pPr>
            <w:r w:rsidRPr="007933E3">
              <w:rPr>
                <w:rFonts w:ascii="Arial" w:hAnsi="Arial" w:cs="Arial"/>
                <w:strike/>
                <w:szCs w:val="18"/>
                <w:highlight w:val="yellow"/>
                <w:u w:val="double"/>
                <w:lang w:val="en-GB"/>
              </w:rPr>
              <w:t>Genotype</w:t>
            </w:r>
          </w:p>
        </w:tc>
      </w:tr>
      <w:tr w:rsidR="0094086E" w:rsidRPr="00F024DD" w14:paraId="7EAA2954" w14:textId="77777777" w:rsidTr="00E51BAB">
        <w:trPr>
          <w:jc w:val="center"/>
        </w:trPr>
        <w:tc>
          <w:tcPr>
            <w:tcW w:w="1977" w:type="dxa"/>
            <w:tcBorders>
              <w:top w:val="single" w:sz="4" w:space="0" w:color="auto"/>
            </w:tcBorders>
            <w:vAlign w:val="center"/>
          </w:tcPr>
          <w:p w14:paraId="4E862846"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Ammodytidae</w:t>
            </w:r>
          </w:p>
        </w:tc>
        <w:tc>
          <w:tcPr>
            <w:tcW w:w="2217" w:type="dxa"/>
            <w:tcBorders>
              <w:top w:val="single" w:sz="4" w:space="0" w:color="auto"/>
            </w:tcBorders>
            <w:shd w:val="clear" w:color="auto" w:fill="auto"/>
            <w:vAlign w:val="center"/>
          </w:tcPr>
          <w:p w14:paraId="0BC3F47A"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Ammodytes hexapterus</w:t>
            </w:r>
          </w:p>
        </w:tc>
        <w:tc>
          <w:tcPr>
            <w:tcW w:w="2218" w:type="dxa"/>
            <w:tcBorders>
              <w:top w:val="single" w:sz="4" w:space="0" w:color="auto"/>
            </w:tcBorders>
            <w:vAlign w:val="center"/>
          </w:tcPr>
          <w:p w14:paraId="7786A723"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Pacific sand lance</w:t>
            </w:r>
          </w:p>
        </w:tc>
        <w:tc>
          <w:tcPr>
            <w:tcW w:w="1238" w:type="dxa"/>
            <w:tcBorders>
              <w:top w:val="single" w:sz="4" w:space="0" w:color="auto"/>
            </w:tcBorders>
            <w:vAlign w:val="center"/>
          </w:tcPr>
          <w:p w14:paraId="03C6DA1C"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IVa</w:t>
            </w:r>
          </w:p>
        </w:tc>
      </w:tr>
      <w:tr w:rsidR="0094086E" w:rsidRPr="00F024DD" w14:paraId="07E41004" w14:textId="77777777" w:rsidTr="00E51BAB">
        <w:trPr>
          <w:jc w:val="center"/>
        </w:trPr>
        <w:tc>
          <w:tcPr>
            <w:tcW w:w="1977" w:type="dxa"/>
            <w:tcBorders>
              <w:top w:val="single" w:sz="4" w:space="0" w:color="auto"/>
            </w:tcBorders>
            <w:vAlign w:val="center"/>
          </w:tcPr>
          <w:p w14:paraId="61006E74" w14:textId="77777777" w:rsidR="0094086E" w:rsidRPr="007933E3" w:rsidRDefault="0094086E" w:rsidP="00E51BAB">
            <w:pPr>
              <w:pStyle w:val="Tabletext"/>
              <w:spacing w:before="40" w:after="40"/>
              <w:rPr>
                <w:szCs w:val="18"/>
                <w:u w:val="double"/>
                <w:lang w:val="en-GB"/>
              </w:rPr>
            </w:pPr>
            <w:r w:rsidRPr="007933E3">
              <w:rPr>
                <w:color w:val="000000"/>
                <w:szCs w:val="18"/>
                <w:u w:val="double"/>
              </w:rPr>
              <w:t>Aralichthyidae</w:t>
            </w:r>
          </w:p>
        </w:tc>
        <w:tc>
          <w:tcPr>
            <w:tcW w:w="2217" w:type="dxa"/>
            <w:tcBorders>
              <w:top w:val="single" w:sz="4" w:space="0" w:color="auto"/>
            </w:tcBorders>
            <w:shd w:val="clear" w:color="auto" w:fill="auto"/>
            <w:vAlign w:val="center"/>
          </w:tcPr>
          <w:p w14:paraId="689A4A8E"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Paralichthys olivaceus</w:t>
            </w:r>
          </w:p>
        </w:tc>
        <w:tc>
          <w:tcPr>
            <w:tcW w:w="2218" w:type="dxa"/>
            <w:tcBorders>
              <w:top w:val="single" w:sz="4" w:space="0" w:color="auto"/>
            </w:tcBorders>
            <w:vAlign w:val="center"/>
          </w:tcPr>
          <w:p w14:paraId="022B1171"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Bastard halibut</w:t>
            </w:r>
          </w:p>
        </w:tc>
        <w:tc>
          <w:tcPr>
            <w:tcW w:w="1238" w:type="dxa"/>
            <w:tcBorders>
              <w:top w:val="single" w:sz="4" w:space="0" w:color="auto"/>
            </w:tcBorders>
            <w:vAlign w:val="center"/>
          </w:tcPr>
          <w:p w14:paraId="4948C616"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IVa</w:t>
            </w:r>
          </w:p>
        </w:tc>
      </w:tr>
      <w:tr w:rsidR="0094086E" w:rsidRPr="00F024DD" w14:paraId="405BAF40" w14:textId="77777777" w:rsidTr="00E51BAB">
        <w:trPr>
          <w:jc w:val="center"/>
        </w:trPr>
        <w:tc>
          <w:tcPr>
            <w:tcW w:w="1977" w:type="dxa"/>
            <w:tcBorders>
              <w:top w:val="single" w:sz="4" w:space="0" w:color="auto"/>
            </w:tcBorders>
            <w:vAlign w:val="center"/>
          </w:tcPr>
          <w:p w14:paraId="534721A6" w14:textId="77777777" w:rsidR="0094086E" w:rsidRPr="007933E3" w:rsidRDefault="0094086E" w:rsidP="00E51BAB">
            <w:pPr>
              <w:pStyle w:val="Tabletext"/>
              <w:spacing w:before="40" w:after="40"/>
              <w:rPr>
                <w:szCs w:val="18"/>
                <w:u w:val="double"/>
                <w:lang w:val="en-GB"/>
              </w:rPr>
            </w:pPr>
            <w:r w:rsidRPr="007933E3">
              <w:rPr>
                <w:color w:val="000000"/>
                <w:szCs w:val="18"/>
                <w:u w:val="double"/>
              </w:rPr>
              <w:t>Carangidae</w:t>
            </w:r>
          </w:p>
        </w:tc>
        <w:tc>
          <w:tcPr>
            <w:tcW w:w="2217" w:type="dxa"/>
            <w:tcBorders>
              <w:top w:val="single" w:sz="4" w:space="0" w:color="auto"/>
            </w:tcBorders>
            <w:shd w:val="clear" w:color="auto" w:fill="auto"/>
            <w:vAlign w:val="center"/>
          </w:tcPr>
          <w:p w14:paraId="6AE2BFFC"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Trachurus mediterraneus</w:t>
            </w:r>
          </w:p>
        </w:tc>
        <w:tc>
          <w:tcPr>
            <w:tcW w:w="2218" w:type="dxa"/>
            <w:tcBorders>
              <w:top w:val="single" w:sz="4" w:space="0" w:color="auto"/>
            </w:tcBorders>
            <w:vAlign w:val="center"/>
          </w:tcPr>
          <w:p w14:paraId="17EC08DB"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 xml:space="preserve">Mediterranean horse mackerel </w:t>
            </w:r>
          </w:p>
        </w:tc>
        <w:tc>
          <w:tcPr>
            <w:tcW w:w="1238" w:type="dxa"/>
            <w:tcBorders>
              <w:top w:val="single" w:sz="4" w:space="0" w:color="auto"/>
            </w:tcBorders>
            <w:vAlign w:val="center"/>
          </w:tcPr>
          <w:p w14:paraId="551C7906"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Ie</w:t>
            </w:r>
          </w:p>
        </w:tc>
      </w:tr>
      <w:tr w:rsidR="0094086E" w:rsidRPr="00F024DD" w14:paraId="52D616D6" w14:textId="77777777" w:rsidTr="00E51BAB">
        <w:trPr>
          <w:jc w:val="center"/>
        </w:trPr>
        <w:tc>
          <w:tcPr>
            <w:tcW w:w="1977" w:type="dxa"/>
            <w:vMerge w:val="restart"/>
            <w:tcBorders>
              <w:top w:val="single" w:sz="4" w:space="0" w:color="auto"/>
            </w:tcBorders>
            <w:vAlign w:val="center"/>
          </w:tcPr>
          <w:p w14:paraId="185EFC73"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Centrarchidae</w:t>
            </w:r>
          </w:p>
        </w:tc>
        <w:tc>
          <w:tcPr>
            <w:tcW w:w="2217" w:type="dxa"/>
            <w:tcBorders>
              <w:top w:val="single" w:sz="4" w:space="0" w:color="auto"/>
            </w:tcBorders>
            <w:shd w:val="clear" w:color="auto" w:fill="auto"/>
            <w:vAlign w:val="center"/>
          </w:tcPr>
          <w:p w14:paraId="0F078539"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Ambloplites rupestris</w:t>
            </w:r>
          </w:p>
        </w:tc>
        <w:tc>
          <w:tcPr>
            <w:tcW w:w="2218" w:type="dxa"/>
            <w:tcBorders>
              <w:top w:val="single" w:sz="4" w:space="0" w:color="auto"/>
            </w:tcBorders>
            <w:vAlign w:val="center"/>
          </w:tcPr>
          <w:p w14:paraId="2E8E8D16"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Rock bass</w:t>
            </w:r>
          </w:p>
        </w:tc>
        <w:tc>
          <w:tcPr>
            <w:tcW w:w="1238" w:type="dxa"/>
            <w:tcBorders>
              <w:top w:val="single" w:sz="4" w:space="0" w:color="auto"/>
            </w:tcBorders>
            <w:vAlign w:val="center"/>
          </w:tcPr>
          <w:p w14:paraId="2DC7535E"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F024DD" w14:paraId="00E0ED76" w14:textId="77777777" w:rsidTr="00E51BAB">
        <w:trPr>
          <w:jc w:val="center"/>
        </w:trPr>
        <w:tc>
          <w:tcPr>
            <w:tcW w:w="1977" w:type="dxa"/>
            <w:vMerge/>
            <w:vAlign w:val="center"/>
          </w:tcPr>
          <w:p w14:paraId="7A36F9D6" w14:textId="77777777" w:rsidR="0094086E" w:rsidRPr="007933E3" w:rsidRDefault="0094086E" w:rsidP="00E51BAB">
            <w:pPr>
              <w:spacing w:before="40" w:after="40" w:line="240" w:lineRule="auto"/>
              <w:jc w:val="center"/>
              <w:rPr>
                <w:rFonts w:ascii="Arial" w:hAnsi="Arial" w:cs="Arial"/>
                <w:color w:val="000000"/>
                <w:sz w:val="18"/>
                <w:szCs w:val="18"/>
                <w:u w:val="double"/>
              </w:rPr>
            </w:pPr>
          </w:p>
        </w:tc>
        <w:tc>
          <w:tcPr>
            <w:tcW w:w="2217" w:type="dxa"/>
            <w:tcBorders>
              <w:top w:val="single" w:sz="4" w:space="0" w:color="auto"/>
            </w:tcBorders>
            <w:shd w:val="clear" w:color="auto" w:fill="auto"/>
            <w:vAlign w:val="center"/>
          </w:tcPr>
          <w:p w14:paraId="2A1B8EBD"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Lepomis gibbosus</w:t>
            </w:r>
          </w:p>
        </w:tc>
        <w:tc>
          <w:tcPr>
            <w:tcW w:w="2218" w:type="dxa"/>
            <w:tcBorders>
              <w:top w:val="single" w:sz="4" w:space="0" w:color="auto"/>
            </w:tcBorders>
            <w:vAlign w:val="center"/>
          </w:tcPr>
          <w:p w14:paraId="7E3FB635"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Pumpkinseed</w:t>
            </w:r>
          </w:p>
        </w:tc>
        <w:tc>
          <w:tcPr>
            <w:tcW w:w="1238" w:type="dxa"/>
            <w:tcBorders>
              <w:top w:val="single" w:sz="4" w:space="0" w:color="auto"/>
            </w:tcBorders>
            <w:vAlign w:val="center"/>
          </w:tcPr>
          <w:p w14:paraId="6D3E0F61"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F024DD" w14:paraId="0BA880F9" w14:textId="77777777" w:rsidTr="00E51BAB">
        <w:trPr>
          <w:jc w:val="center"/>
        </w:trPr>
        <w:tc>
          <w:tcPr>
            <w:tcW w:w="1977" w:type="dxa"/>
            <w:vMerge/>
            <w:vAlign w:val="center"/>
          </w:tcPr>
          <w:p w14:paraId="500266A9" w14:textId="77777777" w:rsidR="0094086E" w:rsidRPr="007933E3" w:rsidRDefault="0094086E" w:rsidP="00E51BAB">
            <w:pPr>
              <w:spacing w:before="40" w:after="40" w:line="240" w:lineRule="auto"/>
              <w:jc w:val="center"/>
              <w:rPr>
                <w:rFonts w:ascii="Arial" w:hAnsi="Arial" w:cs="Arial"/>
                <w:color w:val="000000"/>
                <w:sz w:val="18"/>
                <w:szCs w:val="18"/>
                <w:u w:val="double"/>
              </w:rPr>
            </w:pPr>
          </w:p>
        </w:tc>
        <w:tc>
          <w:tcPr>
            <w:tcW w:w="2217" w:type="dxa"/>
            <w:tcBorders>
              <w:top w:val="single" w:sz="4" w:space="0" w:color="auto"/>
            </w:tcBorders>
            <w:shd w:val="clear" w:color="auto" w:fill="auto"/>
            <w:vAlign w:val="center"/>
          </w:tcPr>
          <w:p w14:paraId="07295457"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Lepomis macrochirus</w:t>
            </w:r>
          </w:p>
        </w:tc>
        <w:tc>
          <w:tcPr>
            <w:tcW w:w="2218" w:type="dxa"/>
            <w:tcBorders>
              <w:top w:val="single" w:sz="4" w:space="0" w:color="auto"/>
            </w:tcBorders>
            <w:vAlign w:val="center"/>
          </w:tcPr>
          <w:p w14:paraId="57953E9C"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Bluegill</w:t>
            </w:r>
          </w:p>
        </w:tc>
        <w:tc>
          <w:tcPr>
            <w:tcW w:w="1238" w:type="dxa"/>
            <w:tcBorders>
              <w:top w:val="single" w:sz="4" w:space="0" w:color="auto"/>
            </w:tcBorders>
            <w:vAlign w:val="center"/>
          </w:tcPr>
          <w:p w14:paraId="138FB892"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 IVb</w:t>
            </w:r>
          </w:p>
        </w:tc>
      </w:tr>
      <w:tr w:rsidR="0094086E" w:rsidRPr="00F024DD" w14:paraId="52C19489" w14:textId="77777777" w:rsidTr="00E51BAB">
        <w:trPr>
          <w:jc w:val="center"/>
        </w:trPr>
        <w:tc>
          <w:tcPr>
            <w:tcW w:w="1977" w:type="dxa"/>
            <w:vMerge/>
            <w:vAlign w:val="center"/>
          </w:tcPr>
          <w:p w14:paraId="5A689251" w14:textId="77777777" w:rsidR="0094086E" w:rsidRPr="007933E3" w:rsidRDefault="0094086E" w:rsidP="00E51BAB">
            <w:pPr>
              <w:spacing w:before="40" w:after="40" w:line="240" w:lineRule="auto"/>
              <w:jc w:val="center"/>
              <w:rPr>
                <w:rFonts w:ascii="Arial" w:hAnsi="Arial" w:cs="Arial"/>
                <w:color w:val="000000"/>
                <w:sz w:val="18"/>
                <w:szCs w:val="18"/>
                <w:u w:val="double"/>
              </w:rPr>
            </w:pPr>
          </w:p>
        </w:tc>
        <w:tc>
          <w:tcPr>
            <w:tcW w:w="2217" w:type="dxa"/>
            <w:tcBorders>
              <w:top w:val="single" w:sz="4" w:space="0" w:color="auto"/>
            </w:tcBorders>
            <w:shd w:val="clear" w:color="auto" w:fill="auto"/>
            <w:vAlign w:val="center"/>
          </w:tcPr>
          <w:p w14:paraId="78C220AA"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Micropterus dolomieu</w:t>
            </w:r>
          </w:p>
        </w:tc>
        <w:tc>
          <w:tcPr>
            <w:tcW w:w="2218" w:type="dxa"/>
            <w:tcBorders>
              <w:top w:val="single" w:sz="4" w:space="0" w:color="auto"/>
            </w:tcBorders>
            <w:vAlign w:val="center"/>
          </w:tcPr>
          <w:p w14:paraId="4A6C0188"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Smallmouth bass</w:t>
            </w:r>
          </w:p>
        </w:tc>
        <w:tc>
          <w:tcPr>
            <w:tcW w:w="1238" w:type="dxa"/>
            <w:tcBorders>
              <w:top w:val="single" w:sz="4" w:space="0" w:color="auto"/>
            </w:tcBorders>
            <w:vAlign w:val="center"/>
          </w:tcPr>
          <w:p w14:paraId="2C83AE47"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F024DD" w14:paraId="16EFC3D0" w14:textId="77777777" w:rsidTr="00E51BAB">
        <w:trPr>
          <w:jc w:val="center"/>
        </w:trPr>
        <w:tc>
          <w:tcPr>
            <w:tcW w:w="1977" w:type="dxa"/>
            <w:vMerge/>
            <w:vAlign w:val="center"/>
          </w:tcPr>
          <w:p w14:paraId="676C3531" w14:textId="77777777" w:rsidR="0094086E" w:rsidRPr="007933E3" w:rsidRDefault="0094086E" w:rsidP="00E51BAB">
            <w:pPr>
              <w:spacing w:before="40" w:after="40" w:line="240" w:lineRule="auto"/>
              <w:jc w:val="center"/>
              <w:rPr>
                <w:rFonts w:ascii="Arial" w:hAnsi="Arial" w:cs="Arial"/>
                <w:sz w:val="18"/>
                <w:szCs w:val="18"/>
                <w:u w:val="double"/>
              </w:rPr>
            </w:pPr>
          </w:p>
        </w:tc>
        <w:tc>
          <w:tcPr>
            <w:tcW w:w="2217" w:type="dxa"/>
            <w:tcBorders>
              <w:top w:val="single" w:sz="4" w:space="0" w:color="auto"/>
            </w:tcBorders>
            <w:shd w:val="clear" w:color="auto" w:fill="auto"/>
            <w:vAlign w:val="center"/>
          </w:tcPr>
          <w:p w14:paraId="3D418872"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Micropterus salmoides</w:t>
            </w:r>
          </w:p>
        </w:tc>
        <w:tc>
          <w:tcPr>
            <w:tcW w:w="2218" w:type="dxa"/>
            <w:tcBorders>
              <w:top w:val="single" w:sz="4" w:space="0" w:color="auto"/>
            </w:tcBorders>
            <w:vAlign w:val="center"/>
          </w:tcPr>
          <w:p w14:paraId="161C499E"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Largemouth bass</w:t>
            </w:r>
          </w:p>
        </w:tc>
        <w:tc>
          <w:tcPr>
            <w:tcW w:w="1238" w:type="dxa"/>
            <w:tcBorders>
              <w:top w:val="single" w:sz="4" w:space="0" w:color="auto"/>
            </w:tcBorders>
            <w:vAlign w:val="center"/>
          </w:tcPr>
          <w:p w14:paraId="564101D2"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F024DD" w14:paraId="158B74D0" w14:textId="77777777" w:rsidTr="00E51BAB">
        <w:trPr>
          <w:jc w:val="center"/>
        </w:trPr>
        <w:tc>
          <w:tcPr>
            <w:tcW w:w="1977" w:type="dxa"/>
            <w:vMerge/>
            <w:vAlign w:val="center"/>
          </w:tcPr>
          <w:p w14:paraId="0737B2F8" w14:textId="77777777" w:rsidR="0094086E" w:rsidRPr="007933E3" w:rsidRDefault="0094086E" w:rsidP="00E51BAB">
            <w:pPr>
              <w:pStyle w:val="Tabletext"/>
              <w:spacing w:before="40" w:after="40"/>
              <w:rPr>
                <w:szCs w:val="18"/>
                <w:u w:val="double"/>
                <w:lang w:val="en-GB"/>
              </w:rPr>
            </w:pPr>
          </w:p>
        </w:tc>
        <w:tc>
          <w:tcPr>
            <w:tcW w:w="2217" w:type="dxa"/>
            <w:tcBorders>
              <w:top w:val="single" w:sz="4" w:space="0" w:color="auto"/>
            </w:tcBorders>
            <w:shd w:val="clear" w:color="auto" w:fill="auto"/>
            <w:vAlign w:val="center"/>
          </w:tcPr>
          <w:p w14:paraId="7ED9949A"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Pomoxis nigromaculatus</w:t>
            </w:r>
          </w:p>
        </w:tc>
        <w:tc>
          <w:tcPr>
            <w:tcW w:w="2218" w:type="dxa"/>
            <w:tcBorders>
              <w:top w:val="single" w:sz="4" w:space="0" w:color="auto"/>
            </w:tcBorders>
            <w:vAlign w:val="center"/>
          </w:tcPr>
          <w:p w14:paraId="7C26E734"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Black crappie</w:t>
            </w:r>
          </w:p>
        </w:tc>
        <w:tc>
          <w:tcPr>
            <w:tcW w:w="1238" w:type="dxa"/>
            <w:tcBorders>
              <w:top w:val="single" w:sz="4" w:space="0" w:color="auto"/>
            </w:tcBorders>
            <w:vAlign w:val="center"/>
          </w:tcPr>
          <w:p w14:paraId="7B80C17B"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F024DD" w14:paraId="6D298257" w14:textId="77777777" w:rsidTr="00E51BAB">
        <w:trPr>
          <w:jc w:val="center"/>
        </w:trPr>
        <w:tc>
          <w:tcPr>
            <w:tcW w:w="1977" w:type="dxa"/>
            <w:vMerge w:val="restart"/>
            <w:vAlign w:val="center"/>
          </w:tcPr>
          <w:p w14:paraId="220CFD0C"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Clupeidae</w:t>
            </w:r>
          </w:p>
        </w:tc>
        <w:tc>
          <w:tcPr>
            <w:tcW w:w="2217" w:type="dxa"/>
            <w:shd w:val="clear" w:color="auto" w:fill="auto"/>
            <w:vAlign w:val="center"/>
          </w:tcPr>
          <w:p w14:paraId="675472A6"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Alosa immaculata</w:t>
            </w:r>
          </w:p>
        </w:tc>
        <w:tc>
          <w:tcPr>
            <w:tcW w:w="2218" w:type="dxa"/>
            <w:vAlign w:val="center"/>
          </w:tcPr>
          <w:p w14:paraId="2DBF3A79"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 xml:space="preserve">Pontic shad </w:t>
            </w:r>
          </w:p>
        </w:tc>
        <w:tc>
          <w:tcPr>
            <w:tcW w:w="1238" w:type="dxa"/>
            <w:vAlign w:val="center"/>
          </w:tcPr>
          <w:p w14:paraId="1C330A94" w14:textId="77777777" w:rsidR="0094086E" w:rsidRPr="007933E3" w:rsidRDefault="0094086E" w:rsidP="00E51BAB">
            <w:pPr>
              <w:pStyle w:val="Tabletext"/>
              <w:spacing w:before="40" w:after="40"/>
              <w:rPr>
                <w:iCs/>
                <w:strike/>
                <w:color w:val="000000"/>
                <w:szCs w:val="18"/>
                <w:highlight w:val="yellow"/>
                <w:u w:val="double"/>
              </w:rPr>
            </w:pPr>
            <w:r w:rsidRPr="007933E3">
              <w:rPr>
                <w:iCs/>
                <w:strike/>
                <w:szCs w:val="18"/>
                <w:highlight w:val="yellow"/>
                <w:u w:val="double"/>
                <w:lang w:val="en-GB"/>
              </w:rPr>
              <w:t>Ie</w:t>
            </w:r>
          </w:p>
        </w:tc>
      </w:tr>
      <w:tr w:rsidR="0094086E" w:rsidRPr="00F024DD" w14:paraId="6B63E4D2" w14:textId="77777777" w:rsidTr="00E51BAB">
        <w:trPr>
          <w:jc w:val="center"/>
        </w:trPr>
        <w:tc>
          <w:tcPr>
            <w:tcW w:w="1977" w:type="dxa"/>
            <w:vMerge/>
            <w:vAlign w:val="center"/>
          </w:tcPr>
          <w:p w14:paraId="6C7A34BF" w14:textId="77777777" w:rsidR="0094086E" w:rsidRPr="007933E3" w:rsidRDefault="0094086E" w:rsidP="00E51BAB">
            <w:pPr>
              <w:spacing w:before="40" w:after="40" w:line="240" w:lineRule="auto"/>
              <w:jc w:val="center"/>
              <w:rPr>
                <w:rFonts w:ascii="Arial" w:hAnsi="Arial" w:cs="Arial"/>
                <w:color w:val="000000"/>
                <w:sz w:val="18"/>
                <w:szCs w:val="18"/>
                <w:u w:val="double"/>
              </w:rPr>
            </w:pPr>
          </w:p>
        </w:tc>
        <w:tc>
          <w:tcPr>
            <w:tcW w:w="2217" w:type="dxa"/>
            <w:shd w:val="clear" w:color="auto" w:fill="auto"/>
            <w:vAlign w:val="center"/>
          </w:tcPr>
          <w:p w14:paraId="27466804"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Sardina pilchardus</w:t>
            </w:r>
          </w:p>
        </w:tc>
        <w:tc>
          <w:tcPr>
            <w:tcW w:w="2218" w:type="dxa"/>
            <w:vAlign w:val="center"/>
          </w:tcPr>
          <w:p w14:paraId="53113931"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 xml:space="preserve">Pilchard </w:t>
            </w:r>
          </w:p>
        </w:tc>
        <w:tc>
          <w:tcPr>
            <w:tcW w:w="1238" w:type="dxa"/>
            <w:vAlign w:val="center"/>
          </w:tcPr>
          <w:p w14:paraId="56CC018A" w14:textId="77777777" w:rsidR="0094086E" w:rsidRPr="007933E3" w:rsidRDefault="0094086E" w:rsidP="00E51BAB">
            <w:pPr>
              <w:pStyle w:val="Tabletext"/>
              <w:spacing w:before="40" w:after="40"/>
              <w:rPr>
                <w:iCs/>
                <w:strike/>
                <w:color w:val="000000"/>
                <w:szCs w:val="18"/>
                <w:highlight w:val="yellow"/>
                <w:u w:val="double"/>
              </w:rPr>
            </w:pPr>
          </w:p>
        </w:tc>
      </w:tr>
      <w:tr w:rsidR="0094086E" w:rsidRPr="00F024DD" w14:paraId="5CB5AF9A" w14:textId="77777777" w:rsidTr="00E51BAB">
        <w:trPr>
          <w:jc w:val="center"/>
        </w:trPr>
        <w:tc>
          <w:tcPr>
            <w:tcW w:w="1977" w:type="dxa"/>
            <w:vMerge/>
            <w:vAlign w:val="center"/>
          </w:tcPr>
          <w:p w14:paraId="724E3663" w14:textId="77777777" w:rsidR="0094086E" w:rsidRPr="007933E3" w:rsidRDefault="0094086E" w:rsidP="00E51BAB">
            <w:pPr>
              <w:spacing w:before="40" w:after="40" w:line="240" w:lineRule="auto"/>
              <w:jc w:val="center"/>
              <w:rPr>
                <w:rFonts w:ascii="Arial" w:hAnsi="Arial" w:cs="Arial"/>
                <w:color w:val="000000"/>
                <w:sz w:val="18"/>
                <w:szCs w:val="18"/>
                <w:u w:val="double"/>
              </w:rPr>
            </w:pPr>
          </w:p>
        </w:tc>
        <w:tc>
          <w:tcPr>
            <w:tcW w:w="2217" w:type="dxa"/>
            <w:shd w:val="clear" w:color="auto" w:fill="auto"/>
            <w:vAlign w:val="center"/>
          </w:tcPr>
          <w:p w14:paraId="3D895599"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Clupea harengus</w:t>
            </w:r>
          </w:p>
        </w:tc>
        <w:tc>
          <w:tcPr>
            <w:tcW w:w="2218" w:type="dxa"/>
            <w:vAlign w:val="center"/>
          </w:tcPr>
          <w:p w14:paraId="58A59C22"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Atlantic herring</w:t>
            </w:r>
          </w:p>
        </w:tc>
        <w:tc>
          <w:tcPr>
            <w:tcW w:w="1238" w:type="dxa"/>
            <w:vAlign w:val="center"/>
          </w:tcPr>
          <w:p w14:paraId="64639E1D" w14:textId="77777777" w:rsidR="0094086E" w:rsidRPr="007933E3" w:rsidRDefault="0094086E" w:rsidP="00E51BAB">
            <w:pPr>
              <w:pStyle w:val="Tabletext"/>
              <w:spacing w:before="40" w:after="40"/>
              <w:rPr>
                <w:iCs/>
                <w:strike/>
                <w:color w:val="000000"/>
                <w:szCs w:val="18"/>
                <w:highlight w:val="yellow"/>
                <w:u w:val="double"/>
              </w:rPr>
            </w:pPr>
            <w:r w:rsidRPr="007933E3">
              <w:rPr>
                <w:iCs/>
                <w:strike/>
                <w:szCs w:val="18"/>
                <w:highlight w:val="yellow"/>
                <w:u w:val="double"/>
                <w:lang w:val="en-GB"/>
              </w:rPr>
              <w:t>Ib, III</w:t>
            </w:r>
          </w:p>
        </w:tc>
      </w:tr>
      <w:tr w:rsidR="0094086E" w:rsidRPr="00F024DD" w14:paraId="2A758AE1" w14:textId="77777777" w:rsidTr="00E51BAB">
        <w:trPr>
          <w:jc w:val="center"/>
        </w:trPr>
        <w:tc>
          <w:tcPr>
            <w:tcW w:w="1977" w:type="dxa"/>
            <w:vMerge/>
            <w:vAlign w:val="center"/>
          </w:tcPr>
          <w:p w14:paraId="411E8475" w14:textId="77777777" w:rsidR="0094086E" w:rsidRPr="007933E3" w:rsidRDefault="0094086E" w:rsidP="00E51BAB">
            <w:pPr>
              <w:spacing w:before="40" w:after="40" w:line="240" w:lineRule="auto"/>
              <w:jc w:val="center"/>
              <w:rPr>
                <w:rFonts w:ascii="Arial" w:hAnsi="Arial" w:cs="Arial"/>
                <w:color w:val="000000"/>
                <w:sz w:val="18"/>
                <w:szCs w:val="18"/>
                <w:u w:val="double"/>
              </w:rPr>
            </w:pPr>
          </w:p>
        </w:tc>
        <w:tc>
          <w:tcPr>
            <w:tcW w:w="2217" w:type="dxa"/>
            <w:shd w:val="clear" w:color="auto" w:fill="auto"/>
            <w:vAlign w:val="center"/>
          </w:tcPr>
          <w:p w14:paraId="4ACC4A5B"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 xml:space="preserve">Clupea pallasii pallasii </w:t>
            </w:r>
          </w:p>
        </w:tc>
        <w:tc>
          <w:tcPr>
            <w:tcW w:w="2218" w:type="dxa"/>
            <w:vAlign w:val="center"/>
          </w:tcPr>
          <w:p w14:paraId="1A4D5456"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Pacific herring</w:t>
            </w:r>
          </w:p>
        </w:tc>
        <w:tc>
          <w:tcPr>
            <w:tcW w:w="1238" w:type="dxa"/>
            <w:vAlign w:val="center"/>
          </w:tcPr>
          <w:p w14:paraId="23A92177" w14:textId="77777777" w:rsidR="0094086E" w:rsidRPr="007933E3" w:rsidRDefault="0094086E" w:rsidP="00E51BAB">
            <w:pPr>
              <w:pStyle w:val="Tabletext"/>
              <w:spacing w:before="40" w:after="40"/>
              <w:rPr>
                <w:iCs/>
                <w:strike/>
                <w:color w:val="000000"/>
                <w:szCs w:val="18"/>
                <w:highlight w:val="yellow"/>
                <w:u w:val="double"/>
              </w:rPr>
            </w:pPr>
            <w:r w:rsidRPr="007933E3">
              <w:rPr>
                <w:iCs/>
                <w:strike/>
                <w:szCs w:val="18"/>
                <w:highlight w:val="yellow"/>
                <w:u w:val="double"/>
                <w:lang w:val="en-GB"/>
              </w:rPr>
              <w:t>IVa</w:t>
            </w:r>
          </w:p>
        </w:tc>
      </w:tr>
      <w:tr w:rsidR="0094086E" w:rsidRPr="00F024DD" w14:paraId="307F65C5" w14:textId="77777777" w:rsidTr="00E51BAB">
        <w:trPr>
          <w:jc w:val="center"/>
        </w:trPr>
        <w:tc>
          <w:tcPr>
            <w:tcW w:w="1977" w:type="dxa"/>
            <w:vMerge/>
            <w:vAlign w:val="center"/>
          </w:tcPr>
          <w:p w14:paraId="7A5D9980" w14:textId="77777777" w:rsidR="0094086E" w:rsidRPr="007933E3" w:rsidRDefault="0094086E" w:rsidP="00E51BAB">
            <w:pPr>
              <w:spacing w:before="40" w:after="40" w:line="240" w:lineRule="auto"/>
              <w:jc w:val="center"/>
              <w:rPr>
                <w:rFonts w:ascii="Arial" w:hAnsi="Arial" w:cs="Arial"/>
                <w:color w:val="000000"/>
                <w:sz w:val="18"/>
                <w:szCs w:val="18"/>
                <w:u w:val="double"/>
              </w:rPr>
            </w:pPr>
          </w:p>
        </w:tc>
        <w:tc>
          <w:tcPr>
            <w:tcW w:w="2217" w:type="dxa"/>
            <w:shd w:val="clear" w:color="auto" w:fill="auto"/>
            <w:vAlign w:val="center"/>
          </w:tcPr>
          <w:p w14:paraId="73D6B371"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Dorosoma cepedianum</w:t>
            </w:r>
          </w:p>
        </w:tc>
        <w:tc>
          <w:tcPr>
            <w:tcW w:w="2218" w:type="dxa"/>
            <w:vAlign w:val="center"/>
          </w:tcPr>
          <w:p w14:paraId="0EAEDE48"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American gizzard shad</w:t>
            </w:r>
          </w:p>
        </w:tc>
        <w:tc>
          <w:tcPr>
            <w:tcW w:w="1238" w:type="dxa"/>
            <w:vAlign w:val="center"/>
          </w:tcPr>
          <w:p w14:paraId="659216BE" w14:textId="77777777" w:rsidR="0094086E" w:rsidRPr="007933E3" w:rsidRDefault="0094086E" w:rsidP="00E51BAB">
            <w:pPr>
              <w:pStyle w:val="Tabletext"/>
              <w:spacing w:before="40" w:after="40"/>
              <w:rPr>
                <w:iCs/>
                <w:strike/>
                <w:color w:val="000000"/>
                <w:szCs w:val="18"/>
                <w:highlight w:val="yellow"/>
                <w:u w:val="double"/>
              </w:rPr>
            </w:pPr>
            <w:r w:rsidRPr="007933E3">
              <w:rPr>
                <w:iCs/>
                <w:strike/>
                <w:color w:val="000000"/>
                <w:szCs w:val="18"/>
                <w:highlight w:val="yellow"/>
                <w:u w:val="double"/>
              </w:rPr>
              <w:t>IVb</w:t>
            </w:r>
          </w:p>
        </w:tc>
      </w:tr>
      <w:tr w:rsidR="0094086E" w:rsidRPr="00F024DD" w14:paraId="3D450880" w14:textId="77777777" w:rsidTr="00E51BAB">
        <w:trPr>
          <w:jc w:val="center"/>
        </w:trPr>
        <w:tc>
          <w:tcPr>
            <w:tcW w:w="1977" w:type="dxa"/>
            <w:vMerge/>
            <w:vAlign w:val="center"/>
          </w:tcPr>
          <w:p w14:paraId="226FFBE1" w14:textId="77777777" w:rsidR="0094086E" w:rsidRPr="007933E3" w:rsidRDefault="0094086E" w:rsidP="00E51BAB">
            <w:pPr>
              <w:spacing w:before="40" w:after="40" w:line="240" w:lineRule="auto"/>
              <w:jc w:val="center"/>
              <w:rPr>
                <w:rFonts w:ascii="Arial" w:hAnsi="Arial" w:cs="Arial"/>
                <w:sz w:val="18"/>
                <w:szCs w:val="18"/>
                <w:u w:val="double"/>
              </w:rPr>
            </w:pPr>
          </w:p>
        </w:tc>
        <w:tc>
          <w:tcPr>
            <w:tcW w:w="2217" w:type="dxa"/>
            <w:shd w:val="clear" w:color="auto" w:fill="auto"/>
            <w:vAlign w:val="center"/>
          </w:tcPr>
          <w:p w14:paraId="3D1E9AE4"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Sardinops sagax</w:t>
            </w:r>
          </w:p>
        </w:tc>
        <w:tc>
          <w:tcPr>
            <w:tcW w:w="2218" w:type="dxa"/>
            <w:vAlign w:val="center"/>
          </w:tcPr>
          <w:p w14:paraId="5A28E07D" w14:textId="77777777" w:rsidR="0094086E" w:rsidRPr="007933E3" w:rsidRDefault="0094086E" w:rsidP="00E51BAB">
            <w:pPr>
              <w:pStyle w:val="Tabletext"/>
              <w:spacing w:before="40" w:after="40"/>
              <w:rPr>
                <w:iCs/>
                <w:color w:val="000000"/>
                <w:szCs w:val="18"/>
                <w:u w:val="double"/>
              </w:rPr>
            </w:pPr>
            <w:r w:rsidRPr="007933E3">
              <w:rPr>
                <w:iCs/>
                <w:color w:val="000000"/>
                <w:szCs w:val="18"/>
                <w:u w:val="double"/>
              </w:rPr>
              <w:t>South American pilchard</w:t>
            </w:r>
          </w:p>
        </w:tc>
        <w:tc>
          <w:tcPr>
            <w:tcW w:w="1238" w:type="dxa"/>
            <w:vAlign w:val="center"/>
          </w:tcPr>
          <w:p w14:paraId="6D38F612"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IVa</w:t>
            </w:r>
          </w:p>
        </w:tc>
      </w:tr>
      <w:tr w:rsidR="0094086E" w:rsidRPr="00F024DD" w14:paraId="586C1490" w14:textId="77777777" w:rsidTr="00E51BAB">
        <w:trPr>
          <w:jc w:val="center"/>
        </w:trPr>
        <w:tc>
          <w:tcPr>
            <w:tcW w:w="1977" w:type="dxa"/>
            <w:vMerge/>
            <w:vAlign w:val="center"/>
          </w:tcPr>
          <w:p w14:paraId="1C63E900"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3FEE57F4"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Sprattus sprattus</w:t>
            </w:r>
          </w:p>
        </w:tc>
        <w:tc>
          <w:tcPr>
            <w:tcW w:w="2218" w:type="dxa"/>
            <w:vAlign w:val="center"/>
          </w:tcPr>
          <w:p w14:paraId="35B0F2E6"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European sprat</w:t>
            </w:r>
          </w:p>
        </w:tc>
        <w:tc>
          <w:tcPr>
            <w:tcW w:w="1238" w:type="dxa"/>
            <w:vAlign w:val="center"/>
          </w:tcPr>
          <w:p w14:paraId="6063316D"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Ib</w:t>
            </w:r>
          </w:p>
        </w:tc>
      </w:tr>
      <w:tr w:rsidR="0094086E" w:rsidRPr="00F024DD" w14:paraId="1B771092" w14:textId="77777777" w:rsidTr="00E51BAB">
        <w:trPr>
          <w:trHeight w:val="233"/>
          <w:jc w:val="center"/>
        </w:trPr>
        <w:tc>
          <w:tcPr>
            <w:tcW w:w="1977" w:type="dxa"/>
            <w:vAlign w:val="center"/>
          </w:tcPr>
          <w:p w14:paraId="455DBCB7"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Cyclopteridae</w:t>
            </w:r>
          </w:p>
        </w:tc>
        <w:tc>
          <w:tcPr>
            <w:tcW w:w="2217" w:type="dxa"/>
            <w:shd w:val="clear" w:color="auto" w:fill="auto"/>
            <w:vAlign w:val="center"/>
          </w:tcPr>
          <w:p w14:paraId="381DA19B"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Cyclopterus lumpus</w:t>
            </w:r>
          </w:p>
        </w:tc>
        <w:tc>
          <w:tcPr>
            <w:tcW w:w="2218" w:type="dxa"/>
            <w:vAlign w:val="center"/>
          </w:tcPr>
          <w:p w14:paraId="63CD8B14"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Lumpfish</w:t>
            </w:r>
          </w:p>
        </w:tc>
        <w:tc>
          <w:tcPr>
            <w:tcW w:w="1238" w:type="dxa"/>
            <w:vAlign w:val="center"/>
          </w:tcPr>
          <w:p w14:paraId="5F5D5AF3"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IVd</w:t>
            </w:r>
          </w:p>
        </w:tc>
      </w:tr>
      <w:tr w:rsidR="0094086E" w:rsidRPr="00F024DD" w14:paraId="62A4F89F" w14:textId="77777777" w:rsidTr="00E51BAB">
        <w:trPr>
          <w:trHeight w:val="233"/>
          <w:jc w:val="center"/>
        </w:trPr>
        <w:tc>
          <w:tcPr>
            <w:tcW w:w="1977" w:type="dxa"/>
            <w:vMerge w:val="restart"/>
            <w:vAlign w:val="center"/>
          </w:tcPr>
          <w:p w14:paraId="41C360EB" w14:textId="77777777" w:rsidR="0094086E" w:rsidRPr="007933E3" w:rsidRDefault="0094086E" w:rsidP="00E51BAB">
            <w:pPr>
              <w:spacing w:before="40" w:after="40" w:line="240" w:lineRule="auto"/>
              <w:jc w:val="center"/>
              <w:rPr>
                <w:rFonts w:ascii="Arial" w:hAnsi="Arial" w:cs="Arial"/>
                <w:sz w:val="18"/>
                <w:szCs w:val="18"/>
                <w:u w:val="double"/>
              </w:rPr>
            </w:pPr>
            <w:r w:rsidRPr="007933E3">
              <w:rPr>
                <w:rFonts w:ascii="Arial" w:hAnsi="Arial" w:cs="Arial"/>
                <w:color w:val="000000"/>
                <w:sz w:val="18"/>
                <w:szCs w:val="18"/>
                <w:u w:val="double"/>
              </w:rPr>
              <w:t>Cyprinidae</w:t>
            </w:r>
          </w:p>
        </w:tc>
        <w:tc>
          <w:tcPr>
            <w:tcW w:w="2217" w:type="dxa"/>
            <w:shd w:val="clear" w:color="auto" w:fill="auto"/>
            <w:vAlign w:val="center"/>
          </w:tcPr>
          <w:p w14:paraId="7F69F3D4"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Danio rerio</w:t>
            </w:r>
          </w:p>
        </w:tc>
        <w:tc>
          <w:tcPr>
            <w:tcW w:w="2218" w:type="dxa"/>
            <w:vAlign w:val="center"/>
          </w:tcPr>
          <w:p w14:paraId="1EBC11C4"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Zebra fish</w:t>
            </w:r>
          </w:p>
        </w:tc>
        <w:tc>
          <w:tcPr>
            <w:tcW w:w="1238" w:type="dxa"/>
            <w:vAlign w:val="center"/>
          </w:tcPr>
          <w:p w14:paraId="30024886"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IVa</w:t>
            </w:r>
          </w:p>
        </w:tc>
      </w:tr>
      <w:tr w:rsidR="0094086E" w:rsidRPr="00F024DD" w14:paraId="054C0640" w14:textId="77777777" w:rsidTr="00E51BAB">
        <w:trPr>
          <w:jc w:val="center"/>
        </w:trPr>
        <w:tc>
          <w:tcPr>
            <w:tcW w:w="1977" w:type="dxa"/>
            <w:vMerge/>
            <w:vAlign w:val="center"/>
          </w:tcPr>
          <w:p w14:paraId="6DE2D196"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318F61ED"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Notropis hudsonius</w:t>
            </w:r>
          </w:p>
        </w:tc>
        <w:tc>
          <w:tcPr>
            <w:tcW w:w="2218" w:type="dxa"/>
            <w:vAlign w:val="center"/>
          </w:tcPr>
          <w:p w14:paraId="64AC9371"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Spottail shiner</w:t>
            </w:r>
          </w:p>
        </w:tc>
        <w:tc>
          <w:tcPr>
            <w:tcW w:w="1238" w:type="dxa"/>
            <w:vAlign w:val="center"/>
          </w:tcPr>
          <w:p w14:paraId="4BA147CB"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F024DD" w14:paraId="75C97DC8" w14:textId="77777777" w:rsidTr="00E51BAB">
        <w:trPr>
          <w:jc w:val="center"/>
        </w:trPr>
        <w:tc>
          <w:tcPr>
            <w:tcW w:w="1977" w:type="dxa"/>
            <w:vMerge/>
            <w:vAlign w:val="center"/>
          </w:tcPr>
          <w:p w14:paraId="50986E03"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02C13BBD"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Notropis atherinoides</w:t>
            </w:r>
          </w:p>
        </w:tc>
        <w:tc>
          <w:tcPr>
            <w:tcW w:w="2218" w:type="dxa"/>
            <w:vAlign w:val="center"/>
          </w:tcPr>
          <w:p w14:paraId="4A1D828C"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Emerald shiner</w:t>
            </w:r>
          </w:p>
        </w:tc>
        <w:tc>
          <w:tcPr>
            <w:tcW w:w="1238" w:type="dxa"/>
            <w:vAlign w:val="center"/>
          </w:tcPr>
          <w:p w14:paraId="69261A3D"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F024DD" w14:paraId="07315C33" w14:textId="77777777" w:rsidTr="00E51BAB">
        <w:trPr>
          <w:jc w:val="center"/>
        </w:trPr>
        <w:tc>
          <w:tcPr>
            <w:tcW w:w="1977" w:type="dxa"/>
            <w:vMerge/>
            <w:vAlign w:val="center"/>
          </w:tcPr>
          <w:p w14:paraId="4DEB69E0"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5B4998E8"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Pimephales notatus</w:t>
            </w:r>
          </w:p>
        </w:tc>
        <w:tc>
          <w:tcPr>
            <w:tcW w:w="2218" w:type="dxa"/>
            <w:vAlign w:val="center"/>
          </w:tcPr>
          <w:p w14:paraId="317BD0A7"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Bluntnose minnow</w:t>
            </w:r>
          </w:p>
        </w:tc>
        <w:tc>
          <w:tcPr>
            <w:tcW w:w="1238" w:type="dxa"/>
            <w:vAlign w:val="center"/>
          </w:tcPr>
          <w:p w14:paraId="76005E5F"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bl>
    <w:p w14:paraId="0BAAC368" w14:textId="6EDB09B2" w:rsidR="0094086E" w:rsidRPr="007933E3" w:rsidRDefault="0094086E" w:rsidP="007933E3">
      <w:pPr>
        <w:spacing w:after="480" w:line="360" w:lineRule="auto"/>
        <w:rPr>
          <w:iCs/>
        </w:rPr>
      </w:pPr>
      <w:r>
        <w:rPr>
          <w:rFonts w:asciiTheme="minorHAnsi" w:hAnsiTheme="minorHAnsi"/>
          <w:bCs/>
          <w:sz w:val="22"/>
        </w:rPr>
        <w:br w:type="page"/>
      </w:r>
      <w:bookmarkStart w:id="80" w:name="_Toc36627895"/>
      <w:bookmarkStart w:id="81" w:name="_Toc36712648"/>
      <w:bookmarkStart w:id="82" w:name="_Toc37917382"/>
      <w:r w:rsidRPr="007933E3">
        <w:rPr>
          <w:iCs/>
          <w:u w:val="single"/>
        </w:rPr>
        <w:lastRenderedPageBreak/>
        <w:t xml:space="preserve">Annex </w:t>
      </w:r>
      <w:r w:rsidR="001D5EB7">
        <w:rPr>
          <w:iCs/>
          <w:u w:val="single"/>
        </w:rPr>
        <w:t>6</w:t>
      </w:r>
      <w:r w:rsidR="00B04DDB" w:rsidRPr="007933E3">
        <w:rPr>
          <w:iCs/>
        </w:rPr>
        <w:t xml:space="preserve"> </w:t>
      </w:r>
      <w:r w:rsidRPr="007933E3">
        <w:rPr>
          <w:iCs/>
        </w:rPr>
        <w:t>(contd)</w:t>
      </w:r>
      <w:bookmarkEnd w:id="80"/>
      <w:bookmarkEnd w:id="81"/>
      <w:bookmarkEnd w:id="82"/>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7"/>
        <w:gridCol w:w="2217"/>
        <w:gridCol w:w="2218"/>
        <w:gridCol w:w="1238"/>
      </w:tblGrid>
      <w:tr w:rsidR="0094086E" w:rsidRPr="007933E3" w14:paraId="48E00EC1" w14:textId="77777777" w:rsidTr="00E51BAB">
        <w:trPr>
          <w:jc w:val="center"/>
        </w:trPr>
        <w:tc>
          <w:tcPr>
            <w:tcW w:w="1977" w:type="dxa"/>
            <w:vAlign w:val="center"/>
          </w:tcPr>
          <w:p w14:paraId="31172D12" w14:textId="77777777" w:rsidR="0094086E" w:rsidRPr="007933E3" w:rsidRDefault="0094086E" w:rsidP="00E51BAB">
            <w:pPr>
              <w:pStyle w:val="Tabletext"/>
              <w:spacing w:before="40" w:after="40"/>
              <w:rPr>
                <w:b/>
                <w:szCs w:val="18"/>
                <w:u w:val="double"/>
                <w:lang w:val="en-GB"/>
              </w:rPr>
            </w:pPr>
            <w:r w:rsidRPr="007933E3">
              <w:rPr>
                <w:b/>
                <w:szCs w:val="18"/>
                <w:u w:val="double"/>
                <w:lang w:val="en-GB"/>
              </w:rPr>
              <w:t>Family</w:t>
            </w:r>
          </w:p>
        </w:tc>
        <w:tc>
          <w:tcPr>
            <w:tcW w:w="2217" w:type="dxa"/>
            <w:shd w:val="clear" w:color="auto" w:fill="auto"/>
            <w:vAlign w:val="center"/>
          </w:tcPr>
          <w:p w14:paraId="6128DF88" w14:textId="77777777" w:rsidR="0094086E" w:rsidRPr="007933E3" w:rsidRDefault="0094086E" w:rsidP="00E51BAB">
            <w:pPr>
              <w:pStyle w:val="Tabletext"/>
              <w:spacing w:before="40" w:after="40"/>
              <w:rPr>
                <w:b/>
                <w:i/>
                <w:iCs/>
                <w:color w:val="000000"/>
                <w:szCs w:val="18"/>
                <w:u w:val="double"/>
              </w:rPr>
            </w:pPr>
            <w:r w:rsidRPr="007933E3">
              <w:rPr>
                <w:b/>
                <w:szCs w:val="18"/>
                <w:u w:val="double"/>
                <w:lang w:val="en-GB"/>
              </w:rPr>
              <w:t>Scientific name</w:t>
            </w:r>
          </w:p>
        </w:tc>
        <w:tc>
          <w:tcPr>
            <w:tcW w:w="2218" w:type="dxa"/>
            <w:vAlign w:val="center"/>
          </w:tcPr>
          <w:p w14:paraId="781455FF" w14:textId="77777777" w:rsidR="0094086E" w:rsidRPr="007933E3" w:rsidRDefault="0094086E" w:rsidP="00E51BAB">
            <w:pPr>
              <w:pStyle w:val="Tabletext"/>
              <w:spacing w:before="40" w:after="40"/>
              <w:rPr>
                <w:b/>
                <w:color w:val="000000"/>
                <w:szCs w:val="18"/>
                <w:u w:val="double"/>
              </w:rPr>
            </w:pPr>
            <w:r w:rsidRPr="007933E3">
              <w:rPr>
                <w:b/>
                <w:szCs w:val="18"/>
                <w:u w:val="double"/>
                <w:lang w:val="en-GB"/>
              </w:rPr>
              <w:t>Common name</w:t>
            </w:r>
          </w:p>
        </w:tc>
        <w:tc>
          <w:tcPr>
            <w:tcW w:w="1238" w:type="dxa"/>
          </w:tcPr>
          <w:p w14:paraId="3F33FF90" w14:textId="77777777" w:rsidR="0094086E" w:rsidRPr="007933E3" w:rsidRDefault="0094086E" w:rsidP="00E51BAB">
            <w:pPr>
              <w:pStyle w:val="Tabletext"/>
              <w:spacing w:before="40" w:after="40"/>
              <w:rPr>
                <w:b/>
                <w:iCs/>
                <w:strike/>
                <w:szCs w:val="18"/>
                <w:highlight w:val="yellow"/>
                <w:u w:val="double"/>
                <w:lang w:val="en-GB"/>
              </w:rPr>
            </w:pPr>
            <w:r w:rsidRPr="007933E3">
              <w:rPr>
                <w:b/>
                <w:strike/>
                <w:szCs w:val="18"/>
                <w:highlight w:val="yellow"/>
                <w:u w:val="double"/>
                <w:lang w:val="en-GB"/>
              </w:rPr>
              <w:t>Genotype</w:t>
            </w:r>
          </w:p>
        </w:tc>
      </w:tr>
      <w:tr w:rsidR="0094086E" w:rsidRPr="007933E3" w14:paraId="641E1D1A" w14:textId="77777777" w:rsidTr="00E51BAB">
        <w:trPr>
          <w:jc w:val="center"/>
        </w:trPr>
        <w:tc>
          <w:tcPr>
            <w:tcW w:w="1977" w:type="dxa"/>
            <w:vAlign w:val="center"/>
          </w:tcPr>
          <w:p w14:paraId="56A2DAFA"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Cyprinidae</w:t>
            </w:r>
          </w:p>
        </w:tc>
        <w:tc>
          <w:tcPr>
            <w:tcW w:w="2217" w:type="dxa"/>
            <w:shd w:val="clear" w:color="auto" w:fill="auto"/>
            <w:vAlign w:val="center"/>
          </w:tcPr>
          <w:p w14:paraId="40B792FE"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Pimephales promelas</w:t>
            </w:r>
          </w:p>
        </w:tc>
        <w:tc>
          <w:tcPr>
            <w:tcW w:w="2218" w:type="dxa"/>
            <w:vAlign w:val="center"/>
          </w:tcPr>
          <w:p w14:paraId="5D8F02DF" w14:textId="55A94779" w:rsidR="0094086E" w:rsidRPr="007933E3" w:rsidRDefault="0094086E" w:rsidP="00411697">
            <w:pPr>
              <w:pStyle w:val="Tabletext"/>
              <w:spacing w:before="40" w:after="40"/>
              <w:rPr>
                <w:color w:val="000000"/>
                <w:szCs w:val="18"/>
                <w:u w:val="double"/>
              </w:rPr>
            </w:pPr>
            <w:r w:rsidRPr="007933E3">
              <w:rPr>
                <w:color w:val="000000"/>
                <w:szCs w:val="18"/>
                <w:u w:val="double"/>
              </w:rPr>
              <w:t xml:space="preserve">Fathead </w:t>
            </w:r>
            <w:r w:rsidRPr="007933E3">
              <w:rPr>
                <w:strike/>
                <w:color w:val="000000"/>
                <w:szCs w:val="18"/>
                <w:highlight w:val="yellow"/>
                <w:u w:val="double"/>
              </w:rPr>
              <w:t>Minnow</w:t>
            </w:r>
            <w:r w:rsidRPr="007933E3">
              <w:rPr>
                <w:color w:val="000000"/>
                <w:szCs w:val="18"/>
                <w:u w:val="double"/>
              </w:rPr>
              <w:t xml:space="preserve"> </w:t>
            </w:r>
            <w:r w:rsidR="00411697" w:rsidRPr="007933E3">
              <w:rPr>
                <w:color w:val="000000"/>
                <w:szCs w:val="18"/>
                <w:highlight w:val="yellow"/>
                <w:u w:val="double"/>
              </w:rPr>
              <w:t>minnow</w:t>
            </w:r>
            <w:r w:rsidR="00411697" w:rsidRPr="007933E3">
              <w:rPr>
                <w:color w:val="000000"/>
                <w:szCs w:val="18"/>
                <w:u w:val="double"/>
              </w:rPr>
              <w:t xml:space="preserve"> </w:t>
            </w:r>
          </w:p>
        </w:tc>
        <w:tc>
          <w:tcPr>
            <w:tcW w:w="1238" w:type="dxa"/>
            <w:vAlign w:val="center"/>
          </w:tcPr>
          <w:p w14:paraId="526E14BB"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7933E3" w14:paraId="1A8F38CA" w14:textId="77777777" w:rsidTr="00E51BAB">
        <w:trPr>
          <w:jc w:val="center"/>
        </w:trPr>
        <w:tc>
          <w:tcPr>
            <w:tcW w:w="1977" w:type="dxa"/>
            <w:vAlign w:val="center"/>
          </w:tcPr>
          <w:p w14:paraId="724F601C"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Embiotocidae</w:t>
            </w:r>
          </w:p>
        </w:tc>
        <w:tc>
          <w:tcPr>
            <w:tcW w:w="2217" w:type="dxa"/>
            <w:shd w:val="clear" w:color="auto" w:fill="auto"/>
            <w:vAlign w:val="center"/>
          </w:tcPr>
          <w:p w14:paraId="6A270110"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Cymatogaster aggregata</w:t>
            </w:r>
          </w:p>
        </w:tc>
        <w:tc>
          <w:tcPr>
            <w:tcW w:w="2218" w:type="dxa"/>
            <w:vAlign w:val="center"/>
          </w:tcPr>
          <w:p w14:paraId="7560BC6B"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Shiner perch</w:t>
            </w:r>
          </w:p>
        </w:tc>
        <w:tc>
          <w:tcPr>
            <w:tcW w:w="1238" w:type="dxa"/>
            <w:vAlign w:val="center"/>
          </w:tcPr>
          <w:p w14:paraId="1B294D82"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IVa</w:t>
            </w:r>
          </w:p>
        </w:tc>
      </w:tr>
      <w:tr w:rsidR="0094086E" w:rsidRPr="007933E3" w14:paraId="40777D50" w14:textId="77777777" w:rsidTr="00E51BAB">
        <w:trPr>
          <w:jc w:val="center"/>
        </w:trPr>
        <w:tc>
          <w:tcPr>
            <w:tcW w:w="1977" w:type="dxa"/>
            <w:vAlign w:val="center"/>
          </w:tcPr>
          <w:p w14:paraId="03825895"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Engraulidae</w:t>
            </w:r>
          </w:p>
        </w:tc>
        <w:tc>
          <w:tcPr>
            <w:tcW w:w="2217" w:type="dxa"/>
            <w:shd w:val="clear" w:color="auto" w:fill="auto"/>
            <w:vAlign w:val="center"/>
          </w:tcPr>
          <w:p w14:paraId="3A8CEC46"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Engraulis encrasicolus</w:t>
            </w:r>
          </w:p>
        </w:tc>
        <w:tc>
          <w:tcPr>
            <w:tcW w:w="2218" w:type="dxa"/>
            <w:vAlign w:val="center"/>
          </w:tcPr>
          <w:p w14:paraId="4B511059"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European anchovy</w:t>
            </w:r>
          </w:p>
        </w:tc>
        <w:tc>
          <w:tcPr>
            <w:tcW w:w="1238" w:type="dxa"/>
            <w:vAlign w:val="center"/>
          </w:tcPr>
          <w:p w14:paraId="7FECF4C7"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Ie</w:t>
            </w:r>
          </w:p>
        </w:tc>
      </w:tr>
      <w:tr w:rsidR="0094086E" w:rsidRPr="007933E3" w14:paraId="59E763CD" w14:textId="77777777" w:rsidTr="00E51BAB">
        <w:trPr>
          <w:jc w:val="center"/>
        </w:trPr>
        <w:tc>
          <w:tcPr>
            <w:tcW w:w="1977" w:type="dxa"/>
            <w:vMerge w:val="restart"/>
            <w:vAlign w:val="center"/>
          </w:tcPr>
          <w:p w14:paraId="430F4C31"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Esocidae</w:t>
            </w:r>
          </w:p>
        </w:tc>
        <w:tc>
          <w:tcPr>
            <w:tcW w:w="2217" w:type="dxa"/>
            <w:shd w:val="clear" w:color="auto" w:fill="auto"/>
            <w:vAlign w:val="center"/>
          </w:tcPr>
          <w:p w14:paraId="3CEABD62" w14:textId="77777777" w:rsidR="0094086E" w:rsidRPr="007933E3" w:rsidRDefault="0094086E" w:rsidP="00E51BAB">
            <w:pPr>
              <w:pStyle w:val="Tabletext"/>
              <w:spacing w:before="40" w:after="40"/>
              <w:rPr>
                <w:b/>
                <w:bCs w:val="0"/>
                <w:i/>
                <w:szCs w:val="18"/>
                <w:u w:val="double"/>
                <w:lang w:val="en-GB"/>
              </w:rPr>
            </w:pPr>
            <w:r w:rsidRPr="007933E3">
              <w:rPr>
                <w:i/>
                <w:iCs/>
                <w:color w:val="000000"/>
                <w:szCs w:val="18"/>
                <w:u w:val="double"/>
              </w:rPr>
              <w:t>Esox lucius</w:t>
            </w:r>
          </w:p>
        </w:tc>
        <w:tc>
          <w:tcPr>
            <w:tcW w:w="2218" w:type="dxa"/>
            <w:vAlign w:val="center"/>
          </w:tcPr>
          <w:p w14:paraId="14701A51"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Northern pike</w:t>
            </w:r>
          </w:p>
        </w:tc>
        <w:tc>
          <w:tcPr>
            <w:tcW w:w="1238" w:type="dxa"/>
            <w:vAlign w:val="center"/>
          </w:tcPr>
          <w:p w14:paraId="2BAE545E"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7933E3" w14:paraId="0E7DAE70" w14:textId="77777777" w:rsidTr="00E51BAB">
        <w:trPr>
          <w:jc w:val="center"/>
        </w:trPr>
        <w:tc>
          <w:tcPr>
            <w:tcW w:w="1977" w:type="dxa"/>
            <w:vMerge/>
            <w:vAlign w:val="center"/>
          </w:tcPr>
          <w:p w14:paraId="1CEC9E85" w14:textId="77777777" w:rsidR="0094086E" w:rsidRPr="007933E3" w:rsidRDefault="0094086E" w:rsidP="00E51BAB">
            <w:pPr>
              <w:spacing w:before="40" w:after="40" w:line="240" w:lineRule="auto"/>
              <w:jc w:val="center"/>
              <w:rPr>
                <w:rFonts w:ascii="Arial" w:hAnsi="Arial" w:cs="Arial"/>
                <w:color w:val="000000"/>
                <w:sz w:val="18"/>
                <w:szCs w:val="18"/>
                <w:u w:val="double"/>
              </w:rPr>
            </w:pPr>
          </w:p>
        </w:tc>
        <w:tc>
          <w:tcPr>
            <w:tcW w:w="2217" w:type="dxa"/>
            <w:shd w:val="clear" w:color="auto" w:fill="auto"/>
            <w:vAlign w:val="center"/>
          </w:tcPr>
          <w:p w14:paraId="3C8A0F23"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Esox masquinongy</w:t>
            </w:r>
          </w:p>
        </w:tc>
        <w:tc>
          <w:tcPr>
            <w:tcW w:w="2218" w:type="dxa"/>
            <w:vAlign w:val="center"/>
          </w:tcPr>
          <w:p w14:paraId="17737BBF"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Muskellunge</w:t>
            </w:r>
          </w:p>
        </w:tc>
        <w:tc>
          <w:tcPr>
            <w:tcW w:w="1238" w:type="dxa"/>
            <w:vAlign w:val="center"/>
          </w:tcPr>
          <w:p w14:paraId="445F138C"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7933E3" w14:paraId="158FEB48" w14:textId="77777777" w:rsidTr="00E51BAB">
        <w:trPr>
          <w:jc w:val="center"/>
        </w:trPr>
        <w:tc>
          <w:tcPr>
            <w:tcW w:w="1977" w:type="dxa"/>
            <w:vAlign w:val="center"/>
          </w:tcPr>
          <w:p w14:paraId="0699CA98"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Fundulidae</w:t>
            </w:r>
          </w:p>
        </w:tc>
        <w:tc>
          <w:tcPr>
            <w:tcW w:w="2217" w:type="dxa"/>
            <w:shd w:val="clear" w:color="auto" w:fill="auto"/>
            <w:vAlign w:val="center"/>
          </w:tcPr>
          <w:p w14:paraId="54FDDCC5"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Fundulus heteroclitus</w:t>
            </w:r>
          </w:p>
        </w:tc>
        <w:tc>
          <w:tcPr>
            <w:tcW w:w="2218" w:type="dxa"/>
            <w:vAlign w:val="center"/>
          </w:tcPr>
          <w:p w14:paraId="2A0B4A35"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Mummichog</w:t>
            </w:r>
          </w:p>
        </w:tc>
        <w:tc>
          <w:tcPr>
            <w:tcW w:w="1238" w:type="dxa"/>
            <w:vAlign w:val="center"/>
          </w:tcPr>
          <w:p w14:paraId="0E2AA887"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IVc</w:t>
            </w:r>
          </w:p>
        </w:tc>
      </w:tr>
      <w:tr w:rsidR="0094086E" w:rsidRPr="007933E3" w14:paraId="742D65E8" w14:textId="77777777" w:rsidTr="00E51BAB">
        <w:trPr>
          <w:jc w:val="center"/>
        </w:trPr>
        <w:tc>
          <w:tcPr>
            <w:tcW w:w="1977" w:type="dxa"/>
            <w:vMerge w:val="restart"/>
            <w:vAlign w:val="center"/>
          </w:tcPr>
          <w:p w14:paraId="4D41F163" w14:textId="77777777" w:rsidR="0094086E" w:rsidRPr="007933E3" w:rsidRDefault="0094086E" w:rsidP="00E51BAB">
            <w:pPr>
              <w:spacing w:before="40" w:after="40" w:line="240" w:lineRule="auto"/>
              <w:jc w:val="center"/>
              <w:rPr>
                <w:rFonts w:ascii="Arial" w:hAnsi="Arial" w:cs="Arial"/>
                <w:sz w:val="18"/>
                <w:szCs w:val="18"/>
                <w:u w:val="double"/>
              </w:rPr>
            </w:pPr>
            <w:r w:rsidRPr="007933E3">
              <w:rPr>
                <w:rFonts w:ascii="Arial" w:hAnsi="Arial" w:cs="Arial"/>
                <w:color w:val="000000"/>
                <w:sz w:val="18"/>
                <w:szCs w:val="18"/>
                <w:u w:val="double"/>
              </w:rPr>
              <w:t>Gadidae</w:t>
            </w:r>
          </w:p>
        </w:tc>
        <w:tc>
          <w:tcPr>
            <w:tcW w:w="2217" w:type="dxa"/>
            <w:shd w:val="clear" w:color="auto" w:fill="auto"/>
            <w:vAlign w:val="center"/>
          </w:tcPr>
          <w:p w14:paraId="75D640B2"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Gadus macrocephalus</w:t>
            </w:r>
          </w:p>
        </w:tc>
        <w:tc>
          <w:tcPr>
            <w:tcW w:w="2218" w:type="dxa"/>
            <w:vAlign w:val="center"/>
          </w:tcPr>
          <w:p w14:paraId="377CF5C9"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Pacific cod</w:t>
            </w:r>
          </w:p>
        </w:tc>
        <w:tc>
          <w:tcPr>
            <w:tcW w:w="1238" w:type="dxa"/>
            <w:vAlign w:val="center"/>
          </w:tcPr>
          <w:p w14:paraId="4FEDE314"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IVa</w:t>
            </w:r>
          </w:p>
        </w:tc>
      </w:tr>
      <w:tr w:rsidR="0094086E" w:rsidRPr="007933E3" w14:paraId="4F074FFA" w14:textId="77777777" w:rsidTr="00E51BAB">
        <w:trPr>
          <w:jc w:val="center"/>
        </w:trPr>
        <w:tc>
          <w:tcPr>
            <w:tcW w:w="1977" w:type="dxa"/>
            <w:vMerge/>
            <w:vAlign w:val="center"/>
          </w:tcPr>
          <w:p w14:paraId="0CAB67DA"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26BBBF55"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Gadus morhua</w:t>
            </w:r>
          </w:p>
        </w:tc>
        <w:tc>
          <w:tcPr>
            <w:tcW w:w="2218" w:type="dxa"/>
            <w:vAlign w:val="center"/>
          </w:tcPr>
          <w:p w14:paraId="0BA7EF02"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Atlantic cod</w:t>
            </w:r>
          </w:p>
        </w:tc>
        <w:tc>
          <w:tcPr>
            <w:tcW w:w="1238" w:type="dxa"/>
            <w:vAlign w:val="center"/>
          </w:tcPr>
          <w:p w14:paraId="4488CC02"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Ib, III</w:t>
            </w:r>
          </w:p>
        </w:tc>
      </w:tr>
      <w:tr w:rsidR="0094086E" w:rsidRPr="007933E3" w14:paraId="0B05D980" w14:textId="77777777" w:rsidTr="00E51BAB">
        <w:trPr>
          <w:jc w:val="center"/>
        </w:trPr>
        <w:tc>
          <w:tcPr>
            <w:tcW w:w="1977" w:type="dxa"/>
            <w:vMerge/>
            <w:vAlign w:val="center"/>
          </w:tcPr>
          <w:p w14:paraId="66940F32"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5917E826"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Merlangius merlangus</w:t>
            </w:r>
          </w:p>
        </w:tc>
        <w:tc>
          <w:tcPr>
            <w:tcW w:w="2218" w:type="dxa"/>
            <w:vAlign w:val="center"/>
          </w:tcPr>
          <w:p w14:paraId="0531E4BB"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Whiting</w:t>
            </w:r>
          </w:p>
        </w:tc>
        <w:tc>
          <w:tcPr>
            <w:tcW w:w="1238" w:type="dxa"/>
            <w:vAlign w:val="center"/>
          </w:tcPr>
          <w:p w14:paraId="66209520"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Ie</w:t>
            </w:r>
          </w:p>
        </w:tc>
      </w:tr>
      <w:tr w:rsidR="0094086E" w:rsidRPr="007933E3" w14:paraId="2F12E173" w14:textId="77777777" w:rsidTr="00E51BAB">
        <w:trPr>
          <w:jc w:val="center"/>
        </w:trPr>
        <w:tc>
          <w:tcPr>
            <w:tcW w:w="1977" w:type="dxa"/>
            <w:vMerge/>
            <w:vAlign w:val="center"/>
          </w:tcPr>
          <w:p w14:paraId="7A75B40D"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10894B8A"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Micromesistius poutassou</w:t>
            </w:r>
          </w:p>
        </w:tc>
        <w:tc>
          <w:tcPr>
            <w:tcW w:w="2218" w:type="dxa"/>
            <w:vAlign w:val="center"/>
          </w:tcPr>
          <w:p w14:paraId="7E23A780" w14:textId="651011BE" w:rsidR="0094086E" w:rsidRPr="007933E3" w:rsidRDefault="0094086E" w:rsidP="00411697">
            <w:pPr>
              <w:pStyle w:val="Tabletext"/>
              <w:spacing w:before="40" w:after="40"/>
              <w:rPr>
                <w:color w:val="000000"/>
                <w:szCs w:val="18"/>
                <w:u w:val="double"/>
              </w:rPr>
            </w:pPr>
            <w:r w:rsidRPr="007933E3">
              <w:rPr>
                <w:color w:val="000000"/>
                <w:szCs w:val="18"/>
                <w:u w:val="double"/>
              </w:rPr>
              <w:t xml:space="preserve">Blue </w:t>
            </w:r>
            <w:r w:rsidRPr="007933E3">
              <w:rPr>
                <w:strike/>
                <w:color w:val="000000"/>
                <w:szCs w:val="18"/>
                <w:highlight w:val="yellow"/>
                <w:u w:val="double"/>
              </w:rPr>
              <w:t>Whiting</w:t>
            </w:r>
            <w:r w:rsidRPr="007933E3">
              <w:rPr>
                <w:color w:val="000000"/>
                <w:szCs w:val="18"/>
                <w:u w:val="double"/>
              </w:rPr>
              <w:t xml:space="preserve"> </w:t>
            </w:r>
            <w:r w:rsidR="00411697" w:rsidRPr="007933E3">
              <w:rPr>
                <w:color w:val="000000"/>
                <w:szCs w:val="18"/>
                <w:highlight w:val="yellow"/>
                <w:u w:val="double"/>
              </w:rPr>
              <w:t>whiting</w:t>
            </w:r>
            <w:r w:rsidR="00411697" w:rsidRPr="007933E3">
              <w:rPr>
                <w:color w:val="000000"/>
                <w:szCs w:val="18"/>
                <w:u w:val="double"/>
              </w:rPr>
              <w:t xml:space="preserve"> </w:t>
            </w:r>
          </w:p>
        </w:tc>
        <w:tc>
          <w:tcPr>
            <w:tcW w:w="1238" w:type="dxa"/>
            <w:vAlign w:val="center"/>
          </w:tcPr>
          <w:p w14:paraId="38DDC672"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Ib, III</w:t>
            </w:r>
          </w:p>
        </w:tc>
      </w:tr>
      <w:tr w:rsidR="0094086E" w:rsidRPr="007933E3" w14:paraId="094DA13E" w14:textId="77777777" w:rsidTr="00E51BAB">
        <w:trPr>
          <w:jc w:val="center"/>
        </w:trPr>
        <w:tc>
          <w:tcPr>
            <w:tcW w:w="1977" w:type="dxa"/>
            <w:vMerge/>
            <w:vAlign w:val="center"/>
          </w:tcPr>
          <w:p w14:paraId="025FD10C"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30E36BCA"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Trisopterus esmarkii</w:t>
            </w:r>
          </w:p>
        </w:tc>
        <w:tc>
          <w:tcPr>
            <w:tcW w:w="2218" w:type="dxa"/>
            <w:vAlign w:val="center"/>
          </w:tcPr>
          <w:p w14:paraId="1FAAE13B"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Norway pout</w:t>
            </w:r>
          </w:p>
        </w:tc>
        <w:tc>
          <w:tcPr>
            <w:tcW w:w="1238" w:type="dxa"/>
            <w:vAlign w:val="center"/>
          </w:tcPr>
          <w:p w14:paraId="798F4B6E"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Ib, III</w:t>
            </w:r>
          </w:p>
        </w:tc>
      </w:tr>
      <w:tr w:rsidR="0094086E" w:rsidRPr="007933E3" w14:paraId="202DF501" w14:textId="77777777" w:rsidTr="00E51BAB">
        <w:trPr>
          <w:jc w:val="center"/>
        </w:trPr>
        <w:tc>
          <w:tcPr>
            <w:tcW w:w="1977" w:type="dxa"/>
            <w:vAlign w:val="center"/>
          </w:tcPr>
          <w:p w14:paraId="022F78C1"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Gasterosteidae</w:t>
            </w:r>
          </w:p>
        </w:tc>
        <w:tc>
          <w:tcPr>
            <w:tcW w:w="2217" w:type="dxa"/>
            <w:shd w:val="clear" w:color="auto" w:fill="auto"/>
            <w:vAlign w:val="center"/>
          </w:tcPr>
          <w:p w14:paraId="7238448D"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Gasterosteus aculeatus</w:t>
            </w:r>
          </w:p>
        </w:tc>
        <w:tc>
          <w:tcPr>
            <w:tcW w:w="2218" w:type="dxa"/>
            <w:vAlign w:val="center"/>
          </w:tcPr>
          <w:p w14:paraId="73AAB727"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 xml:space="preserve">Three-spine stickleback </w:t>
            </w:r>
          </w:p>
        </w:tc>
        <w:tc>
          <w:tcPr>
            <w:tcW w:w="1238" w:type="dxa"/>
            <w:vAlign w:val="center"/>
          </w:tcPr>
          <w:p w14:paraId="77415384"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IVc</w:t>
            </w:r>
          </w:p>
        </w:tc>
      </w:tr>
      <w:tr w:rsidR="0094086E" w:rsidRPr="007933E3" w14:paraId="2E7CF71C" w14:textId="77777777" w:rsidTr="00E51BAB">
        <w:trPr>
          <w:jc w:val="center"/>
        </w:trPr>
        <w:tc>
          <w:tcPr>
            <w:tcW w:w="1977" w:type="dxa"/>
            <w:vMerge w:val="restart"/>
            <w:vAlign w:val="center"/>
          </w:tcPr>
          <w:p w14:paraId="1E1CD931"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Gobiidae</w:t>
            </w:r>
          </w:p>
        </w:tc>
        <w:tc>
          <w:tcPr>
            <w:tcW w:w="2217" w:type="dxa"/>
            <w:shd w:val="clear" w:color="auto" w:fill="auto"/>
            <w:vAlign w:val="center"/>
          </w:tcPr>
          <w:p w14:paraId="53C4FE9F"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Neogobius melanostomus</w:t>
            </w:r>
          </w:p>
        </w:tc>
        <w:tc>
          <w:tcPr>
            <w:tcW w:w="2218" w:type="dxa"/>
            <w:vAlign w:val="center"/>
          </w:tcPr>
          <w:p w14:paraId="47690116"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Round goby</w:t>
            </w:r>
          </w:p>
        </w:tc>
        <w:tc>
          <w:tcPr>
            <w:tcW w:w="1238" w:type="dxa"/>
            <w:vAlign w:val="center"/>
          </w:tcPr>
          <w:p w14:paraId="225B9557"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7933E3" w14:paraId="56BE5395" w14:textId="77777777" w:rsidTr="00E51BAB">
        <w:trPr>
          <w:jc w:val="center"/>
        </w:trPr>
        <w:tc>
          <w:tcPr>
            <w:tcW w:w="1977" w:type="dxa"/>
            <w:vMerge/>
            <w:vAlign w:val="center"/>
          </w:tcPr>
          <w:p w14:paraId="0B20B21C"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005D93D9"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Pomatoschistus minutus</w:t>
            </w:r>
          </w:p>
        </w:tc>
        <w:tc>
          <w:tcPr>
            <w:tcW w:w="2218" w:type="dxa"/>
            <w:vAlign w:val="center"/>
          </w:tcPr>
          <w:p w14:paraId="20FD9DBD"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Sand goby</w:t>
            </w:r>
          </w:p>
        </w:tc>
        <w:tc>
          <w:tcPr>
            <w:tcW w:w="1238" w:type="dxa"/>
            <w:vAlign w:val="center"/>
          </w:tcPr>
          <w:p w14:paraId="3C990E17"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Ib</w:t>
            </w:r>
          </w:p>
        </w:tc>
      </w:tr>
      <w:tr w:rsidR="0094086E" w:rsidRPr="007933E3" w14:paraId="45D09E8A" w14:textId="77777777" w:rsidTr="00E51BAB">
        <w:trPr>
          <w:jc w:val="center"/>
        </w:trPr>
        <w:tc>
          <w:tcPr>
            <w:tcW w:w="1977" w:type="dxa"/>
            <w:vAlign w:val="center"/>
          </w:tcPr>
          <w:p w14:paraId="5E99630E"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Ictaluridae</w:t>
            </w:r>
          </w:p>
        </w:tc>
        <w:tc>
          <w:tcPr>
            <w:tcW w:w="2217" w:type="dxa"/>
            <w:shd w:val="clear" w:color="auto" w:fill="auto"/>
            <w:vAlign w:val="center"/>
          </w:tcPr>
          <w:p w14:paraId="3D79E774" w14:textId="77777777" w:rsidR="0094086E" w:rsidRPr="007933E3" w:rsidRDefault="0094086E" w:rsidP="00E51BAB">
            <w:pPr>
              <w:pStyle w:val="Tabletext"/>
              <w:spacing w:before="40" w:after="40"/>
              <w:rPr>
                <w:i/>
                <w:szCs w:val="18"/>
                <w:u w:val="double"/>
                <w:lang w:val="en-GB"/>
              </w:rPr>
            </w:pPr>
            <w:r w:rsidRPr="007933E3">
              <w:rPr>
                <w:i/>
                <w:iCs/>
                <w:strike/>
                <w:szCs w:val="18"/>
                <w:highlight w:val="yellow"/>
                <w:u w:val="double"/>
              </w:rPr>
              <w:t>Ictalurus</w:t>
            </w:r>
            <w:r w:rsidRPr="007933E3">
              <w:rPr>
                <w:i/>
                <w:iCs/>
                <w:szCs w:val="18"/>
                <w:highlight w:val="yellow"/>
                <w:u w:val="double"/>
              </w:rPr>
              <w:t xml:space="preserve"> Ameiurus</w:t>
            </w:r>
            <w:r w:rsidRPr="007933E3">
              <w:rPr>
                <w:i/>
                <w:iCs/>
                <w:szCs w:val="18"/>
              </w:rPr>
              <w:t xml:space="preserve"> </w:t>
            </w:r>
            <w:r w:rsidRPr="007933E3">
              <w:rPr>
                <w:i/>
                <w:iCs/>
                <w:color w:val="000000"/>
                <w:szCs w:val="18"/>
                <w:u w:val="double"/>
              </w:rPr>
              <w:t>nebulosus</w:t>
            </w:r>
          </w:p>
        </w:tc>
        <w:tc>
          <w:tcPr>
            <w:tcW w:w="2218" w:type="dxa"/>
            <w:vAlign w:val="center"/>
          </w:tcPr>
          <w:p w14:paraId="08B11F0A"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Brown bullhead</w:t>
            </w:r>
          </w:p>
        </w:tc>
        <w:tc>
          <w:tcPr>
            <w:tcW w:w="1238" w:type="dxa"/>
            <w:vAlign w:val="center"/>
          </w:tcPr>
          <w:p w14:paraId="0E008A91"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7933E3" w14:paraId="45C8A50A" w14:textId="77777777" w:rsidTr="00E51BAB">
        <w:trPr>
          <w:jc w:val="center"/>
        </w:trPr>
        <w:tc>
          <w:tcPr>
            <w:tcW w:w="1977" w:type="dxa"/>
            <w:vMerge w:val="restart"/>
            <w:vAlign w:val="center"/>
          </w:tcPr>
          <w:p w14:paraId="6F5EE102"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Labridae</w:t>
            </w:r>
          </w:p>
        </w:tc>
        <w:tc>
          <w:tcPr>
            <w:tcW w:w="2217" w:type="dxa"/>
            <w:shd w:val="clear" w:color="auto" w:fill="auto"/>
            <w:vAlign w:val="center"/>
          </w:tcPr>
          <w:p w14:paraId="25EAF181"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Centrolabrus exoletus</w:t>
            </w:r>
          </w:p>
        </w:tc>
        <w:tc>
          <w:tcPr>
            <w:tcW w:w="2218" w:type="dxa"/>
            <w:vAlign w:val="center"/>
          </w:tcPr>
          <w:p w14:paraId="413FAB5E"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Rock cook wrasse</w:t>
            </w:r>
          </w:p>
        </w:tc>
        <w:tc>
          <w:tcPr>
            <w:tcW w:w="1238" w:type="dxa"/>
            <w:vAlign w:val="center"/>
          </w:tcPr>
          <w:p w14:paraId="429E1641"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III</w:t>
            </w:r>
          </w:p>
        </w:tc>
      </w:tr>
      <w:tr w:rsidR="0094086E" w:rsidRPr="007933E3" w14:paraId="21BDDDF0" w14:textId="77777777" w:rsidTr="00E51BAB">
        <w:trPr>
          <w:jc w:val="center"/>
        </w:trPr>
        <w:tc>
          <w:tcPr>
            <w:tcW w:w="1977" w:type="dxa"/>
            <w:vMerge/>
            <w:vAlign w:val="center"/>
          </w:tcPr>
          <w:p w14:paraId="3D7039EA"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156A9236"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Ctenolabrus rupestris</w:t>
            </w:r>
          </w:p>
        </w:tc>
        <w:tc>
          <w:tcPr>
            <w:tcW w:w="2218" w:type="dxa"/>
            <w:vAlign w:val="center"/>
          </w:tcPr>
          <w:p w14:paraId="3477F10B"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Goldsinny wrasse</w:t>
            </w:r>
          </w:p>
        </w:tc>
        <w:tc>
          <w:tcPr>
            <w:tcW w:w="1238" w:type="dxa"/>
            <w:vAlign w:val="center"/>
          </w:tcPr>
          <w:p w14:paraId="7866FB26"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III</w:t>
            </w:r>
          </w:p>
        </w:tc>
      </w:tr>
      <w:tr w:rsidR="0094086E" w:rsidRPr="007933E3" w14:paraId="719FB36D" w14:textId="77777777" w:rsidTr="00E51BAB">
        <w:trPr>
          <w:jc w:val="center"/>
        </w:trPr>
        <w:tc>
          <w:tcPr>
            <w:tcW w:w="1977" w:type="dxa"/>
            <w:vMerge/>
            <w:vAlign w:val="center"/>
          </w:tcPr>
          <w:p w14:paraId="0BF800DB"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44457BAB"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Labrus bergylta</w:t>
            </w:r>
          </w:p>
        </w:tc>
        <w:tc>
          <w:tcPr>
            <w:tcW w:w="2218" w:type="dxa"/>
            <w:vAlign w:val="center"/>
          </w:tcPr>
          <w:p w14:paraId="38A62C1C"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Ballan wrasse</w:t>
            </w:r>
          </w:p>
        </w:tc>
        <w:tc>
          <w:tcPr>
            <w:tcW w:w="1238" w:type="dxa"/>
            <w:vAlign w:val="center"/>
          </w:tcPr>
          <w:p w14:paraId="59F6F19B"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III</w:t>
            </w:r>
          </w:p>
        </w:tc>
      </w:tr>
      <w:tr w:rsidR="0094086E" w:rsidRPr="007933E3" w14:paraId="7E663280" w14:textId="77777777" w:rsidTr="00E51BAB">
        <w:trPr>
          <w:jc w:val="center"/>
        </w:trPr>
        <w:tc>
          <w:tcPr>
            <w:tcW w:w="1977" w:type="dxa"/>
            <w:vMerge/>
            <w:vAlign w:val="center"/>
          </w:tcPr>
          <w:p w14:paraId="16B360ED"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7A9A0F2E"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Labrus mixtus</w:t>
            </w:r>
          </w:p>
        </w:tc>
        <w:tc>
          <w:tcPr>
            <w:tcW w:w="2218" w:type="dxa"/>
            <w:vAlign w:val="center"/>
          </w:tcPr>
          <w:p w14:paraId="03454290"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Cuckoo wrasse</w:t>
            </w:r>
          </w:p>
        </w:tc>
        <w:tc>
          <w:tcPr>
            <w:tcW w:w="1238" w:type="dxa"/>
            <w:vAlign w:val="center"/>
          </w:tcPr>
          <w:p w14:paraId="131742B1"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III</w:t>
            </w:r>
          </w:p>
        </w:tc>
      </w:tr>
      <w:tr w:rsidR="0094086E" w:rsidRPr="007933E3" w14:paraId="4C59DD1B" w14:textId="77777777" w:rsidTr="00E51BAB">
        <w:trPr>
          <w:jc w:val="center"/>
        </w:trPr>
        <w:tc>
          <w:tcPr>
            <w:tcW w:w="1977" w:type="dxa"/>
            <w:vMerge/>
            <w:vAlign w:val="center"/>
          </w:tcPr>
          <w:p w14:paraId="31AC642B"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3D8B8F47"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Symphodus melops</w:t>
            </w:r>
          </w:p>
        </w:tc>
        <w:tc>
          <w:tcPr>
            <w:tcW w:w="2218" w:type="dxa"/>
            <w:vAlign w:val="center"/>
          </w:tcPr>
          <w:p w14:paraId="2E045F7A"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Corkwing wrasse</w:t>
            </w:r>
          </w:p>
        </w:tc>
        <w:tc>
          <w:tcPr>
            <w:tcW w:w="1238" w:type="dxa"/>
            <w:vAlign w:val="center"/>
          </w:tcPr>
          <w:p w14:paraId="78CF8623"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III</w:t>
            </w:r>
          </w:p>
        </w:tc>
      </w:tr>
      <w:tr w:rsidR="0094086E" w:rsidRPr="007933E3" w14:paraId="1D09B94F" w14:textId="77777777" w:rsidTr="00E51BAB">
        <w:trPr>
          <w:jc w:val="center"/>
        </w:trPr>
        <w:tc>
          <w:tcPr>
            <w:tcW w:w="1977" w:type="dxa"/>
            <w:vAlign w:val="center"/>
          </w:tcPr>
          <w:p w14:paraId="2E844055"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Lotidae</w:t>
            </w:r>
          </w:p>
        </w:tc>
        <w:tc>
          <w:tcPr>
            <w:tcW w:w="2217" w:type="dxa"/>
            <w:shd w:val="clear" w:color="auto" w:fill="auto"/>
            <w:vAlign w:val="center"/>
          </w:tcPr>
          <w:p w14:paraId="22A4C975"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Gaidropsarus vulgaris</w:t>
            </w:r>
          </w:p>
        </w:tc>
        <w:tc>
          <w:tcPr>
            <w:tcW w:w="2218" w:type="dxa"/>
            <w:vAlign w:val="center"/>
          </w:tcPr>
          <w:p w14:paraId="26D15968"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 xml:space="preserve">Three-bearded rockling </w:t>
            </w:r>
          </w:p>
        </w:tc>
        <w:tc>
          <w:tcPr>
            <w:tcW w:w="1238" w:type="dxa"/>
            <w:vAlign w:val="center"/>
          </w:tcPr>
          <w:p w14:paraId="485FC4B2"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Ie</w:t>
            </w:r>
          </w:p>
        </w:tc>
      </w:tr>
      <w:tr w:rsidR="0094086E" w:rsidRPr="007933E3" w14:paraId="629E2BED" w14:textId="77777777" w:rsidTr="00E51BAB">
        <w:trPr>
          <w:jc w:val="center"/>
        </w:trPr>
        <w:tc>
          <w:tcPr>
            <w:tcW w:w="1977" w:type="dxa"/>
            <w:vMerge w:val="restart"/>
            <w:vAlign w:val="center"/>
          </w:tcPr>
          <w:p w14:paraId="1916BA9B"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Moronidae</w:t>
            </w:r>
          </w:p>
        </w:tc>
        <w:tc>
          <w:tcPr>
            <w:tcW w:w="2217" w:type="dxa"/>
            <w:shd w:val="clear" w:color="auto" w:fill="auto"/>
            <w:vAlign w:val="center"/>
          </w:tcPr>
          <w:p w14:paraId="18019AE9"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Morone americana</w:t>
            </w:r>
          </w:p>
        </w:tc>
        <w:tc>
          <w:tcPr>
            <w:tcW w:w="2218" w:type="dxa"/>
            <w:vAlign w:val="center"/>
          </w:tcPr>
          <w:p w14:paraId="10A0A4E1" w14:textId="56E981BD" w:rsidR="0094086E" w:rsidRPr="007933E3" w:rsidRDefault="0094086E" w:rsidP="00411697">
            <w:pPr>
              <w:pStyle w:val="Tabletext"/>
              <w:spacing w:before="40" w:after="40"/>
              <w:rPr>
                <w:iCs/>
                <w:szCs w:val="18"/>
                <w:u w:val="double"/>
                <w:lang w:val="en-GB"/>
              </w:rPr>
            </w:pPr>
            <w:r w:rsidRPr="007933E3">
              <w:rPr>
                <w:color w:val="000000"/>
                <w:szCs w:val="18"/>
                <w:u w:val="double"/>
              </w:rPr>
              <w:t xml:space="preserve">White </w:t>
            </w:r>
            <w:r w:rsidRPr="007933E3">
              <w:rPr>
                <w:strike/>
                <w:color w:val="000000"/>
                <w:szCs w:val="18"/>
                <w:highlight w:val="yellow"/>
                <w:u w:val="double"/>
              </w:rPr>
              <w:t>Perch</w:t>
            </w:r>
            <w:r w:rsidRPr="007933E3">
              <w:rPr>
                <w:color w:val="000000"/>
                <w:szCs w:val="18"/>
                <w:u w:val="double"/>
              </w:rPr>
              <w:t xml:space="preserve"> </w:t>
            </w:r>
            <w:r w:rsidR="00411697" w:rsidRPr="007933E3">
              <w:rPr>
                <w:color w:val="000000"/>
                <w:szCs w:val="18"/>
                <w:highlight w:val="yellow"/>
                <w:u w:val="double"/>
              </w:rPr>
              <w:t>perch</w:t>
            </w:r>
            <w:r w:rsidR="00411697" w:rsidRPr="007933E3">
              <w:rPr>
                <w:color w:val="000000"/>
                <w:szCs w:val="18"/>
                <w:u w:val="double"/>
              </w:rPr>
              <w:t xml:space="preserve"> </w:t>
            </w:r>
          </w:p>
        </w:tc>
        <w:tc>
          <w:tcPr>
            <w:tcW w:w="1238" w:type="dxa"/>
            <w:vAlign w:val="center"/>
          </w:tcPr>
          <w:p w14:paraId="7DE2031B"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7933E3" w14:paraId="0F503B43" w14:textId="77777777" w:rsidTr="00E51BAB">
        <w:trPr>
          <w:jc w:val="center"/>
        </w:trPr>
        <w:tc>
          <w:tcPr>
            <w:tcW w:w="1977" w:type="dxa"/>
            <w:vMerge/>
            <w:vAlign w:val="center"/>
          </w:tcPr>
          <w:p w14:paraId="69080C85"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74D539F5"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Morone chrysops</w:t>
            </w:r>
          </w:p>
        </w:tc>
        <w:tc>
          <w:tcPr>
            <w:tcW w:w="2218" w:type="dxa"/>
            <w:vAlign w:val="center"/>
          </w:tcPr>
          <w:p w14:paraId="331D5E92" w14:textId="1E83FC8C" w:rsidR="0094086E" w:rsidRPr="007933E3" w:rsidRDefault="0094086E" w:rsidP="00411697">
            <w:pPr>
              <w:pStyle w:val="Tabletext"/>
              <w:spacing w:before="40" w:after="40"/>
              <w:rPr>
                <w:iCs/>
                <w:szCs w:val="18"/>
                <w:u w:val="double"/>
                <w:lang w:val="en-GB"/>
              </w:rPr>
            </w:pPr>
            <w:r w:rsidRPr="007933E3">
              <w:rPr>
                <w:color w:val="000000"/>
                <w:szCs w:val="18"/>
                <w:u w:val="double"/>
              </w:rPr>
              <w:t xml:space="preserve">White </w:t>
            </w:r>
            <w:r w:rsidRPr="007933E3">
              <w:rPr>
                <w:strike/>
                <w:color w:val="000000"/>
                <w:szCs w:val="18"/>
                <w:highlight w:val="yellow"/>
                <w:u w:val="double"/>
              </w:rPr>
              <w:t>Bass</w:t>
            </w:r>
            <w:r w:rsidRPr="007933E3">
              <w:rPr>
                <w:color w:val="000000"/>
                <w:szCs w:val="18"/>
                <w:u w:val="double"/>
              </w:rPr>
              <w:t xml:space="preserve"> </w:t>
            </w:r>
            <w:r w:rsidR="00411697" w:rsidRPr="007933E3">
              <w:rPr>
                <w:color w:val="000000"/>
                <w:szCs w:val="18"/>
                <w:highlight w:val="yellow"/>
                <w:u w:val="double"/>
              </w:rPr>
              <w:t>bass</w:t>
            </w:r>
            <w:r w:rsidR="00411697" w:rsidRPr="007933E3">
              <w:rPr>
                <w:color w:val="000000"/>
                <w:szCs w:val="18"/>
                <w:u w:val="double"/>
              </w:rPr>
              <w:t xml:space="preserve"> </w:t>
            </w:r>
          </w:p>
        </w:tc>
        <w:tc>
          <w:tcPr>
            <w:tcW w:w="1238" w:type="dxa"/>
            <w:vAlign w:val="center"/>
          </w:tcPr>
          <w:p w14:paraId="08C1D68B"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7933E3" w14:paraId="552E38E7" w14:textId="77777777" w:rsidTr="00E51BAB">
        <w:trPr>
          <w:jc w:val="center"/>
        </w:trPr>
        <w:tc>
          <w:tcPr>
            <w:tcW w:w="1977" w:type="dxa"/>
            <w:vMerge/>
            <w:vAlign w:val="center"/>
          </w:tcPr>
          <w:p w14:paraId="13FE25A0"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17F62C04"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Morone saxatilis</w:t>
            </w:r>
          </w:p>
        </w:tc>
        <w:tc>
          <w:tcPr>
            <w:tcW w:w="2218" w:type="dxa"/>
            <w:vAlign w:val="center"/>
          </w:tcPr>
          <w:p w14:paraId="5A035477"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Striped bass</w:t>
            </w:r>
          </w:p>
        </w:tc>
        <w:tc>
          <w:tcPr>
            <w:tcW w:w="1238" w:type="dxa"/>
            <w:vAlign w:val="center"/>
          </w:tcPr>
          <w:p w14:paraId="4CCC5037"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 IVc</w:t>
            </w:r>
          </w:p>
        </w:tc>
      </w:tr>
      <w:tr w:rsidR="0094086E" w:rsidRPr="007933E3" w14:paraId="7C24A115" w14:textId="77777777" w:rsidTr="00E51BAB">
        <w:trPr>
          <w:jc w:val="center"/>
        </w:trPr>
        <w:tc>
          <w:tcPr>
            <w:tcW w:w="1977" w:type="dxa"/>
            <w:vAlign w:val="center"/>
          </w:tcPr>
          <w:p w14:paraId="6949D779" w14:textId="77777777" w:rsidR="0094086E" w:rsidRPr="007933E3" w:rsidRDefault="0094086E" w:rsidP="00E51BAB">
            <w:pPr>
              <w:pStyle w:val="Tabletext"/>
              <w:spacing w:before="40" w:after="40"/>
              <w:rPr>
                <w:szCs w:val="18"/>
                <w:u w:val="double"/>
                <w:lang w:val="en-GB"/>
              </w:rPr>
            </w:pPr>
            <w:r w:rsidRPr="007933E3">
              <w:rPr>
                <w:color w:val="000000"/>
                <w:szCs w:val="18"/>
                <w:u w:val="double"/>
              </w:rPr>
              <w:t>Mullidae</w:t>
            </w:r>
          </w:p>
        </w:tc>
        <w:tc>
          <w:tcPr>
            <w:tcW w:w="2217" w:type="dxa"/>
            <w:shd w:val="clear" w:color="auto" w:fill="auto"/>
            <w:vAlign w:val="center"/>
          </w:tcPr>
          <w:p w14:paraId="50DC29D4"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Mullus barbatus</w:t>
            </w:r>
          </w:p>
        </w:tc>
        <w:tc>
          <w:tcPr>
            <w:tcW w:w="2218" w:type="dxa"/>
            <w:vAlign w:val="center"/>
          </w:tcPr>
          <w:p w14:paraId="293D80EF" w14:textId="77777777" w:rsidR="0094086E" w:rsidRPr="007933E3" w:rsidRDefault="0094086E" w:rsidP="00E51BAB">
            <w:pPr>
              <w:pStyle w:val="Tabletext"/>
              <w:spacing w:before="40" w:after="40"/>
              <w:rPr>
                <w:iCs/>
                <w:color w:val="000000"/>
                <w:szCs w:val="18"/>
                <w:u w:val="double"/>
              </w:rPr>
            </w:pPr>
            <w:r w:rsidRPr="007933E3">
              <w:rPr>
                <w:color w:val="000000"/>
                <w:szCs w:val="18"/>
                <w:u w:val="double"/>
              </w:rPr>
              <w:t xml:space="preserve">Red mullet </w:t>
            </w:r>
          </w:p>
        </w:tc>
        <w:tc>
          <w:tcPr>
            <w:tcW w:w="1238" w:type="dxa"/>
            <w:vAlign w:val="center"/>
          </w:tcPr>
          <w:p w14:paraId="37881F46" w14:textId="77777777" w:rsidR="0094086E" w:rsidRPr="007933E3" w:rsidRDefault="0094086E" w:rsidP="00E51BAB">
            <w:pPr>
              <w:pStyle w:val="Tabletext"/>
              <w:spacing w:before="40" w:after="40"/>
              <w:rPr>
                <w:iCs/>
                <w:strike/>
                <w:szCs w:val="18"/>
                <w:highlight w:val="yellow"/>
                <w:u w:val="double"/>
                <w:lang w:val="en-GB"/>
              </w:rPr>
            </w:pPr>
            <w:r w:rsidRPr="007933E3">
              <w:rPr>
                <w:iCs/>
                <w:strike/>
                <w:color w:val="000000"/>
                <w:szCs w:val="18"/>
                <w:highlight w:val="yellow"/>
                <w:u w:val="double"/>
              </w:rPr>
              <w:t>Ie</w:t>
            </w:r>
          </w:p>
        </w:tc>
      </w:tr>
      <w:tr w:rsidR="0094086E" w:rsidRPr="007933E3" w14:paraId="4C158B92" w14:textId="77777777" w:rsidTr="00E51BAB">
        <w:trPr>
          <w:jc w:val="center"/>
        </w:trPr>
        <w:tc>
          <w:tcPr>
            <w:tcW w:w="1977" w:type="dxa"/>
            <w:vAlign w:val="center"/>
          </w:tcPr>
          <w:p w14:paraId="2444AEF9" w14:textId="77777777" w:rsidR="0094086E" w:rsidRPr="007933E3" w:rsidRDefault="0094086E" w:rsidP="00E51BAB">
            <w:pPr>
              <w:pStyle w:val="Tabletext"/>
              <w:spacing w:before="40" w:after="40"/>
              <w:rPr>
                <w:szCs w:val="18"/>
                <w:u w:val="double"/>
                <w:lang w:val="en-GB"/>
              </w:rPr>
            </w:pPr>
            <w:r w:rsidRPr="007933E3">
              <w:rPr>
                <w:color w:val="000000"/>
                <w:szCs w:val="18"/>
                <w:u w:val="double"/>
              </w:rPr>
              <w:t>Osmeridae</w:t>
            </w:r>
          </w:p>
        </w:tc>
        <w:tc>
          <w:tcPr>
            <w:tcW w:w="2217" w:type="dxa"/>
            <w:shd w:val="clear" w:color="auto" w:fill="auto"/>
            <w:vAlign w:val="center"/>
          </w:tcPr>
          <w:p w14:paraId="79F9422C"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Thaleichthys pacificus</w:t>
            </w:r>
          </w:p>
        </w:tc>
        <w:tc>
          <w:tcPr>
            <w:tcW w:w="2218" w:type="dxa"/>
            <w:vAlign w:val="center"/>
          </w:tcPr>
          <w:p w14:paraId="6A6C8945"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Eulachon</w:t>
            </w:r>
          </w:p>
        </w:tc>
        <w:tc>
          <w:tcPr>
            <w:tcW w:w="1238" w:type="dxa"/>
            <w:vAlign w:val="center"/>
          </w:tcPr>
          <w:p w14:paraId="60DAFC7F"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IVa</w:t>
            </w:r>
          </w:p>
        </w:tc>
      </w:tr>
      <w:tr w:rsidR="0094086E" w:rsidRPr="007933E3" w14:paraId="79AE795D" w14:textId="77777777" w:rsidTr="00E51BAB">
        <w:trPr>
          <w:jc w:val="center"/>
        </w:trPr>
        <w:tc>
          <w:tcPr>
            <w:tcW w:w="1977" w:type="dxa"/>
            <w:vMerge w:val="restart"/>
            <w:vAlign w:val="center"/>
          </w:tcPr>
          <w:p w14:paraId="71984E68"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Percidae</w:t>
            </w:r>
          </w:p>
        </w:tc>
        <w:tc>
          <w:tcPr>
            <w:tcW w:w="2217" w:type="dxa"/>
            <w:shd w:val="clear" w:color="auto" w:fill="auto"/>
            <w:vAlign w:val="center"/>
          </w:tcPr>
          <w:p w14:paraId="7B04DAF9"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Sander vitreus</w:t>
            </w:r>
          </w:p>
        </w:tc>
        <w:tc>
          <w:tcPr>
            <w:tcW w:w="2218" w:type="dxa"/>
            <w:vAlign w:val="center"/>
          </w:tcPr>
          <w:p w14:paraId="04517194"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Walleye</w:t>
            </w:r>
          </w:p>
        </w:tc>
        <w:tc>
          <w:tcPr>
            <w:tcW w:w="1238" w:type="dxa"/>
            <w:vAlign w:val="center"/>
          </w:tcPr>
          <w:p w14:paraId="437EFCA1"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7933E3" w14:paraId="65DD1A3B" w14:textId="77777777" w:rsidTr="00E51BAB">
        <w:trPr>
          <w:jc w:val="center"/>
        </w:trPr>
        <w:tc>
          <w:tcPr>
            <w:tcW w:w="1977" w:type="dxa"/>
            <w:vMerge/>
            <w:vAlign w:val="center"/>
          </w:tcPr>
          <w:p w14:paraId="3572CC90"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101E79D2"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Perca flavescens</w:t>
            </w:r>
          </w:p>
        </w:tc>
        <w:tc>
          <w:tcPr>
            <w:tcW w:w="2218" w:type="dxa"/>
            <w:vAlign w:val="center"/>
          </w:tcPr>
          <w:p w14:paraId="7C342808"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Yellow perch</w:t>
            </w:r>
          </w:p>
        </w:tc>
        <w:tc>
          <w:tcPr>
            <w:tcW w:w="1238" w:type="dxa"/>
            <w:vAlign w:val="center"/>
          </w:tcPr>
          <w:p w14:paraId="77F0A454"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7933E3" w14:paraId="02D7CD16" w14:textId="77777777" w:rsidTr="00E51BAB">
        <w:trPr>
          <w:jc w:val="center"/>
        </w:trPr>
        <w:tc>
          <w:tcPr>
            <w:tcW w:w="1977" w:type="dxa"/>
            <w:vAlign w:val="center"/>
          </w:tcPr>
          <w:p w14:paraId="6E44430A"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Petromyzontidae</w:t>
            </w:r>
          </w:p>
        </w:tc>
        <w:tc>
          <w:tcPr>
            <w:tcW w:w="2217" w:type="dxa"/>
            <w:shd w:val="clear" w:color="auto" w:fill="auto"/>
            <w:vAlign w:val="center"/>
          </w:tcPr>
          <w:p w14:paraId="4BCCCF44"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Lampetra fluviatilis</w:t>
            </w:r>
          </w:p>
        </w:tc>
        <w:tc>
          <w:tcPr>
            <w:tcW w:w="2218" w:type="dxa"/>
            <w:vAlign w:val="center"/>
          </w:tcPr>
          <w:p w14:paraId="0B384EA1"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River lamprey</w:t>
            </w:r>
          </w:p>
        </w:tc>
        <w:tc>
          <w:tcPr>
            <w:tcW w:w="1238" w:type="dxa"/>
            <w:vAlign w:val="center"/>
          </w:tcPr>
          <w:p w14:paraId="0A2D31AF"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II</w:t>
            </w:r>
          </w:p>
        </w:tc>
      </w:tr>
      <w:tr w:rsidR="0094086E" w:rsidRPr="007933E3" w14:paraId="41721DB6" w14:textId="77777777" w:rsidTr="00E51BAB">
        <w:trPr>
          <w:jc w:val="center"/>
        </w:trPr>
        <w:tc>
          <w:tcPr>
            <w:tcW w:w="1977" w:type="dxa"/>
            <w:vMerge w:val="restart"/>
            <w:vAlign w:val="center"/>
          </w:tcPr>
          <w:p w14:paraId="2BE3758C"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Pleuronectidae</w:t>
            </w:r>
          </w:p>
        </w:tc>
        <w:tc>
          <w:tcPr>
            <w:tcW w:w="2217" w:type="dxa"/>
            <w:shd w:val="clear" w:color="auto" w:fill="auto"/>
            <w:vAlign w:val="center"/>
          </w:tcPr>
          <w:p w14:paraId="50214A50"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Limanda limanda</w:t>
            </w:r>
          </w:p>
        </w:tc>
        <w:tc>
          <w:tcPr>
            <w:tcW w:w="2218" w:type="dxa"/>
            <w:vAlign w:val="center"/>
          </w:tcPr>
          <w:p w14:paraId="282CB05D"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Common dab</w:t>
            </w:r>
          </w:p>
        </w:tc>
        <w:tc>
          <w:tcPr>
            <w:tcW w:w="1238" w:type="dxa"/>
            <w:vAlign w:val="center"/>
          </w:tcPr>
          <w:p w14:paraId="55769655"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Ib</w:t>
            </w:r>
          </w:p>
        </w:tc>
      </w:tr>
      <w:tr w:rsidR="0094086E" w:rsidRPr="007933E3" w14:paraId="782FA031" w14:textId="77777777" w:rsidTr="00E51BAB">
        <w:trPr>
          <w:jc w:val="center"/>
        </w:trPr>
        <w:tc>
          <w:tcPr>
            <w:tcW w:w="1977" w:type="dxa"/>
            <w:vMerge/>
            <w:vAlign w:val="center"/>
          </w:tcPr>
          <w:p w14:paraId="51EA98FF"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2FFC4C39"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Platichthys flesus</w:t>
            </w:r>
          </w:p>
        </w:tc>
        <w:tc>
          <w:tcPr>
            <w:tcW w:w="2218" w:type="dxa"/>
            <w:vAlign w:val="center"/>
          </w:tcPr>
          <w:p w14:paraId="7D04FB86"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European flounder</w:t>
            </w:r>
          </w:p>
        </w:tc>
        <w:tc>
          <w:tcPr>
            <w:tcW w:w="1238" w:type="dxa"/>
            <w:vAlign w:val="center"/>
          </w:tcPr>
          <w:p w14:paraId="43323532"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Ib</w:t>
            </w:r>
          </w:p>
        </w:tc>
      </w:tr>
      <w:tr w:rsidR="0094086E" w:rsidRPr="007933E3" w14:paraId="02690E5C" w14:textId="77777777" w:rsidTr="00E51BAB">
        <w:trPr>
          <w:jc w:val="center"/>
        </w:trPr>
        <w:tc>
          <w:tcPr>
            <w:tcW w:w="1977" w:type="dxa"/>
            <w:vMerge/>
            <w:vAlign w:val="center"/>
          </w:tcPr>
          <w:p w14:paraId="5621809E"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5E502150"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Pleuronectes platessus</w:t>
            </w:r>
          </w:p>
        </w:tc>
        <w:tc>
          <w:tcPr>
            <w:tcW w:w="2218" w:type="dxa"/>
            <w:vAlign w:val="center"/>
          </w:tcPr>
          <w:p w14:paraId="431AD3D4"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European plaice</w:t>
            </w:r>
          </w:p>
        </w:tc>
        <w:tc>
          <w:tcPr>
            <w:tcW w:w="1238" w:type="dxa"/>
            <w:vAlign w:val="center"/>
          </w:tcPr>
          <w:p w14:paraId="773D36B7"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III</w:t>
            </w:r>
          </w:p>
        </w:tc>
      </w:tr>
      <w:tr w:rsidR="0094086E" w:rsidRPr="007933E3" w14:paraId="086927DF" w14:textId="77777777" w:rsidTr="00E51BAB">
        <w:trPr>
          <w:jc w:val="center"/>
        </w:trPr>
        <w:tc>
          <w:tcPr>
            <w:tcW w:w="1977" w:type="dxa"/>
            <w:vAlign w:val="center"/>
          </w:tcPr>
          <w:p w14:paraId="135886EA"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Rajidae</w:t>
            </w:r>
          </w:p>
        </w:tc>
        <w:tc>
          <w:tcPr>
            <w:tcW w:w="2217" w:type="dxa"/>
            <w:shd w:val="clear" w:color="auto" w:fill="auto"/>
            <w:vAlign w:val="center"/>
          </w:tcPr>
          <w:p w14:paraId="463C67EC"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Raja clavata</w:t>
            </w:r>
          </w:p>
        </w:tc>
        <w:tc>
          <w:tcPr>
            <w:tcW w:w="2218" w:type="dxa"/>
            <w:vAlign w:val="center"/>
          </w:tcPr>
          <w:p w14:paraId="166B99F6"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 xml:space="preserve">Thornback ray </w:t>
            </w:r>
          </w:p>
        </w:tc>
        <w:tc>
          <w:tcPr>
            <w:tcW w:w="1238" w:type="dxa"/>
            <w:vAlign w:val="center"/>
          </w:tcPr>
          <w:p w14:paraId="38FE21F3"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Ie</w:t>
            </w:r>
          </w:p>
        </w:tc>
      </w:tr>
    </w:tbl>
    <w:p w14:paraId="452B3927" w14:textId="77777777" w:rsidR="0094086E" w:rsidRDefault="0094086E" w:rsidP="00562F64">
      <w:pPr>
        <w:pStyle w:val="Titre3"/>
        <w:numPr>
          <w:ilvl w:val="2"/>
          <w:numId w:val="10"/>
        </w:numPr>
        <w:spacing w:before="0" w:after="480"/>
        <w:ind w:right="488"/>
        <w:jc w:val="right"/>
        <w:rPr>
          <w:rFonts w:cs="Times New Roman"/>
          <w:szCs w:val="20"/>
          <w:u w:val="single"/>
        </w:rPr>
      </w:pPr>
      <w:bookmarkStart w:id="83" w:name="_Toc36627896"/>
      <w:bookmarkStart w:id="84" w:name="_Toc36712649"/>
      <w:bookmarkStart w:id="85" w:name="_Toc37917383"/>
      <w:bookmarkStart w:id="86" w:name="_Toc37917745"/>
      <w:bookmarkStart w:id="87" w:name="_Toc38028656"/>
      <w:bookmarkEnd w:id="83"/>
      <w:bookmarkEnd w:id="84"/>
      <w:bookmarkEnd w:id="85"/>
      <w:bookmarkEnd w:id="86"/>
      <w:bookmarkEnd w:id="87"/>
    </w:p>
    <w:p w14:paraId="263C6E47" w14:textId="77777777" w:rsidR="0094086E" w:rsidRDefault="0094086E" w:rsidP="0094086E">
      <w:pPr>
        <w:rPr>
          <w:rFonts w:eastAsiaTheme="majorEastAsia" w:cs="Times New Roman"/>
          <w:color w:val="1F3763" w:themeColor="accent1" w:themeShade="7F"/>
          <w:szCs w:val="20"/>
          <w:u w:val="single"/>
        </w:rPr>
      </w:pPr>
      <w:r>
        <w:rPr>
          <w:rFonts w:cs="Times New Roman"/>
          <w:szCs w:val="20"/>
          <w:u w:val="single"/>
        </w:rPr>
        <w:br w:type="page"/>
      </w:r>
    </w:p>
    <w:p w14:paraId="78FB8127" w14:textId="7540122E" w:rsidR="007933E3" w:rsidRPr="007933E3" w:rsidRDefault="007933E3" w:rsidP="007933E3">
      <w:pPr>
        <w:spacing w:after="480" w:line="360" w:lineRule="auto"/>
        <w:jc w:val="right"/>
        <w:rPr>
          <w:iCs/>
        </w:rPr>
      </w:pPr>
      <w:r w:rsidRPr="007933E3">
        <w:rPr>
          <w:iCs/>
          <w:u w:val="single"/>
        </w:rPr>
        <w:lastRenderedPageBreak/>
        <w:t xml:space="preserve">Annex </w:t>
      </w:r>
      <w:r w:rsidR="00FC6CE0">
        <w:rPr>
          <w:iCs/>
          <w:u w:val="single"/>
        </w:rPr>
        <w:t>6</w:t>
      </w:r>
      <w:r w:rsidR="00FC6CE0" w:rsidRPr="007933E3">
        <w:rPr>
          <w:iCs/>
        </w:rPr>
        <w:t xml:space="preserve"> </w:t>
      </w:r>
      <w:r w:rsidRPr="007933E3">
        <w:rPr>
          <w:iCs/>
        </w:rPr>
        <w:t>(contd)</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7"/>
        <w:gridCol w:w="2217"/>
        <w:gridCol w:w="2218"/>
        <w:gridCol w:w="1238"/>
      </w:tblGrid>
      <w:tr w:rsidR="0094086E" w:rsidRPr="003F613C" w14:paraId="40EA26D4" w14:textId="77777777" w:rsidTr="00E51BAB">
        <w:trPr>
          <w:jc w:val="center"/>
        </w:trPr>
        <w:tc>
          <w:tcPr>
            <w:tcW w:w="1977" w:type="dxa"/>
            <w:vAlign w:val="center"/>
          </w:tcPr>
          <w:p w14:paraId="207A06D7" w14:textId="77777777" w:rsidR="0094086E" w:rsidRPr="007933E3" w:rsidRDefault="0094086E" w:rsidP="00E51BAB">
            <w:pPr>
              <w:pStyle w:val="Tabletext"/>
              <w:spacing w:before="40" w:after="40"/>
              <w:rPr>
                <w:color w:val="000000"/>
                <w:szCs w:val="18"/>
                <w:u w:val="double"/>
              </w:rPr>
            </w:pPr>
            <w:r w:rsidRPr="007933E3">
              <w:rPr>
                <w:b/>
                <w:szCs w:val="18"/>
                <w:u w:val="double"/>
                <w:lang w:val="en-GB"/>
              </w:rPr>
              <w:t>Family</w:t>
            </w:r>
          </w:p>
        </w:tc>
        <w:tc>
          <w:tcPr>
            <w:tcW w:w="2217" w:type="dxa"/>
            <w:shd w:val="clear" w:color="auto" w:fill="auto"/>
            <w:vAlign w:val="center"/>
          </w:tcPr>
          <w:p w14:paraId="04653276" w14:textId="77777777" w:rsidR="0094086E" w:rsidRPr="007933E3" w:rsidRDefault="0094086E" w:rsidP="00E51BAB">
            <w:pPr>
              <w:pStyle w:val="Tabletext"/>
              <w:spacing w:before="40" w:after="40"/>
              <w:rPr>
                <w:i/>
                <w:iCs/>
                <w:color w:val="000000"/>
                <w:szCs w:val="18"/>
                <w:u w:val="double"/>
              </w:rPr>
            </w:pPr>
            <w:r w:rsidRPr="007933E3">
              <w:rPr>
                <w:b/>
                <w:szCs w:val="18"/>
                <w:u w:val="double"/>
                <w:lang w:val="en-GB"/>
              </w:rPr>
              <w:t>Scientific name</w:t>
            </w:r>
          </w:p>
        </w:tc>
        <w:tc>
          <w:tcPr>
            <w:tcW w:w="2218" w:type="dxa"/>
            <w:vAlign w:val="center"/>
          </w:tcPr>
          <w:p w14:paraId="394D8FDE" w14:textId="77777777" w:rsidR="0094086E" w:rsidRPr="007933E3" w:rsidRDefault="0094086E" w:rsidP="00E51BAB">
            <w:pPr>
              <w:pStyle w:val="Tabletext"/>
              <w:spacing w:before="40" w:after="40"/>
              <w:rPr>
                <w:color w:val="000000"/>
                <w:szCs w:val="18"/>
                <w:u w:val="double"/>
              </w:rPr>
            </w:pPr>
            <w:r w:rsidRPr="007933E3">
              <w:rPr>
                <w:b/>
                <w:szCs w:val="18"/>
                <w:u w:val="double"/>
                <w:lang w:val="en-GB"/>
              </w:rPr>
              <w:t>Common name</w:t>
            </w:r>
          </w:p>
        </w:tc>
        <w:tc>
          <w:tcPr>
            <w:tcW w:w="1238" w:type="dxa"/>
          </w:tcPr>
          <w:p w14:paraId="6F94F78F" w14:textId="77777777" w:rsidR="0094086E" w:rsidRPr="007933E3" w:rsidRDefault="0094086E" w:rsidP="00E51BAB">
            <w:pPr>
              <w:pStyle w:val="Tabletext"/>
              <w:spacing w:before="40" w:after="40"/>
              <w:rPr>
                <w:iCs/>
                <w:strike/>
                <w:szCs w:val="18"/>
                <w:highlight w:val="yellow"/>
                <w:u w:val="double"/>
                <w:lang w:val="en-GB"/>
              </w:rPr>
            </w:pPr>
            <w:r w:rsidRPr="007933E3">
              <w:rPr>
                <w:b/>
                <w:strike/>
                <w:szCs w:val="18"/>
                <w:highlight w:val="yellow"/>
                <w:u w:val="double"/>
                <w:lang w:val="en-GB"/>
              </w:rPr>
              <w:t>Genotype</w:t>
            </w:r>
          </w:p>
        </w:tc>
      </w:tr>
      <w:tr w:rsidR="0094086E" w:rsidRPr="003F613C" w14:paraId="64096BCA" w14:textId="77777777" w:rsidTr="00E51BAB">
        <w:trPr>
          <w:jc w:val="center"/>
        </w:trPr>
        <w:tc>
          <w:tcPr>
            <w:tcW w:w="1977" w:type="dxa"/>
            <w:vMerge w:val="restart"/>
            <w:vAlign w:val="center"/>
          </w:tcPr>
          <w:p w14:paraId="71E072D9" w14:textId="77777777" w:rsidR="0094086E" w:rsidRPr="007933E3" w:rsidRDefault="0094086E" w:rsidP="00E51BAB">
            <w:pPr>
              <w:spacing w:before="40" w:after="40" w:line="240" w:lineRule="auto"/>
              <w:jc w:val="center"/>
              <w:rPr>
                <w:rFonts w:ascii="Arial" w:hAnsi="Arial" w:cs="Arial"/>
                <w:color w:val="000000"/>
                <w:sz w:val="18"/>
                <w:szCs w:val="18"/>
                <w:u w:val="double"/>
              </w:rPr>
            </w:pPr>
            <w:r w:rsidRPr="007933E3">
              <w:rPr>
                <w:rFonts w:ascii="Arial" w:hAnsi="Arial" w:cs="Arial"/>
                <w:color w:val="000000"/>
                <w:sz w:val="18"/>
                <w:szCs w:val="18"/>
                <w:u w:val="double"/>
              </w:rPr>
              <w:t>Salmonidae</w:t>
            </w:r>
          </w:p>
        </w:tc>
        <w:tc>
          <w:tcPr>
            <w:tcW w:w="2217" w:type="dxa"/>
            <w:shd w:val="clear" w:color="auto" w:fill="auto"/>
            <w:vAlign w:val="center"/>
          </w:tcPr>
          <w:p w14:paraId="4AA2D4E2"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Coregonus artedii</w:t>
            </w:r>
          </w:p>
        </w:tc>
        <w:tc>
          <w:tcPr>
            <w:tcW w:w="2218" w:type="dxa"/>
            <w:vAlign w:val="center"/>
          </w:tcPr>
          <w:p w14:paraId="63CDCB39"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Lake cisco</w:t>
            </w:r>
          </w:p>
        </w:tc>
        <w:tc>
          <w:tcPr>
            <w:tcW w:w="1238" w:type="dxa"/>
            <w:vAlign w:val="center"/>
          </w:tcPr>
          <w:p w14:paraId="68FA43D7"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3F613C" w14:paraId="68CDC390" w14:textId="77777777" w:rsidTr="00E51BAB">
        <w:trPr>
          <w:jc w:val="center"/>
        </w:trPr>
        <w:tc>
          <w:tcPr>
            <w:tcW w:w="1977" w:type="dxa"/>
            <w:vMerge/>
            <w:vAlign w:val="center"/>
          </w:tcPr>
          <w:p w14:paraId="587918AC"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38B454BA"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Coregonus clupeaformis</w:t>
            </w:r>
          </w:p>
        </w:tc>
        <w:tc>
          <w:tcPr>
            <w:tcW w:w="2218" w:type="dxa"/>
            <w:vAlign w:val="center"/>
          </w:tcPr>
          <w:p w14:paraId="79234007"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Lake whitefish</w:t>
            </w:r>
          </w:p>
        </w:tc>
        <w:tc>
          <w:tcPr>
            <w:tcW w:w="1238" w:type="dxa"/>
            <w:vAlign w:val="center"/>
          </w:tcPr>
          <w:p w14:paraId="585C524A"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3F613C" w14:paraId="3AD2853C" w14:textId="77777777" w:rsidTr="00E51BAB">
        <w:trPr>
          <w:jc w:val="center"/>
        </w:trPr>
        <w:tc>
          <w:tcPr>
            <w:tcW w:w="1977" w:type="dxa"/>
            <w:vMerge/>
            <w:vAlign w:val="center"/>
          </w:tcPr>
          <w:p w14:paraId="38D44D9F"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43B28C3A"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Coregonus lavaretus</w:t>
            </w:r>
          </w:p>
        </w:tc>
        <w:tc>
          <w:tcPr>
            <w:tcW w:w="2218" w:type="dxa"/>
            <w:vAlign w:val="center"/>
          </w:tcPr>
          <w:p w14:paraId="33BA6124"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Common whitefish</w:t>
            </w:r>
          </w:p>
        </w:tc>
        <w:tc>
          <w:tcPr>
            <w:tcW w:w="1238" w:type="dxa"/>
            <w:vAlign w:val="center"/>
          </w:tcPr>
          <w:p w14:paraId="102D7447"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Ia</w:t>
            </w:r>
          </w:p>
        </w:tc>
      </w:tr>
      <w:tr w:rsidR="0094086E" w:rsidRPr="003F613C" w14:paraId="4FC58271" w14:textId="77777777" w:rsidTr="00E51BAB">
        <w:trPr>
          <w:jc w:val="center"/>
        </w:trPr>
        <w:tc>
          <w:tcPr>
            <w:tcW w:w="1977" w:type="dxa"/>
            <w:vMerge/>
            <w:vAlign w:val="center"/>
          </w:tcPr>
          <w:p w14:paraId="394E268A"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06294A83"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Oncorhynchus kisutch</w:t>
            </w:r>
          </w:p>
        </w:tc>
        <w:tc>
          <w:tcPr>
            <w:tcW w:w="2218" w:type="dxa"/>
            <w:vAlign w:val="center"/>
          </w:tcPr>
          <w:p w14:paraId="791C36EA"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Coho salmon</w:t>
            </w:r>
          </w:p>
        </w:tc>
        <w:tc>
          <w:tcPr>
            <w:tcW w:w="1238" w:type="dxa"/>
            <w:vAlign w:val="center"/>
          </w:tcPr>
          <w:p w14:paraId="4A73991B"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IVa</w:t>
            </w:r>
          </w:p>
        </w:tc>
      </w:tr>
      <w:tr w:rsidR="0094086E" w:rsidRPr="003F613C" w14:paraId="299F96F5" w14:textId="77777777" w:rsidTr="00E51BAB">
        <w:trPr>
          <w:jc w:val="center"/>
        </w:trPr>
        <w:tc>
          <w:tcPr>
            <w:tcW w:w="1977" w:type="dxa"/>
            <w:vMerge/>
            <w:vAlign w:val="center"/>
          </w:tcPr>
          <w:p w14:paraId="6729F686"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4FE36BD7"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Oncorhynchus mykiss</w:t>
            </w:r>
          </w:p>
        </w:tc>
        <w:tc>
          <w:tcPr>
            <w:tcW w:w="2218" w:type="dxa"/>
            <w:vAlign w:val="center"/>
          </w:tcPr>
          <w:p w14:paraId="62ACE5EE"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Rainbow trout</w:t>
            </w:r>
          </w:p>
        </w:tc>
        <w:tc>
          <w:tcPr>
            <w:tcW w:w="1238" w:type="dxa"/>
            <w:vAlign w:val="center"/>
          </w:tcPr>
          <w:p w14:paraId="1DFDB899"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Ia-e, III, IVb</w:t>
            </w:r>
          </w:p>
        </w:tc>
      </w:tr>
      <w:tr w:rsidR="0094086E" w:rsidRPr="003F613C" w14:paraId="7CE48856" w14:textId="77777777" w:rsidTr="00E51BAB">
        <w:trPr>
          <w:jc w:val="center"/>
        </w:trPr>
        <w:tc>
          <w:tcPr>
            <w:tcW w:w="1977" w:type="dxa"/>
            <w:vMerge/>
            <w:vAlign w:val="center"/>
          </w:tcPr>
          <w:p w14:paraId="6A6EF285"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3D5AB707"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 xml:space="preserve">Oncorhynchus mykiss </w:t>
            </w:r>
            <w:r w:rsidRPr="007933E3">
              <w:rPr>
                <w:iCs/>
                <w:color w:val="000000"/>
                <w:szCs w:val="18"/>
                <w:u w:val="double"/>
              </w:rPr>
              <w:t>X</w:t>
            </w:r>
          </w:p>
          <w:p w14:paraId="5C2C51CC"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 xml:space="preserve">Oncorhynchus kisutch </w:t>
            </w:r>
            <w:r w:rsidRPr="007933E3">
              <w:rPr>
                <w:iCs/>
                <w:color w:val="000000"/>
                <w:szCs w:val="18"/>
                <w:u w:val="double"/>
              </w:rPr>
              <w:t>hybrids</w:t>
            </w:r>
          </w:p>
        </w:tc>
        <w:tc>
          <w:tcPr>
            <w:tcW w:w="2218" w:type="dxa"/>
            <w:vAlign w:val="center"/>
          </w:tcPr>
          <w:p w14:paraId="2B4AD92D"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Rainbow trout X coho salmon hybrids</w:t>
            </w:r>
          </w:p>
        </w:tc>
        <w:tc>
          <w:tcPr>
            <w:tcW w:w="1238" w:type="dxa"/>
            <w:vAlign w:val="center"/>
          </w:tcPr>
          <w:p w14:paraId="717A538F"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Ia</w:t>
            </w:r>
          </w:p>
        </w:tc>
      </w:tr>
      <w:tr w:rsidR="0094086E" w:rsidRPr="003F613C" w14:paraId="49024D50" w14:textId="77777777" w:rsidTr="00E51BAB">
        <w:trPr>
          <w:jc w:val="center"/>
        </w:trPr>
        <w:tc>
          <w:tcPr>
            <w:tcW w:w="1977" w:type="dxa"/>
            <w:vMerge/>
            <w:vAlign w:val="center"/>
          </w:tcPr>
          <w:p w14:paraId="664F40F4"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097BB845"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Oncorhynchus tshawytscha</w:t>
            </w:r>
          </w:p>
        </w:tc>
        <w:tc>
          <w:tcPr>
            <w:tcW w:w="2218" w:type="dxa"/>
            <w:vAlign w:val="center"/>
          </w:tcPr>
          <w:p w14:paraId="6A58EA8F"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Chinook salmon</w:t>
            </w:r>
          </w:p>
        </w:tc>
        <w:tc>
          <w:tcPr>
            <w:tcW w:w="1238" w:type="dxa"/>
            <w:vAlign w:val="center"/>
          </w:tcPr>
          <w:p w14:paraId="702B5254"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IVa, IVb</w:t>
            </w:r>
          </w:p>
        </w:tc>
      </w:tr>
      <w:tr w:rsidR="0094086E" w:rsidRPr="003F613C" w14:paraId="45BDC25D" w14:textId="77777777" w:rsidTr="00E51BAB">
        <w:trPr>
          <w:jc w:val="center"/>
        </w:trPr>
        <w:tc>
          <w:tcPr>
            <w:tcW w:w="1977" w:type="dxa"/>
            <w:vMerge/>
            <w:vAlign w:val="center"/>
          </w:tcPr>
          <w:p w14:paraId="785CC602"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1A2533AA"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Salmo marmoratus</w:t>
            </w:r>
          </w:p>
        </w:tc>
        <w:tc>
          <w:tcPr>
            <w:tcW w:w="2218" w:type="dxa"/>
            <w:vAlign w:val="center"/>
          </w:tcPr>
          <w:p w14:paraId="203BBAD4"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Marble trout</w:t>
            </w:r>
          </w:p>
        </w:tc>
        <w:tc>
          <w:tcPr>
            <w:tcW w:w="1238" w:type="dxa"/>
            <w:vAlign w:val="center"/>
          </w:tcPr>
          <w:p w14:paraId="2E7B2817"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Ia</w:t>
            </w:r>
          </w:p>
        </w:tc>
      </w:tr>
      <w:tr w:rsidR="0094086E" w:rsidRPr="003F613C" w14:paraId="72D7EB8F" w14:textId="77777777" w:rsidTr="00E51BAB">
        <w:trPr>
          <w:jc w:val="center"/>
        </w:trPr>
        <w:tc>
          <w:tcPr>
            <w:tcW w:w="1977" w:type="dxa"/>
            <w:vMerge/>
            <w:vAlign w:val="center"/>
          </w:tcPr>
          <w:p w14:paraId="1BD6329E"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0360A028" w14:textId="77777777" w:rsidR="0094086E" w:rsidRPr="007933E3" w:rsidRDefault="0094086E" w:rsidP="00E51BAB">
            <w:pPr>
              <w:pStyle w:val="Tabletext"/>
              <w:spacing w:before="40" w:after="40"/>
              <w:rPr>
                <w:i/>
                <w:iCs/>
                <w:color w:val="000000"/>
                <w:szCs w:val="18"/>
                <w:u w:val="double"/>
              </w:rPr>
            </w:pPr>
            <w:r w:rsidRPr="007933E3">
              <w:rPr>
                <w:i/>
                <w:iCs/>
                <w:color w:val="000000"/>
                <w:szCs w:val="18"/>
                <w:u w:val="double"/>
              </w:rPr>
              <w:t>Salmo salar</w:t>
            </w:r>
          </w:p>
        </w:tc>
        <w:tc>
          <w:tcPr>
            <w:tcW w:w="2218" w:type="dxa"/>
            <w:vAlign w:val="center"/>
          </w:tcPr>
          <w:p w14:paraId="2CECE052" w14:textId="77777777" w:rsidR="0094086E" w:rsidRPr="007933E3" w:rsidRDefault="0094086E" w:rsidP="00E51BAB">
            <w:pPr>
              <w:pStyle w:val="Tabletext"/>
              <w:spacing w:before="40" w:after="40"/>
              <w:rPr>
                <w:color w:val="000000"/>
                <w:szCs w:val="18"/>
                <w:u w:val="double"/>
              </w:rPr>
            </w:pPr>
            <w:r w:rsidRPr="007933E3">
              <w:rPr>
                <w:color w:val="000000"/>
                <w:szCs w:val="18"/>
                <w:u w:val="double"/>
              </w:rPr>
              <w:t>Atlantic salmon</w:t>
            </w:r>
          </w:p>
        </w:tc>
        <w:tc>
          <w:tcPr>
            <w:tcW w:w="1238" w:type="dxa"/>
            <w:vAlign w:val="center"/>
          </w:tcPr>
          <w:p w14:paraId="16666FB3" w14:textId="77777777" w:rsidR="0094086E" w:rsidRPr="007933E3" w:rsidRDefault="0094086E" w:rsidP="00E51BAB">
            <w:pPr>
              <w:pStyle w:val="Tabletext"/>
              <w:spacing w:before="40" w:after="40"/>
              <w:rPr>
                <w:iCs/>
                <w:strike/>
                <w:szCs w:val="18"/>
                <w:highlight w:val="yellow"/>
                <w:u w:val="double"/>
                <w:lang w:val="es-ES"/>
              </w:rPr>
            </w:pPr>
            <w:r w:rsidRPr="007933E3">
              <w:rPr>
                <w:iCs/>
                <w:strike/>
                <w:szCs w:val="18"/>
                <w:highlight w:val="yellow"/>
                <w:u w:val="double"/>
                <w:lang w:val="es-ES"/>
              </w:rPr>
              <w:t>Ia, Ib, II, III, IVa</w:t>
            </w:r>
          </w:p>
        </w:tc>
      </w:tr>
      <w:tr w:rsidR="0094086E" w:rsidRPr="003F613C" w14:paraId="753019D3" w14:textId="77777777" w:rsidTr="00E51BAB">
        <w:trPr>
          <w:jc w:val="center"/>
        </w:trPr>
        <w:tc>
          <w:tcPr>
            <w:tcW w:w="1977" w:type="dxa"/>
            <w:vMerge/>
            <w:vAlign w:val="center"/>
          </w:tcPr>
          <w:p w14:paraId="6074BC5E" w14:textId="77777777" w:rsidR="0094086E" w:rsidRPr="007933E3" w:rsidRDefault="0094086E" w:rsidP="00E51BAB">
            <w:pPr>
              <w:pStyle w:val="Tabletext"/>
              <w:spacing w:before="40" w:after="40"/>
              <w:rPr>
                <w:szCs w:val="18"/>
                <w:u w:val="double"/>
                <w:lang w:val="es-ES"/>
              </w:rPr>
            </w:pPr>
          </w:p>
        </w:tc>
        <w:tc>
          <w:tcPr>
            <w:tcW w:w="2217" w:type="dxa"/>
            <w:shd w:val="clear" w:color="auto" w:fill="auto"/>
            <w:vAlign w:val="center"/>
          </w:tcPr>
          <w:p w14:paraId="796B3FE1"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Salmo trutta</w:t>
            </w:r>
          </w:p>
        </w:tc>
        <w:tc>
          <w:tcPr>
            <w:tcW w:w="2218" w:type="dxa"/>
            <w:vAlign w:val="center"/>
          </w:tcPr>
          <w:p w14:paraId="227EA3DC"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Brown trout</w:t>
            </w:r>
          </w:p>
        </w:tc>
        <w:tc>
          <w:tcPr>
            <w:tcW w:w="1238" w:type="dxa"/>
            <w:vAlign w:val="center"/>
          </w:tcPr>
          <w:p w14:paraId="6F60F1FB"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Ia, Ib</w:t>
            </w:r>
          </w:p>
        </w:tc>
      </w:tr>
      <w:tr w:rsidR="0094086E" w:rsidRPr="003F613C" w14:paraId="3CA42346" w14:textId="77777777" w:rsidTr="00E51BAB">
        <w:trPr>
          <w:jc w:val="center"/>
        </w:trPr>
        <w:tc>
          <w:tcPr>
            <w:tcW w:w="1977" w:type="dxa"/>
            <w:vMerge/>
            <w:vAlign w:val="center"/>
          </w:tcPr>
          <w:p w14:paraId="515BA65E"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440A4196"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Salvelinus namaycush</w:t>
            </w:r>
          </w:p>
        </w:tc>
        <w:tc>
          <w:tcPr>
            <w:tcW w:w="2218" w:type="dxa"/>
            <w:vAlign w:val="center"/>
          </w:tcPr>
          <w:p w14:paraId="5882DE60"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Lake trout</w:t>
            </w:r>
          </w:p>
        </w:tc>
        <w:tc>
          <w:tcPr>
            <w:tcW w:w="1238" w:type="dxa"/>
            <w:vAlign w:val="center"/>
          </w:tcPr>
          <w:p w14:paraId="2F99DC46"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Ia, IVa, IVb</w:t>
            </w:r>
          </w:p>
        </w:tc>
      </w:tr>
      <w:tr w:rsidR="0094086E" w:rsidRPr="003F613C" w14:paraId="7AB6229D" w14:textId="77777777" w:rsidTr="00E51BAB">
        <w:trPr>
          <w:jc w:val="center"/>
        </w:trPr>
        <w:tc>
          <w:tcPr>
            <w:tcW w:w="1977" w:type="dxa"/>
            <w:vMerge/>
            <w:vAlign w:val="center"/>
          </w:tcPr>
          <w:p w14:paraId="7FEA16F5" w14:textId="77777777" w:rsidR="0094086E" w:rsidRPr="007933E3" w:rsidRDefault="0094086E" w:rsidP="00E51BAB">
            <w:pPr>
              <w:pStyle w:val="Tabletext"/>
              <w:spacing w:before="40" w:after="40"/>
              <w:rPr>
                <w:szCs w:val="18"/>
                <w:u w:val="double"/>
                <w:lang w:val="en-GB"/>
              </w:rPr>
            </w:pPr>
          </w:p>
        </w:tc>
        <w:tc>
          <w:tcPr>
            <w:tcW w:w="2217" w:type="dxa"/>
            <w:shd w:val="clear" w:color="auto" w:fill="auto"/>
            <w:vAlign w:val="center"/>
          </w:tcPr>
          <w:p w14:paraId="527FAFBC"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Thymallus thymallus</w:t>
            </w:r>
          </w:p>
        </w:tc>
        <w:tc>
          <w:tcPr>
            <w:tcW w:w="2218" w:type="dxa"/>
            <w:vAlign w:val="center"/>
          </w:tcPr>
          <w:p w14:paraId="0785AD85"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Grayling</w:t>
            </w:r>
          </w:p>
        </w:tc>
        <w:tc>
          <w:tcPr>
            <w:tcW w:w="1238" w:type="dxa"/>
            <w:vAlign w:val="center"/>
          </w:tcPr>
          <w:p w14:paraId="2E5E8236"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w:t>
            </w:r>
          </w:p>
        </w:tc>
      </w:tr>
      <w:tr w:rsidR="0094086E" w:rsidRPr="003F613C" w14:paraId="1F4F455D" w14:textId="77777777" w:rsidTr="00E51BAB">
        <w:trPr>
          <w:jc w:val="center"/>
        </w:trPr>
        <w:tc>
          <w:tcPr>
            <w:tcW w:w="1977" w:type="dxa"/>
            <w:vAlign w:val="center"/>
          </w:tcPr>
          <w:p w14:paraId="385AC870" w14:textId="77777777" w:rsidR="0094086E" w:rsidRPr="007933E3" w:rsidRDefault="0094086E" w:rsidP="00E51BAB">
            <w:pPr>
              <w:pStyle w:val="Tabletext"/>
              <w:spacing w:before="40" w:after="40"/>
              <w:rPr>
                <w:szCs w:val="18"/>
                <w:u w:val="double"/>
                <w:lang w:val="en-GB"/>
              </w:rPr>
            </w:pPr>
            <w:r w:rsidRPr="007933E3">
              <w:rPr>
                <w:color w:val="000000"/>
                <w:szCs w:val="18"/>
                <w:u w:val="double"/>
              </w:rPr>
              <w:t>Scophthalmidae</w:t>
            </w:r>
          </w:p>
        </w:tc>
        <w:tc>
          <w:tcPr>
            <w:tcW w:w="2217" w:type="dxa"/>
            <w:shd w:val="clear" w:color="auto" w:fill="auto"/>
            <w:vAlign w:val="center"/>
          </w:tcPr>
          <w:p w14:paraId="0DC83DA4"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Scophthalmus maximus</w:t>
            </w:r>
          </w:p>
        </w:tc>
        <w:tc>
          <w:tcPr>
            <w:tcW w:w="2218" w:type="dxa"/>
            <w:vAlign w:val="center"/>
          </w:tcPr>
          <w:p w14:paraId="55F184F5"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Turbot</w:t>
            </w:r>
          </w:p>
        </w:tc>
        <w:tc>
          <w:tcPr>
            <w:tcW w:w="1238" w:type="dxa"/>
            <w:vAlign w:val="center"/>
          </w:tcPr>
          <w:p w14:paraId="2D8696AD"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Ib, III</w:t>
            </w:r>
          </w:p>
        </w:tc>
      </w:tr>
      <w:tr w:rsidR="0094086E" w:rsidRPr="003F613C" w14:paraId="7B683190" w14:textId="77777777" w:rsidTr="00E51BAB">
        <w:trPr>
          <w:jc w:val="center"/>
        </w:trPr>
        <w:tc>
          <w:tcPr>
            <w:tcW w:w="1977" w:type="dxa"/>
            <w:vAlign w:val="center"/>
          </w:tcPr>
          <w:p w14:paraId="3F24C472" w14:textId="77777777" w:rsidR="0094086E" w:rsidRPr="007933E3" w:rsidRDefault="0094086E" w:rsidP="00E51BAB">
            <w:pPr>
              <w:pStyle w:val="Tabletext"/>
              <w:spacing w:before="40" w:after="40"/>
              <w:rPr>
                <w:szCs w:val="18"/>
                <w:u w:val="double"/>
                <w:lang w:val="en-GB"/>
              </w:rPr>
            </w:pPr>
            <w:r w:rsidRPr="007933E3">
              <w:rPr>
                <w:color w:val="000000"/>
                <w:szCs w:val="18"/>
                <w:u w:val="double"/>
              </w:rPr>
              <w:t>Sciaenidae</w:t>
            </w:r>
          </w:p>
        </w:tc>
        <w:tc>
          <w:tcPr>
            <w:tcW w:w="2217" w:type="dxa"/>
            <w:shd w:val="clear" w:color="auto" w:fill="auto"/>
            <w:vAlign w:val="center"/>
          </w:tcPr>
          <w:p w14:paraId="00912415"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Aplodinotus grunniens</w:t>
            </w:r>
          </w:p>
        </w:tc>
        <w:tc>
          <w:tcPr>
            <w:tcW w:w="2218" w:type="dxa"/>
            <w:vAlign w:val="center"/>
          </w:tcPr>
          <w:p w14:paraId="5B21E4DC"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Freshwater drum</w:t>
            </w:r>
          </w:p>
        </w:tc>
        <w:tc>
          <w:tcPr>
            <w:tcW w:w="1238" w:type="dxa"/>
            <w:vAlign w:val="center"/>
          </w:tcPr>
          <w:p w14:paraId="3E55C4B5"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IVb</w:t>
            </w:r>
          </w:p>
        </w:tc>
      </w:tr>
      <w:tr w:rsidR="0094086E" w:rsidRPr="003F613C" w14:paraId="3417B4B6" w14:textId="77777777" w:rsidTr="00E51BAB">
        <w:trPr>
          <w:jc w:val="center"/>
        </w:trPr>
        <w:tc>
          <w:tcPr>
            <w:tcW w:w="1977" w:type="dxa"/>
            <w:vAlign w:val="center"/>
          </w:tcPr>
          <w:p w14:paraId="67424B09" w14:textId="77777777" w:rsidR="0094086E" w:rsidRPr="007933E3" w:rsidRDefault="0094086E" w:rsidP="00E51BAB">
            <w:pPr>
              <w:pStyle w:val="Tabletext"/>
              <w:spacing w:before="40" w:after="40"/>
              <w:rPr>
                <w:szCs w:val="18"/>
                <w:u w:val="double"/>
                <w:lang w:val="en-GB"/>
              </w:rPr>
            </w:pPr>
            <w:r w:rsidRPr="007933E3">
              <w:rPr>
                <w:color w:val="000000"/>
                <w:szCs w:val="18"/>
                <w:u w:val="double"/>
              </w:rPr>
              <w:t>Scombridae</w:t>
            </w:r>
          </w:p>
        </w:tc>
        <w:tc>
          <w:tcPr>
            <w:tcW w:w="2217" w:type="dxa"/>
            <w:shd w:val="clear" w:color="auto" w:fill="auto"/>
            <w:vAlign w:val="center"/>
          </w:tcPr>
          <w:p w14:paraId="75457D7F"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Scomber japonicus</w:t>
            </w:r>
          </w:p>
        </w:tc>
        <w:tc>
          <w:tcPr>
            <w:tcW w:w="2218" w:type="dxa"/>
            <w:vAlign w:val="center"/>
          </w:tcPr>
          <w:p w14:paraId="05EC5A31"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 xml:space="preserve">Pacific </w:t>
            </w:r>
            <w:r w:rsidRPr="007933E3">
              <w:rPr>
                <w:strike/>
                <w:color w:val="000000"/>
                <w:szCs w:val="18"/>
                <w:highlight w:val="yellow"/>
                <w:u w:val="double"/>
              </w:rPr>
              <w:t>C</w:t>
            </w:r>
            <w:r w:rsidRPr="007933E3">
              <w:rPr>
                <w:color w:val="000000"/>
                <w:szCs w:val="18"/>
                <w:highlight w:val="yellow"/>
                <w:u w:val="double"/>
              </w:rPr>
              <w:t>c</w:t>
            </w:r>
            <w:r w:rsidRPr="007933E3">
              <w:rPr>
                <w:color w:val="000000"/>
                <w:szCs w:val="18"/>
                <w:u w:val="double"/>
              </w:rPr>
              <w:t xml:space="preserve">hub mackerel </w:t>
            </w:r>
          </w:p>
        </w:tc>
        <w:tc>
          <w:tcPr>
            <w:tcW w:w="1238" w:type="dxa"/>
            <w:vAlign w:val="center"/>
          </w:tcPr>
          <w:p w14:paraId="574CB063"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IVa</w:t>
            </w:r>
          </w:p>
        </w:tc>
      </w:tr>
      <w:tr w:rsidR="0094086E" w:rsidRPr="003F613C" w14:paraId="440D199D" w14:textId="77777777" w:rsidTr="00E51BAB">
        <w:trPr>
          <w:jc w:val="center"/>
        </w:trPr>
        <w:tc>
          <w:tcPr>
            <w:tcW w:w="1977" w:type="dxa"/>
            <w:vAlign w:val="center"/>
          </w:tcPr>
          <w:p w14:paraId="0C7C6F6E" w14:textId="77777777" w:rsidR="0094086E" w:rsidRPr="007933E3" w:rsidRDefault="0094086E" w:rsidP="00E51BAB">
            <w:pPr>
              <w:pStyle w:val="Tabletext"/>
              <w:spacing w:before="40" w:after="40"/>
              <w:rPr>
                <w:szCs w:val="18"/>
                <w:u w:val="double"/>
                <w:lang w:val="en-GB"/>
              </w:rPr>
            </w:pPr>
            <w:r w:rsidRPr="007933E3">
              <w:rPr>
                <w:color w:val="000000"/>
                <w:szCs w:val="18"/>
                <w:u w:val="double"/>
              </w:rPr>
              <w:t>Soleidae</w:t>
            </w:r>
          </w:p>
        </w:tc>
        <w:tc>
          <w:tcPr>
            <w:tcW w:w="2217" w:type="dxa"/>
            <w:shd w:val="clear" w:color="auto" w:fill="auto"/>
            <w:vAlign w:val="center"/>
          </w:tcPr>
          <w:p w14:paraId="1CCB831D"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Solea senegalensis</w:t>
            </w:r>
          </w:p>
        </w:tc>
        <w:tc>
          <w:tcPr>
            <w:tcW w:w="2218" w:type="dxa"/>
            <w:vAlign w:val="center"/>
          </w:tcPr>
          <w:p w14:paraId="4671B332"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Senegalese sole</w:t>
            </w:r>
          </w:p>
        </w:tc>
        <w:tc>
          <w:tcPr>
            <w:tcW w:w="1238" w:type="dxa"/>
            <w:vAlign w:val="center"/>
          </w:tcPr>
          <w:p w14:paraId="12F45FD5"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III</w:t>
            </w:r>
          </w:p>
        </w:tc>
      </w:tr>
      <w:tr w:rsidR="0094086E" w:rsidRPr="003F613C" w14:paraId="044A610C" w14:textId="77777777" w:rsidTr="00E51BAB">
        <w:trPr>
          <w:trHeight w:val="76"/>
          <w:jc w:val="center"/>
        </w:trPr>
        <w:tc>
          <w:tcPr>
            <w:tcW w:w="1977" w:type="dxa"/>
            <w:vAlign w:val="center"/>
          </w:tcPr>
          <w:p w14:paraId="459C6E75" w14:textId="77777777" w:rsidR="0094086E" w:rsidRPr="007933E3" w:rsidRDefault="0094086E" w:rsidP="00E51BAB">
            <w:pPr>
              <w:pStyle w:val="Tabletext"/>
              <w:spacing w:before="40" w:after="40"/>
              <w:rPr>
                <w:szCs w:val="18"/>
                <w:u w:val="double"/>
                <w:lang w:val="en-GB"/>
              </w:rPr>
            </w:pPr>
            <w:r w:rsidRPr="007933E3">
              <w:rPr>
                <w:color w:val="000000"/>
                <w:szCs w:val="18"/>
                <w:u w:val="double"/>
              </w:rPr>
              <w:t>Uranoscopidae</w:t>
            </w:r>
          </w:p>
        </w:tc>
        <w:tc>
          <w:tcPr>
            <w:tcW w:w="2217" w:type="dxa"/>
            <w:shd w:val="clear" w:color="auto" w:fill="auto"/>
            <w:vAlign w:val="center"/>
          </w:tcPr>
          <w:p w14:paraId="1D4650DA" w14:textId="77777777" w:rsidR="0094086E" w:rsidRPr="007933E3" w:rsidRDefault="0094086E" w:rsidP="00E51BAB">
            <w:pPr>
              <w:pStyle w:val="Tabletext"/>
              <w:spacing w:before="40" w:after="40"/>
              <w:rPr>
                <w:i/>
                <w:szCs w:val="18"/>
                <w:u w:val="double"/>
                <w:lang w:val="en-GB"/>
              </w:rPr>
            </w:pPr>
            <w:r w:rsidRPr="007933E3">
              <w:rPr>
                <w:i/>
                <w:iCs/>
                <w:color w:val="000000"/>
                <w:szCs w:val="18"/>
                <w:u w:val="double"/>
              </w:rPr>
              <w:t>Uranoscopus scaber</w:t>
            </w:r>
          </w:p>
        </w:tc>
        <w:tc>
          <w:tcPr>
            <w:tcW w:w="2218" w:type="dxa"/>
            <w:vAlign w:val="center"/>
          </w:tcPr>
          <w:p w14:paraId="2D988693" w14:textId="77777777" w:rsidR="0094086E" w:rsidRPr="007933E3" w:rsidRDefault="0094086E" w:rsidP="00E51BAB">
            <w:pPr>
              <w:pStyle w:val="Tabletext"/>
              <w:spacing w:before="40" w:after="40"/>
              <w:rPr>
                <w:iCs/>
                <w:szCs w:val="18"/>
                <w:u w:val="double"/>
                <w:lang w:val="en-GB"/>
              </w:rPr>
            </w:pPr>
            <w:r w:rsidRPr="007933E3">
              <w:rPr>
                <w:color w:val="000000"/>
                <w:szCs w:val="18"/>
                <w:u w:val="double"/>
              </w:rPr>
              <w:t xml:space="preserve">Atlantic stargazer </w:t>
            </w:r>
          </w:p>
        </w:tc>
        <w:tc>
          <w:tcPr>
            <w:tcW w:w="1238" w:type="dxa"/>
            <w:vAlign w:val="center"/>
          </w:tcPr>
          <w:p w14:paraId="4F6F84E7" w14:textId="77777777" w:rsidR="0094086E" w:rsidRPr="007933E3" w:rsidRDefault="0094086E" w:rsidP="00E51BAB">
            <w:pPr>
              <w:pStyle w:val="Tabletext"/>
              <w:spacing w:before="40" w:after="40"/>
              <w:rPr>
                <w:iCs/>
                <w:strike/>
                <w:szCs w:val="18"/>
                <w:highlight w:val="yellow"/>
                <w:u w:val="double"/>
                <w:lang w:val="en-GB"/>
              </w:rPr>
            </w:pPr>
            <w:r w:rsidRPr="007933E3">
              <w:rPr>
                <w:iCs/>
                <w:strike/>
                <w:szCs w:val="18"/>
                <w:highlight w:val="yellow"/>
                <w:u w:val="double"/>
                <w:lang w:val="en-GB"/>
              </w:rPr>
              <w:t>Ie</w:t>
            </w:r>
          </w:p>
        </w:tc>
      </w:tr>
      <w:bookmarkEnd w:id="79"/>
    </w:tbl>
    <w:p w14:paraId="3479B5A5" w14:textId="77777777" w:rsidR="0094086E" w:rsidRPr="003F613C" w:rsidRDefault="0094086E" w:rsidP="0094086E">
      <w:pPr>
        <w:pStyle w:val="Corpsdetexte"/>
        <w:ind w:left="107"/>
        <w:jc w:val="both"/>
        <w:rPr>
          <w:u w:val="double"/>
        </w:rPr>
      </w:pPr>
    </w:p>
    <w:p w14:paraId="3C3A3BD4" w14:textId="77777777" w:rsidR="0094086E" w:rsidRPr="00F024DD" w:rsidRDefault="0094086E" w:rsidP="0094086E">
      <w:pPr>
        <w:pStyle w:val="Corpsdetexte"/>
        <w:ind w:left="107"/>
        <w:jc w:val="both"/>
        <w:rPr>
          <w:rFonts w:ascii="Times New Roman" w:hAnsi="Times New Roman" w:cs="Times New Roman"/>
          <w:sz w:val="20"/>
          <w:szCs w:val="20"/>
          <w:u w:val="double"/>
        </w:rPr>
      </w:pPr>
    </w:p>
    <w:p w14:paraId="21161965" w14:textId="77777777" w:rsidR="0094086E" w:rsidRPr="007933E3" w:rsidRDefault="0094086E" w:rsidP="0094086E">
      <w:pPr>
        <w:pStyle w:val="Corpsdetexte"/>
        <w:jc w:val="center"/>
        <w:rPr>
          <w:rFonts w:ascii="Ottawa" w:hAnsi="Ottawa"/>
        </w:rPr>
      </w:pPr>
      <w:r w:rsidRPr="007933E3">
        <w:rPr>
          <w:rFonts w:ascii="Ottawa" w:hAnsi="Ottawa"/>
        </w:rPr>
        <w:t>[…]</w:t>
      </w:r>
    </w:p>
    <w:p w14:paraId="725ED21D" w14:textId="77777777" w:rsidR="00796F38" w:rsidRDefault="0094086E" w:rsidP="00796F38">
      <w:pPr>
        <w:spacing w:after="720"/>
        <w:ind w:right="51"/>
        <w:jc w:val="center"/>
        <w:rPr>
          <w:rFonts w:eastAsia="MS Mincho" w:cs="Times New Roman"/>
          <w:kern w:val="2"/>
          <w:szCs w:val="20"/>
        </w:rPr>
        <w:sectPr w:rsidR="00796F38" w:rsidSect="00796F38">
          <w:headerReference w:type="even" r:id="rId53"/>
          <w:type w:val="oddPage"/>
          <w:pgSz w:w="11906" w:h="16838"/>
          <w:pgMar w:top="1440" w:right="1440" w:bottom="1440" w:left="1440" w:header="708" w:footer="708" w:gutter="0"/>
          <w:cols w:space="708"/>
          <w:docGrid w:linePitch="360"/>
        </w:sectPr>
      </w:pPr>
      <w:r w:rsidRPr="00F024DD">
        <w:rPr>
          <w:rFonts w:eastAsia="MS Mincho" w:cs="Times New Roman"/>
          <w:kern w:val="2"/>
          <w:szCs w:val="20"/>
        </w:rPr>
        <w:t>____________________________</w:t>
      </w:r>
      <w:bookmarkStart w:id="88" w:name="_Annex_8"/>
      <w:bookmarkEnd w:id="88"/>
    </w:p>
    <w:p w14:paraId="61D7D81A" w14:textId="5C4C3374" w:rsidR="0094086E" w:rsidRPr="00796F38" w:rsidRDefault="0094086E" w:rsidP="00796F38">
      <w:pPr>
        <w:pStyle w:val="Titre4"/>
        <w:spacing w:before="0" w:after="480" w:line="240" w:lineRule="auto"/>
        <w:ind w:left="720"/>
        <w:jc w:val="right"/>
        <w:rPr>
          <w:rFonts w:ascii="Times New Roman" w:hAnsi="Times New Roman" w:cs="Times New Roman"/>
          <w:i w:val="0"/>
          <w:color w:val="auto"/>
          <w:u w:val="single"/>
          <w:lang w:val="en-US"/>
        </w:rPr>
      </w:pPr>
      <w:bookmarkStart w:id="89" w:name="_Annex_7_1"/>
      <w:bookmarkEnd w:id="89"/>
      <w:r w:rsidRPr="00796F38">
        <w:rPr>
          <w:rFonts w:ascii="Times New Roman" w:hAnsi="Times New Roman" w:cs="Times New Roman"/>
          <w:i w:val="0"/>
          <w:color w:val="auto"/>
          <w:u w:val="single"/>
          <w:lang w:val="en-US"/>
        </w:rPr>
        <w:lastRenderedPageBreak/>
        <w:t xml:space="preserve">Annex </w:t>
      </w:r>
      <w:r w:rsidR="00FC6CE0" w:rsidRPr="00796F38">
        <w:rPr>
          <w:rFonts w:ascii="Times New Roman" w:hAnsi="Times New Roman" w:cs="Times New Roman"/>
          <w:i w:val="0"/>
          <w:color w:val="auto"/>
          <w:u w:val="single"/>
          <w:lang w:val="en-US"/>
        </w:rPr>
        <w:t>7</w:t>
      </w:r>
    </w:p>
    <w:p w14:paraId="4451DC58" w14:textId="77777777" w:rsidR="0094086E" w:rsidRPr="00DB689E" w:rsidRDefault="0094086E" w:rsidP="0094086E">
      <w:pPr>
        <w:spacing w:after="480" w:line="240" w:lineRule="auto"/>
        <w:ind w:left="476" w:right="488"/>
        <w:jc w:val="center"/>
        <w:rPr>
          <w:rFonts w:ascii="Ottawa" w:hAnsi="Ottawa" w:cs="Times New Roman"/>
          <w:b/>
          <w:spacing w:val="57"/>
          <w:sz w:val="28"/>
          <w:szCs w:val="28"/>
        </w:rPr>
      </w:pPr>
      <w:r w:rsidRPr="00DB689E">
        <w:rPr>
          <w:rFonts w:ascii="Ottawa" w:hAnsi="Ottawa" w:cs="Times New Roman"/>
          <w:b/>
          <w:spacing w:val="57"/>
          <w:sz w:val="28"/>
          <w:szCs w:val="28"/>
        </w:rPr>
        <w:t xml:space="preserve">GLOSSARY </w:t>
      </w:r>
    </w:p>
    <w:p w14:paraId="137EEA6C" w14:textId="77777777" w:rsidR="0094086E" w:rsidRPr="00DB689E" w:rsidRDefault="0094086E" w:rsidP="007933E3">
      <w:pPr>
        <w:spacing w:after="240"/>
        <w:jc w:val="both"/>
        <w:rPr>
          <w:rFonts w:ascii="Arial" w:hAnsi="Arial" w:cs="Arial"/>
          <w:b/>
          <w:i/>
          <w:smallCaps/>
          <w:sz w:val="18"/>
          <w:szCs w:val="18"/>
          <w:u w:val="double"/>
        </w:rPr>
      </w:pPr>
      <w:bookmarkStart w:id="90" w:name="_bookmark3"/>
      <w:bookmarkEnd w:id="90"/>
      <w:r w:rsidRPr="00DB689E">
        <w:rPr>
          <w:rFonts w:ascii="Arial" w:hAnsi="Arial" w:cs="Arial"/>
          <w:b/>
          <w:i/>
          <w:smallCaps/>
          <w:sz w:val="18"/>
          <w:szCs w:val="18"/>
          <w:u w:val="double"/>
        </w:rPr>
        <w:t>aquatic animal waste</w:t>
      </w:r>
    </w:p>
    <w:p w14:paraId="06F3EB88" w14:textId="08C8EA97" w:rsidR="0094086E" w:rsidRPr="00DB689E" w:rsidRDefault="0094086E" w:rsidP="007933E3">
      <w:pPr>
        <w:ind w:left="426"/>
        <w:jc w:val="both"/>
        <w:rPr>
          <w:rFonts w:ascii="Arial" w:hAnsi="Arial" w:cs="Arial"/>
          <w:sz w:val="18"/>
          <w:szCs w:val="18"/>
          <w:u w:val="double"/>
          <w:lang w:val="en-US"/>
        </w:rPr>
      </w:pPr>
      <w:r w:rsidRPr="00DB689E">
        <w:rPr>
          <w:rFonts w:ascii="Arial" w:hAnsi="Arial" w:cs="Arial"/>
          <w:sz w:val="18"/>
          <w:szCs w:val="18"/>
          <w:u w:val="double"/>
          <w:lang w:val="en-US"/>
        </w:rPr>
        <w:t xml:space="preserve">means </w:t>
      </w:r>
      <w:r w:rsidRPr="00DB689E">
        <w:rPr>
          <w:rFonts w:ascii="Arial" w:hAnsi="Arial" w:cs="Arial"/>
          <w:sz w:val="18"/>
          <w:szCs w:val="18"/>
          <w:highlight w:val="yellow"/>
          <w:u w:val="double"/>
        </w:rPr>
        <w:t xml:space="preserve">the entire carcass of an </w:t>
      </w:r>
      <w:r w:rsidRPr="00DB689E">
        <w:rPr>
          <w:rFonts w:ascii="Arial" w:hAnsi="Arial" w:cs="Arial"/>
          <w:strike/>
          <w:sz w:val="18"/>
          <w:szCs w:val="18"/>
          <w:highlight w:val="yellow"/>
          <w:u w:val="double"/>
          <w:lang w:val="en-US"/>
        </w:rPr>
        <w:t xml:space="preserve">anything </w:t>
      </w:r>
      <w:bookmarkStart w:id="91" w:name="_bookmark15"/>
      <w:bookmarkStart w:id="92" w:name="_bookmark16"/>
      <w:bookmarkEnd w:id="91"/>
      <w:bookmarkEnd w:id="92"/>
      <w:r w:rsidRPr="00DB689E">
        <w:rPr>
          <w:rFonts w:ascii="Arial" w:hAnsi="Arial" w:cs="Arial"/>
          <w:strike/>
          <w:sz w:val="18"/>
          <w:szCs w:val="18"/>
          <w:highlight w:val="yellow"/>
          <w:u w:val="double"/>
          <w:lang w:val="en-US"/>
        </w:rPr>
        <w:t>generated from</w:t>
      </w:r>
      <w:r w:rsidRPr="00DB689E">
        <w:rPr>
          <w:rFonts w:ascii="Arial" w:hAnsi="Arial" w:cs="Arial"/>
          <w:sz w:val="18"/>
          <w:szCs w:val="18"/>
          <w:u w:val="double"/>
          <w:lang w:val="en-US"/>
        </w:rPr>
        <w:t xml:space="preserve"> </w:t>
      </w:r>
      <w:r w:rsidRPr="00DB689E">
        <w:rPr>
          <w:rFonts w:ascii="Arial" w:hAnsi="Arial" w:cs="Arial"/>
          <w:i/>
          <w:iCs/>
          <w:sz w:val="18"/>
          <w:szCs w:val="18"/>
          <w:u w:val="double"/>
          <w:lang w:val="en-US"/>
        </w:rPr>
        <w:t>aquatic animal</w:t>
      </w:r>
      <w:r w:rsidRPr="00DB689E">
        <w:rPr>
          <w:rFonts w:ascii="Arial" w:hAnsi="Arial" w:cs="Arial"/>
          <w:i/>
          <w:iCs/>
          <w:strike/>
          <w:sz w:val="18"/>
          <w:szCs w:val="18"/>
          <w:highlight w:val="yellow"/>
          <w:u w:val="double"/>
          <w:lang w:val="en-US"/>
        </w:rPr>
        <w:t>s</w:t>
      </w:r>
      <w:r w:rsidR="00A24DB0">
        <w:rPr>
          <w:rFonts w:ascii="Arial" w:hAnsi="Arial" w:cs="Arial"/>
          <w:i/>
          <w:iCs/>
          <w:strike/>
          <w:sz w:val="18"/>
          <w:szCs w:val="18"/>
          <w:u w:val="double"/>
          <w:lang w:val="en-US"/>
        </w:rPr>
        <w:t>,</w:t>
      </w:r>
      <w:r w:rsidRPr="00DB689E">
        <w:rPr>
          <w:rFonts w:ascii="Arial" w:hAnsi="Arial" w:cs="Arial"/>
          <w:sz w:val="18"/>
          <w:szCs w:val="18"/>
          <w:u w:val="double"/>
          <w:lang w:val="en-US"/>
        </w:rPr>
        <w:t xml:space="preserve"> </w:t>
      </w:r>
      <w:r w:rsidRPr="00DB689E">
        <w:rPr>
          <w:rFonts w:ascii="Arial" w:hAnsi="Arial" w:cs="Arial"/>
          <w:sz w:val="18"/>
          <w:szCs w:val="18"/>
          <w:highlight w:val="yellow"/>
          <w:u w:val="double"/>
          <w:lang w:val="en-US"/>
        </w:rPr>
        <w:t>its</w:t>
      </w:r>
      <w:r w:rsidRPr="00DB689E">
        <w:rPr>
          <w:rFonts w:ascii="Arial" w:hAnsi="Arial" w:cs="Arial"/>
          <w:sz w:val="18"/>
          <w:szCs w:val="18"/>
          <w:u w:val="double"/>
          <w:lang w:val="en-US"/>
        </w:rPr>
        <w:t xml:space="preserve"> </w:t>
      </w:r>
      <w:r w:rsidRPr="00DB689E">
        <w:rPr>
          <w:rFonts w:ascii="Arial" w:hAnsi="Arial" w:cs="Arial"/>
          <w:strike/>
          <w:sz w:val="18"/>
          <w:szCs w:val="18"/>
          <w:highlight w:val="yellow"/>
          <w:u w:val="double"/>
          <w:lang w:val="en-US"/>
        </w:rPr>
        <w:t xml:space="preserve">that have died, have been killed for </w:t>
      </w:r>
      <w:r w:rsidRPr="00DB689E">
        <w:rPr>
          <w:rFonts w:ascii="Arial" w:hAnsi="Arial" w:cs="Arial"/>
          <w:i/>
          <w:iCs/>
          <w:strike/>
          <w:sz w:val="18"/>
          <w:szCs w:val="18"/>
          <w:highlight w:val="yellow"/>
          <w:u w:val="double"/>
          <w:lang w:val="en-US"/>
        </w:rPr>
        <w:t>disease</w:t>
      </w:r>
      <w:r w:rsidRPr="00DB689E">
        <w:rPr>
          <w:rFonts w:ascii="Arial" w:hAnsi="Arial" w:cs="Arial"/>
          <w:strike/>
          <w:sz w:val="18"/>
          <w:szCs w:val="18"/>
          <w:highlight w:val="yellow"/>
          <w:u w:val="double"/>
          <w:lang w:val="en-US"/>
        </w:rPr>
        <w:t xml:space="preserve"> control purposes, or have been killed and processed for human consumption or other purposes. This may include the entire carcass of </w:t>
      </w:r>
      <w:r w:rsidRPr="00DB689E">
        <w:rPr>
          <w:rFonts w:ascii="Arial" w:hAnsi="Arial" w:cs="Arial"/>
          <w:i/>
          <w:iCs/>
          <w:strike/>
          <w:sz w:val="18"/>
          <w:szCs w:val="18"/>
          <w:highlight w:val="yellow"/>
          <w:u w:val="double"/>
          <w:lang w:val="en-US"/>
        </w:rPr>
        <w:t xml:space="preserve">aquatic animals, </w:t>
      </w:r>
      <w:r w:rsidRPr="00DB689E">
        <w:rPr>
          <w:rFonts w:ascii="Arial" w:hAnsi="Arial" w:cs="Arial"/>
          <w:strike/>
          <w:sz w:val="18"/>
          <w:szCs w:val="18"/>
          <w:highlight w:val="yellow"/>
          <w:u w:val="double"/>
          <w:lang w:val="en-US"/>
        </w:rPr>
        <w:t xml:space="preserve">their </w:t>
      </w:r>
      <w:r w:rsidRPr="002144E5">
        <w:rPr>
          <w:rFonts w:ascii="Arial" w:hAnsi="Arial" w:cs="Arial"/>
          <w:sz w:val="18"/>
          <w:szCs w:val="18"/>
          <w:u w:val="double"/>
          <w:lang w:val="en-US"/>
        </w:rPr>
        <w:t>parts</w:t>
      </w:r>
      <w:r w:rsidRPr="00DB689E">
        <w:rPr>
          <w:rFonts w:ascii="Arial" w:hAnsi="Arial" w:cs="Arial"/>
          <w:sz w:val="18"/>
          <w:szCs w:val="18"/>
          <w:u w:val="double"/>
          <w:lang w:val="en-US"/>
        </w:rPr>
        <w:t>, or associated liquids which are intended for disposal.</w:t>
      </w:r>
    </w:p>
    <w:p w14:paraId="569F8005" w14:textId="77777777" w:rsidR="0094086E" w:rsidRPr="00DB689E" w:rsidRDefault="0094086E" w:rsidP="007933E3">
      <w:pPr>
        <w:jc w:val="both"/>
        <w:rPr>
          <w:rFonts w:ascii="Arial" w:hAnsi="Arial" w:cs="Arial"/>
          <w:b/>
          <w:bCs/>
          <w:i/>
          <w:iCs/>
          <w:smallCaps/>
          <w:sz w:val="18"/>
          <w:szCs w:val="18"/>
        </w:rPr>
      </w:pPr>
      <w:r w:rsidRPr="00DB689E">
        <w:rPr>
          <w:rFonts w:ascii="Arial" w:hAnsi="Arial" w:cs="Arial"/>
          <w:b/>
          <w:bCs/>
          <w:i/>
          <w:iCs/>
          <w:smallCaps/>
          <w:sz w:val="18"/>
          <w:szCs w:val="18"/>
        </w:rPr>
        <w:t xml:space="preserve">aquatic animal products </w:t>
      </w:r>
    </w:p>
    <w:p w14:paraId="3FFF21D3" w14:textId="0AE8F8E5" w:rsidR="0094086E" w:rsidRDefault="0094086E" w:rsidP="007933E3">
      <w:pPr>
        <w:pStyle w:val="dictionnaire-definition-terme"/>
        <w:spacing w:before="0" w:beforeAutospacing="0" w:after="150" w:afterAutospacing="0"/>
        <w:ind w:left="450"/>
        <w:jc w:val="both"/>
        <w:rPr>
          <w:rFonts w:ascii="Arial" w:hAnsi="Arial" w:cs="Arial"/>
          <w:color w:val="000000"/>
          <w:sz w:val="18"/>
          <w:szCs w:val="18"/>
        </w:rPr>
      </w:pPr>
      <w:r w:rsidRPr="00DB689E">
        <w:rPr>
          <w:rFonts w:ascii="Arial" w:hAnsi="Arial" w:cs="Arial"/>
          <w:color w:val="000000"/>
          <w:sz w:val="18"/>
          <w:szCs w:val="18"/>
        </w:rPr>
        <w:t xml:space="preserve">means </w:t>
      </w:r>
      <w:bookmarkStart w:id="93" w:name="_Hlk33531019"/>
      <w:r w:rsidRPr="00DB689E">
        <w:rPr>
          <w:rFonts w:ascii="Arial" w:hAnsi="Arial" w:cs="Arial"/>
          <w:color w:val="000000"/>
          <w:sz w:val="18"/>
          <w:szCs w:val="18"/>
        </w:rPr>
        <w:t>non-viable </w:t>
      </w:r>
      <w:bookmarkEnd w:id="93"/>
      <w:r w:rsidRPr="00DB689E">
        <w:rPr>
          <w:rFonts w:ascii="Arial" w:hAnsi="Arial" w:cs="Arial"/>
          <w:i/>
          <w:iCs/>
          <w:sz w:val="18"/>
          <w:szCs w:val="18"/>
        </w:rPr>
        <w:t>aquatic animals</w:t>
      </w:r>
      <w:r w:rsidRPr="00DB689E">
        <w:rPr>
          <w:rFonts w:ascii="Arial" w:hAnsi="Arial" w:cs="Arial"/>
          <w:sz w:val="18"/>
          <w:szCs w:val="18"/>
        </w:rPr>
        <w:t xml:space="preserve">, </w:t>
      </w:r>
      <w:bookmarkStart w:id="94" w:name="_Hlk33531059"/>
      <w:r w:rsidRPr="005A3B17">
        <w:rPr>
          <w:rFonts w:ascii="Arial" w:hAnsi="Arial" w:cs="Arial"/>
          <w:color w:val="000000"/>
          <w:sz w:val="18"/>
          <w:szCs w:val="18"/>
          <w:u w:val="double"/>
          <w:lang w:val="en-AU"/>
        </w:rPr>
        <w:t>parts of</w:t>
      </w:r>
      <w:r w:rsidRPr="005A3B17">
        <w:rPr>
          <w:rFonts w:ascii="Arial" w:hAnsi="Arial" w:cs="Arial"/>
          <w:i/>
          <w:color w:val="000000"/>
          <w:sz w:val="18"/>
          <w:szCs w:val="18"/>
          <w:u w:val="double"/>
          <w:lang w:val="en-AU"/>
        </w:rPr>
        <w:t xml:space="preserve"> aquatics animals, </w:t>
      </w:r>
      <w:r w:rsidRPr="005A3B17">
        <w:rPr>
          <w:rFonts w:ascii="Arial" w:hAnsi="Arial" w:cs="Arial"/>
          <w:color w:val="000000"/>
          <w:sz w:val="18"/>
          <w:szCs w:val="18"/>
          <w:u w:val="double"/>
        </w:rPr>
        <w:t>or</w:t>
      </w:r>
      <w:r w:rsidRPr="005A3B17">
        <w:rPr>
          <w:rFonts w:ascii="Arial" w:hAnsi="Arial" w:cs="Arial"/>
          <w:color w:val="000000"/>
          <w:sz w:val="18"/>
          <w:szCs w:val="18"/>
          <w:u w:val="double"/>
          <w:lang w:val="x-none"/>
        </w:rPr>
        <w:t xml:space="preserve"> </w:t>
      </w:r>
      <w:r w:rsidRPr="005A3B17">
        <w:rPr>
          <w:rFonts w:ascii="Arial" w:hAnsi="Arial" w:cs="Arial"/>
          <w:color w:val="000000"/>
          <w:sz w:val="18"/>
          <w:szCs w:val="18"/>
          <w:u w:val="double"/>
          <w:lang w:val="en-AU"/>
        </w:rPr>
        <w:t xml:space="preserve">manufactured goods containing any material derived </w:t>
      </w:r>
      <w:bookmarkEnd w:id="94"/>
      <w:r w:rsidR="002144E5" w:rsidRPr="00053BBB">
        <w:rPr>
          <w:rFonts w:ascii="Arial" w:hAnsi="Arial" w:cs="Arial"/>
          <w:strike/>
          <w:color w:val="000000"/>
          <w:sz w:val="18"/>
          <w:szCs w:val="18"/>
          <w:u w:val="double"/>
        </w:rPr>
        <w:t>from</w:t>
      </w:r>
      <w:r w:rsidR="002144E5">
        <w:rPr>
          <w:rFonts w:ascii="Arial" w:hAnsi="Arial" w:cs="Arial"/>
          <w:color w:val="000000"/>
          <w:sz w:val="18"/>
          <w:szCs w:val="18"/>
          <w:u w:val="double"/>
        </w:rPr>
        <w:t xml:space="preserve"> </w:t>
      </w:r>
      <w:r w:rsidRPr="005A3B17">
        <w:rPr>
          <w:rFonts w:ascii="Arial" w:hAnsi="Arial" w:cs="Arial"/>
          <w:strike/>
          <w:color w:val="000000"/>
          <w:sz w:val="18"/>
          <w:szCs w:val="18"/>
        </w:rPr>
        <w:t>and products</w:t>
      </w:r>
      <w:r w:rsidRPr="005A3B17">
        <w:rPr>
          <w:rFonts w:ascii="Arial" w:hAnsi="Arial" w:cs="Arial"/>
          <w:color w:val="000000"/>
          <w:sz w:val="18"/>
          <w:szCs w:val="18"/>
        </w:rPr>
        <w:t xml:space="preserve"> from </w:t>
      </w:r>
      <w:r w:rsidRPr="005A3B17">
        <w:rPr>
          <w:rFonts w:ascii="Arial" w:hAnsi="Arial" w:cs="Arial"/>
          <w:i/>
          <w:iCs/>
          <w:color w:val="000000"/>
          <w:sz w:val="18"/>
          <w:szCs w:val="18"/>
        </w:rPr>
        <w:t>aquatic animals</w:t>
      </w:r>
      <w:r w:rsidRPr="005A3B17">
        <w:rPr>
          <w:rFonts w:ascii="Arial" w:hAnsi="Arial" w:cs="Arial"/>
          <w:color w:val="000000"/>
          <w:sz w:val="18"/>
          <w:szCs w:val="18"/>
        </w:rPr>
        <w:t xml:space="preserve"> </w:t>
      </w:r>
      <w:r w:rsidRPr="005A3B17">
        <w:rPr>
          <w:rFonts w:ascii="Arial" w:hAnsi="Arial" w:cs="Arial"/>
          <w:color w:val="000000"/>
          <w:sz w:val="18"/>
          <w:szCs w:val="18"/>
          <w:u w:val="double"/>
        </w:rPr>
        <w:t>that are intended for sale or trade</w:t>
      </w:r>
      <w:r w:rsidRPr="005A3B17">
        <w:rPr>
          <w:rFonts w:ascii="Arial" w:hAnsi="Arial" w:cs="Arial"/>
          <w:color w:val="000000"/>
          <w:sz w:val="18"/>
          <w:szCs w:val="18"/>
        </w:rPr>
        <w:t>.</w:t>
      </w:r>
    </w:p>
    <w:p w14:paraId="26A11600" w14:textId="0CD5C94E" w:rsidR="00514849" w:rsidRDefault="00514849" w:rsidP="007933E3">
      <w:pPr>
        <w:pStyle w:val="dictionnaire-definition-terme"/>
        <w:spacing w:before="0" w:beforeAutospacing="0" w:after="150" w:afterAutospacing="0"/>
        <w:ind w:left="450"/>
        <w:jc w:val="both"/>
        <w:rPr>
          <w:rFonts w:ascii="Arial" w:hAnsi="Arial" w:cs="Arial"/>
          <w:color w:val="000000"/>
          <w:sz w:val="18"/>
          <w:szCs w:val="18"/>
        </w:rPr>
      </w:pPr>
    </w:p>
    <w:p w14:paraId="752180E4" w14:textId="77777777" w:rsidR="00514849" w:rsidRPr="00AA49E6" w:rsidRDefault="00514849" w:rsidP="007933E3">
      <w:pPr>
        <w:pStyle w:val="dictionnaire-intitule-terme"/>
        <w:spacing w:before="15" w:beforeAutospacing="0" w:after="150" w:afterAutospacing="0"/>
        <w:jc w:val="both"/>
        <w:rPr>
          <w:rFonts w:ascii="Arial" w:hAnsi="Arial" w:cs="Arial"/>
          <w:b/>
          <w:bCs/>
          <w:i/>
          <w:iCs/>
          <w:caps/>
          <w:smallCaps/>
          <w:color w:val="000000"/>
          <w:sz w:val="18"/>
          <w:szCs w:val="18"/>
        </w:rPr>
      </w:pPr>
      <w:r w:rsidRPr="00AA49E6">
        <w:rPr>
          <w:rFonts w:ascii="Arial" w:hAnsi="Arial" w:cs="Arial"/>
          <w:b/>
          <w:bCs/>
          <w:i/>
          <w:iCs/>
          <w:smallCaps/>
          <w:color w:val="000000"/>
          <w:sz w:val="18"/>
          <w:szCs w:val="18"/>
        </w:rPr>
        <w:t>vector</w:t>
      </w:r>
    </w:p>
    <w:p w14:paraId="215AA377" w14:textId="77777777" w:rsidR="00514849" w:rsidRPr="00AA49E6" w:rsidRDefault="00514849" w:rsidP="007933E3">
      <w:pPr>
        <w:pStyle w:val="dictionnaire-definition-terme"/>
        <w:spacing w:before="0" w:beforeAutospacing="0" w:after="150" w:afterAutospacing="0"/>
        <w:ind w:left="540"/>
        <w:jc w:val="both"/>
        <w:rPr>
          <w:rFonts w:ascii="Arial" w:hAnsi="Arial" w:cs="Arial"/>
          <w:color w:val="000000"/>
          <w:sz w:val="18"/>
          <w:szCs w:val="18"/>
        </w:rPr>
      </w:pPr>
      <w:r w:rsidRPr="00AA49E6">
        <w:rPr>
          <w:rFonts w:ascii="Arial" w:hAnsi="Arial" w:cs="Arial"/>
          <w:color w:val="000000"/>
          <w:sz w:val="18"/>
          <w:szCs w:val="18"/>
        </w:rPr>
        <w:t>means any living organism</w:t>
      </w:r>
      <w:r w:rsidRPr="00AA49E6">
        <w:rPr>
          <w:rFonts w:ascii="Arial" w:hAnsi="Arial" w:cs="Arial"/>
          <w:color w:val="000000"/>
          <w:sz w:val="18"/>
          <w:szCs w:val="18"/>
          <w:u w:val="double"/>
        </w:rPr>
        <w:t xml:space="preserve">, other than </w:t>
      </w:r>
      <w:r w:rsidRPr="00AA49E6">
        <w:rPr>
          <w:rFonts w:ascii="Arial" w:hAnsi="Arial" w:cs="Arial"/>
          <w:i/>
          <w:iCs/>
          <w:color w:val="000000"/>
          <w:sz w:val="18"/>
          <w:szCs w:val="18"/>
          <w:u w:val="double"/>
        </w:rPr>
        <w:t>susceptible species</w:t>
      </w:r>
      <w:r w:rsidRPr="00AA49E6">
        <w:rPr>
          <w:rFonts w:ascii="Arial" w:hAnsi="Arial" w:cs="Arial"/>
          <w:color w:val="000000"/>
          <w:sz w:val="18"/>
          <w:szCs w:val="18"/>
          <w:u w:val="double"/>
        </w:rPr>
        <w:t>,</w:t>
      </w:r>
      <w:r w:rsidRPr="00AA49E6">
        <w:rPr>
          <w:rFonts w:ascii="Arial" w:hAnsi="Arial" w:cs="Arial"/>
          <w:color w:val="000000"/>
          <w:sz w:val="18"/>
          <w:szCs w:val="18"/>
        </w:rPr>
        <w:t xml:space="preserve"> that transports a </w:t>
      </w:r>
      <w:r w:rsidRPr="00AA49E6">
        <w:rPr>
          <w:rFonts w:ascii="Arial" w:hAnsi="Arial" w:cs="Arial"/>
          <w:i/>
          <w:iCs/>
          <w:color w:val="000000"/>
          <w:sz w:val="18"/>
          <w:szCs w:val="18"/>
        </w:rPr>
        <w:t>pathogenic agent</w:t>
      </w:r>
      <w:r w:rsidRPr="00AA49E6">
        <w:rPr>
          <w:rFonts w:ascii="Arial" w:hAnsi="Arial" w:cs="Arial"/>
          <w:color w:val="000000"/>
          <w:sz w:val="18"/>
          <w:szCs w:val="18"/>
        </w:rPr>
        <w:t xml:space="preserve"> to a </w:t>
      </w:r>
      <w:r w:rsidRPr="00AA49E6">
        <w:rPr>
          <w:rFonts w:ascii="Arial" w:hAnsi="Arial" w:cs="Arial"/>
          <w:color w:val="000000"/>
          <w:sz w:val="18"/>
          <w:szCs w:val="18"/>
          <w:u w:val="double"/>
        </w:rPr>
        <w:t xml:space="preserve">population of </w:t>
      </w:r>
      <w:r w:rsidRPr="00AA49E6">
        <w:rPr>
          <w:rFonts w:ascii="Arial" w:hAnsi="Arial" w:cs="Arial"/>
          <w:i/>
          <w:iCs/>
          <w:color w:val="000000"/>
          <w:sz w:val="18"/>
          <w:szCs w:val="18"/>
          <w:u w:val="double"/>
        </w:rPr>
        <w:t>susceptible species</w:t>
      </w:r>
      <w:r w:rsidRPr="00AA49E6">
        <w:rPr>
          <w:rFonts w:ascii="Arial" w:hAnsi="Arial" w:cs="Arial"/>
          <w:color w:val="000000"/>
          <w:sz w:val="18"/>
          <w:szCs w:val="18"/>
        </w:rPr>
        <w:t xml:space="preserve"> </w:t>
      </w:r>
      <w:r w:rsidRPr="00AA49E6">
        <w:rPr>
          <w:rFonts w:ascii="Arial" w:hAnsi="Arial" w:cs="Arial"/>
          <w:strike/>
          <w:color w:val="000000"/>
          <w:sz w:val="18"/>
          <w:szCs w:val="18"/>
        </w:rPr>
        <w:t>susceptible </w:t>
      </w:r>
      <w:r w:rsidRPr="00AA49E6">
        <w:rPr>
          <w:rFonts w:ascii="Arial" w:hAnsi="Arial" w:cs="Arial"/>
          <w:i/>
          <w:iCs/>
          <w:strike/>
          <w:color w:val="000000"/>
          <w:sz w:val="18"/>
          <w:szCs w:val="18"/>
        </w:rPr>
        <w:t>aquatic animal</w:t>
      </w:r>
      <w:r w:rsidRPr="00AA49E6">
        <w:rPr>
          <w:rFonts w:ascii="Arial" w:hAnsi="Arial" w:cs="Arial"/>
          <w:strike/>
          <w:color w:val="000000"/>
          <w:sz w:val="18"/>
          <w:szCs w:val="18"/>
        </w:rPr>
        <w:t> or its food or immediate surroundings. The </w:t>
      </w:r>
      <w:r w:rsidRPr="00AA49E6">
        <w:rPr>
          <w:rFonts w:ascii="Arial" w:hAnsi="Arial" w:cs="Arial"/>
          <w:i/>
          <w:iCs/>
          <w:strike/>
          <w:color w:val="000000"/>
          <w:sz w:val="18"/>
          <w:szCs w:val="18"/>
        </w:rPr>
        <w:t>pathogenic agent</w:t>
      </w:r>
      <w:r w:rsidRPr="00AA49E6">
        <w:rPr>
          <w:rFonts w:ascii="Arial" w:hAnsi="Arial" w:cs="Arial"/>
          <w:strike/>
          <w:color w:val="000000"/>
          <w:sz w:val="18"/>
          <w:szCs w:val="18"/>
        </w:rPr>
        <w:t> may or may not pass through a development cycle within the vector</w:t>
      </w:r>
      <w:r w:rsidRPr="00AA49E6">
        <w:rPr>
          <w:rFonts w:ascii="Arial" w:hAnsi="Arial" w:cs="Arial"/>
          <w:color w:val="000000"/>
          <w:sz w:val="18"/>
          <w:szCs w:val="18"/>
        </w:rPr>
        <w:t>.</w:t>
      </w:r>
    </w:p>
    <w:p w14:paraId="39C1659B" w14:textId="469A4A9C" w:rsidR="0094086E" w:rsidRPr="00F50BB9" w:rsidRDefault="0094086E" w:rsidP="0094086E">
      <w:pPr>
        <w:spacing w:after="720"/>
        <w:ind w:right="51"/>
        <w:jc w:val="center"/>
        <w:rPr>
          <w:rFonts w:eastAsia="MS Mincho" w:cs="Times New Roman"/>
          <w:kern w:val="2"/>
          <w:szCs w:val="20"/>
        </w:rPr>
      </w:pPr>
      <w:r w:rsidRPr="00946B20">
        <w:rPr>
          <w:rFonts w:eastAsia="MS Mincho" w:cs="Times New Roman"/>
          <w:kern w:val="2"/>
          <w:szCs w:val="20"/>
        </w:rPr>
        <w:t>__________________________</w:t>
      </w:r>
    </w:p>
    <w:p w14:paraId="7D03D390" w14:textId="77777777" w:rsidR="00886D7F" w:rsidRDefault="00886D7F" w:rsidP="00886D7F">
      <w:pPr>
        <w:spacing w:after="480" w:line="240" w:lineRule="auto"/>
        <w:jc w:val="right"/>
        <w:rPr>
          <w:rFonts w:cs="Times New Roman"/>
          <w:bCs/>
          <w:iCs/>
          <w:szCs w:val="20"/>
          <w:u w:val="single"/>
        </w:rPr>
        <w:sectPr w:rsidR="00886D7F" w:rsidSect="00796F38">
          <w:type w:val="oddPage"/>
          <w:pgSz w:w="11906" w:h="16838"/>
          <w:pgMar w:top="1440" w:right="1440" w:bottom="1440" w:left="1440" w:header="708" w:footer="708" w:gutter="0"/>
          <w:cols w:space="708"/>
          <w:docGrid w:linePitch="360"/>
        </w:sectPr>
      </w:pPr>
    </w:p>
    <w:p w14:paraId="3C5BDDD5" w14:textId="2E27CC36" w:rsidR="00B04DDB" w:rsidRPr="00277227" w:rsidRDefault="00B04DDB" w:rsidP="00277227">
      <w:pPr>
        <w:pStyle w:val="Titre4"/>
        <w:spacing w:before="0" w:after="480" w:line="240" w:lineRule="auto"/>
        <w:ind w:left="720"/>
        <w:jc w:val="right"/>
        <w:rPr>
          <w:rFonts w:ascii="Times New Roman" w:hAnsi="Times New Roman" w:cs="Times New Roman"/>
          <w:bCs/>
          <w:i w:val="0"/>
          <w:iCs w:val="0"/>
          <w:szCs w:val="20"/>
          <w:u w:val="single"/>
        </w:rPr>
      </w:pPr>
      <w:bookmarkStart w:id="95" w:name="_Annex_9"/>
      <w:bookmarkEnd w:id="95"/>
      <w:r w:rsidRPr="006A2D15">
        <w:rPr>
          <w:rFonts w:ascii="Times New Roman" w:hAnsi="Times New Roman" w:cs="Times New Roman"/>
          <w:i w:val="0"/>
          <w:iCs w:val="0"/>
          <w:color w:val="auto"/>
          <w:u w:val="single"/>
          <w:lang w:val="en-US"/>
        </w:rPr>
        <w:lastRenderedPageBreak/>
        <w:t>Annex</w:t>
      </w:r>
      <w:r w:rsidRPr="006A2D15">
        <w:rPr>
          <w:rFonts w:ascii="Times New Roman" w:hAnsi="Times New Roman" w:cs="Times New Roman"/>
          <w:bCs/>
          <w:i w:val="0"/>
          <w:color w:val="auto"/>
          <w:szCs w:val="20"/>
          <w:u w:val="single"/>
        </w:rPr>
        <w:t xml:space="preserve"> </w:t>
      </w:r>
      <w:r w:rsidR="00FC6CE0">
        <w:rPr>
          <w:rFonts w:ascii="Times New Roman" w:hAnsi="Times New Roman" w:cs="Times New Roman"/>
          <w:bCs/>
          <w:i w:val="0"/>
          <w:color w:val="auto"/>
          <w:szCs w:val="20"/>
          <w:u w:val="single"/>
        </w:rPr>
        <w:t>8</w:t>
      </w:r>
    </w:p>
    <w:p w14:paraId="2865F037" w14:textId="4A5BBC84" w:rsidR="0094086E" w:rsidRPr="00490F00" w:rsidRDefault="0094086E" w:rsidP="0094086E">
      <w:pPr>
        <w:rPr>
          <w:rFonts w:cs="Times New Roman"/>
          <w:b/>
          <w:sz w:val="22"/>
        </w:rPr>
      </w:pPr>
      <w:r w:rsidRPr="00490F00">
        <w:rPr>
          <w:rFonts w:cs="Times New Roman"/>
          <w:b/>
          <w:sz w:val="22"/>
        </w:rPr>
        <w:t>Proposed amendments of the term ‘waste’ to ‘</w:t>
      </w:r>
      <w:r w:rsidRPr="00490F00">
        <w:rPr>
          <w:rFonts w:cs="Times New Roman"/>
          <w:b/>
          <w:i/>
          <w:iCs/>
          <w:sz w:val="22"/>
        </w:rPr>
        <w:t>aquatic animal waste</w:t>
      </w:r>
      <w:r w:rsidRPr="00490F00">
        <w:rPr>
          <w:rFonts w:cs="Times New Roman"/>
          <w:b/>
          <w:sz w:val="22"/>
        </w:rPr>
        <w:t xml:space="preserve">’ in the </w:t>
      </w:r>
      <w:r w:rsidRPr="00490F00">
        <w:rPr>
          <w:rFonts w:cs="Times New Roman"/>
          <w:b/>
          <w:i/>
          <w:iCs/>
          <w:sz w:val="22"/>
        </w:rPr>
        <w:t>Aquatic Code</w:t>
      </w:r>
    </w:p>
    <w:tbl>
      <w:tblPr>
        <w:tblStyle w:val="Grilledutableau"/>
        <w:tblW w:w="9209" w:type="dxa"/>
        <w:tblLook w:val="04A0" w:firstRow="1" w:lastRow="0" w:firstColumn="1" w:lastColumn="0" w:noHBand="0" w:noVBand="1"/>
      </w:tblPr>
      <w:tblGrid>
        <w:gridCol w:w="2140"/>
        <w:gridCol w:w="736"/>
        <w:gridCol w:w="6333"/>
      </w:tblGrid>
      <w:tr w:rsidR="0094086E" w14:paraId="6C6ADD8E" w14:textId="77777777" w:rsidTr="00490F00">
        <w:tc>
          <w:tcPr>
            <w:tcW w:w="2140" w:type="dxa"/>
          </w:tcPr>
          <w:p w14:paraId="69BD2E44" w14:textId="77777777" w:rsidR="0094086E" w:rsidRPr="00490F00" w:rsidRDefault="0094086E" w:rsidP="00233054">
            <w:pPr>
              <w:spacing w:before="40" w:after="40"/>
              <w:rPr>
                <w:rFonts w:cs="Times New Roman"/>
                <w:b/>
                <w:szCs w:val="20"/>
              </w:rPr>
            </w:pPr>
            <w:r w:rsidRPr="00490F00">
              <w:rPr>
                <w:rFonts w:cs="Times New Roman"/>
                <w:b/>
                <w:szCs w:val="20"/>
              </w:rPr>
              <w:t>Article</w:t>
            </w:r>
          </w:p>
        </w:tc>
        <w:tc>
          <w:tcPr>
            <w:tcW w:w="736" w:type="dxa"/>
          </w:tcPr>
          <w:p w14:paraId="19A4E110" w14:textId="77777777" w:rsidR="0094086E" w:rsidRPr="00490F00" w:rsidRDefault="0094086E" w:rsidP="00233054">
            <w:pPr>
              <w:spacing w:before="40" w:after="40"/>
              <w:rPr>
                <w:rFonts w:cs="Times New Roman"/>
                <w:b/>
                <w:szCs w:val="20"/>
              </w:rPr>
            </w:pPr>
            <w:r w:rsidRPr="00490F00">
              <w:rPr>
                <w:rFonts w:cs="Times New Roman"/>
                <w:b/>
                <w:szCs w:val="20"/>
              </w:rPr>
              <w:t>Page</w:t>
            </w:r>
          </w:p>
        </w:tc>
        <w:tc>
          <w:tcPr>
            <w:tcW w:w="6333" w:type="dxa"/>
          </w:tcPr>
          <w:p w14:paraId="655AEE0A" w14:textId="77777777" w:rsidR="0094086E" w:rsidRPr="00490F00" w:rsidRDefault="0094086E" w:rsidP="00233054">
            <w:pPr>
              <w:spacing w:before="40" w:after="40"/>
              <w:ind w:left="108" w:right="119"/>
              <w:rPr>
                <w:rFonts w:cs="Times New Roman"/>
                <w:b/>
                <w:szCs w:val="20"/>
              </w:rPr>
            </w:pPr>
            <w:r w:rsidRPr="00490F00">
              <w:rPr>
                <w:rFonts w:cs="Times New Roman"/>
                <w:b/>
                <w:szCs w:val="20"/>
              </w:rPr>
              <w:t xml:space="preserve">Proposed change </w:t>
            </w:r>
          </w:p>
        </w:tc>
      </w:tr>
      <w:tr w:rsidR="0094086E" w14:paraId="5B4C5CC9" w14:textId="77777777" w:rsidTr="00490F00">
        <w:tc>
          <w:tcPr>
            <w:tcW w:w="2140" w:type="dxa"/>
          </w:tcPr>
          <w:p w14:paraId="5AC28E50" w14:textId="77777777" w:rsidR="0094086E" w:rsidRPr="00490F00" w:rsidRDefault="0094086E" w:rsidP="00233054">
            <w:pPr>
              <w:spacing w:before="40" w:after="40"/>
              <w:rPr>
                <w:rFonts w:cs="Times New Roman"/>
                <w:bCs/>
                <w:szCs w:val="20"/>
              </w:rPr>
            </w:pPr>
            <w:r w:rsidRPr="00490F00">
              <w:rPr>
                <w:rFonts w:cs="Times New Roman"/>
                <w:bCs/>
                <w:szCs w:val="20"/>
              </w:rPr>
              <w:t>User’s guide, C. Specific issues, 7), last sentence</w:t>
            </w:r>
          </w:p>
        </w:tc>
        <w:tc>
          <w:tcPr>
            <w:tcW w:w="736" w:type="dxa"/>
          </w:tcPr>
          <w:p w14:paraId="74DA8B78" w14:textId="77777777" w:rsidR="0094086E" w:rsidRPr="00490F00" w:rsidRDefault="0094086E" w:rsidP="00233054">
            <w:pPr>
              <w:spacing w:before="40" w:after="40"/>
              <w:rPr>
                <w:rFonts w:cs="Times New Roman"/>
                <w:bCs/>
                <w:szCs w:val="20"/>
              </w:rPr>
            </w:pPr>
          </w:p>
        </w:tc>
        <w:tc>
          <w:tcPr>
            <w:tcW w:w="6333" w:type="dxa"/>
          </w:tcPr>
          <w:p w14:paraId="7F2576D2" w14:textId="77777777" w:rsidR="0094086E" w:rsidRPr="006152D5" w:rsidRDefault="0094086E" w:rsidP="00233054">
            <w:pPr>
              <w:spacing w:before="40" w:after="40"/>
              <w:ind w:left="108" w:right="119"/>
              <w:rPr>
                <w:rFonts w:cs="Times New Roman"/>
                <w:bCs/>
                <w:szCs w:val="20"/>
              </w:rPr>
            </w:pPr>
            <w:r w:rsidRPr="006152D5">
              <w:rPr>
                <w:rFonts w:cs="Times New Roman"/>
                <w:bCs/>
                <w:szCs w:val="20"/>
              </w:rPr>
              <w:t xml:space="preserve">The assessment for inclusion of aquatic animal products in these articles is based on the form and presentation of the product, the expected volume of </w:t>
            </w:r>
            <w:r w:rsidRPr="00685B5C">
              <w:rPr>
                <w:rFonts w:cs="Times New Roman"/>
                <w:bCs/>
                <w:strike/>
                <w:szCs w:val="20"/>
              </w:rPr>
              <w:t>waste</w:t>
            </w:r>
            <w:r w:rsidRPr="00685B5C">
              <w:rPr>
                <w:rFonts w:cs="Times New Roman"/>
                <w:bCs/>
                <w:szCs w:val="20"/>
              </w:rPr>
              <w:t xml:space="preserve"> </w:t>
            </w:r>
            <w:r w:rsidRPr="00685B5C">
              <w:rPr>
                <w:rFonts w:cs="Times New Roman"/>
                <w:bCs/>
                <w:i/>
                <w:szCs w:val="20"/>
                <w:u w:val="double"/>
              </w:rPr>
              <w:t>aquatic animal waste</w:t>
            </w:r>
            <w:r w:rsidRPr="006152D5">
              <w:rPr>
                <w:rFonts w:cs="Times New Roman"/>
                <w:bCs/>
                <w:szCs w:val="20"/>
              </w:rPr>
              <w:t xml:space="preserve"> tissues generated by the consumer and the likely presence of viable pathogenic agent in the </w:t>
            </w:r>
            <w:r w:rsidRPr="00685B5C">
              <w:rPr>
                <w:rFonts w:cs="Times New Roman"/>
                <w:bCs/>
                <w:strike/>
                <w:szCs w:val="20"/>
              </w:rPr>
              <w:t>waste</w:t>
            </w:r>
            <w:r w:rsidRPr="00685B5C">
              <w:rPr>
                <w:rFonts w:cs="Times New Roman"/>
                <w:bCs/>
                <w:szCs w:val="20"/>
                <w:u w:val="double"/>
              </w:rPr>
              <w:t xml:space="preserve"> </w:t>
            </w:r>
            <w:r w:rsidRPr="00685B5C">
              <w:rPr>
                <w:rFonts w:cs="Times New Roman"/>
                <w:bCs/>
                <w:i/>
                <w:szCs w:val="20"/>
                <w:u w:val="double"/>
              </w:rPr>
              <w:t>aquatic animal waste</w:t>
            </w:r>
            <w:r w:rsidRPr="006152D5">
              <w:rPr>
                <w:rFonts w:cs="Times New Roman"/>
                <w:bCs/>
                <w:szCs w:val="20"/>
              </w:rPr>
              <w:t>.</w:t>
            </w:r>
          </w:p>
        </w:tc>
      </w:tr>
      <w:tr w:rsidR="0094086E" w14:paraId="6F4698C3" w14:textId="77777777" w:rsidTr="00490F00">
        <w:tc>
          <w:tcPr>
            <w:tcW w:w="2140" w:type="dxa"/>
          </w:tcPr>
          <w:p w14:paraId="1B9066A9" w14:textId="77777777" w:rsidR="0094086E" w:rsidRPr="00490F00" w:rsidRDefault="0094086E" w:rsidP="00233054">
            <w:pPr>
              <w:spacing w:before="40" w:after="40"/>
              <w:rPr>
                <w:rFonts w:cs="Times New Roman"/>
                <w:bCs/>
                <w:szCs w:val="20"/>
              </w:rPr>
            </w:pPr>
            <w:r w:rsidRPr="00490F00">
              <w:rPr>
                <w:rFonts w:cs="Times New Roman"/>
                <w:bCs/>
                <w:szCs w:val="20"/>
              </w:rPr>
              <w:t>2.1.4., 2.c), last point</w:t>
            </w:r>
          </w:p>
        </w:tc>
        <w:tc>
          <w:tcPr>
            <w:tcW w:w="736" w:type="dxa"/>
          </w:tcPr>
          <w:p w14:paraId="0DBF1A7E" w14:textId="77777777" w:rsidR="0094086E" w:rsidRPr="00490F00" w:rsidRDefault="0094086E" w:rsidP="00233054">
            <w:pPr>
              <w:spacing w:before="40" w:after="40"/>
              <w:rPr>
                <w:rFonts w:cs="Times New Roman"/>
                <w:bCs/>
                <w:szCs w:val="20"/>
              </w:rPr>
            </w:pPr>
          </w:p>
        </w:tc>
        <w:tc>
          <w:tcPr>
            <w:tcW w:w="6333" w:type="dxa"/>
          </w:tcPr>
          <w:p w14:paraId="776816FB" w14:textId="36E4B721" w:rsidR="0094086E" w:rsidRPr="006152D5" w:rsidRDefault="0094086E" w:rsidP="00025D4D">
            <w:pPr>
              <w:pStyle w:val="Paragraphedeliste"/>
              <w:numPr>
                <w:ilvl w:val="0"/>
                <w:numId w:val="38"/>
              </w:numPr>
              <w:spacing w:before="40" w:after="40"/>
              <w:ind w:right="119"/>
              <w:rPr>
                <w:rFonts w:cs="Times New Roman"/>
                <w:bCs/>
                <w:szCs w:val="20"/>
              </w:rPr>
            </w:pPr>
            <w:r w:rsidRPr="00685B5C">
              <w:rPr>
                <w:rFonts w:cs="Times New Roman"/>
                <w:bCs/>
                <w:strike/>
                <w:szCs w:val="20"/>
              </w:rPr>
              <w:t xml:space="preserve"> waste</w:t>
            </w:r>
            <w:r w:rsidRPr="00685B5C">
              <w:rPr>
                <w:rFonts w:cs="Times New Roman"/>
                <w:bCs/>
                <w:szCs w:val="20"/>
                <w:u w:val="double"/>
              </w:rPr>
              <w:t xml:space="preserve"> </w:t>
            </w:r>
            <w:r w:rsidRPr="00685B5C">
              <w:rPr>
                <w:rFonts w:cs="Times New Roman"/>
                <w:bCs/>
                <w:i/>
                <w:iCs/>
                <w:szCs w:val="20"/>
                <w:u w:val="double"/>
              </w:rPr>
              <w:t>Aquatic animal waste</w:t>
            </w:r>
            <w:r w:rsidRPr="006152D5">
              <w:rPr>
                <w:rFonts w:cs="Times New Roman"/>
                <w:i/>
                <w:iCs/>
                <w:szCs w:val="20"/>
              </w:rPr>
              <w:t xml:space="preserve"> </w:t>
            </w:r>
            <w:r w:rsidRPr="006152D5">
              <w:rPr>
                <w:rFonts w:cs="Times New Roman"/>
                <w:szCs w:val="20"/>
              </w:rPr>
              <w:t>disposal</w:t>
            </w:r>
            <w:r w:rsidRPr="006152D5">
              <w:rPr>
                <w:rFonts w:cs="Times New Roman"/>
                <w:spacing w:val="-2"/>
                <w:szCs w:val="20"/>
              </w:rPr>
              <w:t xml:space="preserve"> </w:t>
            </w:r>
            <w:r w:rsidRPr="006152D5">
              <w:rPr>
                <w:rFonts w:cs="Times New Roman"/>
                <w:szCs w:val="20"/>
              </w:rPr>
              <w:t>practices</w:t>
            </w:r>
          </w:p>
        </w:tc>
      </w:tr>
      <w:tr w:rsidR="0094086E" w14:paraId="4DA70E80" w14:textId="77777777" w:rsidTr="00490F00">
        <w:tc>
          <w:tcPr>
            <w:tcW w:w="2140" w:type="dxa"/>
          </w:tcPr>
          <w:p w14:paraId="025F5B2B" w14:textId="77777777" w:rsidR="0094086E" w:rsidRPr="00490F00" w:rsidRDefault="0094086E" w:rsidP="00233054">
            <w:pPr>
              <w:spacing w:before="40" w:after="40"/>
              <w:rPr>
                <w:rFonts w:cs="Times New Roman"/>
                <w:bCs/>
                <w:szCs w:val="20"/>
              </w:rPr>
            </w:pPr>
            <w:r w:rsidRPr="00490F00">
              <w:rPr>
                <w:rFonts w:cs="Times New Roman"/>
                <w:bCs/>
                <w:szCs w:val="20"/>
              </w:rPr>
              <w:t>4.2.3., 2.i)</w:t>
            </w:r>
          </w:p>
        </w:tc>
        <w:tc>
          <w:tcPr>
            <w:tcW w:w="736" w:type="dxa"/>
          </w:tcPr>
          <w:p w14:paraId="1F392A82" w14:textId="77777777" w:rsidR="0094086E" w:rsidRPr="00490F00" w:rsidRDefault="0094086E" w:rsidP="00233054">
            <w:pPr>
              <w:spacing w:before="40" w:after="40"/>
              <w:rPr>
                <w:rFonts w:cs="Times New Roman"/>
                <w:bCs/>
                <w:szCs w:val="20"/>
              </w:rPr>
            </w:pPr>
          </w:p>
        </w:tc>
        <w:tc>
          <w:tcPr>
            <w:tcW w:w="6333" w:type="dxa"/>
          </w:tcPr>
          <w:p w14:paraId="6F20854F" w14:textId="77777777" w:rsidR="0094086E" w:rsidRPr="006152D5" w:rsidRDefault="0094086E" w:rsidP="00233054">
            <w:pPr>
              <w:spacing w:before="40" w:after="40"/>
              <w:ind w:left="108" w:right="119"/>
              <w:rPr>
                <w:rFonts w:cs="Times New Roman"/>
                <w:bCs/>
                <w:szCs w:val="20"/>
              </w:rPr>
            </w:pPr>
            <w:r w:rsidRPr="006152D5">
              <w:rPr>
                <w:rFonts w:cs="Times New Roman"/>
                <w:szCs w:val="20"/>
              </w:rPr>
              <w:t xml:space="preserve">i) disposal of </w:t>
            </w:r>
            <w:r w:rsidRPr="00685B5C">
              <w:rPr>
                <w:rFonts w:cs="Times New Roman"/>
                <w:bCs/>
                <w:strike/>
                <w:szCs w:val="20"/>
              </w:rPr>
              <w:t>waste</w:t>
            </w:r>
            <w:r w:rsidRPr="00685B5C">
              <w:rPr>
                <w:rFonts w:cs="Times New Roman"/>
                <w:bCs/>
                <w:szCs w:val="20"/>
                <w:u w:val="double"/>
              </w:rPr>
              <w:t xml:space="preserve"> </w:t>
            </w:r>
            <w:r w:rsidRPr="00685B5C">
              <w:rPr>
                <w:rFonts w:cs="Times New Roman"/>
                <w:bCs/>
                <w:i/>
                <w:iCs/>
                <w:szCs w:val="20"/>
                <w:u w:val="double"/>
              </w:rPr>
              <w:t>aquatic animal waste</w:t>
            </w:r>
            <w:r w:rsidRPr="006152D5">
              <w:rPr>
                <w:rFonts w:cs="Times New Roman"/>
                <w:szCs w:val="20"/>
              </w:rPr>
              <w:t>;</w:t>
            </w:r>
          </w:p>
        </w:tc>
      </w:tr>
      <w:tr w:rsidR="0094086E" w14:paraId="183CA147" w14:textId="77777777" w:rsidTr="00490F00">
        <w:tc>
          <w:tcPr>
            <w:tcW w:w="2140" w:type="dxa"/>
          </w:tcPr>
          <w:p w14:paraId="1CE4266F" w14:textId="77777777" w:rsidR="0094086E" w:rsidRPr="00490F00" w:rsidRDefault="0094086E" w:rsidP="00233054">
            <w:pPr>
              <w:spacing w:before="40" w:after="40"/>
              <w:rPr>
                <w:rFonts w:cs="Times New Roman"/>
                <w:bCs/>
                <w:szCs w:val="20"/>
              </w:rPr>
            </w:pPr>
            <w:r w:rsidRPr="00490F00">
              <w:rPr>
                <w:rFonts w:cs="Times New Roman"/>
                <w:bCs/>
                <w:szCs w:val="20"/>
              </w:rPr>
              <w:t>4.3.6.</w:t>
            </w:r>
          </w:p>
        </w:tc>
        <w:tc>
          <w:tcPr>
            <w:tcW w:w="736" w:type="dxa"/>
          </w:tcPr>
          <w:p w14:paraId="77A3334F" w14:textId="77777777" w:rsidR="0094086E" w:rsidRPr="00490F00" w:rsidRDefault="0094086E" w:rsidP="00233054">
            <w:pPr>
              <w:spacing w:before="40" w:after="40"/>
              <w:rPr>
                <w:rFonts w:cs="Times New Roman"/>
                <w:bCs/>
                <w:szCs w:val="20"/>
              </w:rPr>
            </w:pPr>
            <w:r w:rsidRPr="00490F00">
              <w:rPr>
                <w:rFonts w:cs="Times New Roman"/>
                <w:bCs/>
                <w:szCs w:val="20"/>
              </w:rPr>
              <w:t>60</w:t>
            </w:r>
          </w:p>
        </w:tc>
        <w:tc>
          <w:tcPr>
            <w:tcW w:w="6333" w:type="dxa"/>
          </w:tcPr>
          <w:p w14:paraId="4AF44660" w14:textId="77777777" w:rsidR="0094086E" w:rsidRPr="006152D5" w:rsidRDefault="0094086E" w:rsidP="00233054">
            <w:pPr>
              <w:spacing w:before="40" w:after="40"/>
              <w:ind w:left="108" w:right="119"/>
              <w:rPr>
                <w:rFonts w:cs="Times New Roman"/>
                <w:bCs/>
                <w:szCs w:val="20"/>
              </w:rPr>
            </w:pPr>
            <w:r w:rsidRPr="006152D5">
              <w:rPr>
                <w:rFonts w:cs="Times New Roman"/>
                <w:bCs/>
                <w:szCs w:val="20"/>
              </w:rPr>
              <w:t xml:space="preserve">These conditions include a high level of </w:t>
            </w:r>
            <w:hyperlink w:anchor="_bookmark44" w:history="1">
              <w:r w:rsidRPr="006152D5">
                <w:rPr>
                  <w:rFonts w:cs="Times New Roman"/>
                  <w:bCs/>
                  <w:szCs w:val="20"/>
                </w:rPr>
                <w:t xml:space="preserve">disease </w:t>
              </w:r>
            </w:hyperlink>
            <w:hyperlink w:anchor="_bookmark102" w:history="1">
              <w:r w:rsidRPr="006152D5">
                <w:rPr>
                  <w:rFonts w:cs="Times New Roman"/>
                  <w:bCs/>
                  <w:szCs w:val="20"/>
                </w:rPr>
                <w:t xml:space="preserve">risk </w:t>
              </w:r>
            </w:hyperlink>
            <w:r w:rsidRPr="006152D5">
              <w:rPr>
                <w:rFonts w:cs="Times New Roman"/>
                <w:bCs/>
                <w:szCs w:val="20"/>
              </w:rPr>
              <w:t xml:space="preserve">(due to the significance of the </w:t>
            </w:r>
            <w:hyperlink w:anchor="_bookmark44" w:history="1">
              <w:r w:rsidRPr="006152D5">
                <w:rPr>
                  <w:rFonts w:cs="Times New Roman"/>
                  <w:bCs/>
                  <w:szCs w:val="20"/>
                </w:rPr>
                <w:t>disease</w:t>
              </w:r>
            </w:hyperlink>
            <w:r w:rsidRPr="006152D5">
              <w:rPr>
                <w:rFonts w:cs="Times New Roman"/>
                <w:bCs/>
                <w:szCs w:val="20"/>
              </w:rPr>
              <w:t xml:space="preserve">), high pathogen loading, potential high volumes of infected </w:t>
            </w:r>
            <w:hyperlink w:anchor="_bookmark16" w:history="1">
              <w:r w:rsidRPr="006152D5">
                <w:rPr>
                  <w:rFonts w:cs="Times New Roman"/>
                  <w:bCs/>
                  <w:szCs w:val="20"/>
                </w:rPr>
                <w:t>aquatic animals</w:t>
              </w:r>
            </w:hyperlink>
            <w:r w:rsidRPr="006152D5">
              <w:rPr>
                <w:rFonts w:cs="Times New Roman"/>
                <w:bCs/>
                <w:szCs w:val="20"/>
              </w:rPr>
              <w:t xml:space="preserve"> and </w:t>
            </w:r>
            <w:r w:rsidRPr="00685B5C">
              <w:rPr>
                <w:rFonts w:cs="Times New Roman"/>
                <w:bCs/>
                <w:strike/>
                <w:szCs w:val="20"/>
              </w:rPr>
              <w:t>waste</w:t>
            </w:r>
            <w:r w:rsidRPr="00685B5C">
              <w:rPr>
                <w:rFonts w:cs="Times New Roman"/>
                <w:bCs/>
                <w:szCs w:val="20"/>
                <w:u w:val="double"/>
              </w:rPr>
              <w:t xml:space="preserve"> </w:t>
            </w:r>
            <w:r w:rsidRPr="00685B5C">
              <w:rPr>
                <w:rFonts w:cs="Times New Roman"/>
                <w:bCs/>
                <w:i/>
                <w:iCs/>
                <w:szCs w:val="20"/>
                <w:u w:val="double"/>
              </w:rPr>
              <w:t>aquatic animal waste</w:t>
            </w:r>
            <w:r w:rsidRPr="006152D5">
              <w:rPr>
                <w:rFonts w:cs="Times New Roman"/>
                <w:bCs/>
                <w:szCs w:val="20"/>
              </w:rPr>
              <w:t xml:space="preserve">, large areas requiring </w:t>
            </w:r>
            <w:hyperlink w:anchor="_bookmark48" w:history="1">
              <w:r w:rsidRPr="006152D5">
                <w:rPr>
                  <w:rFonts w:cs="Times New Roman"/>
                  <w:bCs/>
                  <w:szCs w:val="20"/>
                </w:rPr>
                <w:t>disinfection</w:t>
              </w:r>
            </w:hyperlink>
            <w:r w:rsidRPr="006152D5">
              <w:rPr>
                <w:rFonts w:cs="Times New Roman"/>
                <w:bCs/>
                <w:szCs w:val="20"/>
              </w:rPr>
              <w:t xml:space="preserve"> and large volumes of contaminated water.</w:t>
            </w:r>
          </w:p>
        </w:tc>
      </w:tr>
      <w:tr w:rsidR="0094086E" w14:paraId="69C14E9B" w14:textId="77777777" w:rsidTr="00490F00">
        <w:tc>
          <w:tcPr>
            <w:tcW w:w="2140" w:type="dxa"/>
          </w:tcPr>
          <w:p w14:paraId="6903D072" w14:textId="77777777" w:rsidR="0094086E" w:rsidRPr="00490F00" w:rsidRDefault="0094086E" w:rsidP="00233054">
            <w:pPr>
              <w:spacing w:before="40" w:after="40"/>
              <w:rPr>
                <w:rFonts w:cs="Times New Roman"/>
                <w:bCs/>
                <w:szCs w:val="20"/>
              </w:rPr>
            </w:pPr>
            <w:r w:rsidRPr="00490F00">
              <w:rPr>
                <w:rFonts w:cs="Times New Roman"/>
                <w:bCs/>
                <w:szCs w:val="20"/>
              </w:rPr>
              <w:t>4.7.1.</w:t>
            </w:r>
          </w:p>
        </w:tc>
        <w:tc>
          <w:tcPr>
            <w:tcW w:w="736" w:type="dxa"/>
          </w:tcPr>
          <w:p w14:paraId="52609355" w14:textId="77777777" w:rsidR="0094086E" w:rsidRPr="00490F00" w:rsidRDefault="0094086E" w:rsidP="00233054">
            <w:pPr>
              <w:spacing w:before="40" w:after="40"/>
              <w:rPr>
                <w:rFonts w:cs="Times New Roman"/>
                <w:bCs/>
                <w:szCs w:val="20"/>
              </w:rPr>
            </w:pPr>
            <w:r w:rsidRPr="00490F00">
              <w:rPr>
                <w:rFonts w:cs="Times New Roman"/>
                <w:bCs/>
                <w:szCs w:val="20"/>
              </w:rPr>
              <w:t>71</w:t>
            </w:r>
          </w:p>
        </w:tc>
        <w:tc>
          <w:tcPr>
            <w:tcW w:w="6333" w:type="dxa"/>
          </w:tcPr>
          <w:p w14:paraId="5E010FA0" w14:textId="5A27CFF0" w:rsidR="0094086E" w:rsidRPr="006152D5" w:rsidRDefault="0094086E" w:rsidP="00233054">
            <w:pPr>
              <w:spacing w:before="40" w:after="40"/>
              <w:ind w:left="108" w:right="119"/>
              <w:rPr>
                <w:rFonts w:cs="Times New Roman"/>
                <w:bCs/>
                <w:szCs w:val="20"/>
              </w:rPr>
            </w:pPr>
            <w:r w:rsidRPr="006152D5">
              <w:rPr>
                <w:rFonts w:cs="Times New Roman"/>
                <w:bCs/>
                <w:szCs w:val="20"/>
              </w:rPr>
              <w:t xml:space="preserve">The objective of this chapter is to provide guidance on storage, transport, disposal and treatment of </w:t>
            </w:r>
            <w:hyperlink w:anchor="_bookmark16" w:history="1">
              <w:r w:rsidRPr="006152D5">
                <w:rPr>
                  <w:rFonts w:cs="Times New Roman"/>
                  <w:bCs/>
                  <w:i/>
                  <w:iCs/>
                  <w:szCs w:val="20"/>
                </w:rPr>
                <w:t>aquatic animal</w:t>
              </w:r>
            </w:hyperlink>
            <w:r w:rsidRPr="00685B5C">
              <w:rPr>
                <w:rFonts w:cs="Times New Roman"/>
                <w:bCs/>
                <w:i/>
                <w:iCs/>
                <w:szCs w:val="20"/>
              </w:rPr>
              <w:t xml:space="preserve"> </w:t>
            </w:r>
            <w:r w:rsidRPr="00685B5C">
              <w:rPr>
                <w:rFonts w:cs="Times New Roman"/>
                <w:bCs/>
                <w:i/>
                <w:iCs/>
                <w:szCs w:val="20"/>
                <w:u w:val="double"/>
              </w:rPr>
              <w:t>waste</w:t>
            </w:r>
            <w:r w:rsidRPr="006152D5">
              <w:rPr>
                <w:rFonts w:cs="Times New Roman"/>
                <w:bCs/>
                <w:i/>
                <w:iCs/>
                <w:szCs w:val="20"/>
                <w:u w:val="double"/>
              </w:rPr>
              <w:t>s</w:t>
            </w:r>
            <w:r w:rsidRPr="006152D5">
              <w:rPr>
                <w:rFonts w:cs="Times New Roman"/>
                <w:bCs/>
                <w:szCs w:val="20"/>
              </w:rPr>
              <w:t xml:space="preserve"> so as to manage </w:t>
            </w:r>
            <w:hyperlink w:anchor="_bookmark102" w:history="1">
              <w:r w:rsidRPr="006152D5">
                <w:rPr>
                  <w:rFonts w:cs="Times New Roman"/>
                  <w:bCs/>
                  <w:szCs w:val="20"/>
                </w:rPr>
                <w:t xml:space="preserve">risks </w:t>
              </w:r>
            </w:hyperlink>
            <w:r w:rsidRPr="006152D5">
              <w:rPr>
                <w:rFonts w:cs="Times New Roman"/>
                <w:bCs/>
                <w:szCs w:val="20"/>
              </w:rPr>
              <w:t xml:space="preserve">to </w:t>
            </w:r>
            <w:hyperlink w:anchor="_bookmark16" w:history="1">
              <w:r w:rsidRPr="006152D5">
                <w:rPr>
                  <w:rFonts w:cs="Times New Roman"/>
                  <w:bCs/>
                  <w:szCs w:val="20"/>
                </w:rPr>
                <w:t xml:space="preserve">aquatic animal </w:t>
              </w:r>
            </w:hyperlink>
            <w:r w:rsidRPr="006152D5">
              <w:rPr>
                <w:rFonts w:cs="Times New Roman"/>
                <w:bCs/>
                <w:szCs w:val="20"/>
              </w:rPr>
              <w:t>health.</w:t>
            </w:r>
          </w:p>
        </w:tc>
      </w:tr>
      <w:tr w:rsidR="0094086E" w14:paraId="61226EFC" w14:textId="77777777" w:rsidTr="00490F00">
        <w:tc>
          <w:tcPr>
            <w:tcW w:w="2140" w:type="dxa"/>
          </w:tcPr>
          <w:p w14:paraId="37F17636" w14:textId="77777777" w:rsidR="0094086E" w:rsidRPr="00490F00" w:rsidRDefault="0094086E" w:rsidP="00233054">
            <w:pPr>
              <w:spacing w:before="40" w:after="40"/>
              <w:rPr>
                <w:rFonts w:cs="Times New Roman"/>
                <w:bCs/>
                <w:szCs w:val="20"/>
              </w:rPr>
            </w:pPr>
            <w:r w:rsidRPr="00490F00">
              <w:rPr>
                <w:rFonts w:cs="Times New Roman"/>
                <w:bCs/>
                <w:szCs w:val="20"/>
              </w:rPr>
              <w:t>4.7.2.</w:t>
            </w:r>
          </w:p>
        </w:tc>
        <w:tc>
          <w:tcPr>
            <w:tcW w:w="736" w:type="dxa"/>
          </w:tcPr>
          <w:p w14:paraId="4550D0A8" w14:textId="77777777" w:rsidR="0094086E" w:rsidRPr="00490F00" w:rsidRDefault="0094086E" w:rsidP="00233054">
            <w:pPr>
              <w:spacing w:before="40" w:after="40"/>
              <w:rPr>
                <w:rFonts w:cs="Times New Roman"/>
                <w:bCs/>
                <w:szCs w:val="20"/>
              </w:rPr>
            </w:pPr>
            <w:r w:rsidRPr="00490F00">
              <w:rPr>
                <w:rFonts w:cs="Times New Roman"/>
                <w:bCs/>
                <w:szCs w:val="20"/>
              </w:rPr>
              <w:t>71</w:t>
            </w:r>
          </w:p>
        </w:tc>
        <w:tc>
          <w:tcPr>
            <w:tcW w:w="6333" w:type="dxa"/>
          </w:tcPr>
          <w:p w14:paraId="48618B1B" w14:textId="77777777" w:rsidR="0094086E" w:rsidRPr="006152D5" w:rsidRDefault="0094086E" w:rsidP="00233054">
            <w:pPr>
              <w:spacing w:before="40" w:after="40"/>
              <w:ind w:left="108" w:right="119"/>
              <w:rPr>
                <w:rFonts w:cs="Times New Roman"/>
                <w:bCs/>
                <w:szCs w:val="20"/>
              </w:rPr>
            </w:pPr>
            <w:r w:rsidRPr="006152D5">
              <w:rPr>
                <w:rFonts w:cs="Times New Roman"/>
                <w:bCs/>
                <w:szCs w:val="20"/>
              </w:rPr>
              <w:t xml:space="preserve">The scope of this chapter covers </w:t>
            </w:r>
            <w:hyperlink w:anchor="_bookmark16" w:history="1">
              <w:r w:rsidRPr="006152D5">
                <w:rPr>
                  <w:rFonts w:cs="Times New Roman"/>
                  <w:bCs/>
                  <w:i/>
                  <w:iCs/>
                  <w:szCs w:val="20"/>
                </w:rPr>
                <w:t>aquatic animal</w:t>
              </w:r>
            </w:hyperlink>
            <w:r w:rsidRPr="006152D5">
              <w:rPr>
                <w:rFonts w:cs="Times New Roman"/>
                <w:bCs/>
                <w:i/>
                <w:iCs/>
                <w:szCs w:val="20"/>
              </w:rPr>
              <w:t xml:space="preserve"> </w:t>
            </w:r>
            <w:r w:rsidRPr="00685B5C">
              <w:rPr>
                <w:rFonts w:cs="Times New Roman"/>
                <w:bCs/>
                <w:strike/>
                <w:szCs w:val="20"/>
              </w:rPr>
              <w:t>waste</w:t>
            </w:r>
            <w:r w:rsidRPr="00685B5C">
              <w:rPr>
                <w:rFonts w:cs="Times New Roman"/>
                <w:bCs/>
                <w:szCs w:val="20"/>
                <w:u w:val="double"/>
              </w:rPr>
              <w:t xml:space="preserve"> </w:t>
            </w:r>
            <w:r w:rsidRPr="00685B5C">
              <w:rPr>
                <w:rFonts w:cs="Times New Roman"/>
                <w:bCs/>
                <w:i/>
                <w:iCs/>
                <w:szCs w:val="20"/>
                <w:u w:val="double"/>
              </w:rPr>
              <w:t>waste</w:t>
            </w:r>
            <w:r w:rsidRPr="006152D5">
              <w:rPr>
                <w:rFonts w:cs="Times New Roman"/>
                <w:bCs/>
                <w:szCs w:val="20"/>
              </w:rPr>
              <w:t xml:space="preserve"> derived from: i) routine </w:t>
            </w:r>
            <w:hyperlink w:anchor="_bookmark4" w:history="1">
              <w:r w:rsidRPr="006152D5">
                <w:rPr>
                  <w:rFonts w:cs="Times New Roman"/>
                  <w:bCs/>
                  <w:szCs w:val="20"/>
                </w:rPr>
                <w:t xml:space="preserve">aquaculture </w:t>
              </w:r>
            </w:hyperlink>
            <w:r w:rsidRPr="006152D5">
              <w:rPr>
                <w:rFonts w:cs="Times New Roman"/>
                <w:bCs/>
                <w:szCs w:val="20"/>
              </w:rPr>
              <w:t>operations; ii) on shore processing, irrespective of origin; iii) mass killing for disease control purposes and iv) mass mortality (including in the wild).</w:t>
            </w:r>
          </w:p>
        </w:tc>
      </w:tr>
      <w:tr w:rsidR="0094086E" w14:paraId="7F28508F" w14:textId="77777777" w:rsidTr="00490F00">
        <w:tc>
          <w:tcPr>
            <w:tcW w:w="2140" w:type="dxa"/>
          </w:tcPr>
          <w:p w14:paraId="0108B422" w14:textId="77777777" w:rsidR="0094086E" w:rsidRPr="00490F00" w:rsidRDefault="0094086E" w:rsidP="00233054">
            <w:pPr>
              <w:spacing w:before="40" w:after="40"/>
              <w:rPr>
                <w:rFonts w:cs="Times New Roman"/>
                <w:bCs/>
                <w:szCs w:val="20"/>
              </w:rPr>
            </w:pPr>
            <w:r w:rsidRPr="00490F00">
              <w:rPr>
                <w:rFonts w:cs="Times New Roman"/>
                <w:bCs/>
                <w:szCs w:val="20"/>
              </w:rPr>
              <w:t>4.7.3.</w:t>
            </w:r>
          </w:p>
        </w:tc>
        <w:tc>
          <w:tcPr>
            <w:tcW w:w="736" w:type="dxa"/>
          </w:tcPr>
          <w:p w14:paraId="45F3361F" w14:textId="77777777" w:rsidR="0094086E" w:rsidRPr="00490F00" w:rsidRDefault="0094086E" w:rsidP="00233054">
            <w:pPr>
              <w:spacing w:before="40" w:after="40"/>
              <w:rPr>
                <w:rFonts w:cs="Times New Roman"/>
                <w:bCs/>
                <w:szCs w:val="20"/>
              </w:rPr>
            </w:pPr>
            <w:r w:rsidRPr="00490F00">
              <w:rPr>
                <w:rFonts w:cs="Times New Roman"/>
                <w:bCs/>
                <w:szCs w:val="20"/>
              </w:rPr>
              <w:t>71</w:t>
            </w:r>
          </w:p>
        </w:tc>
        <w:tc>
          <w:tcPr>
            <w:tcW w:w="6333" w:type="dxa"/>
          </w:tcPr>
          <w:p w14:paraId="1E701ED4" w14:textId="77777777" w:rsidR="0094086E" w:rsidRPr="006152D5" w:rsidRDefault="0094086E" w:rsidP="00233054">
            <w:pPr>
              <w:spacing w:before="40" w:after="120"/>
              <w:ind w:left="108" w:right="119"/>
              <w:rPr>
                <w:rFonts w:cs="Times New Roman"/>
                <w:bCs/>
                <w:szCs w:val="20"/>
                <w:u w:val="double"/>
              </w:rPr>
            </w:pPr>
            <w:r w:rsidRPr="00685B5C">
              <w:rPr>
                <w:rFonts w:cs="Times New Roman"/>
                <w:bCs/>
                <w:szCs w:val="20"/>
                <w:u w:val="double"/>
              </w:rPr>
              <w:t>For the purpose of this chapter:</w:t>
            </w:r>
          </w:p>
          <w:p w14:paraId="23C8E7FD" w14:textId="77777777" w:rsidR="0094086E" w:rsidRPr="00685B5C" w:rsidRDefault="0094086E" w:rsidP="00233054">
            <w:pPr>
              <w:spacing w:before="40" w:after="120"/>
              <w:ind w:left="108" w:right="119"/>
              <w:rPr>
                <w:rFonts w:cs="Times New Roman"/>
                <w:bCs/>
                <w:strike/>
                <w:szCs w:val="20"/>
              </w:rPr>
            </w:pPr>
            <w:r w:rsidRPr="00685B5C">
              <w:rPr>
                <w:rFonts w:cs="Times New Roman"/>
                <w:bCs/>
                <w:i/>
                <w:iCs/>
                <w:strike/>
                <w:szCs w:val="20"/>
              </w:rPr>
              <w:t>Aquatic animal</w:t>
            </w:r>
            <w:r w:rsidRPr="00685B5C">
              <w:rPr>
                <w:rFonts w:cs="Times New Roman"/>
                <w:bCs/>
                <w:strike/>
                <w:szCs w:val="20"/>
              </w:rPr>
              <w:t xml:space="preserve"> waste means the entire body or parts of </w:t>
            </w:r>
            <w:r w:rsidRPr="00685B5C">
              <w:rPr>
                <w:rFonts w:cs="Times New Roman"/>
                <w:bCs/>
                <w:i/>
                <w:iCs/>
                <w:strike/>
                <w:szCs w:val="20"/>
              </w:rPr>
              <w:t>aquatic animals</w:t>
            </w:r>
            <w:r w:rsidRPr="00685B5C">
              <w:rPr>
                <w:rFonts w:cs="Times New Roman"/>
                <w:bCs/>
                <w:strike/>
                <w:szCs w:val="20"/>
              </w:rPr>
              <w:t xml:space="preserve"> that have died or have been killed for disease control purposes as well as slaughtered </w:t>
            </w:r>
            <w:r w:rsidRPr="00685B5C">
              <w:rPr>
                <w:rFonts w:cs="Times New Roman"/>
                <w:bCs/>
                <w:i/>
                <w:iCs/>
                <w:strike/>
                <w:szCs w:val="20"/>
              </w:rPr>
              <w:t>aquatic animals</w:t>
            </w:r>
            <w:r w:rsidRPr="00685B5C">
              <w:rPr>
                <w:rFonts w:cs="Times New Roman"/>
                <w:bCs/>
                <w:strike/>
                <w:szCs w:val="20"/>
              </w:rPr>
              <w:t>, and their parts, that are not intended for human consumption.</w:t>
            </w:r>
          </w:p>
          <w:p w14:paraId="3982B874" w14:textId="5F2E39D7" w:rsidR="0094086E" w:rsidRPr="006152D5" w:rsidRDefault="0094086E" w:rsidP="00233054">
            <w:pPr>
              <w:spacing w:before="40" w:after="120"/>
              <w:ind w:left="108" w:right="119"/>
              <w:rPr>
                <w:rFonts w:cs="Times New Roman"/>
                <w:bCs/>
                <w:szCs w:val="20"/>
              </w:rPr>
            </w:pPr>
            <w:r w:rsidRPr="006152D5">
              <w:rPr>
                <w:rFonts w:cs="Times New Roman"/>
                <w:bCs/>
                <w:szCs w:val="20"/>
              </w:rPr>
              <w:t xml:space="preserve">High risk waste means </w:t>
            </w:r>
            <w:hyperlink w:anchor="_bookmark16" w:history="1">
              <w:r w:rsidRPr="006152D5">
                <w:rPr>
                  <w:rFonts w:cs="Times New Roman"/>
                  <w:bCs/>
                  <w:i/>
                  <w:iCs/>
                  <w:szCs w:val="20"/>
                </w:rPr>
                <w:t>aquatic animal</w:t>
              </w:r>
            </w:hyperlink>
            <w:r w:rsidRPr="006152D5">
              <w:rPr>
                <w:rFonts w:cs="Times New Roman"/>
                <w:bCs/>
                <w:i/>
                <w:iCs/>
                <w:szCs w:val="20"/>
              </w:rPr>
              <w:t xml:space="preserve"> </w:t>
            </w:r>
            <w:r w:rsidRPr="00685B5C">
              <w:rPr>
                <w:rFonts w:cs="Times New Roman"/>
                <w:bCs/>
                <w:strike/>
                <w:szCs w:val="20"/>
              </w:rPr>
              <w:t>waste</w:t>
            </w:r>
            <w:r w:rsidRPr="00685B5C">
              <w:rPr>
                <w:rFonts w:cs="Times New Roman"/>
                <w:bCs/>
                <w:szCs w:val="20"/>
                <w:u w:val="double"/>
              </w:rPr>
              <w:t xml:space="preserve"> </w:t>
            </w:r>
            <w:r w:rsidRPr="00685B5C">
              <w:rPr>
                <w:rFonts w:cs="Times New Roman"/>
                <w:bCs/>
                <w:i/>
                <w:iCs/>
                <w:szCs w:val="20"/>
                <w:u w:val="double"/>
              </w:rPr>
              <w:t>waste</w:t>
            </w:r>
            <w:r w:rsidRPr="006152D5">
              <w:rPr>
                <w:rFonts w:cs="Times New Roman"/>
                <w:bCs/>
                <w:szCs w:val="20"/>
              </w:rPr>
              <w:t xml:space="preserve"> that constitutes, or is suspected of constituting, a serious health </w:t>
            </w:r>
            <w:hyperlink w:anchor="_bookmark102" w:history="1">
              <w:r w:rsidRPr="006152D5">
                <w:rPr>
                  <w:rFonts w:cs="Times New Roman"/>
                  <w:bCs/>
                  <w:szCs w:val="20"/>
                </w:rPr>
                <w:t>risk</w:t>
              </w:r>
            </w:hyperlink>
            <w:r w:rsidRPr="006152D5">
              <w:rPr>
                <w:rFonts w:cs="Times New Roman"/>
                <w:bCs/>
                <w:szCs w:val="20"/>
              </w:rPr>
              <w:t xml:space="preserve"> to</w:t>
            </w:r>
            <w:r w:rsidR="006C709A" w:rsidRPr="006152D5">
              <w:rPr>
                <w:rFonts w:cs="Times New Roman"/>
                <w:bCs/>
                <w:szCs w:val="20"/>
              </w:rPr>
              <w:t xml:space="preserve"> </w:t>
            </w:r>
            <w:hyperlink w:anchor="_bookmark16" w:history="1">
              <w:r w:rsidRPr="006152D5">
                <w:rPr>
                  <w:rFonts w:cs="Times New Roman"/>
                  <w:bCs/>
                  <w:i/>
                  <w:szCs w:val="20"/>
                </w:rPr>
                <w:t>aquatic animals</w:t>
              </w:r>
              <w:r w:rsidRPr="006152D5">
                <w:rPr>
                  <w:rFonts w:cs="Times New Roman"/>
                  <w:bCs/>
                  <w:szCs w:val="20"/>
                </w:rPr>
                <w:t xml:space="preserve"> </w:t>
              </w:r>
            </w:hyperlink>
            <w:r w:rsidRPr="006152D5">
              <w:rPr>
                <w:rFonts w:cs="Times New Roman"/>
                <w:bCs/>
                <w:szCs w:val="20"/>
              </w:rPr>
              <w:t>or humans.</w:t>
            </w:r>
          </w:p>
          <w:p w14:paraId="6533614A" w14:textId="4786CB9C" w:rsidR="0094086E" w:rsidRPr="006152D5" w:rsidRDefault="0094086E" w:rsidP="00796F38">
            <w:pPr>
              <w:spacing w:before="40" w:after="40"/>
              <w:ind w:left="108" w:right="119"/>
              <w:rPr>
                <w:rFonts w:cs="Times New Roman"/>
                <w:bCs/>
                <w:szCs w:val="20"/>
              </w:rPr>
            </w:pPr>
            <w:r w:rsidRPr="006152D5">
              <w:rPr>
                <w:rFonts w:cs="Times New Roman"/>
                <w:bCs/>
                <w:szCs w:val="20"/>
              </w:rPr>
              <w:t xml:space="preserve">Low risk waste means </w:t>
            </w:r>
            <w:hyperlink w:anchor="_bookmark16" w:history="1">
              <w:r w:rsidRPr="006152D5">
                <w:rPr>
                  <w:rFonts w:cs="Times New Roman"/>
                  <w:bCs/>
                  <w:i/>
                  <w:iCs/>
                  <w:szCs w:val="20"/>
                </w:rPr>
                <w:t>aquatic animal</w:t>
              </w:r>
            </w:hyperlink>
            <w:r w:rsidRPr="00685B5C">
              <w:rPr>
                <w:rFonts w:cs="Times New Roman"/>
                <w:bCs/>
                <w:i/>
                <w:iCs/>
                <w:szCs w:val="20"/>
              </w:rPr>
              <w:t xml:space="preserve"> </w:t>
            </w:r>
            <w:r w:rsidRPr="00685B5C">
              <w:rPr>
                <w:rFonts w:cs="Times New Roman"/>
                <w:bCs/>
                <w:strike/>
                <w:szCs w:val="20"/>
              </w:rPr>
              <w:t>waste</w:t>
            </w:r>
            <w:r w:rsidRPr="00685B5C">
              <w:rPr>
                <w:rFonts w:cs="Times New Roman"/>
                <w:bCs/>
                <w:szCs w:val="20"/>
                <w:u w:val="double"/>
              </w:rPr>
              <w:t xml:space="preserve"> </w:t>
            </w:r>
            <w:r w:rsidRPr="00685B5C">
              <w:rPr>
                <w:rFonts w:cs="Times New Roman"/>
                <w:bCs/>
                <w:i/>
                <w:iCs/>
                <w:szCs w:val="20"/>
                <w:u w:val="double"/>
              </w:rPr>
              <w:t>waste</w:t>
            </w:r>
            <w:r w:rsidRPr="006152D5">
              <w:rPr>
                <w:rFonts w:cs="Times New Roman"/>
                <w:bCs/>
                <w:szCs w:val="20"/>
              </w:rPr>
              <w:t xml:space="preserve"> that is not high risk waste.</w:t>
            </w:r>
          </w:p>
        </w:tc>
      </w:tr>
      <w:tr w:rsidR="0094086E" w14:paraId="0054AE82" w14:textId="77777777" w:rsidTr="00490F00">
        <w:tc>
          <w:tcPr>
            <w:tcW w:w="2140" w:type="dxa"/>
          </w:tcPr>
          <w:p w14:paraId="48A787BE" w14:textId="77777777" w:rsidR="0094086E" w:rsidRPr="00490F00" w:rsidRDefault="0094086E" w:rsidP="00233054">
            <w:pPr>
              <w:spacing w:before="40" w:after="40"/>
              <w:rPr>
                <w:rFonts w:cs="Times New Roman"/>
                <w:bCs/>
                <w:szCs w:val="20"/>
              </w:rPr>
            </w:pPr>
            <w:r w:rsidRPr="00490F00">
              <w:rPr>
                <w:rFonts w:cs="Times New Roman"/>
                <w:bCs/>
                <w:szCs w:val="20"/>
              </w:rPr>
              <w:t>4.7.4.</w:t>
            </w:r>
          </w:p>
        </w:tc>
        <w:tc>
          <w:tcPr>
            <w:tcW w:w="736" w:type="dxa"/>
          </w:tcPr>
          <w:p w14:paraId="5E0F5F5C" w14:textId="77777777" w:rsidR="0094086E" w:rsidRPr="00490F00" w:rsidRDefault="0094086E" w:rsidP="00233054">
            <w:pPr>
              <w:spacing w:before="40" w:after="40"/>
              <w:rPr>
                <w:rFonts w:cs="Times New Roman"/>
                <w:bCs/>
                <w:szCs w:val="20"/>
              </w:rPr>
            </w:pPr>
            <w:r w:rsidRPr="00490F00">
              <w:rPr>
                <w:rFonts w:cs="Times New Roman"/>
                <w:bCs/>
                <w:szCs w:val="20"/>
              </w:rPr>
              <w:t>71</w:t>
            </w:r>
          </w:p>
        </w:tc>
        <w:tc>
          <w:tcPr>
            <w:tcW w:w="6333" w:type="dxa"/>
          </w:tcPr>
          <w:p w14:paraId="0ECA3660" w14:textId="77777777" w:rsidR="0094086E" w:rsidRPr="006152D5" w:rsidRDefault="0094086E" w:rsidP="00233054">
            <w:pPr>
              <w:pStyle w:val="Corpsdetexte"/>
              <w:spacing w:before="40" w:after="40" w:line="254" w:lineRule="auto"/>
              <w:ind w:left="107" w:right="120"/>
              <w:jc w:val="both"/>
              <w:rPr>
                <w:rFonts w:ascii="Times New Roman" w:hAnsi="Times New Roman" w:cs="Times New Roman"/>
                <w:sz w:val="20"/>
                <w:szCs w:val="20"/>
              </w:rPr>
            </w:pPr>
            <w:r w:rsidRPr="006152D5">
              <w:rPr>
                <w:rFonts w:ascii="Times New Roman" w:hAnsi="Times New Roman" w:cs="Times New Roman"/>
                <w:bCs/>
                <w:sz w:val="20"/>
                <w:szCs w:val="20"/>
              </w:rPr>
              <w:t xml:space="preserve">The </w:t>
            </w:r>
            <w:hyperlink w:anchor="_bookmark38" w:history="1">
              <w:r w:rsidRPr="006152D5">
                <w:rPr>
                  <w:rFonts w:ascii="Times New Roman" w:hAnsi="Times New Roman" w:cs="Times New Roman"/>
                  <w:bCs/>
                  <w:sz w:val="20"/>
                  <w:szCs w:val="20"/>
                </w:rPr>
                <w:t>Competent Authority</w:t>
              </w:r>
            </w:hyperlink>
            <w:r w:rsidRPr="006152D5">
              <w:rPr>
                <w:rFonts w:ascii="Times New Roman" w:hAnsi="Times New Roman" w:cs="Times New Roman"/>
                <w:bCs/>
                <w:sz w:val="20"/>
                <w:szCs w:val="20"/>
              </w:rPr>
              <w:t xml:space="preserve"> should oversee the efficient and effective disposal of </w:t>
            </w:r>
            <w:hyperlink w:anchor="_bookmark16" w:history="1">
              <w:r w:rsidRPr="006152D5">
                <w:rPr>
                  <w:rFonts w:ascii="Times New Roman" w:hAnsi="Times New Roman" w:cs="Times New Roman"/>
                  <w:bCs/>
                  <w:i/>
                  <w:iCs/>
                  <w:sz w:val="20"/>
                  <w:szCs w:val="20"/>
                </w:rPr>
                <w:t>aquatic animal</w:t>
              </w:r>
            </w:hyperlink>
            <w:r w:rsidRPr="006152D5">
              <w:rPr>
                <w:rFonts w:ascii="Times New Roman" w:hAnsi="Times New Roman" w:cs="Times New Roman"/>
                <w:bCs/>
                <w:i/>
                <w:iCs/>
                <w:sz w:val="20"/>
                <w:szCs w:val="20"/>
              </w:rPr>
              <w:t xml:space="preserve"> </w:t>
            </w:r>
            <w:r w:rsidRPr="00685B5C">
              <w:rPr>
                <w:rFonts w:ascii="Times New Roman" w:hAnsi="Times New Roman" w:cs="Times New Roman"/>
                <w:bCs/>
                <w:strike/>
                <w:sz w:val="20"/>
                <w:szCs w:val="20"/>
              </w:rPr>
              <w:t>waste</w:t>
            </w:r>
            <w:r w:rsidRPr="00685B5C">
              <w:rPr>
                <w:rFonts w:ascii="Times New Roman" w:hAnsi="Times New Roman" w:cs="Times New Roman"/>
                <w:bCs/>
                <w:sz w:val="20"/>
                <w:szCs w:val="20"/>
                <w:u w:val="double"/>
              </w:rPr>
              <w:t xml:space="preserve"> </w:t>
            </w:r>
            <w:r w:rsidRPr="00685B5C">
              <w:rPr>
                <w:rFonts w:ascii="Times New Roman" w:hAnsi="Times New Roman" w:cs="Times New Roman"/>
                <w:bCs/>
                <w:i/>
                <w:iCs/>
                <w:sz w:val="20"/>
                <w:szCs w:val="20"/>
                <w:u w:val="double"/>
              </w:rPr>
              <w:t>waste</w:t>
            </w:r>
            <w:r w:rsidRPr="006152D5">
              <w:rPr>
                <w:rFonts w:ascii="Times New Roman" w:hAnsi="Times New Roman" w:cs="Times New Roman"/>
                <w:bCs/>
                <w:sz w:val="20"/>
                <w:szCs w:val="20"/>
              </w:rPr>
              <w:t xml:space="preserve">. </w:t>
            </w:r>
            <w:r w:rsidRPr="006152D5">
              <w:rPr>
                <w:rFonts w:ascii="Times New Roman" w:hAnsi="Times New Roman" w:cs="Times New Roman"/>
                <w:sz w:val="20"/>
                <w:szCs w:val="20"/>
              </w:rPr>
              <w:t>[…]:</w:t>
            </w:r>
          </w:p>
          <w:p w14:paraId="7E94AE34" w14:textId="77777777" w:rsidR="0094086E" w:rsidRPr="006152D5" w:rsidRDefault="0094086E" w:rsidP="00233054">
            <w:pPr>
              <w:pStyle w:val="Paragraphedeliste"/>
              <w:widowControl w:val="0"/>
              <w:numPr>
                <w:ilvl w:val="0"/>
                <w:numId w:val="25"/>
              </w:numPr>
              <w:autoSpaceDE w:val="0"/>
              <w:autoSpaceDN w:val="0"/>
              <w:spacing w:before="40" w:after="40" w:line="254" w:lineRule="auto"/>
              <w:ind w:right="123" w:hanging="425"/>
              <w:contextualSpacing w:val="0"/>
              <w:rPr>
                <w:rFonts w:cs="Times New Roman"/>
                <w:szCs w:val="20"/>
              </w:rPr>
            </w:pPr>
            <w:r w:rsidRPr="006152D5">
              <w:rPr>
                <w:rFonts w:cs="Times New Roman"/>
                <w:szCs w:val="20"/>
              </w:rPr>
              <w:t xml:space="preserve">physical, logistical and data access by relevant personnel, in cooperation with stakeholders, including access of the </w:t>
            </w:r>
            <w:hyperlink w:anchor="_bookmark38" w:history="1">
              <w:r w:rsidRPr="006152D5">
                <w:rPr>
                  <w:rFonts w:cs="Times New Roman"/>
                  <w:i/>
                  <w:szCs w:val="20"/>
                </w:rPr>
                <w:t xml:space="preserve">Competent Authority </w:t>
              </w:r>
            </w:hyperlink>
            <w:r w:rsidRPr="006152D5">
              <w:rPr>
                <w:rFonts w:cs="Times New Roman"/>
                <w:szCs w:val="20"/>
              </w:rPr>
              <w:t xml:space="preserve">to the </w:t>
            </w:r>
            <w:hyperlink w:anchor="_bookmark16" w:history="1">
              <w:r w:rsidRPr="006152D5">
                <w:rPr>
                  <w:rFonts w:cs="Times New Roman"/>
                  <w:bCs/>
                  <w:i/>
                  <w:iCs/>
                  <w:szCs w:val="20"/>
                </w:rPr>
                <w:t>aquatic animal</w:t>
              </w:r>
            </w:hyperlink>
            <w:r w:rsidRPr="00685B5C">
              <w:rPr>
                <w:rFonts w:cs="Times New Roman"/>
                <w:bCs/>
                <w:i/>
                <w:iCs/>
                <w:szCs w:val="20"/>
              </w:rPr>
              <w:t xml:space="preserve"> </w:t>
            </w:r>
            <w:r w:rsidRPr="00685B5C">
              <w:rPr>
                <w:rFonts w:cs="Times New Roman"/>
                <w:bCs/>
                <w:strike/>
                <w:szCs w:val="20"/>
              </w:rPr>
              <w:t>waste</w:t>
            </w:r>
            <w:r w:rsidRPr="00685B5C">
              <w:rPr>
                <w:rFonts w:cs="Times New Roman"/>
                <w:bCs/>
                <w:i/>
                <w:iCs/>
                <w:szCs w:val="20"/>
                <w:u w:val="double"/>
              </w:rPr>
              <w:t xml:space="preserve"> waste</w:t>
            </w:r>
            <w:r w:rsidRPr="006152D5">
              <w:rPr>
                <w:rFonts w:cs="Times New Roman"/>
                <w:szCs w:val="20"/>
              </w:rPr>
              <w:t>;</w:t>
            </w:r>
          </w:p>
          <w:p w14:paraId="28EBFCF9" w14:textId="77777777" w:rsidR="0094086E" w:rsidRPr="006152D5" w:rsidRDefault="0094086E" w:rsidP="00233054">
            <w:pPr>
              <w:pStyle w:val="Paragraphedeliste"/>
              <w:widowControl w:val="0"/>
              <w:numPr>
                <w:ilvl w:val="0"/>
                <w:numId w:val="25"/>
              </w:numPr>
              <w:autoSpaceDE w:val="0"/>
              <w:autoSpaceDN w:val="0"/>
              <w:spacing w:before="40" w:after="40" w:line="254" w:lineRule="auto"/>
              <w:ind w:right="119" w:hanging="425"/>
              <w:contextualSpacing w:val="0"/>
              <w:rPr>
                <w:rFonts w:cs="Times New Roman"/>
                <w:szCs w:val="20"/>
              </w:rPr>
            </w:pPr>
            <w:r w:rsidRPr="006152D5">
              <w:rPr>
                <w:rFonts w:cs="Times New Roman"/>
                <w:szCs w:val="20"/>
              </w:rPr>
              <w:t xml:space="preserve">movement controls and the authority to make exemptions under certain </w:t>
            </w:r>
            <w:hyperlink w:anchor="_bookmark27" w:history="1">
              <w:r w:rsidRPr="006152D5">
                <w:rPr>
                  <w:rFonts w:cs="Times New Roman"/>
                  <w:i/>
                  <w:szCs w:val="20"/>
                </w:rPr>
                <w:t xml:space="preserve">biosecurity </w:t>
              </w:r>
            </w:hyperlink>
            <w:r w:rsidRPr="006152D5">
              <w:rPr>
                <w:rFonts w:cs="Times New Roman"/>
                <w:szCs w:val="20"/>
              </w:rPr>
              <w:t xml:space="preserve">conditions, for example for transport of </w:t>
            </w:r>
            <w:hyperlink w:anchor="_bookmark16" w:history="1">
              <w:r w:rsidRPr="006152D5">
                <w:rPr>
                  <w:rFonts w:cs="Times New Roman"/>
                  <w:bCs/>
                  <w:i/>
                  <w:iCs/>
                  <w:szCs w:val="20"/>
                </w:rPr>
                <w:t>aquatic animal</w:t>
              </w:r>
            </w:hyperlink>
            <w:r w:rsidRPr="00685B5C">
              <w:rPr>
                <w:rFonts w:cs="Times New Roman"/>
                <w:bCs/>
                <w:i/>
                <w:iCs/>
                <w:szCs w:val="20"/>
              </w:rPr>
              <w:t xml:space="preserve"> </w:t>
            </w:r>
            <w:r w:rsidRPr="00685B5C">
              <w:rPr>
                <w:rFonts w:cs="Times New Roman"/>
                <w:bCs/>
                <w:strike/>
                <w:szCs w:val="20"/>
              </w:rPr>
              <w:t>waste</w:t>
            </w:r>
            <w:r w:rsidRPr="00685B5C">
              <w:rPr>
                <w:rFonts w:cs="Times New Roman"/>
                <w:bCs/>
                <w:i/>
                <w:iCs/>
                <w:szCs w:val="20"/>
                <w:u w:val="double"/>
              </w:rPr>
              <w:t xml:space="preserve"> waste</w:t>
            </w:r>
            <w:r w:rsidRPr="006152D5">
              <w:rPr>
                <w:rFonts w:cs="Times New Roman"/>
                <w:szCs w:val="20"/>
              </w:rPr>
              <w:t xml:space="preserve"> to another location for</w:t>
            </w:r>
            <w:r w:rsidRPr="006152D5">
              <w:rPr>
                <w:rFonts w:cs="Times New Roman"/>
                <w:spacing w:val="-8"/>
                <w:szCs w:val="20"/>
              </w:rPr>
              <w:t xml:space="preserve"> </w:t>
            </w:r>
            <w:r w:rsidRPr="006152D5">
              <w:rPr>
                <w:rFonts w:cs="Times New Roman"/>
                <w:szCs w:val="20"/>
              </w:rPr>
              <w:t>disposal;</w:t>
            </w:r>
          </w:p>
        </w:tc>
      </w:tr>
    </w:tbl>
    <w:p w14:paraId="5C57FFD4" w14:textId="77777777" w:rsidR="00233054" w:rsidRDefault="00233054" w:rsidP="00233054">
      <w:pPr>
        <w:spacing w:after="480" w:line="240" w:lineRule="auto"/>
        <w:jc w:val="right"/>
        <w:rPr>
          <w:rFonts w:cs="Times New Roman"/>
          <w:bCs/>
          <w:iCs/>
          <w:szCs w:val="20"/>
          <w:u w:val="single"/>
        </w:rPr>
      </w:pPr>
    </w:p>
    <w:p w14:paraId="53B57A48" w14:textId="77777777" w:rsidR="00233054" w:rsidRDefault="00233054">
      <w:pPr>
        <w:rPr>
          <w:rFonts w:cs="Times New Roman"/>
          <w:bCs/>
          <w:iCs/>
          <w:szCs w:val="20"/>
          <w:u w:val="single"/>
        </w:rPr>
      </w:pPr>
      <w:r>
        <w:rPr>
          <w:rFonts w:cs="Times New Roman"/>
          <w:bCs/>
          <w:iCs/>
          <w:szCs w:val="20"/>
          <w:u w:val="single"/>
        </w:rPr>
        <w:br w:type="page"/>
      </w:r>
    </w:p>
    <w:p w14:paraId="44185772" w14:textId="15E0C30F" w:rsidR="00233054" w:rsidRPr="00886D7F" w:rsidRDefault="00233054" w:rsidP="001D5EB7">
      <w:pPr>
        <w:tabs>
          <w:tab w:val="center" w:pos="4513"/>
          <w:tab w:val="right" w:pos="9026"/>
        </w:tabs>
        <w:spacing w:after="480" w:line="240" w:lineRule="auto"/>
        <w:rPr>
          <w:rFonts w:cs="Times New Roman"/>
          <w:bCs/>
          <w:iCs/>
          <w:szCs w:val="20"/>
          <w:u w:val="single"/>
        </w:rPr>
      </w:pPr>
      <w:r w:rsidRPr="00886D7F">
        <w:rPr>
          <w:rFonts w:cs="Times New Roman"/>
          <w:bCs/>
          <w:iCs/>
          <w:szCs w:val="20"/>
          <w:u w:val="single"/>
        </w:rPr>
        <w:lastRenderedPageBreak/>
        <w:t xml:space="preserve">Annex </w:t>
      </w:r>
      <w:r w:rsidR="00FC6CE0">
        <w:rPr>
          <w:rFonts w:cs="Times New Roman"/>
          <w:bCs/>
          <w:iCs/>
          <w:szCs w:val="20"/>
          <w:u w:val="single"/>
        </w:rPr>
        <w:t>8</w:t>
      </w:r>
      <w:r w:rsidR="00FC6CE0" w:rsidRPr="00233054">
        <w:rPr>
          <w:rFonts w:cs="Times New Roman"/>
          <w:bCs/>
          <w:iCs/>
          <w:szCs w:val="20"/>
        </w:rPr>
        <w:t xml:space="preserve"> </w:t>
      </w:r>
      <w:r w:rsidRPr="00233054">
        <w:rPr>
          <w:rFonts w:cs="Times New Roman"/>
          <w:bCs/>
          <w:iCs/>
          <w:szCs w:val="20"/>
        </w:rPr>
        <w:t>(contd)</w:t>
      </w:r>
    </w:p>
    <w:tbl>
      <w:tblPr>
        <w:tblStyle w:val="Grilledutableau"/>
        <w:tblW w:w="9209" w:type="dxa"/>
        <w:tblLook w:val="04A0" w:firstRow="1" w:lastRow="0" w:firstColumn="1" w:lastColumn="0" w:noHBand="0" w:noVBand="1"/>
      </w:tblPr>
      <w:tblGrid>
        <w:gridCol w:w="2140"/>
        <w:gridCol w:w="736"/>
        <w:gridCol w:w="6333"/>
      </w:tblGrid>
      <w:tr w:rsidR="0094086E" w14:paraId="20D7FF84" w14:textId="77777777" w:rsidTr="00490F00">
        <w:tc>
          <w:tcPr>
            <w:tcW w:w="2140" w:type="dxa"/>
          </w:tcPr>
          <w:p w14:paraId="4BB760BB" w14:textId="26678FF8" w:rsidR="0094086E" w:rsidRPr="00490F00" w:rsidRDefault="0094086E" w:rsidP="00233054">
            <w:pPr>
              <w:spacing w:before="40" w:after="40"/>
              <w:rPr>
                <w:rFonts w:cs="Times New Roman"/>
                <w:bCs/>
                <w:szCs w:val="20"/>
              </w:rPr>
            </w:pPr>
            <w:r w:rsidRPr="00490F00">
              <w:rPr>
                <w:rFonts w:cs="Times New Roman"/>
                <w:bCs/>
                <w:szCs w:val="20"/>
              </w:rPr>
              <w:t>4.7.5.</w:t>
            </w:r>
          </w:p>
        </w:tc>
        <w:tc>
          <w:tcPr>
            <w:tcW w:w="736" w:type="dxa"/>
          </w:tcPr>
          <w:p w14:paraId="5506C5EB" w14:textId="77777777" w:rsidR="0094086E" w:rsidRPr="00490F00" w:rsidRDefault="0094086E" w:rsidP="00233054">
            <w:pPr>
              <w:spacing w:before="40" w:after="40"/>
              <w:rPr>
                <w:rFonts w:cs="Times New Roman"/>
                <w:bCs/>
                <w:szCs w:val="20"/>
              </w:rPr>
            </w:pPr>
            <w:r w:rsidRPr="00490F00">
              <w:rPr>
                <w:rFonts w:cs="Times New Roman"/>
                <w:bCs/>
                <w:szCs w:val="20"/>
              </w:rPr>
              <w:t>72</w:t>
            </w:r>
          </w:p>
        </w:tc>
        <w:tc>
          <w:tcPr>
            <w:tcW w:w="6333" w:type="dxa"/>
          </w:tcPr>
          <w:p w14:paraId="7FE3A461" w14:textId="77777777" w:rsidR="0094086E" w:rsidRPr="006152D5" w:rsidRDefault="0094086E" w:rsidP="00233054">
            <w:pPr>
              <w:pStyle w:val="Corpsdetexte"/>
              <w:spacing w:before="40" w:after="120"/>
              <w:ind w:left="108" w:right="119"/>
              <w:jc w:val="both"/>
              <w:rPr>
                <w:rFonts w:ascii="Times New Roman" w:hAnsi="Times New Roman" w:cs="Times New Roman"/>
                <w:sz w:val="20"/>
                <w:szCs w:val="20"/>
              </w:rPr>
            </w:pPr>
            <w:r w:rsidRPr="001D5EB7">
              <w:rPr>
                <w:rFonts w:ascii="Times New Roman" w:hAnsi="Times New Roman" w:cs="Times New Roman"/>
                <w:sz w:val="20"/>
                <w:szCs w:val="20"/>
              </w:rPr>
              <w:t xml:space="preserve">Following collection, </w:t>
            </w:r>
            <w:hyperlink w:anchor="_bookmark16" w:history="1">
              <w:r w:rsidRPr="001D5EB7">
                <w:rPr>
                  <w:rFonts w:ascii="Times New Roman" w:hAnsi="Times New Roman" w:cs="Times New Roman"/>
                  <w:i/>
                  <w:sz w:val="20"/>
                  <w:szCs w:val="20"/>
                </w:rPr>
                <w:t xml:space="preserve">aquatic animal </w:t>
              </w:r>
            </w:hyperlink>
            <w:r w:rsidRPr="001D5EB7">
              <w:rPr>
                <w:rFonts w:ascii="Times New Roman" w:hAnsi="Times New Roman" w:cs="Times New Roman"/>
                <w:bCs/>
                <w:strike/>
                <w:sz w:val="20"/>
                <w:szCs w:val="20"/>
                <w:highlight w:val="yellow"/>
              </w:rPr>
              <w:t xml:space="preserve"> </w:t>
            </w:r>
            <w:r w:rsidRPr="00685B5C">
              <w:rPr>
                <w:rFonts w:ascii="Times New Roman" w:hAnsi="Times New Roman" w:cs="Times New Roman"/>
                <w:bCs/>
                <w:strike/>
                <w:sz w:val="20"/>
                <w:szCs w:val="20"/>
              </w:rPr>
              <w:t>waste</w:t>
            </w:r>
            <w:r w:rsidRPr="00685B5C">
              <w:rPr>
                <w:rFonts w:ascii="Times New Roman" w:hAnsi="Times New Roman" w:cs="Times New Roman"/>
                <w:bCs/>
                <w:i/>
                <w:iCs/>
                <w:sz w:val="20"/>
                <w:szCs w:val="20"/>
                <w:u w:val="double"/>
              </w:rPr>
              <w:t xml:space="preserve"> waste</w:t>
            </w:r>
            <w:r w:rsidRPr="006152D5">
              <w:rPr>
                <w:rFonts w:ascii="Times New Roman" w:hAnsi="Times New Roman" w:cs="Times New Roman"/>
                <w:sz w:val="20"/>
                <w:szCs w:val="20"/>
              </w:rPr>
              <w:t xml:space="preserve"> should be stored for the minimum time practical; however, where storage is necessary</w:t>
            </w:r>
            <w:r w:rsidRPr="006152D5">
              <w:rPr>
                <w:rFonts w:ascii="Times New Roman" w:hAnsi="Times New Roman" w:cs="Times New Roman"/>
                <w:spacing w:val="-15"/>
                <w:sz w:val="20"/>
                <w:szCs w:val="20"/>
              </w:rPr>
              <w:t xml:space="preserve"> </w:t>
            </w:r>
            <w:r w:rsidRPr="006152D5">
              <w:rPr>
                <w:rFonts w:ascii="Times New Roman" w:hAnsi="Times New Roman" w:cs="Times New Roman"/>
                <w:sz w:val="20"/>
                <w:szCs w:val="20"/>
              </w:rPr>
              <w:t>there</w:t>
            </w:r>
            <w:r w:rsidRPr="006152D5">
              <w:rPr>
                <w:rFonts w:ascii="Times New Roman" w:hAnsi="Times New Roman" w:cs="Times New Roman"/>
                <w:spacing w:val="-15"/>
                <w:sz w:val="20"/>
                <w:szCs w:val="20"/>
              </w:rPr>
              <w:t xml:space="preserve"> </w:t>
            </w:r>
            <w:r w:rsidRPr="006152D5">
              <w:rPr>
                <w:rFonts w:ascii="Times New Roman" w:hAnsi="Times New Roman" w:cs="Times New Roman"/>
                <w:sz w:val="20"/>
                <w:szCs w:val="20"/>
              </w:rPr>
              <w:t>should</w:t>
            </w:r>
            <w:r w:rsidRPr="006152D5">
              <w:rPr>
                <w:rFonts w:ascii="Times New Roman" w:hAnsi="Times New Roman" w:cs="Times New Roman"/>
                <w:spacing w:val="-15"/>
                <w:sz w:val="20"/>
                <w:szCs w:val="20"/>
              </w:rPr>
              <w:t xml:space="preserve"> </w:t>
            </w:r>
            <w:r w:rsidRPr="006152D5">
              <w:rPr>
                <w:rFonts w:ascii="Times New Roman" w:hAnsi="Times New Roman" w:cs="Times New Roman"/>
                <w:sz w:val="20"/>
                <w:szCs w:val="20"/>
              </w:rPr>
              <w:t>be</w:t>
            </w:r>
            <w:r w:rsidRPr="006152D5">
              <w:rPr>
                <w:rFonts w:ascii="Times New Roman" w:hAnsi="Times New Roman" w:cs="Times New Roman"/>
                <w:spacing w:val="-15"/>
                <w:sz w:val="20"/>
                <w:szCs w:val="20"/>
              </w:rPr>
              <w:t xml:space="preserve"> </w:t>
            </w:r>
            <w:r w:rsidRPr="006152D5">
              <w:rPr>
                <w:rFonts w:ascii="Times New Roman" w:hAnsi="Times New Roman" w:cs="Times New Roman"/>
                <w:sz w:val="20"/>
                <w:szCs w:val="20"/>
              </w:rPr>
              <w:t>sufficient</w:t>
            </w:r>
            <w:r w:rsidRPr="006152D5">
              <w:rPr>
                <w:rFonts w:ascii="Times New Roman" w:hAnsi="Times New Roman" w:cs="Times New Roman"/>
                <w:spacing w:val="-15"/>
                <w:sz w:val="20"/>
                <w:szCs w:val="20"/>
              </w:rPr>
              <w:t xml:space="preserve"> </w:t>
            </w:r>
            <w:r w:rsidRPr="006152D5">
              <w:rPr>
                <w:rFonts w:ascii="Times New Roman" w:hAnsi="Times New Roman" w:cs="Times New Roman"/>
                <w:sz w:val="20"/>
                <w:szCs w:val="20"/>
              </w:rPr>
              <w:t>capacity</w:t>
            </w:r>
            <w:r w:rsidRPr="006152D5">
              <w:rPr>
                <w:rFonts w:ascii="Times New Roman" w:hAnsi="Times New Roman" w:cs="Times New Roman"/>
                <w:spacing w:val="-15"/>
                <w:sz w:val="20"/>
                <w:szCs w:val="20"/>
              </w:rPr>
              <w:t xml:space="preserve"> </w:t>
            </w:r>
            <w:r w:rsidRPr="006152D5">
              <w:rPr>
                <w:rFonts w:ascii="Times New Roman" w:hAnsi="Times New Roman" w:cs="Times New Roman"/>
                <w:sz w:val="20"/>
                <w:szCs w:val="20"/>
              </w:rPr>
              <w:t>for</w:t>
            </w:r>
            <w:r w:rsidRPr="006152D5">
              <w:rPr>
                <w:rFonts w:ascii="Times New Roman" w:hAnsi="Times New Roman" w:cs="Times New Roman"/>
                <w:spacing w:val="-14"/>
                <w:sz w:val="20"/>
                <w:szCs w:val="20"/>
              </w:rPr>
              <w:t xml:space="preserve"> </w:t>
            </w:r>
            <w:r w:rsidRPr="006152D5">
              <w:rPr>
                <w:rFonts w:ascii="Times New Roman" w:hAnsi="Times New Roman" w:cs="Times New Roman"/>
                <w:sz w:val="20"/>
                <w:szCs w:val="20"/>
              </w:rPr>
              <w:t>the</w:t>
            </w:r>
            <w:r w:rsidRPr="006152D5">
              <w:rPr>
                <w:rFonts w:ascii="Times New Roman" w:hAnsi="Times New Roman" w:cs="Times New Roman"/>
                <w:spacing w:val="-15"/>
                <w:sz w:val="20"/>
                <w:szCs w:val="20"/>
              </w:rPr>
              <w:t xml:space="preserve"> </w:t>
            </w:r>
            <w:r w:rsidRPr="006152D5">
              <w:rPr>
                <w:rFonts w:ascii="Times New Roman" w:hAnsi="Times New Roman" w:cs="Times New Roman"/>
                <w:sz w:val="20"/>
                <w:szCs w:val="20"/>
              </w:rPr>
              <w:t>expected</w:t>
            </w:r>
            <w:r w:rsidRPr="006152D5">
              <w:rPr>
                <w:rFonts w:ascii="Times New Roman" w:hAnsi="Times New Roman" w:cs="Times New Roman"/>
                <w:spacing w:val="-15"/>
                <w:sz w:val="20"/>
                <w:szCs w:val="20"/>
              </w:rPr>
              <w:t xml:space="preserve"> </w:t>
            </w:r>
            <w:r w:rsidRPr="00685B5C">
              <w:rPr>
                <w:rFonts w:ascii="Times New Roman" w:hAnsi="Times New Roman" w:cs="Times New Roman"/>
                <w:bCs/>
                <w:strike/>
                <w:sz w:val="20"/>
                <w:szCs w:val="20"/>
              </w:rPr>
              <w:t>waste</w:t>
            </w:r>
            <w:r w:rsidRPr="00685B5C">
              <w:rPr>
                <w:rFonts w:ascii="Times New Roman" w:hAnsi="Times New Roman" w:cs="Times New Roman"/>
                <w:bCs/>
                <w:strike/>
                <w:sz w:val="20"/>
                <w:szCs w:val="20"/>
                <w:u w:val="double"/>
              </w:rPr>
              <w:t xml:space="preserve"> </w:t>
            </w:r>
            <w:r w:rsidRPr="00685B5C">
              <w:rPr>
                <w:rFonts w:ascii="Times New Roman" w:hAnsi="Times New Roman" w:cs="Times New Roman"/>
                <w:bCs/>
                <w:i/>
                <w:iCs/>
                <w:sz w:val="20"/>
                <w:szCs w:val="20"/>
                <w:u w:val="double"/>
              </w:rPr>
              <w:t>aquatic animal waste</w:t>
            </w:r>
            <w:r w:rsidRPr="006152D5">
              <w:rPr>
                <w:rFonts w:ascii="Times New Roman" w:hAnsi="Times New Roman" w:cs="Times New Roman"/>
                <w:sz w:val="20"/>
                <w:szCs w:val="20"/>
              </w:rPr>
              <w:t xml:space="preserve"> and</w:t>
            </w:r>
            <w:r w:rsidRPr="006152D5">
              <w:rPr>
                <w:rFonts w:ascii="Times New Roman" w:hAnsi="Times New Roman" w:cs="Times New Roman"/>
                <w:spacing w:val="-15"/>
                <w:sz w:val="20"/>
                <w:szCs w:val="20"/>
              </w:rPr>
              <w:t xml:space="preserve"> </w:t>
            </w:r>
            <w:r w:rsidRPr="006E6B08">
              <w:rPr>
                <w:rFonts w:ascii="Times New Roman" w:hAnsi="Times New Roman" w:cs="Times New Roman"/>
                <w:sz w:val="20"/>
                <w:szCs w:val="20"/>
              </w:rPr>
              <w:t>the</w:t>
            </w:r>
            <w:r w:rsidRPr="006152D5">
              <w:rPr>
                <w:rFonts w:ascii="Times New Roman" w:hAnsi="Times New Roman" w:cs="Times New Roman"/>
                <w:spacing w:val="-14"/>
                <w:sz w:val="20"/>
                <w:szCs w:val="20"/>
              </w:rPr>
              <w:t xml:space="preserve"> </w:t>
            </w:r>
            <w:hyperlink w:anchor="_bookmark38" w:history="1">
              <w:r w:rsidRPr="006152D5">
                <w:rPr>
                  <w:rFonts w:ascii="Times New Roman" w:hAnsi="Times New Roman" w:cs="Times New Roman"/>
                  <w:i/>
                  <w:sz w:val="20"/>
                  <w:szCs w:val="20"/>
                </w:rPr>
                <w:t>Competent</w:t>
              </w:r>
              <w:r w:rsidRPr="006152D5">
                <w:rPr>
                  <w:rFonts w:ascii="Times New Roman" w:hAnsi="Times New Roman" w:cs="Times New Roman"/>
                  <w:i/>
                  <w:spacing w:val="-15"/>
                  <w:sz w:val="20"/>
                  <w:szCs w:val="20"/>
                </w:rPr>
                <w:t xml:space="preserve"> </w:t>
              </w:r>
              <w:r w:rsidRPr="006E6B08">
                <w:rPr>
                  <w:rFonts w:ascii="Times New Roman" w:hAnsi="Times New Roman" w:cs="Times New Roman"/>
                  <w:i/>
                  <w:sz w:val="20"/>
                  <w:szCs w:val="20"/>
                </w:rPr>
                <w:t>Authority</w:t>
              </w:r>
              <w:r w:rsidRPr="006152D5">
                <w:rPr>
                  <w:rFonts w:ascii="Times New Roman" w:hAnsi="Times New Roman" w:cs="Times New Roman"/>
                  <w:i/>
                  <w:spacing w:val="-15"/>
                  <w:sz w:val="20"/>
                  <w:szCs w:val="20"/>
                </w:rPr>
                <w:t xml:space="preserve"> </w:t>
              </w:r>
            </w:hyperlink>
            <w:r w:rsidRPr="006152D5">
              <w:rPr>
                <w:rFonts w:ascii="Times New Roman" w:hAnsi="Times New Roman" w:cs="Times New Roman"/>
                <w:sz w:val="20"/>
                <w:szCs w:val="20"/>
              </w:rPr>
              <w:t>may</w:t>
            </w:r>
            <w:r w:rsidRPr="006152D5">
              <w:rPr>
                <w:rFonts w:ascii="Times New Roman" w:hAnsi="Times New Roman" w:cs="Times New Roman"/>
                <w:spacing w:val="-14"/>
                <w:sz w:val="20"/>
                <w:szCs w:val="20"/>
              </w:rPr>
              <w:t xml:space="preserve"> </w:t>
            </w:r>
            <w:r w:rsidRPr="006152D5">
              <w:rPr>
                <w:rFonts w:ascii="Times New Roman" w:hAnsi="Times New Roman" w:cs="Times New Roman"/>
                <w:sz w:val="20"/>
                <w:szCs w:val="20"/>
              </w:rPr>
              <w:t>require</w:t>
            </w:r>
            <w:r w:rsidRPr="006E6B08">
              <w:rPr>
                <w:rFonts w:ascii="Times New Roman" w:hAnsi="Times New Roman" w:cs="Times New Roman"/>
                <w:spacing w:val="-15"/>
                <w:sz w:val="20"/>
                <w:szCs w:val="20"/>
              </w:rPr>
              <w:t xml:space="preserve"> </w:t>
            </w:r>
            <w:r w:rsidRPr="006152D5">
              <w:rPr>
                <w:rFonts w:ascii="Times New Roman" w:hAnsi="Times New Roman" w:cs="Times New Roman"/>
                <w:sz w:val="20"/>
                <w:szCs w:val="20"/>
              </w:rPr>
              <w:t xml:space="preserve">additional measures. </w:t>
            </w:r>
          </w:p>
          <w:p w14:paraId="5B261F8A" w14:textId="77777777" w:rsidR="0094086E" w:rsidRPr="006152D5" w:rsidRDefault="0094086E" w:rsidP="00233054">
            <w:pPr>
              <w:pStyle w:val="Corpsdetexte"/>
              <w:spacing w:before="40" w:after="120"/>
              <w:ind w:left="108" w:right="119"/>
              <w:jc w:val="both"/>
              <w:rPr>
                <w:rFonts w:ascii="Times New Roman" w:hAnsi="Times New Roman" w:cs="Times New Roman"/>
                <w:sz w:val="20"/>
                <w:szCs w:val="20"/>
              </w:rPr>
            </w:pPr>
            <w:r w:rsidRPr="006152D5">
              <w:rPr>
                <w:rFonts w:ascii="Times New Roman" w:hAnsi="Times New Roman" w:cs="Times New Roman"/>
                <w:sz w:val="20"/>
                <w:szCs w:val="20"/>
              </w:rPr>
              <w:t>[…]</w:t>
            </w:r>
          </w:p>
          <w:p w14:paraId="6094C62D" w14:textId="77777777" w:rsidR="0094086E" w:rsidRPr="006152D5" w:rsidRDefault="0094086E" w:rsidP="00233054">
            <w:pPr>
              <w:spacing w:before="40" w:after="120"/>
              <w:ind w:left="108" w:right="119"/>
              <w:jc w:val="both"/>
              <w:rPr>
                <w:rFonts w:cs="Times New Roman"/>
                <w:szCs w:val="20"/>
              </w:rPr>
            </w:pPr>
            <w:r w:rsidRPr="006152D5">
              <w:rPr>
                <w:rFonts w:cs="Times New Roman"/>
                <w:szCs w:val="20"/>
              </w:rPr>
              <w:t>The</w:t>
            </w:r>
            <w:r w:rsidRPr="006152D5">
              <w:rPr>
                <w:rFonts w:cs="Times New Roman"/>
                <w:spacing w:val="-4"/>
                <w:szCs w:val="20"/>
              </w:rPr>
              <w:t xml:space="preserve"> </w:t>
            </w:r>
            <w:r w:rsidRPr="006152D5">
              <w:rPr>
                <w:rFonts w:cs="Times New Roman"/>
                <w:szCs w:val="20"/>
              </w:rPr>
              <w:t>containers</w:t>
            </w:r>
            <w:r w:rsidRPr="006152D5">
              <w:rPr>
                <w:rFonts w:cs="Times New Roman"/>
                <w:spacing w:val="-4"/>
                <w:szCs w:val="20"/>
              </w:rPr>
              <w:t xml:space="preserve"> </w:t>
            </w:r>
            <w:r w:rsidRPr="006152D5">
              <w:rPr>
                <w:rFonts w:cs="Times New Roman"/>
                <w:szCs w:val="20"/>
              </w:rPr>
              <w:t>of</w:t>
            </w:r>
            <w:r w:rsidRPr="006152D5">
              <w:rPr>
                <w:rFonts w:cs="Times New Roman"/>
                <w:spacing w:val="-5"/>
                <w:szCs w:val="20"/>
              </w:rPr>
              <w:t xml:space="preserve"> </w:t>
            </w:r>
            <w:r w:rsidRPr="006152D5">
              <w:rPr>
                <w:rFonts w:cs="Times New Roman"/>
                <w:szCs w:val="20"/>
              </w:rPr>
              <w:t>stored</w:t>
            </w:r>
            <w:r w:rsidRPr="006152D5">
              <w:rPr>
                <w:rFonts w:cs="Times New Roman"/>
                <w:spacing w:val="-4"/>
                <w:szCs w:val="20"/>
              </w:rPr>
              <w:t xml:space="preserve"> </w:t>
            </w:r>
            <w:hyperlink w:anchor="_bookmark16" w:history="1">
              <w:r w:rsidRPr="006152D5">
                <w:rPr>
                  <w:rFonts w:cs="Times New Roman"/>
                  <w:i/>
                  <w:szCs w:val="20"/>
                </w:rPr>
                <w:t>aquatic</w:t>
              </w:r>
              <w:r w:rsidRPr="006152D5">
                <w:rPr>
                  <w:rFonts w:cs="Times New Roman"/>
                  <w:i/>
                  <w:spacing w:val="-4"/>
                  <w:szCs w:val="20"/>
                </w:rPr>
                <w:t xml:space="preserve"> </w:t>
              </w:r>
              <w:r w:rsidRPr="006E6B08">
                <w:rPr>
                  <w:rFonts w:cs="Times New Roman"/>
                  <w:i/>
                  <w:szCs w:val="20"/>
                </w:rPr>
                <w:t>animal</w:t>
              </w:r>
              <w:r w:rsidRPr="006152D5">
                <w:rPr>
                  <w:rFonts w:cs="Times New Roman"/>
                  <w:i/>
                  <w:spacing w:val="-5"/>
                  <w:szCs w:val="20"/>
                </w:rPr>
                <w:t xml:space="preserve"> </w:t>
              </w:r>
            </w:hyperlink>
            <w:r w:rsidRPr="00685B5C">
              <w:rPr>
                <w:rFonts w:cs="Times New Roman"/>
                <w:bCs/>
                <w:strike/>
                <w:szCs w:val="20"/>
              </w:rPr>
              <w:t>waste</w:t>
            </w:r>
            <w:r w:rsidRPr="00685B5C">
              <w:rPr>
                <w:rFonts w:cs="Times New Roman"/>
                <w:bCs/>
                <w:i/>
                <w:iCs/>
                <w:szCs w:val="20"/>
                <w:u w:val="double"/>
              </w:rPr>
              <w:t xml:space="preserve"> waste</w:t>
            </w:r>
            <w:r w:rsidRPr="006152D5">
              <w:rPr>
                <w:rFonts w:cs="Times New Roman"/>
                <w:szCs w:val="20"/>
              </w:rPr>
              <w:t xml:space="preserve"> should</w:t>
            </w:r>
            <w:r w:rsidRPr="006152D5">
              <w:rPr>
                <w:rFonts w:cs="Times New Roman"/>
                <w:spacing w:val="-5"/>
                <w:szCs w:val="20"/>
              </w:rPr>
              <w:t xml:space="preserve"> </w:t>
            </w:r>
            <w:r w:rsidRPr="006152D5">
              <w:rPr>
                <w:rFonts w:cs="Times New Roman"/>
                <w:szCs w:val="20"/>
              </w:rPr>
              <w:t>be</w:t>
            </w:r>
            <w:r w:rsidRPr="006E6B08">
              <w:rPr>
                <w:rFonts w:cs="Times New Roman"/>
                <w:spacing w:val="-4"/>
                <w:szCs w:val="20"/>
              </w:rPr>
              <w:t xml:space="preserve"> </w:t>
            </w:r>
            <w:r w:rsidRPr="006152D5">
              <w:rPr>
                <w:rFonts w:cs="Times New Roman"/>
                <w:szCs w:val="20"/>
              </w:rPr>
              <w:t>leak-proof</w:t>
            </w:r>
            <w:r w:rsidRPr="006152D5">
              <w:rPr>
                <w:rFonts w:cs="Times New Roman"/>
                <w:spacing w:val="-4"/>
                <w:szCs w:val="20"/>
              </w:rPr>
              <w:t xml:space="preserve"> </w:t>
            </w:r>
            <w:r w:rsidRPr="006152D5">
              <w:rPr>
                <w:rFonts w:cs="Times New Roman"/>
                <w:szCs w:val="20"/>
              </w:rPr>
              <w:t>and</w:t>
            </w:r>
            <w:r w:rsidRPr="006152D5">
              <w:rPr>
                <w:rFonts w:cs="Times New Roman"/>
                <w:spacing w:val="-5"/>
                <w:szCs w:val="20"/>
              </w:rPr>
              <w:t xml:space="preserve"> </w:t>
            </w:r>
            <w:r w:rsidRPr="006152D5">
              <w:rPr>
                <w:rFonts w:cs="Times New Roman"/>
                <w:szCs w:val="20"/>
              </w:rPr>
              <w:t>secured</w:t>
            </w:r>
            <w:r w:rsidRPr="006152D5">
              <w:rPr>
                <w:rFonts w:cs="Times New Roman"/>
                <w:spacing w:val="-4"/>
                <w:szCs w:val="20"/>
              </w:rPr>
              <w:t xml:space="preserve"> </w:t>
            </w:r>
            <w:r w:rsidRPr="006152D5">
              <w:rPr>
                <w:rFonts w:cs="Times New Roman"/>
                <w:szCs w:val="20"/>
              </w:rPr>
              <w:t>to</w:t>
            </w:r>
            <w:r w:rsidRPr="006152D5">
              <w:rPr>
                <w:rFonts w:cs="Times New Roman"/>
                <w:spacing w:val="-5"/>
                <w:szCs w:val="20"/>
              </w:rPr>
              <w:t xml:space="preserve"> </w:t>
            </w:r>
            <w:r w:rsidRPr="006152D5">
              <w:rPr>
                <w:rFonts w:cs="Times New Roman"/>
                <w:szCs w:val="20"/>
              </w:rPr>
              <w:t>prevent</w:t>
            </w:r>
            <w:r w:rsidRPr="006152D5">
              <w:rPr>
                <w:rFonts w:cs="Times New Roman"/>
                <w:spacing w:val="-4"/>
                <w:szCs w:val="20"/>
              </w:rPr>
              <w:t xml:space="preserve"> </w:t>
            </w:r>
            <w:r w:rsidRPr="006152D5">
              <w:rPr>
                <w:rFonts w:cs="Times New Roman"/>
                <w:szCs w:val="20"/>
              </w:rPr>
              <w:t xml:space="preserve">contact with </w:t>
            </w:r>
            <w:hyperlink w:anchor="_bookmark16" w:history="1">
              <w:r w:rsidRPr="006152D5">
                <w:rPr>
                  <w:rFonts w:cs="Times New Roman"/>
                  <w:i/>
                  <w:szCs w:val="20"/>
                </w:rPr>
                <w:t>aquatic animals</w:t>
              </w:r>
            </w:hyperlink>
            <w:r w:rsidRPr="006152D5">
              <w:rPr>
                <w:rFonts w:cs="Times New Roman"/>
                <w:szCs w:val="20"/>
              </w:rPr>
              <w:t>, other animals or birds and unauthorised</w:t>
            </w:r>
            <w:r w:rsidRPr="006152D5">
              <w:rPr>
                <w:rFonts w:cs="Times New Roman"/>
                <w:spacing w:val="-11"/>
                <w:szCs w:val="20"/>
              </w:rPr>
              <w:t xml:space="preserve"> </w:t>
            </w:r>
            <w:r w:rsidRPr="006152D5">
              <w:rPr>
                <w:rFonts w:cs="Times New Roman"/>
                <w:szCs w:val="20"/>
              </w:rPr>
              <w:t>personnel.</w:t>
            </w:r>
          </w:p>
          <w:p w14:paraId="3FAE4660" w14:textId="77777777" w:rsidR="0094086E" w:rsidRPr="006152D5" w:rsidRDefault="00831075" w:rsidP="00233054">
            <w:pPr>
              <w:spacing w:before="40" w:after="120"/>
              <w:ind w:left="108" w:right="119"/>
              <w:jc w:val="both"/>
              <w:rPr>
                <w:rFonts w:cs="Times New Roman"/>
                <w:szCs w:val="20"/>
              </w:rPr>
            </w:pPr>
            <w:hyperlink w:anchor="_bookmark16" w:history="1">
              <w:r w:rsidR="0094086E" w:rsidRPr="006152D5">
                <w:rPr>
                  <w:rFonts w:cs="Times New Roman"/>
                  <w:i/>
                  <w:szCs w:val="20"/>
                </w:rPr>
                <w:t>Aquatic</w:t>
              </w:r>
              <w:r w:rsidR="0094086E" w:rsidRPr="006152D5">
                <w:rPr>
                  <w:rFonts w:cs="Times New Roman"/>
                  <w:i/>
                  <w:spacing w:val="-4"/>
                  <w:szCs w:val="20"/>
                </w:rPr>
                <w:t xml:space="preserve"> </w:t>
              </w:r>
              <w:r w:rsidR="0094086E" w:rsidRPr="006E6B08">
                <w:rPr>
                  <w:rFonts w:cs="Times New Roman"/>
                  <w:i/>
                  <w:szCs w:val="20"/>
                </w:rPr>
                <w:t>animal</w:t>
              </w:r>
              <w:r w:rsidR="0094086E" w:rsidRPr="006152D5">
                <w:rPr>
                  <w:rFonts w:cs="Times New Roman"/>
                  <w:i/>
                  <w:spacing w:val="-3"/>
                  <w:szCs w:val="20"/>
                </w:rPr>
                <w:t xml:space="preserve"> </w:t>
              </w:r>
            </w:hyperlink>
            <w:r w:rsidR="0094086E" w:rsidRPr="00685B5C">
              <w:rPr>
                <w:rFonts w:cs="Times New Roman"/>
                <w:bCs/>
                <w:strike/>
                <w:szCs w:val="20"/>
              </w:rPr>
              <w:t xml:space="preserve"> waste</w:t>
            </w:r>
            <w:r w:rsidR="0094086E" w:rsidRPr="00685B5C">
              <w:rPr>
                <w:rFonts w:cs="Times New Roman"/>
                <w:bCs/>
                <w:i/>
                <w:iCs/>
                <w:szCs w:val="20"/>
                <w:u w:val="double"/>
              </w:rPr>
              <w:t xml:space="preserve"> waste</w:t>
            </w:r>
            <w:r w:rsidR="0094086E" w:rsidRPr="006152D5">
              <w:rPr>
                <w:rFonts w:cs="Times New Roman"/>
                <w:szCs w:val="20"/>
              </w:rPr>
              <w:t xml:space="preserve"> infected</w:t>
            </w:r>
            <w:r w:rsidR="0094086E" w:rsidRPr="006152D5">
              <w:rPr>
                <w:rFonts w:cs="Times New Roman"/>
                <w:spacing w:val="-4"/>
                <w:szCs w:val="20"/>
              </w:rPr>
              <w:t xml:space="preserve"> </w:t>
            </w:r>
            <w:r w:rsidR="0094086E" w:rsidRPr="006152D5">
              <w:rPr>
                <w:rFonts w:cs="Times New Roman"/>
                <w:szCs w:val="20"/>
              </w:rPr>
              <w:t>by</w:t>
            </w:r>
            <w:r w:rsidR="0094086E" w:rsidRPr="006E6B08">
              <w:rPr>
                <w:rFonts w:cs="Times New Roman"/>
                <w:spacing w:val="-3"/>
                <w:szCs w:val="20"/>
              </w:rPr>
              <w:t xml:space="preserve"> </w:t>
            </w:r>
            <w:r w:rsidR="0094086E" w:rsidRPr="006152D5">
              <w:rPr>
                <w:rFonts w:cs="Times New Roman"/>
                <w:szCs w:val="20"/>
              </w:rPr>
              <w:t>an</w:t>
            </w:r>
            <w:r w:rsidR="0094086E" w:rsidRPr="006152D5">
              <w:rPr>
                <w:rFonts w:cs="Times New Roman"/>
                <w:spacing w:val="-3"/>
                <w:szCs w:val="20"/>
              </w:rPr>
              <w:t xml:space="preserve"> </w:t>
            </w:r>
            <w:r w:rsidR="0094086E" w:rsidRPr="006152D5">
              <w:rPr>
                <w:rFonts w:cs="Times New Roman"/>
                <w:szCs w:val="20"/>
              </w:rPr>
              <w:t>agent</w:t>
            </w:r>
            <w:r w:rsidR="0094086E" w:rsidRPr="006152D5">
              <w:rPr>
                <w:rFonts w:cs="Times New Roman"/>
                <w:spacing w:val="-4"/>
                <w:szCs w:val="20"/>
              </w:rPr>
              <w:t xml:space="preserve"> </w:t>
            </w:r>
            <w:r w:rsidR="0094086E" w:rsidRPr="006152D5">
              <w:rPr>
                <w:rFonts w:cs="Times New Roman"/>
                <w:szCs w:val="20"/>
              </w:rPr>
              <w:t>causing</w:t>
            </w:r>
            <w:r w:rsidR="0094086E" w:rsidRPr="006152D5">
              <w:rPr>
                <w:rFonts w:cs="Times New Roman"/>
                <w:spacing w:val="-3"/>
                <w:szCs w:val="20"/>
              </w:rPr>
              <w:t xml:space="preserve"> </w:t>
            </w:r>
            <w:r w:rsidR="0094086E" w:rsidRPr="006152D5">
              <w:rPr>
                <w:rFonts w:cs="Times New Roman"/>
                <w:szCs w:val="20"/>
              </w:rPr>
              <w:t>a</w:t>
            </w:r>
            <w:r w:rsidR="0094086E" w:rsidRPr="006152D5">
              <w:rPr>
                <w:rFonts w:cs="Times New Roman"/>
                <w:spacing w:val="-2"/>
                <w:szCs w:val="20"/>
              </w:rPr>
              <w:t xml:space="preserve"> </w:t>
            </w:r>
            <w:hyperlink w:anchor="_bookmark44" w:history="1">
              <w:r w:rsidR="0094086E" w:rsidRPr="006152D5">
                <w:rPr>
                  <w:rFonts w:cs="Times New Roman"/>
                  <w:i/>
                  <w:szCs w:val="20"/>
                </w:rPr>
                <w:t>disease</w:t>
              </w:r>
              <w:r w:rsidR="0094086E" w:rsidRPr="006152D5">
                <w:rPr>
                  <w:rFonts w:cs="Times New Roman"/>
                  <w:i/>
                  <w:spacing w:val="-3"/>
                  <w:szCs w:val="20"/>
                </w:rPr>
                <w:t xml:space="preserve"> </w:t>
              </w:r>
            </w:hyperlink>
            <w:r w:rsidR="0094086E" w:rsidRPr="006152D5">
              <w:rPr>
                <w:rFonts w:cs="Times New Roman"/>
                <w:szCs w:val="20"/>
              </w:rPr>
              <w:t>referred</w:t>
            </w:r>
            <w:r w:rsidR="0094086E" w:rsidRPr="006152D5">
              <w:rPr>
                <w:rFonts w:cs="Times New Roman"/>
                <w:spacing w:val="-4"/>
                <w:szCs w:val="20"/>
              </w:rPr>
              <w:t xml:space="preserve"> </w:t>
            </w:r>
            <w:r w:rsidR="0094086E" w:rsidRPr="006152D5">
              <w:rPr>
                <w:rFonts w:cs="Times New Roman"/>
                <w:szCs w:val="20"/>
              </w:rPr>
              <w:t>to</w:t>
            </w:r>
            <w:r w:rsidR="0094086E" w:rsidRPr="006E6B08">
              <w:rPr>
                <w:rFonts w:cs="Times New Roman"/>
                <w:spacing w:val="-3"/>
                <w:szCs w:val="20"/>
              </w:rPr>
              <w:t xml:space="preserve"> </w:t>
            </w:r>
            <w:r w:rsidR="0094086E" w:rsidRPr="006152D5">
              <w:rPr>
                <w:rFonts w:cs="Times New Roman"/>
                <w:szCs w:val="20"/>
              </w:rPr>
              <w:t>in</w:t>
            </w:r>
            <w:r w:rsidR="0094086E" w:rsidRPr="006152D5">
              <w:rPr>
                <w:rFonts w:cs="Times New Roman"/>
                <w:spacing w:val="-3"/>
                <w:szCs w:val="20"/>
              </w:rPr>
              <w:t xml:space="preserve"> </w:t>
            </w:r>
            <w:r w:rsidR="0094086E" w:rsidRPr="006152D5">
              <w:rPr>
                <w:rFonts w:cs="Times New Roman"/>
                <w:szCs w:val="20"/>
              </w:rPr>
              <w:t>the</w:t>
            </w:r>
            <w:r w:rsidR="0094086E" w:rsidRPr="006152D5">
              <w:rPr>
                <w:rFonts w:cs="Times New Roman"/>
                <w:spacing w:val="-4"/>
                <w:szCs w:val="20"/>
              </w:rPr>
              <w:t xml:space="preserve"> </w:t>
            </w:r>
            <w:hyperlink w:anchor="_bookmark18" w:history="1">
              <w:r w:rsidR="0094086E" w:rsidRPr="006152D5">
                <w:rPr>
                  <w:rFonts w:cs="Times New Roman"/>
                  <w:i/>
                  <w:szCs w:val="20"/>
                </w:rPr>
                <w:t>Aquatic</w:t>
              </w:r>
              <w:r w:rsidR="0094086E" w:rsidRPr="006152D5">
                <w:rPr>
                  <w:rFonts w:cs="Times New Roman"/>
                  <w:i/>
                  <w:spacing w:val="-3"/>
                  <w:szCs w:val="20"/>
                </w:rPr>
                <w:t xml:space="preserve"> </w:t>
              </w:r>
              <w:r w:rsidR="0094086E" w:rsidRPr="006E6B08">
                <w:rPr>
                  <w:rFonts w:cs="Times New Roman"/>
                  <w:i/>
                  <w:szCs w:val="20"/>
                </w:rPr>
                <w:t>Code</w:t>
              </w:r>
              <w:r w:rsidR="0094086E" w:rsidRPr="006152D5">
                <w:rPr>
                  <w:rFonts w:cs="Times New Roman"/>
                  <w:i/>
                  <w:spacing w:val="-3"/>
                  <w:szCs w:val="20"/>
                </w:rPr>
                <w:t xml:space="preserve"> </w:t>
              </w:r>
            </w:hyperlink>
            <w:r w:rsidR="0094086E" w:rsidRPr="006152D5">
              <w:rPr>
                <w:rFonts w:cs="Times New Roman"/>
                <w:szCs w:val="20"/>
              </w:rPr>
              <w:t>or</w:t>
            </w:r>
            <w:r w:rsidR="0094086E" w:rsidRPr="006152D5">
              <w:rPr>
                <w:rFonts w:cs="Times New Roman"/>
                <w:spacing w:val="-4"/>
                <w:szCs w:val="20"/>
              </w:rPr>
              <w:t xml:space="preserve"> </w:t>
            </w:r>
            <w:r w:rsidR="0094086E" w:rsidRPr="006152D5">
              <w:rPr>
                <w:rFonts w:cs="Times New Roman"/>
                <w:szCs w:val="20"/>
              </w:rPr>
              <w:t>suspected</w:t>
            </w:r>
            <w:r w:rsidR="0094086E" w:rsidRPr="006E6B08">
              <w:rPr>
                <w:rFonts w:cs="Times New Roman"/>
                <w:spacing w:val="-3"/>
                <w:szCs w:val="20"/>
              </w:rPr>
              <w:t xml:space="preserve"> </w:t>
            </w:r>
            <w:r w:rsidR="0094086E" w:rsidRPr="006152D5">
              <w:rPr>
                <w:rFonts w:cs="Times New Roman"/>
                <w:szCs w:val="20"/>
              </w:rPr>
              <w:t>of</w:t>
            </w:r>
            <w:r w:rsidR="0094086E" w:rsidRPr="006152D5">
              <w:rPr>
                <w:rFonts w:cs="Times New Roman"/>
                <w:spacing w:val="-3"/>
                <w:szCs w:val="20"/>
              </w:rPr>
              <w:t xml:space="preserve"> </w:t>
            </w:r>
            <w:r w:rsidR="0094086E" w:rsidRPr="006152D5">
              <w:rPr>
                <w:rFonts w:cs="Times New Roman"/>
                <w:szCs w:val="20"/>
              </w:rPr>
              <w:t>being</w:t>
            </w:r>
            <w:r w:rsidR="0094086E" w:rsidRPr="006152D5">
              <w:rPr>
                <w:rFonts w:cs="Times New Roman"/>
                <w:spacing w:val="-3"/>
                <w:szCs w:val="20"/>
              </w:rPr>
              <w:t xml:space="preserve"> </w:t>
            </w:r>
            <w:r w:rsidR="0094086E" w:rsidRPr="006152D5">
              <w:rPr>
                <w:rFonts w:cs="Times New Roman"/>
                <w:szCs w:val="20"/>
              </w:rPr>
              <w:t xml:space="preserve">so, may not be transported without permission from the </w:t>
            </w:r>
            <w:hyperlink w:anchor="_bookmark38" w:history="1">
              <w:r w:rsidR="0094086E" w:rsidRPr="006152D5">
                <w:rPr>
                  <w:rFonts w:cs="Times New Roman"/>
                  <w:i/>
                  <w:szCs w:val="20"/>
                </w:rPr>
                <w:t>Competent Authority</w:t>
              </w:r>
            </w:hyperlink>
            <w:r w:rsidR="0094086E" w:rsidRPr="006152D5">
              <w:rPr>
                <w:rFonts w:cs="Times New Roman"/>
                <w:szCs w:val="20"/>
              </w:rPr>
              <w:t>. […].</w:t>
            </w:r>
          </w:p>
          <w:p w14:paraId="62E25B5E" w14:textId="77777777" w:rsidR="0094086E" w:rsidRPr="001D5EB7" w:rsidRDefault="0094086E" w:rsidP="00233054">
            <w:pPr>
              <w:pStyle w:val="Corpsdetexte"/>
              <w:spacing w:before="40" w:after="120"/>
              <w:ind w:left="108" w:right="120"/>
              <w:jc w:val="both"/>
              <w:rPr>
                <w:rFonts w:ascii="Times New Roman" w:hAnsi="Times New Roman" w:cs="Times New Roman"/>
                <w:sz w:val="20"/>
                <w:szCs w:val="20"/>
              </w:rPr>
            </w:pPr>
            <w:r w:rsidRPr="006152D5">
              <w:rPr>
                <w:rFonts w:ascii="Times New Roman" w:hAnsi="Times New Roman" w:cs="Times New Roman"/>
                <w:sz w:val="20"/>
                <w:szCs w:val="20"/>
              </w:rPr>
              <w:t xml:space="preserve">Containers used for transport of </w:t>
            </w:r>
            <w:hyperlink w:anchor="_bookmark16" w:history="1">
              <w:r w:rsidRPr="006152D5">
                <w:rPr>
                  <w:rFonts w:ascii="Times New Roman" w:hAnsi="Times New Roman" w:cs="Times New Roman"/>
                  <w:i/>
                  <w:sz w:val="20"/>
                  <w:szCs w:val="20"/>
                </w:rPr>
                <w:t xml:space="preserve">aquatic animal </w:t>
              </w:r>
            </w:hyperlink>
            <w:r w:rsidRPr="00685B5C">
              <w:rPr>
                <w:rFonts w:ascii="Times New Roman" w:hAnsi="Times New Roman" w:cs="Times New Roman"/>
                <w:bCs/>
                <w:strike/>
                <w:sz w:val="20"/>
                <w:szCs w:val="20"/>
              </w:rPr>
              <w:t xml:space="preserve"> waste</w:t>
            </w:r>
            <w:r w:rsidRPr="00685B5C">
              <w:rPr>
                <w:rFonts w:ascii="Times New Roman" w:hAnsi="Times New Roman" w:cs="Times New Roman"/>
                <w:bCs/>
                <w:i/>
                <w:iCs/>
                <w:sz w:val="20"/>
                <w:szCs w:val="20"/>
                <w:u w:val="double"/>
              </w:rPr>
              <w:t xml:space="preserve"> waste</w:t>
            </w:r>
            <w:r w:rsidRPr="006152D5">
              <w:rPr>
                <w:rFonts w:ascii="Times New Roman" w:hAnsi="Times New Roman" w:cs="Times New Roman"/>
                <w:sz w:val="20"/>
                <w:szCs w:val="20"/>
              </w:rPr>
              <w:t xml:space="preserve"> should be leak-proof and labelled regarding content. […]</w:t>
            </w:r>
          </w:p>
        </w:tc>
      </w:tr>
      <w:tr w:rsidR="0094086E" w14:paraId="2A92B56D" w14:textId="77777777" w:rsidTr="00490F00">
        <w:tc>
          <w:tcPr>
            <w:tcW w:w="2140" w:type="dxa"/>
          </w:tcPr>
          <w:p w14:paraId="197220AE" w14:textId="77777777" w:rsidR="0094086E" w:rsidRPr="00490F00" w:rsidRDefault="0094086E" w:rsidP="00233054">
            <w:pPr>
              <w:spacing w:before="40" w:after="40"/>
              <w:rPr>
                <w:rFonts w:cs="Times New Roman"/>
                <w:bCs/>
                <w:szCs w:val="20"/>
              </w:rPr>
            </w:pPr>
            <w:r w:rsidRPr="00490F00">
              <w:rPr>
                <w:rFonts w:cs="Times New Roman"/>
                <w:bCs/>
                <w:szCs w:val="20"/>
              </w:rPr>
              <w:t>4.7.6.</w:t>
            </w:r>
          </w:p>
        </w:tc>
        <w:tc>
          <w:tcPr>
            <w:tcW w:w="736" w:type="dxa"/>
          </w:tcPr>
          <w:p w14:paraId="4A5C6FC1" w14:textId="77777777" w:rsidR="0094086E" w:rsidRPr="00490F00" w:rsidRDefault="0094086E" w:rsidP="00233054">
            <w:pPr>
              <w:spacing w:before="40" w:after="40"/>
              <w:rPr>
                <w:rFonts w:cs="Times New Roman"/>
                <w:bCs/>
                <w:szCs w:val="20"/>
              </w:rPr>
            </w:pPr>
            <w:r w:rsidRPr="00490F00">
              <w:rPr>
                <w:rFonts w:cs="Times New Roman"/>
                <w:bCs/>
                <w:szCs w:val="20"/>
              </w:rPr>
              <w:t>72</w:t>
            </w:r>
          </w:p>
        </w:tc>
        <w:tc>
          <w:tcPr>
            <w:tcW w:w="6333" w:type="dxa"/>
          </w:tcPr>
          <w:p w14:paraId="57380FF6" w14:textId="77777777" w:rsidR="0094086E" w:rsidRPr="006152D5" w:rsidRDefault="0094086E" w:rsidP="00233054">
            <w:pPr>
              <w:pStyle w:val="Paragraphedeliste"/>
              <w:widowControl w:val="0"/>
              <w:numPr>
                <w:ilvl w:val="0"/>
                <w:numId w:val="26"/>
              </w:numPr>
              <w:tabs>
                <w:tab w:val="left" w:pos="533"/>
              </w:tabs>
              <w:autoSpaceDE w:val="0"/>
              <w:autoSpaceDN w:val="0"/>
              <w:spacing w:before="40" w:after="120"/>
              <w:ind w:left="108" w:hanging="425"/>
              <w:contextualSpacing w:val="0"/>
              <w:jc w:val="both"/>
              <w:rPr>
                <w:rFonts w:cs="Times New Roman"/>
                <w:szCs w:val="20"/>
              </w:rPr>
            </w:pPr>
            <w:r w:rsidRPr="006152D5">
              <w:rPr>
                <w:rFonts w:cs="Times New Roman"/>
                <w:szCs w:val="20"/>
                <w:u w:val="single"/>
              </w:rPr>
              <w:t>Requirement for</w:t>
            </w:r>
            <w:r w:rsidRPr="006152D5">
              <w:rPr>
                <w:rFonts w:cs="Times New Roman"/>
                <w:spacing w:val="-3"/>
                <w:szCs w:val="20"/>
                <w:u w:val="single"/>
              </w:rPr>
              <w:t xml:space="preserve"> </w:t>
            </w:r>
            <w:r w:rsidRPr="006152D5">
              <w:rPr>
                <w:rFonts w:cs="Times New Roman"/>
                <w:szCs w:val="20"/>
                <w:u w:val="single"/>
              </w:rPr>
              <w:t>approval</w:t>
            </w:r>
          </w:p>
          <w:p w14:paraId="1CC929D6" w14:textId="77777777" w:rsidR="0094086E" w:rsidRPr="006152D5" w:rsidRDefault="0094086E" w:rsidP="00233054">
            <w:pPr>
              <w:pStyle w:val="Corpsdetexte"/>
              <w:spacing w:before="40" w:after="120"/>
              <w:ind w:left="108" w:right="119"/>
              <w:jc w:val="both"/>
              <w:rPr>
                <w:rFonts w:ascii="Times New Roman" w:hAnsi="Times New Roman" w:cs="Times New Roman"/>
                <w:sz w:val="20"/>
                <w:szCs w:val="20"/>
              </w:rPr>
            </w:pPr>
            <w:r w:rsidRPr="006152D5">
              <w:rPr>
                <w:rFonts w:ascii="Times New Roman" w:hAnsi="Times New Roman" w:cs="Times New Roman"/>
                <w:sz w:val="20"/>
                <w:szCs w:val="20"/>
              </w:rPr>
              <w:t xml:space="preserve">All disposal plants dealing with </w:t>
            </w:r>
            <w:hyperlink w:anchor="_bookmark16" w:history="1">
              <w:r w:rsidRPr="006152D5">
                <w:rPr>
                  <w:rFonts w:ascii="Times New Roman" w:hAnsi="Times New Roman" w:cs="Times New Roman"/>
                  <w:i/>
                  <w:sz w:val="20"/>
                  <w:szCs w:val="20"/>
                </w:rPr>
                <w:t xml:space="preserve">aquatic animal </w:t>
              </w:r>
            </w:hyperlink>
            <w:r w:rsidRPr="00685B5C">
              <w:rPr>
                <w:rFonts w:ascii="Times New Roman" w:hAnsi="Times New Roman" w:cs="Times New Roman"/>
                <w:bCs/>
                <w:i/>
                <w:iCs/>
                <w:sz w:val="20"/>
                <w:szCs w:val="20"/>
              </w:rPr>
              <w:t xml:space="preserve"> </w:t>
            </w:r>
            <w:r w:rsidRPr="00685B5C">
              <w:rPr>
                <w:rFonts w:ascii="Times New Roman" w:hAnsi="Times New Roman" w:cs="Times New Roman"/>
                <w:bCs/>
                <w:strike/>
                <w:sz w:val="20"/>
                <w:szCs w:val="20"/>
              </w:rPr>
              <w:t>waste</w:t>
            </w:r>
            <w:r w:rsidRPr="00685B5C">
              <w:rPr>
                <w:rFonts w:ascii="Times New Roman" w:hAnsi="Times New Roman" w:cs="Times New Roman"/>
                <w:bCs/>
                <w:i/>
                <w:iCs/>
                <w:sz w:val="20"/>
                <w:szCs w:val="20"/>
                <w:u w:val="double"/>
              </w:rPr>
              <w:t xml:space="preserve"> waste</w:t>
            </w:r>
            <w:r w:rsidRPr="006152D5">
              <w:rPr>
                <w:rFonts w:ascii="Times New Roman" w:hAnsi="Times New Roman" w:cs="Times New Roman"/>
                <w:sz w:val="20"/>
                <w:szCs w:val="20"/>
              </w:rPr>
              <w:t xml:space="preserve"> should be approved by the </w:t>
            </w:r>
            <w:hyperlink w:anchor="_bookmark38" w:history="1">
              <w:r w:rsidRPr="006152D5">
                <w:rPr>
                  <w:rFonts w:ascii="Times New Roman" w:hAnsi="Times New Roman" w:cs="Times New Roman"/>
                  <w:i/>
                  <w:sz w:val="20"/>
                  <w:szCs w:val="20"/>
                </w:rPr>
                <w:t>Competent Authority</w:t>
              </w:r>
            </w:hyperlink>
            <w:r w:rsidRPr="006152D5">
              <w:rPr>
                <w:rFonts w:ascii="Times New Roman" w:hAnsi="Times New Roman" w:cs="Times New Roman"/>
                <w:sz w:val="20"/>
                <w:szCs w:val="20"/>
              </w:rPr>
              <w:t>. […]</w:t>
            </w:r>
          </w:p>
          <w:p w14:paraId="531AC008" w14:textId="77777777" w:rsidR="0094086E" w:rsidRPr="006152D5" w:rsidRDefault="0094086E" w:rsidP="00233054">
            <w:pPr>
              <w:pStyle w:val="Titre4"/>
              <w:keepNext w:val="0"/>
              <w:keepLines w:val="0"/>
              <w:widowControl w:val="0"/>
              <w:numPr>
                <w:ilvl w:val="0"/>
                <w:numId w:val="26"/>
              </w:numPr>
              <w:tabs>
                <w:tab w:val="left" w:pos="533"/>
              </w:tabs>
              <w:autoSpaceDE w:val="0"/>
              <w:autoSpaceDN w:val="0"/>
              <w:spacing w:after="120"/>
              <w:ind w:left="108" w:hanging="425"/>
              <w:jc w:val="both"/>
              <w:outlineLvl w:val="3"/>
              <w:rPr>
                <w:rFonts w:ascii="Times New Roman" w:hAnsi="Times New Roman" w:cs="Times New Roman"/>
                <w:color w:val="auto"/>
                <w:szCs w:val="20"/>
              </w:rPr>
            </w:pPr>
            <w:r w:rsidRPr="006152D5">
              <w:rPr>
                <w:rFonts w:ascii="Times New Roman" w:hAnsi="Times New Roman" w:cs="Times New Roman"/>
                <w:color w:val="auto"/>
                <w:szCs w:val="20"/>
                <w:u w:val="single"/>
              </w:rPr>
              <w:t>Conditions for</w:t>
            </w:r>
            <w:r w:rsidRPr="006152D5">
              <w:rPr>
                <w:rFonts w:ascii="Times New Roman" w:hAnsi="Times New Roman" w:cs="Times New Roman"/>
                <w:color w:val="auto"/>
                <w:spacing w:val="-3"/>
                <w:szCs w:val="20"/>
                <w:u w:val="single"/>
              </w:rPr>
              <w:t xml:space="preserve"> </w:t>
            </w:r>
            <w:r w:rsidRPr="006152D5">
              <w:rPr>
                <w:rFonts w:ascii="Times New Roman" w:hAnsi="Times New Roman" w:cs="Times New Roman"/>
                <w:color w:val="auto"/>
                <w:szCs w:val="20"/>
                <w:u w:val="single"/>
              </w:rPr>
              <w:t>approval</w:t>
            </w:r>
          </w:p>
          <w:p w14:paraId="4445E59F" w14:textId="77777777" w:rsidR="0094086E" w:rsidRPr="006152D5" w:rsidRDefault="0094086E" w:rsidP="00233054">
            <w:pPr>
              <w:pStyle w:val="Corpsdetexte"/>
              <w:spacing w:before="40" w:after="120"/>
              <w:ind w:left="108"/>
              <w:rPr>
                <w:rFonts w:ascii="Times New Roman" w:hAnsi="Times New Roman" w:cs="Times New Roman"/>
                <w:sz w:val="20"/>
                <w:szCs w:val="20"/>
              </w:rPr>
            </w:pPr>
            <w:r w:rsidRPr="006152D5">
              <w:rPr>
                <w:rFonts w:ascii="Times New Roman" w:hAnsi="Times New Roman" w:cs="Times New Roman"/>
                <w:sz w:val="20"/>
                <w:szCs w:val="20"/>
              </w:rPr>
              <w:t xml:space="preserve">For a disposal plant to be approved to deal with </w:t>
            </w:r>
            <w:hyperlink w:anchor="_bookmark16" w:history="1">
              <w:r w:rsidRPr="006152D5">
                <w:rPr>
                  <w:rFonts w:ascii="Times New Roman" w:hAnsi="Times New Roman" w:cs="Times New Roman"/>
                  <w:i/>
                  <w:sz w:val="20"/>
                  <w:szCs w:val="20"/>
                </w:rPr>
                <w:t xml:space="preserve">aquatic animal </w:t>
              </w:r>
            </w:hyperlink>
            <w:r w:rsidRPr="00685B5C">
              <w:rPr>
                <w:rFonts w:ascii="Times New Roman" w:hAnsi="Times New Roman" w:cs="Times New Roman"/>
                <w:bCs/>
                <w:i/>
                <w:iCs/>
                <w:sz w:val="20"/>
                <w:szCs w:val="20"/>
              </w:rPr>
              <w:t xml:space="preserve"> </w:t>
            </w:r>
            <w:r w:rsidRPr="00685B5C">
              <w:rPr>
                <w:rFonts w:ascii="Times New Roman" w:hAnsi="Times New Roman" w:cs="Times New Roman"/>
                <w:bCs/>
                <w:strike/>
                <w:sz w:val="20"/>
                <w:szCs w:val="20"/>
              </w:rPr>
              <w:t>waste</w:t>
            </w:r>
            <w:r w:rsidRPr="00685B5C">
              <w:rPr>
                <w:rFonts w:ascii="Times New Roman" w:hAnsi="Times New Roman" w:cs="Times New Roman"/>
                <w:bCs/>
                <w:i/>
                <w:iCs/>
                <w:sz w:val="20"/>
                <w:szCs w:val="20"/>
                <w:u w:val="double"/>
              </w:rPr>
              <w:t xml:space="preserve"> waste</w:t>
            </w:r>
            <w:r w:rsidRPr="006152D5">
              <w:rPr>
                <w:rFonts w:ascii="Times New Roman" w:hAnsi="Times New Roman" w:cs="Times New Roman"/>
                <w:sz w:val="20"/>
                <w:szCs w:val="20"/>
              </w:rPr>
              <w:t>, it should:</w:t>
            </w:r>
          </w:p>
          <w:p w14:paraId="4886E21F" w14:textId="77777777" w:rsidR="0094086E" w:rsidRPr="006152D5" w:rsidRDefault="0094086E" w:rsidP="00233054">
            <w:pPr>
              <w:widowControl w:val="0"/>
              <w:tabs>
                <w:tab w:val="left" w:pos="957"/>
                <w:tab w:val="left" w:pos="958"/>
              </w:tabs>
              <w:autoSpaceDE w:val="0"/>
              <w:autoSpaceDN w:val="0"/>
              <w:spacing w:before="40" w:after="120"/>
              <w:ind w:left="108"/>
              <w:rPr>
                <w:rFonts w:cs="Times New Roman"/>
                <w:szCs w:val="20"/>
              </w:rPr>
            </w:pPr>
            <w:r w:rsidRPr="006152D5">
              <w:rPr>
                <w:rFonts w:cs="Times New Roman"/>
                <w:szCs w:val="20"/>
              </w:rPr>
              <w:t>[…]</w:t>
            </w:r>
          </w:p>
          <w:p w14:paraId="799DA589" w14:textId="589A7230" w:rsidR="0094086E" w:rsidRPr="006152D5" w:rsidRDefault="0094086E" w:rsidP="00233054">
            <w:pPr>
              <w:pStyle w:val="Paragraphedeliste"/>
              <w:widowControl w:val="0"/>
              <w:numPr>
                <w:ilvl w:val="0"/>
                <w:numId w:val="27"/>
              </w:numPr>
              <w:tabs>
                <w:tab w:val="left" w:pos="957"/>
                <w:tab w:val="left" w:pos="958"/>
              </w:tabs>
              <w:autoSpaceDE w:val="0"/>
              <w:autoSpaceDN w:val="0"/>
              <w:spacing w:before="40" w:after="120"/>
              <w:ind w:left="108" w:right="119"/>
              <w:contextualSpacing w:val="0"/>
              <w:rPr>
                <w:rFonts w:cs="Times New Roman"/>
                <w:szCs w:val="20"/>
              </w:rPr>
            </w:pPr>
            <w:r w:rsidRPr="006152D5">
              <w:rPr>
                <w:rFonts w:cs="Times New Roman"/>
                <w:szCs w:val="20"/>
              </w:rPr>
              <w:t>fulfil</w:t>
            </w:r>
            <w:r w:rsidRPr="006152D5">
              <w:rPr>
                <w:rFonts w:cs="Times New Roman"/>
                <w:spacing w:val="-3"/>
                <w:szCs w:val="20"/>
              </w:rPr>
              <w:t xml:space="preserve"> </w:t>
            </w:r>
            <w:r w:rsidRPr="006152D5">
              <w:rPr>
                <w:rFonts w:cs="Times New Roman"/>
                <w:szCs w:val="20"/>
              </w:rPr>
              <w:t>requirements</w:t>
            </w:r>
            <w:r w:rsidRPr="006152D5">
              <w:rPr>
                <w:rFonts w:cs="Times New Roman"/>
                <w:spacing w:val="-2"/>
                <w:szCs w:val="20"/>
              </w:rPr>
              <w:t xml:space="preserve"> </w:t>
            </w:r>
            <w:r w:rsidRPr="006152D5">
              <w:rPr>
                <w:rFonts w:cs="Times New Roman"/>
                <w:szCs w:val="20"/>
              </w:rPr>
              <w:t>for</w:t>
            </w:r>
            <w:r w:rsidRPr="006152D5">
              <w:rPr>
                <w:rFonts w:cs="Times New Roman"/>
                <w:spacing w:val="-3"/>
                <w:szCs w:val="20"/>
              </w:rPr>
              <w:t xml:space="preserve"> </w:t>
            </w:r>
            <w:r w:rsidRPr="006152D5">
              <w:rPr>
                <w:rFonts w:cs="Times New Roman"/>
                <w:szCs w:val="20"/>
              </w:rPr>
              <w:t>handling</w:t>
            </w:r>
            <w:r w:rsidRPr="006152D5">
              <w:rPr>
                <w:rFonts w:cs="Times New Roman"/>
                <w:spacing w:val="-3"/>
                <w:szCs w:val="20"/>
              </w:rPr>
              <w:t xml:space="preserve"> </w:t>
            </w:r>
            <w:r w:rsidRPr="006152D5">
              <w:rPr>
                <w:rFonts w:cs="Times New Roman"/>
                <w:szCs w:val="20"/>
              </w:rPr>
              <w:t>the</w:t>
            </w:r>
            <w:r w:rsidRPr="006152D5">
              <w:rPr>
                <w:rFonts w:cs="Times New Roman"/>
                <w:spacing w:val="-4"/>
                <w:szCs w:val="20"/>
              </w:rPr>
              <w:t xml:space="preserve"> </w:t>
            </w:r>
            <w:hyperlink w:anchor="_bookmark16" w:history="1">
              <w:r w:rsidRPr="006152D5">
                <w:rPr>
                  <w:rFonts w:cs="Times New Roman"/>
                  <w:i/>
                  <w:szCs w:val="20"/>
                </w:rPr>
                <w:t>aquatic</w:t>
              </w:r>
              <w:r w:rsidRPr="006152D5">
                <w:rPr>
                  <w:rFonts w:cs="Times New Roman"/>
                  <w:i/>
                  <w:spacing w:val="-3"/>
                  <w:szCs w:val="20"/>
                </w:rPr>
                <w:t xml:space="preserve"> </w:t>
              </w:r>
              <w:r w:rsidRPr="006152D5">
                <w:rPr>
                  <w:rFonts w:cs="Times New Roman"/>
                  <w:i/>
                  <w:szCs w:val="20"/>
                </w:rPr>
                <w:t>animal</w:t>
              </w:r>
            </w:hyperlink>
            <w:r w:rsidRPr="00685B5C">
              <w:rPr>
                <w:rFonts w:cs="Times New Roman"/>
                <w:bCs/>
                <w:i/>
                <w:iCs/>
                <w:szCs w:val="20"/>
                <w:u w:val="double"/>
              </w:rPr>
              <w:t xml:space="preserve"> waste</w:t>
            </w:r>
            <w:r w:rsidRPr="006152D5">
              <w:rPr>
                <w:rFonts w:cs="Times New Roman"/>
                <w:szCs w:val="20"/>
              </w:rPr>
              <w:t xml:space="preserve"> and</w:t>
            </w:r>
            <w:r w:rsidRPr="006152D5">
              <w:rPr>
                <w:rFonts w:cs="Times New Roman"/>
                <w:spacing w:val="-3"/>
                <w:szCs w:val="20"/>
              </w:rPr>
              <w:t xml:space="preserve"> </w:t>
            </w:r>
            <w:r w:rsidRPr="006152D5">
              <w:rPr>
                <w:rFonts w:cs="Times New Roman"/>
                <w:szCs w:val="20"/>
              </w:rPr>
              <w:t>products</w:t>
            </w:r>
            <w:r w:rsidRPr="006152D5">
              <w:rPr>
                <w:rFonts w:cs="Times New Roman"/>
                <w:spacing w:val="-2"/>
                <w:szCs w:val="20"/>
              </w:rPr>
              <w:t xml:space="preserve"> </w:t>
            </w:r>
            <w:r w:rsidRPr="006152D5">
              <w:rPr>
                <w:rFonts w:cs="Times New Roman"/>
                <w:szCs w:val="20"/>
              </w:rPr>
              <w:t>specified</w:t>
            </w:r>
            <w:r w:rsidRPr="006E6B08">
              <w:rPr>
                <w:rFonts w:cs="Times New Roman"/>
                <w:spacing w:val="-3"/>
                <w:szCs w:val="20"/>
              </w:rPr>
              <w:t xml:space="preserve"> </w:t>
            </w:r>
            <w:r w:rsidRPr="006152D5">
              <w:rPr>
                <w:rFonts w:cs="Times New Roman"/>
                <w:szCs w:val="20"/>
              </w:rPr>
              <w:t>by</w:t>
            </w:r>
            <w:r w:rsidRPr="006152D5">
              <w:rPr>
                <w:rFonts w:cs="Times New Roman"/>
                <w:spacing w:val="-2"/>
                <w:szCs w:val="20"/>
              </w:rPr>
              <w:t xml:space="preserve"> </w:t>
            </w:r>
            <w:r w:rsidRPr="006152D5">
              <w:rPr>
                <w:rFonts w:cs="Times New Roman"/>
                <w:szCs w:val="20"/>
              </w:rPr>
              <w:t>the</w:t>
            </w:r>
            <w:r w:rsidRPr="006152D5">
              <w:rPr>
                <w:rFonts w:cs="Times New Roman"/>
                <w:spacing w:val="-3"/>
                <w:szCs w:val="20"/>
              </w:rPr>
              <w:t xml:space="preserve"> </w:t>
            </w:r>
            <w:hyperlink w:anchor="_bookmark38" w:history="1">
              <w:r w:rsidRPr="006152D5">
                <w:rPr>
                  <w:rFonts w:cs="Times New Roman"/>
                  <w:i/>
                  <w:szCs w:val="20"/>
                </w:rPr>
                <w:t>Competent</w:t>
              </w:r>
              <w:r w:rsidRPr="006152D5">
                <w:rPr>
                  <w:rFonts w:cs="Times New Roman"/>
                  <w:i/>
                  <w:spacing w:val="-2"/>
                  <w:szCs w:val="20"/>
                </w:rPr>
                <w:t xml:space="preserve"> </w:t>
              </w:r>
              <w:r w:rsidRPr="006152D5">
                <w:rPr>
                  <w:rFonts w:cs="Times New Roman"/>
                  <w:i/>
                  <w:szCs w:val="20"/>
                </w:rPr>
                <w:t>Authority</w:t>
              </w:r>
            </w:hyperlink>
            <w:r w:rsidRPr="006152D5">
              <w:rPr>
                <w:rFonts w:cs="Times New Roman"/>
                <w:szCs w:val="20"/>
              </w:rPr>
              <w:t>. […]</w:t>
            </w:r>
          </w:p>
          <w:p w14:paraId="6AA89E23" w14:textId="77777777" w:rsidR="0094086E" w:rsidRPr="006152D5" w:rsidRDefault="0094086E" w:rsidP="00233054">
            <w:pPr>
              <w:pStyle w:val="Titre4"/>
              <w:keepNext w:val="0"/>
              <w:keepLines w:val="0"/>
              <w:widowControl w:val="0"/>
              <w:numPr>
                <w:ilvl w:val="0"/>
                <w:numId w:val="26"/>
              </w:numPr>
              <w:tabs>
                <w:tab w:val="left" w:pos="533"/>
              </w:tabs>
              <w:autoSpaceDE w:val="0"/>
              <w:autoSpaceDN w:val="0"/>
              <w:spacing w:after="120"/>
              <w:ind w:left="108" w:hanging="425"/>
              <w:jc w:val="both"/>
              <w:outlineLvl w:val="3"/>
              <w:rPr>
                <w:rFonts w:ascii="Times New Roman" w:hAnsi="Times New Roman" w:cs="Times New Roman"/>
                <w:color w:val="auto"/>
                <w:szCs w:val="20"/>
              </w:rPr>
            </w:pPr>
            <w:r w:rsidRPr="006152D5">
              <w:rPr>
                <w:rFonts w:ascii="Times New Roman" w:hAnsi="Times New Roman" w:cs="Times New Roman"/>
                <w:color w:val="auto"/>
                <w:szCs w:val="20"/>
                <w:u w:val="single"/>
              </w:rPr>
              <w:t>Operating</w:t>
            </w:r>
            <w:r w:rsidRPr="006152D5">
              <w:rPr>
                <w:rFonts w:ascii="Times New Roman" w:hAnsi="Times New Roman" w:cs="Times New Roman"/>
                <w:color w:val="auto"/>
                <w:spacing w:val="-2"/>
                <w:szCs w:val="20"/>
                <w:u w:val="single"/>
              </w:rPr>
              <w:t xml:space="preserve"> </w:t>
            </w:r>
            <w:r w:rsidRPr="006152D5">
              <w:rPr>
                <w:rFonts w:ascii="Times New Roman" w:hAnsi="Times New Roman" w:cs="Times New Roman"/>
                <w:color w:val="auto"/>
                <w:szCs w:val="20"/>
                <w:u w:val="single"/>
              </w:rPr>
              <w:t>requirements</w:t>
            </w:r>
          </w:p>
          <w:p w14:paraId="61C78AC4" w14:textId="77777777" w:rsidR="0094086E" w:rsidRPr="006152D5" w:rsidRDefault="0094086E" w:rsidP="00233054">
            <w:pPr>
              <w:widowControl w:val="0"/>
              <w:tabs>
                <w:tab w:val="left" w:pos="957"/>
                <w:tab w:val="left" w:pos="958"/>
              </w:tabs>
              <w:autoSpaceDE w:val="0"/>
              <w:autoSpaceDN w:val="0"/>
              <w:spacing w:before="40" w:after="120"/>
              <w:ind w:left="108"/>
              <w:rPr>
                <w:rFonts w:cs="Times New Roman"/>
                <w:szCs w:val="20"/>
              </w:rPr>
            </w:pPr>
            <w:r w:rsidRPr="006152D5">
              <w:rPr>
                <w:rFonts w:cs="Times New Roman"/>
                <w:szCs w:val="20"/>
              </w:rPr>
              <w:t>[…]</w:t>
            </w:r>
          </w:p>
          <w:p w14:paraId="3F236A2E" w14:textId="3CD49265" w:rsidR="0094086E" w:rsidRPr="006152D5" w:rsidRDefault="0094086E" w:rsidP="00233054">
            <w:pPr>
              <w:pStyle w:val="Paragraphedeliste"/>
              <w:widowControl w:val="0"/>
              <w:numPr>
                <w:ilvl w:val="0"/>
                <w:numId w:val="28"/>
              </w:numPr>
              <w:tabs>
                <w:tab w:val="left" w:pos="957"/>
                <w:tab w:val="left" w:pos="958"/>
              </w:tabs>
              <w:autoSpaceDE w:val="0"/>
              <w:autoSpaceDN w:val="0"/>
              <w:spacing w:before="40" w:after="120"/>
              <w:ind w:left="108"/>
              <w:contextualSpacing w:val="0"/>
              <w:rPr>
                <w:rFonts w:cs="Times New Roman"/>
                <w:szCs w:val="20"/>
              </w:rPr>
            </w:pPr>
            <w:r w:rsidRPr="006152D5">
              <w:rPr>
                <w:rFonts w:cs="Times New Roman"/>
                <w:szCs w:val="20"/>
              </w:rPr>
              <w:t>handling</w:t>
            </w:r>
            <w:r w:rsidRPr="006152D5">
              <w:rPr>
                <w:rFonts w:cs="Times New Roman"/>
                <w:spacing w:val="-3"/>
                <w:szCs w:val="20"/>
              </w:rPr>
              <w:t xml:space="preserve"> </w:t>
            </w:r>
            <w:r w:rsidRPr="006152D5">
              <w:rPr>
                <w:rFonts w:cs="Times New Roman"/>
                <w:szCs w:val="20"/>
              </w:rPr>
              <w:t>and</w:t>
            </w:r>
            <w:r w:rsidRPr="006152D5">
              <w:rPr>
                <w:rFonts w:cs="Times New Roman"/>
                <w:spacing w:val="-3"/>
                <w:szCs w:val="20"/>
              </w:rPr>
              <w:t xml:space="preserve"> </w:t>
            </w:r>
            <w:r w:rsidRPr="006152D5">
              <w:rPr>
                <w:rFonts w:cs="Times New Roman"/>
                <w:szCs w:val="20"/>
              </w:rPr>
              <w:t>treatment</w:t>
            </w:r>
            <w:r w:rsidRPr="006152D5">
              <w:rPr>
                <w:rFonts w:cs="Times New Roman"/>
                <w:spacing w:val="-2"/>
                <w:szCs w:val="20"/>
              </w:rPr>
              <w:t xml:space="preserve"> </w:t>
            </w:r>
            <w:r w:rsidRPr="006152D5">
              <w:rPr>
                <w:rFonts w:cs="Times New Roman"/>
                <w:szCs w:val="20"/>
              </w:rPr>
              <w:t>of</w:t>
            </w:r>
            <w:r w:rsidRPr="006152D5">
              <w:rPr>
                <w:rFonts w:cs="Times New Roman"/>
                <w:spacing w:val="-3"/>
                <w:szCs w:val="20"/>
              </w:rPr>
              <w:t xml:space="preserve"> </w:t>
            </w:r>
            <w:hyperlink w:anchor="_bookmark16" w:history="1">
              <w:r w:rsidRPr="006152D5">
                <w:rPr>
                  <w:rFonts w:cs="Times New Roman"/>
                  <w:i/>
                  <w:szCs w:val="20"/>
                </w:rPr>
                <w:t>aquatic</w:t>
              </w:r>
              <w:r w:rsidRPr="006152D5">
                <w:rPr>
                  <w:rFonts w:cs="Times New Roman"/>
                  <w:i/>
                  <w:spacing w:val="-1"/>
                  <w:szCs w:val="20"/>
                </w:rPr>
                <w:t xml:space="preserve"> </w:t>
              </w:r>
              <w:r w:rsidRPr="006152D5">
                <w:rPr>
                  <w:rFonts w:cs="Times New Roman"/>
                  <w:i/>
                  <w:szCs w:val="20"/>
                </w:rPr>
                <w:t xml:space="preserve">animal </w:t>
              </w:r>
              <w:r w:rsidRPr="00685B5C">
                <w:rPr>
                  <w:rFonts w:cs="Times New Roman"/>
                  <w:bCs/>
                  <w:strike/>
                  <w:szCs w:val="20"/>
                </w:rPr>
                <w:t>waste</w:t>
              </w:r>
            </w:hyperlink>
            <w:r w:rsidRPr="00685B5C">
              <w:rPr>
                <w:rFonts w:cs="Times New Roman"/>
                <w:bCs/>
                <w:i/>
                <w:iCs/>
                <w:szCs w:val="20"/>
                <w:u w:val="double"/>
              </w:rPr>
              <w:t xml:space="preserve"> waste</w:t>
            </w:r>
            <w:r w:rsidRPr="006152D5">
              <w:rPr>
                <w:rFonts w:cs="Times New Roman"/>
                <w:szCs w:val="20"/>
              </w:rPr>
              <w:t xml:space="preserve"> should</w:t>
            </w:r>
            <w:r w:rsidRPr="006152D5">
              <w:rPr>
                <w:rFonts w:cs="Times New Roman"/>
                <w:spacing w:val="-2"/>
                <w:szCs w:val="20"/>
              </w:rPr>
              <w:t xml:space="preserve"> </w:t>
            </w:r>
            <w:r w:rsidRPr="006152D5">
              <w:rPr>
                <w:rFonts w:cs="Times New Roman"/>
                <w:szCs w:val="20"/>
              </w:rPr>
              <w:t>take</w:t>
            </w:r>
            <w:r w:rsidRPr="006152D5">
              <w:rPr>
                <w:rFonts w:cs="Times New Roman"/>
                <w:spacing w:val="-1"/>
                <w:szCs w:val="20"/>
              </w:rPr>
              <w:t xml:space="preserve"> </w:t>
            </w:r>
            <w:r w:rsidRPr="006152D5">
              <w:rPr>
                <w:rFonts w:cs="Times New Roman"/>
                <w:szCs w:val="20"/>
              </w:rPr>
              <w:t>place</w:t>
            </w:r>
            <w:r w:rsidRPr="006E6B08">
              <w:rPr>
                <w:rFonts w:cs="Times New Roman"/>
                <w:spacing w:val="-3"/>
                <w:szCs w:val="20"/>
              </w:rPr>
              <w:t xml:space="preserve"> </w:t>
            </w:r>
            <w:r w:rsidRPr="006152D5">
              <w:rPr>
                <w:rFonts w:cs="Times New Roman"/>
                <w:szCs w:val="20"/>
              </w:rPr>
              <w:t>as</w:t>
            </w:r>
            <w:r w:rsidRPr="006152D5">
              <w:rPr>
                <w:rFonts w:cs="Times New Roman"/>
                <w:spacing w:val="-3"/>
                <w:szCs w:val="20"/>
              </w:rPr>
              <w:t xml:space="preserve"> </w:t>
            </w:r>
            <w:r w:rsidRPr="006152D5">
              <w:rPr>
                <w:rFonts w:cs="Times New Roman"/>
                <w:szCs w:val="20"/>
              </w:rPr>
              <w:t>soon</w:t>
            </w:r>
            <w:r w:rsidRPr="006152D5">
              <w:rPr>
                <w:rFonts w:cs="Times New Roman"/>
                <w:spacing w:val="-2"/>
                <w:szCs w:val="20"/>
              </w:rPr>
              <w:t xml:space="preserve"> </w:t>
            </w:r>
            <w:r w:rsidRPr="006152D5">
              <w:rPr>
                <w:rFonts w:cs="Times New Roman"/>
                <w:szCs w:val="20"/>
              </w:rPr>
              <w:t>as</w:t>
            </w:r>
            <w:r w:rsidRPr="006152D5">
              <w:rPr>
                <w:rFonts w:cs="Times New Roman"/>
                <w:spacing w:val="-3"/>
                <w:szCs w:val="20"/>
              </w:rPr>
              <w:t xml:space="preserve"> </w:t>
            </w:r>
            <w:r w:rsidRPr="006152D5">
              <w:rPr>
                <w:rFonts w:cs="Times New Roman"/>
                <w:szCs w:val="20"/>
              </w:rPr>
              <w:t>possible</w:t>
            </w:r>
            <w:r w:rsidRPr="006152D5">
              <w:rPr>
                <w:rFonts w:cs="Times New Roman"/>
                <w:spacing w:val="-2"/>
                <w:szCs w:val="20"/>
              </w:rPr>
              <w:t xml:space="preserve"> </w:t>
            </w:r>
            <w:r w:rsidRPr="006152D5">
              <w:rPr>
                <w:rFonts w:cs="Times New Roman"/>
                <w:szCs w:val="20"/>
              </w:rPr>
              <w:t>after</w:t>
            </w:r>
            <w:r w:rsidRPr="006152D5">
              <w:rPr>
                <w:rFonts w:cs="Times New Roman"/>
                <w:spacing w:val="-3"/>
                <w:szCs w:val="20"/>
              </w:rPr>
              <w:t xml:space="preserve"> </w:t>
            </w:r>
            <w:r w:rsidRPr="006152D5">
              <w:rPr>
                <w:rFonts w:cs="Times New Roman"/>
                <w:szCs w:val="20"/>
              </w:rPr>
              <w:t>being</w:t>
            </w:r>
            <w:r w:rsidRPr="006152D5">
              <w:rPr>
                <w:rFonts w:cs="Times New Roman"/>
                <w:spacing w:val="-3"/>
                <w:szCs w:val="20"/>
              </w:rPr>
              <w:t xml:space="preserve"> </w:t>
            </w:r>
            <w:r w:rsidRPr="006152D5">
              <w:rPr>
                <w:rFonts w:cs="Times New Roman"/>
                <w:szCs w:val="20"/>
              </w:rPr>
              <w:t>received;</w:t>
            </w:r>
          </w:p>
          <w:p w14:paraId="4CAD2C8B" w14:textId="77777777" w:rsidR="0094086E" w:rsidRPr="00685B5C" w:rsidRDefault="0094086E" w:rsidP="00233054">
            <w:pPr>
              <w:widowControl w:val="0"/>
              <w:tabs>
                <w:tab w:val="left" w:pos="957"/>
                <w:tab w:val="left" w:pos="958"/>
              </w:tabs>
              <w:autoSpaceDE w:val="0"/>
              <w:autoSpaceDN w:val="0"/>
              <w:spacing w:before="40" w:after="120"/>
              <w:ind w:left="108"/>
              <w:rPr>
                <w:rFonts w:cs="Times New Roman"/>
                <w:bCs/>
                <w:szCs w:val="20"/>
                <w:u w:val="double"/>
              </w:rPr>
            </w:pPr>
            <w:r w:rsidRPr="006152D5">
              <w:rPr>
                <w:rFonts w:cs="Times New Roman"/>
                <w:szCs w:val="20"/>
              </w:rPr>
              <w:t>[…]</w:t>
            </w:r>
          </w:p>
        </w:tc>
      </w:tr>
      <w:tr w:rsidR="0094086E" w14:paraId="54868F39" w14:textId="77777777" w:rsidTr="00490F00">
        <w:tc>
          <w:tcPr>
            <w:tcW w:w="2140" w:type="dxa"/>
          </w:tcPr>
          <w:p w14:paraId="5946E3C6" w14:textId="77777777" w:rsidR="0094086E" w:rsidRPr="00490F00" w:rsidRDefault="0094086E" w:rsidP="00233054">
            <w:pPr>
              <w:spacing w:before="40" w:after="40"/>
              <w:rPr>
                <w:rFonts w:cs="Times New Roman"/>
                <w:bCs/>
                <w:szCs w:val="20"/>
              </w:rPr>
            </w:pPr>
            <w:r w:rsidRPr="00490F00">
              <w:rPr>
                <w:rFonts w:cs="Times New Roman"/>
                <w:bCs/>
                <w:szCs w:val="20"/>
              </w:rPr>
              <w:t>4.7.7.</w:t>
            </w:r>
          </w:p>
        </w:tc>
        <w:tc>
          <w:tcPr>
            <w:tcW w:w="736" w:type="dxa"/>
          </w:tcPr>
          <w:p w14:paraId="0F9D0038" w14:textId="77777777" w:rsidR="0094086E" w:rsidRPr="00490F00" w:rsidRDefault="0094086E" w:rsidP="00233054">
            <w:pPr>
              <w:spacing w:before="40" w:after="40"/>
              <w:rPr>
                <w:rFonts w:cs="Times New Roman"/>
                <w:bCs/>
                <w:szCs w:val="20"/>
              </w:rPr>
            </w:pPr>
            <w:r w:rsidRPr="00490F00">
              <w:rPr>
                <w:rFonts w:cs="Times New Roman"/>
                <w:bCs/>
                <w:szCs w:val="20"/>
              </w:rPr>
              <w:t>73</w:t>
            </w:r>
          </w:p>
        </w:tc>
        <w:tc>
          <w:tcPr>
            <w:tcW w:w="6333" w:type="dxa"/>
          </w:tcPr>
          <w:p w14:paraId="151E1D4B" w14:textId="77777777" w:rsidR="0094086E" w:rsidRPr="006152D5" w:rsidRDefault="0094086E" w:rsidP="00233054">
            <w:pPr>
              <w:pStyle w:val="Titre4"/>
              <w:keepNext w:val="0"/>
              <w:keepLines w:val="0"/>
              <w:widowControl w:val="0"/>
              <w:numPr>
                <w:ilvl w:val="0"/>
                <w:numId w:val="29"/>
              </w:numPr>
              <w:tabs>
                <w:tab w:val="left" w:pos="532"/>
                <w:tab w:val="left" w:pos="533"/>
              </w:tabs>
              <w:autoSpaceDE w:val="0"/>
              <w:autoSpaceDN w:val="0"/>
              <w:spacing w:after="120"/>
              <w:ind w:left="108" w:hanging="425"/>
              <w:outlineLvl w:val="3"/>
              <w:rPr>
                <w:rFonts w:ascii="Times New Roman" w:hAnsi="Times New Roman" w:cs="Times New Roman"/>
                <w:color w:val="auto"/>
                <w:szCs w:val="20"/>
              </w:rPr>
            </w:pPr>
            <w:r w:rsidRPr="006152D5">
              <w:rPr>
                <w:rFonts w:ascii="Times New Roman" w:hAnsi="Times New Roman" w:cs="Times New Roman"/>
                <w:color w:val="auto"/>
                <w:szCs w:val="20"/>
                <w:u w:val="single"/>
              </w:rPr>
              <w:t>Rendering</w:t>
            </w:r>
          </w:p>
          <w:p w14:paraId="3F567B85" w14:textId="77777777" w:rsidR="0094086E" w:rsidRPr="006152D5" w:rsidRDefault="0094086E" w:rsidP="00233054">
            <w:pPr>
              <w:pStyle w:val="Corpsdetexte"/>
              <w:spacing w:before="40" w:after="120"/>
              <w:ind w:left="108" w:right="120"/>
              <w:jc w:val="both"/>
              <w:rPr>
                <w:rFonts w:ascii="Times New Roman" w:hAnsi="Times New Roman" w:cs="Times New Roman"/>
                <w:sz w:val="20"/>
                <w:szCs w:val="20"/>
              </w:rPr>
            </w:pPr>
            <w:r w:rsidRPr="006152D5">
              <w:rPr>
                <w:rFonts w:ascii="Times New Roman" w:hAnsi="Times New Roman" w:cs="Times New Roman"/>
                <w:sz w:val="20"/>
                <w:szCs w:val="20"/>
              </w:rPr>
              <w:t>[…]</w:t>
            </w:r>
          </w:p>
          <w:p w14:paraId="73CD7CC6" w14:textId="77777777" w:rsidR="0094086E" w:rsidRPr="006152D5" w:rsidRDefault="0094086E" w:rsidP="00233054">
            <w:pPr>
              <w:pStyle w:val="Corpsdetexte"/>
              <w:spacing w:before="40" w:after="120"/>
              <w:ind w:left="108" w:right="120"/>
              <w:jc w:val="both"/>
              <w:rPr>
                <w:rFonts w:ascii="Times New Roman" w:hAnsi="Times New Roman" w:cs="Times New Roman"/>
                <w:sz w:val="20"/>
                <w:szCs w:val="20"/>
              </w:rPr>
            </w:pPr>
            <w:r w:rsidRPr="006152D5">
              <w:rPr>
                <w:rFonts w:ascii="Times New Roman" w:hAnsi="Times New Roman" w:cs="Times New Roman"/>
                <w:sz w:val="20"/>
                <w:szCs w:val="20"/>
              </w:rPr>
              <w:t>The</w:t>
            </w:r>
            <w:r w:rsidRPr="006152D5">
              <w:rPr>
                <w:rFonts w:ascii="Times New Roman" w:hAnsi="Times New Roman" w:cs="Times New Roman"/>
                <w:spacing w:val="-9"/>
                <w:sz w:val="20"/>
                <w:szCs w:val="20"/>
              </w:rPr>
              <w:t xml:space="preserve"> </w:t>
            </w:r>
            <w:r w:rsidRPr="006152D5">
              <w:rPr>
                <w:rFonts w:ascii="Times New Roman" w:hAnsi="Times New Roman" w:cs="Times New Roman"/>
                <w:sz w:val="20"/>
                <w:szCs w:val="20"/>
              </w:rPr>
              <w:t>process</w:t>
            </w:r>
            <w:r w:rsidRPr="006152D5">
              <w:rPr>
                <w:rFonts w:ascii="Times New Roman" w:hAnsi="Times New Roman" w:cs="Times New Roman"/>
                <w:spacing w:val="-9"/>
                <w:sz w:val="20"/>
                <w:szCs w:val="20"/>
              </w:rPr>
              <w:t xml:space="preserve"> </w:t>
            </w:r>
            <w:r w:rsidRPr="006152D5">
              <w:rPr>
                <w:rFonts w:ascii="Times New Roman" w:hAnsi="Times New Roman" w:cs="Times New Roman"/>
                <w:sz w:val="20"/>
                <w:szCs w:val="20"/>
              </w:rPr>
              <w:t>typically</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involves</w:t>
            </w:r>
            <w:r w:rsidRPr="006152D5">
              <w:rPr>
                <w:rFonts w:ascii="Times New Roman" w:hAnsi="Times New Roman" w:cs="Times New Roman"/>
                <w:spacing w:val="-10"/>
                <w:sz w:val="20"/>
                <w:szCs w:val="20"/>
              </w:rPr>
              <w:t xml:space="preserve"> </w:t>
            </w:r>
            <w:r w:rsidRPr="006152D5">
              <w:rPr>
                <w:rFonts w:ascii="Times New Roman" w:hAnsi="Times New Roman" w:cs="Times New Roman"/>
                <w:sz w:val="20"/>
                <w:szCs w:val="20"/>
              </w:rPr>
              <w:t>pre-heating</w:t>
            </w:r>
            <w:r w:rsidRPr="006152D5">
              <w:rPr>
                <w:rFonts w:ascii="Times New Roman" w:hAnsi="Times New Roman" w:cs="Times New Roman"/>
                <w:spacing w:val="-9"/>
                <w:sz w:val="20"/>
                <w:szCs w:val="20"/>
              </w:rPr>
              <w:t xml:space="preserve"> </w:t>
            </w:r>
            <w:r w:rsidRPr="006152D5">
              <w:rPr>
                <w:rFonts w:ascii="Times New Roman" w:hAnsi="Times New Roman" w:cs="Times New Roman"/>
                <w:sz w:val="20"/>
                <w:szCs w:val="20"/>
              </w:rPr>
              <w:t>to</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50–60°C,</w:t>
            </w:r>
            <w:r w:rsidRPr="006152D5">
              <w:rPr>
                <w:rFonts w:ascii="Times New Roman" w:hAnsi="Times New Roman" w:cs="Times New Roman"/>
                <w:spacing w:val="-10"/>
                <w:sz w:val="20"/>
                <w:szCs w:val="20"/>
              </w:rPr>
              <w:t xml:space="preserve"> </w:t>
            </w:r>
            <w:r w:rsidRPr="006152D5">
              <w:rPr>
                <w:rFonts w:ascii="Times New Roman" w:hAnsi="Times New Roman" w:cs="Times New Roman"/>
                <w:sz w:val="20"/>
                <w:szCs w:val="20"/>
              </w:rPr>
              <w:t>followed</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by</w:t>
            </w:r>
            <w:r w:rsidRPr="006152D5">
              <w:rPr>
                <w:rFonts w:ascii="Times New Roman" w:hAnsi="Times New Roman" w:cs="Times New Roman"/>
                <w:spacing w:val="-9"/>
                <w:sz w:val="20"/>
                <w:szCs w:val="20"/>
              </w:rPr>
              <w:t xml:space="preserve"> </w:t>
            </w:r>
            <w:r w:rsidRPr="006152D5">
              <w:rPr>
                <w:rFonts w:ascii="Times New Roman" w:hAnsi="Times New Roman" w:cs="Times New Roman"/>
                <w:sz w:val="20"/>
                <w:szCs w:val="20"/>
              </w:rPr>
              <w:t>cooking</w:t>
            </w:r>
            <w:r w:rsidRPr="006152D5">
              <w:rPr>
                <w:rFonts w:ascii="Times New Roman" w:hAnsi="Times New Roman" w:cs="Times New Roman"/>
                <w:spacing w:val="-10"/>
                <w:sz w:val="20"/>
                <w:szCs w:val="20"/>
              </w:rPr>
              <w:t xml:space="preserve"> </w:t>
            </w:r>
            <w:r w:rsidRPr="006152D5">
              <w:rPr>
                <w:rFonts w:ascii="Times New Roman" w:hAnsi="Times New Roman" w:cs="Times New Roman"/>
                <w:sz w:val="20"/>
                <w:szCs w:val="20"/>
              </w:rPr>
              <w:t>of</w:t>
            </w:r>
            <w:r w:rsidRPr="006152D5">
              <w:rPr>
                <w:rFonts w:ascii="Times New Roman" w:hAnsi="Times New Roman" w:cs="Times New Roman"/>
                <w:spacing w:val="-9"/>
                <w:sz w:val="20"/>
                <w:szCs w:val="20"/>
              </w:rPr>
              <w:t xml:space="preserve"> </w:t>
            </w:r>
            <w:r w:rsidRPr="006152D5">
              <w:rPr>
                <w:rFonts w:ascii="Times New Roman" w:hAnsi="Times New Roman" w:cs="Times New Roman"/>
                <w:sz w:val="20"/>
                <w:szCs w:val="20"/>
              </w:rPr>
              <w:t>the</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raw</w:t>
            </w:r>
            <w:r w:rsidRPr="006152D5">
              <w:rPr>
                <w:rFonts w:ascii="Times New Roman" w:hAnsi="Times New Roman" w:cs="Times New Roman"/>
                <w:spacing w:val="-10"/>
                <w:sz w:val="20"/>
                <w:szCs w:val="20"/>
              </w:rPr>
              <w:t xml:space="preserve"> </w:t>
            </w:r>
            <w:r w:rsidRPr="006152D5">
              <w:rPr>
                <w:rFonts w:ascii="Times New Roman" w:hAnsi="Times New Roman" w:cs="Times New Roman"/>
                <w:i/>
                <w:iCs/>
                <w:sz w:val="20"/>
                <w:szCs w:val="20"/>
              </w:rPr>
              <w:t xml:space="preserve">aquatic animal </w:t>
            </w:r>
            <w:r w:rsidRPr="00685B5C">
              <w:rPr>
                <w:rFonts w:ascii="Times New Roman" w:hAnsi="Times New Roman" w:cs="Times New Roman"/>
                <w:bCs/>
                <w:i/>
                <w:iCs/>
                <w:sz w:val="20"/>
                <w:szCs w:val="20"/>
                <w:u w:val="double"/>
              </w:rPr>
              <w:t>waste</w:t>
            </w:r>
            <w:r w:rsidRPr="006152D5">
              <w:rPr>
                <w:rFonts w:ascii="Times New Roman" w:hAnsi="Times New Roman" w:cs="Times New Roman"/>
                <w:sz w:val="20"/>
                <w:szCs w:val="20"/>
              </w:rPr>
              <w:t xml:space="preserve"> at</w:t>
            </w:r>
            <w:r w:rsidRPr="006152D5">
              <w:rPr>
                <w:rFonts w:ascii="Times New Roman" w:hAnsi="Times New Roman" w:cs="Times New Roman"/>
                <w:spacing w:val="-9"/>
                <w:sz w:val="20"/>
                <w:szCs w:val="20"/>
              </w:rPr>
              <w:t xml:space="preserve"> </w:t>
            </w:r>
            <w:r w:rsidRPr="006152D5">
              <w:rPr>
                <w:rFonts w:ascii="Times New Roman" w:hAnsi="Times New Roman" w:cs="Times New Roman"/>
                <w:sz w:val="20"/>
                <w:szCs w:val="20"/>
              </w:rPr>
              <w:t>95–100°C</w:t>
            </w:r>
            <w:r w:rsidRPr="006152D5">
              <w:rPr>
                <w:rFonts w:ascii="Times New Roman" w:hAnsi="Times New Roman" w:cs="Times New Roman"/>
                <w:spacing w:val="-9"/>
                <w:sz w:val="20"/>
                <w:szCs w:val="20"/>
              </w:rPr>
              <w:t xml:space="preserve"> </w:t>
            </w:r>
            <w:r w:rsidRPr="006152D5">
              <w:rPr>
                <w:rFonts w:ascii="Times New Roman" w:hAnsi="Times New Roman" w:cs="Times New Roman"/>
                <w:sz w:val="20"/>
                <w:szCs w:val="20"/>
              </w:rPr>
              <w:t>for</w:t>
            </w:r>
            <w:r w:rsidRPr="006E6B08">
              <w:rPr>
                <w:rFonts w:ascii="Times New Roman" w:hAnsi="Times New Roman" w:cs="Times New Roman"/>
                <w:spacing w:val="-3"/>
                <w:sz w:val="20"/>
                <w:szCs w:val="20"/>
              </w:rPr>
              <w:t xml:space="preserve"> </w:t>
            </w:r>
            <w:r w:rsidRPr="006152D5">
              <w:rPr>
                <w:rFonts w:ascii="Times New Roman" w:hAnsi="Times New Roman" w:cs="Times New Roman"/>
                <w:sz w:val="20"/>
                <w:szCs w:val="20"/>
              </w:rPr>
              <w:t>15</w:t>
            </w:r>
            <w:r w:rsidRPr="006152D5">
              <w:rPr>
                <w:rFonts w:ascii="Times New Roman" w:hAnsi="Times New Roman" w:cs="Times New Roman"/>
                <w:spacing w:val="-9"/>
                <w:sz w:val="20"/>
                <w:szCs w:val="20"/>
              </w:rPr>
              <w:t xml:space="preserve"> </w:t>
            </w:r>
            <w:r w:rsidRPr="006152D5">
              <w:rPr>
                <w:rFonts w:ascii="Times New Roman" w:hAnsi="Times New Roman" w:cs="Times New Roman"/>
                <w:sz w:val="20"/>
                <w:szCs w:val="20"/>
              </w:rPr>
              <w:t>to 20 minutes. […]</w:t>
            </w:r>
          </w:p>
          <w:p w14:paraId="7098A927" w14:textId="77777777" w:rsidR="0094086E" w:rsidRPr="006152D5" w:rsidRDefault="0094086E" w:rsidP="00233054">
            <w:pPr>
              <w:pStyle w:val="Titre4"/>
              <w:keepNext w:val="0"/>
              <w:keepLines w:val="0"/>
              <w:widowControl w:val="0"/>
              <w:numPr>
                <w:ilvl w:val="0"/>
                <w:numId w:val="29"/>
              </w:numPr>
              <w:tabs>
                <w:tab w:val="left" w:pos="532"/>
                <w:tab w:val="left" w:pos="533"/>
              </w:tabs>
              <w:autoSpaceDE w:val="0"/>
              <w:autoSpaceDN w:val="0"/>
              <w:spacing w:after="120"/>
              <w:ind w:left="108"/>
              <w:outlineLvl w:val="3"/>
              <w:rPr>
                <w:rFonts w:ascii="Times New Roman" w:hAnsi="Times New Roman" w:cs="Times New Roman"/>
                <w:color w:val="auto"/>
                <w:szCs w:val="20"/>
              </w:rPr>
            </w:pPr>
            <w:r w:rsidRPr="006152D5">
              <w:rPr>
                <w:rFonts w:ascii="Times New Roman" w:hAnsi="Times New Roman" w:cs="Times New Roman"/>
                <w:color w:val="auto"/>
                <w:szCs w:val="20"/>
                <w:u w:val="single"/>
              </w:rPr>
              <w:t>Incineration</w:t>
            </w:r>
          </w:p>
          <w:p w14:paraId="2B9E2E76" w14:textId="13FAA0C4" w:rsidR="0094086E" w:rsidRPr="006152D5" w:rsidRDefault="0094086E" w:rsidP="00233054">
            <w:pPr>
              <w:pStyle w:val="Corpsdetexte"/>
              <w:spacing w:before="40" w:after="120"/>
              <w:ind w:left="108" w:right="119"/>
              <w:jc w:val="both"/>
              <w:rPr>
                <w:rFonts w:ascii="Times New Roman" w:hAnsi="Times New Roman" w:cs="Times New Roman"/>
                <w:sz w:val="20"/>
                <w:szCs w:val="20"/>
              </w:rPr>
            </w:pPr>
            <w:r w:rsidRPr="006152D5">
              <w:rPr>
                <w:rFonts w:ascii="Times New Roman" w:hAnsi="Times New Roman" w:cs="Times New Roman"/>
                <w:sz w:val="20"/>
                <w:szCs w:val="20"/>
              </w:rPr>
              <w:t>[…]</w:t>
            </w:r>
            <w:r w:rsidRPr="006152D5">
              <w:rPr>
                <w:rFonts w:ascii="Times New Roman" w:hAnsi="Times New Roman" w:cs="Times New Roman"/>
                <w:spacing w:val="-15"/>
                <w:sz w:val="20"/>
                <w:szCs w:val="20"/>
              </w:rPr>
              <w:t xml:space="preserve"> </w:t>
            </w:r>
            <w:r w:rsidRPr="006152D5">
              <w:rPr>
                <w:rFonts w:ascii="Times New Roman" w:hAnsi="Times New Roman" w:cs="Times New Roman"/>
                <w:sz w:val="20"/>
                <w:szCs w:val="20"/>
              </w:rPr>
              <w:t>Mobile air</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curtain</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incinerators</w:t>
            </w:r>
            <w:r w:rsidRPr="006152D5">
              <w:rPr>
                <w:rFonts w:ascii="Times New Roman" w:hAnsi="Times New Roman" w:cs="Times New Roman"/>
                <w:spacing w:val="-7"/>
                <w:sz w:val="20"/>
                <w:szCs w:val="20"/>
              </w:rPr>
              <w:t xml:space="preserve"> </w:t>
            </w:r>
            <w:r w:rsidRPr="006152D5">
              <w:rPr>
                <w:rFonts w:ascii="Times New Roman" w:hAnsi="Times New Roman" w:cs="Times New Roman"/>
                <w:sz w:val="20"/>
                <w:szCs w:val="20"/>
              </w:rPr>
              <w:t>enable</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the</w:t>
            </w:r>
            <w:r w:rsidRPr="006152D5">
              <w:rPr>
                <w:rFonts w:ascii="Times New Roman" w:hAnsi="Times New Roman" w:cs="Times New Roman"/>
                <w:spacing w:val="-7"/>
                <w:sz w:val="20"/>
                <w:szCs w:val="20"/>
              </w:rPr>
              <w:t xml:space="preserve"> </w:t>
            </w:r>
            <w:r w:rsidRPr="006152D5">
              <w:rPr>
                <w:rFonts w:ascii="Times New Roman" w:hAnsi="Times New Roman" w:cs="Times New Roman"/>
                <w:sz w:val="20"/>
                <w:szCs w:val="20"/>
              </w:rPr>
              <w:t>process</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to</w:t>
            </w:r>
            <w:r w:rsidRPr="006152D5">
              <w:rPr>
                <w:rFonts w:ascii="Times New Roman" w:hAnsi="Times New Roman" w:cs="Times New Roman"/>
                <w:spacing w:val="-7"/>
                <w:sz w:val="20"/>
                <w:szCs w:val="20"/>
              </w:rPr>
              <w:t xml:space="preserve"> </w:t>
            </w:r>
            <w:r w:rsidRPr="006152D5">
              <w:rPr>
                <w:rFonts w:ascii="Times New Roman" w:hAnsi="Times New Roman" w:cs="Times New Roman"/>
                <w:sz w:val="20"/>
                <w:szCs w:val="20"/>
              </w:rPr>
              <w:t>be</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carried</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out</w:t>
            </w:r>
            <w:r w:rsidRPr="006152D5">
              <w:rPr>
                <w:rFonts w:ascii="Times New Roman" w:hAnsi="Times New Roman" w:cs="Times New Roman"/>
                <w:spacing w:val="-7"/>
                <w:sz w:val="20"/>
                <w:szCs w:val="20"/>
              </w:rPr>
              <w:t xml:space="preserve"> </w:t>
            </w:r>
            <w:r w:rsidRPr="006152D5">
              <w:rPr>
                <w:rFonts w:ascii="Times New Roman" w:hAnsi="Times New Roman" w:cs="Times New Roman"/>
                <w:sz w:val="20"/>
                <w:szCs w:val="20"/>
              </w:rPr>
              <w:t>on</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site</w:t>
            </w:r>
            <w:r w:rsidRPr="006152D5">
              <w:rPr>
                <w:rFonts w:ascii="Times New Roman" w:hAnsi="Times New Roman" w:cs="Times New Roman"/>
                <w:spacing w:val="-7"/>
                <w:sz w:val="20"/>
                <w:szCs w:val="20"/>
              </w:rPr>
              <w:t xml:space="preserve"> </w:t>
            </w:r>
            <w:r w:rsidRPr="006152D5">
              <w:rPr>
                <w:rFonts w:ascii="Times New Roman" w:hAnsi="Times New Roman" w:cs="Times New Roman"/>
                <w:sz w:val="20"/>
                <w:szCs w:val="20"/>
              </w:rPr>
              <w:t>thus</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removing</w:t>
            </w:r>
            <w:r w:rsidRPr="006152D5">
              <w:rPr>
                <w:rFonts w:ascii="Times New Roman" w:hAnsi="Times New Roman" w:cs="Times New Roman"/>
                <w:spacing w:val="-7"/>
                <w:sz w:val="20"/>
                <w:szCs w:val="20"/>
              </w:rPr>
              <w:t xml:space="preserve"> </w:t>
            </w:r>
            <w:r w:rsidRPr="006152D5">
              <w:rPr>
                <w:rFonts w:ascii="Times New Roman" w:hAnsi="Times New Roman" w:cs="Times New Roman"/>
                <w:sz w:val="20"/>
                <w:szCs w:val="20"/>
              </w:rPr>
              <w:t>the</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need</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to</w:t>
            </w:r>
            <w:r w:rsidRPr="006152D5">
              <w:rPr>
                <w:rFonts w:ascii="Times New Roman" w:hAnsi="Times New Roman" w:cs="Times New Roman"/>
                <w:spacing w:val="-7"/>
                <w:sz w:val="20"/>
                <w:szCs w:val="20"/>
              </w:rPr>
              <w:t xml:space="preserve"> </w:t>
            </w:r>
            <w:r w:rsidRPr="006152D5">
              <w:rPr>
                <w:rFonts w:ascii="Times New Roman" w:hAnsi="Times New Roman" w:cs="Times New Roman"/>
                <w:sz w:val="20"/>
                <w:szCs w:val="20"/>
              </w:rPr>
              <w:t>transport</w:t>
            </w:r>
            <w:r w:rsidRPr="006152D5">
              <w:rPr>
                <w:rFonts w:ascii="Times New Roman" w:hAnsi="Times New Roman" w:cs="Times New Roman"/>
                <w:spacing w:val="-8"/>
                <w:sz w:val="20"/>
                <w:szCs w:val="20"/>
              </w:rPr>
              <w:t xml:space="preserve"> </w:t>
            </w:r>
            <w:r w:rsidRPr="006152D5">
              <w:rPr>
                <w:rFonts w:ascii="Times New Roman" w:hAnsi="Times New Roman" w:cs="Times New Roman"/>
                <w:sz w:val="20"/>
                <w:szCs w:val="20"/>
              </w:rPr>
              <w:t>the</w:t>
            </w:r>
            <w:r w:rsidRPr="006152D5">
              <w:rPr>
                <w:rFonts w:ascii="Times New Roman" w:hAnsi="Times New Roman" w:cs="Times New Roman"/>
                <w:spacing w:val="-7"/>
                <w:sz w:val="20"/>
                <w:szCs w:val="20"/>
              </w:rPr>
              <w:t xml:space="preserve"> </w:t>
            </w:r>
            <w:hyperlink w:anchor="_bookmark16" w:history="1">
              <w:r w:rsidRPr="006152D5">
                <w:rPr>
                  <w:rFonts w:ascii="Times New Roman" w:hAnsi="Times New Roman" w:cs="Times New Roman"/>
                  <w:i/>
                  <w:sz w:val="20"/>
                  <w:szCs w:val="20"/>
                </w:rPr>
                <w:t>aquatic</w:t>
              </w:r>
            </w:hyperlink>
            <w:r w:rsidRPr="006152D5">
              <w:rPr>
                <w:rFonts w:ascii="Times New Roman" w:hAnsi="Times New Roman" w:cs="Times New Roman"/>
                <w:i/>
                <w:sz w:val="20"/>
                <w:szCs w:val="20"/>
              </w:rPr>
              <w:t xml:space="preserve"> </w:t>
            </w:r>
            <w:hyperlink w:anchor="_bookmark16" w:history="1">
              <w:r w:rsidRPr="006152D5">
                <w:rPr>
                  <w:rFonts w:ascii="Times New Roman" w:hAnsi="Times New Roman" w:cs="Times New Roman"/>
                  <w:i/>
                  <w:sz w:val="20"/>
                  <w:szCs w:val="20"/>
                </w:rPr>
                <w:t>animal</w:t>
              </w:r>
            </w:hyperlink>
            <w:r w:rsidRPr="00685B5C">
              <w:rPr>
                <w:rFonts w:ascii="Times New Roman" w:hAnsi="Times New Roman" w:cs="Times New Roman"/>
                <w:bCs/>
                <w:i/>
                <w:iCs/>
                <w:sz w:val="20"/>
                <w:szCs w:val="20"/>
                <w:u w:val="double"/>
              </w:rPr>
              <w:t xml:space="preserve"> waste</w:t>
            </w:r>
            <w:r w:rsidRPr="006152D5">
              <w:rPr>
                <w:rFonts w:ascii="Times New Roman" w:hAnsi="Times New Roman" w:cs="Times New Roman"/>
                <w:sz w:val="20"/>
                <w:szCs w:val="20"/>
              </w:rPr>
              <w:t>.</w:t>
            </w:r>
          </w:p>
          <w:p w14:paraId="47AA369D" w14:textId="1E695E9F" w:rsidR="0094086E" w:rsidRPr="006152D5" w:rsidRDefault="0094086E" w:rsidP="00233054">
            <w:pPr>
              <w:pStyle w:val="Corpsdetexte"/>
              <w:spacing w:before="40" w:after="120"/>
              <w:ind w:left="108"/>
              <w:jc w:val="both"/>
              <w:rPr>
                <w:rFonts w:ascii="Times New Roman" w:hAnsi="Times New Roman" w:cs="Times New Roman"/>
                <w:sz w:val="20"/>
                <w:szCs w:val="20"/>
              </w:rPr>
            </w:pPr>
            <w:r w:rsidRPr="006152D5">
              <w:rPr>
                <w:rFonts w:ascii="Times New Roman" w:hAnsi="Times New Roman" w:cs="Times New Roman"/>
                <w:sz w:val="20"/>
                <w:szCs w:val="20"/>
              </w:rPr>
              <w:t xml:space="preserve">Incinerators may only be capable of handling limited volumes of </w:t>
            </w:r>
            <w:hyperlink w:anchor="_bookmark16" w:history="1">
              <w:r w:rsidRPr="006152D5">
                <w:rPr>
                  <w:rFonts w:ascii="Times New Roman" w:hAnsi="Times New Roman" w:cs="Times New Roman"/>
                  <w:i/>
                  <w:sz w:val="20"/>
                  <w:szCs w:val="20"/>
                </w:rPr>
                <w:t xml:space="preserve">aquatic animal </w:t>
              </w:r>
              <w:r w:rsidRPr="00685B5C">
                <w:rPr>
                  <w:rFonts w:ascii="Times New Roman" w:hAnsi="Times New Roman" w:cs="Times New Roman"/>
                  <w:bCs/>
                  <w:strike/>
                  <w:sz w:val="20"/>
                  <w:szCs w:val="20"/>
                </w:rPr>
                <w:t>waste</w:t>
              </w:r>
            </w:hyperlink>
            <w:r w:rsidRPr="00685B5C">
              <w:rPr>
                <w:rFonts w:ascii="Times New Roman" w:hAnsi="Times New Roman" w:cs="Times New Roman"/>
                <w:bCs/>
                <w:i/>
                <w:iCs/>
                <w:sz w:val="20"/>
                <w:szCs w:val="20"/>
                <w:u w:val="double"/>
              </w:rPr>
              <w:t xml:space="preserve"> waste</w:t>
            </w:r>
            <w:r w:rsidRPr="006152D5">
              <w:rPr>
                <w:rFonts w:ascii="Times New Roman" w:hAnsi="Times New Roman" w:cs="Times New Roman"/>
                <w:sz w:val="20"/>
                <w:szCs w:val="20"/>
              </w:rPr>
              <w:t>.</w:t>
            </w:r>
          </w:p>
          <w:p w14:paraId="6E6930EB" w14:textId="32A6E4F4" w:rsidR="00233054" w:rsidRPr="00685B5C" w:rsidRDefault="00233054" w:rsidP="00233054">
            <w:pPr>
              <w:pStyle w:val="Corpsdetexte"/>
              <w:spacing w:before="40" w:after="120"/>
              <w:ind w:left="108"/>
              <w:jc w:val="both"/>
              <w:rPr>
                <w:rFonts w:ascii="Times New Roman" w:hAnsi="Times New Roman" w:cs="Times New Roman"/>
                <w:bCs/>
                <w:sz w:val="20"/>
                <w:szCs w:val="20"/>
                <w:u w:val="double"/>
              </w:rPr>
            </w:pPr>
          </w:p>
        </w:tc>
      </w:tr>
      <w:tr w:rsidR="00233054" w14:paraId="1CBA25E9" w14:textId="77777777" w:rsidTr="00490F00">
        <w:tc>
          <w:tcPr>
            <w:tcW w:w="2140" w:type="dxa"/>
          </w:tcPr>
          <w:p w14:paraId="3FA3621A" w14:textId="3A665298" w:rsidR="00233054" w:rsidRPr="00490F00" w:rsidRDefault="00233054" w:rsidP="00233054">
            <w:pPr>
              <w:spacing w:before="40" w:after="40"/>
              <w:rPr>
                <w:rFonts w:cs="Times New Roman"/>
                <w:bCs/>
                <w:szCs w:val="20"/>
              </w:rPr>
            </w:pPr>
            <w:r w:rsidRPr="00490F00">
              <w:rPr>
                <w:rFonts w:cs="Times New Roman"/>
                <w:bCs/>
                <w:szCs w:val="20"/>
              </w:rPr>
              <w:t>4.7.7.</w:t>
            </w:r>
          </w:p>
        </w:tc>
        <w:tc>
          <w:tcPr>
            <w:tcW w:w="736" w:type="dxa"/>
          </w:tcPr>
          <w:p w14:paraId="79F7632C" w14:textId="625894C5" w:rsidR="00233054" w:rsidRPr="001D5EB7" w:rsidRDefault="00233054" w:rsidP="00233054">
            <w:pPr>
              <w:spacing w:before="40" w:after="40"/>
              <w:rPr>
                <w:rFonts w:cs="Times New Roman"/>
                <w:bCs/>
                <w:szCs w:val="20"/>
              </w:rPr>
            </w:pPr>
            <w:r w:rsidRPr="001D5EB7">
              <w:rPr>
                <w:rFonts w:cs="Times New Roman"/>
                <w:bCs/>
                <w:szCs w:val="20"/>
              </w:rPr>
              <w:t>74</w:t>
            </w:r>
          </w:p>
        </w:tc>
        <w:tc>
          <w:tcPr>
            <w:tcW w:w="6333" w:type="dxa"/>
          </w:tcPr>
          <w:p w14:paraId="00DC59A6" w14:textId="77777777" w:rsidR="00233054" w:rsidRPr="006152D5" w:rsidRDefault="00233054" w:rsidP="00233054">
            <w:pPr>
              <w:pStyle w:val="Titre4"/>
              <w:keepNext w:val="0"/>
              <w:keepLines w:val="0"/>
              <w:widowControl w:val="0"/>
              <w:numPr>
                <w:ilvl w:val="0"/>
                <w:numId w:val="30"/>
              </w:numPr>
              <w:tabs>
                <w:tab w:val="left" w:pos="532"/>
                <w:tab w:val="left" w:pos="533"/>
              </w:tabs>
              <w:autoSpaceDE w:val="0"/>
              <w:autoSpaceDN w:val="0"/>
              <w:spacing w:after="120"/>
              <w:ind w:left="108"/>
              <w:outlineLvl w:val="3"/>
              <w:rPr>
                <w:rFonts w:ascii="Times New Roman" w:hAnsi="Times New Roman" w:cs="Times New Roman"/>
                <w:color w:val="auto"/>
                <w:szCs w:val="20"/>
              </w:rPr>
            </w:pPr>
            <w:r w:rsidRPr="006152D5">
              <w:rPr>
                <w:rFonts w:ascii="Times New Roman" w:hAnsi="Times New Roman" w:cs="Times New Roman"/>
                <w:color w:val="auto"/>
                <w:szCs w:val="20"/>
                <w:u w:val="single"/>
              </w:rPr>
              <w:t>Ensiling</w:t>
            </w:r>
          </w:p>
          <w:p w14:paraId="2067D381" w14:textId="77777777" w:rsidR="00233054" w:rsidRPr="006152D5" w:rsidRDefault="00233054" w:rsidP="00233054">
            <w:pPr>
              <w:pStyle w:val="Corpsdetexte"/>
              <w:spacing w:before="40" w:after="120"/>
              <w:ind w:left="108" w:right="43"/>
              <w:rPr>
                <w:rFonts w:ascii="Times New Roman" w:hAnsi="Times New Roman" w:cs="Times New Roman"/>
                <w:sz w:val="20"/>
                <w:szCs w:val="20"/>
              </w:rPr>
            </w:pPr>
            <w:r w:rsidRPr="006152D5">
              <w:rPr>
                <w:rFonts w:ascii="Times New Roman" w:hAnsi="Times New Roman" w:cs="Times New Roman"/>
                <w:sz w:val="20"/>
                <w:szCs w:val="20"/>
              </w:rPr>
              <w:t>[…]</w:t>
            </w:r>
          </w:p>
          <w:p w14:paraId="22A4861F" w14:textId="0258C81C" w:rsidR="00233054" w:rsidRPr="006152D5" w:rsidRDefault="00233054" w:rsidP="00796F38">
            <w:pPr>
              <w:pStyle w:val="Corpsdetexte"/>
              <w:spacing w:before="40" w:after="120"/>
              <w:ind w:left="108" w:right="121"/>
              <w:jc w:val="both"/>
              <w:rPr>
                <w:rFonts w:ascii="Times New Roman" w:hAnsi="Times New Roman" w:cs="Times New Roman"/>
                <w:szCs w:val="20"/>
                <w:u w:val="single"/>
              </w:rPr>
            </w:pPr>
            <w:r w:rsidRPr="006152D5">
              <w:rPr>
                <w:rFonts w:ascii="Times New Roman" w:hAnsi="Times New Roman" w:cs="Times New Roman"/>
                <w:sz w:val="20"/>
                <w:szCs w:val="20"/>
              </w:rPr>
              <w:t>Ensiling</w:t>
            </w:r>
            <w:r w:rsidRPr="006152D5">
              <w:rPr>
                <w:rFonts w:ascii="Times New Roman" w:hAnsi="Times New Roman" w:cs="Times New Roman"/>
                <w:spacing w:val="-4"/>
                <w:sz w:val="20"/>
                <w:szCs w:val="20"/>
              </w:rPr>
              <w:t xml:space="preserve"> </w:t>
            </w:r>
            <w:r w:rsidRPr="006152D5">
              <w:rPr>
                <w:rFonts w:ascii="Times New Roman" w:hAnsi="Times New Roman" w:cs="Times New Roman"/>
                <w:sz w:val="20"/>
                <w:szCs w:val="20"/>
              </w:rPr>
              <w:t>of</w:t>
            </w:r>
            <w:r w:rsidRPr="006152D5">
              <w:rPr>
                <w:rFonts w:ascii="Times New Roman" w:hAnsi="Times New Roman" w:cs="Times New Roman"/>
                <w:spacing w:val="-4"/>
                <w:sz w:val="20"/>
                <w:szCs w:val="20"/>
              </w:rPr>
              <w:t xml:space="preserve"> </w:t>
            </w:r>
            <w:hyperlink w:anchor="_bookmark16" w:history="1">
              <w:r w:rsidRPr="006152D5">
                <w:rPr>
                  <w:rFonts w:ascii="Times New Roman" w:hAnsi="Times New Roman" w:cs="Times New Roman"/>
                  <w:i/>
                  <w:sz w:val="20"/>
                  <w:szCs w:val="20"/>
                </w:rPr>
                <w:t>aquatic</w:t>
              </w:r>
              <w:r w:rsidRPr="006152D5">
                <w:rPr>
                  <w:rFonts w:ascii="Times New Roman" w:hAnsi="Times New Roman" w:cs="Times New Roman"/>
                  <w:i/>
                  <w:spacing w:val="-5"/>
                  <w:sz w:val="20"/>
                  <w:szCs w:val="20"/>
                </w:rPr>
                <w:t xml:space="preserve"> </w:t>
              </w:r>
              <w:r w:rsidRPr="006152D5">
                <w:rPr>
                  <w:rFonts w:ascii="Times New Roman" w:hAnsi="Times New Roman" w:cs="Times New Roman"/>
                  <w:i/>
                  <w:sz w:val="20"/>
                  <w:szCs w:val="20"/>
                </w:rPr>
                <w:t xml:space="preserve">animal </w:t>
              </w:r>
              <w:r w:rsidRPr="00685B5C">
                <w:rPr>
                  <w:rFonts w:ascii="Times New Roman" w:hAnsi="Times New Roman" w:cs="Times New Roman"/>
                  <w:bCs/>
                  <w:strike/>
                  <w:sz w:val="20"/>
                  <w:szCs w:val="20"/>
                </w:rPr>
                <w:t>waste</w:t>
              </w:r>
            </w:hyperlink>
            <w:r w:rsidRPr="00685B5C">
              <w:rPr>
                <w:rFonts w:ascii="Times New Roman" w:hAnsi="Times New Roman" w:cs="Times New Roman"/>
                <w:bCs/>
                <w:i/>
                <w:iCs/>
                <w:sz w:val="20"/>
                <w:szCs w:val="20"/>
                <w:u w:val="double"/>
              </w:rPr>
              <w:t xml:space="preserve"> waste</w:t>
            </w:r>
            <w:r w:rsidRPr="006152D5">
              <w:rPr>
                <w:rFonts w:ascii="Times New Roman" w:hAnsi="Times New Roman" w:cs="Times New Roman"/>
                <w:sz w:val="20"/>
                <w:szCs w:val="20"/>
              </w:rPr>
              <w:t xml:space="preserve"> in</w:t>
            </w:r>
            <w:r w:rsidRPr="006152D5">
              <w:rPr>
                <w:rFonts w:ascii="Times New Roman" w:hAnsi="Times New Roman" w:cs="Times New Roman"/>
                <w:spacing w:val="-4"/>
                <w:sz w:val="20"/>
                <w:szCs w:val="20"/>
              </w:rPr>
              <w:t xml:space="preserve"> </w:t>
            </w:r>
            <w:r w:rsidRPr="006152D5">
              <w:rPr>
                <w:rFonts w:ascii="Times New Roman" w:hAnsi="Times New Roman" w:cs="Times New Roman"/>
                <w:sz w:val="20"/>
                <w:szCs w:val="20"/>
              </w:rPr>
              <w:t>an</w:t>
            </w:r>
            <w:r w:rsidRPr="006152D5">
              <w:rPr>
                <w:rFonts w:ascii="Times New Roman" w:hAnsi="Times New Roman" w:cs="Times New Roman"/>
                <w:spacing w:val="-3"/>
                <w:sz w:val="20"/>
                <w:szCs w:val="20"/>
              </w:rPr>
              <w:t xml:space="preserve"> </w:t>
            </w:r>
            <w:r w:rsidRPr="006152D5">
              <w:rPr>
                <w:rFonts w:ascii="Times New Roman" w:hAnsi="Times New Roman" w:cs="Times New Roman"/>
                <w:sz w:val="20"/>
                <w:szCs w:val="20"/>
              </w:rPr>
              <w:t>organic</w:t>
            </w:r>
            <w:r w:rsidRPr="006E6B08">
              <w:rPr>
                <w:rFonts w:ascii="Times New Roman" w:hAnsi="Times New Roman" w:cs="Times New Roman"/>
                <w:spacing w:val="-4"/>
                <w:sz w:val="20"/>
                <w:szCs w:val="20"/>
              </w:rPr>
              <w:t xml:space="preserve"> </w:t>
            </w:r>
            <w:r w:rsidRPr="006152D5">
              <w:rPr>
                <w:rFonts w:ascii="Times New Roman" w:hAnsi="Times New Roman" w:cs="Times New Roman"/>
                <w:sz w:val="20"/>
                <w:szCs w:val="20"/>
              </w:rPr>
              <w:t>acid</w:t>
            </w:r>
            <w:r w:rsidRPr="006152D5">
              <w:rPr>
                <w:rFonts w:ascii="Times New Roman" w:hAnsi="Times New Roman" w:cs="Times New Roman"/>
                <w:spacing w:val="-4"/>
                <w:sz w:val="20"/>
                <w:szCs w:val="20"/>
              </w:rPr>
              <w:t xml:space="preserve"> </w:t>
            </w:r>
            <w:r w:rsidRPr="006152D5">
              <w:rPr>
                <w:rFonts w:ascii="Times New Roman" w:hAnsi="Times New Roman" w:cs="Times New Roman"/>
                <w:sz w:val="20"/>
                <w:szCs w:val="20"/>
              </w:rPr>
              <w:t>such</w:t>
            </w:r>
            <w:r w:rsidRPr="006152D5">
              <w:rPr>
                <w:rFonts w:ascii="Times New Roman" w:hAnsi="Times New Roman" w:cs="Times New Roman"/>
                <w:spacing w:val="-3"/>
                <w:sz w:val="20"/>
                <w:szCs w:val="20"/>
              </w:rPr>
              <w:t xml:space="preserve"> </w:t>
            </w:r>
            <w:r w:rsidRPr="006152D5">
              <w:rPr>
                <w:rFonts w:ascii="Times New Roman" w:hAnsi="Times New Roman" w:cs="Times New Roman"/>
                <w:sz w:val="20"/>
                <w:szCs w:val="20"/>
              </w:rPr>
              <w:t>as</w:t>
            </w:r>
            <w:r w:rsidRPr="006152D5">
              <w:rPr>
                <w:rFonts w:ascii="Times New Roman" w:hAnsi="Times New Roman" w:cs="Times New Roman"/>
                <w:spacing w:val="-4"/>
                <w:sz w:val="20"/>
                <w:szCs w:val="20"/>
              </w:rPr>
              <w:t xml:space="preserve"> </w:t>
            </w:r>
            <w:r w:rsidRPr="006152D5">
              <w:rPr>
                <w:rFonts w:ascii="Times New Roman" w:hAnsi="Times New Roman" w:cs="Times New Roman"/>
                <w:sz w:val="20"/>
                <w:szCs w:val="20"/>
              </w:rPr>
              <w:t>formic</w:t>
            </w:r>
            <w:r w:rsidRPr="006152D5">
              <w:rPr>
                <w:rFonts w:ascii="Times New Roman" w:hAnsi="Times New Roman" w:cs="Times New Roman"/>
                <w:spacing w:val="-4"/>
                <w:sz w:val="20"/>
                <w:szCs w:val="20"/>
              </w:rPr>
              <w:t xml:space="preserve"> </w:t>
            </w:r>
            <w:r w:rsidRPr="006152D5">
              <w:rPr>
                <w:rFonts w:ascii="Times New Roman" w:hAnsi="Times New Roman" w:cs="Times New Roman"/>
                <w:sz w:val="20"/>
                <w:szCs w:val="20"/>
              </w:rPr>
              <w:t>acid</w:t>
            </w:r>
            <w:r w:rsidRPr="006152D5">
              <w:rPr>
                <w:rFonts w:ascii="Times New Roman" w:hAnsi="Times New Roman" w:cs="Times New Roman"/>
                <w:spacing w:val="-3"/>
                <w:sz w:val="20"/>
                <w:szCs w:val="20"/>
              </w:rPr>
              <w:t xml:space="preserve"> </w:t>
            </w:r>
            <w:r w:rsidRPr="006152D5">
              <w:rPr>
                <w:rFonts w:ascii="Times New Roman" w:hAnsi="Times New Roman" w:cs="Times New Roman"/>
                <w:sz w:val="20"/>
                <w:szCs w:val="20"/>
              </w:rPr>
              <w:t>is</w:t>
            </w:r>
            <w:r w:rsidRPr="006152D5">
              <w:rPr>
                <w:rFonts w:ascii="Times New Roman" w:hAnsi="Times New Roman" w:cs="Times New Roman"/>
                <w:spacing w:val="-4"/>
                <w:sz w:val="20"/>
                <w:szCs w:val="20"/>
              </w:rPr>
              <w:t xml:space="preserve"> </w:t>
            </w:r>
            <w:r w:rsidRPr="006152D5">
              <w:rPr>
                <w:rFonts w:ascii="Times New Roman" w:hAnsi="Times New Roman" w:cs="Times New Roman"/>
                <w:sz w:val="20"/>
                <w:szCs w:val="20"/>
              </w:rPr>
              <w:t>an</w:t>
            </w:r>
            <w:r w:rsidRPr="006152D5">
              <w:rPr>
                <w:rFonts w:ascii="Times New Roman" w:hAnsi="Times New Roman" w:cs="Times New Roman"/>
                <w:spacing w:val="-4"/>
                <w:sz w:val="20"/>
                <w:szCs w:val="20"/>
              </w:rPr>
              <w:t xml:space="preserve"> </w:t>
            </w:r>
            <w:r w:rsidRPr="006152D5">
              <w:rPr>
                <w:rFonts w:ascii="Times New Roman" w:hAnsi="Times New Roman" w:cs="Times New Roman"/>
                <w:sz w:val="20"/>
                <w:szCs w:val="20"/>
              </w:rPr>
              <w:t>effective</w:t>
            </w:r>
            <w:r w:rsidRPr="006152D5">
              <w:rPr>
                <w:rFonts w:ascii="Times New Roman" w:hAnsi="Times New Roman" w:cs="Times New Roman"/>
                <w:spacing w:val="-4"/>
                <w:sz w:val="20"/>
                <w:szCs w:val="20"/>
              </w:rPr>
              <w:t xml:space="preserve"> </w:t>
            </w:r>
            <w:r w:rsidRPr="006152D5">
              <w:rPr>
                <w:rFonts w:ascii="Times New Roman" w:hAnsi="Times New Roman" w:cs="Times New Roman"/>
                <w:sz w:val="20"/>
                <w:szCs w:val="20"/>
              </w:rPr>
              <w:t>method</w:t>
            </w:r>
            <w:r w:rsidRPr="006152D5">
              <w:rPr>
                <w:rFonts w:ascii="Times New Roman" w:hAnsi="Times New Roman" w:cs="Times New Roman"/>
                <w:spacing w:val="-3"/>
                <w:sz w:val="20"/>
                <w:szCs w:val="20"/>
              </w:rPr>
              <w:t xml:space="preserve"> </w:t>
            </w:r>
            <w:r w:rsidRPr="006152D5">
              <w:rPr>
                <w:rFonts w:ascii="Times New Roman" w:hAnsi="Times New Roman" w:cs="Times New Roman"/>
                <w:sz w:val="20"/>
                <w:szCs w:val="20"/>
              </w:rPr>
              <w:t>of</w:t>
            </w:r>
            <w:r w:rsidRPr="006152D5">
              <w:rPr>
                <w:rFonts w:ascii="Times New Roman" w:hAnsi="Times New Roman" w:cs="Times New Roman"/>
                <w:spacing w:val="-4"/>
                <w:sz w:val="20"/>
                <w:szCs w:val="20"/>
              </w:rPr>
              <w:t xml:space="preserve"> </w:t>
            </w:r>
            <w:r w:rsidRPr="006152D5">
              <w:rPr>
                <w:rFonts w:ascii="Times New Roman" w:hAnsi="Times New Roman" w:cs="Times New Roman"/>
                <w:sz w:val="20"/>
                <w:szCs w:val="20"/>
              </w:rPr>
              <w:t>inactivating</w:t>
            </w:r>
            <w:r w:rsidRPr="006152D5">
              <w:rPr>
                <w:rFonts w:ascii="Times New Roman" w:hAnsi="Times New Roman" w:cs="Times New Roman"/>
                <w:spacing w:val="-4"/>
                <w:sz w:val="20"/>
                <w:szCs w:val="20"/>
              </w:rPr>
              <w:t xml:space="preserve"> </w:t>
            </w:r>
            <w:r w:rsidRPr="006152D5">
              <w:rPr>
                <w:rFonts w:ascii="Times New Roman" w:hAnsi="Times New Roman" w:cs="Times New Roman"/>
                <w:sz w:val="20"/>
                <w:szCs w:val="20"/>
              </w:rPr>
              <w:t xml:space="preserve">most </w:t>
            </w:r>
            <w:hyperlink w:anchor="_bookmark93" w:history="1">
              <w:r w:rsidRPr="006152D5">
                <w:rPr>
                  <w:rFonts w:ascii="Times New Roman" w:hAnsi="Times New Roman" w:cs="Times New Roman"/>
                  <w:i/>
                  <w:sz w:val="20"/>
                  <w:szCs w:val="20"/>
                </w:rPr>
                <w:t>pathogenic agents</w:t>
              </w:r>
            </w:hyperlink>
            <w:r w:rsidRPr="006152D5">
              <w:rPr>
                <w:rFonts w:ascii="Times New Roman" w:hAnsi="Times New Roman" w:cs="Times New Roman"/>
                <w:i/>
                <w:sz w:val="20"/>
                <w:szCs w:val="20"/>
              </w:rPr>
              <w:t xml:space="preserve"> </w:t>
            </w:r>
            <w:r w:rsidRPr="006152D5">
              <w:rPr>
                <w:rFonts w:ascii="Times New Roman" w:hAnsi="Times New Roman" w:cs="Times New Roman"/>
                <w:sz w:val="20"/>
                <w:szCs w:val="20"/>
              </w:rPr>
              <w:t>within 48 hours. […]</w:t>
            </w:r>
          </w:p>
        </w:tc>
      </w:tr>
    </w:tbl>
    <w:p w14:paraId="1FCCF7FF" w14:textId="337F04C4" w:rsidR="00233054" w:rsidRDefault="00233054" w:rsidP="00233054">
      <w:pPr>
        <w:spacing w:after="480" w:line="240" w:lineRule="auto"/>
        <w:jc w:val="right"/>
      </w:pPr>
      <w:r>
        <w:br w:type="page"/>
      </w: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sidR="00FC6CE0">
        <w:rPr>
          <w:rFonts w:cs="Times New Roman"/>
          <w:bCs/>
          <w:iCs/>
          <w:szCs w:val="20"/>
          <w:u w:val="single"/>
        </w:rPr>
        <w:t>8</w:t>
      </w:r>
      <w:r w:rsidR="00FC6CE0" w:rsidRPr="00233054">
        <w:rPr>
          <w:rFonts w:cs="Times New Roman"/>
          <w:bCs/>
          <w:iCs/>
          <w:szCs w:val="20"/>
        </w:rPr>
        <w:t xml:space="preserve"> </w:t>
      </w:r>
      <w:r w:rsidRPr="00233054">
        <w:rPr>
          <w:rFonts w:cs="Times New Roman"/>
          <w:bCs/>
          <w:iCs/>
          <w:szCs w:val="20"/>
        </w:rPr>
        <w:t>(contd)</w:t>
      </w:r>
    </w:p>
    <w:tbl>
      <w:tblPr>
        <w:tblStyle w:val="Grilledutableau"/>
        <w:tblW w:w="9209" w:type="dxa"/>
        <w:tblLook w:val="04A0" w:firstRow="1" w:lastRow="0" w:firstColumn="1" w:lastColumn="0" w:noHBand="0" w:noVBand="1"/>
      </w:tblPr>
      <w:tblGrid>
        <w:gridCol w:w="2140"/>
        <w:gridCol w:w="736"/>
        <w:gridCol w:w="6333"/>
      </w:tblGrid>
      <w:tr w:rsidR="0094086E" w14:paraId="2C1572A5" w14:textId="77777777" w:rsidTr="00490F00">
        <w:tc>
          <w:tcPr>
            <w:tcW w:w="2140" w:type="dxa"/>
          </w:tcPr>
          <w:p w14:paraId="49314E41" w14:textId="5C861B2A" w:rsidR="0094086E" w:rsidRPr="00490F00" w:rsidRDefault="00233054" w:rsidP="00233054">
            <w:pPr>
              <w:spacing w:before="40" w:after="120"/>
              <w:rPr>
                <w:rFonts w:cs="Times New Roman"/>
                <w:bCs/>
                <w:szCs w:val="20"/>
              </w:rPr>
            </w:pPr>
            <w:r>
              <w:br w:type="page"/>
            </w:r>
            <w:r w:rsidR="0094086E" w:rsidRPr="00490F00">
              <w:rPr>
                <w:rFonts w:cs="Times New Roman"/>
                <w:bCs/>
                <w:szCs w:val="20"/>
              </w:rPr>
              <w:t>4.7.7.</w:t>
            </w:r>
          </w:p>
        </w:tc>
        <w:tc>
          <w:tcPr>
            <w:tcW w:w="736" w:type="dxa"/>
          </w:tcPr>
          <w:p w14:paraId="0393F792" w14:textId="77777777" w:rsidR="0094086E" w:rsidRPr="00490F00" w:rsidRDefault="0094086E" w:rsidP="00233054">
            <w:pPr>
              <w:spacing w:before="40" w:after="120"/>
              <w:rPr>
                <w:rFonts w:cs="Times New Roman"/>
                <w:bCs/>
                <w:szCs w:val="20"/>
              </w:rPr>
            </w:pPr>
            <w:r w:rsidRPr="00490F00">
              <w:rPr>
                <w:rFonts w:cs="Times New Roman"/>
                <w:bCs/>
                <w:szCs w:val="20"/>
              </w:rPr>
              <w:t>74</w:t>
            </w:r>
          </w:p>
        </w:tc>
        <w:tc>
          <w:tcPr>
            <w:tcW w:w="6333" w:type="dxa"/>
          </w:tcPr>
          <w:p w14:paraId="57F4694A" w14:textId="77777777" w:rsidR="0094086E" w:rsidRPr="006E6B08" w:rsidRDefault="0094086E" w:rsidP="00233054">
            <w:pPr>
              <w:pStyle w:val="Titre4"/>
              <w:keepNext w:val="0"/>
              <w:keepLines w:val="0"/>
              <w:widowControl w:val="0"/>
              <w:numPr>
                <w:ilvl w:val="0"/>
                <w:numId w:val="30"/>
              </w:numPr>
              <w:tabs>
                <w:tab w:val="left" w:pos="532"/>
                <w:tab w:val="left" w:pos="533"/>
              </w:tabs>
              <w:autoSpaceDE w:val="0"/>
              <w:autoSpaceDN w:val="0"/>
              <w:spacing w:after="120"/>
              <w:ind w:left="108"/>
              <w:outlineLvl w:val="3"/>
              <w:rPr>
                <w:rFonts w:ascii="Times New Roman" w:hAnsi="Times New Roman" w:cs="Times New Roman"/>
                <w:color w:val="auto"/>
                <w:szCs w:val="20"/>
              </w:rPr>
            </w:pPr>
            <w:r w:rsidRPr="006E6B08">
              <w:rPr>
                <w:rFonts w:ascii="Times New Roman" w:hAnsi="Times New Roman" w:cs="Times New Roman"/>
                <w:color w:val="auto"/>
                <w:szCs w:val="20"/>
                <w:u w:val="single"/>
              </w:rPr>
              <w:t>Burial</w:t>
            </w:r>
          </w:p>
          <w:p w14:paraId="567821A2" w14:textId="77777777" w:rsidR="0094086E" w:rsidRPr="006E6B08" w:rsidRDefault="0094086E" w:rsidP="00233054">
            <w:pPr>
              <w:pStyle w:val="Corpsdetexte"/>
              <w:spacing w:before="40" w:after="120"/>
              <w:ind w:left="108"/>
              <w:rPr>
                <w:rFonts w:ascii="Times New Roman" w:hAnsi="Times New Roman" w:cs="Times New Roman"/>
                <w:sz w:val="20"/>
                <w:szCs w:val="20"/>
              </w:rPr>
            </w:pPr>
            <w:r w:rsidRPr="006E6B08">
              <w:rPr>
                <w:rFonts w:ascii="Times New Roman" w:hAnsi="Times New Roman" w:cs="Times New Roman"/>
                <w:sz w:val="20"/>
                <w:szCs w:val="20"/>
              </w:rPr>
              <w:t>[…]</w:t>
            </w:r>
          </w:p>
          <w:p w14:paraId="59AF3751" w14:textId="1DB105D4" w:rsidR="0094086E" w:rsidRPr="006E6B08" w:rsidRDefault="0094086E" w:rsidP="00233054">
            <w:pPr>
              <w:pStyle w:val="Corpsdetexte"/>
              <w:spacing w:before="40" w:after="120"/>
              <w:ind w:left="108"/>
              <w:rPr>
                <w:rFonts w:ascii="Times New Roman" w:hAnsi="Times New Roman" w:cs="Times New Roman"/>
                <w:sz w:val="20"/>
                <w:szCs w:val="20"/>
              </w:rPr>
            </w:pPr>
            <w:r w:rsidRPr="006E6B08">
              <w:rPr>
                <w:rFonts w:ascii="Times New Roman" w:hAnsi="Times New Roman" w:cs="Times New Roman"/>
                <w:sz w:val="20"/>
                <w:szCs w:val="20"/>
              </w:rPr>
              <w:t xml:space="preserve">Whenever possible, the </w:t>
            </w:r>
            <w:hyperlink w:anchor="_bookmark16" w:history="1">
              <w:r w:rsidRPr="006E6B08">
                <w:rPr>
                  <w:rFonts w:ascii="Times New Roman" w:hAnsi="Times New Roman" w:cs="Times New Roman"/>
                  <w:i/>
                  <w:sz w:val="20"/>
                  <w:szCs w:val="20"/>
                </w:rPr>
                <w:t xml:space="preserve">aquatic animal </w:t>
              </w:r>
              <w:r w:rsidRPr="00685B5C">
                <w:rPr>
                  <w:rFonts w:ascii="Times New Roman" w:hAnsi="Times New Roman" w:cs="Times New Roman"/>
                  <w:bCs/>
                  <w:strike/>
                  <w:sz w:val="20"/>
                  <w:szCs w:val="20"/>
                </w:rPr>
                <w:t>waste</w:t>
              </w:r>
            </w:hyperlink>
            <w:r w:rsidRPr="00685B5C">
              <w:rPr>
                <w:rFonts w:ascii="Times New Roman" w:hAnsi="Times New Roman" w:cs="Times New Roman"/>
                <w:bCs/>
                <w:i/>
                <w:iCs/>
                <w:sz w:val="20"/>
                <w:szCs w:val="20"/>
                <w:u w:val="double"/>
              </w:rPr>
              <w:t xml:space="preserve"> waste</w:t>
            </w:r>
            <w:r w:rsidRPr="006E6B08">
              <w:rPr>
                <w:rFonts w:ascii="Times New Roman" w:hAnsi="Times New Roman" w:cs="Times New Roman"/>
                <w:sz w:val="20"/>
                <w:szCs w:val="20"/>
              </w:rPr>
              <w:t xml:space="preserve"> should be subjected to a treatment that ensures inactivation of the </w:t>
            </w:r>
            <w:hyperlink w:anchor="_bookmark93" w:history="1">
              <w:r w:rsidRPr="006E6B08">
                <w:rPr>
                  <w:rFonts w:ascii="Times New Roman" w:hAnsi="Times New Roman" w:cs="Times New Roman"/>
                  <w:i/>
                  <w:sz w:val="20"/>
                  <w:szCs w:val="20"/>
                </w:rPr>
                <w:t xml:space="preserve">pathogenic agents </w:t>
              </w:r>
            </w:hyperlink>
            <w:r w:rsidRPr="006E6B08">
              <w:rPr>
                <w:rFonts w:ascii="Times New Roman" w:hAnsi="Times New Roman" w:cs="Times New Roman"/>
                <w:sz w:val="20"/>
                <w:szCs w:val="20"/>
              </w:rPr>
              <w:t>prior to burial.</w:t>
            </w:r>
          </w:p>
          <w:p w14:paraId="31E9F4BF" w14:textId="77777777" w:rsidR="0094086E" w:rsidRPr="006E6B08" w:rsidRDefault="0094086E" w:rsidP="00233054">
            <w:pPr>
              <w:pStyle w:val="Corpsdetexte"/>
              <w:spacing w:before="40" w:after="120"/>
              <w:ind w:left="108"/>
              <w:rPr>
                <w:rFonts w:ascii="Times New Roman" w:hAnsi="Times New Roman" w:cs="Times New Roman"/>
                <w:sz w:val="20"/>
                <w:szCs w:val="20"/>
              </w:rPr>
            </w:pPr>
            <w:r w:rsidRPr="006E6B08">
              <w:rPr>
                <w:rFonts w:ascii="Times New Roman" w:hAnsi="Times New Roman" w:cs="Times New Roman"/>
                <w:sz w:val="20"/>
                <w:szCs w:val="20"/>
              </w:rPr>
              <w:t>In selecting an acceptable burial site, consideration should be given to the following:</w:t>
            </w:r>
          </w:p>
          <w:p w14:paraId="775F0073" w14:textId="77777777" w:rsidR="0094086E" w:rsidRPr="006E6B08" w:rsidRDefault="0094086E" w:rsidP="00233054">
            <w:pPr>
              <w:pStyle w:val="Corpsdetexte"/>
              <w:spacing w:before="40" w:after="120"/>
              <w:ind w:left="108"/>
              <w:rPr>
                <w:rFonts w:ascii="Times New Roman" w:hAnsi="Times New Roman" w:cs="Times New Roman"/>
                <w:sz w:val="20"/>
                <w:szCs w:val="20"/>
              </w:rPr>
            </w:pPr>
            <w:r w:rsidRPr="006E6B08">
              <w:rPr>
                <w:rFonts w:ascii="Times New Roman" w:hAnsi="Times New Roman" w:cs="Times New Roman"/>
                <w:sz w:val="20"/>
                <w:szCs w:val="20"/>
              </w:rPr>
              <w:t>[…]</w:t>
            </w:r>
          </w:p>
          <w:p w14:paraId="12A13D68" w14:textId="6F374C8C" w:rsidR="0094086E" w:rsidRPr="006E6B08" w:rsidRDefault="0094086E" w:rsidP="00233054">
            <w:pPr>
              <w:pStyle w:val="Paragraphedeliste"/>
              <w:widowControl w:val="0"/>
              <w:numPr>
                <w:ilvl w:val="0"/>
                <w:numId w:val="31"/>
              </w:numPr>
              <w:tabs>
                <w:tab w:val="left" w:pos="957"/>
                <w:tab w:val="left" w:pos="958"/>
              </w:tabs>
              <w:autoSpaceDE w:val="0"/>
              <w:autoSpaceDN w:val="0"/>
              <w:spacing w:before="40" w:after="120"/>
              <w:ind w:left="108" w:right="121"/>
              <w:contextualSpacing w:val="0"/>
              <w:rPr>
                <w:rFonts w:cs="Times New Roman"/>
                <w:szCs w:val="20"/>
              </w:rPr>
            </w:pPr>
            <w:r w:rsidRPr="006E6B08">
              <w:rPr>
                <w:rFonts w:cs="Times New Roman"/>
                <w:szCs w:val="20"/>
              </w:rPr>
              <w:t>Access</w:t>
            </w:r>
            <w:r w:rsidRPr="006E6B08">
              <w:rPr>
                <w:rFonts w:cs="Times New Roman"/>
                <w:spacing w:val="-13"/>
                <w:szCs w:val="20"/>
              </w:rPr>
              <w:t xml:space="preserve"> </w:t>
            </w:r>
            <w:r w:rsidRPr="006E6B08">
              <w:rPr>
                <w:rFonts w:cs="Times New Roman"/>
                <w:szCs w:val="20"/>
              </w:rPr>
              <w:t>–</w:t>
            </w:r>
            <w:r w:rsidRPr="006E6B08">
              <w:rPr>
                <w:rFonts w:cs="Times New Roman"/>
                <w:spacing w:val="-12"/>
                <w:szCs w:val="20"/>
              </w:rPr>
              <w:t xml:space="preserve"> </w:t>
            </w:r>
            <w:r w:rsidRPr="006E6B08">
              <w:rPr>
                <w:rFonts w:cs="Times New Roman"/>
                <w:szCs w:val="20"/>
              </w:rPr>
              <w:t>easy</w:t>
            </w:r>
            <w:r w:rsidRPr="006E6B08">
              <w:rPr>
                <w:rFonts w:cs="Times New Roman"/>
                <w:spacing w:val="-12"/>
                <w:szCs w:val="20"/>
              </w:rPr>
              <w:t xml:space="preserve"> </w:t>
            </w:r>
            <w:r w:rsidRPr="006E6B08">
              <w:rPr>
                <w:rFonts w:cs="Times New Roman"/>
                <w:szCs w:val="20"/>
              </w:rPr>
              <w:t>access</w:t>
            </w:r>
            <w:r w:rsidRPr="006E6B08">
              <w:rPr>
                <w:rFonts w:cs="Times New Roman"/>
                <w:spacing w:val="-12"/>
                <w:szCs w:val="20"/>
              </w:rPr>
              <w:t xml:space="preserve"> </w:t>
            </w:r>
            <w:r w:rsidRPr="006E6B08">
              <w:rPr>
                <w:rFonts w:cs="Times New Roman"/>
                <w:szCs w:val="20"/>
              </w:rPr>
              <w:t>for</w:t>
            </w:r>
            <w:r w:rsidRPr="006E6B08">
              <w:rPr>
                <w:rFonts w:cs="Times New Roman"/>
                <w:spacing w:val="-13"/>
                <w:szCs w:val="20"/>
              </w:rPr>
              <w:t xml:space="preserve"> </w:t>
            </w:r>
            <w:r w:rsidRPr="006E6B08">
              <w:rPr>
                <w:rFonts w:cs="Times New Roman"/>
                <w:szCs w:val="20"/>
              </w:rPr>
              <w:t>equipment</w:t>
            </w:r>
            <w:r w:rsidRPr="006E6B08">
              <w:rPr>
                <w:rFonts w:cs="Times New Roman"/>
                <w:spacing w:val="-12"/>
                <w:szCs w:val="20"/>
              </w:rPr>
              <w:t xml:space="preserve"> </w:t>
            </w:r>
            <w:r w:rsidRPr="006E6B08">
              <w:rPr>
                <w:rFonts w:cs="Times New Roman"/>
                <w:szCs w:val="20"/>
              </w:rPr>
              <w:t>and</w:t>
            </w:r>
            <w:r w:rsidRPr="006E6B08">
              <w:rPr>
                <w:rFonts w:cs="Times New Roman"/>
                <w:spacing w:val="-12"/>
                <w:szCs w:val="20"/>
              </w:rPr>
              <w:t xml:space="preserve"> </w:t>
            </w:r>
            <w:r w:rsidRPr="006E6B08">
              <w:rPr>
                <w:rFonts w:cs="Times New Roman"/>
                <w:szCs w:val="20"/>
              </w:rPr>
              <w:t>delivery</w:t>
            </w:r>
            <w:r w:rsidRPr="006E6B08">
              <w:rPr>
                <w:rFonts w:cs="Times New Roman"/>
                <w:spacing w:val="-12"/>
                <w:szCs w:val="20"/>
              </w:rPr>
              <w:t xml:space="preserve"> </w:t>
            </w:r>
            <w:r w:rsidRPr="006E6B08">
              <w:rPr>
                <w:rFonts w:cs="Times New Roman"/>
                <w:szCs w:val="20"/>
              </w:rPr>
              <w:t>of</w:t>
            </w:r>
            <w:r w:rsidRPr="006E6B08">
              <w:rPr>
                <w:rFonts w:cs="Times New Roman"/>
                <w:spacing w:val="-13"/>
                <w:szCs w:val="20"/>
              </w:rPr>
              <w:t xml:space="preserve"> </w:t>
            </w:r>
            <w:r w:rsidRPr="006E6B08">
              <w:rPr>
                <w:rFonts w:cs="Times New Roman"/>
                <w:i/>
                <w:iCs/>
                <w:szCs w:val="20"/>
              </w:rPr>
              <w:t>aquatic</w:t>
            </w:r>
            <w:r w:rsidRPr="006E6B08">
              <w:rPr>
                <w:rFonts w:cs="Times New Roman"/>
                <w:spacing w:val="-12"/>
                <w:szCs w:val="20"/>
              </w:rPr>
              <w:t xml:space="preserve"> </w:t>
            </w:r>
            <w:r w:rsidRPr="006E6B08">
              <w:rPr>
                <w:rFonts w:cs="Times New Roman"/>
                <w:i/>
                <w:iCs/>
                <w:szCs w:val="20"/>
              </w:rPr>
              <w:t xml:space="preserve">animal </w:t>
            </w:r>
            <w:r w:rsidRPr="00685B5C">
              <w:rPr>
                <w:rFonts w:cs="Times New Roman"/>
                <w:strike/>
                <w:szCs w:val="20"/>
              </w:rPr>
              <w:t>waste</w:t>
            </w:r>
            <w:r w:rsidRPr="006E6B08">
              <w:rPr>
                <w:rFonts w:cs="Times New Roman"/>
                <w:spacing w:val="-12"/>
                <w:szCs w:val="20"/>
              </w:rPr>
              <w:t xml:space="preserve"> </w:t>
            </w:r>
            <w:r w:rsidRPr="00685B5C">
              <w:rPr>
                <w:rFonts w:cs="Times New Roman"/>
                <w:bCs/>
                <w:i/>
                <w:iCs/>
                <w:szCs w:val="20"/>
                <w:u w:val="double"/>
              </w:rPr>
              <w:t>waste</w:t>
            </w:r>
            <w:r w:rsidRPr="006E6B08">
              <w:rPr>
                <w:rFonts w:cs="Times New Roman"/>
                <w:szCs w:val="20"/>
              </w:rPr>
              <w:t>.</w:t>
            </w:r>
            <w:r w:rsidRPr="006E6B08">
              <w:rPr>
                <w:rFonts w:cs="Times New Roman"/>
                <w:spacing w:val="-12"/>
                <w:szCs w:val="20"/>
              </w:rPr>
              <w:t xml:space="preserve"> </w:t>
            </w:r>
            <w:r w:rsidRPr="006E6B08">
              <w:rPr>
                <w:rFonts w:cs="Times New Roman"/>
                <w:szCs w:val="20"/>
              </w:rPr>
              <w:t>Fencing</w:t>
            </w:r>
            <w:r w:rsidRPr="006E6B08">
              <w:rPr>
                <w:rFonts w:cs="Times New Roman"/>
                <w:spacing w:val="-13"/>
                <w:szCs w:val="20"/>
              </w:rPr>
              <w:t xml:space="preserve"> </w:t>
            </w:r>
            <w:r w:rsidRPr="006E6B08">
              <w:rPr>
                <w:rFonts w:cs="Times New Roman"/>
                <w:szCs w:val="20"/>
              </w:rPr>
              <w:t>and</w:t>
            </w:r>
            <w:r w:rsidRPr="006E6B08">
              <w:rPr>
                <w:rFonts w:cs="Times New Roman"/>
                <w:spacing w:val="-12"/>
                <w:szCs w:val="20"/>
              </w:rPr>
              <w:t xml:space="preserve"> </w:t>
            </w:r>
            <w:r w:rsidRPr="006E6B08">
              <w:rPr>
                <w:rFonts w:cs="Times New Roman"/>
                <w:szCs w:val="20"/>
              </w:rPr>
              <w:t>restricted</w:t>
            </w:r>
            <w:r w:rsidRPr="006E6B08">
              <w:rPr>
                <w:rFonts w:cs="Times New Roman"/>
                <w:spacing w:val="-12"/>
                <w:szCs w:val="20"/>
              </w:rPr>
              <w:t xml:space="preserve"> </w:t>
            </w:r>
            <w:r w:rsidRPr="006E6B08">
              <w:rPr>
                <w:rFonts w:cs="Times New Roman"/>
                <w:szCs w:val="20"/>
              </w:rPr>
              <w:t>admittance may be</w:t>
            </w:r>
            <w:r w:rsidRPr="006E6B08">
              <w:rPr>
                <w:rFonts w:cs="Times New Roman"/>
                <w:spacing w:val="-2"/>
                <w:szCs w:val="20"/>
              </w:rPr>
              <w:t xml:space="preserve"> </w:t>
            </w:r>
            <w:r w:rsidRPr="006E6B08">
              <w:rPr>
                <w:rFonts w:cs="Times New Roman"/>
                <w:szCs w:val="20"/>
              </w:rPr>
              <w:t>necessary.</w:t>
            </w:r>
          </w:p>
          <w:p w14:paraId="4EBD7B8C" w14:textId="77777777" w:rsidR="0094086E" w:rsidRPr="006E6B08" w:rsidRDefault="0094086E" w:rsidP="00233054">
            <w:pPr>
              <w:pStyle w:val="Paragraphedeliste"/>
              <w:widowControl w:val="0"/>
              <w:numPr>
                <w:ilvl w:val="0"/>
                <w:numId w:val="31"/>
              </w:numPr>
              <w:tabs>
                <w:tab w:val="left" w:pos="958"/>
              </w:tabs>
              <w:autoSpaceDE w:val="0"/>
              <w:autoSpaceDN w:val="0"/>
              <w:spacing w:before="40" w:after="120"/>
              <w:ind w:left="108" w:right="120"/>
              <w:contextualSpacing w:val="0"/>
              <w:jc w:val="both"/>
              <w:rPr>
                <w:rFonts w:cs="Times New Roman"/>
                <w:szCs w:val="20"/>
              </w:rPr>
            </w:pPr>
            <w:r w:rsidRPr="006E6B08">
              <w:rPr>
                <w:rFonts w:cs="Times New Roman"/>
                <w:szCs w:val="20"/>
              </w:rPr>
              <w:t>Pit</w:t>
            </w:r>
            <w:r w:rsidRPr="006E6B08">
              <w:rPr>
                <w:rFonts w:cs="Times New Roman"/>
                <w:spacing w:val="-11"/>
                <w:szCs w:val="20"/>
              </w:rPr>
              <w:t xml:space="preserve"> </w:t>
            </w:r>
            <w:r w:rsidRPr="006E6B08">
              <w:rPr>
                <w:rFonts w:cs="Times New Roman"/>
                <w:szCs w:val="20"/>
              </w:rPr>
              <w:t>construction</w:t>
            </w:r>
            <w:r w:rsidRPr="006E6B08">
              <w:rPr>
                <w:rFonts w:cs="Times New Roman"/>
                <w:spacing w:val="-10"/>
                <w:szCs w:val="20"/>
              </w:rPr>
              <w:t xml:space="preserve"> </w:t>
            </w:r>
            <w:r w:rsidRPr="006E6B08">
              <w:rPr>
                <w:rFonts w:cs="Times New Roman"/>
                <w:szCs w:val="20"/>
              </w:rPr>
              <w:t>–</w:t>
            </w:r>
            <w:r w:rsidRPr="006E6B08">
              <w:rPr>
                <w:rFonts w:cs="Times New Roman"/>
                <w:spacing w:val="-10"/>
                <w:szCs w:val="20"/>
              </w:rPr>
              <w:t xml:space="preserve"> </w:t>
            </w:r>
            <w:r w:rsidRPr="006E6B08">
              <w:rPr>
                <w:rFonts w:cs="Times New Roman"/>
                <w:szCs w:val="20"/>
              </w:rPr>
              <w:t>[…]Pit</w:t>
            </w:r>
            <w:r w:rsidRPr="006E6B08">
              <w:rPr>
                <w:rFonts w:cs="Times New Roman"/>
                <w:spacing w:val="-12"/>
                <w:szCs w:val="20"/>
              </w:rPr>
              <w:t xml:space="preserve"> </w:t>
            </w:r>
            <w:r w:rsidRPr="006E6B08">
              <w:rPr>
                <w:rFonts w:cs="Times New Roman"/>
                <w:szCs w:val="20"/>
              </w:rPr>
              <w:t xml:space="preserve">dimensions depend on the volume of the </w:t>
            </w:r>
            <w:hyperlink w:anchor="_bookmark16" w:history="1">
              <w:r w:rsidRPr="006E6B08">
                <w:rPr>
                  <w:rFonts w:cs="Times New Roman"/>
                  <w:i/>
                  <w:szCs w:val="20"/>
                </w:rPr>
                <w:t xml:space="preserve">aquatic animal </w:t>
              </w:r>
              <w:r w:rsidRPr="00685B5C">
                <w:rPr>
                  <w:rFonts w:cs="Times New Roman"/>
                  <w:bCs/>
                  <w:strike/>
                  <w:szCs w:val="20"/>
                </w:rPr>
                <w:t>waste</w:t>
              </w:r>
              <w:r w:rsidRPr="006E6B08">
                <w:rPr>
                  <w:rFonts w:cs="Times New Roman"/>
                  <w:i/>
                  <w:szCs w:val="20"/>
                </w:rPr>
                <w:t xml:space="preserve"> </w:t>
              </w:r>
            </w:hyperlink>
            <w:r w:rsidRPr="00685B5C">
              <w:rPr>
                <w:rFonts w:cs="Times New Roman"/>
                <w:bCs/>
                <w:i/>
                <w:iCs/>
                <w:szCs w:val="20"/>
                <w:u w:val="double"/>
              </w:rPr>
              <w:t>waste</w:t>
            </w:r>
            <w:r w:rsidRPr="006E6B08">
              <w:rPr>
                <w:rFonts w:cs="Times New Roman"/>
                <w:szCs w:val="20"/>
              </w:rPr>
              <w:t xml:space="preserve"> to be buried and should be easy to</w:t>
            </w:r>
            <w:r w:rsidRPr="006E6B08">
              <w:rPr>
                <w:rFonts w:cs="Times New Roman"/>
                <w:spacing w:val="-20"/>
                <w:szCs w:val="20"/>
              </w:rPr>
              <w:t xml:space="preserve"> </w:t>
            </w:r>
            <w:r w:rsidRPr="006E6B08">
              <w:rPr>
                <w:rFonts w:cs="Times New Roman"/>
                <w:szCs w:val="20"/>
              </w:rPr>
              <w:t>fill.</w:t>
            </w:r>
          </w:p>
          <w:p w14:paraId="56398F9C" w14:textId="77777777" w:rsidR="0094086E" w:rsidRPr="006E6B08" w:rsidRDefault="0094086E" w:rsidP="00233054">
            <w:pPr>
              <w:pStyle w:val="Paragraphedeliste"/>
              <w:widowControl w:val="0"/>
              <w:numPr>
                <w:ilvl w:val="0"/>
                <w:numId w:val="31"/>
              </w:numPr>
              <w:tabs>
                <w:tab w:val="left" w:pos="957"/>
                <w:tab w:val="left" w:pos="958"/>
              </w:tabs>
              <w:autoSpaceDE w:val="0"/>
              <w:autoSpaceDN w:val="0"/>
              <w:spacing w:before="40" w:after="120"/>
              <w:ind w:left="108" w:right="120"/>
              <w:contextualSpacing w:val="0"/>
              <w:rPr>
                <w:rFonts w:cs="Times New Roman"/>
                <w:szCs w:val="20"/>
              </w:rPr>
            </w:pPr>
            <w:r w:rsidRPr="006E6B08">
              <w:rPr>
                <w:rFonts w:cs="Times New Roman"/>
                <w:szCs w:val="20"/>
              </w:rPr>
              <w:t>Pit</w:t>
            </w:r>
            <w:r w:rsidRPr="006E6B08">
              <w:rPr>
                <w:rFonts w:cs="Times New Roman"/>
                <w:spacing w:val="-4"/>
                <w:szCs w:val="20"/>
              </w:rPr>
              <w:t xml:space="preserve"> </w:t>
            </w:r>
            <w:r w:rsidRPr="006E6B08">
              <w:rPr>
                <w:rFonts w:cs="Times New Roman"/>
                <w:szCs w:val="20"/>
              </w:rPr>
              <w:t>closure</w:t>
            </w:r>
            <w:r w:rsidRPr="006E6B08">
              <w:rPr>
                <w:rFonts w:cs="Times New Roman"/>
                <w:spacing w:val="-3"/>
                <w:szCs w:val="20"/>
              </w:rPr>
              <w:t xml:space="preserve"> </w:t>
            </w:r>
            <w:r w:rsidRPr="006E6B08">
              <w:rPr>
                <w:rFonts w:cs="Times New Roman"/>
                <w:szCs w:val="20"/>
              </w:rPr>
              <w:t>–</w:t>
            </w:r>
            <w:r w:rsidRPr="006E6B08">
              <w:rPr>
                <w:rFonts w:cs="Times New Roman"/>
                <w:spacing w:val="-4"/>
                <w:szCs w:val="20"/>
              </w:rPr>
              <w:t xml:space="preserve"> </w:t>
            </w:r>
            <w:r w:rsidRPr="006E6B08">
              <w:rPr>
                <w:rFonts w:cs="Times New Roman"/>
                <w:szCs w:val="20"/>
              </w:rPr>
              <w:t>contents</w:t>
            </w:r>
            <w:r w:rsidRPr="006E6B08">
              <w:rPr>
                <w:rFonts w:cs="Times New Roman"/>
                <w:spacing w:val="-3"/>
                <w:szCs w:val="20"/>
              </w:rPr>
              <w:t xml:space="preserve"> </w:t>
            </w:r>
            <w:r w:rsidRPr="006E6B08">
              <w:rPr>
                <w:rFonts w:cs="Times New Roman"/>
                <w:szCs w:val="20"/>
              </w:rPr>
              <w:t>should</w:t>
            </w:r>
            <w:r w:rsidRPr="006E6B08">
              <w:rPr>
                <w:rFonts w:cs="Times New Roman"/>
                <w:spacing w:val="-4"/>
                <w:szCs w:val="20"/>
              </w:rPr>
              <w:t xml:space="preserve"> </w:t>
            </w:r>
            <w:r w:rsidRPr="006E6B08">
              <w:rPr>
                <w:rFonts w:cs="Times New Roman"/>
                <w:szCs w:val="20"/>
              </w:rPr>
              <w:t>be</w:t>
            </w:r>
            <w:r w:rsidRPr="006E6B08">
              <w:rPr>
                <w:rFonts w:cs="Times New Roman"/>
                <w:spacing w:val="-3"/>
                <w:szCs w:val="20"/>
              </w:rPr>
              <w:t xml:space="preserve"> </w:t>
            </w:r>
            <w:r w:rsidRPr="006E6B08">
              <w:rPr>
                <w:rFonts w:cs="Times New Roman"/>
                <w:szCs w:val="20"/>
              </w:rPr>
              <w:t>covered</w:t>
            </w:r>
            <w:r w:rsidRPr="006E6B08">
              <w:rPr>
                <w:rFonts w:cs="Times New Roman"/>
                <w:spacing w:val="-3"/>
                <w:szCs w:val="20"/>
              </w:rPr>
              <w:t xml:space="preserve"> </w:t>
            </w:r>
            <w:r w:rsidRPr="006E6B08">
              <w:rPr>
                <w:rFonts w:cs="Times New Roman"/>
                <w:szCs w:val="20"/>
              </w:rPr>
              <w:t>with</w:t>
            </w:r>
            <w:r w:rsidRPr="006E6B08">
              <w:rPr>
                <w:rFonts w:cs="Times New Roman"/>
                <w:spacing w:val="-4"/>
                <w:szCs w:val="20"/>
              </w:rPr>
              <w:t xml:space="preserve"> </w:t>
            </w:r>
            <w:r w:rsidRPr="006E6B08">
              <w:rPr>
                <w:rFonts w:cs="Times New Roman"/>
                <w:szCs w:val="20"/>
              </w:rPr>
              <w:t>unslaked</w:t>
            </w:r>
            <w:r w:rsidRPr="006E6B08">
              <w:rPr>
                <w:rFonts w:cs="Times New Roman"/>
                <w:spacing w:val="-3"/>
                <w:szCs w:val="20"/>
              </w:rPr>
              <w:t xml:space="preserve"> </w:t>
            </w:r>
            <w:r w:rsidRPr="006E6B08">
              <w:rPr>
                <w:rFonts w:cs="Times New Roman"/>
                <w:szCs w:val="20"/>
              </w:rPr>
              <w:t>lime</w:t>
            </w:r>
            <w:r w:rsidRPr="006E6B08">
              <w:rPr>
                <w:rFonts w:cs="Times New Roman"/>
                <w:spacing w:val="-4"/>
                <w:szCs w:val="20"/>
              </w:rPr>
              <w:t xml:space="preserve"> </w:t>
            </w:r>
            <w:r w:rsidRPr="006E6B08">
              <w:rPr>
                <w:rFonts w:cs="Times New Roman"/>
                <w:szCs w:val="20"/>
              </w:rPr>
              <w:t>(CaO)</w:t>
            </w:r>
            <w:r w:rsidRPr="006E6B08">
              <w:rPr>
                <w:rFonts w:cs="Times New Roman"/>
                <w:spacing w:val="-3"/>
                <w:szCs w:val="20"/>
              </w:rPr>
              <w:t xml:space="preserve"> </w:t>
            </w:r>
            <w:r w:rsidRPr="006E6B08">
              <w:rPr>
                <w:rFonts w:cs="Times New Roman"/>
                <w:szCs w:val="20"/>
              </w:rPr>
              <w:t>at</w:t>
            </w:r>
            <w:r w:rsidRPr="006E6B08">
              <w:rPr>
                <w:rFonts w:cs="Times New Roman"/>
                <w:spacing w:val="-3"/>
                <w:szCs w:val="20"/>
              </w:rPr>
              <w:t xml:space="preserve"> </w:t>
            </w:r>
            <w:r w:rsidRPr="006E6B08">
              <w:rPr>
                <w:rFonts w:cs="Times New Roman"/>
                <w:szCs w:val="20"/>
              </w:rPr>
              <w:t>a</w:t>
            </w:r>
            <w:r w:rsidRPr="006E6B08">
              <w:rPr>
                <w:rFonts w:cs="Times New Roman"/>
                <w:spacing w:val="-4"/>
                <w:szCs w:val="20"/>
              </w:rPr>
              <w:t xml:space="preserve"> </w:t>
            </w:r>
            <w:r w:rsidRPr="006E6B08">
              <w:rPr>
                <w:rFonts w:cs="Times New Roman"/>
                <w:szCs w:val="20"/>
              </w:rPr>
              <w:t>rate</w:t>
            </w:r>
            <w:r w:rsidRPr="006E6B08">
              <w:rPr>
                <w:rFonts w:cs="Times New Roman"/>
                <w:spacing w:val="-3"/>
                <w:szCs w:val="20"/>
              </w:rPr>
              <w:t xml:space="preserve"> </w:t>
            </w:r>
            <w:r w:rsidRPr="006E6B08">
              <w:rPr>
                <w:rFonts w:cs="Times New Roman"/>
                <w:szCs w:val="20"/>
              </w:rPr>
              <w:t>of</w:t>
            </w:r>
            <w:r w:rsidRPr="006E6B08">
              <w:rPr>
                <w:rFonts w:cs="Times New Roman"/>
                <w:spacing w:val="-4"/>
                <w:szCs w:val="20"/>
              </w:rPr>
              <w:t xml:space="preserve"> </w:t>
            </w:r>
            <w:r w:rsidRPr="006E6B08">
              <w:rPr>
                <w:rFonts w:cs="Times New Roman"/>
                <w:szCs w:val="20"/>
              </w:rPr>
              <w:t>85</w:t>
            </w:r>
            <w:r w:rsidRPr="006E6B08">
              <w:rPr>
                <w:rFonts w:cs="Times New Roman"/>
                <w:spacing w:val="-3"/>
                <w:szCs w:val="20"/>
              </w:rPr>
              <w:t xml:space="preserve"> </w:t>
            </w:r>
            <w:r w:rsidRPr="006E6B08">
              <w:rPr>
                <w:rFonts w:cs="Times New Roman"/>
                <w:szCs w:val="20"/>
              </w:rPr>
              <w:t>kg</w:t>
            </w:r>
            <w:r w:rsidRPr="006E6B08">
              <w:rPr>
                <w:rFonts w:cs="Times New Roman"/>
                <w:spacing w:val="-3"/>
                <w:szCs w:val="20"/>
              </w:rPr>
              <w:t xml:space="preserve"> </w:t>
            </w:r>
            <w:r w:rsidRPr="006E6B08">
              <w:rPr>
                <w:rFonts w:cs="Times New Roman"/>
                <w:szCs w:val="20"/>
              </w:rPr>
              <w:t>per</w:t>
            </w:r>
            <w:r w:rsidRPr="006E6B08">
              <w:rPr>
                <w:rFonts w:cs="Times New Roman"/>
                <w:spacing w:val="-4"/>
                <w:szCs w:val="20"/>
              </w:rPr>
              <w:t xml:space="preserve"> </w:t>
            </w:r>
            <w:r w:rsidRPr="006E6B08">
              <w:rPr>
                <w:rFonts w:cs="Times New Roman"/>
                <w:szCs w:val="20"/>
              </w:rPr>
              <w:t>1,000</w:t>
            </w:r>
            <w:r w:rsidRPr="006E6B08">
              <w:rPr>
                <w:rFonts w:cs="Times New Roman"/>
                <w:spacing w:val="-3"/>
                <w:szCs w:val="20"/>
              </w:rPr>
              <w:t xml:space="preserve"> </w:t>
            </w:r>
            <w:r w:rsidRPr="006E6B08">
              <w:rPr>
                <w:rFonts w:cs="Times New Roman"/>
                <w:szCs w:val="20"/>
              </w:rPr>
              <w:t>kg</w:t>
            </w:r>
            <w:r w:rsidRPr="006E6B08">
              <w:rPr>
                <w:rFonts w:cs="Times New Roman"/>
                <w:spacing w:val="-4"/>
                <w:szCs w:val="20"/>
              </w:rPr>
              <w:t xml:space="preserve"> </w:t>
            </w:r>
            <w:r w:rsidRPr="006E6B08">
              <w:rPr>
                <w:rFonts w:cs="Times New Roman"/>
                <w:szCs w:val="20"/>
              </w:rPr>
              <w:t>of</w:t>
            </w:r>
            <w:r w:rsidRPr="006E6B08">
              <w:rPr>
                <w:rFonts w:cs="Times New Roman"/>
                <w:spacing w:val="-3"/>
                <w:szCs w:val="20"/>
              </w:rPr>
              <w:t xml:space="preserve"> </w:t>
            </w:r>
            <w:r w:rsidRPr="006E6B08">
              <w:rPr>
                <w:rFonts w:cs="Times New Roman"/>
                <w:i/>
                <w:iCs/>
                <w:szCs w:val="20"/>
              </w:rPr>
              <w:t>aquatic</w:t>
            </w:r>
            <w:r w:rsidRPr="006E6B08">
              <w:rPr>
                <w:rFonts w:cs="Times New Roman"/>
                <w:szCs w:val="20"/>
              </w:rPr>
              <w:t xml:space="preserve"> </w:t>
            </w:r>
            <w:r w:rsidRPr="006E6B08">
              <w:rPr>
                <w:rFonts w:cs="Times New Roman"/>
                <w:i/>
                <w:iCs/>
                <w:szCs w:val="20"/>
              </w:rPr>
              <w:t xml:space="preserve">animal </w:t>
            </w:r>
            <w:r w:rsidRPr="00685B5C">
              <w:rPr>
                <w:rFonts w:cs="Times New Roman"/>
                <w:bCs/>
                <w:strike/>
                <w:szCs w:val="20"/>
              </w:rPr>
              <w:t>waste</w:t>
            </w:r>
            <w:r w:rsidRPr="006E6B08">
              <w:rPr>
                <w:rFonts w:cs="Times New Roman"/>
                <w:szCs w:val="20"/>
              </w:rPr>
              <w:t xml:space="preserve"> </w:t>
            </w:r>
            <w:r w:rsidRPr="00685B5C">
              <w:rPr>
                <w:rFonts w:cs="Times New Roman"/>
                <w:bCs/>
                <w:i/>
                <w:iCs/>
                <w:szCs w:val="20"/>
                <w:u w:val="double"/>
              </w:rPr>
              <w:t>waste</w:t>
            </w:r>
            <w:r w:rsidRPr="006E6B08">
              <w:rPr>
                <w:rFonts w:cs="Times New Roman"/>
                <w:szCs w:val="20"/>
              </w:rPr>
              <w:t xml:space="preserve"> to hasten decomposition and prevent</w:t>
            </w:r>
            <w:r w:rsidRPr="006E6B08">
              <w:rPr>
                <w:rFonts w:cs="Times New Roman"/>
                <w:spacing w:val="-10"/>
                <w:szCs w:val="20"/>
              </w:rPr>
              <w:t xml:space="preserve"> </w:t>
            </w:r>
            <w:r w:rsidRPr="006E6B08">
              <w:rPr>
                <w:rFonts w:cs="Times New Roman"/>
                <w:szCs w:val="20"/>
              </w:rPr>
              <w:t>scavenging.</w:t>
            </w:r>
          </w:p>
          <w:p w14:paraId="3E80E008" w14:textId="77777777" w:rsidR="0094086E" w:rsidRPr="006E6B08" w:rsidRDefault="0094086E" w:rsidP="00233054">
            <w:pPr>
              <w:pStyle w:val="Titre4"/>
              <w:keepNext w:val="0"/>
              <w:keepLines w:val="0"/>
              <w:widowControl w:val="0"/>
              <w:numPr>
                <w:ilvl w:val="0"/>
                <w:numId w:val="30"/>
              </w:numPr>
              <w:tabs>
                <w:tab w:val="left" w:pos="532"/>
                <w:tab w:val="left" w:pos="533"/>
              </w:tabs>
              <w:autoSpaceDE w:val="0"/>
              <w:autoSpaceDN w:val="0"/>
              <w:spacing w:after="120"/>
              <w:ind w:left="108"/>
              <w:outlineLvl w:val="3"/>
              <w:rPr>
                <w:rFonts w:ascii="Times New Roman" w:hAnsi="Times New Roman" w:cs="Times New Roman"/>
                <w:color w:val="auto"/>
                <w:szCs w:val="20"/>
              </w:rPr>
            </w:pPr>
            <w:r w:rsidRPr="006E6B08">
              <w:rPr>
                <w:rFonts w:ascii="Times New Roman" w:hAnsi="Times New Roman" w:cs="Times New Roman"/>
                <w:color w:val="auto"/>
                <w:szCs w:val="20"/>
                <w:u w:val="single"/>
              </w:rPr>
              <w:t>Pyre-burning</w:t>
            </w:r>
          </w:p>
          <w:p w14:paraId="711F7655" w14:textId="61E64E96" w:rsidR="0094086E" w:rsidRPr="006E6B08" w:rsidRDefault="0094086E" w:rsidP="00233054">
            <w:pPr>
              <w:pStyle w:val="Corpsdetexte"/>
              <w:spacing w:before="40" w:after="120"/>
              <w:ind w:left="108"/>
              <w:rPr>
                <w:rFonts w:ascii="Times New Roman" w:hAnsi="Times New Roman" w:cs="Times New Roman"/>
                <w:sz w:val="20"/>
                <w:szCs w:val="20"/>
              </w:rPr>
            </w:pPr>
            <w:r w:rsidRPr="006E6B08">
              <w:rPr>
                <w:rFonts w:ascii="Times New Roman" w:hAnsi="Times New Roman" w:cs="Times New Roman"/>
                <w:sz w:val="20"/>
                <w:szCs w:val="20"/>
              </w:rPr>
              <w:t xml:space="preserve">Pyre-burning may not be suitable for large amounts of </w:t>
            </w:r>
            <w:hyperlink w:anchor="_bookmark16" w:history="1">
              <w:r w:rsidRPr="006E6B08">
                <w:rPr>
                  <w:rFonts w:ascii="Times New Roman" w:hAnsi="Times New Roman" w:cs="Times New Roman"/>
                  <w:i/>
                  <w:sz w:val="20"/>
                  <w:szCs w:val="20"/>
                </w:rPr>
                <w:t xml:space="preserve">aquatic animal </w:t>
              </w:r>
              <w:r w:rsidRPr="00685B5C">
                <w:rPr>
                  <w:rFonts w:ascii="Times New Roman" w:hAnsi="Times New Roman" w:cs="Times New Roman"/>
                  <w:bCs/>
                  <w:strike/>
                  <w:sz w:val="20"/>
                  <w:szCs w:val="20"/>
                </w:rPr>
                <w:t>waste</w:t>
              </w:r>
            </w:hyperlink>
            <w:r w:rsidRPr="00685B5C">
              <w:rPr>
                <w:rFonts w:ascii="Times New Roman" w:hAnsi="Times New Roman" w:cs="Times New Roman"/>
                <w:bCs/>
                <w:i/>
                <w:iCs/>
                <w:sz w:val="20"/>
                <w:szCs w:val="20"/>
                <w:u w:val="double"/>
              </w:rPr>
              <w:t xml:space="preserve"> waste</w:t>
            </w:r>
            <w:r w:rsidRPr="006E6B08">
              <w:rPr>
                <w:rFonts w:ascii="Times New Roman" w:hAnsi="Times New Roman" w:cs="Times New Roman"/>
                <w:sz w:val="20"/>
                <w:szCs w:val="20"/>
              </w:rPr>
              <w:t>.</w:t>
            </w:r>
          </w:p>
          <w:p w14:paraId="5F0B9C81" w14:textId="77777777" w:rsidR="0094086E" w:rsidRPr="006E6B08" w:rsidRDefault="0094086E" w:rsidP="00233054">
            <w:pPr>
              <w:pStyle w:val="Corpsdetexte"/>
              <w:spacing w:before="40" w:after="120"/>
              <w:ind w:left="108"/>
              <w:rPr>
                <w:rFonts w:ascii="Times New Roman" w:hAnsi="Times New Roman" w:cs="Times New Roman"/>
                <w:sz w:val="20"/>
                <w:szCs w:val="20"/>
              </w:rPr>
            </w:pPr>
            <w:r w:rsidRPr="006E6B08">
              <w:rPr>
                <w:rFonts w:ascii="Times New Roman" w:hAnsi="Times New Roman" w:cs="Times New Roman"/>
                <w:sz w:val="20"/>
                <w:szCs w:val="20"/>
              </w:rPr>
              <w:t>[…]</w:t>
            </w:r>
          </w:p>
          <w:p w14:paraId="5B7FE3FE" w14:textId="77777777" w:rsidR="0094086E" w:rsidRPr="006E6B08" w:rsidRDefault="0094086E" w:rsidP="00233054">
            <w:pPr>
              <w:pStyle w:val="Paragraphedeliste"/>
              <w:widowControl w:val="0"/>
              <w:numPr>
                <w:ilvl w:val="0"/>
                <w:numId w:val="32"/>
              </w:numPr>
              <w:tabs>
                <w:tab w:val="left" w:pos="957"/>
                <w:tab w:val="left" w:pos="958"/>
              </w:tabs>
              <w:autoSpaceDE w:val="0"/>
              <w:autoSpaceDN w:val="0"/>
              <w:spacing w:before="40" w:after="120"/>
              <w:ind w:left="108"/>
              <w:contextualSpacing w:val="0"/>
              <w:rPr>
                <w:rFonts w:cs="Times New Roman"/>
                <w:szCs w:val="20"/>
              </w:rPr>
            </w:pPr>
            <w:r w:rsidRPr="006E6B08">
              <w:rPr>
                <w:rFonts w:cs="Times New Roman"/>
                <w:szCs w:val="20"/>
              </w:rPr>
              <w:t>Access</w:t>
            </w:r>
            <w:r w:rsidRPr="006E6B08">
              <w:rPr>
                <w:rFonts w:cs="Times New Roman"/>
                <w:spacing w:val="-6"/>
                <w:szCs w:val="20"/>
              </w:rPr>
              <w:t xml:space="preserve"> </w:t>
            </w:r>
            <w:r w:rsidRPr="006E6B08">
              <w:rPr>
                <w:rFonts w:cs="Times New Roman"/>
                <w:szCs w:val="20"/>
              </w:rPr>
              <w:t>–</w:t>
            </w:r>
            <w:r w:rsidRPr="006E6B08">
              <w:rPr>
                <w:rFonts w:cs="Times New Roman"/>
                <w:spacing w:val="-5"/>
                <w:szCs w:val="20"/>
              </w:rPr>
              <w:t xml:space="preserve"> </w:t>
            </w:r>
            <w:r w:rsidRPr="006E6B08">
              <w:rPr>
                <w:rFonts w:cs="Times New Roman"/>
                <w:szCs w:val="20"/>
              </w:rPr>
              <w:t>for</w:t>
            </w:r>
            <w:r w:rsidRPr="006E6B08">
              <w:rPr>
                <w:rFonts w:cs="Times New Roman"/>
                <w:spacing w:val="-5"/>
                <w:szCs w:val="20"/>
              </w:rPr>
              <w:t xml:space="preserve"> </w:t>
            </w:r>
            <w:r w:rsidRPr="006E6B08">
              <w:rPr>
                <w:rFonts w:cs="Times New Roman"/>
                <w:szCs w:val="20"/>
              </w:rPr>
              <w:t>equipment</w:t>
            </w:r>
            <w:r w:rsidRPr="006E6B08">
              <w:rPr>
                <w:rFonts w:cs="Times New Roman"/>
                <w:spacing w:val="-5"/>
                <w:szCs w:val="20"/>
              </w:rPr>
              <w:t xml:space="preserve"> </w:t>
            </w:r>
            <w:r w:rsidRPr="006E6B08">
              <w:rPr>
                <w:rFonts w:cs="Times New Roman"/>
                <w:szCs w:val="20"/>
              </w:rPr>
              <w:t>to</w:t>
            </w:r>
            <w:r w:rsidRPr="006E6B08">
              <w:rPr>
                <w:rFonts w:cs="Times New Roman"/>
                <w:spacing w:val="-5"/>
                <w:szCs w:val="20"/>
              </w:rPr>
              <w:t xml:space="preserve"> </w:t>
            </w:r>
            <w:r w:rsidRPr="006E6B08">
              <w:rPr>
                <w:rFonts w:cs="Times New Roman"/>
                <w:szCs w:val="20"/>
              </w:rPr>
              <w:t>construct</w:t>
            </w:r>
            <w:r w:rsidRPr="006E6B08">
              <w:rPr>
                <w:rFonts w:cs="Times New Roman"/>
                <w:spacing w:val="-5"/>
                <w:szCs w:val="20"/>
              </w:rPr>
              <w:t xml:space="preserve"> </w:t>
            </w:r>
            <w:r w:rsidRPr="006E6B08">
              <w:rPr>
                <w:rFonts w:cs="Times New Roman"/>
                <w:szCs w:val="20"/>
              </w:rPr>
              <w:t>the</w:t>
            </w:r>
            <w:r w:rsidRPr="006E6B08">
              <w:rPr>
                <w:rFonts w:cs="Times New Roman"/>
                <w:spacing w:val="-5"/>
                <w:szCs w:val="20"/>
              </w:rPr>
              <w:t xml:space="preserve"> </w:t>
            </w:r>
            <w:r w:rsidRPr="006E6B08">
              <w:rPr>
                <w:rFonts w:cs="Times New Roman"/>
                <w:szCs w:val="20"/>
              </w:rPr>
              <w:t>pyre</w:t>
            </w:r>
            <w:r w:rsidRPr="006E6B08">
              <w:rPr>
                <w:rFonts w:cs="Times New Roman"/>
                <w:spacing w:val="-5"/>
                <w:szCs w:val="20"/>
              </w:rPr>
              <w:t xml:space="preserve"> </w:t>
            </w:r>
            <w:r w:rsidRPr="006E6B08">
              <w:rPr>
                <w:rFonts w:cs="Times New Roman"/>
                <w:szCs w:val="20"/>
              </w:rPr>
              <w:t>and</w:t>
            </w:r>
            <w:r w:rsidRPr="006E6B08">
              <w:rPr>
                <w:rFonts w:cs="Times New Roman"/>
                <w:spacing w:val="-5"/>
                <w:szCs w:val="20"/>
              </w:rPr>
              <w:t xml:space="preserve"> </w:t>
            </w:r>
            <w:r w:rsidRPr="006E6B08">
              <w:rPr>
                <w:rFonts w:cs="Times New Roman"/>
                <w:szCs w:val="20"/>
              </w:rPr>
              <w:t>maintain</w:t>
            </w:r>
            <w:r w:rsidRPr="006E6B08">
              <w:rPr>
                <w:rFonts w:cs="Times New Roman"/>
                <w:spacing w:val="-5"/>
                <w:szCs w:val="20"/>
              </w:rPr>
              <w:t xml:space="preserve"> </w:t>
            </w:r>
            <w:r w:rsidRPr="006E6B08">
              <w:rPr>
                <w:rFonts w:cs="Times New Roman"/>
                <w:szCs w:val="20"/>
              </w:rPr>
              <w:t>the</w:t>
            </w:r>
            <w:r w:rsidRPr="006E6B08">
              <w:rPr>
                <w:rFonts w:cs="Times New Roman"/>
                <w:spacing w:val="-5"/>
                <w:szCs w:val="20"/>
              </w:rPr>
              <w:t xml:space="preserve"> </w:t>
            </w:r>
            <w:r w:rsidRPr="006E6B08">
              <w:rPr>
                <w:rFonts w:cs="Times New Roman"/>
                <w:szCs w:val="20"/>
              </w:rPr>
              <w:t>fire,</w:t>
            </w:r>
            <w:r w:rsidRPr="006E6B08">
              <w:rPr>
                <w:rFonts w:cs="Times New Roman"/>
                <w:spacing w:val="-5"/>
                <w:szCs w:val="20"/>
              </w:rPr>
              <w:t xml:space="preserve"> </w:t>
            </w:r>
            <w:r w:rsidRPr="006E6B08">
              <w:rPr>
                <w:rFonts w:cs="Times New Roman"/>
                <w:szCs w:val="20"/>
              </w:rPr>
              <w:t>for</w:t>
            </w:r>
            <w:r w:rsidRPr="006E6B08">
              <w:rPr>
                <w:rFonts w:cs="Times New Roman"/>
                <w:spacing w:val="-5"/>
                <w:szCs w:val="20"/>
              </w:rPr>
              <w:t xml:space="preserve"> </w:t>
            </w:r>
            <w:r w:rsidRPr="006E6B08">
              <w:rPr>
                <w:rFonts w:cs="Times New Roman"/>
                <w:szCs w:val="20"/>
              </w:rPr>
              <w:t>the</w:t>
            </w:r>
            <w:r w:rsidRPr="006E6B08">
              <w:rPr>
                <w:rFonts w:cs="Times New Roman"/>
                <w:spacing w:val="-5"/>
                <w:szCs w:val="20"/>
              </w:rPr>
              <w:t xml:space="preserve"> </w:t>
            </w:r>
            <w:r w:rsidRPr="006E6B08">
              <w:rPr>
                <w:rFonts w:cs="Times New Roman"/>
                <w:szCs w:val="20"/>
              </w:rPr>
              <w:t>delivery</w:t>
            </w:r>
            <w:r w:rsidRPr="006E6B08">
              <w:rPr>
                <w:rFonts w:cs="Times New Roman"/>
                <w:spacing w:val="-5"/>
                <w:szCs w:val="20"/>
              </w:rPr>
              <w:t xml:space="preserve"> </w:t>
            </w:r>
            <w:r w:rsidRPr="006E6B08">
              <w:rPr>
                <w:rFonts w:cs="Times New Roman"/>
                <w:szCs w:val="20"/>
              </w:rPr>
              <w:t>of</w:t>
            </w:r>
            <w:r w:rsidRPr="006E6B08">
              <w:rPr>
                <w:rFonts w:cs="Times New Roman"/>
                <w:spacing w:val="-5"/>
                <w:szCs w:val="20"/>
              </w:rPr>
              <w:t xml:space="preserve"> </w:t>
            </w:r>
            <w:r w:rsidRPr="006E6B08">
              <w:rPr>
                <w:rFonts w:cs="Times New Roman"/>
                <w:szCs w:val="20"/>
              </w:rPr>
              <w:t>fuel</w:t>
            </w:r>
            <w:r w:rsidRPr="006E6B08">
              <w:rPr>
                <w:rFonts w:cs="Times New Roman"/>
                <w:spacing w:val="-5"/>
                <w:szCs w:val="20"/>
              </w:rPr>
              <w:t xml:space="preserve"> </w:t>
            </w:r>
            <w:r w:rsidRPr="006E6B08">
              <w:rPr>
                <w:rFonts w:cs="Times New Roman"/>
                <w:szCs w:val="20"/>
              </w:rPr>
              <w:t>and</w:t>
            </w:r>
            <w:r w:rsidRPr="006E6B08">
              <w:rPr>
                <w:rFonts w:cs="Times New Roman"/>
                <w:spacing w:val="-5"/>
                <w:szCs w:val="20"/>
              </w:rPr>
              <w:t xml:space="preserve"> </w:t>
            </w:r>
            <w:hyperlink w:anchor="_bookmark16" w:history="1">
              <w:r w:rsidRPr="006E6B08">
                <w:rPr>
                  <w:rFonts w:cs="Times New Roman"/>
                  <w:i/>
                  <w:szCs w:val="20"/>
                </w:rPr>
                <w:t>aquatic</w:t>
              </w:r>
              <w:r w:rsidRPr="006E6B08">
                <w:rPr>
                  <w:rFonts w:cs="Times New Roman"/>
                  <w:i/>
                  <w:spacing w:val="-5"/>
                  <w:szCs w:val="20"/>
                </w:rPr>
                <w:t xml:space="preserve"> </w:t>
              </w:r>
              <w:r w:rsidRPr="006E6B08">
                <w:rPr>
                  <w:rFonts w:cs="Times New Roman"/>
                  <w:i/>
                  <w:szCs w:val="20"/>
                </w:rPr>
                <w:t>animal</w:t>
              </w:r>
            </w:hyperlink>
            <w:r w:rsidRPr="006E6B08">
              <w:rPr>
                <w:rFonts w:cs="Times New Roman"/>
                <w:i/>
                <w:szCs w:val="20"/>
              </w:rPr>
              <w:t xml:space="preserve"> </w:t>
            </w:r>
            <w:r w:rsidRPr="00685B5C">
              <w:rPr>
                <w:rFonts w:cs="Times New Roman"/>
                <w:bCs/>
                <w:i/>
                <w:iCs/>
                <w:szCs w:val="20"/>
                <w:u w:val="double"/>
              </w:rPr>
              <w:t>waste</w:t>
            </w:r>
            <w:r w:rsidRPr="006E6B08">
              <w:rPr>
                <w:rFonts w:cs="Times New Roman"/>
                <w:szCs w:val="20"/>
              </w:rPr>
              <w:t>.</w:t>
            </w:r>
          </w:p>
          <w:p w14:paraId="545A6D06" w14:textId="764F942B" w:rsidR="0094086E" w:rsidRPr="006E6B08" w:rsidRDefault="0094086E" w:rsidP="00233054">
            <w:pPr>
              <w:pStyle w:val="Corpsdetexte"/>
              <w:spacing w:before="40" w:after="120"/>
              <w:ind w:left="108"/>
              <w:rPr>
                <w:rFonts w:ascii="Times New Roman" w:hAnsi="Times New Roman" w:cs="Times New Roman"/>
                <w:sz w:val="20"/>
                <w:szCs w:val="20"/>
              </w:rPr>
            </w:pPr>
            <w:r w:rsidRPr="006E6B08">
              <w:rPr>
                <w:rFonts w:ascii="Times New Roman" w:hAnsi="Times New Roman" w:cs="Times New Roman"/>
                <w:sz w:val="20"/>
                <w:szCs w:val="20"/>
              </w:rPr>
              <w:t xml:space="preserve">[…] If the pyre-burning is carried out correctly, </w:t>
            </w:r>
            <w:hyperlink w:anchor="_bookmark16" w:history="1">
              <w:r w:rsidRPr="006E6B08">
                <w:rPr>
                  <w:rFonts w:ascii="Times New Roman" w:hAnsi="Times New Roman" w:cs="Times New Roman"/>
                  <w:i/>
                  <w:sz w:val="20"/>
                  <w:szCs w:val="20"/>
                </w:rPr>
                <w:t xml:space="preserve">aquatic animal </w:t>
              </w:r>
              <w:r w:rsidRPr="00685B5C">
                <w:rPr>
                  <w:rFonts w:ascii="Times New Roman" w:hAnsi="Times New Roman" w:cs="Times New Roman"/>
                  <w:bCs/>
                  <w:strike/>
                  <w:sz w:val="20"/>
                  <w:szCs w:val="20"/>
                </w:rPr>
                <w:t>wastes</w:t>
              </w:r>
              <w:r w:rsidRPr="006E6B08">
                <w:rPr>
                  <w:rFonts w:ascii="Times New Roman" w:hAnsi="Times New Roman" w:cs="Times New Roman"/>
                  <w:i/>
                  <w:sz w:val="20"/>
                  <w:szCs w:val="20"/>
                </w:rPr>
                <w:t xml:space="preserve"> </w:t>
              </w:r>
            </w:hyperlink>
            <w:r w:rsidRPr="00685B5C">
              <w:rPr>
                <w:rFonts w:ascii="Times New Roman" w:hAnsi="Times New Roman" w:cs="Times New Roman"/>
                <w:bCs/>
                <w:i/>
                <w:iCs/>
                <w:sz w:val="20"/>
                <w:szCs w:val="20"/>
                <w:u w:val="double"/>
              </w:rPr>
              <w:t xml:space="preserve"> waste</w:t>
            </w:r>
            <w:r w:rsidRPr="006E6B08">
              <w:rPr>
                <w:rFonts w:ascii="Times New Roman" w:hAnsi="Times New Roman" w:cs="Times New Roman"/>
                <w:sz w:val="20"/>
                <w:szCs w:val="20"/>
              </w:rPr>
              <w:t xml:space="preserve"> will be destroyed within 48 hours.</w:t>
            </w:r>
          </w:p>
        </w:tc>
      </w:tr>
      <w:tr w:rsidR="0094086E" w14:paraId="59826CA3" w14:textId="77777777" w:rsidTr="00490F00">
        <w:tc>
          <w:tcPr>
            <w:tcW w:w="2140" w:type="dxa"/>
          </w:tcPr>
          <w:p w14:paraId="4DDBFA42" w14:textId="77777777" w:rsidR="0094086E" w:rsidRPr="00490F00" w:rsidRDefault="0094086E" w:rsidP="00233054">
            <w:pPr>
              <w:spacing w:before="40" w:after="120"/>
              <w:rPr>
                <w:rFonts w:cs="Times New Roman"/>
                <w:bCs/>
                <w:szCs w:val="20"/>
              </w:rPr>
            </w:pPr>
            <w:r w:rsidRPr="00490F00">
              <w:rPr>
                <w:rFonts w:cs="Times New Roman"/>
                <w:bCs/>
                <w:szCs w:val="20"/>
              </w:rPr>
              <w:t>4.7.8.</w:t>
            </w:r>
          </w:p>
        </w:tc>
        <w:tc>
          <w:tcPr>
            <w:tcW w:w="736" w:type="dxa"/>
          </w:tcPr>
          <w:p w14:paraId="0B1C9969" w14:textId="77777777" w:rsidR="0094086E" w:rsidRPr="00490F00" w:rsidRDefault="0094086E" w:rsidP="00233054">
            <w:pPr>
              <w:spacing w:before="40" w:after="120"/>
              <w:rPr>
                <w:rFonts w:cs="Times New Roman"/>
                <w:bCs/>
                <w:szCs w:val="20"/>
              </w:rPr>
            </w:pPr>
            <w:r w:rsidRPr="00490F00">
              <w:rPr>
                <w:rFonts w:cs="Times New Roman"/>
                <w:bCs/>
                <w:szCs w:val="20"/>
              </w:rPr>
              <w:t>75</w:t>
            </w:r>
          </w:p>
        </w:tc>
        <w:tc>
          <w:tcPr>
            <w:tcW w:w="6333" w:type="dxa"/>
          </w:tcPr>
          <w:p w14:paraId="6336060B" w14:textId="77777777" w:rsidR="0094086E" w:rsidRPr="006E6B08" w:rsidRDefault="0094086E" w:rsidP="00233054">
            <w:pPr>
              <w:pStyle w:val="Titre4"/>
              <w:tabs>
                <w:tab w:val="left" w:pos="532"/>
                <w:tab w:val="left" w:pos="533"/>
              </w:tabs>
              <w:spacing w:after="120"/>
              <w:ind w:left="108"/>
              <w:outlineLvl w:val="3"/>
              <w:rPr>
                <w:rFonts w:ascii="Times New Roman" w:hAnsi="Times New Roman" w:cs="Times New Roman"/>
                <w:color w:val="auto"/>
                <w:szCs w:val="20"/>
              </w:rPr>
            </w:pPr>
            <w:r w:rsidRPr="006E6B08">
              <w:rPr>
                <w:rFonts w:ascii="Times New Roman" w:hAnsi="Times New Roman" w:cs="Times New Roman"/>
                <w:color w:val="auto"/>
                <w:szCs w:val="20"/>
                <w:u w:val="single"/>
              </w:rPr>
              <w:t>1. Ensiling</w:t>
            </w:r>
          </w:p>
          <w:p w14:paraId="2A92B6FA" w14:textId="4DC21A92" w:rsidR="00233054" w:rsidRPr="00685B5C" w:rsidRDefault="0094086E" w:rsidP="00233054">
            <w:pPr>
              <w:spacing w:before="40" w:after="120"/>
              <w:ind w:left="108"/>
              <w:rPr>
                <w:rFonts w:cs="Times New Roman"/>
                <w:bCs/>
                <w:szCs w:val="20"/>
                <w:u w:val="double"/>
              </w:rPr>
            </w:pPr>
            <w:r w:rsidRPr="006E6B08">
              <w:rPr>
                <w:rFonts w:cs="Times New Roman"/>
                <w:szCs w:val="20"/>
              </w:rPr>
              <w:t>Ensiling</w:t>
            </w:r>
            <w:r w:rsidRPr="006E6B08">
              <w:rPr>
                <w:rFonts w:cs="Times New Roman"/>
                <w:spacing w:val="-4"/>
                <w:szCs w:val="20"/>
              </w:rPr>
              <w:t xml:space="preserve"> </w:t>
            </w:r>
            <w:r w:rsidRPr="006E6B08">
              <w:rPr>
                <w:rFonts w:cs="Times New Roman"/>
                <w:szCs w:val="20"/>
              </w:rPr>
              <w:t>of</w:t>
            </w:r>
            <w:r w:rsidRPr="006E6B08">
              <w:rPr>
                <w:rFonts w:cs="Times New Roman"/>
                <w:spacing w:val="-4"/>
                <w:szCs w:val="20"/>
              </w:rPr>
              <w:t xml:space="preserve"> </w:t>
            </w:r>
            <w:hyperlink w:anchor="_bookmark16" w:history="1">
              <w:r w:rsidRPr="006E6B08">
                <w:rPr>
                  <w:rFonts w:cs="Times New Roman"/>
                  <w:i/>
                  <w:szCs w:val="20"/>
                </w:rPr>
                <w:t>aquatic</w:t>
              </w:r>
              <w:r w:rsidRPr="006E6B08">
                <w:rPr>
                  <w:rFonts w:cs="Times New Roman"/>
                  <w:i/>
                  <w:spacing w:val="-5"/>
                  <w:szCs w:val="20"/>
                </w:rPr>
                <w:t xml:space="preserve"> </w:t>
              </w:r>
              <w:r w:rsidRPr="006E6B08">
                <w:rPr>
                  <w:rFonts w:cs="Times New Roman"/>
                  <w:i/>
                  <w:szCs w:val="20"/>
                </w:rPr>
                <w:t>animal</w:t>
              </w:r>
              <w:r w:rsidRPr="006E6B08">
                <w:rPr>
                  <w:rFonts w:cs="Times New Roman"/>
                  <w:i/>
                  <w:strike/>
                  <w:szCs w:val="20"/>
                </w:rPr>
                <w:t xml:space="preserve"> </w:t>
              </w:r>
              <w:r w:rsidRPr="00685B5C">
                <w:rPr>
                  <w:rFonts w:cs="Times New Roman"/>
                  <w:bCs/>
                  <w:strike/>
                  <w:szCs w:val="20"/>
                </w:rPr>
                <w:t>waste</w:t>
              </w:r>
              <w:r w:rsidRPr="006E6B08">
                <w:rPr>
                  <w:rFonts w:cs="Times New Roman"/>
                  <w:i/>
                  <w:spacing w:val="-3"/>
                  <w:szCs w:val="20"/>
                </w:rPr>
                <w:t xml:space="preserve"> </w:t>
              </w:r>
            </w:hyperlink>
            <w:r w:rsidRPr="00685B5C">
              <w:rPr>
                <w:rFonts w:cs="Times New Roman"/>
                <w:bCs/>
                <w:i/>
                <w:iCs/>
                <w:szCs w:val="20"/>
                <w:u w:val="double"/>
              </w:rPr>
              <w:t xml:space="preserve"> waste</w:t>
            </w:r>
            <w:r w:rsidRPr="006E6B08">
              <w:rPr>
                <w:rFonts w:cs="Times New Roman"/>
                <w:szCs w:val="20"/>
              </w:rPr>
              <w:t xml:space="preserve"> in</w:t>
            </w:r>
            <w:r w:rsidRPr="006E6B08">
              <w:rPr>
                <w:rFonts w:cs="Times New Roman"/>
                <w:spacing w:val="-4"/>
                <w:szCs w:val="20"/>
              </w:rPr>
              <w:t xml:space="preserve"> </w:t>
            </w:r>
            <w:r w:rsidRPr="006E6B08">
              <w:rPr>
                <w:rFonts w:cs="Times New Roman"/>
                <w:szCs w:val="20"/>
              </w:rPr>
              <w:t>an</w:t>
            </w:r>
            <w:r w:rsidRPr="006E6B08">
              <w:rPr>
                <w:rFonts w:cs="Times New Roman"/>
                <w:spacing w:val="-3"/>
                <w:szCs w:val="20"/>
              </w:rPr>
              <w:t xml:space="preserve"> </w:t>
            </w:r>
            <w:r w:rsidRPr="006E6B08">
              <w:rPr>
                <w:rFonts w:cs="Times New Roman"/>
                <w:szCs w:val="20"/>
              </w:rPr>
              <w:t>organic</w:t>
            </w:r>
            <w:r w:rsidRPr="006E6B08">
              <w:rPr>
                <w:rFonts w:cs="Times New Roman"/>
                <w:spacing w:val="-4"/>
                <w:szCs w:val="20"/>
              </w:rPr>
              <w:t xml:space="preserve"> </w:t>
            </w:r>
            <w:r w:rsidRPr="006E6B08">
              <w:rPr>
                <w:rFonts w:cs="Times New Roman"/>
                <w:szCs w:val="20"/>
              </w:rPr>
              <w:t>acid</w:t>
            </w:r>
            <w:r w:rsidRPr="006E6B08">
              <w:rPr>
                <w:rFonts w:cs="Times New Roman"/>
                <w:spacing w:val="-4"/>
                <w:szCs w:val="20"/>
              </w:rPr>
              <w:t xml:space="preserve"> </w:t>
            </w:r>
            <w:r w:rsidRPr="006E6B08">
              <w:rPr>
                <w:rFonts w:cs="Times New Roman"/>
                <w:szCs w:val="20"/>
              </w:rPr>
              <w:t>such</w:t>
            </w:r>
            <w:r w:rsidRPr="006E6B08">
              <w:rPr>
                <w:rFonts w:cs="Times New Roman"/>
                <w:spacing w:val="-3"/>
                <w:szCs w:val="20"/>
              </w:rPr>
              <w:t xml:space="preserve"> </w:t>
            </w:r>
            <w:r w:rsidRPr="006E6B08">
              <w:rPr>
                <w:rFonts w:cs="Times New Roman"/>
                <w:szCs w:val="20"/>
              </w:rPr>
              <w:t>as</w:t>
            </w:r>
            <w:r w:rsidRPr="006E6B08">
              <w:rPr>
                <w:rFonts w:cs="Times New Roman"/>
                <w:spacing w:val="-4"/>
                <w:szCs w:val="20"/>
              </w:rPr>
              <w:t xml:space="preserve"> </w:t>
            </w:r>
            <w:r w:rsidRPr="006E6B08">
              <w:rPr>
                <w:rFonts w:cs="Times New Roman"/>
                <w:szCs w:val="20"/>
              </w:rPr>
              <w:t>formic</w:t>
            </w:r>
            <w:r w:rsidRPr="006E6B08">
              <w:rPr>
                <w:rFonts w:cs="Times New Roman"/>
                <w:spacing w:val="-4"/>
                <w:szCs w:val="20"/>
              </w:rPr>
              <w:t xml:space="preserve"> </w:t>
            </w:r>
            <w:r w:rsidRPr="006E6B08">
              <w:rPr>
                <w:rFonts w:cs="Times New Roman"/>
                <w:szCs w:val="20"/>
              </w:rPr>
              <w:t>acid</w:t>
            </w:r>
            <w:r w:rsidRPr="006E6B08">
              <w:rPr>
                <w:rFonts w:cs="Times New Roman"/>
                <w:spacing w:val="-3"/>
                <w:szCs w:val="20"/>
              </w:rPr>
              <w:t xml:space="preserve"> </w:t>
            </w:r>
            <w:r w:rsidRPr="006E6B08">
              <w:rPr>
                <w:rFonts w:cs="Times New Roman"/>
                <w:szCs w:val="20"/>
              </w:rPr>
              <w:t>is</w:t>
            </w:r>
            <w:r w:rsidRPr="006E6B08">
              <w:rPr>
                <w:rFonts w:cs="Times New Roman"/>
                <w:spacing w:val="-4"/>
                <w:szCs w:val="20"/>
              </w:rPr>
              <w:t xml:space="preserve"> </w:t>
            </w:r>
            <w:r w:rsidRPr="006E6B08">
              <w:rPr>
                <w:rFonts w:cs="Times New Roman"/>
                <w:szCs w:val="20"/>
              </w:rPr>
              <w:t>an</w:t>
            </w:r>
            <w:r w:rsidRPr="006E6B08">
              <w:rPr>
                <w:rFonts w:cs="Times New Roman"/>
                <w:spacing w:val="-4"/>
                <w:szCs w:val="20"/>
              </w:rPr>
              <w:t xml:space="preserve"> </w:t>
            </w:r>
            <w:r w:rsidRPr="006E6B08">
              <w:rPr>
                <w:rFonts w:cs="Times New Roman"/>
                <w:szCs w:val="20"/>
              </w:rPr>
              <w:t>effective</w:t>
            </w:r>
            <w:r w:rsidRPr="006E6B08">
              <w:rPr>
                <w:rFonts w:cs="Times New Roman"/>
                <w:spacing w:val="-4"/>
                <w:szCs w:val="20"/>
              </w:rPr>
              <w:t xml:space="preserve"> </w:t>
            </w:r>
            <w:r w:rsidRPr="006E6B08">
              <w:rPr>
                <w:rFonts w:cs="Times New Roman"/>
                <w:szCs w:val="20"/>
              </w:rPr>
              <w:t>method</w:t>
            </w:r>
            <w:r w:rsidRPr="006E6B08">
              <w:rPr>
                <w:rFonts w:cs="Times New Roman"/>
                <w:spacing w:val="-3"/>
                <w:szCs w:val="20"/>
              </w:rPr>
              <w:t xml:space="preserve"> </w:t>
            </w:r>
            <w:r w:rsidRPr="006E6B08">
              <w:rPr>
                <w:rFonts w:cs="Times New Roman"/>
                <w:szCs w:val="20"/>
              </w:rPr>
              <w:t>of</w:t>
            </w:r>
            <w:r w:rsidRPr="006E6B08">
              <w:rPr>
                <w:rFonts w:cs="Times New Roman"/>
                <w:spacing w:val="-4"/>
                <w:szCs w:val="20"/>
              </w:rPr>
              <w:t xml:space="preserve"> </w:t>
            </w:r>
            <w:r w:rsidRPr="006E6B08">
              <w:rPr>
                <w:rFonts w:cs="Times New Roman"/>
                <w:szCs w:val="20"/>
              </w:rPr>
              <w:t>inactivating</w:t>
            </w:r>
            <w:r w:rsidRPr="006E6B08">
              <w:rPr>
                <w:rFonts w:cs="Times New Roman"/>
                <w:spacing w:val="-4"/>
                <w:szCs w:val="20"/>
              </w:rPr>
              <w:t xml:space="preserve"> </w:t>
            </w:r>
            <w:r w:rsidRPr="006E6B08">
              <w:rPr>
                <w:rFonts w:cs="Times New Roman"/>
                <w:szCs w:val="20"/>
              </w:rPr>
              <w:t xml:space="preserve">most </w:t>
            </w:r>
            <w:hyperlink w:anchor="_bookmark93" w:history="1">
              <w:r w:rsidRPr="006E6B08">
                <w:rPr>
                  <w:rFonts w:cs="Times New Roman"/>
                  <w:i/>
                  <w:szCs w:val="20"/>
                </w:rPr>
                <w:t>pathogenic agents</w:t>
              </w:r>
            </w:hyperlink>
            <w:r w:rsidRPr="006E6B08">
              <w:rPr>
                <w:rFonts w:cs="Times New Roman"/>
                <w:i/>
                <w:szCs w:val="20"/>
              </w:rPr>
              <w:t xml:space="preserve"> </w:t>
            </w:r>
            <w:r w:rsidRPr="006E6B08">
              <w:rPr>
                <w:rFonts w:cs="Times New Roman"/>
                <w:szCs w:val="20"/>
              </w:rPr>
              <w:t>within 48 hours.</w:t>
            </w:r>
          </w:p>
        </w:tc>
      </w:tr>
      <w:tr w:rsidR="00233054" w14:paraId="50AF6C9A" w14:textId="77777777" w:rsidTr="00490F00">
        <w:tc>
          <w:tcPr>
            <w:tcW w:w="2140" w:type="dxa"/>
          </w:tcPr>
          <w:p w14:paraId="65FA605F" w14:textId="213D84F5" w:rsidR="00233054" w:rsidRPr="00490F00" w:rsidRDefault="00233054" w:rsidP="00233054">
            <w:pPr>
              <w:spacing w:before="40" w:after="120"/>
              <w:rPr>
                <w:rFonts w:cs="Times New Roman"/>
                <w:bCs/>
                <w:szCs w:val="20"/>
              </w:rPr>
            </w:pPr>
            <w:r w:rsidRPr="00490F00">
              <w:rPr>
                <w:rFonts w:cs="Times New Roman"/>
                <w:bCs/>
                <w:szCs w:val="20"/>
              </w:rPr>
              <w:t>5.4.2.</w:t>
            </w:r>
          </w:p>
        </w:tc>
        <w:tc>
          <w:tcPr>
            <w:tcW w:w="736" w:type="dxa"/>
          </w:tcPr>
          <w:p w14:paraId="51501525" w14:textId="52B5EBE7" w:rsidR="00233054" w:rsidRPr="00490F00" w:rsidRDefault="00233054" w:rsidP="00233054">
            <w:pPr>
              <w:spacing w:before="40" w:after="120"/>
              <w:rPr>
                <w:rFonts w:cs="Times New Roman"/>
                <w:bCs/>
                <w:szCs w:val="20"/>
              </w:rPr>
            </w:pPr>
            <w:r w:rsidRPr="00490F00">
              <w:rPr>
                <w:rFonts w:cs="Times New Roman"/>
                <w:bCs/>
                <w:szCs w:val="20"/>
              </w:rPr>
              <w:t>93</w:t>
            </w:r>
          </w:p>
        </w:tc>
        <w:tc>
          <w:tcPr>
            <w:tcW w:w="6333" w:type="dxa"/>
          </w:tcPr>
          <w:p w14:paraId="64A68905" w14:textId="77777777" w:rsidR="00233054" w:rsidRPr="006E6B08" w:rsidRDefault="00233054" w:rsidP="00233054">
            <w:pPr>
              <w:pStyle w:val="Corpsdetexte"/>
              <w:spacing w:before="40" w:after="120" w:line="254" w:lineRule="auto"/>
              <w:ind w:left="108" w:right="118"/>
              <w:jc w:val="both"/>
              <w:rPr>
                <w:rFonts w:ascii="Times New Roman" w:hAnsi="Times New Roman" w:cs="Times New Roman"/>
                <w:sz w:val="20"/>
                <w:szCs w:val="20"/>
              </w:rPr>
            </w:pPr>
            <w:r w:rsidRPr="006E6B08">
              <w:rPr>
                <w:rFonts w:ascii="Times New Roman" w:hAnsi="Times New Roman" w:cs="Times New Roman"/>
                <w:sz w:val="20"/>
                <w:szCs w:val="20"/>
              </w:rPr>
              <w:t>[…]</w:t>
            </w:r>
            <w:r w:rsidRPr="006E6B08">
              <w:rPr>
                <w:rFonts w:ascii="Times New Roman" w:hAnsi="Times New Roman" w:cs="Times New Roman"/>
                <w:spacing w:val="-8"/>
                <w:sz w:val="20"/>
                <w:szCs w:val="20"/>
              </w:rPr>
              <w:t xml:space="preserve"> </w:t>
            </w:r>
            <w:r w:rsidRPr="006E6B08">
              <w:rPr>
                <w:rFonts w:ascii="Times New Roman" w:hAnsi="Times New Roman" w:cs="Times New Roman"/>
                <w:sz w:val="20"/>
                <w:szCs w:val="20"/>
              </w:rPr>
              <w:t xml:space="preserve">The criteria for inclusion of </w:t>
            </w:r>
            <w:hyperlink w:anchor="_bookmark14" w:history="1">
              <w:r w:rsidRPr="006E6B08">
                <w:rPr>
                  <w:rFonts w:ascii="Times New Roman" w:hAnsi="Times New Roman" w:cs="Times New Roman"/>
                  <w:i/>
                  <w:sz w:val="20"/>
                  <w:szCs w:val="20"/>
                </w:rPr>
                <w:t>aquatic animal products</w:t>
              </w:r>
            </w:hyperlink>
            <w:r w:rsidRPr="006E6B08">
              <w:rPr>
                <w:rFonts w:ascii="Times New Roman" w:hAnsi="Times New Roman" w:cs="Times New Roman"/>
                <w:i/>
                <w:sz w:val="20"/>
                <w:szCs w:val="20"/>
              </w:rPr>
              <w:t xml:space="preserve"> </w:t>
            </w:r>
            <w:r w:rsidRPr="006E6B08">
              <w:rPr>
                <w:rFonts w:ascii="Times New Roman" w:hAnsi="Times New Roman" w:cs="Times New Roman"/>
                <w:sz w:val="20"/>
                <w:szCs w:val="20"/>
              </w:rPr>
              <w:t>in point 1 of Article X.X.11. (mollusc disease-specific chapters), Article</w:t>
            </w:r>
            <w:r w:rsidRPr="006E6B08">
              <w:rPr>
                <w:rFonts w:ascii="Times New Roman" w:hAnsi="Times New Roman" w:cs="Times New Roman"/>
                <w:spacing w:val="-4"/>
                <w:sz w:val="20"/>
                <w:szCs w:val="20"/>
              </w:rPr>
              <w:t xml:space="preserve"> </w:t>
            </w:r>
            <w:r w:rsidRPr="006E6B08">
              <w:rPr>
                <w:rFonts w:ascii="Times New Roman" w:hAnsi="Times New Roman" w:cs="Times New Roman"/>
                <w:sz w:val="20"/>
                <w:szCs w:val="20"/>
              </w:rPr>
              <w:t>X.X.12.</w:t>
            </w:r>
            <w:r w:rsidRPr="006E6B08">
              <w:rPr>
                <w:rFonts w:ascii="Times New Roman" w:hAnsi="Times New Roman" w:cs="Times New Roman"/>
                <w:spacing w:val="-3"/>
                <w:sz w:val="20"/>
                <w:szCs w:val="20"/>
              </w:rPr>
              <w:t xml:space="preserve"> </w:t>
            </w:r>
            <w:r w:rsidRPr="006E6B08">
              <w:rPr>
                <w:rFonts w:ascii="Times New Roman" w:hAnsi="Times New Roman" w:cs="Times New Roman"/>
                <w:sz w:val="20"/>
                <w:szCs w:val="20"/>
              </w:rPr>
              <w:t>(amphibian,</w:t>
            </w:r>
            <w:r w:rsidRPr="006E6B08">
              <w:rPr>
                <w:rFonts w:ascii="Times New Roman" w:hAnsi="Times New Roman" w:cs="Times New Roman"/>
                <w:spacing w:val="-4"/>
                <w:sz w:val="20"/>
                <w:szCs w:val="20"/>
              </w:rPr>
              <w:t xml:space="preserve"> </w:t>
            </w:r>
            <w:r w:rsidRPr="006E6B08">
              <w:rPr>
                <w:rFonts w:ascii="Times New Roman" w:hAnsi="Times New Roman" w:cs="Times New Roman"/>
                <w:sz w:val="20"/>
                <w:szCs w:val="20"/>
              </w:rPr>
              <w:t>crustacean</w:t>
            </w:r>
            <w:r w:rsidRPr="006E6B08">
              <w:rPr>
                <w:rFonts w:ascii="Times New Roman" w:hAnsi="Times New Roman" w:cs="Times New Roman"/>
                <w:spacing w:val="-3"/>
                <w:sz w:val="20"/>
                <w:szCs w:val="20"/>
              </w:rPr>
              <w:t xml:space="preserve"> </w:t>
            </w:r>
            <w:r w:rsidRPr="006E6B08">
              <w:rPr>
                <w:rFonts w:ascii="Times New Roman" w:hAnsi="Times New Roman" w:cs="Times New Roman"/>
                <w:sz w:val="20"/>
                <w:szCs w:val="20"/>
              </w:rPr>
              <w:t>and</w:t>
            </w:r>
            <w:r w:rsidRPr="006E6B08">
              <w:rPr>
                <w:rFonts w:ascii="Times New Roman" w:hAnsi="Times New Roman" w:cs="Times New Roman"/>
                <w:spacing w:val="-4"/>
                <w:sz w:val="20"/>
                <w:szCs w:val="20"/>
              </w:rPr>
              <w:t xml:space="preserve"> </w:t>
            </w:r>
            <w:r w:rsidRPr="006E6B08">
              <w:rPr>
                <w:rFonts w:ascii="Times New Roman" w:hAnsi="Times New Roman" w:cs="Times New Roman"/>
                <w:sz w:val="20"/>
                <w:szCs w:val="20"/>
              </w:rPr>
              <w:t>fish</w:t>
            </w:r>
            <w:r w:rsidRPr="006E6B08">
              <w:rPr>
                <w:rFonts w:ascii="Times New Roman" w:hAnsi="Times New Roman" w:cs="Times New Roman"/>
                <w:spacing w:val="-3"/>
                <w:sz w:val="20"/>
                <w:szCs w:val="20"/>
              </w:rPr>
              <w:t xml:space="preserve"> </w:t>
            </w:r>
            <w:r w:rsidRPr="006E6B08">
              <w:rPr>
                <w:rFonts w:ascii="Times New Roman" w:hAnsi="Times New Roman" w:cs="Times New Roman"/>
                <w:sz w:val="20"/>
                <w:szCs w:val="20"/>
              </w:rPr>
              <w:t>disease-specific</w:t>
            </w:r>
            <w:r w:rsidRPr="006E6B08">
              <w:rPr>
                <w:rFonts w:ascii="Times New Roman" w:hAnsi="Times New Roman" w:cs="Times New Roman"/>
                <w:spacing w:val="-4"/>
                <w:sz w:val="20"/>
                <w:szCs w:val="20"/>
              </w:rPr>
              <w:t xml:space="preserve"> </w:t>
            </w:r>
            <w:r w:rsidRPr="006E6B08">
              <w:rPr>
                <w:rFonts w:ascii="Times New Roman" w:hAnsi="Times New Roman" w:cs="Times New Roman"/>
                <w:sz w:val="20"/>
                <w:szCs w:val="20"/>
              </w:rPr>
              <w:t>chapters)</w:t>
            </w:r>
            <w:r w:rsidRPr="006E6B08">
              <w:rPr>
                <w:rFonts w:ascii="Times New Roman" w:hAnsi="Times New Roman" w:cs="Times New Roman"/>
                <w:spacing w:val="-3"/>
                <w:sz w:val="20"/>
                <w:szCs w:val="20"/>
              </w:rPr>
              <w:t xml:space="preserve"> </w:t>
            </w:r>
            <w:r w:rsidRPr="006E6B08">
              <w:rPr>
                <w:rFonts w:ascii="Times New Roman" w:hAnsi="Times New Roman" w:cs="Times New Roman"/>
                <w:sz w:val="20"/>
                <w:szCs w:val="20"/>
              </w:rPr>
              <w:t>and</w:t>
            </w:r>
            <w:r w:rsidRPr="006E6B08">
              <w:rPr>
                <w:rFonts w:ascii="Times New Roman" w:hAnsi="Times New Roman" w:cs="Times New Roman"/>
                <w:spacing w:val="-3"/>
                <w:sz w:val="20"/>
                <w:szCs w:val="20"/>
              </w:rPr>
              <w:t xml:space="preserve"> </w:t>
            </w:r>
            <w:r w:rsidRPr="006E6B08">
              <w:rPr>
                <w:rFonts w:ascii="Times New Roman" w:hAnsi="Times New Roman" w:cs="Times New Roman"/>
                <w:sz w:val="20"/>
                <w:szCs w:val="20"/>
              </w:rPr>
              <w:t>Article</w:t>
            </w:r>
            <w:r w:rsidRPr="006E6B08">
              <w:rPr>
                <w:rFonts w:ascii="Times New Roman" w:hAnsi="Times New Roman" w:cs="Times New Roman"/>
                <w:spacing w:val="-4"/>
                <w:sz w:val="20"/>
                <w:szCs w:val="20"/>
              </w:rPr>
              <w:t xml:space="preserve"> </w:t>
            </w:r>
            <w:r w:rsidRPr="006E6B08">
              <w:rPr>
                <w:rFonts w:ascii="Times New Roman" w:hAnsi="Times New Roman" w:cs="Times New Roman"/>
                <w:sz w:val="20"/>
                <w:szCs w:val="20"/>
              </w:rPr>
              <w:t>10.4.16.</w:t>
            </w:r>
            <w:r w:rsidRPr="006E6B08">
              <w:rPr>
                <w:rFonts w:ascii="Times New Roman" w:hAnsi="Times New Roman" w:cs="Times New Roman"/>
                <w:spacing w:val="-3"/>
                <w:sz w:val="20"/>
                <w:szCs w:val="20"/>
              </w:rPr>
              <w:t xml:space="preserve"> </w:t>
            </w:r>
            <w:r w:rsidRPr="006E6B08">
              <w:rPr>
                <w:rFonts w:ascii="Times New Roman" w:hAnsi="Times New Roman" w:cs="Times New Roman"/>
                <w:sz w:val="20"/>
                <w:szCs w:val="20"/>
              </w:rPr>
              <w:t>include</w:t>
            </w:r>
            <w:r w:rsidRPr="006E6B08">
              <w:rPr>
                <w:rFonts w:ascii="Times New Roman" w:hAnsi="Times New Roman" w:cs="Times New Roman"/>
                <w:spacing w:val="-4"/>
                <w:sz w:val="20"/>
                <w:szCs w:val="20"/>
              </w:rPr>
              <w:t xml:space="preserve"> </w:t>
            </w:r>
            <w:r w:rsidRPr="006E6B08">
              <w:rPr>
                <w:rFonts w:ascii="Times New Roman" w:hAnsi="Times New Roman" w:cs="Times New Roman"/>
                <w:sz w:val="20"/>
                <w:szCs w:val="20"/>
              </w:rPr>
              <w:t>consideration</w:t>
            </w:r>
            <w:r w:rsidRPr="006E6B08">
              <w:rPr>
                <w:rFonts w:ascii="Times New Roman" w:hAnsi="Times New Roman" w:cs="Times New Roman"/>
                <w:spacing w:val="-3"/>
                <w:sz w:val="20"/>
                <w:szCs w:val="20"/>
              </w:rPr>
              <w:t xml:space="preserve"> </w:t>
            </w:r>
            <w:r w:rsidRPr="006E6B08">
              <w:rPr>
                <w:rFonts w:ascii="Times New Roman" w:hAnsi="Times New Roman" w:cs="Times New Roman"/>
                <w:sz w:val="20"/>
                <w:szCs w:val="20"/>
              </w:rPr>
              <w:t>of the</w:t>
            </w:r>
            <w:r w:rsidRPr="006E6B08">
              <w:rPr>
                <w:rFonts w:ascii="Times New Roman" w:hAnsi="Times New Roman" w:cs="Times New Roman"/>
                <w:spacing w:val="-15"/>
                <w:sz w:val="20"/>
                <w:szCs w:val="20"/>
              </w:rPr>
              <w:t xml:space="preserve"> </w:t>
            </w:r>
            <w:r w:rsidRPr="006E6B08">
              <w:rPr>
                <w:rFonts w:ascii="Times New Roman" w:hAnsi="Times New Roman" w:cs="Times New Roman"/>
                <w:sz w:val="20"/>
                <w:szCs w:val="20"/>
              </w:rPr>
              <w:t>form</w:t>
            </w:r>
            <w:r w:rsidRPr="006E6B08">
              <w:rPr>
                <w:rFonts w:ascii="Times New Roman" w:hAnsi="Times New Roman" w:cs="Times New Roman"/>
                <w:spacing w:val="-14"/>
                <w:sz w:val="20"/>
                <w:szCs w:val="20"/>
              </w:rPr>
              <w:t xml:space="preserve"> </w:t>
            </w:r>
            <w:r w:rsidRPr="006E6B08">
              <w:rPr>
                <w:rFonts w:ascii="Times New Roman" w:hAnsi="Times New Roman" w:cs="Times New Roman"/>
                <w:sz w:val="20"/>
                <w:szCs w:val="20"/>
              </w:rPr>
              <w:t>and</w:t>
            </w:r>
            <w:r w:rsidRPr="006E6B08">
              <w:rPr>
                <w:rFonts w:ascii="Times New Roman" w:hAnsi="Times New Roman" w:cs="Times New Roman"/>
                <w:spacing w:val="-15"/>
                <w:sz w:val="20"/>
                <w:szCs w:val="20"/>
              </w:rPr>
              <w:t xml:space="preserve"> </w:t>
            </w:r>
            <w:r w:rsidRPr="006E6B08">
              <w:rPr>
                <w:rFonts w:ascii="Times New Roman" w:hAnsi="Times New Roman" w:cs="Times New Roman"/>
                <w:sz w:val="20"/>
                <w:szCs w:val="20"/>
              </w:rPr>
              <w:t>presentation</w:t>
            </w:r>
            <w:r w:rsidRPr="006E6B08">
              <w:rPr>
                <w:rFonts w:ascii="Times New Roman" w:hAnsi="Times New Roman" w:cs="Times New Roman"/>
                <w:spacing w:val="-14"/>
                <w:sz w:val="20"/>
                <w:szCs w:val="20"/>
              </w:rPr>
              <w:t xml:space="preserve"> </w:t>
            </w:r>
            <w:r w:rsidRPr="006E6B08">
              <w:rPr>
                <w:rFonts w:ascii="Times New Roman" w:hAnsi="Times New Roman" w:cs="Times New Roman"/>
                <w:sz w:val="20"/>
                <w:szCs w:val="20"/>
              </w:rPr>
              <w:t>of</w:t>
            </w:r>
            <w:r w:rsidRPr="006E6B08">
              <w:rPr>
                <w:rFonts w:ascii="Times New Roman" w:hAnsi="Times New Roman" w:cs="Times New Roman"/>
                <w:spacing w:val="-15"/>
                <w:sz w:val="20"/>
                <w:szCs w:val="20"/>
              </w:rPr>
              <w:t xml:space="preserve"> </w:t>
            </w:r>
            <w:r w:rsidRPr="006E6B08">
              <w:rPr>
                <w:rFonts w:ascii="Times New Roman" w:hAnsi="Times New Roman" w:cs="Times New Roman"/>
                <w:sz w:val="20"/>
                <w:szCs w:val="20"/>
              </w:rPr>
              <w:t>the</w:t>
            </w:r>
            <w:r w:rsidRPr="006E6B08">
              <w:rPr>
                <w:rFonts w:ascii="Times New Roman" w:hAnsi="Times New Roman" w:cs="Times New Roman"/>
                <w:spacing w:val="-14"/>
                <w:sz w:val="20"/>
                <w:szCs w:val="20"/>
              </w:rPr>
              <w:t xml:space="preserve"> </w:t>
            </w:r>
            <w:r w:rsidRPr="006E6B08">
              <w:rPr>
                <w:rFonts w:ascii="Times New Roman" w:hAnsi="Times New Roman" w:cs="Times New Roman"/>
                <w:sz w:val="20"/>
                <w:szCs w:val="20"/>
              </w:rPr>
              <w:t>product,</w:t>
            </w:r>
            <w:r w:rsidRPr="006E6B08">
              <w:rPr>
                <w:rFonts w:ascii="Times New Roman" w:hAnsi="Times New Roman" w:cs="Times New Roman"/>
                <w:spacing w:val="-15"/>
                <w:sz w:val="20"/>
                <w:szCs w:val="20"/>
              </w:rPr>
              <w:t xml:space="preserve"> </w:t>
            </w:r>
            <w:r w:rsidRPr="006E6B08">
              <w:rPr>
                <w:rFonts w:ascii="Times New Roman" w:hAnsi="Times New Roman" w:cs="Times New Roman"/>
                <w:sz w:val="20"/>
                <w:szCs w:val="20"/>
              </w:rPr>
              <w:t>the</w:t>
            </w:r>
            <w:r w:rsidRPr="006E6B08">
              <w:rPr>
                <w:rFonts w:ascii="Times New Roman" w:hAnsi="Times New Roman" w:cs="Times New Roman"/>
                <w:spacing w:val="-14"/>
                <w:sz w:val="20"/>
                <w:szCs w:val="20"/>
              </w:rPr>
              <w:t xml:space="preserve"> </w:t>
            </w:r>
            <w:r w:rsidRPr="006E6B08">
              <w:rPr>
                <w:rFonts w:ascii="Times New Roman" w:hAnsi="Times New Roman" w:cs="Times New Roman"/>
                <w:sz w:val="20"/>
                <w:szCs w:val="20"/>
              </w:rPr>
              <w:t>expected</w:t>
            </w:r>
            <w:r w:rsidRPr="006E6B08">
              <w:rPr>
                <w:rFonts w:ascii="Times New Roman" w:hAnsi="Times New Roman" w:cs="Times New Roman"/>
                <w:spacing w:val="-14"/>
                <w:sz w:val="20"/>
                <w:szCs w:val="20"/>
              </w:rPr>
              <w:t xml:space="preserve"> </w:t>
            </w:r>
            <w:r w:rsidRPr="006E6B08">
              <w:rPr>
                <w:rFonts w:ascii="Times New Roman" w:hAnsi="Times New Roman" w:cs="Times New Roman"/>
                <w:sz w:val="20"/>
                <w:szCs w:val="20"/>
              </w:rPr>
              <w:t>volume</w:t>
            </w:r>
            <w:r w:rsidRPr="006E6B08">
              <w:rPr>
                <w:rFonts w:ascii="Times New Roman" w:hAnsi="Times New Roman" w:cs="Times New Roman"/>
                <w:spacing w:val="-15"/>
                <w:sz w:val="20"/>
                <w:szCs w:val="20"/>
              </w:rPr>
              <w:t xml:space="preserve"> </w:t>
            </w:r>
            <w:r w:rsidRPr="006E6B08">
              <w:rPr>
                <w:rFonts w:ascii="Times New Roman" w:hAnsi="Times New Roman" w:cs="Times New Roman"/>
                <w:sz w:val="20"/>
                <w:szCs w:val="20"/>
              </w:rPr>
              <w:t>of</w:t>
            </w:r>
            <w:r w:rsidRPr="006E6B08">
              <w:rPr>
                <w:rFonts w:ascii="Times New Roman" w:hAnsi="Times New Roman" w:cs="Times New Roman"/>
                <w:spacing w:val="-14"/>
                <w:sz w:val="20"/>
                <w:szCs w:val="20"/>
              </w:rPr>
              <w:t xml:space="preserve"> </w:t>
            </w:r>
            <w:r w:rsidRPr="00685B5C">
              <w:rPr>
                <w:rFonts w:ascii="Times New Roman" w:hAnsi="Times New Roman" w:cs="Times New Roman"/>
                <w:bCs/>
                <w:strike/>
                <w:sz w:val="20"/>
                <w:szCs w:val="20"/>
              </w:rPr>
              <w:t>waste</w:t>
            </w:r>
            <w:r w:rsidRPr="00685B5C">
              <w:rPr>
                <w:rFonts w:ascii="Times New Roman" w:hAnsi="Times New Roman" w:cs="Times New Roman"/>
                <w:bCs/>
                <w:i/>
                <w:iCs/>
                <w:sz w:val="20"/>
                <w:szCs w:val="20"/>
                <w:u w:val="double"/>
              </w:rPr>
              <w:t xml:space="preserve"> aquatic animal waste</w:t>
            </w:r>
            <w:r w:rsidRPr="006E6B08">
              <w:rPr>
                <w:rFonts w:ascii="Times New Roman" w:hAnsi="Times New Roman" w:cs="Times New Roman"/>
                <w:sz w:val="20"/>
                <w:szCs w:val="20"/>
              </w:rPr>
              <w:t xml:space="preserve"> tissues</w:t>
            </w:r>
            <w:r w:rsidRPr="006E6B08">
              <w:rPr>
                <w:rFonts w:ascii="Times New Roman" w:hAnsi="Times New Roman" w:cs="Times New Roman"/>
                <w:spacing w:val="-14"/>
                <w:sz w:val="20"/>
                <w:szCs w:val="20"/>
              </w:rPr>
              <w:t xml:space="preserve"> </w:t>
            </w:r>
            <w:r w:rsidRPr="006E6B08">
              <w:rPr>
                <w:rFonts w:ascii="Times New Roman" w:hAnsi="Times New Roman" w:cs="Times New Roman"/>
                <w:sz w:val="20"/>
                <w:szCs w:val="20"/>
              </w:rPr>
              <w:t>generated</w:t>
            </w:r>
            <w:r w:rsidRPr="006E6B08">
              <w:rPr>
                <w:rFonts w:ascii="Times New Roman" w:hAnsi="Times New Roman" w:cs="Times New Roman"/>
                <w:spacing w:val="-15"/>
                <w:sz w:val="20"/>
                <w:szCs w:val="20"/>
              </w:rPr>
              <w:t xml:space="preserve"> </w:t>
            </w:r>
            <w:r w:rsidRPr="006E6B08">
              <w:rPr>
                <w:rFonts w:ascii="Times New Roman" w:hAnsi="Times New Roman" w:cs="Times New Roman"/>
                <w:sz w:val="20"/>
                <w:szCs w:val="20"/>
              </w:rPr>
              <w:t>by</w:t>
            </w:r>
            <w:r w:rsidRPr="006E6B08">
              <w:rPr>
                <w:rFonts w:ascii="Times New Roman" w:hAnsi="Times New Roman" w:cs="Times New Roman"/>
                <w:spacing w:val="-14"/>
                <w:sz w:val="20"/>
                <w:szCs w:val="20"/>
              </w:rPr>
              <w:t xml:space="preserve"> </w:t>
            </w:r>
            <w:r w:rsidRPr="006E6B08">
              <w:rPr>
                <w:rFonts w:ascii="Times New Roman" w:hAnsi="Times New Roman" w:cs="Times New Roman"/>
                <w:sz w:val="20"/>
                <w:szCs w:val="20"/>
              </w:rPr>
              <w:t>the</w:t>
            </w:r>
            <w:r w:rsidRPr="006E6B08">
              <w:rPr>
                <w:rFonts w:ascii="Times New Roman" w:hAnsi="Times New Roman" w:cs="Times New Roman"/>
                <w:spacing w:val="-15"/>
                <w:sz w:val="20"/>
                <w:szCs w:val="20"/>
              </w:rPr>
              <w:t xml:space="preserve"> </w:t>
            </w:r>
            <w:r w:rsidRPr="006E6B08">
              <w:rPr>
                <w:rFonts w:ascii="Times New Roman" w:hAnsi="Times New Roman" w:cs="Times New Roman"/>
                <w:sz w:val="20"/>
                <w:szCs w:val="20"/>
              </w:rPr>
              <w:t>consumer</w:t>
            </w:r>
            <w:r w:rsidRPr="006E6B08">
              <w:rPr>
                <w:rFonts w:ascii="Times New Roman" w:hAnsi="Times New Roman" w:cs="Times New Roman"/>
                <w:spacing w:val="-14"/>
                <w:sz w:val="20"/>
                <w:szCs w:val="20"/>
              </w:rPr>
              <w:t xml:space="preserve"> </w:t>
            </w:r>
            <w:r w:rsidRPr="006E6B08">
              <w:rPr>
                <w:rFonts w:ascii="Times New Roman" w:hAnsi="Times New Roman" w:cs="Times New Roman"/>
                <w:sz w:val="20"/>
                <w:szCs w:val="20"/>
              </w:rPr>
              <w:t>and</w:t>
            </w:r>
            <w:r w:rsidRPr="006E6B08">
              <w:rPr>
                <w:rFonts w:ascii="Times New Roman" w:hAnsi="Times New Roman" w:cs="Times New Roman"/>
                <w:spacing w:val="-14"/>
                <w:sz w:val="20"/>
                <w:szCs w:val="20"/>
              </w:rPr>
              <w:t xml:space="preserve"> </w:t>
            </w:r>
            <w:r w:rsidRPr="006E6B08">
              <w:rPr>
                <w:rFonts w:ascii="Times New Roman" w:hAnsi="Times New Roman" w:cs="Times New Roman"/>
                <w:sz w:val="20"/>
                <w:szCs w:val="20"/>
              </w:rPr>
              <w:t>the</w:t>
            </w:r>
            <w:r w:rsidRPr="006E6B08">
              <w:rPr>
                <w:rFonts w:ascii="Times New Roman" w:hAnsi="Times New Roman" w:cs="Times New Roman"/>
                <w:spacing w:val="-15"/>
                <w:sz w:val="20"/>
                <w:szCs w:val="20"/>
              </w:rPr>
              <w:t xml:space="preserve"> </w:t>
            </w:r>
            <w:r w:rsidRPr="006E6B08">
              <w:rPr>
                <w:rFonts w:ascii="Times New Roman" w:hAnsi="Times New Roman" w:cs="Times New Roman"/>
                <w:sz w:val="20"/>
                <w:szCs w:val="20"/>
              </w:rPr>
              <w:t xml:space="preserve">likely presence of viable </w:t>
            </w:r>
            <w:hyperlink w:anchor="_bookmark93" w:history="1">
              <w:r w:rsidRPr="006E6B08">
                <w:rPr>
                  <w:rFonts w:ascii="Times New Roman" w:hAnsi="Times New Roman" w:cs="Times New Roman"/>
                  <w:i/>
                  <w:sz w:val="20"/>
                  <w:szCs w:val="20"/>
                </w:rPr>
                <w:t xml:space="preserve">pathogenic agent </w:t>
              </w:r>
            </w:hyperlink>
            <w:r w:rsidRPr="006E6B08">
              <w:rPr>
                <w:rFonts w:ascii="Times New Roman" w:hAnsi="Times New Roman" w:cs="Times New Roman"/>
                <w:sz w:val="20"/>
                <w:szCs w:val="20"/>
              </w:rPr>
              <w:t>in the</w:t>
            </w:r>
            <w:r w:rsidRPr="006E6B08">
              <w:rPr>
                <w:rFonts w:ascii="Times New Roman" w:hAnsi="Times New Roman" w:cs="Times New Roman"/>
                <w:spacing w:val="-4"/>
                <w:sz w:val="20"/>
                <w:szCs w:val="20"/>
              </w:rPr>
              <w:t xml:space="preserve"> </w:t>
            </w:r>
            <w:r w:rsidRPr="00685B5C">
              <w:rPr>
                <w:rFonts w:ascii="Times New Roman" w:hAnsi="Times New Roman" w:cs="Times New Roman"/>
                <w:bCs/>
                <w:strike/>
                <w:sz w:val="20"/>
                <w:szCs w:val="20"/>
              </w:rPr>
              <w:t>waste</w:t>
            </w:r>
            <w:r w:rsidRPr="00685B5C">
              <w:rPr>
                <w:rFonts w:ascii="Times New Roman" w:hAnsi="Times New Roman" w:cs="Times New Roman"/>
                <w:bCs/>
                <w:i/>
                <w:iCs/>
                <w:sz w:val="20"/>
                <w:szCs w:val="20"/>
                <w:u w:val="double"/>
              </w:rPr>
              <w:t xml:space="preserve"> aquatic animal waste</w:t>
            </w:r>
            <w:r w:rsidRPr="006E6B08">
              <w:rPr>
                <w:rFonts w:ascii="Times New Roman" w:hAnsi="Times New Roman" w:cs="Times New Roman"/>
                <w:sz w:val="20"/>
                <w:szCs w:val="20"/>
              </w:rPr>
              <w:t>.</w:t>
            </w:r>
          </w:p>
          <w:p w14:paraId="63E37642" w14:textId="77777777" w:rsidR="00233054" w:rsidRPr="006E6B08" w:rsidRDefault="00233054" w:rsidP="00233054">
            <w:pPr>
              <w:pStyle w:val="Corpsdetexte"/>
              <w:spacing w:before="40" w:after="120" w:line="254" w:lineRule="auto"/>
              <w:ind w:left="108" w:right="119"/>
              <w:jc w:val="both"/>
              <w:rPr>
                <w:rFonts w:ascii="Times New Roman" w:hAnsi="Times New Roman" w:cs="Times New Roman"/>
                <w:sz w:val="20"/>
                <w:szCs w:val="20"/>
              </w:rPr>
            </w:pPr>
            <w:r w:rsidRPr="006E6B08">
              <w:rPr>
                <w:rFonts w:ascii="Times New Roman" w:hAnsi="Times New Roman" w:cs="Times New Roman"/>
                <w:sz w:val="20"/>
                <w:szCs w:val="20"/>
              </w:rPr>
              <w:t>[…]</w:t>
            </w:r>
          </w:p>
          <w:p w14:paraId="08481738" w14:textId="43B1D5DD" w:rsidR="00233054" w:rsidRPr="006E6B08" w:rsidRDefault="00233054" w:rsidP="00233054">
            <w:pPr>
              <w:pStyle w:val="Corpsdetexte"/>
              <w:spacing w:before="40" w:after="40" w:line="254" w:lineRule="auto"/>
              <w:ind w:left="108" w:right="119"/>
              <w:jc w:val="both"/>
              <w:rPr>
                <w:rFonts w:ascii="Times New Roman" w:hAnsi="Times New Roman" w:cs="Times New Roman"/>
                <w:szCs w:val="20"/>
                <w:u w:val="single"/>
              </w:rPr>
            </w:pPr>
            <w:r w:rsidRPr="006E6B08">
              <w:rPr>
                <w:rFonts w:ascii="Times New Roman" w:hAnsi="Times New Roman" w:cs="Times New Roman"/>
                <w:sz w:val="20"/>
                <w:szCs w:val="20"/>
              </w:rPr>
              <w:t xml:space="preserve">It is assumed that: (i) the </w:t>
            </w:r>
            <w:hyperlink w:anchor="_bookmark14" w:history="1">
              <w:r w:rsidRPr="006E6B08">
                <w:rPr>
                  <w:rFonts w:ascii="Times New Roman" w:hAnsi="Times New Roman" w:cs="Times New Roman"/>
                  <w:i/>
                  <w:sz w:val="20"/>
                  <w:szCs w:val="20"/>
                </w:rPr>
                <w:t xml:space="preserve">aquatic animal products </w:t>
              </w:r>
            </w:hyperlink>
            <w:r w:rsidRPr="006E6B08">
              <w:rPr>
                <w:rFonts w:ascii="Times New Roman" w:hAnsi="Times New Roman" w:cs="Times New Roman"/>
                <w:sz w:val="20"/>
                <w:szCs w:val="20"/>
              </w:rPr>
              <w:t xml:space="preserve">are used for human consumption only; (ii) </w:t>
            </w:r>
            <w:r w:rsidRPr="00685B5C">
              <w:rPr>
                <w:rFonts w:ascii="Times New Roman" w:hAnsi="Times New Roman" w:cs="Times New Roman"/>
                <w:bCs/>
                <w:strike/>
                <w:sz w:val="20"/>
                <w:szCs w:val="20"/>
              </w:rPr>
              <w:t>waste</w:t>
            </w:r>
            <w:r w:rsidRPr="00685B5C">
              <w:rPr>
                <w:rFonts w:ascii="Times New Roman" w:hAnsi="Times New Roman" w:cs="Times New Roman"/>
                <w:bCs/>
                <w:i/>
                <w:iCs/>
                <w:sz w:val="20"/>
                <w:szCs w:val="20"/>
                <w:u w:val="double"/>
              </w:rPr>
              <w:t xml:space="preserve"> aquatic animal waste</w:t>
            </w:r>
            <w:r w:rsidRPr="006E6B08">
              <w:rPr>
                <w:rFonts w:ascii="Times New Roman" w:hAnsi="Times New Roman" w:cs="Times New Roman"/>
                <w:sz w:val="20"/>
                <w:szCs w:val="20"/>
              </w:rPr>
              <w:t xml:space="preserve"> may not always be handled in an appropriate manner that mitigates the introduction of the </w:t>
            </w:r>
            <w:hyperlink w:anchor="_bookmark93" w:history="1">
              <w:r w:rsidRPr="006E6B08">
                <w:rPr>
                  <w:rFonts w:ascii="Times New Roman" w:hAnsi="Times New Roman" w:cs="Times New Roman"/>
                  <w:i/>
                  <w:sz w:val="20"/>
                  <w:szCs w:val="20"/>
                </w:rPr>
                <w:t>pathogenic agent</w:t>
              </w:r>
            </w:hyperlink>
            <w:r w:rsidRPr="006E6B08">
              <w:rPr>
                <w:rFonts w:ascii="Times New Roman" w:hAnsi="Times New Roman" w:cs="Times New Roman"/>
                <w:sz w:val="20"/>
                <w:szCs w:val="20"/>
              </w:rPr>
              <w:t xml:space="preserve">; the level of risk is related to the </w:t>
            </w:r>
            <w:r w:rsidRPr="00685B5C">
              <w:rPr>
                <w:rFonts w:ascii="Times New Roman" w:hAnsi="Times New Roman" w:cs="Times New Roman"/>
                <w:bCs/>
                <w:strike/>
                <w:sz w:val="20"/>
                <w:szCs w:val="20"/>
              </w:rPr>
              <w:t>waste</w:t>
            </w:r>
            <w:r w:rsidRPr="00685B5C">
              <w:rPr>
                <w:rFonts w:ascii="Times New Roman" w:hAnsi="Times New Roman" w:cs="Times New Roman"/>
                <w:bCs/>
                <w:i/>
                <w:iCs/>
                <w:sz w:val="20"/>
                <w:szCs w:val="20"/>
                <w:u w:val="double"/>
              </w:rPr>
              <w:t xml:space="preserve"> aquatic animal waste</w:t>
            </w:r>
            <w:r w:rsidRPr="006E6B08">
              <w:rPr>
                <w:rFonts w:ascii="Times New Roman" w:hAnsi="Times New Roman" w:cs="Times New Roman"/>
                <w:sz w:val="20"/>
                <w:szCs w:val="20"/>
              </w:rPr>
              <w:t xml:space="preserve"> disposal practices in each Member's country or territory; […]</w:t>
            </w:r>
          </w:p>
        </w:tc>
      </w:tr>
    </w:tbl>
    <w:p w14:paraId="6C66A7A6" w14:textId="6D727D36" w:rsidR="00233054" w:rsidRDefault="00233054" w:rsidP="001D5EB7">
      <w:pPr>
        <w:spacing w:after="480" w:line="240" w:lineRule="auto"/>
      </w:pPr>
      <w:r>
        <w:br w:type="page"/>
      </w:r>
      <w:r w:rsidR="000760A9" w:rsidRPr="00233054">
        <w:rPr>
          <w:u w:val="single"/>
        </w:rPr>
        <w:lastRenderedPageBreak/>
        <w:t>A</w:t>
      </w:r>
      <w:r w:rsidR="000760A9" w:rsidRPr="00233054">
        <w:rPr>
          <w:rFonts w:cs="Times New Roman"/>
          <w:bCs/>
          <w:iCs/>
          <w:szCs w:val="20"/>
          <w:u w:val="single"/>
        </w:rPr>
        <w:t>nnex</w:t>
      </w:r>
      <w:r w:rsidR="000760A9" w:rsidRPr="00886D7F">
        <w:rPr>
          <w:rFonts w:cs="Times New Roman"/>
          <w:bCs/>
          <w:iCs/>
          <w:szCs w:val="20"/>
          <w:u w:val="single"/>
        </w:rPr>
        <w:t xml:space="preserve"> </w:t>
      </w:r>
      <w:r w:rsidR="00FC6CE0">
        <w:rPr>
          <w:rFonts w:cs="Times New Roman"/>
          <w:bCs/>
          <w:iCs/>
          <w:szCs w:val="20"/>
          <w:u w:val="single"/>
        </w:rPr>
        <w:t>8</w:t>
      </w:r>
      <w:r w:rsidR="00FC6CE0" w:rsidRPr="00233054">
        <w:rPr>
          <w:rFonts w:cs="Times New Roman"/>
          <w:bCs/>
          <w:iCs/>
          <w:szCs w:val="20"/>
        </w:rPr>
        <w:t xml:space="preserve"> </w:t>
      </w:r>
      <w:r w:rsidR="000760A9" w:rsidRPr="00233054">
        <w:rPr>
          <w:rFonts w:cs="Times New Roman"/>
          <w:bCs/>
          <w:iCs/>
          <w:szCs w:val="20"/>
        </w:rPr>
        <w:t>(contd)</w:t>
      </w:r>
    </w:p>
    <w:tbl>
      <w:tblPr>
        <w:tblStyle w:val="Grilledutableau"/>
        <w:tblW w:w="9209" w:type="dxa"/>
        <w:tblLook w:val="04A0" w:firstRow="1" w:lastRow="0" w:firstColumn="1" w:lastColumn="0" w:noHBand="0" w:noVBand="1"/>
      </w:tblPr>
      <w:tblGrid>
        <w:gridCol w:w="2140"/>
        <w:gridCol w:w="736"/>
        <w:gridCol w:w="6333"/>
      </w:tblGrid>
      <w:tr w:rsidR="0094086E" w14:paraId="248FDF77" w14:textId="77777777" w:rsidTr="00490F00">
        <w:tc>
          <w:tcPr>
            <w:tcW w:w="2140" w:type="dxa"/>
          </w:tcPr>
          <w:p w14:paraId="7B8E7E8E" w14:textId="74FB6BE2" w:rsidR="0094086E" w:rsidRPr="00490F00" w:rsidRDefault="0094086E" w:rsidP="000760A9">
            <w:pPr>
              <w:spacing w:before="40" w:after="120"/>
              <w:rPr>
                <w:rFonts w:cs="Times New Roman"/>
                <w:bCs/>
                <w:szCs w:val="20"/>
              </w:rPr>
            </w:pPr>
            <w:r w:rsidRPr="00490F00">
              <w:rPr>
                <w:rFonts w:cs="Times New Roman"/>
                <w:bCs/>
                <w:szCs w:val="20"/>
              </w:rPr>
              <w:t>5.4.2.</w:t>
            </w:r>
          </w:p>
        </w:tc>
        <w:tc>
          <w:tcPr>
            <w:tcW w:w="736" w:type="dxa"/>
          </w:tcPr>
          <w:p w14:paraId="249A0985" w14:textId="77777777" w:rsidR="0094086E" w:rsidRPr="00490F00" w:rsidRDefault="0094086E" w:rsidP="000760A9">
            <w:pPr>
              <w:spacing w:before="40" w:after="120"/>
              <w:rPr>
                <w:rFonts w:cs="Times New Roman"/>
                <w:bCs/>
                <w:szCs w:val="20"/>
              </w:rPr>
            </w:pPr>
            <w:r w:rsidRPr="00490F00">
              <w:rPr>
                <w:rFonts w:cs="Times New Roman"/>
                <w:bCs/>
                <w:szCs w:val="20"/>
              </w:rPr>
              <w:t>93</w:t>
            </w:r>
          </w:p>
        </w:tc>
        <w:tc>
          <w:tcPr>
            <w:tcW w:w="6333" w:type="dxa"/>
          </w:tcPr>
          <w:p w14:paraId="6679A3CC" w14:textId="5E1AFA3A" w:rsidR="00233054" w:rsidRPr="006E6B08" w:rsidRDefault="00233054" w:rsidP="000760A9">
            <w:pPr>
              <w:spacing w:before="40" w:after="120"/>
              <w:ind w:left="133"/>
              <w:rPr>
                <w:rFonts w:cs="Times New Roman"/>
                <w:b/>
                <w:bCs/>
                <w:szCs w:val="20"/>
              </w:rPr>
            </w:pPr>
            <w:r w:rsidRPr="006E6B08">
              <w:rPr>
                <w:rFonts w:cs="Times New Roman"/>
                <w:b/>
                <w:bCs/>
                <w:szCs w:val="20"/>
              </w:rPr>
              <w:t>Criteria</w:t>
            </w:r>
          </w:p>
          <w:p w14:paraId="638DAEEF" w14:textId="77777777" w:rsidR="00233054" w:rsidRPr="006E6B08" w:rsidRDefault="00233054" w:rsidP="000760A9">
            <w:pPr>
              <w:pStyle w:val="Corpsdetexte"/>
              <w:spacing w:before="40" w:after="120" w:line="254" w:lineRule="auto"/>
              <w:ind w:left="133" w:right="118"/>
              <w:jc w:val="both"/>
              <w:rPr>
                <w:rFonts w:ascii="Times New Roman" w:hAnsi="Times New Roman" w:cs="Times New Roman"/>
                <w:sz w:val="20"/>
                <w:szCs w:val="20"/>
              </w:rPr>
            </w:pPr>
            <w:r w:rsidRPr="006E6B08">
              <w:rPr>
                <w:rFonts w:ascii="Times New Roman" w:hAnsi="Times New Roman" w:cs="Times New Roman"/>
                <w:sz w:val="20"/>
                <w:szCs w:val="20"/>
              </w:rPr>
              <w:t>[…]</w:t>
            </w:r>
          </w:p>
          <w:p w14:paraId="4D7D0142" w14:textId="77777777" w:rsidR="00233054" w:rsidRPr="006E6B08" w:rsidRDefault="00233054" w:rsidP="000760A9">
            <w:pPr>
              <w:pStyle w:val="Corpsdetexte"/>
              <w:spacing w:before="40" w:after="120"/>
              <w:ind w:left="133"/>
              <w:rPr>
                <w:rFonts w:ascii="Times New Roman" w:hAnsi="Times New Roman" w:cs="Times New Roman"/>
                <w:sz w:val="20"/>
                <w:szCs w:val="20"/>
              </w:rPr>
            </w:pPr>
            <w:r w:rsidRPr="006E6B08">
              <w:rPr>
                <w:rFonts w:ascii="Times New Roman" w:hAnsi="Times New Roman" w:cs="Times New Roman"/>
                <w:sz w:val="20"/>
                <w:szCs w:val="20"/>
              </w:rPr>
              <w:t>EITHER</w:t>
            </w:r>
          </w:p>
          <w:p w14:paraId="5A2AF19A" w14:textId="534CC1FF" w:rsidR="0094086E" w:rsidRPr="006E6B08" w:rsidRDefault="00233054" w:rsidP="00233054">
            <w:pPr>
              <w:pStyle w:val="Paragraphedeliste"/>
              <w:widowControl w:val="0"/>
              <w:numPr>
                <w:ilvl w:val="0"/>
                <w:numId w:val="33"/>
              </w:numPr>
              <w:tabs>
                <w:tab w:val="left" w:pos="532"/>
                <w:tab w:val="left" w:pos="533"/>
              </w:tabs>
              <w:autoSpaceDE w:val="0"/>
              <w:autoSpaceDN w:val="0"/>
              <w:spacing w:before="40" w:after="120" w:line="254" w:lineRule="auto"/>
              <w:ind w:left="416" w:right="121" w:hanging="283"/>
              <w:contextualSpacing w:val="0"/>
              <w:rPr>
                <w:rFonts w:cs="Times New Roman"/>
                <w:szCs w:val="20"/>
              </w:rPr>
            </w:pPr>
            <w:r w:rsidRPr="006E6B08">
              <w:rPr>
                <w:rFonts w:cs="Times New Roman"/>
                <w:szCs w:val="20"/>
              </w:rPr>
              <w:t xml:space="preserve">it includes an amount of raw </w:t>
            </w:r>
            <w:r w:rsidRPr="00685B5C">
              <w:rPr>
                <w:rFonts w:cs="Times New Roman"/>
                <w:bCs/>
                <w:strike/>
                <w:szCs w:val="20"/>
              </w:rPr>
              <w:t>waste</w:t>
            </w:r>
            <w:r w:rsidRPr="00685B5C">
              <w:rPr>
                <w:rFonts w:cs="Times New Roman"/>
                <w:bCs/>
                <w:i/>
                <w:iCs/>
                <w:szCs w:val="20"/>
              </w:rPr>
              <w:t xml:space="preserve"> </w:t>
            </w:r>
            <w:r w:rsidRPr="00685B5C">
              <w:rPr>
                <w:rFonts w:cs="Times New Roman"/>
                <w:bCs/>
                <w:i/>
                <w:iCs/>
                <w:szCs w:val="20"/>
                <w:u w:val="double"/>
              </w:rPr>
              <w:t>aquatic animal waste</w:t>
            </w:r>
            <w:r w:rsidRPr="006E6B08">
              <w:rPr>
                <w:rFonts w:cs="Times New Roman"/>
                <w:szCs w:val="20"/>
              </w:rPr>
              <w:t xml:space="preserve"> tissues </w:t>
            </w:r>
            <w:r w:rsidR="0094086E" w:rsidRPr="006E6B08">
              <w:rPr>
                <w:rFonts w:cs="Times New Roman"/>
                <w:szCs w:val="20"/>
              </w:rPr>
              <w:t xml:space="preserve">geerated by the consumer that is unlikely to result in the introduction and establishment of the </w:t>
            </w:r>
            <w:hyperlink w:anchor="_bookmark93" w:history="1">
              <w:r w:rsidR="0094086E" w:rsidRPr="006E6B08">
                <w:rPr>
                  <w:rFonts w:cs="Times New Roman"/>
                  <w:i/>
                  <w:szCs w:val="20"/>
                </w:rPr>
                <w:t>pathogenic</w:t>
              </w:r>
              <w:r w:rsidR="0094086E" w:rsidRPr="006E6B08">
                <w:rPr>
                  <w:rFonts w:cs="Times New Roman"/>
                  <w:i/>
                  <w:spacing w:val="-4"/>
                  <w:szCs w:val="20"/>
                </w:rPr>
                <w:t xml:space="preserve"> </w:t>
              </w:r>
              <w:r w:rsidR="0094086E" w:rsidRPr="006E6B08">
                <w:rPr>
                  <w:rFonts w:cs="Times New Roman"/>
                  <w:i/>
                  <w:szCs w:val="20"/>
                </w:rPr>
                <w:t>agent</w:t>
              </w:r>
            </w:hyperlink>
            <w:r w:rsidR="0094086E" w:rsidRPr="006E6B08">
              <w:rPr>
                <w:rFonts w:cs="Times New Roman"/>
                <w:szCs w:val="20"/>
              </w:rPr>
              <w:t>;</w:t>
            </w:r>
          </w:p>
          <w:p w14:paraId="3C8388A6" w14:textId="77777777" w:rsidR="0094086E" w:rsidRPr="006E6B08" w:rsidRDefault="0094086E" w:rsidP="00233054">
            <w:pPr>
              <w:pStyle w:val="Corpsdetexte"/>
              <w:spacing w:before="40" w:after="120"/>
              <w:ind w:left="108"/>
              <w:rPr>
                <w:rFonts w:ascii="Times New Roman" w:hAnsi="Times New Roman" w:cs="Times New Roman"/>
                <w:sz w:val="20"/>
                <w:szCs w:val="20"/>
              </w:rPr>
            </w:pPr>
            <w:r w:rsidRPr="006E6B08">
              <w:rPr>
                <w:rFonts w:ascii="Times New Roman" w:hAnsi="Times New Roman" w:cs="Times New Roman"/>
                <w:sz w:val="20"/>
                <w:szCs w:val="20"/>
              </w:rPr>
              <w:t>OR</w:t>
            </w:r>
          </w:p>
          <w:p w14:paraId="1D1E0AC5" w14:textId="35E5DF5D" w:rsidR="0094086E" w:rsidRPr="006E6B08" w:rsidRDefault="0094086E" w:rsidP="00233054">
            <w:pPr>
              <w:pStyle w:val="Paragraphedeliste"/>
              <w:widowControl w:val="0"/>
              <w:numPr>
                <w:ilvl w:val="0"/>
                <w:numId w:val="33"/>
              </w:numPr>
              <w:tabs>
                <w:tab w:val="left" w:pos="532"/>
                <w:tab w:val="left" w:pos="533"/>
              </w:tabs>
              <w:autoSpaceDE w:val="0"/>
              <w:autoSpaceDN w:val="0"/>
              <w:spacing w:before="40" w:after="120" w:line="254" w:lineRule="auto"/>
              <w:ind w:left="416" w:right="121" w:hanging="283"/>
              <w:contextualSpacing w:val="0"/>
              <w:rPr>
                <w:rFonts w:cs="Times New Roman"/>
                <w:szCs w:val="20"/>
              </w:rPr>
            </w:pPr>
            <w:r w:rsidRPr="006E6B08">
              <w:rPr>
                <w:rFonts w:cs="Times New Roman"/>
                <w:szCs w:val="20"/>
              </w:rPr>
              <w:t xml:space="preserve">the </w:t>
            </w:r>
            <w:hyperlink w:anchor="_bookmark93" w:history="1">
              <w:r w:rsidRPr="006E6B08">
                <w:rPr>
                  <w:rFonts w:cs="Times New Roman"/>
                  <w:i/>
                  <w:szCs w:val="20"/>
                </w:rPr>
                <w:t xml:space="preserve">pathogenic agent </w:t>
              </w:r>
            </w:hyperlink>
            <w:r w:rsidRPr="006E6B08">
              <w:rPr>
                <w:rFonts w:cs="Times New Roman"/>
                <w:szCs w:val="20"/>
              </w:rPr>
              <w:t xml:space="preserve">is not normally found in the </w:t>
            </w:r>
            <w:r w:rsidRPr="00685B5C">
              <w:rPr>
                <w:rFonts w:cs="Times New Roman"/>
                <w:bCs/>
                <w:strike/>
                <w:szCs w:val="20"/>
              </w:rPr>
              <w:t>waste</w:t>
            </w:r>
            <w:r w:rsidRPr="00685B5C">
              <w:rPr>
                <w:rFonts w:cs="Times New Roman"/>
                <w:bCs/>
                <w:i/>
                <w:iCs/>
                <w:szCs w:val="20"/>
              </w:rPr>
              <w:t xml:space="preserve"> </w:t>
            </w:r>
            <w:r w:rsidRPr="00685B5C">
              <w:rPr>
                <w:rFonts w:cs="Times New Roman"/>
                <w:bCs/>
                <w:i/>
                <w:iCs/>
                <w:szCs w:val="20"/>
                <w:u w:val="double"/>
              </w:rPr>
              <w:t>aquatic animal waste</w:t>
            </w:r>
            <w:r w:rsidRPr="006E6B08">
              <w:rPr>
                <w:rFonts w:cs="Times New Roman"/>
                <w:szCs w:val="20"/>
              </w:rPr>
              <w:t xml:space="preserve"> tissues generated by the</w:t>
            </w:r>
            <w:r w:rsidRPr="006E6B08">
              <w:rPr>
                <w:rFonts w:cs="Times New Roman"/>
                <w:spacing w:val="-15"/>
                <w:szCs w:val="20"/>
              </w:rPr>
              <w:t xml:space="preserve"> </w:t>
            </w:r>
            <w:r w:rsidRPr="006E6B08">
              <w:rPr>
                <w:rFonts w:cs="Times New Roman"/>
                <w:szCs w:val="20"/>
              </w:rPr>
              <w:t>consumer.</w:t>
            </w:r>
          </w:p>
        </w:tc>
      </w:tr>
      <w:tr w:rsidR="0094086E" w14:paraId="5CED16B6" w14:textId="77777777" w:rsidTr="00490F00">
        <w:tc>
          <w:tcPr>
            <w:tcW w:w="2140" w:type="dxa"/>
          </w:tcPr>
          <w:p w14:paraId="3E7C9F0A" w14:textId="77777777" w:rsidR="0094086E" w:rsidRPr="00490F00" w:rsidRDefault="0094086E" w:rsidP="00233054">
            <w:pPr>
              <w:spacing w:after="120"/>
              <w:rPr>
                <w:rFonts w:cs="Times New Roman"/>
                <w:bCs/>
                <w:szCs w:val="20"/>
              </w:rPr>
            </w:pPr>
            <w:r w:rsidRPr="00490F00">
              <w:rPr>
                <w:rFonts w:cs="Times New Roman"/>
                <w:bCs/>
                <w:szCs w:val="20"/>
              </w:rPr>
              <w:t>6.5.3.</w:t>
            </w:r>
          </w:p>
        </w:tc>
        <w:tc>
          <w:tcPr>
            <w:tcW w:w="736" w:type="dxa"/>
          </w:tcPr>
          <w:p w14:paraId="4DEE0F0F" w14:textId="77777777" w:rsidR="0094086E" w:rsidRPr="000760A9" w:rsidRDefault="0094086E" w:rsidP="00233054">
            <w:pPr>
              <w:spacing w:after="120"/>
              <w:rPr>
                <w:rFonts w:cs="Times New Roman"/>
                <w:bCs/>
                <w:szCs w:val="20"/>
              </w:rPr>
            </w:pPr>
            <w:r w:rsidRPr="000760A9">
              <w:rPr>
                <w:rFonts w:cs="Times New Roman"/>
                <w:bCs/>
                <w:szCs w:val="20"/>
              </w:rPr>
              <w:t>129</w:t>
            </w:r>
          </w:p>
        </w:tc>
        <w:tc>
          <w:tcPr>
            <w:tcW w:w="6333" w:type="dxa"/>
          </w:tcPr>
          <w:p w14:paraId="40C496C7" w14:textId="77777777" w:rsidR="0094086E" w:rsidRPr="006E6B08" w:rsidRDefault="0094086E" w:rsidP="00233054">
            <w:pPr>
              <w:pStyle w:val="Titre4"/>
              <w:keepNext w:val="0"/>
              <w:keepLines w:val="0"/>
              <w:widowControl w:val="0"/>
              <w:numPr>
                <w:ilvl w:val="0"/>
                <w:numId w:val="29"/>
              </w:numPr>
              <w:tabs>
                <w:tab w:val="left" w:pos="532"/>
                <w:tab w:val="left" w:pos="533"/>
              </w:tabs>
              <w:autoSpaceDE w:val="0"/>
              <w:autoSpaceDN w:val="0"/>
              <w:spacing w:before="0" w:after="120"/>
              <w:ind w:left="108"/>
              <w:outlineLvl w:val="3"/>
              <w:rPr>
                <w:rFonts w:ascii="Times New Roman" w:hAnsi="Times New Roman" w:cs="Times New Roman"/>
                <w:color w:val="auto"/>
                <w:szCs w:val="20"/>
              </w:rPr>
            </w:pPr>
            <w:r w:rsidRPr="006E6B08">
              <w:rPr>
                <w:rFonts w:ascii="Times New Roman" w:hAnsi="Times New Roman" w:cs="Times New Roman"/>
                <w:color w:val="auto"/>
                <w:szCs w:val="20"/>
                <w:u w:val="single"/>
              </w:rPr>
              <w:t>Entry</w:t>
            </w:r>
            <w:r w:rsidRPr="006E6B08">
              <w:rPr>
                <w:rFonts w:ascii="Times New Roman" w:hAnsi="Times New Roman" w:cs="Times New Roman"/>
                <w:color w:val="auto"/>
                <w:spacing w:val="-2"/>
                <w:szCs w:val="20"/>
                <w:u w:val="single"/>
              </w:rPr>
              <w:t xml:space="preserve"> </w:t>
            </w:r>
            <w:r w:rsidRPr="006E6B08">
              <w:rPr>
                <w:rFonts w:ascii="Times New Roman" w:hAnsi="Times New Roman" w:cs="Times New Roman"/>
                <w:color w:val="auto"/>
                <w:szCs w:val="20"/>
                <w:u w:val="single"/>
              </w:rPr>
              <w:t>assessment</w:t>
            </w:r>
          </w:p>
          <w:p w14:paraId="50D93273" w14:textId="77777777" w:rsidR="0094086E" w:rsidRPr="006E6B08" w:rsidRDefault="0094086E" w:rsidP="00233054">
            <w:pPr>
              <w:pStyle w:val="Corpsdetexte"/>
              <w:spacing w:after="120" w:line="254" w:lineRule="auto"/>
              <w:ind w:left="108" w:right="119"/>
              <w:jc w:val="both"/>
              <w:rPr>
                <w:rFonts w:ascii="Times New Roman" w:hAnsi="Times New Roman" w:cs="Times New Roman"/>
                <w:sz w:val="20"/>
                <w:szCs w:val="20"/>
              </w:rPr>
            </w:pPr>
            <w:r w:rsidRPr="006E6B08">
              <w:rPr>
                <w:rFonts w:ascii="Times New Roman" w:hAnsi="Times New Roman" w:cs="Times New Roman"/>
                <w:sz w:val="20"/>
                <w:szCs w:val="20"/>
              </w:rPr>
              <w:t>[…]</w:t>
            </w:r>
          </w:p>
          <w:p w14:paraId="37713DAB" w14:textId="77777777" w:rsidR="0094086E" w:rsidRPr="006E6B08" w:rsidRDefault="0094086E" w:rsidP="00233054">
            <w:pPr>
              <w:pStyle w:val="Corpsdetexte"/>
              <w:spacing w:after="120" w:line="254" w:lineRule="auto"/>
              <w:ind w:left="108" w:right="119"/>
              <w:jc w:val="both"/>
              <w:rPr>
                <w:rFonts w:ascii="Times New Roman" w:hAnsi="Times New Roman" w:cs="Times New Roman"/>
                <w:sz w:val="20"/>
                <w:szCs w:val="20"/>
              </w:rPr>
            </w:pPr>
            <w:r w:rsidRPr="006E6B08">
              <w:rPr>
                <w:rFonts w:ascii="Times New Roman" w:hAnsi="Times New Roman" w:cs="Times New Roman"/>
                <w:sz w:val="20"/>
                <w:szCs w:val="20"/>
              </w:rPr>
              <w:t xml:space="preserve">- data on trends and occurrence of resistant  microorganisms obtained through </w:t>
            </w:r>
            <w:hyperlink w:anchor="_bookmark120" w:history="1">
              <w:r w:rsidRPr="006E6B08">
                <w:rPr>
                  <w:rFonts w:ascii="Times New Roman" w:hAnsi="Times New Roman" w:cs="Times New Roman"/>
                  <w:i/>
                  <w:iCs/>
                  <w:sz w:val="20"/>
                  <w:szCs w:val="20"/>
                </w:rPr>
                <w:t>surveillance</w:t>
              </w:r>
              <w:r w:rsidRPr="006E6B08">
                <w:rPr>
                  <w:rFonts w:ascii="Times New Roman" w:hAnsi="Times New Roman" w:cs="Times New Roman"/>
                  <w:sz w:val="20"/>
                  <w:szCs w:val="20"/>
                </w:rPr>
                <w:t xml:space="preserve"> </w:t>
              </w:r>
            </w:hyperlink>
            <w:r w:rsidRPr="006E6B08">
              <w:rPr>
                <w:rFonts w:ascii="Times New Roman" w:hAnsi="Times New Roman" w:cs="Times New Roman"/>
                <w:sz w:val="20"/>
                <w:szCs w:val="20"/>
              </w:rPr>
              <w:t xml:space="preserve">of </w:t>
            </w:r>
            <w:hyperlink w:anchor="_bookmark16" w:history="1">
              <w:r w:rsidRPr="006E6B08">
                <w:rPr>
                  <w:rFonts w:ascii="Times New Roman" w:hAnsi="Times New Roman" w:cs="Times New Roman"/>
                  <w:i/>
                  <w:iCs/>
                  <w:sz w:val="20"/>
                  <w:szCs w:val="20"/>
                </w:rPr>
                <w:t>aquatic animals</w:t>
              </w:r>
            </w:hyperlink>
            <w:r w:rsidRPr="006E6B08">
              <w:rPr>
                <w:rFonts w:ascii="Times New Roman" w:hAnsi="Times New Roman" w:cs="Times New Roman"/>
                <w:sz w:val="20"/>
                <w:szCs w:val="20"/>
              </w:rPr>
              <w:t xml:space="preserve"> and </w:t>
            </w:r>
            <w:hyperlink w:anchor="_bookmark14" w:history="1">
              <w:r w:rsidRPr="006E6B08">
                <w:rPr>
                  <w:rFonts w:ascii="Times New Roman" w:hAnsi="Times New Roman" w:cs="Times New Roman"/>
                  <w:i/>
                  <w:iCs/>
                  <w:sz w:val="20"/>
                  <w:szCs w:val="20"/>
                </w:rPr>
                <w:t>aquatic animal products</w:t>
              </w:r>
              <w:r w:rsidRPr="006E6B08">
                <w:rPr>
                  <w:rFonts w:ascii="Times New Roman" w:hAnsi="Times New Roman" w:cs="Times New Roman"/>
                  <w:sz w:val="20"/>
                  <w:szCs w:val="20"/>
                </w:rPr>
                <w:t xml:space="preserve"> </w:t>
              </w:r>
            </w:hyperlink>
            <w:r w:rsidRPr="006E6B08">
              <w:rPr>
                <w:rFonts w:ascii="Times New Roman" w:hAnsi="Times New Roman" w:cs="Times New Roman"/>
                <w:sz w:val="20"/>
                <w:szCs w:val="20"/>
              </w:rPr>
              <w:t xml:space="preserve">and </w:t>
            </w:r>
            <w:r w:rsidRPr="00685B5C">
              <w:rPr>
                <w:rFonts w:ascii="Times New Roman" w:hAnsi="Times New Roman" w:cs="Times New Roman"/>
                <w:bCs/>
                <w:strike/>
                <w:sz w:val="20"/>
                <w:szCs w:val="20"/>
              </w:rPr>
              <w:t>waste</w:t>
            </w:r>
            <w:r w:rsidRPr="00685B5C">
              <w:rPr>
                <w:rFonts w:ascii="Times New Roman" w:hAnsi="Times New Roman" w:cs="Times New Roman"/>
                <w:bCs/>
                <w:i/>
                <w:iCs/>
                <w:sz w:val="20"/>
                <w:szCs w:val="20"/>
                <w:u w:val="double"/>
              </w:rPr>
              <w:t xml:space="preserve"> aquatic animal waste</w:t>
            </w:r>
            <w:r w:rsidRPr="006E6B08">
              <w:rPr>
                <w:rFonts w:ascii="Times New Roman" w:hAnsi="Times New Roman" w:cs="Times New Roman"/>
                <w:sz w:val="20"/>
                <w:szCs w:val="20"/>
              </w:rPr>
              <w:t xml:space="preserve"> </w:t>
            </w:r>
            <w:r w:rsidRPr="00685B5C">
              <w:rPr>
                <w:rFonts w:ascii="Times New Roman" w:hAnsi="Times New Roman" w:cs="Times New Roman"/>
                <w:strike/>
                <w:sz w:val="20"/>
                <w:szCs w:val="20"/>
                <w:u w:val="double"/>
              </w:rPr>
              <w:t>products</w:t>
            </w:r>
            <w:r w:rsidRPr="006E6B08">
              <w:rPr>
                <w:rFonts w:ascii="Times New Roman" w:hAnsi="Times New Roman" w:cs="Times New Roman"/>
                <w:sz w:val="20"/>
                <w:szCs w:val="20"/>
              </w:rPr>
              <w:t>.</w:t>
            </w:r>
          </w:p>
          <w:p w14:paraId="0E57A570" w14:textId="77777777" w:rsidR="0094086E" w:rsidRPr="006E6B08" w:rsidRDefault="0094086E" w:rsidP="00233054">
            <w:pPr>
              <w:pStyle w:val="Corpsdetexte"/>
              <w:spacing w:after="120" w:line="254" w:lineRule="auto"/>
              <w:ind w:left="108" w:right="119"/>
              <w:jc w:val="both"/>
              <w:rPr>
                <w:rFonts w:ascii="Times New Roman" w:hAnsi="Times New Roman" w:cs="Times New Roman"/>
                <w:sz w:val="20"/>
                <w:szCs w:val="20"/>
              </w:rPr>
            </w:pPr>
            <w:r w:rsidRPr="006E6B08">
              <w:rPr>
                <w:rFonts w:ascii="Times New Roman" w:hAnsi="Times New Roman" w:cs="Times New Roman"/>
                <w:sz w:val="20"/>
                <w:szCs w:val="20"/>
              </w:rPr>
              <w:t xml:space="preserve">4. </w:t>
            </w:r>
            <w:r w:rsidRPr="006E6B08">
              <w:rPr>
                <w:rFonts w:ascii="Times New Roman" w:hAnsi="Times New Roman" w:cs="Times New Roman"/>
                <w:sz w:val="20"/>
                <w:szCs w:val="20"/>
                <w:u w:val="single"/>
              </w:rPr>
              <w:t>Exposure assessment</w:t>
            </w:r>
          </w:p>
          <w:p w14:paraId="537264C5" w14:textId="77777777" w:rsidR="0094086E" w:rsidRPr="006E6B08" w:rsidRDefault="0094086E" w:rsidP="00233054">
            <w:pPr>
              <w:pStyle w:val="Corpsdetexte"/>
              <w:spacing w:after="120" w:line="254" w:lineRule="auto"/>
              <w:ind w:left="108" w:right="119"/>
              <w:jc w:val="both"/>
              <w:rPr>
                <w:rFonts w:ascii="Times New Roman" w:hAnsi="Times New Roman" w:cs="Times New Roman"/>
                <w:sz w:val="20"/>
                <w:szCs w:val="20"/>
              </w:rPr>
            </w:pPr>
            <w:r w:rsidRPr="006E6B08">
              <w:rPr>
                <w:rFonts w:ascii="Times New Roman" w:hAnsi="Times New Roman" w:cs="Times New Roman"/>
                <w:sz w:val="20"/>
                <w:szCs w:val="20"/>
              </w:rPr>
              <w:t>[…]</w:t>
            </w:r>
          </w:p>
          <w:p w14:paraId="6690C46A" w14:textId="65F42ABB" w:rsidR="0094086E" w:rsidRPr="006E6B08" w:rsidRDefault="0094086E" w:rsidP="00233054">
            <w:pPr>
              <w:pStyle w:val="Corpsdetexte"/>
              <w:numPr>
                <w:ilvl w:val="0"/>
                <w:numId w:val="34"/>
              </w:numPr>
              <w:spacing w:after="120" w:line="254" w:lineRule="auto"/>
              <w:ind w:left="108" w:right="119"/>
              <w:jc w:val="both"/>
              <w:rPr>
                <w:rFonts w:ascii="Times New Roman" w:hAnsi="Times New Roman" w:cs="Times New Roman"/>
                <w:sz w:val="20"/>
                <w:szCs w:val="20"/>
              </w:rPr>
            </w:pPr>
            <w:r w:rsidRPr="006E6B08">
              <w:rPr>
                <w:rFonts w:ascii="Times New Roman" w:hAnsi="Times New Roman" w:cs="Times New Roman"/>
                <w:sz w:val="20"/>
                <w:szCs w:val="20"/>
              </w:rPr>
              <w:t xml:space="preserve">disposal practices for </w:t>
            </w:r>
            <w:r w:rsidRPr="00685B5C">
              <w:rPr>
                <w:rFonts w:ascii="Times New Roman" w:hAnsi="Times New Roman" w:cs="Times New Roman"/>
                <w:bCs/>
                <w:strike/>
                <w:sz w:val="20"/>
                <w:szCs w:val="20"/>
              </w:rPr>
              <w:t>waste</w:t>
            </w:r>
            <w:r w:rsidRPr="00685B5C">
              <w:rPr>
                <w:rFonts w:ascii="Times New Roman" w:hAnsi="Times New Roman" w:cs="Times New Roman"/>
                <w:bCs/>
                <w:i/>
                <w:iCs/>
                <w:sz w:val="20"/>
                <w:szCs w:val="20"/>
              </w:rPr>
              <w:t xml:space="preserve"> </w:t>
            </w:r>
            <w:r w:rsidRPr="00685B5C">
              <w:rPr>
                <w:rFonts w:ascii="Times New Roman" w:hAnsi="Times New Roman" w:cs="Times New Roman"/>
                <w:bCs/>
                <w:i/>
                <w:iCs/>
                <w:sz w:val="20"/>
                <w:szCs w:val="20"/>
                <w:u w:val="double"/>
              </w:rPr>
              <w:t>aquatic animal waste</w:t>
            </w:r>
            <w:r w:rsidRPr="006E6B08">
              <w:rPr>
                <w:rFonts w:ascii="Times New Roman" w:hAnsi="Times New Roman" w:cs="Times New Roman"/>
                <w:sz w:val="20"/>
                <w:szCs w:val="20"/>
              </w:rPr>
              <w:t xml:space="preserve"> and the likelihood for human exposure to resistant microorganisms or resistance determinants through those </w:t>
            </w:r>
            <w:r w:rsidRPr="00685B5C">
              <w:rPr>
                <w:rFonts w:ascii="Times New Roman" w:hAnsi="Times New Roman" w:cs="Times New Roman"/>
                <w:bCs/>
                <w:strike/>
                <w:sz w:val="20"/>
                <w:szCs w:val="20"/>
              </w:rPr>
              <w:t>waste</w:t>
            </w:r>
            <w:r w:rsidRPr="00685B5C">
              <w:rPr>
                <w:rFonts w:ascii="Times New Roman" w:hAnsi="Times New Roman" w:cs="Times New Roman"/>
                <w:bCs/>
                <w:i/>
                <w:iCs/>
                <w:sz w:val="20"/>
                <w:szCs w:val="20"/>
              </w:rPr>
              <w:t xml:space="preserve"> </w:t>
            </w:r>
            <w:r w:rsidRPr="00685B5C">
              <w:rPr>
                <w:rFonts w:ascii="Times New Roman" w:hAnsi="Times New Roman" w:cs="Times New Roman"/>
                <w:bCs/>
                <w:i/>
                <w:iCs/>
                <w:sz w:val="20"/>
                <w:szCs w:val="20"/>
                <w:u w:val="double"/>
              </w:rPr>
              <w:t>aquatic animal waste</w:t>
            </w:r>
            <w:r w:rsidRPr="00685B5C">
              <w:rPr>
                <w:rFonts w:ascii="Times New Roman" w:hAnsi="Times New Roman" w:cs="Times New Roman"/>
                <w:bCs/>
                <w:i/>
                <w:iCs/>
                <w:sz w:val="20"/>
                <w:szCs w:val="20"/>
              </w:rPr>
              <w:t xml:space="preserve"> </w:t>
            </w:r>
            <w:r w:rsidRPr="00685B5C">
              <w:rPr>
                <w:rFonts w:ascii="Times New Roman" w:hAnsi="Times New Roman" w:cs="Times New Roman"/>
                <w:strike/>
                <w:sz w:val="20"/>
                <w:szCs w:val="20"/>
              </w:rPr>
              <w:t>products</w:t>
            </w:r>
            <w:r w:rsidRPr="006E6B08">
              <w:rPr>
                <w:rFonts w:ascii="Times New Roman" w:hAnsi="Times New Roman" w:cs="Times New Roman"/>
                <w:sz w:val="20"/>
                <w:szCs w:val="20"/>
              </w:rPr>
              <w:t>;</w:t>
            </w:r>
          </w:p>
          <w:p w14:paraId="5ACBF118" w14:textId="77777777" w:rsidR="0094086E" w:rsidRPr="006E6B08" w:rsidRDefault="0094086E" w:rsidP="00233054">
            <w:pPr>
              <w:pStyle w:val="Corpsdetexte"/>
              <w:spacing w:after="120" w:line="254" w:lineRule="auto"/>
              <w:ind w:left="108" w:right="119"/>
              <w:jc w:val="both"/>
              <w:rPr>
                <w:rFonts w:ascii="Times New Roman" w:hAnsi="Times New Roman" w:cs="Times New Roman"/>
                <w:sz w:val="20"/>
                <w:szCs w:val="20"/>
              </w:rPr>
            </w:pPr>
            <w:r w:rsidRPr="006E6B08">
              <w:rPr>
                <w:rFonts w:ascii="Times New Roman" w:hAnsi="Times New Roman" w:cs="Times New Roman"/>
                <w:sz w:val="20"/>
                <w:szCs w:val="20"/>
              </w:rPr>
              <w:t>[…]</w:t>
            </w:r>
          </w:p>
        </w:tc>
      </w:tr>
    </w:tbl>
    <w:p w14:paraId="0E8D1AAA" w14:textId="77777777" w:rsidR="0094086E" w:rsidRPr="00134F04" w:rsidRDefault="0094086E" w:rsidP="00233054">
      <w:pPr>
        <w:spacing w:after="120"/>
        <w:rPr>
          <w:rFonts w:cs="Times New Roman"/>
          <w:b/>
          <w:szCs w:val="20"/>
        </w:rPr>
      </w:pPr>
    </w:p>
    <w:p w14:paraId="073C7EE6" w14:textId="77777777" w:rsidR="00E65E42" w:rsidRDefault="00E65E42" w:rsidP="00233054">
      <w:pPr>
        <w:spacing w:after="120" w:line="240" w:lineRule="auto"/>
        <w:rPr>
          <w:rFonts w:cs="Times New Roman"/>
          <w:szCs w:val="20"/>
        </w:rPr>
      </w:pPr>
    </w:p>
    <w:p w14:paraId="7B1EB2D8" w14:textId="77777777" w:rsidR="000760A9" w:rsidRPr="00F50BB9" w:rsidRDefault="000760A9" w:rsidP="000760A9">
      <w:pPr>
        <w:spacing w:after="720"/>
        <w:ind w:right="51"/>
        <w:jc w:val="center"/>
        <w:rPr>
          <w:rFonts w:eastAsia="MS Mincho" w:cs="Times New Roman"/>
          <w:kern w:val="2"/>
          <w:szCs w:val="20"/>
        </w:rPr>
      </w:pPr>
      <w:r w:rsidRPr="00946B20">
        <w:rPr>
          <w:rFonts w:eastAsia="MS Mincho" w:cs="Times New Roman"/>
          <w:kern w:val="2"/>
          <w:szCs w:val="20"/>
        </w:rPr>
        <w:t>__________________________</w:t>
      </w:r>
    </w:p>
    <w:p w14:paraId="04BF15E6" w14:textId="087E8EEE" w:rsidR="003A6626" w:rsidRDefault="003A6626" w:rsidP="00B62AA5">
      <w:pPr>
        <w:spacing w:after="240" w:line="240" w:lineRule="auto"/>
        <w:rPr>
          <w:rFonts w:cs="Times New Roman"/>
          <w:szCs w:val="20"/>
        </w:rPr>
        <w:sectPr w:rsidR="003A6626" w:rsidSect="00886D7F">
          <w:headerReference w:type="even" r:id="rId54"/>
          <w:headerReference w:type="default" r:id="rId55"/>
          <w:footerReference w:type="even" r:id="rId56"/>
          <w:footerReference w:type="default" r:id="rId57"/>
          <w:headerReference w:type="first" r:id="rId58"/>
          <w:type w:val="oddPage"/>
          <w:pgSz w:w="11906" w:h="16838"/>
          <w:pgMar w:top="1440" w:right="1440" w:bottom="1440" w:left="1440" w:header="708" w:footer="708" w:gutter="0"/>
          <w:cols w:space="708"/>
          <w:docGrid w:linePitch="360"/>
        </w:sectPr>
      </w:pPr>
    </w:p>
    <w:p w14:paraId="16407662" w14:textId="5C3A6A1D" w:rsidR="000760A9" w:rsidRPr="006A2D15" w:rsidRDefault="000760A9" w:rsidP="006A2D15">
      <w:pPr>
        <w:pStyle w:val="Titre4"/>
        <w:spacing w:before="0" w:after="480" w:line="240" w:lineRule="auto"/>
        <w:ind w:left="720"/>
        <w:jc w:val="right"/>
        <w:rPr>
          <w:rFonts w:ascii="Times New Roman" w:hAnsi="Times New Roman" w:cs="Times New Roman"/>
          <w:i w:val="0"/>
          <w:color w:val="auto"/>
        </w:rPr>
      </w:pPr>
      <w:bookmarkStart w:id="96" w:name="_Annex_10"/>
      <w:bookmarkStart w:id="97" w:name="_Hlk38027511"/>
      <w:bookmarkStart w:id="98" w:name="_Hlk15374808"/>
      <w:bookmarkEnd w:id="96"/>
      <w:r w:rsidRPr="006A2D15">
        <w:rPr>
          <w:rFonts w:ascii="Times New Roman" w:hAnsi="Times New Roman" w:cs="Times New Roman"/>
          <w:i w:val="0"/>
          <w:color w:val="auto"/>
          <w:u w:val="single"/>
        </w:rPr>
        <w:lastRenderedPageBreak/>
        <w:t>A</w:t>
      </w:r>
      <w:r w:rsidRPr="006A2D15">
        <w:rPr>
          <w:rFonts w:ascii="Times New Roman" w:hAnsi="Times New Roman" w:cs="Times New Roman"/>
          <w:bCs/>
          <w:i w:val="0"/>
          <w:iCs w:val="0"/>
          <w:color w:val="auto"/>
          <w:szCs w:val="20"/>
          <w:u w:val="single"/>
        </w:rPr>
        <w:t xml:space="preserve">nnex </w:t>
      </w:r>
      <w:r w:rsidR="00FC6CE0">
        <w:rPr>
          <w:rFonts w:ascii="Times New Roman" w:hAnsi="Times New Roman" w:cs="Times New Roman"/>
          <w:bCs/>
          <w:i w:val="0"/>
          <w:iCs w:val="0"/>
          <w:color w:val="auto"/>
          <w:szCs w:val="20"/>
          <w:u w:val="single"/>
        </w:rPr>
        <w:t>9</w:t>
      </w:r>
    </w:p>
    <w:p w14:paraId="1AE9EB49" w14:textId="77777777" w:rsidR="00800B4D" w:rsidRPr="00D5000C" w:rsidRDefault="00800B4D" w:rsidP="00800B4D">
      <w:pPr>
        <w:spacing w:after="240"/>
        <w:rPr>
          <w:rFonts w:cs="Times New Roman"/>
          <w:b/>
          <w:bCs/>
          <w:sz w:val="28"/>
          <w:szCs w:val="28"/>
          <w:lang w:val="en-AU"/>
        </w:rPr>
      </w:pPr>
      <w:r w:rsidRPr="00D5000C">
        <w:rPr>
          <w:rFonts w:cs="Times New Roman"/>
          <w:b/>
          <w:bCs/>
          <w:sz w:val="28"/>
          <w:szCs w:val="28"/>
          <w:lang w:val="en-AU"/>
        </w:rPr>
        <w:t xml:space="preserve">Model articles for declaration of freedom </w:t>
      </w:r>
    </w:p>
    <w:p w14:paraId="1AF41E46" w14:textId="72F3AA2A" w:rsidR="00800B4D" w:rsidRPr="00D5000C" w:rsidRDefault="00800B4D" w:rsidP="00800B4D">
      <w:pPr>
        <w:pBdr>
          <w:top w:val="single" w:sz="4" w:space="1" w:color="auto"/>
          <w:left w:val="single" w:sz="4" w:space="4" w:color="auto"/>
          <w:bottom w:val="single" w:sz="4" w:space="1" w:color="auto"/>
          <w:right w:val="single" w:sz="4" w:space="4" w:color="auto"/>
        </w:pBdr>
        <w:spacing w:after="240"/>
        <w:jc w:val="both"/>
        <w:rPr>
          <w:rFonts w:cs="Times New Roman"/>
          <w:szCs w:val="20"/>
          <w:lang w:val="en-AU"/>
        </w:rPr>
      </w:pPr>
      <w:r w:rsidRPr="00D5000C">
        <w:rPr>
          <w:rFonts w:cs="Times New Roman"/>
          <w:b/>
          <w:bCs/>
          <w:szCs w:val="20"/>
          <w:lang w:val="en-AU"/>
        </w:rPr>
        <w:t>Note:</w:t>
      </w:r>
      <w:r w:rsidRPr="00D5000C">
        <w:rPr>
          <w:rFonts w:cs="Times New Roman"/>
          <w:szCs w:val="20"/>
          <w:lang w:val="en-AU"/>
        </w:rPr>
        <w:t xml:space="preserve"> time periods in these model articles would be determined by the Aquatic Animals Commission for each disease based on criteria that will be included in a revised Chapter 1.4. For this reason, periods are shown as [X] to indicate that the period is to be determined for each specific disease. Where a period is shown (e.g. </w:t>
      </w:r>
      <w:r w:rsidR="00796F38">
        <w:rPr>
          <w:rFonts w:cs="Times New Roman"/>
          <w:szCs w:val="20"/>
          <w:lang w:val="en-AU"/>
        </w:rPr>
        <w:t>‘</w:t>
      </w:r>
      <w:r w:rsidRPr="00D5000C">
        <w:rPr>
          <w:rFonts w:cs="Times New Roman"/>
          <w:szCs w:val="20"/>
          <w:lang w:val="en-AU"/>
        </w:rPr>
        <w:t>the last [two] years</w:t>
      </w:r>
      <w:r w:rsidR="00796F38">
        <w:rPr>
          <w:rFonts w:cs="Times New Roman"/>
          <w:szCs w:val="20"/>
          <w:lang w:val="en-AU"/>
        </w:rPr>
        <w:t>’</w:t>
      </w:r>
      <w:r w:rsidRPr="00D5000C">
        <w:rPr>
          <w:rFonts w:cs="Times New Roman"/>
          <w:szCs w:val="20"/>
          <w:lang w:val="en-AU"/>
        </w:rPr>
        <w:t xml:space="preserve">) this indicates an intended default period that may vary depending on the circumstances of each disease.  </w:t>
      </w:r>
    </w:p>
    <w:p w14:paraId="223A133C" w14:textId="77777777" w:rsidR="00800B4D" w:rsidRPr="00D5000C" w:rsidRDefault="00800B4D" w:rsidP="00800B4D">
      <w:pPr>
        <w:spacing w:after="0" w:line="240" w:lineRule="auto"/>
        <w:jc w:val="center"/>
        <w:rPr>
          <w:rFonts w:eastAsia="Times New Roman" w:cs="Times New Roman"/>
          <w:szCs w:val="20"/>
          <w:lang w:val="en-AU" w:eastAsia="en-GB"/>
        </w:rPr>
      </w:pPr>
    </w:p>
    <w:p w14:paraId="2900BA4B" w14:textId="394D97C2" w:rsidR="00800B4D" w:rsidRPr="000760A9" w:rsidRDefault="00800B4D" w:rsidP="000760A9">
      <w:pPr>
        <w:spacing w:after="240" w:line="240" w:lineRule="auto"/>
        <w:jc w:val="center"/>
        <w:rPr>
          <w:rFonts w:ascii="Ottawa" w:eastAsia="Times New Roman" w:hAnsi="Ottawa" w:cs="Times New Roman"/>
          <w:b/>
          <w:sz w:val="18"/>
          <w:szCs w:val="18"/>
          <w:lang w:val="en-AU" w:eastAsia="en-GB"/>
        </w:rPr>
      </w:pPr>
      <w:r w:rsidRPr="000760A9">
        <w:rPr>
          <w:rFonts w:ascii="Ottawa" w:eastAsia="Times New Roman" w:hAnsi="Ottawa" w:cs="Times New Roman"/>
          <w:sz w:val="18"/>
          <w:szCs w:val="18"/>
          <w:lang w:val="en-AU" w:eastAsia="en-GB"/>
        </w:rPr>
        <w:t>Article X.X.4.</w:t>
      </w:r>
    </w:p>
    <w:p w14:paraId="1BF78C64" w14:textId="77777777" w:rsidR="00800B4D" w:rsidRPr="003E6AFD" w:rsidRDefault="00800B4D" w:rsidP="000760A9">
      <w:pPr>
        <w:spacing w:after="240" w:line="240" w:lineRule="auto"/>
        <w:ind w:right="84"/>
        <w:jc w:val="both"/>
        <w:rPr>
          <w:rFonts w:eastAsia="Times New Roman" w:cs="Times New Roman"/>
          <w:b/>
          <w:i/>
          <w:iCs/>
          <w:szCs w:val="20"/>
          <w:lang w:val="en-AU" w:eastAsia="en-GB"/>
        </w:rPr>
      </w:pPr>
      <w:r w:rsidRPr="003E6AFD">
        <w:rPr>
          <w:rFonts w:eastAsia="Times New Roman" w:cs="Times New Roman"/>
          <w:i/>
          <w:iCs/>
          <w:szCs w:val="20"/>
          <w:lang w:val="en-AU" w:eastAsia="en-GB"/>
        </w:rPr>
        <w:t>[</w:t>
      </w:r>
      <w:r w:rsidRPr="003516E1">
        <w:rPr>
          <w:rFonts w:eastAsia="Times New Roman" w:cs="Times New Roman"/>
          <w:i/>
          <w:iCs/>
          <w:szCs w:val="20"/>
          <w:lang w:val="en-AU" w:eastAsia="en-GB"/>
        </w:rPr>
        <w:t>Note: new article to outline general requirements for making a declaration of freedom for a country, zone or compartment.</w:t>
      </w:r>
      <w:r w:rsidRPr="003E6AFD">
        <w:rPr>
          <w:rFonts w:eastAsia="Times New Roman" w:cs="Times New Roman"/>
          <w:i/>
          <w:iCs/>
          <w:szCs w:val="20"/>
          <w:lang w:val="en-AU" w:eastAsia="en-GB"/>
        </w:rPr>
        <w:t>]</w:t>
      </w:r>
    </w:p>
    <w:p w14:paraId="02D19433" w14:textId="77777777" w:rsidR="00800B4D" w:rsidRPr="000760A9" w:rsidRDefault="00800B4D" w:rsidP="000760A9">
      <w:pPr>
        <w:spacing w:after="240" w:line="240" w:lineRule="auto"/>
        <w:jc w:val="both"/>
        <w:rPr>
          <w:rFonts w:ascii="Ottawa" w:eastAsia="Times New Roman" w:hAnsi="Ottawa" w:cs="Times New Roman"/>
          <w:b/>
          <w:bCs/>
          <w:sz w:val="18"/>
          <w:szCs w:val="18"/>
          <w:lang w:val="en-AU" w:eastAsia="en-GB"/>
        </w:rPr>
      </w:pPr>
      <w:r w:rsidRPr="000760A9">
        <w:rPr>
          <w:rFonts w:ascii="Ottawa" w:eastAsia="Times New Roman" w:hAnsi="Ottawa" w:cs="Times New Roman"/>
          <w:b/>
          <w:bCs/>
          <w:sz w:val="18"/>
          <w:szCs w:val="18"/>
          <w:lang w:val="en-AU" w:eastAsia="en-GB"/>
        </w:rPr>
        <w:t xml:space="preserve">Requirements for declaration of freedom from [PATHOGEN X] </w:t>
      </w:r>
    </w:p>
    <w:p w14:paraId="3D2F2106" w14:textId="0BF4E13D" w:rsidR="00800B4D" w:rsidRPr="003E6AFD" w:rsidRDefault="00800B4D" w:rsidP="000760A9">
      <w:pPr>
        <w:spacing w:after="240" w:line="240" w:lineRule="auto"/>
        <w:jc w:val="both"/>
        <w:rPr>
          <w:rFonts w:ascii="Arial" w:eastAsia="Times New Roman" w:hAnsi="Arial" w:cs="Arial"/>
          <w:bCs/>
          <w:sz w:val="18"/>
          <w:szCs w:val="18"/>
          <w:lang w:val="en-AU" w:eastAsia="en-GB"/>
        </w:rPr>
      </w:pPr>
      <w:r w:rsidRPr="003E6AFD">
        <w:rPr>
          <w:rFonts w:ascii="Arial" w:eastAsia="Times New Roman" w:hAnsi="Arial" w:cs="Arial"/>
          <w:bCs/>
          <w:sz w:val="18"/>
          <w:szCs w:val="18"/>
          <w:lang w:val="en-AU" w:eastAsia="en-GB"/>
        </w:rPr>
        <w:t xml:space="preserve">A Member Country may make a </w:t>
      </w:r>
      <w:r w:rsidRPr="00796F38">
        <w:rPr>
          <w:rFonts w:ascii="Arial" w:eastAsia="Times New Roman" w:hAnsi="Arial" w:cs="Arial"/>
          <w:bCs/>
          <w:i/>
          <w:sz w:val="18"/>
          <w:szCs w:val="18"/>
          <w:lang w:val="en-AU" w:eastAsia="en-GB"/>
        </w:rPr>
        <w:t xml:space="preserve">self-declaration of freedom </w:t>
      </w:r>
      <w:r w:rsidRPr="003E6AFD">
        <w:rPr>
          <w:rFonts w:ascii="Arial" w:eastAsia="Times New Roman" w:hAnsi="Arial" w:cs="Arial"/>
          <w:bCs/>
          <w:sz w:val="18"/>
          <w:szCs w:val="18"/>
          <w:lang w:val="en-AU" w:eastAsia="en-GB"/>
        </w:rPr>
        <w:t>from infection with [</w:t>
      </w:r>
      <w:r w:rsidRPr="003E6AFD">
        <w:rPr>
          <w:rFonts w:ascii="Arial" w:eastAsia="Times New Roman" w:hAnsi="Arial" w:cs="Arial"/>
          <w:bCs/>
          <w:caps/>
          <w:sz w:val="18"/>
          <w:szCs w:val="18"/>
          <w:lang w:val="en-AU" w:eastAsia="en-GB"/>
        </w:rPr>
        <w:t>pathogen X</w:t>
      </w:r>
      <w:r w:rsidRPr="003E6AFD">
        <w:rPr>
          <w:rFonts w:ascii="Arial" w:eastAsia="Times New Roman" w:hAnsi="Arial" w:cs="Arial"/>
          <w:bCs/>
          <w:sz w:val="18"/>
          <w:szCs w:val="18"/>
          <w:lang w:val="en-AU" w:eastAsia="en-GB"/>
        </w:rPr>
        <w:t xml:space="preserve">] for the entire country, a </w:t>
      </w:r>
      <w:r w:rsidRPr="00796F38">
        <w:rPr>
          <w:rFonts w:ascii="Arial" w:eastAsia="Times New Roman" w:hAnsi="Arial" w:cs="Arial"/>
          <w:bCs/>
          <w:i/>
          <w:sz w:val="18"/>
          <w:szCs w:val="18"/>
          <w:lang w:val="en-AU" w:eastAsia="en-GB"/>
        </w:rPr>
        <w:t>zone</w:t>
      </w:r>
      <w:r w:rsidRPr="003E6AFD">
        <w:rPr>
          <w:rFonts w:ascii="Arial" w:eastAsia="Times New Roman" w:hAnsi="Arial" w:cs="Arial"/>
          <w:bCs/>
          <w:sz w:val="18"/>
          <w:szCs w:val="18"/>
          <w:lang w:val="en-AU" w:eastAsia="en-GB"/>
        </w:rPr>
        <w:t xml:space="preserve"> or a </w:t>
      </w:r>
      <w:r w:rsidRPr="00796F38">
        <w:rPr>
          <w:rFonts w:ascii="Arial" w:eastAsia="Times New Roman" w:hAnsi="Arial" w:cs="Arial"/>
          <w:bCs/>
          <w:i/>
          <w:sz w:val="18"/>
          <w:szCs w:val="18"/>
          <w:lang w:val="en-AU" w:eastAsia="en-GB"/>
        </w:rPr>
        <w:t>compartment</w:t>
      </w:r>
      <w:r w:rsidRPr="003E6AFD">
        <w:rPr>
          <w:rFonts w:ascii="Arial" w:eastAsia="Times New Roman" w:hAnsi="Arial" w:cs="Arial"/>
          <w:bCs/>
          <w:sz w:val="18"/>
          <w:szCs w:val="18"/>
          <w:lang w:val="en-AU" w:eastAsia="en-GB"/>
        </w:rPr>
        <w:t xml:space="preserve"> in accordance with the provisions of </w:t>
      </w:r>
      <w:r w:rsidR="003516E1" w:rsidRPr="003E6AFD">
        <w:rPr>
          <w:rFonts w:ascii="Arial" w:eastAsia="Times New Roman" w:hAnsi="Arial" w:cs="Arial"/>
          <w:bCs/>
          <w:sz w:val="18"/>
          <w:szCs w:val="18"/>
          <w:lang w:val="en-AU" w:eastAsia="en-GB"/>
        </w:rPr>
        <w:t xml:space="preserve">Articles </w:t>
      </w:r>
      <w:r w:rsidRPr="003E6AFD">
        <w:rPr>
          <w:rFonts w:ascii="Arial" w:eastAsia="Times New Roman" w:hAnsi="Arial" w:cs="Arial"/>
          <w:bCs/>
          <w:sz w:val="18"/>
          <w:szCs w:val="18"/>
          <w:lang w:val="en-AU" w:eastAsia="en-GB"/>
        </w:rPr>
        <w:t>X.X.5</w:t>
      </w:r>
      <w:r w:rsidR="003E6AFD" w:rsidRPr="003E6AFD">
        <w:rPr>
          <w:rFonts w:ascii="Arial" w:eastAsia="Times New Roman" w:hAnsi="Arial" w:cs="Arial"/>
          <w:bCs/>
          <w:sz w:val="18"/>
          <w:szCs w:val="18"/>
          <w:lang w:val="en-AU" w:eastAsia="en-GB"/>
        </w:rPr>
        <w:t>.</w:t>
      </w:r>
      <w:r w:rsidRPr="003E6AFD">
        <w:rPr>
          <w:rFonts w:ascii="Arial" w:eastAsia="Times New Roman" w:hAnsi="Arial" w:cs="Arial"/>
          <w:bCs/>
          <w:sz w:val="18"/>
          <w:szCs w:val="18"/>
          <w:lang w:val="en-AU" w:eastAsia="en-GB"/>
        </w:rPr>
        <w:t xml:space="preserve"> to X.X.8., as relevant. The self-declaration must be made in accordance with other relevant requirements of the </w:t>
      </w:r>
      <w:r w:rsidRPr="003E6AFD">
        <w:rPr>
          <w:rFonts w:ascii="Arial" w:eastAsia="Times New Roman" w:hAnsi="Arial" w:cs="Arial"/>
          <w:bCs/>
          <w:i/>
          <w:sz w:val="18"/>
          <w:szCs w:val="18"/>
          <w:lang w:val="en-AU" w:eastAsia="en-GB"/>
        </w:rPr>
        <w:t>Aquatic Code</w:t>
      </w:r>
      <w:r w:rsidRPr="003E6AFD">
        <w:rPr>
          <w:rFonts w:ascii="Arial" w:eastAsia="Times New Roman" w:hAnsi="Arial" w:cs="Arial"/>
          <w:bCs/>
          <w:sz w:val="18"/>
          <w:szCs w:val="18"/>
          <w:lang w:val="en-AU" w:eastAsia="en-GB"/>
        </w:rPr>
        <w:t xml:space="preserve"> including that the Member Country:</w:t>
      </w:r>
    </w:p>
    <w:p w14:paraId="5412BB5F" w14:textId="242BBEEB" w:rsidR="00800B4D" w:rsidRPr="003E6AFD" w:rsidRDefault="00DB0A8D" w:rsidP="00DB0A8D">
      <w:pPr>
        <w:spacing w:after="240" w:line="240" w:lineRule="auto"/>
        <w:ind w:left="426" w:hanging="426"/>
        <w:jc w:val="both"/>
        <w:rPr>
          <w:rFonts w:ascii="Arial" w:eastAsia="Times New Roman" w:hAnsi="Arial" w:cs="Arial"/>
          <w:sz w:val="18"/>
          <w:szCs w:val="18"/>
          <w:lang w:val="en" w:eastAsia="en-GB"/>
        </w:rPr>
      </w:pPr>
      <w:r w:rsidRPr="003E6AFD">
        <w:rPr>
          <w:rFonts w:ascii="Arial" w:eastAsia="Times New Roman" w:hAnsi="Arial" w:cs="Arial"/>
          <w:bCs/>
          <w:sz w:val="18"/>
          <w:szCs w:val="18"/>
          <w:lang w:val="en-AU" w:eastAsia="en-GB"/>
        </w:rPr>
        <w:t>1)</w:t>
      </w:r>
      <w:r w:rsidRPr="003E6AFD">
        <w:rPr>
          <w:rFonts w:ascii="Arial" w:eastAsia="Times New Roman" w:hAnsi="Arial" w:cs="Arial"/>
          <w:bCs/>
          <w:sz w:val="18"/>
          <w:szCs w:val="18"/>
          <w:lang w:val="en-AU" w:eastAsia="en-GB"/>
        </w:rPr>
        <w:tab/>
      </w:r>
      <w:r w:rsidR="00800B4D" w:rsidRPr="003E6AFD">
        <w:rPr>
          <w:rFonts w:ascii="Arial" w:eastAsia="Times New Roman" w:hAnsi="Arial" w:cs="Arial"/>
          <w:bCs/>
          <w:sz w:val="18"/>
          <w:szCs w:val="18"/>
          <w:lang w:val="en-AU" w:eastAsia="en-GB"/>
        </w:rPr>
        <w:t xml:space="preserve">complies with the provisions of Chapter 3.1. on the quality of the </w:t>
      </w:r>
      <w:r w:rsidR="00800B4D" w:rsidRPr="003E6AFD">
        <w:rPr>
          <w:rFonts w:ascii="Arial" w:eastAsia="Times New Roman" w:hAnsi="Arial" w:cs="Arial"/>
          <w:bCs/>
          <w:i/>
          <w:sz w:val="18"/>
          <w:szCs w:val="18"/>
          <w:lang w:val="en-AU" w:eastAsia="en-GB"/>
        </w:rPr>
        <w:t xml:space="preserve">Aquatic Animal Health </w:t>
      </w:r>
      <w:r w:rsidR="00800B4D" w:rsidRPr="003E6AFD">
        <w:rPr>
          <w:rFonts w:ascii="Arial" w:eastAsia="Times New Roman" w:hAnsi="Arial" w:cs="Arial"/>
          <w:sz w:val="18"/>
          <w:szCs w:val="18"/>
          <w:lang w:val="en" w:eastAsia="en-GB"/>
        </w:rPr>
        <w:t>Services; and</w:t>
      </w:r>
    </w:p>
    <w:p w14:paraId="6DAB1455" w14:textId="7992D16C" w:rsidR="00800B4D" w:rsidRPr="003E6AFD" w:rsidRDefault="00DB0A8D" w:rsidP="00DB0A8D">
      <w:pPr>
        <w:spacing w:after="240" w:line="240" w:lineRule="auto"/>
        <w:ind w:left="426" w:hanging="426"/>
        <w:jc w:val="both"/>
        <w:rPr>
          <w:rFonts w:ascii="Arial" w:eastAsia="Times New Roman" w:hAnsi="Arial" w:cs="Arial"/>
          <w:sz w:val="18"/>
          <w:szCs w:val="18"/>
          <w:lang w:val="en" w:eastAsia="en-GB"/>
        </w:rPr>
      </w:pPr>
      <w:r w:rsidRPr="003E6AFD">
        <w:rPr>
          <w:rFonts w:ascii="Arial" w:eastAsia="Times New Roman" w:hAnsi="Arial" w:cs="Arial"/>
          <w:bCs/>
          <w:sz w:val="18"/>
          <w:szCs w:val="18"/>
          <w:lang w:val="en-AU" w:eastAsia="en-GB"/>
        </w:rPr>
        <w:t>2)</w:t>
      </w:r>
      <w:r w:rsidRPr="003E6AFD">
        <w:rPr>
          <w:rFonts w:ascii="Arial" w:eastAsia="Times New Roman" w:hAnsi="Arial" w:cs="Arial"/>
          <w:bCs/>
          <w:sz w:val="18"/>
          <w:szCs w:val="18"/>
          <w:lang w:val="en-AU" w:eastAsia="en-GB"/>
        </w:rPr>
        <w:tab/>
      </w:r>
      <w:r w:rsidR="00800B4D" w:rsidRPr="003E6AFD">
        <w:rPr>
          <w:rFonts w:ascii="Arial" w:eastAsia="Times New Roman" w:hAnsi="Arial" w:cs="Arial"/>
          <w:bCs/>
          <w:sz w:val="18"/>
          <w:szCs w:val="18"/>
          <w:lang w:val="en-AU" w:eastAsia="en-GB"/>
        </w:rPr>
        <w:t>uses appropriate methods of diagnosis, as recommended in the</w:t>
      </w:r>
      <w:r w:rsidR="00800B4D" w:rsidRPr="003E6AFD">
        <w:rPr>
          <w:rFonts w:ascii="Arial" w:eastAsia="Times New Roman" w:hAnsi="Arial" w:cs="Arial"/>
          <w:bCs/>
          <w:i/>
          <w:sz w:val="18"/>
          <w:szCs w:val="18"/>
          <w:lang w:val="en-AU" w:eastAsia="en-GB"/>
        </w:rPr>
        <w:t xml:space="preserve"> Aquatic Manual</w:t>
      </w:r>
      <w:r w:rsidR="00800B4D" w:rsidRPr="003E6AFD">
        <w:rPr>
          <w:rFonts w:ascii="Arial" w:eastAsia="Times New Roman" w:hAnsi="Arial" w:cs="Arial"/>
          <w:bCs/>
          <w:sz w:val="18"/>
          <w:szCs w:val="18"/>
          <w:lang w:val="en-AU" w:eastAsia="en-GB"/>
        </w:rPr>
        <w:t>; and</w:t>
      </w:r>
    </w:p>
    <w:p w14:paraId="57380580" w14:textId="21492BB1" w:rsidR="00800B4D" w:rsidRPr="003E6AFD" w:rsidRDefault="00DB0A8D" w:rsidP="00DB0A8D">
      <w:pPr>
        <w:spacing w:after="240" w:line="240" w:lineRule="auto"/>
        <w:ind w:left="426" w:hanging="426"/>
        <w:jc w:val="both"/>
        <w:rPr>
          <w:rFonts w:ascii="Arial" w:eastAsia="Times New Roman" w:hAnsi="Arial" w:cs="Arial"/>
          <w:sz w:val="18"/>
          <w:szCs w:val="18"/>
          <w:lang w:val="en" w:eastAsia="en-GB"/>
        </w:rPr>
      </w:pPr>
      <w:r w:rsidRPr="003E6AFD">
        <w:rPr>
          <w:rFonts w:ascii="Arial" w:eastAsia="Times New Roman" w:hAnsi="Arial" w:cs="Arial"/>
          <w:bCs/>
          <w:sz w:val="18"/>
          <w:szCs w:val="18"/>
          <w:lang w:val="en-AU" w:eastAsia="en-GB"/>
        </w:rPr>
        <w:t>3)</w:t>
      </w:r>
      <w:r w:rsidRPr="003E6AFD">
        <w:rPr>
          <w:rFonts w:ascii="Arial" w:eastAsia="Times New Roman" w:hAnsi="Arial" w:cs="Arial"/>
          <w:bCs/>
          <w:sz w:val="18"/>
          <w:szCs w:val="18"/>
          <w:lang w:val="en-AU" w:eastAsia="en-GB"/>
        </w:rPr>
        <w:tab/>
      </w:r>
      <w:r w:rsidR="00800B4D" w:rsidRPr="003E6AFD">
        <w:rPr>
          <w:rFonts w:ascii="Arial" w:eastAsia="Times New Roman" w:hAnsi="Arial" w:cs="Arial"/>
          <w:bCs/>
          <w:sz w:val="18"/>
          <w:szCs w:val="18"/>
          <w:lang w:val="en-AU" w:eastAsia="en-GB"/>
        </w:rPr>
        <w:t>meets all requirements of Chapter 1.4. that are relevant to the self-declaration of freedom.</w:t>
      </w:r>
    </w:p>
    <w:p w14:paraId="4B850EA7" w14:textId="0DC80A44" w:rsidR="00800B4D" w:rsidRPr="000760A9" w:rsidRDefault="00800B4D" w:rsidP="000760A9">
      <w:pPr>
        <w:spacing w:after="240" w:line="240" w:lineRule="auto"/>
        <w:jc w:val="center"/>
        <w:rPr>
          <w:rFonts w:ascii="Ottawa" w:eastAsia="Times New Roman" w:hAnsi="Ottawa" w:cs="Times New Roman"/>
          <w:sz w:val="18"/>
          <w:szCs w:val="18"/>
          <w:lang w:val="en" w:eastAsia="en-GB"/>
        </w:rPr>
      </w:pPr>
      <w:r w:rsidRPr="000760A9">
        <w:rPr>
          <w:rFonts w:ascii="Ottawa" w:eastAsia="Times New Roman" w:hAnsi="Ottawa" w:cs="Times New Roman"/>
          <w:sz w:val="18"/>
          <w:szCs w:val="18"/>
          <w:lang w:val="en" w:eastAsia="en-GB"/>
        </w:rPr>
        <w:t>Article X.X.5.</w:t>
      </w:r>
    </w:p>
    <w:p w14:paraId="4A8FF8C1" w14:textId="258507DD" w:rsidR="00800B4D" w:rsidRPr="000760A9" w:rsidRDefault="00800B4D" w:rsidP="000760A9">
      <w:pPr>
        <w:spacing w:after="240" w:line="240" w:lineRule="auto"/>
        <w:ind w:right="1088"/>
        <w:jc w:val="both"/>
        <w:rPr>
          <w:rFonts w:eastAsia="Times New Roman" w:cs="Times New Roman"/>
          <w:i/>
          <w:szCs w:val="20"/>
          <w:lang w:val="en" w:eastAsia="en-GB"/>
        </w:rPr>
      </w:pPr>
      <w:r w:rsidRPr="000760A9">
        <w:rPr>
          <w:rFonts w:eastAsia="Times New Roman" w:cs="Times New Roman"/>
          <w:i/>
          <w:szCs w:val="20"/>
          <w:lang w:val="en" w:eastAsia="en-GB"/>
        </w:rPr>
        <w:t xml:space="preserve">[Note: equivalent to existing </w:t>
      </w:r>
      <w:r w:rsidR="003E6AFD">
        <w:rPr>
          <w:rFonts w:eastAsia="Times New Roman" w:cs="Times New Roman"/>
          <w:i/>
          <w:szCs w:val="20"/>
          <w:lang w:val="en" w:eastAsia="en-GB"/>
        </w:rPr>
        <w:t>A</w:t>
      </w:r>
      <w:r w:rsidRPr="000760A9">
        <w:rPr>
          <w:rFonts w:eastAsia="Times New Roman" w:cs="Times New Roman"/>
          <w:i/>
          <w:szCs w:val="20"/>
          <w:lang w:val="en" w:eastAsia="en-GB"/>
        </w:rPr>
        <w:t>rticle X.X.4</w:t>
      </w:r>
      <w:r w:rsidR="003E6AFD">
        <w:rPr>
          <w:rFonts w:eastAsia="Times New Roman" w:cs="Times New Roman"/>
          <w:i/>
          <w:szCs w:val="20"/>
          <w:lang w:val="en" w:eastAsia="en-GB"/>
        </w:rPr>
        <w:t>.</w:t>
      </w:r>
      <w:r w:rsidRPr="000760A9">
        <w:rPr>
          <w:rFonts w:eastAsia="Times New Roman" w:cs="Times New Roman"/>
          <w:i/>
          <w:szCs w:val="20"/>
          <w:lang w:val="en" w:eastAsia="en-GB"/>
        </w:rPr>
        <w:t>]</w:t>
      </w:r>
    </w:p>
    <w:p w14:paraId="1046E706" w14:textId="77777777" w:rsidR="00800B4D" w:rsidRPr="003E6AFD" w:rsidRDefault="00800B4D" w:rsidP="000760A9">
      <w:pPr>
        <w:spacing w:after="240" w:line="240" w:lineRule="auto"/>
        <w:jc w:val="both"/>
        <w:rPr>
          <w:rFonts w:ascii="Ottawa" w:eastAsia="Times New Roman" w:hAnsi="Ottawa" w:cs="Arial"/>
          <w:b/>
          <w:sz w:val="18"/>
          <w:szCs w:val="18"/>
          <w:lang w:val="en" w:eastAsia="en-GB"/>
        </w:rPr>
      </w:pPr>
      <w:r w:rsidRPr="003E6AFD">
        <w:rPr>
          <w:rFonts w:ascii="Ottawa" w:eastAsia="Times New Roman" w:hAnsi="Ottawa" w:cs="Arial"/>
          <w:b/>
          <w:sz w:val="18"/>
          <w:szCs w:val="18"/>
          <w:lang w:val="en" w:eastAsia="en-GB"/>
        </w:rPr>
        <w:t xml:space="preserve">Country free from infection with [PATHOGEN X] </w:t>
      </w:r>
    </w:p>
    <w:p w14:paraId="0B197BAB" w14:textId="77777777" w:rsidR="00800B4D" w:rsidRPr="003516E1" w:rsidRDefault="00800B4D" w:rsidP="000760A9">
      <w:pPr>
        <w:spacing w:after="240" w:line="240" w:lineRule="auto"/>
        <w:jc w:val="both"/>
        <w:rPr>
          <w:rFonts w:ascii="Arial" w:eastAsia="Times New Roman" w:hAnsi="Arial" w:cs="Arial"/>
          <w:sz w:val="18"/>
          <w:szCs w:val="18"/>
          <w:lang w:val="en" w:eastAsia="en-GB"/>
        </w:rPr>
      </w:pPr>
      <w:r w:rsidRPr="003516E1">
        <w:rPr>
          <w:rFonts w:ascii="Arial" w:eastAsia="Times New Roman" w:hAnsi="Arial" w:cs="Arial"/>
          <w:sz w:val="18"/>
          <w:szCs w:val="18"/>
          <w:lang w:val="en" w:eastAsia="en-GB"/>
        </w:rPr>
        <w:t xml:space="preserve">If a country shares a </w:t>
      </w:r>
      <w:r w:rsidRPr="003516E1">
        <w:rPr>
          <w:rFonts w:ascii="Arial" w:eastAsia="Times New Roman" w:hAnsi="Arial" w:cs="Arial"/>
          <w:i/>
          <w:iCs/>
          <w:sz w:val="18"/>
          <w:szCs w:val="18"/>
          <w:lang w:val="en" w:eastAsia="en-GB"/>
        </w:rPr>
        <w:t>zone</w:t>
      </w:r>
      <w:r w:rsidRPr="003516E1">
        <w:rPr>
          <w:rFonts w:ascii="Arial" w:eastAsia="Times New Roman" w:hAnsi="Arial" w:cs="Arial"/>
          <w:sz w:val="18"/>
          <w:szCs w:val="18"/>
          <w:lang w:val="en" w:eastAsia="en-GB"/>
        </w:rPr>
        <w:t xml:space="preserve"> with one or more other countries, it can only make a </w:t>
      </w:r>
      <w:hyperlink r:id="rId59" w:anchor="terme_auto_declaration_de_l_absence_de_maladie" w:history="1">
        <w:r w:rsidRPr="003516E1">
          <w:rPr>
            <w:rFonts w:ascii="Arial" w:eastAsia="Times New Roman" w:hAnsi="Arial" w:cs="Arial"/>
            <w:i/>
            <w:iCs/>
            <w:sz w:val="18"/>
            <w:szCs w:val="18"/>
            <w:lang w:val="en" w:eastAsia="en-GB"/>
          </w:rPr>
          <w:t>self-declaration of freedom</w:t>
        </w:r>
      </w:hyperlink>
      <w:r w:rsidRPr="003516E1">
        <w:rPr>
          <w:rFonts w:ascii="Arial" w:eastAsia="Times New Roman" w:hAnsi="Arial" w:cs="Arial"/>
          <w:sz w:val="18"/>
          <w:szCs w:val="18"/>
          <w:lang w:val="en" w:eastAsia="en-GB"/>
        </w:rPr>
        <w:t xml:space="preserve"> from infection with [PATHOGEN X] if the shared water bodies are within countries or </w:t>
      </w:r>
      <w:hyperlink r:id="rId60" w:anchor="terme_zone" w:history="1">
        <w:r w:rsidRPr="003516E1">
          <w:rPr>
            <w:rFonts w:ascii="Arial" w:eastAsia="Times New Roman" w:hAnsi="Arial" w:cs="Arial"/>
            <w:i/>
            <w:iCs/>
            <w:sz w:val="18"/>
            <w:szCs w:val="18"/>
            <w:lang w:val="en" w:eastAsia="en-GB"/>
          </w:rPr>
          <w:t>zones</w:t>
        </w:r>
      </w:hyperlink>
      <w:r w:rsidRPr="003516E1">
        <w:rPr>
          <w:rFonts w:ascii="Arial" w:eastAsia="Times New Roman" w:hAnsi="Arial" w:cs="Arial"/>
          <w:sz w:val="18"/>
          <w:szCs w:val="18"/>
          <w:lang w:val="en" w:eastAsia="en-GB"/>
        </w:rPr>
        <w:t xml:space="preserve"> declared free from infection with [PATHOGEN X] (see Article </w:t>
      </w:r>
      <w:hyperlink r:id="rId61" w:anchor="article_vhs.5." w:history="1">
        <w:r w:rsidRPr="003516E1">
          <w:rPr>
            <w:rFonts w:ascii="Arial" w:eastAsia="Times New Roman" w:hAnsi="Arial" w:cs="Arial"/>
            <w:sz w:val="18"/>
            <w:szCs w:val="18"/>
            <w:lang w:val="en" w:eastAsia="en-GB"/>
          </w:rPr>
          <w:t>X.X.6.</w:t>
        </w:r>
      </w:hyperlink>
      <w:r w:rsidRPr="003516E1">
        <w:rPr>
          <w:rFonts w:ascii="Arial" w:eastAsia="Times New Roman" w:hAnsi="Arial" w:cs="Arial"/>
          <w:sz w:val="18"/>
          <w:szCs w:val="18"/>
          <w:lang w:val="en" w:eastAsia="en-GB"/>
        </w:rPr>
        <w:t>).</w:t>
      </w:r>
    </w:p>
    <w:p w14:paraId="6BAA0238" w14:textId="77777777" w:rsidR="00800B4D" w:rsidRPr="003516E1" w:rsidRDefault="00800B4D" w:rsidP="000760A9">
      <w:pPr>
        <w:spacing w:after="240" w:line="240" w:lineRule="auto"/>
        <w:jc w:val="both"/>
        <w:rPr>
          <w:rFonts w:ascii="Arial" w:eastAsia="Times New Roman" w:hAnsi="Arial" w:cs="Arial"/>
          <w:sz w:val="18"/>
          <w:szCs w:val="18"/>
          <w:lang w:val="en" w:eastAsia="en-GB"/>
        </w:rPr>
      </w:pPr>
      <w:r w:rsidRPr="003516E1">
        <w:rPr>
          <w:rFonts w:ascii="Arial" w:eastAsia="Times New Roman" w:hAnsi="Arial" w:cs="Arial"/>
          <w:sz w:val="18"/>
          <w:szCs w:val="18"/>
          <w:lang w:val="en" w:eastAsia="en-GB"/>
        </w:rPr>
        <w:t xml:space="preserve">As described in Article </w:t>
      </w:r>
      <w:hyperlink r:id="rId62" w:anchor="article_aqua_ani_surveillance.6." w:history="1">
        <w:r w:rsidRPr="003516E1">
          <w:rPr>
            <w:rFonts w:ascii="Arial" w:eastAsia="Times New Roman" w:hAnsi="Arial" w:cs="Arial"/>
            <w:sz w:val="18"/>
            <w:szCs w:val="18"/>
            <w:lang w:val="en" w:eastAsia="en-GB"/>
          </w:rPr>
          <w:t>1.4.X.</w:t>
        </w:r>
      </w:hyperlink>
      <w:r w:rsidRPr="003516E1">
        <w:rPr>
          <w:rFonts w:ascii="Arial" w:eastAsia="Times New Roman" w:hAnsi="Arial" w:cs="Arial"/>
          <w:sz w:val="18"/>
          <w:szCs w:val="18"/>
          <w:lang w:val="en" w:eastAsia="en-GB"/>
        </w:rPr>
        <w:t xml:space="preserve">, a Member Country may make a </w:t>
      </w:r>
      <w:hyperlink r:id="rId63" w:anchor="terme_auto_declaration_de_l_absence_de_maladie" w:history="1">
        <w:r w:rsidRPr="003516E1">
          <w:rPr>
            <w:rFonts w:ascii="Arial" w:eastAsia="Times New Roman" w:hAnsi="Arial" w:cs="Arial"/>
            <w:i/>
            <w:iCs/>
            <w:sz w:val="18"/>
            <w:szCs w:val="18"/>
            <w:lang w:val="en" w:eastAsia="en-GB"/>
          </w:rPr>
          <w:t>self-declaration of freedom</w:t>
        </w:r>
      </w:hyperlink>
      <w:r w:rsidRPr="003516E1">
        <w:rPr>
          <w:rFonts w:ascii="Arial" w:eastAsia="Times New Roman" w:hAnsi="Arial" w:cs="Arial"/>
          <w:sz w:val="18"/>
          <w:szCs w:val="18"/>
          <w:lang w:val="en" w:eastAsia="en-GB"/>
        </w:rPr>
        <w:t xml:space="preserve"> from infection with [PATHOGEN X] for its entire </w:t>
      </w:r>
      <w:r w:rsidRPr="003516E1">
        <w:rPr>
          <w:rFonts w:ascii="Arial" w:eastAsia="Times New Roman" w:hAnsi="Arial" w:cs="Arial"/>
          <w:i/>
          <w:sz w:val="18"/>
          <w:szCs w:val="18"/>
          <w:lang w:val="en" w:eastAsia="en-GB"/>
        </w:rPr>
        <w:t>territory</w:t>
      </w:r>
      <w:r w:rsidRPr="003516E1">
        <w:rPr>
          <w:rFonts w:ascii="Arial" w:eastAsia="Times New Roman" w:hAnsi="Arial" w:cs="Arial"/>
          <w:sz w:val="18"/>
          <w:szCs w:val="18"/>
          <w:lang w:val="en" w:eastAsia="en-GB"/>
        </w:rPr>
        <w:t xml:space="preserve"> if:</w:t>
      </w:r>
    </w:p>
    <w:p w14:paraId="742419E6" w14:textId="2A24D067" w:rsidR="00800B4D" w:rsidRPr="003516E1" w:rsidRDefault="000760A9" w:rsidP="000760A9">
      <w:pPr>
        <w:spacing w:after="240" w:line="240" w:lineRule="auto"/>
        <w:ind w:left="426" w:hanging="426"/>
        <w:jc w:val="both"/>
        <w:rPr>
          <w:rFonts w:ascii="Arial" w:eastAsia="Times New Roman" w:hAnsi="Arial" w:cs="Arial"/>
          <w:sz w:val="18"/>
          <w:szCs w:val="18"/>
          <w:lang w:val="en" w:eastAsia="en-GB"/>
        </w:rPr>
      </w:pPr>
      <w:r w:rsidRPr="003516E1">
        <w:rPr>
          <w:rFonts w:ascii="Arial" w:eastAsia="Times New Roman" w:hAnsi="Arial" w:cs="Arial"/>
          <w:sz w:val="18"/>
          <w:szCs w:val="18"/>
          <w:lang w:val="en" w:eastAsia="en-GB"/>
        </w:rPr>
        <w:t>1)</w:t>
      </w:r>
      <w:r w:rsidRPr="003516E1">
        <w:rPr>
          <w:rFonts w:ascii="Arial" w:eastAsia="Times New Roman" w:hAnsi="Arial" w:cs="Arial"/>
          <w:sz w:val="18"/>
          <w:szCs w:val="18"/>
          <w:lang w:val="en" w:eastAsia="en-GB"/>
        </w:rPr>
        <w:tab/>
      </w:r>
      <w:r w:rsidR="00800B4D" w:rsidRPr="003516E1">
        <w:rPr>
          <w:rFonts w:ascii="Arial" w:eastAsia="Times New Roman" w:hAnsi="Arial" w:cs="Arial"/>
          <w:sz w:val="18"/>
          <w:szCs w:val="18"/>
          <w:lang w:val="en" w:eastAsia="en-GB"/>
        </w:rPr>
        <w:t xml:space="preserve">none of the </w:t>
      </w:r>
      <w:hyperlink r:id="rId64" w:anchor="terme_espece_sensible" w:history="1">
        <w:r w:rsidR="00800B4D" w:rsidRPr="003516E1">
          <w:rPr>
            <w:rFonts w:ascii="Arial" w:eastAsia="Times New Roman" w:hAnsi="Arial" w:cs="Arial"/>
            <w:sz w:val="18"/>
            <w:szCs w:val="18"/>
            <w:lang w:val="en" w:eastAsia="en-GB"/>
          </w:rPr>
          <w:t>susceptible species</w:t>
        </w:r>
      </w:hyperlink>
      <w:r w:rsidR="00800B4D" w:rsidRPr="003516E1">
        <w:rPr>
          <w:rFonts w:ascii="Arial" w:eastAsia="Times New Roman" w:hAnsi="Arial" w:cs="Arial"/>
          <w:sz w:val="18"/>
          <w:szCs w:val="18"/>
          <w:lang w:val="en" w:eastAsia="en-GB"/>
        </w:rPr>
        <w:t xml:space="preserve"> referred to in Article </w:t>
      </w:r>
      <w:hyperlink r:id="rId65" w:anchor="article_ihn.2." w:history="1">
        <w:r w:rsidR="00800B4D" w:rsidRPr="003516E1">
          <w:rPr>
            <w:rFonts w:ascii="Arial" w:eastAsia="Times New Roman" w:hAnsi="Arial" w:cs="Arial"/>
            <w:sz w:val="18"/>
            <w:szCs w:val="18"/>
            <w:lang w:val="en" w:eastAsia="en-GB"/>
          </w:rPr>
          <w:t>X.X.2.</w:t>
        </w:r>
      </w:hyperlink>
      <w:r w:rsidR="00800B4D" w:rsidRPr="003516E1">
        <w:rPr>
          <w:rFonts w:ascii="Arial" w:eastAsia="Times New Roman" w:hAnsi="Arial" w:cs="Arial"/>
          <w:sz w:val="18"/>
          <w:szCs w:val="18"/>
          <w:lang w:val="en" w:eastAsia="en-GB"/>
        </w:rPr>
        <w:t xml:space="preserve"> are present and </w:t>
      </w:r>
      <w:hyperlink r:id="rId66" w:anchor="terme_conditions_elementaires_de_securite_biologique" w:history="1">
        <w:r w:rsidR="00800B4D" w:rsidRPr="003516E1">
          <w:rPr>
            <w:rFonts w:ascii="Arial" w:eastAsia="Times New Roman" w:hAnsi="Arial" w:cs="Arial"/>
            <w:i/>
            <w:sz w:val="18"/>
            <w:szCs w:val="18"/>
            <w:lang w:val="en" w:eastAsia="en-GB"/>
          </w:rPr>
          <w:t>basic biosecurity conditions</w:t>
        </w:r>
      </w:hyperlink>
      <w:r w:rsidR="00800B4D" w:rsidRPr="003516E1">
        <w:rPr>
          <w:rFonts w:ascii="Arial" w:eastAsia="Times New Roman" w:hAnsi="Arial" w:cs="Arial"/>
          <w:sz w:val="18"/>
          <w:szCs w:val="18"/>
          <w:lang w:val="en" w:eastAsia="en-GB"/>
        </w:rPr>
        <w:t xml:space="preserve"> have been continuously met for at least the last [</w:t>
      </w:r>
      <w:r w:rsidR="00800B4D" w:rsidRPr="003516E1">
        <w:rPr>
          <w:rFonts w:ascii="Arial" w:eastAsia="Times New Roman" w:hAnsi="Arial" w:cs="Arial"/>
          <w:sz w:val="18"/>
          <w:szCs w:val="18"/>
          <w:highlight w:val="yellow"/>
          <w:lang w:val="en" w:eastAsia="en-GB"/>
        </w:rPr>
        <w:t>two</w:t>
      </w:r>
      <w:r w:rsidR="00800B4D" w:rsidRPr="003516E1">
        <w:rPr>
          <w:rFonts w:ascii="Arial" w:eastAsia="Times New Roman" w:hAnsi="Arial" w:cs="Arial"/>
          <w:sz w:val="18"/>
          <w:szCs w:val="18"/>
          <w:lang w:val="en" w:eastAsia="en-GB"/>
        </w:rPr>
        <w:t>] years;</w:t>
      </w:r>
    </w:p>
    <w:p w14:paraId="28027AA0" w14:textId="77777777" w:rsidR="00800B4D" w:rsidRPr="003516E1" w:rsidRDefault="00800B4D" w:rsidP="000760A9">
      <w:pPr>
        <w:spacing w:after="240" w:line="240" w:lineRule="auto"/>
        <w:jc w:val="both"/>
        <w:rPr>
          <w:rFonts w:ascii="Arial" w:eastAsia="Times New Roman" w:hAnsi="Arial" w:cs="Arial"/>
          <w:sz w:val="18"/>
          <w:szCs w:val="18"/>
          <w:lang w:val="en" w:eastAsia="en-GB"/>
        </w:rPr>
      </w:pPr>
      <w:r w:rsidRPr="003516E1">
        <w:rPr>
          <w:rFonts w:ascii="Arial" w:eastAsia="Times New Roman" w:hAnsi="Arial" w:cs="Arial"/>
          <w:sz w:val="18"/>
          <w:szCs w:val="18"/>
          <w:lang w:val="en" w:eastAsia="en-GB"/>
        </w:rPr>
        <w:t>OR</w:t>
      </w:r>
    </w:p>
    <w:p w14:paraId="02271F86" w14:textId="420B89AA" w:rsidR="00800B4D" w:rsidRPr="003516E1" w:rsidRDefault="000760A9" w:rsidP="000760A9">
      <w:pPr>
        <w:spacing w:after="240" w:line="240" w:lineRule="auto"/>
        <w:ind w:left="426" w:hanging="426"/>
        <w:jc w:val="both"/>
        <w:rPr>
          <w:rFonts w:ascii="Arial" w:eastAsia="Times New Roman" w:hAnsi="Arial" w:cs="Arial"/>
          <w:sz w:val="18"/>
          <w:szCs w:val="18"/>
          <w:lang w:val="en" w:eastAsia="en-GB"/>
        </w:rPr>
      </w:pPr>
      <w:r w:rsidRPr="003516E1">
        <w:rPr>
          <w:rFonts w:ascii="Arial" w:eastAsia="Times New Roman" w:hAnsi="Arial" w:cs="Arial"/>
          <w:sz w:val="18"/>
          <w:szCs w:val="18"/>
          <w:lang w:val="en" w:eastAsia="en-GB"/>
        </w:rPr>
        <w:t>2)</w:t>
      </w:r>
      <w:r w:rsidRPr="003516E1">
        <w:rPr>
          <w:rFonts w:ascii="Arial" w:eastAsia="Times New Roman" w:hAnsi="Arial" w:cs="Arial"/>
          <w:sz w:val="18"/>
          <w:szCs w:val="18"/>
          <w:lang w:val="en" w:eastAsia="en-GB"/>
        </w:rPr>
        <w:tab/>
      </w:r>
      <w:r w:rsidR="00800B4D" w:rsidRPr="003516E1">
        <w:rPr>
          <w:rFonts w:ascii="Arial" w:eastAsia="Times New Roman" w:hAnsi="Arial" w:cs="Arial"/>
          <w:sz w:val="18"/>
          <w:szCs w:val="18"/>
          <w:lang w:val="en" w:eastAsia="en-GB"/>
        </w:rPr>
        <w:t>there has been no occurrence of infection with [PATHOGEN X] for at least the last [</w:t>
      </w:r>
      <w:r w:rsidR="00800B4D" w:rsidRPr="003516E1">
        <w:rPr>
          <w:rFonts w:ascii="Arial" w:eastAsia="Times New Roman" w:hAnsi="Arial" w:cs="Arial"/>
          <w:sz w:val="18"/>
          <w:szCs w:val="18"/>
          <w:highlight w:val="yellow"/>
          <w:lang w:val="en" w:eastAsia="en-GB"/>
        </w:rPr>
        <w:t>ten</w:t>
      </w:r>
      <w:r w:rsidR="00800B4D" w:rsidRPr="003516E1">
        <w:rPr>
          <w:rFonts w:ascii="Arial" w:eastAsia="Times New Roman" w:hAnsi="Arial" w:cs="Arial"/>
          <w:sz w:val="18"/>
          <w:szCs w:val="18"/>
          <w:lang w:val="en" w:eastAsia="en-GB"/>
        </w:rPr>
        <w:t>] years, and:</w:t>
      </w:r>
    </w:p>
    <w:p w14:paraId="31F11187" w14:textId="173AB029" w:rsidR="00800B4D" w:rsidRPr="003516E1" w:rsidRDefault="000760A9" w:rsidP="000760A9">
      <w:pPr>
        <w:spacing w:after="240" w:line="240" w:lineRule="auto"/>
        <w:ind w:left="851" w:hanging="425"/>
        <w:jc w:val="both"/>
        <w:rPr>
          <w:rFonts w:ascii="Arial" w:eastAsia="Times New Roman" w:hAnsi="Arial" w:cs="Arial"/>
          <w:sz w:val="18"/>
          <w:szCs w:val="18"/>
          <w:lang w:val="en" w:eastAsia="en-GB"/>
        </w:rPr>
      </w:pPr>
      <w:r w:rsidRPr="003516E1">
        <w:rPr>
          <w:rFonts w:ascii="Arial" w:eastAsia="Times New Roman" w:hAnsi="Arial" w:cs="Arial"/>
          <w:sz w:val="18"/>
          <w:szCs w:val="18"/>
          <w:lang w:val="en" w:eastAsia="en-GB"/>
        </w:rPr>
        <w:t>a)</w:t>
      </w:r>
      <w:r w:rsidRPr="003516E1">
        <w:rPr>
          <w:rFonts w:ascii="Arial" w:eastAsia="Times New Roman" w:hAnsi="Arial" w:cs="Arial"/>
          <w:sz w:val="18"/>
          <w:szCs w:val="18"/>
          <w:lang w:val="en" w:eastAsia="en-GB"/>
        </w:rPr>
        <w:tab/>
      </w:r>
      <w:r w:rsidR="00800B4D" w:rsidRPr="003516E1">
        <w:rPr>
          <w:rFonts w:ascii="Arial" w:eastAsia="Times New Roman" w:hAnsi="Arial" w:cs="Arial"/>
          <w:sz w:val="18"/>
          <w:szCs w:val="18"/>
          <w:lang w:val="en" w:eastAsia="en-GB"/>
        </w:rPr>
        <w:t xml:space="preserve">the Member Country can demonstrate that conditions are conducive to the clinical expression of infection with [PATHOGEN X], as described in the corresponding chapter of the </w:t>
      </w:r>
      <w:hyperlink r:id="rId67" w:anchor="terme_manuel_aquatique" w:history="1">
        <w:r w:rsidR="00800B4D" w:rsidRPr="003516E1">
          <w:rPr>
            <w:rFonts w:ascii="Arial" w:eastAsia="Times New Roman" w:hAnsi="Arial" w:cs="Arial"/>
            <w:i/>
            <w:iCs/>
            <w:sz w:val="18"/>
            <w:szCs w:val="18"/>
            <w:lang w:val="en" w:eastAsia="en-GB"/>
          </w:rPr>
          <w:t>Aquatic Manual</w:t>
        </w:r>
      </w:hyperlink>
      <w:r w:rsidR="00800B4D" w:rsidRPr="003516E1">
        <w:rPr>
          <w:rFonts w:ascii="Arial" w:eastAsia="Times New Roman" w:hAnsi="Arial" w:cs="Arial"/>
          <w:sz w:val="18"/>
          <w:szCs w:val="18"/>
          <w:lang w:val="en" w:eastAsia="en-GB"/>
        </w:rPr>
        <w:t xml:space="preserve">; and </w:t>
      </w:r>
    </w:p>
    <w:p w14:paraId="083A2437" w14:textId="65FD0807" w:rsidR="00800B4D" w:rsidRPr="003516E1" w:rsidRDefault="000760A9" w:rsidP="000760A9">
      <w:pPr>
        <w:spacing w:after="240" w:line="240" w:lineRule="auto"/>
        <w:ind w:left="851" w:hanging="425"/>
        <w:jc w:val="both"/>
        <w:rPr>
          <w:rFonts w:ascii="Arial" w:eastAsia="Times New Roman" w:hAnsi="Arial" w:cs="Arial"/>
          <w:sz w:val="18"/>
          <w:szCs w:val="18"/>
          <w:lang w:val="en" w:eastAsia="en-GB"/>
        </w:rPr>
      </w:pPr>
      <w:r w:rsidRPr="003516E1">
        <w:rPr>
          <w:rFonts w:ascii="Arial" w:hAnsi="Arial" w:cs="Arial"/>
          <w:sz w:val="18"/>
          <w:szCs w:val="18"/>
        </w:rPr>
        <w:t>b)</w:t>
      </w:r>
      <w:r w:rsidRPr="003516E1">
        <w:rPr>
          <w:rFonts w:ascii="Arial" w:hAnsi="Arial" w:cs="Arial"/>
          <w:sz w:val="18"/>
          <w:szCs w:val="18"/>
        </w:rPr>
        <w:tab/>
      </w:r>
      <w:hyperlink r:id="rId68" w:anchor="terme_conditions_elementaires_de_securite_biologique" w:history="1">
        <w:r w:rsidR="00800B4D" w:rsidRPr="003516E1">
          <w:rPr>
            <w:rFonts w:ascii="Arial" w:eastAsia="Times New Roman" w:hAnsi="Arial" w:cs="Arial"/>
            <w:i/>
            <w:iCs/>
            <w:sz w:val="18"/>
            <w:szCs w:val="18"/>
            <w:lang w:val="en" w:eastAsia="en-GB"/>
          </w:rPr>
          <w:t>basic biosecurity conditions</w:t>
        </w:r>
      </w:hyperlink>
      <w:r w:rsidR="00800B4D" w:rsidRPr="003516E1">
        <w:rPr>
          <w:rFonts w:ascii="Arial" w:eastAsia="Times New Roman" w:hAnsi="Arial" w:cs="Arial"/>
          <w:i/>
          <w:iCs/>
          <w:sz w:val="18"/>
          <w:szCs w:val="18"/>
          <w:lang w:val="en" w:eastAsia="en-GB"/>
        </w:rPr>
        <w:t xml:space="preserve"> </w:t>
      </w:r>
      <w:r w:rsidR="00800B4D" w:rsidRPr="003516E1">
        <w:rPr>
          <w:rFonts w:ascii="Arial" w:eastAsia="Times New Roman" w:hAnsi="Arial" w:cs="Arial"/>
          <w:sz w:val="18"/>
          <w:szCs w:val="18"/>
          <w:lang w:val="en" w:eastAsia="en-GB"/>
        </w:rPr>
        <w:t>as described in Chapter 1.4. have been continuously met for at least the last [</w:t>
      </w:r>
      <w:r w:rsidR="00800B4D" w:rsidRPr="003516E1">
        <w:rPr>
          <w:rFonts w:ascii="Arial" w:eastAsia="Times New Roman" w:hAnsi="Arial" w:cs="Arial"/>
          <w:sz w:val="18"/>
          <w:szCs w:val="18"/>
          <w:highlight w:val="yellow"/>
          <w:lang w:val="en" w:eastAsia="en-GB"/>
        </w:rPr>
        <w:t>ten</w:t>
      </w:r>
      <w:r w:rsidR="00800B4D" w:rsidRPr="003516E1">
        <w:rPr>
          <w:rFonts w:ascii="Arial" w:eastAsia="Times New Roman" w:hAnsi="Arial" w:cs="Arial"/>
          <w:sz w:val="18"/>
          <w:szCs w:val="18"/>
          <w:lang w:val="en" w:eastAsia="en-GB"/>
        </w:rPr>
        <w:t xml:space="preserve">] years; </w:t>
      </w:r>
    </w:p>
    <w:p w14:paraId="398C16FD" w14:textId="77777777" w:rsidR="00800B4D" w:rsidRPr="003516E1" w:rsidRDefault="00800B4D" w:rsidP="000760A9">
      <w:pPr>
        <w:spacing w:after="240" w:line="240" w:lineRule="auto"/>
        <w:jc w:val="both"/>
        <w:rPr>
          <w:rFonts w:ascii="Arial" w:eastAsia="Times New Roman" w:hAnsi="Arial" w:cs="Arial"/>
          <w:sz w:val="18"/>
          <w:szCs w:val="18"/>
          <w:lang w:val="en" w:eastAsia="en-GB"/>
        </w:rPr>
      </w:pPr>
      <w:r w:rsidRPr="003516E1">
        <w:rPr>
          <w:rFonts w:ascii="Arial" w:eastAsia="Times New Roman" w:hAnsi="Arial" w:cs="Arial"/>
          <w:sz w:val="18"/>
          <w:szCs w:val="18"/>
          <w:lang w:val="en" w:eastAsia="en-GB"/>
        </w:rPr>
        <w:t>OR</w:t>
      </w:r>
    </w:p>
    <w:p w14:paraId="4E5ACCEA" w14:textId="6FFF164D" w:rsidR="00800B4D" w:rsidRPr="003516E1" w:rsidRDefault="000760A9" w:rsidP="000760A9">
      <w:pPr>
        <w:spacing w:after="240" w:line="240" w:lineRule="auto"/>
        <w:ind w:left="426" w:hanging="426"/>
        <w:jc w:val="both"/>
        <w:rPr>
          <w:rFonts w:ascii="Arial" w:eastAsia="Times New Roman" w:hAnsi="Arial" w:cs="Arial"/>
          <w:sz w:val="18"/>
          <w:szCs w:val="18"/>
          <w:lang w:val="en" w:eastAsia="en-GB"/>
        </w:rPr>
      </w:pPr>
      <w:r w:rsidRPr="003516E1">
        <w:rPr>
          <w:rFonts w:ascii="Arial" w:hAnsi="Arial" w:cs="Arial"/>
          <w:sz w:val="18"/>
          <w:szCs w:val="18"/>
        </w:rPr>
        <w:t>3)</w:t>
      </w:r>
      <w:r w:rsidRPr="003516E1">
        <w:rPr>
          <w:rFonts w:ascii="Arial" w:hAnsi="Arial" w:cs="Arial"/>
          <w:sz w:val="18"/>
          <w:szCs w:val="18"/>
        </w:rPr>
        <w:tab/>
      </w:r>
      <w:hyperlink r:id="rId69" w:anchor="terme_surveillance_specifique" w:history="1">
        <w:r w:rsidR="00800B4D" w:rsidRPr="003516E1">
          <w:rPr>
            <w:rFonts w:ascii="Arial" w:eastAsia="Times New Roman" w:hAnsi="Arial" w:cs="Arial"/>
            <w:i/>
            <w:iCs/>
            <w:sz w:val="18"/>
            <w:szCs w:val="18"/>
            <w:lang w:val="en" w:eastAsia="en-GB"/>
          </w:rPr>
          <w:t>targeted surveillance</w:t>
        </w:r>
      </w:hyperlink>
      <w:r w:rsidR="00800B4D" w:rsidRPr="003516E1">
        <w:rPr>
          <w:rFonts w:ascii="Arial" w:eastAsia="Times New Roman" w:hAnsi="Arial" w:cs="Arial"/>
          <w:sz w:val="18"/>
          <w:szCs w:val="18"/>
          <w:lang w:val="en" w:eastAsia="en-GB"/>
        </w:rPr>
        <w:t xml:space="preserve">, as described in Chapter </w:t>
      </w:r>
      <w:hyperlink r:id="rId70" w:anchor="chapitre_aqua_ani_surveillance" w:history="1">
        <w:r w:rsidR="00800B4D" w:rsidRPr="003516E1">
          <w:rPr>
            <w:rFonts w:ascii="Arial" w:eastAsia="Times New Roman" w:hAnsi="Arial" w:cs="Arial"/>
            <w:sz w:val="18"/>
            <w:szCs w:val="18"/>
            <w:lang w:val="en" w:eastAsia="en-GB"/>
          </w:rPr>
          <w:t>1.4.</w:t>
        </w:r>
      </w:hyperlink>
      <w:r w:rsidR="00800B4D" w:rsidRPr="003516E1">
        <w:rPr>
          <w:rFonts w:ascii="Arial" w:eastAsia="Times New Roman" w:hAnsi="Arial" w:cs="Arial"/>
          <w:sz w:val="18"/>
          <w:szCs w:val="18"/>
          <w:lang w:val="en" w:eastAsia="en-GB"/>
        </w:rPr>
        <w:t>, has been in place for at least the last [</w:t>
      </w:r>
      <w:r w:rsidR="00800B4D" w:rsidRPr="003516E1">
        <w:rPr>
          <w:rFonts w:ascii="Arial" w:eastAsia="Times New Roman" w:hAnsi="Arial" w:cs="Arial"/>
          <w:sz w:val="18"/>
          <w:szCs w:val="18"/>
          <w:highlight w:val="yellow"/>
          <w:lang w:val="en" w:eastAsia="en-GB"/>
        </w:rPr>
        <w:t>two</w:t>
      </w:r>
      <w:r w:rsidR="00800B4D" w:rsidRPr="003516E1">
        <w:rPr>
          <w:rFonts w:ascii="Arial" w:eastAsia="Times New Roman" w:hAnsi="Arial" w:cs="Arial"/>
          <w:sz w:val="18"/>
          <w:szCs w:val="18"/>
          <w:lang w:val="en" w:eastAsia="en-GB"/>
        </w:rPr>
        <w:t xml:space="preserve">] years without detection of [PATHOGEN X], and: </w:t>
      </w:r>
    </w:p>
    <w:p w14:paraId="1C0BADFC" w14:textId="77777777" w:rsidR="001D5EB7" w:rsidRDefault="001D5EB7">
      <w:pPr>
        <w:rPr>
          <w:u w:val="single"/>
        </w:rPr>
      </w:pPr>
      <w:r>
        <w:rPr>
          <w:u w:val="single"/>
        </w:rPr>
        <w:br w:type="page"/>
      </w:r>
    </w:p>
    <w:p w14:paraId="0ABA70E7" w14:textId="28855451" w:rsidR="00DB0A8D" w:rsidRDefault="00DB0A8D" w:rsidP="00DB0A8D">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sidR="001D5EB7">
        <w:rPr>
          <w:rFonts w:cs="Times New Roman"/>
          <w:bCs/>
          <w:iCs/>
          <w:szCs w:val="20"/>
          <w:u w:val="single"/>
        </w:rPr>
        <w:t>9</w:t>
      </w:r>
      <w:r w:rsidRPr="00DB0A8D">
        <w:rPr>
          <w:rFonts w:cs="Times New Roman"/>
          <w:bCs/>
          <w:iCs/>
          <w:szCs w:val="20"/>
        </w:rPr>
        <w:t xml:space="preserve"> (contd)</w:t>
      </w:r>
    </w:p>
    <w:p w14:paraId="0C740128" w14:textId="60EFD6CC" w:rsidR="00800B4D" w:rsidRPr="003E6AFD" w:rsidRDefault="00DB0A8D" w:rsidP="00DB0A8D">
      <w:pPr>
        <w:spacing w:after="240" w:line="240" w:lineRule="auto"/>
        <w:ind w:left="851" w:hanging="425"/>
        <w:jc w:val="both"/>
        <w:rPr>
          <w:rFonts w:ascii="Arial" w:eastAsia="Times New Roman" w:hAnsi="Arial" w:cs="Arial"/>
          <w:sz w:val="18"/>
          <w:szCs w:val="18"/>
          <w:lang w:val="en" w:eastAsia="en-GB"/>
        </w:rPr>
      </w:pPr>
      <w:r w:rsidRPr="003E6AFD">
        <w:rPr>
          <w:rFonts w:ascii="Arial" w:hAnsi="Arial" w:cs="Arial"/>
          <w:sz w:val="18"/>
          <w:szCs w:val="18"/>
        </w:rPr>
        <w:t>a)</w:t>
      </w:r>
      <w:r w:rsidRPr="003E6AFD">
        <w:rPr>
          <w:rFonts w:ascii="Arial" w:hAnsi="Arial" w:cs="Arial"/>
          <w:sz w:val="18"/>
          <w:szCs w:val="18"/>
        </w:rPr>
        <w:tab/>
      </w:r>
      <w:hyperlink r:id="rId71" w:anchor="terme_conditions_elementaires_de_securite_biologique" w:history="1">
        <w:r w:rsidR="00800B4D" w:rsidRPr="003E6AFD">
          <w:rPr>
            <w:rFonts w:ascii="Arial" w:eastAsia="Times New Roman" w:hAnsi="Arial" w:cs="Arial"/>
            <w:i/>
            <w:iCs/>
            <w:sz w:val="18"/>
            <w:szCs w:val="18"/>
            <w:lang w:val="en" w:eastAsia="en-GB"/>
          </w:rPr>
          <w:t>basic biosecurity conditions</w:t>
        </w:r>
      </w:hyperlink>
      <w:r w:rsidR="00800B4D" w:rsidRPr="003E6AFD">
        <w:rPr>
          <w:rFonts w:ascii="Arial" w:eastAsia="Times New Roman" w:hAnsi="Arial" w:cs="Arial"/>
          <w:sz w:val="18"/>
          <w:szCs w:val="18"/>
          <w:lang w:val="en" w:eastAsia="en-GB"/>
        </w:rPr>
        <w:t xml:space="preserve"> have been continuously met from at least [one] year prior to commencement of targeted surveillance;</w:t>
      </w:r>
    </w:p>
    <w:p w14:paraId="595D0E55" w14:textId="77777777" w:rsidR="00800B4D" w:rsidRPr="00DF0345" w:rsidRDefault="00800B4D" w:rsidP="000760A9">
      <w:pPr>
        <w:spacing w:after="240" w:line="240" w:lineRule="auto"/>
        <w:jc w:val="both"/>
        <w:rPr>
          <w:rFonts w:ascii="Arial" w:eastAsia="Times New Roman" w:hAnsi="Arial" w:cs="Arial"/>
          <w:sz w:val="18"/>
          <w:szCs w:val="18"/>
          <w:lang w:val="en" w:eastAsia="en-GB"/>
        </w:rPr>
      </w:pPr>
      <w:r w:rsidRPr="00DF0345">
        <w:rPr>
          <w:rFonts w:ascii="Arial" w:eastAsia="Times New Roman" w:hAnsi="Arial" w:cs="Arial"/>
          <w:sz w:val="18"/>
          <w:szCs w:val="18"/>
          <w:lang w:val="en" w:eastAsia="en-GB"/>
        </w:rPr>
        <w:t>OR</w:t>
      </w:r>
    </w:p>
    <w:p w14:paraId="61FBB290" w14:textId="0EAFBDFA" w:rsidR="00800B4D" w:rsidRPr="003E6AFD" w:rsidRDefault="00DB0A8D" w:rsidP="00DB0A8D">
      <w:pPr>
        <w:spacing w:after="240" w:line="240" w:lineRule="auto"/>
        <w:ind w:left="426" w:hanging="426"/>
        <w:jc w:val="both"/>
        <w:rPr>
          <w:rFonts w:ascii="Arial" w:eastAsia="Times New Roman" w:hAnsi="Arial" w:cs="Arial"/>
          <w:sz w:val="18"/>
          <w:szCs w:val="18"/>
          <w:lang w:val="en" w:eastAsia="en-GB"/>
        </w:rPr>
      </w:pPr>
      <w:r w:rsidRPr="003E6AFD">
        <w:rPr>
          <w:rFonts w:ascii="Arial" w:eastAsia="Times New Roman" w:hAnsi="Arial" w:cs="Arial"/>
          <w:sz w:val="18"/>
          <w:szCs w:val="18"/>
          <w:lang w:val="en" w:eastAsia="en-GB"/>
        </w:rPr>
        <w:t>4)</w:t>
      </w:r>
      <w:r w:rsidRPr="003E6AFD">
        <w:rPr>
          <w:rFonts w:ascii="Arial" w:eastAsia="Times New Roman" w:hAnsi="Arial" w:cs="Arial"/>
          <w:sz w:val="18"/>
          <w:szCs w:val="18"/>
          <w:lang w:val="en" w:eastAsia="en-GB"/>
        </w:rPr>
        <w:tab/>
      </w:r>
      <w:r w:rsidR="00800B4D" w:rsidRPr="003E6AFD">
        <w:rPr>
          <w:rFonts w:ascii="Arial" w:eastAsia="Times New Roman" w:hAnsi="Arial" w:cs="Arial"/>
          <w:sz w:val="18"/>
          <w:szCs w:val="18"/>
          <w:lang w:val="en" w:eastAsia="en-GB"/>
        </w:rPr>
        <w:t xml:space="preserve">it previously made a </w:t>
      </w:r>
      <w:hyperlink r:id="rId72" w:anchor="terme_auto_declaration_de_l_absence_de_maladie" w:history="1">
        <w:r w:rsidR="00800B4D" w:rsidRPr="003E6AFD">
          <w:rPr>
            <w:rFonts w:ascii="Arial" w:eastAsia="Times New Roman" w:hAnsi="Arial" w:cs="Arial"/>
            <w:i/>
            <w:iCs/>
            <w:sz w:val="18"/>
            <w:szCs w:val="18"/>
            <w:lang w:val="en" w:eastAsia="en-GB"/>
          </w:rPr>
          <w:t>self-declaration of freedom</w:t>
        </w:r>
      </w:hyperlink>
      <w:r w:rsidR="00800B4D" w:rsidRPr="003E6AFD">
        <w:rPr>
          <w:rFonts w:ascii="Arial" w:eastAsia="Times New Roman" w:hAnsi="Arial" w:cs="Arial"/>
          <w:sz w:val="18"/>
          <w:szCs w:val="18"/>
          <w:lang w:val="en" w:eastAsia="en-GB"/>
        </w:rPr>
        <w:t xml:space="preserve"> from infection with [PATHOGEN X] and subsequently lost its free status due to the detection of [PATHOGEN X] but the following conditions have been met:</w:t>
      </w:r>
    </w:p>
    <w:p w14:paraId="0FFE166E" w14:textId="09968BD4" w:rsidR="00800B4D" w:rsidRPr="00DF0345" w:rsidRDefault="00DB0A8D" w:rsidP="00DB0A8D">
      <w:pPr>
        <w:spacing w:after="240" w:line="240" w:lineRule="auto"/>
        <w:ind w:left="851" w:hanging="425"/>
        <w:jc w:val="both"/>
        <w:rPr>
          <w:rFonts w:ascii="Arial" w:eastAsia="Times New Roman" w:hAnsi="Arial" w:cs="Arial"/>
          <w:sz w:val="18"/>
          <w:szCs w:val="18"/>
          <w:lang w:val="en" w:eastAsia="en-GB"/>
        </w:rPr>
      </w:pPr>
      <w:r w:rsidRPr="003E6AFD">
        <w:rPr>
          <w:rFonts w:ascii="Arial" w:eastAsia="Times New Roman" w:hAnsi="Arial" w:cs="Arial"/>
          <w:sz w:val="18"/>
          <w:szCs w:val="18"/>
          <w:lang w:val="en" w:eastAsia="en-GB"/>
        </w:rPr>
        <w:t>a)</w:t>
      </w:r>
      <w:r w:rsidRPr="003E6AFD">
        <w:rPr>
          <w:rFonts w:ascii="Arial" w:eastAsia="Times New Roman" w:hAnsi="Arial" w:cs="Arial"/>
          <w:sz w:val="18"/>
          <w:szCs w:val="18"/>
          <w:lang w:val="en" w:eastAsia="en-GB"/>
        </w:rPr>
        <w:tab/>
      </w:r>
      <w:r w:rsidR="00800B4D" w:rsidRPr="003E6AFD">
        <w:rPr>
          <w:rFonts w:ascii="Arial" w:eastAsia="Times New Roman" w:hAnsi="Arial" w:cs="Arial"/>
          <w:sz w:val="18"/>
          <w:szCs w:val="18"/>
          <w:lang w:val="en" w:eastAsia="en-GB"/>
        </w:rPr>
        <w:t xml:space="preserve">on detection of [PATHOGEN X], the affected area was declared an </w:t>
      </w:r>
      <w:hyperlink r:id="rId73" w:anchor="terme_zone_infectee" w:history="1">
        <w:r w:rsidR="00800B4D" w:rsidRPr="003E6AFD">
          <w:rPr>
            <w:rFonts w:ascii="Arial" w:eastAsia="Times New Roman" w:hAnsi="Arial" w:cs="Arial"/>
            <w:i/>
            <w:iCs/>
            <w:sz w:val="18"/>
            <w:szCs w:val="18"/>
            <w:lang w:val="en" w:eastAsia="en-GB"/>
          </w:rPr>
          <w:t>infected zone</w:t>
        </w:r>
      </w:hyperlink>
      <w:r w:rsidR="00800B4D" w:rsidRPr="003E6AFD">
        <w:rPr>
          <w:rFonts w:ascii="Arial" w:eastAsia="Times New Roman" w:hAnsi="Arial" w:cs="Arial"/>
          <w:sz w:val="18"/>
          <w:szCs w:val="18"/>
          <w:lang w:val="en" w:eastAsia="en-GB"/>
        </w:rPr>
        <w:t xml:space="preserve"> and a </w:t>
      </w:r>
      <w:hyperlink r:id="rId74" w:anchor="terme_zone_de_protection" w:history="1">
        <w:r w:rsidR="00800B4D" w:rsidRPr="003E6AFD">
          <w:rPr>
            <w:rFonts w:ascii="Arial" w:eastAsia="Times New Roman" w:hAnsi="Arial" w:cs="Arial"/>
            <w:i/>
            <w:iCs/>
            <w:sz w:val="18"/>
            <w:szCs w:val="18"/>
            <w:lang w:val="en" w:eastAsia="en-GB"/>
          </w:rPr>
          <w:t>protection zone</w:t>
        </w:r>
      </w:hyperlink>
      <w:r w:rsidR="00800B4D" w:rsidRPr="003E6AFD">
        <w:rPr>
          <w:rFonts w:ascii="Arial" w:eastAsia="Times New Roman" w:hAnsi="Arial" w:cs="Arial"/>
          <w:sz w:val="18"/>
          <w:szCs w:val="18"/>
          <w:lang w:val="en" w:eastAsia="en-GB"/>
        </w:rPr>
        <w:t xml:space="preserve"> was established;</w:t>
      </w:r>
      <w:r w:rsidR="00800B4D" w:rsidRPr="00DF0345">
        <w:rPr>
          <w:rFonts w:ascii="Arial" w:eastAsia="Times New Roman" w:hAnsi="Arial" w:cs="Arial"/>
          <w:sz w:val="18"/>
          <w:szCs w:val="18"/>
          <w:lang w:val="en" w:eastAsia="en-GB"/>
        </w:rPr>
        <w:t xml:space="preserve"> and</w:t>
      </w:r>
    </w:p>
    <w:p w14:paraId="21AF44D1" w14:textId="179A66B5" w:rsidR="00800B4D" w:rsidRPr="003E6AFD" w:rsidRDefault="00DB0A8D" w:rsidP="00DB0A8D">
      <w:pPr>
        <w:spacing w:after="240" w:line="240" w:lineRule="auto"/>
        <w:ind w:left="851" w:hanging="425"/>
        <w:jc w:val="both"/>
        <w:rPr>
          <w:rFonts w:ascii="Arial" w:eastAsia="Times New Roman" w:hAnsi="Arial" w:cs="Arial"/>
          <w:sz w:val="18"/>
          <w:szCs w:val="18"/>
          <w:lang w:val="en" w:eastAsia="en-GB"/>
        </w:rPr>
      </w:pPr>
      <w:r w:rsidRPr="003E6AFD">
        <w:rPr>
          <w:rFonts w:ascii="Arial" w:eastAsia="Times New Roman" w:hAnsi="Arial" w:cs="Arial"/>
          <w:sz w:val="18"/>
          <w:szCs w:val="18"/>
          <w:lang w:val="en" w:eastAsia="en-GB"/>
        </w:rPr>
        <w:t>b)</w:t>
      </w:r>
      <w:r w:rsidRPr="003E6AFD">
        <w:rPr>
          <w:rFonts w:ascii="Arial" w:eastAsia="Times New Roman" w:hAnsi="Arial" w:cs="Arial"/>
          <w:sz w:val="18"/>
          <w:szCs w:val="18"/>
          <w:lang w:val="en" w:eastAsia="en-GB"/>
        </w:rPr>
        <w:tab/>
      </w:r>
      <w:r w:rsidR="00800B4D" w:rsidRPr="003E6AFD">
        <w:rPr>
          <w:rFonts w:ascii="Arial" w:eastAsia="Times New Roman" w:hAnsi="Arial" w:cs="Arial"/>
          <w:sz w:val="18"/>
          <w:szCs w:val="18"/>
          <w:lang w:val="en" w:eastAsia="en-GB"/>
        </w:rPr>
        <w:t xml:space="preserve">infected populations within the </w:t>
      </w:r>
      <w:hyperlink r:id="rId75" w:anchor="terme_zone_infectee" w:history="1">
        <w:r w:rsidR="00800B4D" w:rsidRPr="003E6AFD">
          <w:rPr>
            <w:rFonts w:ascii="Arial" w:eastAsia="Times New Roman" w:hAnsi="Arial" w:cs="Arial"/>
            <w:i/>
            <w:iCs/>
            <w:sz w:val="18"/>
            <w:szCs w:val="18"/>
            <w:lang w:val="en" w:eastAsia="en-GB"/>
          </w:rPr>
          <w:t>infected zone</w:t>
        </w:r>
      </w:hyperlink>
      <w:r w:rsidR="00800B4D" w:rsidRPr="003E6AFD">
        <w:rPr>
          <w:rFonts w:ascii="Arial" w:eastAsia="Times New Roman" w:hAnsi="Arial" w:cs="Arial"/>
          <w:sz w:val="18"/>
          <w:szCs w:val="18"/>
          <w:lang w:val="en" w:eastAsia="en-GB"/>
        </w:rPr>
        <w:t xml:space="preserve"> have been killed and disposed of by means that minimise the likelihood of further transmission of [PATHOGEN X], and the appropriate </w:t>
      </w:r>
      <w:hyperlink r:id="rId76" w:anchor="terme_desinfection" w:history="1">
        <w:r w:rsidR="00800B4D" w:rsidRPr="003E6AFD">
          <w:rPr>
            <w:rFonts w:ascii="Arial" w:eastAsia="Times New Roman" w:hAnsi="Arial" w:cs="Arial"/>
            <w:i/>
            <w:iCs/>
            <w:sz w:val="18"/>
            <w:szCs w:val="18"/>
            <w:lang w:val="en" w:eastAsia="en-GB"/>
          </w:rPr>
          <w:t>disinfection</w:t>
        </w:r>
      </w:hyperlink>
      <w:r w:rsidR="00800B4D" w:rsidRPr="003E6AFD">
        <w:rPr>
          <w:rFonts w:ascii="Arial" w:eastAsia="Times New Roman" w:hAnsi="Arial" w:cs="Arial"/>
          <w:sz w:val="18"/>
          <w:szCs w:val="18"/>
          <w:lang w:val="en" w:eastAsia="en-GB"/>
        </w:rPr>
        <w:t xml:space="preserve"> procedures (as described in Chapter </w:t>
      </w:r>
      <w:hyperlink r:id="rId77" w:anchor="chapitre_disinfection" w:history="1">
        <w:r w:rsidR="00800B4D" w:rsidRPr="003E6AFD">
          <w:rPr>
            <w:rFonts w:ascii="Arial" w:eastAsia="Times New Roman" w:hAnsi="Arial" w:cs="Arial"/>
            <w:sz w:val="18"/>
            <w:szCs w:val="18"/>
            <w:lang w:val="en" w:eastAsia="en-GB"/>
          </w:rPr>
          <w:t>4.3.</w:t>
        </w:r>
      </w:hyperlink>
      <w:r w:rsidR="00800B4D" w:rsidRPr="003E6AFD">
        <w:rPr>
          <w:rFonts w:ascii="Arial" w:eastAsia="Times New Roman" w:hAnsi="Arial" w:cs="Arial"/>
          <w:sz w:val="18"/>
          <w:szCs w:val="18"/>
          <w:lang w:val="en" w:eastAsia="en-GB"/>
        </w:rPr>
        <w:t>) have been completed; and</w:t>
      </w:r>
    </w:p>
    <w:p w14:paraId="5BEFCB02" w14:textId="4E8BF8EF" w:rsidR="00800B4D" w:rsidRPr="003E6AFD" w:rsidRDefault="00DB0A8D" w:rsidP="00DB0A8D">
      <w:pPr>
        <w:spacing w:after="240" w:line="240" w:lineRule="auto"/>
        <w:ind w:left="851" w:hanging="425"/>
        <w:jc w:val="both"/>
        <w:rPr>
          <w:rFonts w:ascii="Arial" w:eastAsia="Times New Roman" w:hAnsi="Arial" w:cs="Arial"/>
          <w:sz w:val="18"/>
          <w:szCs w:val="18"/>
          <w:lang w:val="en" w:eastAsia="en-GB"/>
        </w:rPr>
      </w:pPr>
      <w:r w:rsidRPr="003E6AFD">
        <w:rPr>
          <w:rFonts w:ascii="Arial" w:eastAsia="Times New Roman" w:hAnsi="Arial" w:cs="Arial"/>
          <w:sz w:val="18"/>
          <w:szCs w:val="18"/>
          <w:lang w:val="en" w:eastAsia="en-GB"/>
        </w:rPr>
        <w:t>c)</w:t>
      </w:r>
      <w:r w:rsidRPr="003E6AFD">
        <w:rPr>
          <w:rFonts w:ascii="Arial" w:eastAsia="Times New Roman" w:hAnsi="Arial" w:cs="Arial"/>
          <w:sz w:val="18"/>
          <w:szCs w:val="18"/>
          <w:lang w:val="en" w:eastAsia="en-GB"/>
        </w:rPr>
        <w:tab/>
      </w:r>
      <w:r w:rsidR="00800B4D" w:rsidRPr="003E6AFD">
        <w:rPr>
          <w:rFonts w:ascii="Arial" w:eastAsia="Times New Roman" w:hAnsi="Arial" w:cs="Arial"/>
          <w:sz w:val="18"/>
          <w:szCs w:val="18"/>
          <w:lang w:val="en" w:eastAsia="en-GB"/>
        </w:rPr>
        <w:t xml:space="preserve">previously existing </w:t>
      </w:r>
      <w:hyperlink r:id="rId78" w:anchor="terme_conditions_elementaires_de_securite_biologique" w:history="1">
        <w:r w:rsidR="00800B4D" w:rsidRPr="003E6AFD">
          <w:rPr>
            <w:rFonts w:ascii="Arial" w:eastAsia="Times New Roman" w:hAnsi="Arial" w:cs="Arial"/>
            <w:i/>
            <w:iCs/>
            <w:sz w:val="18"/>
            <w:szCs w:val="18"/>
            <w:lang w:val="en" w:eastAsia="en-GB"/>
          </w:rPr>
          <w:t>basic biosecurity conditions</w:t>
        </w:r>
      </w:hyperlink>
      <w:r w:rsidR="00800B4D" w:rsidRPr="003E6AFD">
        <w:rPr>
          <w:rFonts w:ascii="Arial" w:eastAsia="Times New Roman" w:hAnsi="Arial" w:cs="Arial"/>
          <w:sz w:val="18"/>
          <w:szCs w:val="18"/>
          <w:lang w:val="en" w:eastAsia="en-GB"/>
        </w:rPr>
        <w:t xml:space="preserve"> have been reviewed and modified as necessary and have continuously been in place since eradication of infection with [PATHOGEN X]; and</w:t>
      </w:r>
    </w:p>
    <w:p w14:paraId="194BF7B3" w14:textId="5F0E934F" w:rsidR="00800B4D" w:rsidRPr="003E6AFD" w:rsidRDefault="00DB0A8D" w:rsidP="00DB0A8D">
      <w:pPr>
        <w:spacing w:after="240" w:line="240" w:lineRule="auto"/>
        <w:ind w:left="851" w:hanging="425"/>
        <w:jc w:val="both"/>
        <w:rPr>
          <w:rFonts w:ascii="Arial" w:eastAsia="Times New Roman" w:hAnsi="Arial" w:cs="Arial"/>
          <w:sz w:val="18"/>
          <w:szCs w:val="18"/>
          <w:lang w:val="en" w:eastAsia="en-GB"/>
        </w:rPr>
      </w:pPr>
      <w:r w:rsidRPr="003E6AFD">
        <w:rPr>
          <w:rFonts w:ascii="Arial" w:hAnsi="Arial" w:cs="Arial"/>
          <w:sz w:val="18"/>
          <w:szCs w:val="18"/>
        </w:rPr>
        <w:t>d)</w:t>
      </w:r>
      <w:r w:rsidRPr="003E6AFD">
        <w:rPr>
          <w:rFonts w:ascii="Arial" w:hAnsi="Arial" w:cs="Arial"/>
          <w:sz w:val="18"/>
          <w:szCs w:val="18"/>
        </w:rPr>
        <w:tab/>
      </w:r>
      <w:hyperlink r:id="rId79" w:anchor="terme_surveillance_specifique" w:history="1">
        <w:r w:rsidR="00800B4D" w:rsidRPr="003E6AFD">
          <w:rPr>
            <w:rFonts w:ascii="Arial" w:eastAsia="Times New Roman" w:hAnsi="Arial" w:cs="Arial"/>
            <w:i/>
            <w:iCs/>
            <w:sz w:val="18"/>
            <w:szCs w:val="18"/>
            <w:lang w:val="en" w:eastAsia="en-GB"/>
          </w:rPr>
          <w:t>targeted surveillance</w:t>
        </w:r>
      </w:hyperlink>
      <w:r w:rsidR="00800B4D" w:rsidRPr="003E6AFD">
        <w:rPr>
          <w:rFonts w:ascii="Arial" w:eastAsia="Times New Roman" w:hAnsi="Arial" w:cs="Arial"/>
          <w:sz w:val="18"/>
          <w:szCs w:val="18"/>
          <w:lang w:val="en" w:eastAsia="en-GB"/>
        </w:rPr>
        <w:t xml:space="preserve">, as described in Chapter </w:t>
      </w:r>
      <w:hyperlink r:id="rId80" w:anchor="chapitre_aqua_ani_surveillance" w:history="1">
        <w:r w:rsidR="00800B4D" w:rsidRPr="003E6AFD">
          <w:rPr>
            <w:rFonts w:ascii="Arial" w:eastAsia="Times New Roman" w:hAnsi="Arial" w:cs="Arial"/>
            <w:sz w:val="18"/>
            <w:szCs w:val="18"/>
            <w:lang w:val="en" w:eastAsia="en-GB"/>
          </w:rPr>
          <w:t>1.4.</w:t>
        </w:r>
      </w:hyperlink>
      <w:r w:rsidR="00800B4D" w:rsidRPr="003E6AFD">
        <w:rPr>
          <w:rFonts w:ascii="Arial" w:eastAsia="Times New Roman" w:hAnsi="Arial" w:cs="Arial"/>
          <w:sz w:val="18"/>
          <w:szCs w:val="18"/>
          <w:lang w:val="en" w:eastAsia="en-GB"/>
        </w:rPr>
        <w:t>, has been in place for i) at least the last [</w:t>
      </w:r>
      <w:r w:rsidR="00800B4D" w:rsidRPr="003E6AFD">
        <w:rPr>
          <w:rFonts w:ascii="Arial" w:eastAsia="Times New Roman" w:hAnsi="Arial" w:cs="Arial"/>
          <w:sz w:val="18"/>
          <w:szCs w:val="18"/>
          <w:highlight w:val="yellow"/>
          <w:lang w:val="en" w:eastAsia="en-GB"/>
        </w:rPr>
        <w:t>two</w:t>
      </w:r>
      <w:r w:rsidR="00800B4D" w:rsidRPr="003E6AFD">
        <w:rPr>
          <w:rFonts w:ascii="Arial" w:eastAsia="Times New Roman" w:hAnsi="Arial" w:cs="Arial"/>
          <w:sz w:val="18"/>
          <w:szCs w:val="18"/>
          <w:lang w:val="en" w:eastAsia="en-GB"/>
        </w:rPr>
        <w:t>] years without detection of [PATHOGEN X] or ii) at least the last [on</w:t>
      </w:r>
      <w:r w:rsidR="00800B4D" w:rsidRPr="00DF0345">
        <w:rPr>
          <w:rFonts w:ascii="Arial" w:eastAsia="Times New Roman" w:hAnsi="Arial" w:cs="Arial"/>
          <w:sz w:val="18"/>
          <w:szCs w:val="18"/>
          <w:lang w:val="en" w:eastAsia="en-GB"/>
        </w:rPr>
        <w:t xml:space="preserve">e] year without detection of [PATHOGEN X] if affected farms were not epidemiologically connected to wild populations of </w:t>
      </w:r>
      <w:r w:rsidR="00800B4D" w:rsidRPr="003E6AFD">
        <w:rPr>
          <w:rFonts w:ascii="Arial" w:eastAsia="Times New Roman" w:hAnsi="Arial" w:cs="Arial"/>
          <w:i/>
          <w:iCs/>
          <w:sz w:val="18"/>
          <w:szCs w:val="18"/>
          <w:lang w:val="en" w:eastAsia="en-GB"/>
        </w:rPr>
        <w:t>susceptible species</w:t>
      </w:r>
      <w:r w:rsidR="00800B4D" w:rsidRPr="003E6AFD">
        <w:rPr>
          <w:rFonts w:ascii="Arial" w:eastAsia="Times New Roman" w:hAnsi="Arial" w:cs="Arial"/>
          <w:sz w:val="18"/>
          <w:szCs w:val="18"/>
          <w:lang w:val="en" w:eastAsia="en-GB"/>
        </w:rPr>
        <w:t>.</w:t>
      </w:r>
    </w:p>
    <w:p w14:paraId="126A5E0E" w14:textId="77777777" w:rsidR="00800B4D" w:rsidRPr="003E6AFD" w:rsidRDefault="00800B4D" w:rsidP="00DB0A8D">
      <w:pPr>
        <w:spacing w:after="240" w:line="240" w:lineRule="auto"/>
        <w:ind w:left="426"/>
        <w:jc w:val="both"/>
        <w:rPr>
          <w:rFonts w:ascii="Arial" w:eastAsia="Times New Roman" w:hAnsi="Arial" w:cs="Arial"/>
          <w:sz w:val="18"/>
          <w:szCs w:val="18"/>
          <w:lang w:val="en" w:eastAsia="en-GB"/>
        </w:rPr>
      </w:pPr>
      <w:r w:rsidRPr="003E6AFD">
        <w:rPr>
          <w:rFonts w:ascii="Arial" w:eastAsia="Times New Roman" w:hAnsi="Arial" w:cs="Arial"/>
          <w:sz w:val="18"/>
          <w:szCs w:val="18"/>
          <w:lang w:val="en" w:eastAsia="en-GB"/>
        </w:rPr>
        <w:t xml:space="preserve">In the meantime, part or all of the country, apart from the </w:t>
      </w:r>
      <w:r w:rsidRPr="003E6AFD">
        <w:rPr>
          <w:rFonts w:ascii="Arial" w:eastAsia="Times New Roman" w:hAnsi="Arial" w:cs="Arial"/>
          <w:i/>
          <w:iCs/>
          <w:sz w:val="18"/>
          <w:szCs w:val="18"/>
          <w:lang w:val="en" w:eastAsia="en-GB"/>
        </w:rPr>
        <w:t xml:space="preserve">infected </w:t>
      </w:r>
      <w:r w:rsidRPr="003E6AFD">
        <w:rPr>
          <w:rFonts w:ascii="Arial" w:eastAsia="Times New Roman" w:hAnsi="Arial" w:cs="Arial"/>
          <w:sz w:val="18"/>
          <w:szCs w:val="18"/>
          <w:lang w:val="en" w:eastAsia="en-GB"/>
        </w:rPr>
        <w:t xml:space="preserve">and </w:t>
      </w:r>
      <w:r w:rsidRPr="003E6AFD">
        <w:rPr>
          <w:rFonts w:ascii="Arial" w:eastAsia="Times New Roman" w:hAnsi="Arial" w:cs="Arial"/>
          <w:i/>
          <w:iCs/>
          <w:sz w:val="18"/>
          <w:szCs w:val="18"/>
          <w:lang w:val="en" w:eastAsia="en-GB"/>
        </w:rPr>
        <w:t>protection zones,</w:t>
      </w:r>
      <w:r w:rsidRPr="003E6AFD">
        <w:rPr>
          <w:rFonts w:ascii="Arial" w:eastAsia="Times New Roman" w:hAnsi="Arial" w:cs="Arial"/>
          <w:sz w:val="18"/>
          <w:szCs w:val="18"/>
          <w:lang w:val="en" w:eastAsia="en-GB"/>
        </w:rPr>
        <w:t xml:space="preserve"> may be declared a free </w:t>
      </w:r>
      <w:hyperlink r:id="rId81" w:anchor="terme_zone" w:history="1">
        <w:r w:rsidRPr="003E6AFD">
          <w:rPr>
            <w:rFonts w:ascii="Arial" w:eastAsia="Times New Roman" w:hAnsi="Arial" w:cs="Arial"/>
            <w:i/>
            <w:iCs/>
            <w:sz w:val="18"/>
            <w:szCs w:val="18"/>
            <w:lang w:val="en" w:eastAsia="en-GB"/>
          </w:rPr>
          <w:t>zone</w:t>
        </w:r>
      </w:hyperlink>
      <w:r w:rsidRPr="003E6AFD">
        <w:rPr>
          <w:rFonts w:ascii="Arial" w:eastAsia="Times New Roman" w:hAnsi="Arial" w:cs="Arial"/>
          <w:sz w:val="18"/>
          <w:szCs w:val="18"/>
          <w:lang w:val="en" w:eastAsia="en-GB"/>
        </w:rPr>
        <w:t xml:space="preserve"> provided that such a part meets the conditions in point 2 of Article </w:t>
      </w:r>
      <w:hyperlink r:id="rId82" w:anchor="article_vhs.5." w:history="1">
        <w:r w:rsidRPr="003E6AFD">
          <w:rPr>
            <w:rFonts w:ascii="Arial" w:eastAsia="Times New Roman" w:hAnsi="Arial" w:cs="Arial"/>
            <w:sz w:val="18"/>
            <w:szCs w:val="18"/>
            <w:lang w:val="en" w:eastAsia="en-GB"/>
          </w:rPr>
          <w:t>X.X.6.</w:t>
        </w:r>
      </w:hyperlink>
    </w:p>
    <w:p w14:paraId="2753A860" w14:textId="77777777" w:rsidR="00800B4D" w:rsidRPr="00DB0A8D" w:rsidRDefault="00800B4D" w:rsidP="00DB0A8D">
      <w:pPr>
        <w:spacing w:after="240" w:line="240" w:lineRule="auto"/>
        <w:jc w:val="center"/>
        <w:rPr>
          <w:rFonts w:ascii="Ottawa" w:eastAsia="Times New Roman" w:hAnsi="Ottawa" w:cs="Arial"/>
          <w:sz w:val="18"/>
          <w:szCs w:val="18"/>
          <w:lang w:val="en" w:eastAsia="en-GB"/>
        </w:rPr>
      </w:pPr>
      <w:r w:rsidRPr="00DB0A8D">
        <w:rPr>
          <w:rFonts w:ascii="Ottawa" w:eastAsia="Times New Roman" w:hAnsi="Ottawa" w:cs="Arial"/>
          <w:sz w:val="18"/>
          <w:szCs w:val="18"/>
          <w:lang w:val="en" w:eastAsia="en-GB"/>
        </w:rPr>
        <w:t>Article X.X.6.</w:t>
      </w:r>
    </w:p>
    <w:p w14:paraId="4F6F379A" w14:textId="6256FAC6" w:rsidR="00800B4D" w:rsidRPr="00DB0A8D" w:rsidRDefault="00800B4D" w:rsidP="000760A9">
      <w:pPr>
        <w:spacing w:after="240" w:line="240" w:lineRule="auto"/>
        <w:ind w:right="1088"/>
        <w:jc w:val="both"/>
        <w:rPr>
          <w:rFonts w:eastAsia="Times New Roman" w:cs="Times New Roman"/>
          <w:i/>
          <w:szCs w:val="20"/>
          <w:lang w:val="en" w:eastAsia="en-GB"/>
        </w:rPr>
      </w:pPr>
      <w:r w:rsidRPr="00DB0A8D">
        <w:rPr>
          <w:rFonts w:eastAsia="Times New Roman" w:cs="Times New Roman"/>
          <w:i/>
          <w:szCs w:val="20"/>
          <w:lang w:val="en" w:eastAsia="en-GB"/>
        </w:rPr>
        <w:t xml:space="preserve">[Note: new article for zone freedom modified from existing </w:t>
      </w:r>
      <w:r w:rsidR="003E6AFD">
        <w:rPr>
          <w:rFonts w:eastAsia="Times New Roman" w:cs="Times New Roman"/>
          <w:i/>
          <w:szCs w:val="20"/>
          <w:lang w:val="en" w:eastAsia="en-GB"/>
        </w:rPr>
        <w:t>A</w:t>
      </w:r>
      <w:r w:rsidRPr="00DB0A8D">
        <w:rPr>
          <w:rFonts w:eastAsia="Times New Roman" w:cs="Times New Roman"/>
          <w:i/>
          <w:szCs w:val="20"/>
          <w:lang w:val="en" w:eastAsia="en-GB"/>
        </w:rPr>
        <w:t>rticle X.X.5</w:t>
      </w:r>
      <w:r w:rsidR="003E6AFD">
        <w:rPr>
          <w:rFonts w:eastAsia="Times New Roman" w:cs="Times New Roman"/>
          <w:i/>
          <w:szCs w:val="20"/>
          <w:lang w:val="en" w:eastAsia="en-GB"/>
        </w:rPr>
        <w:t>.</w:t>
      </w:r>
      <w:r w:rsidRPr="00DB0A8D">
        <w:rPr>
          <w:rFonts w:eastAsia="Times New Roman" w:cs="Times New Roman"/>
          <w:i/>
          <w:szCs w:val="20"/>
          <w:lang w:val="en" w:eastAsia="en-GB"/>
        </w:rPr>
        <w:t>]</w:t>
      </w:r>
    </w:p>
    <w:p w14:paraId="78B4E8C8" w14:textId="77777777" w:rsidR="00800B4D" w:rsidRPr="00DB0A8D" w:rsidRDefault="00800B4D" w:rsidP="000760A9">
      <w:pPr>
        <w:spacing w:after="240" w:line="240" w:lineRule="auto"/>
        <w:jc w:val="both"/>
        <w:rPr>
          <w:rFonts w:ascii="Ottawa" w:eastAsia="Times New Roman" w:hAnsi="Ottawa" w:cs="Arial"/>
          <w:b/>
          <w:sz w:val="18"/>
          <w:szCs w:val="18"/>
          <w:lang w:val="en" w:eastAsia="en-GB"/>
        </w:rPr>
      </w:pPr>
      <w:r w:rsidRPr="00DB0A8D">
        <w:rPr>
          <w:rFonts w:ascii="Ottawa" w:eastAsia="Times New Roman" w:hAnsi="Ottawa" w:cs="Arial"/>
          <w:b/>
          <w:sz w:val="18"/>
          <w:szCs w:val="18"/>
          <w:lang w:val="en" w:eastAsia="en-GB"/>
        </w:rPr>
        <w:t xml:space="preserve">Zone free from infection with [PATHOGEN X] </w:t>
      </w:r>
    </w:p>
    <w:p w14:paraId="4F5338B1" w14:textId="77777777" w:rsidR="00800B4D" w:rsidRPr="00DB0A8D" w:rsidRDefault="00800B4D" w:rsidP="000760A9">
      <w:pPr>
        <w:spacing w:after="240" w:line="240" w:lineRule="auto"/>
        <w:jc w:val="both"/>
        <w:rPr>
          <w:rFonts w:ascii="Arial" w:eastAsia="Times New Roman" w:hAnsi="Arial" w:cs="Arial"/>
          <w:sz w:val="18"/>
          <w:szCs w:val="18"/>
          <w:lang w:val="en" w:eastAsia="en-GB"/>
        </w:rPr>
      </w:pPr>
      <w:r w:rsidRPr="00DB0A8D">
        <w:rPr>
          <w:rFonts w:ascii="Arial" w:eastAsia="Times New Roman" w:hAnsi="Arial" w:cs="Arial"/>
          <w:sz w:val="18"/>
          <w:szCs w:val="18"/>
          <w:lang w:val="en" w:eastAsia="en-GB"/>
        </w:rPr>
        <w:t xml:space="preserve">If a </w:t>
      </w:r>
      <w:hyperlink r:id="rId83" w:anchor="terme_zone" w:history="1">
        <w:r w:rsidRPr="00DB0A8D">
          <w:rPr>
            <w:rFonts w:ascii="Arial" w:eastAsia="Times New Roman" w:hAnsi="Arial" w:cs="Arial"/>
            <w:i/>
            <w:iCs/>
            <w:sz w:val="18"/>
            <w:szCs w:val="18"/>
            <w:lang w:val="en" w:eastAsia="en-GB"/>
          </w:rPr>
          <w:t>zone</w:t>
        </w:r>
      </w:hyperlink>
      <w:r w:rsidRPr="00DB0A8D">
        <w:rPr>
          <w:rFonts w:ascii="Arial" w:eastAsia="Times New Roman" w:hAnsi="Arial" w:cs="Arial"/>
          <w:sz w:val="18"/>
          <w:szCs w:val="18"/>
          <w:lang w:val="en" w:eastAsia="en-GB"/>
        </w:rPr>
        <w:t xml:space="preserve"> extends over the </w:t>
      </w:r>
      <w:r w:rsidRPr="00DB0A8D">
        <w:rPr>
          <w:rFonts w:ascii="Arial" w:eastAsia="Times New Roman" w:hAnsi="Arial" w:cs="Arial"/>
          <w:i/>
          <w:sz w:val="18"/>
          <w:szCs w:val="18"/>
          <w:lang w:val="en" w:eastAsia="en-GB"/>
        </w:rPr>
        <w:t>territory</w:t>
      </w:r>
      <w:r w:rsidRPr="00DB0A8D">
        <w:rPr>
          <w:rFonts w:ascii="Arial" w:eastAsia="Times New Roman" w:hAnsi="Arial" w:cs="Arial"/>
          <w:sz w:val="18"/>
          <w:szCs w:val="18"/>
          <w:lang w:val="en" w:eastAsia="en-GB"/>
        </w:rPr>
        <w:t xml:space="preserve"> of more than one country, it can only be declared a </w:t>
      </w:r>
      <w:hyperlink r:id="rId84" w:anchor="terme_zone" w:history="1">
        <w:r w:rsidRPr="00DB0A8D">
          <w:rPr>
            <w:rFonts w:ascii="Arial" w:eastAsia="Times New Roman" w:hAnsi="Arial" w:cs="Arial"/>
            <w:i/>
            <w:iCs/>
            <w:sz w:val="18"/>
            <w:szCs w:val="18"/>
            <w:lang w:val="en" w:eastAsia="en-GB"/>
          </w:rPr>
          <w:t>zone</w:t>
        </w:r>
      </w:hyperlink>
      <w:r w:rsidRPr="00DB0A8D">
        <w:rPr>
          <w:rFonts w:ascii="Arial" w:eastAsia="Times New Roman" w:hAnsi="Arial" w:cs="Arial"/>
          <w:sz w:val="18"/>
          <w:szCs w:val="18"/>
          <w:lang w:val="en" w:eastAsia="en-GB"/>
        </w:rPr>
        <w:t xml:space="preserve"> free from infection with [PATHOGEN X] if all of the relevant </w:t>
      </w:r>
      <w:hyperlink r:id="rId85" w:anchor="terme_autorite_competente" w:history="1">
        <w:r w:rsidRPr="00DB0A8D">
          <w:rPr>
            <w:rFonts w:ascii="Arial" w:eastAsia="Times New Roman" w:hAnsi="Arial" w:cs="Arial"/>
            <w:i/>
            <w:iCs/>
            <w:sz w:val="18"/>
            <w:szCs w:val="18"/>
            <w:lang w:val="en" w:eastAsia="en-GB"/>
          </w:rPr>
          <w:t>Competent Authorities</w:t>
        </w:r>
      </w:hyperlink>
      <w:r w:rsidRPr="00DB0A8D">
        <w:rPr>
          <w:rFonts w:ascii="Arial" w:eastAsia="Times New Roman" w:hAnsi="Arial" w:cs="Arial"/>
          <w:sz w:val="18"/>
          <w:szCs w:val="18"/>
          <w:lang w:val="en" w:eastAsia="en-GB"/>
        </w:rPr>
        <w:t xml:space="preserve"> confirm that all relevant conditions have been met.</w:t>
      </w:r>
    </w:p>
    <w:p w14:paraId="46B2B7D7" w14:textId="77777777" w:rsidR="00800B4D" w:rsidRPr="00DB0A8D" w:rsidRDefault="00800B4D" w:rsidP="000760A9">
      <w:pPr>
        <w:spacing w:after="240" w:line="240" w:lineRule="auto"/>
        <w:jc w:val="both"/>
        <w:rPr>
          <w:rFonts w:ascii="Arial" w:eastAsia="Times New Roman" w:hAnsi="Arial" w:cs="Arial"/>
          <w:sz w:val="18"/>
          <w:szCs w:val="18"/>
          <w:lang w:val="en" w:eastAsia="en-GB"/>
        </w:rPr>
      </w:pPr>
      <w:r w:rsidRPr="00DB0A8D">
        <w:rPr>
          <w:rFonts w:ascii="Arial" w:eastAsia="Times New Roman" w:hAnsi="Arial" w:cs="Arial"/>
          <w:sz w:val="18"/>
          <w:szCs w:val="18"/>
          <w:lang w:val="en" w:eastAsia="en-GB"/>
        </w:rPr>
        <w:t xml:space="preserve">As described in Article </w:t>
      </w:r>
      <w:hyperlink r:id="rId86" w:anchor="article_aqua_ani_surveillance.6." w:history="1">
        <w:r w:rsidRPr="00DB0A8D">
          <w:rPr>
            <w:rFonts w:ascii="Arial" w:eastAsia="Times New Roman" w:hAnsi="Arial" w:cs="Arial"/>
            <w:sz w:val="18"/>
            <w:szCs w:val="18"/>
            <w:lang w:val="en" w:eastAsia="en-GB"/>
          </w:rPr>
          <w:t>1.4.X.</w:t>
        </w:r>
      </w:hyperlink>
      <w:r w:rsidRPr="00DB0A8D">
        <w:rPr>
          <w:rFonts w:ascii="Arial" w:eastAsia="Times New Roman" w:hAnsi="Arial" w:cs="Arial"/>
          <w:sz w:val="18"/>
          <w:szCs w:val="18"/>
          <w:lang w:val="en" w:eastAsia="en-GB"/>
        </w:rPr>
        <w:t xml:space="preserve">, a Member Country may make a </w:t>
      </w:r>
      <w:r w:rsidRPr="00DB0A8D">
        <w:rPr>
          <w:rFonts w:ascii="Arial" w:eastAsia="Times New Roman" w:hAnsi="Arial" w:cs="Arial"/>
          <w:i/>
          <w:sz w:val="18"/>
          <w:szCs w:val="18"/>
          <w:lang w:val="en" w:eastAsia="en-GB"/>
        </w:rPr>
        <w:t>self-declaration of freedom</w:t>
      </w:r>
      <w:r w:rsidRPr="00DB0A8D">
        <w:rPr>
          <w:rFonts w:ascii="Arial" w:eastAsia="Times New Roman" w:hAnsi="Arial" w:cs="Arial"/>
          <w:sz w:val="18"/>
          <w:szCs w:val="18"/>
          <w:lang w:val="en" w:eastAsia="en-GB"/>
        </w:rPr>
        <w:t xml:space="preserve"> from infection with [PATHOGEN X] for a </w:t>
      </w:r>
      <w:hyperlink r:id="rId87" w:anchor="terme_zone" w:history="1">
        <w:r w:rsidRPr="00DB0A8D">
          <w:rPr>
            <w:rFonts w:ascii="Arial" w:eastAsia="Times New Roman" w:hAnsi="Arial" w:cs="Arial"/>
            <w:i/>
            <w:iCs/>
            <w:sz w:val="18"/>
            <w:szCs w:val="18"/>
            <w:lang w:val="en" w:eastAsia="en-GB"/>
          </w:rPr>
          <w:t>zone</w:t>
        </w:r>
      </w:hyperlink>
      <w:r w:rsidRPr="00DB0A8D">
        <w:rPr>
          <w:rFonts w:ascii="Arial" w:eastAsia="Times New Roman" w:hAnsi="Arial" w:cs="Arial"/>
          <w:sz w:val="18"/>
          <w:szCs w:val="18"/>
          <w:lang w:val="en" w:eastAsia="en-GB"/>
        </w:rPr>
        <w:t xml:space="preserve"> within its </w:t>
      </w:r>
      <w:hyperlink r:id="rId88" w:anchor="terme_territoire" w:history="1">
        <w:r w:rsidRPr="00DB0A8D">
          <w:rPr>
            <w:rFonts w:ascii="Arial" w:eastAsia="Times New Roman" w:hAnsi="Arial" w:cs="Arial"/>
            <w:i/>
            <w:iCs/>
            <w:sz w:val="18"/>
            <w:szCs w:val="18"/>
            <w:lang w:val="en" w:eastAsia="en-GB"/>
          </w:rPr>
          <w:t>territory</w:t>
        </w:r>
      </w:hyperlink>
      <w:r w:rsidRPr="00DB0A8D">
        <w:rPr>
          <w:rFonts w:ascii="Arial" w:eastAsia="Times New Roman" w:hAnsi="Arial" w:cs="Arial"/>
          <w:sz w:val="18"/>
          <w:szCs w:val="18"/>
          <w:lang w:val="en" w:eastAsia="en-GB"/>
        </w:rPr>
        <w:t xml:space="preserve"> if:</w:t>
      </w:r>
    </w:p>
    <w:p w14:paraId="51438F44" w14:textId="51BAB129" w:rsidR="00800B4D" w:rsidRPr="00DB0A8D" w:rsidRDefault="00DB0A8D" w:rsidP="00DB0A8D">
      <w:pPr>
        <w:spacing w:after="240" w:line="240" w:lineRule="auto"/>
        <w:ind w:left="426" w:hanging="426"/>
        <w:jc w:val="both"/>
        <w:rPr>
          <w:rFonts w:ascii="Arial" w:eastAsia="Times New Roman" w:hAnsi="Arial" w:cs="Arial"/>
          <w:sz w:val="18"/>
          <w:szCs w:val="18"/>
          <w:lang w:val="en" w:eastAsia="en-GB"/>
        </w:rPr>
      </w:pPr>
      <w:r>
        <w:rPr>
          <w:rFonts w:ascii="Arial" w:eastAsia="Times New Roman" w:hAnsi="Arial" w:cs="Arial"/>
          <w:sz w:val="18"/>
          <w:szCs w:val="18"/>
          <w:lang w:val="en" w:eastAsia="en-GB"/>
        </w:rPr>
        <w:t>1)</w:t>
      </w:r>
      <w:r>
        <w:rPr>
          <w:rFonts w:ascii="Arial" w:eastAsia="Times New Roman" w:hAnsi="Arial" w:cs="Arial"/>
          <w:sz w:val="18"/>
          <w:szCs w:val="18"/>
          <w:lang w:val="en" w:eastAsia="en-GB"/>
        </w:rPr>
        <w:tab/>
      </w:r>
      <w:r w:rsidR="00800B4D" w:rsidRPr="00DB0A8D">
        <w:rPr>
          <w:rFonts w:ascii="Arial" w:eastAsia="Times New Roman" w:hAnsi="Arial" w:cs="Arial"/>
          <w:sz w:val="18"/>
          <w:szCs w:val="18"/>
          <w:lang w:val="en" w:eastAsia="en-GB"/>
        </w:rPr>
        <w:t xml:space="preserve">none of the </w:t>
      </w:r>
      <w:hyperlink r:id="rId89" w:anchor="terme_espece_sensible" w:history="1">
        <w:r w:rsidR="00800B4D" w:rsidRPr="003E6AFD">
          <w:rPr>
            <w:rFonts w:ascii="Arial" w:eastAsia="Times New Roman" w:hAnsi="Arial" w:cs="Arial"/>
            <w:i/>
            <w:iCs/>
            <w:sz w:val="18"/>
            <w:szCs w:val="18"/>
            <w:lang w:val="en" w:eastAsia="en-GB"/>
          </w:rPr>
          <w:t>susceptible species</w:t>
        </w:r>
      </w:hyperlink>
      <w:r w:rsidR="00800B4D" w:rsidRPr="00DB0A8D">
        <w:rPr>
          <w:rFonts w:ascii="Arial" w:eastAsia="Times New Roman" w:hAnsi="Arial" w:cs="Arial"/>
          <w:sz w:val="18"/>
          <w:szCs w:val="18"/>
          <w:lang w:val="en" w:eastAsia="en-GB"/>
        </w:rPr>
        <w:t xml:space="preserve"> referred to in Article </w:t>
      </w:r>
      <w:hyperlink r:id="rId90" w:anchor="article_ihn.2." w:history="1">
        <w:r w:rsidR="00800B4D" w:rsidRPr="00DB0A8D">
          <w:rPr>
            <w:rFonts w:ascii="Arial" w:eastAsia="Times New Roman" w:hAnsi="Arial" w:cs="Arial"/>
            <w:sz w:val="18"/>
            <w:szCs w:val="18"/>
            <w:lang w:val="en" w:eastAsia="en-GB"/>
          </w:rPr>
          <w:t>10.6.2.</w:t>
        </w:r>
      </w:hyperlink>
      <w:r w:rsidR="00800B4D" w:rsidRPr="00DB0A8D">
        <w:rPr>
          <w:rFonts w:ascii="Arial" w:eastAsia="Times New Roman" w:hAnsi="Arial" w:cs="Arial"/>
          <w:sz w:val="18"/>
          <w:szCs w:val="18"/>
          <w:lang w:val="en" w:eastAsia="en-GB"/>
        </w:rPr>
        <w:t xml:space="preserve"> are present and </w:t>
      </w:r>
      <w:hyperlink r:id="rId91" w:anchor="terme_conditions_elementaires_de_securite_biologique" w:history="1">
        <w:r w:rsidR="00800B4D" w:rsidRPr="003E6AFD">
          <w:rPr>
            <w:rFonts w:ascii="Arial" w:eastAsia="Times New Roman" w:hAnsi="Arial" w:cs="Arial"/>
            <w:i/>
            <w:iCs/>
            <w:sz w:val="18"/>
            <w:szCs w:val="18"/>
            <w:lang w:val="en" w:eastAsia="en-GB"/>
          </w:rPr>
          <w:t>basic biosecurity conditions</w:t>
        </w:r>
      </w:hyperlink>
      <w:r w:rsidR="00800B4D" w:rsidRPr="00DB0A8D">
        <w:rPr>
          <w:rFonts w:ascii="Arial" w:eastAsia="Times New Roman" w:hAnsi="Arial" w:cs="Arial"/>
          <w:sz w:val="18"/>
          <w:szCs w:val="18"/>
          <w:lang w:val="en" w:eastAsia="en-GB"/>
        </w:rPr>
        <w:t xml:space="preserve"> have been continuously met for at least the last [</w:t>
      </w:r>
      <w:r w:rsidR="00800B4D" w:rsidRPr="00DB0A8D">
        <w:rPr>
          <w:rFonts w:ascii="Arial" w:eastAsia="Times New Roman" w:hAnsi="Arial" w:cs="Arial"/>
          <w:sz w:val="18"/>
          <w:szCs w:val="18"/>
          <w:highlight w:val="yellow"/>
          <w:lang w:val="en" w:eastAsia="en-GB"/>
        </w:rPr>
        <w:t>two</w:t>
      </w:r>
      <w:r w:rsidR="00800B4D" w:rsidRPr="00DB0A8D">
        <w:rPr>
          <w:rFonts w:ascii="Arial" w:eastAsia="Times New Roman" w:hAnsi="Arial" w:cs="Arial"/>
          <w:sz w:val="18"/>
          <w:szCs w:val="18"/>
          <w:lang w:val="en" w:eastAsia="en-GB"/>
        </w:rPr>
        <w:t>] years;</w:t>
      </w:r>
    </w:p>
    <w:p w14:paraId="27DC0D94" w14:textId="77777777" w:rsidR="00800B4D" w:rsidRPr="00DB0A8D" w:rsidRDefault="00800B4D" w:rsidP="000760A9">
      <w:pPr>
        <w:spacing w:after="240" w:line="240" w:lineRule="auto"/>
        <w:jc w:val="both"/>
        <w:rPr>
          <w:rFonts w:ascii="Arial" w:eastAsia="Times New Roman" w:hAnsi="Arial" w:cs="Arial"/>
          <w:sz w:val="18"/>
          <w:szCs w:val="18"/>
          <w:lang w:val="en" w:eastAsia="en-GB"/>
        </w:rPr>
      </w:pPr>
      <w:r w:rsidRPr="00DB0A8D">
        <w:rPr>
          <w:rFonts w:ascii="Arial" w:eastAsia="Times New Roman" w:hAnsi="Arial" w:cs="Arial"/>
          <w:sz w:val="18"/>
          <w:szCs w:val="18"/>
          <w:lang w:val="en" w:eastAsia="en-GB"/>
        </w:rPr>
        <w:t>OR</w:t>
      </w:r>
    </w:p>
    <w:p w14:paraId="4001B37E" w14:textId="1E30BB6F" w:rsidR="00800B4D" w:rsidRPr="00DB0A8D" w:rsidRDefault="00DB0A8D" w:rsidP="00DB0A8D">
      <w:pPr>
        <w:spacing w:after="240" w:line="240" w:lineRule="auto"/>
        <w:ind w:left="426" w:hanging="426"/>
        <w:jc w:val="both"/>
        <w:rPr>
          <w:rFonts w:ascii="Arial" w:eastAsia="Times New Roman" w:hAnsi="Arial" w:cs="Arial"/>
          <w:sz w:val="18"/>
          <w:szCs w:val="18"/>
          <w:lang w:val="en" w:eastAsia="en-GB"/>
        </w:rPr>
      </w:pPr>
      <w:r>
        <w:rPr>
          <w:rFonts w:ascii="Arial" w:eastAsia="Times New Roman" w:hAnsi="Arial" w:cs="Arial"/>
          <w:sz w:val="18"/>
          <w:szCs w:val="18"/>
          <w:lang w:val="en" w:eastAsia="en-GB"/>
        </w:rPr>
        <w:t>2)</w:t>
      </w:r>
      <w:r>
        <w:rPr>
          <w:rFonts w:ascii="Arial" w:eastAsia="Times New Roman" w:hAnsi="Arial" w:cs="Arial"/>
          <w:sz w:val="18"/>
          <w:szCs w:val="18"/>
          <w:lang w:val="en" w:eastAsia="en-GB"/>
        </w:rPr>
        <w:tab/>
      </w:r>
      <w:r w:rsidR="00800B4D" w:rsidRPr="00DB0A8D">
        <w:rPr>
          <w:rFonts w:ascii="Arial" w:eastAsia="Times New Roman" w:hAnsi="Arial" w:cs="Arial"/>
          <w:sz w:val="18"/>
          <w:szCs w:val="18"/>
          <w:lang w:val="en" w:eastAsia="en-GB"/>
        </w:rPr>
        <w:t>there has been no occurrence of infection with [PATHOGEN X] for at least the last [</w:t>
      </w:r>
      <w:r w:rsidR="00800B4D" w:rsidRPr="00DB0A8D">
        <w:rPr>
          <w:rFonts w:ascii="Arial" w:eastAsia="Times New Roman" w:hAnsi="Arial" w:cs="Arial"/>
          <w:sz w:val="18"/>
          <w:szCs w:val="18"/>
          <w:highlight w:val="yellow"/>
          <w:lang w:val="en" w:eastAsia="en-GB"/>
        </w:rPr>
        <w:t>ten</w:t>
      </w:r>
      <w:r w:rsidR="00800B4D" w:rsidRPr="00DB0A8D">
        <w:rPr>
          <w:rFonts w:ascii="Arial" w:eastAsia="Times New Roman" w:hAnsi="Arial" w:cs="Arial"/>
          <w:sz w:val="18"/>
          <w:szCs w:val="18"/>
          <w:lang w:val="en" w:eastAsia="en-GB"/>
        </w:rPr>
        <w:t>] years, and;</w:t>
      </w:r>
    </w:p>
    <w:p w14:paraId="1C4FC29D" w14:textId="6830F78C" w:rsidR="00800B4D" w:rsidRPr="00DB0A8D" w:rsidRDefault="00DB0A8D" w:rsidP="00DB0A8D">
      <w:pPr>
        <w:spacing w:after="240" w:line="240" w:lineRule="auto"/>
        <w:ind w:left="851" w:hanging="425"/>
        <w:jc w:val="both"/>
        <w:rPr>
          <w:rFonts w:ascii="Arial" w:eastAsia="Times New Roman" w:hAnsi="Arial" w:cs="Arial"/>
          <w:sz w:val="18"/>
          <w:szCs w:val="18"/>
          <w:lang w:val="en" w:eastAsia="en-GB"/>
        </w:rPr>
      </w:pPr>
      <w:r>
        <w:rPr>
          <w:rFonts w:ascii="Arial" w:eastAsia="Times New Roman" w:hAnsi="Arial" w:cs="Arial"/>
          <w:sz w:val="18"/>
          <w:szCs w:val="18"/>
          <w:lang w:val="en" w:eastAsia="en-GB"/>
        </w:rPr>
        <w:t>a)</w:t>
      </w:r>
      <w:r>
        <w:rPr>
          <w:rFonts w:ascii="Arial" w:eastAsia="Times New Roman" w:hAnsi="Arial" w:cs="Arial"/>
          <w:sz w:val="18"/>
          <w:szCs w:val="18"/>
          <w:lang w:val="en" w:eastAsia="en-GB"/>
        </w:rPr>
        <w:tab/>
      </w:r>
      <w:r w:rsidR="00800B4D" w:rsidRPr="00DB0A8D">
        <w:rPr>
          <w:rFonts w:ascii="Arial" w:eastAsia="Times New Roman" w:hAnsi="Arial" w:cs="Arial"/>
          <w:sz w:val="18"/>
          <w:szCs w:val="18"/>
          <w:lang w:val="en" w:eastAsia="en-GB"/>
        </w:rPr>
        <w:t xml:space="preserve">the Member Country can demonstrate that conditions are conducive to the clinical expression of infection with [PATHOGEN X], as described in the corresponding chapter of the </w:t>
      </w:r>
      <w:hyperlink r:id="rId92" w:anchor="terme_manuel_aquatique" w:history="1">
        <w:r w:rsidR="00800B4D" w:rsidRPr="00DB0A8D">
          <w:rPr>
            <w:rFonts w:ascii="Arial" w:eastAsia="Times New Roman" w:hAnsi="Arial" w:cs="Arial"/>
            <w:i/>
            <w:iCs/>
            <w:sz w:val="18"/>
            <w:szCs w:val="18"/>
            <w:lang w:val="en" w:eastAsia="en-GB"/>
          </w:rPr>
          <w:t>Aquatic Manual</w:t>
        </w:r>
      </w:hyperlink>
      <w:r w:rsidR="00800B4D" w:rsidRPr="00DB0A8D">
        <w:rPr>
          <w:rFonts w:ascii="Arial" w:eastAsia="Times New Roman" w:hAnsi="Arial" w:cs="Arial"/>
          <w:sz w:val="18"/>
          <w:szCs w:val="18"/>
          <w:lang w:val="en" w:eastAsia="en-GB"/>
        </w:rPr>
        <w:t xml:space="preserve">; and </w:t>
      </w:r>
    </w:p>
    <w:p w14:paraId="3AE9D2B5" w14:textId="556BBCD2" w:rsidR="00800B4D" w:rsidRPr="00DB0A8D" w:rsidRDefault="00DB0A8D" w:rsidP="00DB0A8D">
      <w:pPr>
        <w:spacing w:after="240" w:line="240" w:lineRule="auto"/>
        <w:ind w:left="851" w:hanging="425"/>
        <w:jc w:val="both"/>
        <w:rPr>
          <w:rFonts w:ascii="Arial" w:eastAsia="Times New Roman" w:hAnsi="Arial" w:cs="Arial"/>
          <w:sz w:val="18"/>
          <w:szCs w:val="18"/>
          <w:lang w:val="en" w:eastAsia="en-GB"/>
        </w:rPr>
      </w:pPr>
      <w:r>
        <w:rPr>
          <w:rFonts w:ascii="Arial" w:hAnsi="Arial" w:cs="Arial"/>
          <w:sz w:val="18"/>
          <w:szCs w:val="18"/>
        </w:rPr>
        <w:t>b)</w:t>
      </w:r>
      <w:r>
        <w:rPr>
          <w:rFonts w:ascii="Arial" w:hAnsi="Arial" w:cs="Arial"/>
          <w:sz w:val="18"/>
          <w:szCs w:val="18"/>
        </w:rPr>
        <w:tab/>
      </w:r>
      <w:hyperlink r:id="rId93" w:anchor="terme_conditions_elementaires_de_securite_biologique" w:history="1">
        <w:r w:rsidR="00800B4D" w:rsidRPr="00DB0A8D">
          <w:rPr>
            <w:rFonts w:ascii="Arial" w:eastAsia="Times New Roman" w:hAnsi="Arial" w:cs="Arial"/>
            <w:i/>
            <w:iCs/>
            <w:sz w:val="18"/>
            <w:szCs w:val="18"/>
            <w:lang w:val="en" w:eastAsia="en-GB"/>
          </w:rPr>
          <w:t>basic biosecurity conditions</w:t>
        </w:r>
      </w:hyperlink>
      <w:r w:rsidR="00800B4D" w:rsidRPr="00DB0A8D">
        <w:rPr>
          <w:rFonts w:ascii="Arial" w:eastAsia="Times New Roman" w:hAnsi="Arial" w:cs="Arial"/>
          <w:i/>
          <w:iCs/>
          <w:sz w:val="18"/>
          <w:szCs w:val="18"/>
          <w:lang w:val="en" w:eastAsia="en-GB"/>
        </w:rPr>
        <w:t xml:space="preserve"> </w:t>
      </w:r>
      <w:r w:rsidR="00800B4D" w:rsidRPr="00DB0A8D">
        <w:rPr>
          <w:rFonts w:ascii="Arial" w:eastAsia="Times New Roman" w:hAnsi="Arial" w:cs="Arial"/>
          <w:iCs/>
          <w:sz w:val="18"/>
          <w:szCs w:val="18"/>
          <w:lang w:val="en" w:eastAsia="en-GB"/>
        </w:rPr>
        <w:t>as described in Chapter 1.4.</w:t>
      </w:r>
      <w:r w:rsidR="00800B4D" w:rsidRPr="00DB0A8D">
        <w:rPr>
          <w:rFonts w:ascii="Arial" w:eastAsia="Times New Roman" w:hAnsi="Arial" w:cs="Arial"/>
          <w:sz w:val="18"/>
          <w:szCs w:val="18"/>
          <w:lang w:val="en" w:eastAsia="en-GB"/>
        </w:rPr>
        <w:t xml:space="preserve"> have been continuously met for the </w:t>
      </w:r>
      <w:hyperlink r:id="rId94" w:anchor="terme_zone" w:history="1">
        <w:r w:rsidR="00800B4D" w:rsidRPr="00DB0A8D">
          <w:rPr>
            <w:rFonts w:ascii="Arial" w:eastAsia="Times New Roman" w:hAnsi="Arial" w:cs="Arial"/>
            <w:i/>
            <w:iCs/>
            <w:sz w:val="18"/>
            <w:szCs w:val="18"/>
            <w:lang w:val="en" w:eastAsia="en-GB"/>
          </w:rPr>
          <w:t>zone</w:t>
        </w:r>
      </w:hyperlink>
      <w:r w:rsidR="00800B4D" w:rsidRPr="00DB0A8D">
        <w:rPr>
          <w:rFonts w:ascii="Arial" w:eastAsia="Times New Roman" w:hAnsi="Arial" w:cs="Arial"/>
          <w:sz w:val="18"/>
          <w:szCs w:val="18"/>
          <w:lang w:val="en" w:eastAsia="en-GB"/>
        </w:rPr>
        <w:t xml:space="preserve"> for at least the last [</w:t>
      </w:r>
      <w:r w:rsidR="00800B4D" w:rsidRPr="00DB0A8D">
        <w:rPr>
          <w:rFonts w:ascii="Arial" w:eastAsia="Times New Roman" w:hAnsi="Arial" w:cs="Arial"/>
          <w:sz w:val="18"/>
          <w:szCs w:val="18"/>
          <w:highlight w:val="yellow"/>
          <w:lang w:val="en" w:eastAsia="en-GB"/>
        </w:rPr>
        <w:t>ten</w:t>
      </w:r>
      <w:r w:rsidR="00800B4D" w:rsidRPr="00DB0A8D">
        <w:rPr>
          <w:rFonts w:ascii="Arial" w:eastAsia="Times New Roman" w:hAnsi="Arial" w:cs="Arial"/>
          <w:sz w:val="18"/>
          <w:szCs w:val="18"/>
          <w:lang w:val="en" w:eastAsia="en-GB"/>
        </w:rPr>
        <w:t>] years;</w:t>
      </w:r>
    </w:p>
    <w:p w14:paraId="37454325" w14:textId="77777777" w:rsidR="00800B4D" w:rsidRPr="00DB0A8D" w:rsidRDefault="00800B4D" w:rsidP="000760A9">
      <w:pPr>
        <w:spacing w:after="240" w:line="240" w:lineRule="auto"/>
        <w:jc w:val="both"/>
        <w:rPr>
          <w:rFonts w:ascii="Arial" w:eastAsia="Times New Roman" w:hAnsi="Arial" w:cs="Arial"/>
          <w:sz w:val="18"/>
          <w:szCs w:val="18"/>
          <w:lang w:val="en" w:eastAsia="en-GB"/>
        </w:rPr>
      </w:pPr>
      <w:r w:rsidRPr="00DB0A8D">
        <w:rPr>
          <w:rFonts w:ascii="Arial" w:eastAsia="Times New Roman" w:hAnsi="Arial" w:cs="Arial"/>
          <w:sz w:val="18"/>
          <w:szCs w:val="18"/>
          <w:lang w:val="en" w:eastAsia="en-GB"/>
        </w:rPr>
        <w:t>OR</w:t>
      </w:r>
    </w:p>
    <w:p w14:paraId="772DB0AA" w14:textId="20D96794" w:rsidR="00800B4D" w:rsidRPr="00DB0A8D" w:rsidRDefault="00DB0A8D" w:rsidP="00DB0A8D">
      <w:pPr>
        <w:spacing w:after="240" w:line="240" w:lineRule="auto"/>
        <w:ind w:left="426" w:hanging="426"/>
        <w:jc w:val="both"/>
        <w:rPr>
          <w:rFonts w:ascii="Arial" w:eastAsia="Times New Roman" w:hAnsi="Arial" w:cs="Arial"/>
          <w:sz w:val="18"/>
          <w:szCs w:val="18"/>
          <w:lang w:val="en" w:eastAsia="en-GB"/>
        </w:rPr>
      </w:pPr>
      <w:r>
        <w:rPr>
          <w:rFonts w:ascii="Arial" w:eastAsia="Times New Roman" w:hAnsi="Arial" w:cs="Arial"/>
          <w:sz w:val="18"/>
          <w:szCs w:val="18"/>
          <w:lang w:val="en" w:eastAsia="en-GB"/>
        </w:rPr>
        <w:t>3)</w:t>
      </w:r>
      <w:r>
        <w:rPr>
          <w:rFonts w:ascii="Arial" w:eastAsia="Times New Roman" w:hAnsi="Arial" w:cs="Arial"/>
          <w:sz w:val="18"/>
          <w:szCs w:val="18"/>
          <w:lang w:val="en" w:eastAsia="en-GB"/>
        </w:rPr>
        <w:tab/>
      </w:r>
      <w:hyperlink r:id="rId95" w:anchor="terme_surveillance_specifique" w:history="1">
        <w:r w:rsidR="00800B4D" w:rsidRPr="00DB0A8D">
          <w:rPr>
            <w:rFonts w:ascii="Arial" w:eastAsia="Times New Roman" w:hAnsi="Arial" w:cs="Arial"/>
            <w:i/>
            <w:iCs/>
            <w:sz w:val="18"/>
            <w:szCs w:val="18"/>
            <w:lang w:val="en" w:eastAsia="en-GB"/>
          </w:rPr>
          <w:t>targeted surveillance</w:t>
        </w:r>
      </w:hyperlink>
      <w:r w:rsidR="00800B4D" w:rsidRPr="00DB0A8D">
        <w:rPr>
          <w:rFonts w:ascii="Arial" w:eastAsia="Times New Roman" w:hAnsi="Arial" w:cs="Arial"/>
          <w:sz w:val="18"/>
          <w:szCs w:val="18"/>
          <w:lang w:val="en" w:eastAsia="en-GB"/>
        </w:rPr>
        <w:t xml:space="preserve">, as described in Chapter </w:t>
      </w:r>
      <w:hyperlink r:id="rId96" w:anchor="chapitre_aqua_ani_surveillance" w:history="1">
        <w:r w:rsidR="00800B4D" w:rsidRPr="00DB0A8D">
          <w:rPr>
            <w:rFonts w:ascii="Arial" w:eastAsia="Times New Roman" w:hAnsi="Arial" w:cs="Arial"/>
            <w:sz w:val="18"/>
            <w:szCs w:val="18"/>
            <w:lang w:val="en" w:eastAsia="en-GB"/>
          </w:rPr>
          <w:t>1.4.</w:t>
        </w:r>
      </w:hyperlink>
      <w:r w:rsidR="00800B4D" w:rsidRPr="00DB0A8D">
        <w:rPr>
          <w:rFonts w:ascii="Arial" w:eastAsia="Times New Roman" w:hAnsi="Arial" w:cs="Arial"/>
          <w:sz w:val="18"/>
          <w:szCs w:val="18"/>
          <w:lang w:val="en" w:eastAsia="en-GB"/>
        </w:rPr>
        <w:t xml:space="preserve">, has been in place in the </w:t>
      </w:r>
      <w:hyperlink r:id="rId97" w:anchor="terme_zone" w:history="1">
        <w:r w:rsidR="00800B4D" w:rsidRPr="00DB0A8D">
          <w:rPr>
            <w:rFonts w:ascii="Arial" w:eastAsia="Times New Roman" w:hAnsi="Arial" w:cs="Arial"/>
            <w:i/>
            <w:iCs/>
            <w:sz w:val="18"/>
            <w:szCs w:val="18"/>
            <w:lang w:val="en" w:eastAsia="en-GB"/>
          </w:rPr>
          <w:t>zone</w:t>
        </w:r>
      </w:hyperlink>
      <w:r w:rsidR="00800B4D" w:rsidRPr="00DB0A8D">
        <w:rPr>
          <w:rFonts w:ascii="Arial" w:eastAsia="Times New Roman" w:hAnsi="Arial" w:cs="Arial"/>
          <w:sz w:val="18"/>
          <w:szCs w:val="18"/>
          <w:lang w:val="en" w:eastAsia="en-GB"/>
        </w:rPr>
        <w:t xml:space="preserve"> for at least the last [</w:t>
      </w:r>
      <w:r w:rsidR="00800B4D" w:rsidRPr="00DB0A8D">
        <w:rPr>
          <w:rFonts w:ascii="Arial" w:eastAsia="Times New Roman" w:hAnsi="Arial" w:cs="Arial"/>
          <w:sz w:val="18"/>
          <w:szCs w:val="18"/>
          <w:highlight w:val="yellow"/>
          <w:lang w:val="en" w:eastAsia="en-GB"/>
        </w:rPr>
        <w:t>two</w:t>
      </w:r>
      <w:r w:rsidR="00800B4D" w:rsidRPr="00DB0A8D">
        <w:rPr>
          <w:rFonts w:ascii="Arial" w:eastAsia="Times New Roman" w:hAnsi="Arial" w:cs="Arial"/>
          <w:sz w:val="18"/>
          <w:szCs w:val="18"/>
          <w:lang w:val="en" w:eastAsia="en-GB"/>
        </w:rPr>
        <w:t>] years without detection of [PATHOGEN X], and:</w:t>
      </w:r>
    </w:p>
    <w:p w14:paraId="2EDF5BE0" w14:textId="21CCDEFF" w:rsidR="00800B4D" w:rsidRPr="00DB0A8D" w:rsidRDefault="00DB0A8D" w:rsidP="00DB0A8D">
      <w:pPr>
        <w:spacing w:after="240" w:line="240" w:lineRule="auto"/>
        <w:ind w:left="851" w:hanging="425"/>
        <w:jc w:val="both"/>
        <w:rPr>
          <w:rFonts w:ascii="Arial" w:eastAsia="Times New Roman" w:hAnsi="Arial" w:cs="Arial"/>
          <w:sz w:val="18"/>
          <w:szCs w:val="18"/>
          <w:lang w:val="en" w:eastAsia="en-GB"/>
        </w:rPr>
      </w:pPr>
      <w:r>
        <w:rPr>
          <w:rFonts w:ascii="Arial" w:hAnsi="Arial" w:cs="Arial"/>
          <w:sz w:val="18"/>
          <w:szCs w:val="18"/>
        </w:rPr>
        <w:t>a)</w:t>
      </w:r>
      <w:r>
        <w:rPr>
          <w:rFonts w:ascii="Arial" w:hAnsi="Arial" w:cs="Arial"/>
          <w:sz w:val="18"/>
          <w:szCs w:val="18"/>
        </w:rPr>
        <w:tab/>
      </w:r>
      <w:hyperlink r:id="rId98" w:anchor="terme_conditions_elementaires_de_securite_biologique" w:history="1">
        <w:r w:rsidR="00800B4D" w:rsidRPr="00DB0A8D">
          <w:rPr>
            <w:rFonts w:ascii="Arial" w:eastAsia="Times New Roman" w:hAnsi="Arial" w:cs="Arial"/>
            <w:i/>
            <w:iCs/>
            <w:sz w:val="18"/>
            <w:szCs w:val="18"/>
            <w:lang w:val="en" w:eastAsia="en-GB"/>
          </w:rPr>
          <w:t>basic biosecurity conditions</w:t>
        </w:r>
      </w:hyperlink>
      <w:r w:rsidR="00800B4D" w:rsidRPr="00DB0A8D">
        <w:rPr>
          <w:rFonts w:ascii="Arial" w:eastAsia="Times New Roman" w:hAnsi="Arial" w:cs="Arial"/>
          <w:sz w:val="18"/>
          <w:szCs w:val="18"/>
          <w:lang w:val="en" w:eastAsia="en-GB"/>
        </w:rPr>
        <w:t xml:space="preserve"> have been continuously met for at least [</w:t>
      </w:r>
      <w:r w:rsidR="00800B4D" w:rsidRPr="00DB0A8D">
        <w:rPr>
          <w:rFonts w:ascii="Arial" w:eastAsia="Times New Roman" w:hAnsi="Arial" w:cs="Arial"/>
          <w:sz w:val="18"/>
          <w:szCs w:val="18"/>
          <w:highlight w:val="yellow"/>
          <w:lang w:val="en" w:eastAsia="en-GB"/>
        </w:rPr>
        <w:t>one</w:t>
      </w:r>
      <w:r w:rsidR="00800B4D" w:rsidRPr="00DB0A8D">
        <w:rPr>
          <w:rFonts w:ascii="Arial" w:eastAsia="Times New Roman" w:hAnsi="Arial" w:cs="Arial"/>
          <w:sz w:val="18"/>
          <w:szCs w:val="18"/>
          <w:lang w:val="en" w:eastAsia="en-GB"/>
        </w:rPr>
        <w:t xml:space="preserve">] year prior to commencement of </w:t>
      </w:r>
      <w:r w:rsidR="00800B4D" w:rsidRPr="00DB0A8D">
        <w:rPr>
          <w:rFonts w:ascii="Arial" w:eastAsia="Times New Roman" w:hAnsi="Arial" w:cs="Arial"/>
          <w:i/>
          <w:sz w:val="18"/>
          <w:szCs w:val="18"/>
          <w:lang w:val="en" w:eastAsia="en-GB"/>
        </w:rPr>
        <w:t>targeted surveillance</w:t>
      </w:r>
      <w:r w:rsidR="00800B4D" w:rsidRPr="00DB0A8D">
        <w:rPr>
          <w:rFonts w:ascii="Arial" w:eastAsia="Times New Roman" w:hAnsi="Arial" w:cs="Arial"/>
          <w:sz w:val="18"/>
          <w:szCs w:val="18"/>
          <w:lang w:val="en" w:eastAsia="en-GB"/>
        </w:rPr>
        <w:t xml:space="preserve">; </w:t>
      </w:r>
    </w:p>
    <w:p w14:paraId="49D46C6D" w14:textId="77777777" w:rsidR="00800B4D" w:rsidRPr="00DB0A8D" w:rsidRDefault="00800B4D" w:rsidP="000760A9">
      <w:pPr>
        <w:spacing w:after="240" w:line="240" w:lineRule="auto"/>
        <w:ind w:firstLine="360"/>
        <w:jc w:val="both"/>
        <w:rPr>
          <w:rFonts w:ascii="Arial" w:eastAsia="Times New Roman" w:hAnsi="Arial" w:cs="Arial"/>
          <w:sz w:val="18"/>
          <w:szCs w:val="18"/>
          <w:lang w:val="en" w:eastAsia="en-GB"/>
        </w:rPr>
      </w:pPr>
      <w:r w:rsidRPr="00DB0A8D">
        <w:rPr>
          <w:rFonts w:ascii="Arial" w:eastAsia="Times New Roman" w:hAnsi="Arial" w:cs="Arial"/>
          <w:sz w:val="18"/>
          <w:szCs w:val="18"/>
          <w:lang w:val="en" w:eastAsia="en-GB"/>
        </w:rPr>
        <w:t>OR</w:t>
      </w:r>
    </w:p>
    <w:p w14:paraId="78DE5A87" w14:textId="77777777" w:rsidR="00DB0A8D" w:rsidRDefault="00DB0A8D">
      <w:pPr>
        <w:rPr>
          <w:u w:val="single"/>
          <w:lang w:val="en"/>
        </w:rPr>
      </w:pPr>
      <w:r>
        <w:rPr>
          <w:u w:val="single"/>
          <w:lang w:val="en"/>
        </w:rPr>
        <w:br w:type="page"/>
      </w:r>
    </w:p>
    <w:p w14:paraId="29558F24" w14:textId="223566E3" w:rsidR="00DB0A8D" w:rsidRDefault="00DB0A8D" w:rsidP="00DB0A8D">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sidR="00FC6CE0">
        <w:rPr>
          <w:rFonts w:cs="Times New Roman"/>
          <w:bCs/>
          <w:iCs/>
          <w:szCs w:val="20"/>
          <w:u w:val="single"/>
        </w:rPr>
        <w:t>9</w:t>
      </w:r>
      <w:r w:rsidR="00FC6CE0" w:rsidRPr="00796F38">
        <w:rPr>
          <w:rFonts w:cs="Times New Roman"/>
          <w:bCs/>
          <w:iCs/>
          <w:szCs w:val="20"/>
        </w:rPr>
        <w:t xml:space="preserve"> </w:t>
      </w:r>
      <w:r w:rsidRPr="00796F38">
        <w:rPr>
          <w:rFonts w:cs="Times New Roman"/>
          <w:bCs/>
          <w:iCs/>
          <w:szCs w:val="20"/>
        </w:rPr>
        <w:t>(</w:t>
      </w:r>
      <w:r w:rsidRPr="00DB0A8D">
        <w:rPr>
          <w:rFonts w:cs="Times New Roman"/>
          <w:bCs/>
          <w:iCs/>
          <w:szCs w:val="20"/>
        </w:rPr>
        <w:t>contd)</w:t>
      </w:r>
    </w:p>
    <w:p w14:paraId="75507972" w14:textId="0D310272" w:rsidR="00800B4D" w:rsidRPr="00DF0345" w:rsidRDefault="00DB0A8D" w:rsidP="00DB0A8D">
      <w:pPr>
        <w:spacing w:after="240" w:line="240" w:lineRule="auto"/>
        <w:ind w:left="426" w:hanging="426"/>
        <w:jc w:val="both"/>
        <w:rPr>
          <w:rFonts w:ascii="Arial" w:eastAsia="Times New Roman" w:hAnsi="Arial" w:cs="Arial"/>
          <w:sz w:val="18"/>
          <w:szCs w:val="18"/>
          <w:lang w:val="en" w:eastAsia="en-GB"/>
        </w:rPr>
      </w:pPr>
      <w:r w:rsidRPr="00DF0345">
        <w:rPr>
          <w:rFonts w:ascii="Arial" w:eastAsia="Times New Roman" w:hAnsi="Arial" w:cs="Arial"/>
          <w:sz w:val="18"/>
          <w:szCs w:val="18"/>
          <w:lang w:val="en" w:eastAsia="en-GB"/>
        </w:rPr>
        <w:t>4)</w:t>
      </w:r>
      <w:r w:rsidRPr="00DF0345">
        <w:rPr>
          <w:rFonts w:ascii="Arial" w:eastAsia="Times New Roman" w:hAnsi="Arial" w:cs="Arial"/>
          <w:sz w:val="18"/>
          <w:szCs w:val="18"/>
          <w:lang w:val="en" w:eastAsia="en-GB"/>
        </w:rPr>
        <w:tab/>
      </w:r>
      <w:r w:rsidR="00800B4D" w:rsidRPr="00DF0345">
        <w:rPr>
          <w:rFonts w:ascii="Arial" w:eastAsia="Times New Roman" w:hAnsi="Arial" w:cs="Arial"/>
          <w:sz w:val="18"/>
          <w:szCs w:val="18"/>
          <w:lang w:val="en" w:eastAsia="en-GB"/>
        </w:rPr>
        <w:t xml:space="preserve">it previously made a </w:t>
      </w:r>
      <w:hyperlink r:id="rId99" w:anchor="terme_auto_declaration_de_l_absence_de_maladie" w:history="1">
        <w:r w:rsidR="00800B4D" w:rsidRPr="00DF0345">
          <w:rPr>
            <w:rFonts w:ascii="Arial" w:eastAsia="Times New Roman" w:hAnsi="Arial" w:cs="Arial"/>
            <w:i/>
            <w:iCs/>
            <w:sz w:val="18"/>
            <w:szCs w:val="18"/>
            <w:lang w:val="en" w:eastAsia="en-GB"/>
          </w:rPr>
          <w:t>self-declaration of freedom</w:t>
        </w:r>
      </w:hyperlink>
      <w:r w:rsidR="00800B4D" w:rsidRPr="00DF0345">
        <w:rPr>
          <w:rFonts w:ascii="Arial" w:eastAsia="Times New Roman" w:hAnsi="Arial" w:cs="Arial"/>
          <w:sz w:val="18"/>
          <w:szCs w:val="18"/>
          <w:lang w:val="en" w:eastAsia="en-GB"/>
        </w:rPr>
        <w:t xml:space="preserve"> for a </w:t>
      </w:r>
      <w:hyperlink r:id="rId100" w:anchor="terme_zone" w:history="1">
        <w:r w:rsidR="00800B4D" w:rsidRPr="00DF0345">
          <w:rPr>
            <w:rFonts w:ascii="Arial" w:eastAsia="Times New Roman" w:hAnsi="Arial" w:cs="Arial"/>
            <w:i/>
            <w:iCs/>
            <w:sz w:val="18"/>
            <w:szCs w:val="18"/>
            <w:lang w:val="en" w:eastAsia="en-GB"/>
          </w:rPr>
          <w:t>zone</w:t>
        </w:r>
      </w:hyperlink>
      <w:r w:rsidR="00800B4D" w:rsidRPr="00DF0345">
        <w:rPr>
          <w:rFonts w:ascii="Arial" w:eastAsia="Times New Roman" w:hAnsi="Arial" w:cs="Arial"/>
          <w:sz w:val="18"/>
          <w:szCs w:val="18"/>
          <w:lang w:val="en" w:eastAsia="en-GB"/>
        </w:rPr>
        <w:t xml:space="preserve"> from infection with [PATHOGEN X] and subsequently lost its free status due to the detection of [PATHOGEN X] in the </w:t>
      </w:r>
      <w:hyperlink r:id="rId101" w:anchor="terme_zone" w:history="1">
        <w:r w:rsidR="00800B4D" w:rsidRPr="00DF0345">
          <w:rPr>
            <w:rFonts w:ascii="Arial" w:eastAsia="Times New Roman" w:hAnsi="Arial" w:cs="Arial"/>
            <w:i/>
            <w:iCs/>
            <w:sz w:val="18"/>
            <w:szCs w:val="18"/>
            <w:lang w:val="en" w:eastAsia="en-GB"/>
          </w:rPr>
          <w:t>zone</w:t>
        </w:r>
      </w:hyperlink>
      <w:r w:rsidR="00800B4D" w:rsidRPr="00DF0345">
        <w:rPr>
          <w:rFonts w:ascii="Arial" w:eastAsia="Times New Roman" w:hAnsi="Arial" w:cs="Arial"/>
          <w:sz w:val="18"/>
          <w:szCs w:val="18"/>
          <w:lang w:val="en" w:eastAsia="en-GB"/>
        </w:rPr>
        <w:t xml:space="preserve"> but the following conditions have been met:</w:t>
      </w:r>
    </w:p>
    <w:p w14:paraId="2B50012D" w14:textId="6E7AC346" w:rsidR="00800B4D" w:rsidRPr="00DF0345" w:rsidRDefault="00DB0A8D" w:rsidP="00DB0A8D">
      <w:pPr>
        <w:spacing w:after="240" w:line="240" w:lineRule="auto"/>
        <w:ind w:left="851" w:hanging="425"/>
        <w:jc w:val="both"/>
        <w:rPr>
          <w:rFonts w:ascii="Arial" w:eastAsia="Times New Roman" w:hAnsi="Arial" w:cs="Arial"/>
          <w:sz w:val="18"/>
          <w:szCs w:val="18"/>
          <w:lang w:val="en" w:eastAsia="en-GB"/>
        </w:rPr>
      </w:pPr>
      <w:r w:rsidRPr="00DF0345">
        <w:rPr>
          <w:rFonts w:ascii="Arial" w:eastAsia="Times New Roman" w:hAnsi="Arial" w:cs="Arial"/>
          <w:sz w:val="18"/>
          <w:szCs w:val="18"/>
          <w:lang w:val="en" w:eastAsia="en-GB"/>
        </w:rPr>
        <w:t>a)</w:t>
      </w:r>
      <w:r w:rsidRPr="00DF0345">
        <w:rPr>
          <w:rFonts w:ascii="Arial" w:eastAsia="Times New Roman" w:hAnsi="Arial" w:cs="Arial"/>
          <w:sz w:val="18"/>
          <w:szCs w:val="18"/>
          <w:lang w:val="en" w:eastAsia="en-GB"/>
        </w:rPr>
        <w:tab/>
      </w:r>
      <w:r w:rsidR="00800B4D" w:rsidRPr="00DF0345">
        <w:rPr>
          <w:rFonts w:ascii="Arial" w:eastAsia="Times New Roman" w:hAnsi="Arial" w:cs="Arial"/>
          <w:sz w:val="18"/>
          <w:szCs w:val="18"/>
          <w:lang w:val="en" w:eastAsia="en-GB"/>
        </w:rPr>
        <w:t xml:space="preserve">on detection of [PATHOGEN X], the affected area was declared an </w:t>
      </w:r>
      <w:hyperlink r:id="rId102" w:anchor="terme_zone_infectee" w:history="1">
        <w:r w:rsidR="00800B4D" w:rsidRPr="00DF0345">
          <w:rPr>
            <w:rFonts w:ascii="Arial" w:eastAsia="Times New Roman" w:hAnsi="Arial" w:cs="Arial"/>
            <w:i/>
            <w:iCs/>
            <w:sz w:val="18"/>
            <w:szCs w:val="18"/>
            <w:lang w:val="en" w:eastAsia="en-GB"/>
          </w:rPr>
          <w:t>infected zone</w:t>
        </w:r>
      </w:hyperlink>
      <w:r w:rsidR="00800B4D" w:rsidRPr="00DF0345">
        <w:rPr>
          <w:rFonts w:ascii="Arial" w:eastAsia="Times New Roman" w:hAnsi="Arial" w:cs="Arial"/>
          <w:sz w:val="18"/>
          <w:szCs w:val="18"/>
          <w:lang w:val="en" w:eastAsia="en-GB"/>
        </w:rPr>
        <w:t xml:space="preserve"> and a </w:t>
      </w:r>
      <w:hyperlink r:id="rId103" w:anchor="terme_zone_de_protection" w:history="1">
        <w:r w:rsidR="00800B4D" w:rsidRPr="00DF0345">
          <w:rPr>
            <w:rFonts w:ascii="Arial" w:eastAsia="Times New Roman" w:hAnsi="Arial" w:cs="Arial"/>
            <w:i/>
            <w:iCs/>
            <w:sz w:val="18"/>
            <w:szCs w:val="18"/>
            <w:lang w:val="en" w:eastAsia="en-GB"/>
          </w:rPr>
          <w:t>protection zone</w:t>
        </w:r>
      </w:hyperlink>
      <w:r w:rsidR="00800B4D" w:rsidRPr="00DF0345">
        <w:rPr>
          <w:rFonts w:ascii="Arial" w:eastAsia="Times New Roman" w:hAnsi="Arial" w:cs="Arial"/>
          <w:sz w:val="18"/>
          <w:szCs w:val="18"/>
          <w:lang w:val="en" w:eastAsia="en-GB"/>
        </w:rPr>
        <w:t xml:space="preserve"> was established; and</w:t>
      </w:r>
    </w:p>
    <w:p w14:paraId="3749F171" w14:textId="285B16DD" w:rsidR="00800B4D" w:rsidRPr="00DF0345" w:rsidRDefault="00DB0A8D" w:rsidP="00DB0A8D">
      <w:pPr>
        <w:spacing w:after="240" w:line="240" w:lineRule="auto"/>
        <w:ind w:left="851" w:hanging="425"/>
        <w:jc w:val="both"/>
        <w:rPr>
          <w:rFonts w:ascii="Arial" w:eastAsia="Times New Roman" w:hAnsi="Arial" w:cs="Arial"/>
          <w:sz w:val="18"/>
          <w:szCs w:val="18"/>
          <w:lang w:val="en" w:eastAsia="en-GB"/>
        </w:rPr>
      </w:pPr>
      <w:r w:rsidRPr="00DF0345">
        <w:rPr>
          <w:rFonts w:ascii="Arial" w:eastAsia="Times New Roman" w:hAnsi="Arial" w:cs="Arial"/>
          <w:sz w:val="18"/>
          <w:szCs w:val="18"/>
          <w:lang w:val="en" w:eastAsia="en-GB"/>
        </w:rPr>
        <w:t>b)</w:t>
      </w:r>
      <w:r w:rsidRPr="00DF0345">
        <w:rPr>
          <w:rFonts w:ascii="Arial" w:eastAsia="Times New Roman" w:hAnsi="Arial" w:cs="Arial"/>
          <w:sz w:val="18"/>
          <w:szCs w:val="18"/>
          <w:lang w:val="en" w:eastAsia="en-GB"/>
        </w:rPr>
        <w:tab/>
      </w:r>
      <w:r w:rsidR="00800B4D" w:rsidRPr="00DF0345">
        <w:rPr>
          <w:rFonts w:ascii="Arial" w:eastAsia="Times New Roman" w:hAnsi="Arial" w:cs="Arial"/>
          <w:sz w:val="18"/>
          <w:szCs w:val="18"/>
          <w:lang w:val="en" w:eastAsia="en-GB"/>
        </w:rPr>
        <w:t xml:space="preserve">infected populations within the </w:t>
      </w:r>
      <w:hyperlink r:id="rId104" w:anchor="terme_zone_infectee" w:history="1">
        <w:r w:rsidR="00800B4D" w:rsidRPr="00DF0345">
          <w:rPr>
            <w:rFonts w:ascii="Arial" w:eastAsia="Times New Roman" w:hAnsi="Arial" w:cs="Arial"/>
            <w:i/>
            <w:iCs/>
            <w:sz w:val="18"/>
            <w:szCs w:val="18"/>
            <w:lang w:val="en" w:eastAsia="en-GB"/>
          </w:rPr>
          <w:t>infected zone</w:t>
        </w:r>
      </w:hyperlink>
      <w:r w:rsidR="00800B4D" w:rsidRPr="00DF0345">
        <w:rPr>
          <w:rFonts w:ascii="Arial" w:eastAsia="Times New Roman" w:hAnsi="Arial" w:cs="Arial"/>
          <w:sz w:val="18"/>
          <w:szCs w:val="18"/>
          <w:lang w:val="en" w:eastAsia="en-GB"/>
        </w:rPr>
        <w:t xml:space="preserve"> have been killed and disposed of by means that minimise the likelihood of further transmission of [PATHOGEN X], and the appropriate </w:t>
      </w:r>
      <w:hyperlink r:id="rId105" w:anchor="terme_desinfection" w:history="1">
        <w:r w:rsidR="00800B4D" w:rsidRPr="00DF0345">
          <w:rPr>
            <w:rFonts w:ascii="Arial" w:eastAsia="Times New Roman" w:hAnsi="Arial" w:cs="Arial"/>
            <w:i/>
            <w:iCs/>
            <w:sz w:val="18"/>
            <w:szCs w:val="18"/>
            <w:lang w:val="en" w:eastAsia="en-GB"/>
          </w:rPr>
          <w:t>disinfection</w:t>
        </w:r>
      </w:hyperlink>
      <w:r w:rsidR="00800B4D" w:rsidRPr="00DF0345">
        <w:rPr>
          <w:rFonts w:ascii="Arial" w:eastAsia="Times New Roman" w:hAnsi="Arial" w:cs="Arial"/>
          <w:sz w:val="18"/>
          <w:szCs w:val="18"/>
          <w:lang w:val="en" w:eastAsia="en-GB"/>
        </w:rPr>
        <w:t xml:space="preserve"> procedures (as described in Chapter </w:t>
      </w:r>
      <w:hyperlink r:id="rId106" w:anchor="chapitre_disinfection" w:history="1">
        <w:r w:rsidR="00800B4D" w:rsidRPr="00DF0345">
          <w:rPr>
            <w:rFonts w:ascii="Arial" w:eastAsia="Times New Roman" w:hAnsi="Arial" w:cs="Arial"/>
            <w:sz w:val="18"/>
            <w:szCs w:val="18"/>
            <w:lang w:val="en" w:eastAsia="en-GB"/>
          </w:rPr>
          <w:t>4.3.</w:t>
        </w:r>
      </w:hyperlink>
      <w:r w:rsidR="00800B4D" w:rsidRPr="00DF0345">
        <w:rPr>
          <w:rFonts w:ascii="Arial" w:eastAsia="Times New Roman" w:hAnsi="Arial" w:cs="Arial"/>
          <w:sz w:val="18"/>
          <w:szCs w:val="18"/>
          <w:lang w:val="en" w:eastAsia="en-GB"/>
        </w:rPr>
        <w:t>) have been completed; and</w:t>
      </w:r>
    </w:p>
    <w:p w14:paraId="2AC04A94" w14:textId="1D0B6013" w:rsidR="00800B4D" w:rsidRPr="00DF0345" w:rsidRDefault="00DB0A8D" w:rsidP="00DB0A8D">
      <w:pPr>
        <w:spacing w:after="240" w:line="240" w:lineRule="auto"/>
        <w:ind w:left="851" w:hanging="425"/>
        <w:jc w:val="both"/>
        <w:rPr>
          <w:rFonts w:ascii="Arial" w:eastAsia="Times New Roman" w:hAnsi="Arial" w:cs="Arial"/>
          <w:sz w:val="18"/>
          <w:szCs w:val="18"/>
          <w:lang w:val="en" w:eastAsia="en-GB"/>
        </w:rPr>
      </w:pPr>
      <w:r w:rsidRPr="00DF0345">
        <w:rPr>
          <w:rFonts w:ascii="Arial" w:eastAsia="Times New Roman" w:hAnsi="Arial" w:cs="Arial"/>
          <w:sz w:val="18"/>
          <w:szCs w:val="18"/>
          <w:lang w:val="en" w:eastAsia="en-GB"/>
        </w:rPr>
        <w:t>c)</w:t>
      </w:r>
      <w:r w:rsidRPr="00DF0345">
        <w:rPr>
          <w:rFonts w:ascii="Arial" w:eastAsia="Times New Roman" w:hAnsi="Arial" w:cs="Arial"/>
          <w:sz w:val="18"/>
          <w:szCs w:val="18"/>
          <w:lang w:val="en" w:eastAsia="en-GB"/>
        </w:rPr>
        <w:tab/>
      </w:r>
      <w:r w:rsidR="00800B4D" w:rsidRPr="00DF0345">
        <w:rPr>
          <w:rFonts w:ascii="Arial" w:eastAsia="Times New Roman" w:hAnsi="Arial" w:cs="Arial"/>
          <w:sz w:val="18"/>
          <w:szCs w:val="18"/>
          <w:lang w:val="en" w:eastAsia="en-GB"/>
        </w:rPr>
        <w:t xml:space="preserve">previously existing </w:t>
      </w:r>
      <w:hyperlink r:id="rId107" w:anchor="terme_conditions_elementaires_de_securite_biologique" w:history="1">
        <w:r w:rsidR="00800B4D" w:rsidRPr="00DF0345">
          <w:rPr>
            <w:rFonts w:ascii="Arial" w:eastAsia="Times New Roman" w:hAnsi="Arial" w:cs="Arial"/>
            <w:i/>
            <w:iCs/>
            <w:sz w:val="18"/>
            <w:szCs w:val="18"/>
            <w:lang w:val="en" w:eastAsia="en-GB"/>
          </w:rPr>
          <w:t>basic biosecurity conditions</w:t>
        </w:r>
      </w:hyperlink>
      <w:r w:rsidR="00800B4D" w:rsidRPr="00DF0345">
        <w:rPr>
          <w:rFonts w:ascii="Arial" w:eastAsia="Times New Roman" w:hAnsi="Arial" w:cs="Arial"/>
          <w:sz w:val="18"/>
          <w:szCs w:val="18"/>
          <w:lang w:val="en" w:eastAsia="en-GB"/>
        </w:rPr>
        <w:t xml:space="preserve"> have been reviewed and modified as necessary and have continuously been in place since eradication of infection with [PATHOGEN X]; and</w:t>
      </w:r>
    </w:p>
    <w:p w14:paraId="2DF9D108" w14:textId="1B1CEB08" w:rsidR="00800B4D" w:rsidRPr="00DF0345" w:rsidRDefault="00DB0A8D" w:rsidP="00DB0A8D">
      <w:pPr>
        <w:spacing w:after="240" w:line="240" w:lineRule="auto"/>
        <w:ind w:left="851" w:hanging="425"/>
        <w:jc w:val="both"/>
        <w:rPr>
          <w:rFonts w:ascii="Arial" w:eastAsia="Times New Roman" w:hAnsi="Arial" w:cs="Arial"/>
          <w:sz w:val="18"/>
          <w:szCs w:val="18"/>
          <w:lang w:val="en" w:eastAsia="en-GB"/>
        </w:rPr>
      </w:pPr>
      <w:r w:rsidRPr="00DF0345">
        <w:rPr>
          <w:rFonts w:ascii="Arial" w:hAnsi="Arial" w:cs="Arial"/>
          <w:sz w:val="18"/>
          <w:szCs w:val="18"/>
        </w:rPr>
        <w:t>d)</w:t>
      </w:r>
      <w:r w:rsidRPr="00DF0345">
        <w:rPr>
          <w:rFonts w:ascii="Arial" w:hAnsi="Arial" w:cs="Arial"/>
          <w:sz w:val="18"/>
          <w:szCs w:val="18"/>
        </w:rPr>
        <w:tab/>
      </w:r>
      <w:hyperlink r:id="rId108" w:anchor="terme_surveillance_specifique" w:history="1">
        <w:r w:rsidR="00800B4D" w:rsidRPr="00DF0345">
          <w:rPr>
            <w:rFonts w:ascii="Arial" w:eastAsia="Times New Roman" w:hAnsi="Arial" w:cs="Arial"/>
            <w:i/>
            <w:iCs/>
            <w:sz w:val="18"/>
            <w:szCs w:val="18"/>
            <w:lang w:val="en" w:eastAsia="en-GB"/>
          </w:rPr>
          <w:t>targeted surveillance</w:t>
        </w:r>
      </w:hyperlink>
      <w:r w:rsidR="00800B4D" w:rsidRPr="00DF0345">
        <w:rPr>
          <w:rFonts w:ascii="Arial" w:eastAsia="Times New Roman" w:hAnsi="Arial" w:cs="Arial"/>
          <w:sz w:val="18"/>
          <w:szCs w:val="18"/>
          <w:lang w:val="en" w:eastAsia="en-GB"/>
        </w:rPr>
        <w:t xml:space="preserve">, as described in Chapter </w:t>
      </w:r>
      <w:hyperlink r:id="rId109" w:anchor="chapitre_aqua_ani_surveillance" w:history="1">
        <w:r w:rsidR="00800B4D" w:rsidRPr="00DF0345">
          <w:rPr>
            <w:rFonts w:ascii="Arial" w:eastAsia="Times New Roman" w:hAnsi="Arial" w:cs="Arial"/>
            <w:sz w:val="18"/>
            <w:szCs w:val="18"/>
            <w:lang w:val="en" w:eastAsia="en-GB"/>
          </w:rPr>
          <w:t>1.4.</w:t>
        </w:r>
      </w:hyperlink>
      <w:r w:rsidR="00800B4D" w:rsidRPr="00DF0345">
        <w:rPr>
          <w:rFonts w:ascii="Arial" w:eastAsia="Times New Roman" w:hAnsi="Arial" w:cs="Arial"/>
          <w:sz w:val="18"/>
          <w:szCs w:val="18"/>
          <w:lang w:val="en" w:eastAsia="en-GB"/>
        </w:rPr>
        <w:t>, has been in place for at least the last [</w:t>
      </w:r>
      <w:r w:rsidR="00800B4D" w:rsidRPr="00DF0345">
        <w:rPr>
          <w:rFonts w:ascii="Arial" w:eastAsia="Times New Roman" w:hAnsi="Arial" w:cs="Arial"/>
          <w:sz w:val="18"/>
          <w:szCs w:val="18"/>
          <w:highlight w:val="yellow"/>
          <w:lang w:val="en" w:eastAsia="en-GB"/>
        </w:rPr>
        <w:t>two</w:t>
      </w:r>
      <w:r w:rsidR="00800B4D" w:rsidRPr="00DF0345">
        <w:rPr>
          <w:rFonts w:ascii="Arial" w:eastAsia="Times New Roman" w:hAnsi="Arial" w:cs="Arial"/>
          <w:sz w:val="18"/>
          <w:szCs w:val="18"/>
          <w:lang w:val="en" w:eastAsia="en-GB"/>
        </w:rPr>
        <w:t>] years without detection of [PATHOGEN X].</w:t>
      </w:r>
    </w:p>
    <w:p w14:paraId="77F1BA6F" w14:textId="77777777" w:rsidR="00800B4D" w:rsidRPr="00DB0A8D" w:rsidRDefault="00800B4D" w:rsidP="00DB0A8D">
      <w:pPr>
        <w:spacing w:after="240" w:line="240" w:lineRule="auto"/>
        <w:jc w:val="center"/>
        <w:rPr>
          <w:rFonts w:ascii="Ottawa" w:eastAsia="Times New Roman" w:hAnsi="Ottawa" w:cs="Arial"/>
          <w:sz w:val="18"/>
          <w:szCs w:val="18"/>
          <w:lang w:val="en" w:eastAsia="en-GB"/>
        </w:rPr>
      </w:pPr>
      <w:r w:rsidRPr="00DB0A8D">
        <w:rPr>
          <w:rFonts w:ascii="Ottawa" w:eastAsia="Times New Roman" w:hAnsi="Ottawa" w:cs="Arial"/>
          <w:sz w:val="18"/>
          <w:szCs w:val="18"/>
          <w:lang w:val="en" w:eastAsia="en-GB"/>
        </w:rPr>
        <w:t>Article X.X.7.</w:t>
      </w:r>
    </w:p>
    <w:p w14:paraId="0F8A2120" w14:textId="77777777" w:rsidR="00800B4D" w:rsidRPr="00DB0A8D" w:rsidRDefault="00800B4D" w:rsidP="000760A9">
      <w:pPr>
        <w:spacing w:after="240" w:line="240" w:lineRule="auto"/>
        <w:ind w:right="1088"/>
        <w:jc w:val="both"/>
        <w:rPr>
          <w:rFonts w:eastAsia="Times New Roman" w:cs="Times New Roman"/>
          <w:i/>
          <w:szCs w:val="20"/>
          <w:lang w:val="en" w:eastAsia="en-GB"/>
        </w:rPr>
      </w:pPr>
      <w:r w:rsidRPr="00DB0A8D">
        <w:rPr>
          <w:rFonts w:eastAsia="Times New Roman" w:cs="Times New Roman"/>
          <w:i/>
          <w:szCs w:val="20"/>
          <w:lang w:val="en" w:eastAsia="en-GB"/>
        </w:rPr>
        <w:t>[Note: new article dedicated to compartments]</w:t>
      </w:r>
    </w:p>
    <w:p w14:paraId="41257236" w14:textId="4968FD52" w:rsidR="00800B4D" w:rsidRPr="00DB0A8D" w:rsidRDefault="00800B4D" w:rsidP="000760A9">
      <w:pPr>
        <w:spacing w:after="240" w:line="240" w:lineRule="auto"/>
        <w:ind w:right="1088"/>
        <w:jc w:val="both"/>
        <w:rPr>
          <w:rFonts w:ascii="Ottawa" w:eastAsia="Times New Roman" w:hAnsi="Ottawa" w:cs="Arial"/>
          <w:b/>
          <w:sz w:val="18"/>
          <w:szCs w:val="18"/>
          <w:lang w:val="en" w:eastAsia="en-GB"/>
        </w:rPr>
      </w:pPr>
      <w:r w:rsidRPr="00DB0A8D">
        <w:rPr>
          <w:rFonts w:ascii="Ottawa" w:eastAsia="Times New Roman" w:hAnsi="Ottawa" w:cs="Arial"/>
          <w:b/>
          <w:sz w:val="18"/>
          <w:szCs w:val="18"/>
          <w:lang w:val="en" w:eastAsia="en-GB"/>
        </w:rPr>
        <w:t>Compartment free from infection with [PATHOGEN X]</w:t>
      </w:r>
    </w:p>
    <w:p w14:paraId="549B5430" w14:textId="77777777" w:rsidR="00800B4D" w:rsidRPr="00DF0345" w:rsidRDefault="00800B4D" w:rsidP="000760A9">
      <w:pPr>
        <w:spacing w:after="240" w:line="240" w:lineRule="auto"/>
        <w:jc w:val="both"/>
        <w:rPr>
          <w:rFonts w:ascii="Arial" w:eastAsia="Times New Roman" w:hAnsi="Arial" w:cs="Arial"/>
          <w:strike/>
          <w:sz w:val="18"/>
          <w:szCs w:val="18"/>
          <w:lang w:val="en" w:eastAsia="en-GB"/>
        </w:rPr>
      </w:pPr>
      <w:r w:rsidRPr="00DF0345">
        <w:rPr>
          <w:rFonts w:ascii="Arial" w:eastAsia="Times New Roman" w:hAnsi="Arial" w:cs="Arial"/>
          <w:sz w:val="18"/>
          <w:szCs w:val="18"/>
          <w:lang w:val="en" w:eastAsia="en-GB"/>
        </w:rPr>
        <w:t xml:space="preserve">As described in Article </w:t>
      </w:r>
      <w:hyperlink r:id="rId110" w:anchor="article_aqua_ani_surveillance.6." w:history="1">
        <w:r w:rsidRPr="00DF0345">
          <w:rPr>
            <w:rFonts w:ascii="Arial" w:eastAsia="Times New Roman" w:hAnsi="Arial" w:cs="Arial"/>
            <w:sz w:val="18"/>
            <w:szCs w:val="18"/>
            <w:lang w:val="en" w:eastAsia="en-GB"/>
          </w:rPr>
          <w:t>1.4.X.</w:t>
        </w:r>
      </w:hyperlink>
      <w:r w:rsidRPr="00DF0345">
        <w:rPr>
          <w:rFonts w:ascii="Arial" w:eastAsia="Times New Roman" w:hAnsi="Arial" w:cs="Arial"/>
          <w:sz w:val="18"/>
          <w:szCs w:val="18"/>
          <w:lang w:val="en" w:eastAsia="en-GB"/>
        </w:rPr>
        <w:t xml:space="preserve">, a Member Country may make a </w:t>
      </w:r>
      <w:hyperlink r:id="rId111" w:anchor="terme_auto_declaration_de_l_absence_de_maladie" w:history="1">
        <w:r w:rsidRPr="00DF0345">
          <w:rPr>
            <w:rFonts w:ascii="Arial" w:eastAsia="Times New Roman" w:hAnsi="Arial" w:cs="Arial"/>
            <w:i/>
            <w:iCs/>
            <w:sz w:val="18"/>
            <w:szCs w:val="18"/>
            <w:lang w:val="en" w:eastAsia="en-GB"/>
          </w:rPr>
          <w:t>self-declaration of freedom</w:t>
        </w:r>
      </w:hyperlink>
      <w:r w:rsidRPr="00DF0345">
        <w:rPr>
          <w:rFonts w:ascii="Arial" w:eastAsia="Times New Roman" w:hAnsi="Arial" w:cs="Arial"/>
          <w:i/>
          <w:iCs/>
          <w:sz w:val="18"/>
          <w:szCs w:val="18"/>
          <w:lang w:val="en" w:eastAsia="en-GB"/>
        </w:rPr>
        <w:t xml:space="preserve"> </w:t>
      </w:r>
      <w:r w:rsidRPr="00DF0345">
        <w:rPr>
          <w:rFonts w:ascii="Arial" w:eastAsia="Times New Roman" w:hAnsi="Arial" w:cs="Arial"/>
          <w:sz w:val="18"/>
          <w:szCs w:val="18"/>
          <w:lang w:val="en" w:eastAsia="en-GB"/>
        </w:rPr>
        <w:t xml:space="preserve">from infection with [PATHOGEN X] </w:t>
      </w:r>
      <w:r w:rsidRPr="00DF0345">
        <w:rPr>
          <w:rFonts w:ascii="Arial" w:eastAsia="Times New Roman" w:hAnsi="Arial" w:cs="Arial"/>
          <w:iCs/>
          <w:sz w:val="18"/>
          <w:szCs w:val="18"/>
          <w:lang w:val="en" w:eastAsia="en-GB"/>
        </w:rPr>
        <w:t>for a</w:t>
      </w:r>
      <w:r w:rsidRPr="00DF0345">
        <w:rPr>
          <w:rFonts w:ascii="Arial" w:eastAsia="Times New Roman" w:hAnsi="Arial" w:cs="Arial"/>
          <w:i/>
          <w:iCs/>
          <w:sz w:val="18"/>
          <w:szCs w:val="18"/>
          <w:lang w:val="en" w:eastAsia="en-GB"/>
        </w:rPr>
        <w:t xml:space="preserve"> </w:t>
      </w:r>
      <w:hyperlink r:id="rId112" w:anchor="terme_compartiment" w:history="1">
        <w:r w:rsidRPr="00DF0345">
          <w:rPr>
            <w:rFonts w:ascii="Arial" w:eastAsia="Times New Roman" w:hAnsi="Arial" w:cs="Arial"/>
            <w:i/>
            <w:iCs/>
            <w:sz w:val="18"/>
            <w:szCs w:val="18"/>
            <w:lang w:val="en" w:eastAsia="en-GB"/>
          </w:rPr>
          <w:t>compartment</w:t>
        </w:r>
      </w:hyperlink>
      <w:r w:rsidRPr="00DF0345">
        <w:rPr>
          <w:rFonts w:ascii="Arial" w:eastAsia="Times New Roman" w:hAnsi="Arial" w:cs="Arial"/>
          <w:sz w:val="18"/>
          <w:szCs w:val="18"/>
          <w:lang w:val="en" w:eastAsia="en-GB"/>
        </w:rPr>
        <w:t xml:space="preserve"> within its </w:t>
      </w:r>
      <w:hyperlink r:id="rId113" w:anchor="terme_territoire" w:history="1">
        <w:r w:rsidRPr="00DF0345">
          <w:rPr>
            <w:rFonts w:ascii="Arial" w:eastAsia="Times New Roman" w:hAnsi="Arial" w:cs="Arial"/>
            <w:i/>
            <w:iCs/>
            <w:sz w:val="18"/>
            <w:szCs w:val="18"/>
            <w:lang w:val="en" w:eastAsia="en-GB"/>
          </w:rPr>
          <w:t>territory</w:t>
        </w:r>
      </w:hyperlink>
      <w:r w:rsidRPr="00DF0345">
        <w:rPr>
          <w:rFonts w:ascii="Arial" w:eastAsia="Times New Roman" w:hAnsi="Arial" w:cs="Arial"/>
          <w:sz w:val="18"/>
          <w:szCs w:val="18"/>
          <w:lang w:val="en" w:eastAsia="en-GB"/>
        </w:rPr>
        <w:t xml:space="preserve"> if:</w:t>
      </w:r>
    </w:p>
    <w:p w14:paraId="65F995B8" w14:textId="242EEB8B" w:rsidR="00800B4D" w:rsidRPr="00DF0345" w:rsidRDefault="00DB0A8D" w:rsidP="00DB0A8D">
      <w:pPr>
        <w:spacing w:after="240" w:line="240" w:lineRule="auto"/>
        <w:ind w:left="426" w:hanging="426"/>
        <w:jc w:val="both"/>
        <w:rPr>
          <w:rFonts w:ascii="Arial" w:eastAsia="Times New Roman" w:hAnsi="Arial" w:cs="Arial"/>
          <w:sz w:val="18"/>
          <w:szCs w:val="18"/>
          <w:lang w:val="en" w:eastAsia="en-GB"/>
        </w:rPr>
      </w:pPr>
      <w:r w:rsidRPr="00DF0345">
        <w:rPr>
          <w:rFonts w:ascii="Arial" w:hAnsi="Arial" w:cs="Arial"/>
          <w:sz w:val="18"/>
          <w:szCs w:val="18"/>
        </w:rPr>
        <w:t>1)</w:t>
      </w:r>
      <w:r w:rsidRPr="00DF0345">
        <w:rPr>
          <w:rFonts w:ascii="Arial" w:hAnsi="Arial" w:cs="Arial"/>
          <w:sz w:val="18"/>
          <w:szCs w:val="18"/>
        </w:rPr>
        <w:tab/>
      </w:r>
      <w:hyperlink r:id="rId114" w:anchor="terme_surveillance_specifique" w:history="1">
        <w:r w:rsidR="00800B4D" w:rsidRPr="00DF0345">
          <w:rPr>
            <w:rFonts w:ascii="Arial" w:eastAsia="Times New Roman" w:hAnsi="Arial" w:cs="Arial"/>
            <w:i/>
            <w:iCs/>
            <w:sz w:val="18"/>
            <w:szCs w:val="18"/>
            <w:lang w:val="en" w:eastAsia="en-GB"/>
          </w:rPr>
          <w:t>targeted surveillance</w:t>
        </w:r>
      </w:hyperlink>
      <w:r w:rsidR="00800B4D" w:rsidRPr="00DF0345">
        <w:rPr>
          <w:rFonts w:ascii="Arial" w:eastAsia="Times New Roman" w:hAnsi="Arial" w:cs="Arial"/>
          <w:sz w:val="18"/>
          <w:szCs w:val="18"/>
          <w:lang w:val="en" w:eastAsia="en-GB"/>
        </w:rPr>
        <w:t xml:space="preserve">, as described in Chapter </w:t>
      </w:r>
      <w:hyperlink r:id="rId115" w:anchor="chapitre_aqua_ani_surveillance" w:history="1">
        <w:r w:rsidR="00800B4D" w:rsidRPr="00DF0345">
          <w:rPr>
            <w:rFonts w:ascii="Arial" w:eastAsia="Times New Roman" w:hAnsi="Arial" w:cs="Arial"/>
            <w:sz w:val="18"/>
            <w:szCs w:val="18"/>
            <w:lang w:val="en" w:eastAsia="en-GB"/>
          </w:rPr>
          <w:t>1.4.</w:t>
        </w:r>
      </w:hyperlink>
      <w:r w:rsidR="00800B4D" w:rsidRPr="00DF0345">
        <w:rPr>
          <w:rFonts w:ascii="Arial" w:eastAsia="Times New Roman" w:hAnsi="Arial" w:cs="Arial"/>
          <w:sz w:val="18"/>
          <w:szCs w:val="18"/>
          <w:lang w:val="en" w:eastAsia="en-GB"/>
        </w:rPr>
        <w:t xml:space="preserve">, has been in place in the </w:t>
      </w:r>
      <w:hyperlink r:id="rId116" w:anchor="terme_compartiment" w:history="1">
        <w:r w:rsidR="00800B4D" w:rsidRPr="00DF0345">
          <w:rPr>
            <w:rFonts w:ascii="Arial" w:eastAsia="Times New Roman" w:hAnsi="Arial" w:cs="Arial"/>
            <w:i/>
            <w:iCs/>
            <w:sz w:val="18"/>
            <w:szCs w:val="18"/>
            <w:lang w:val="en" w:eastAsia="en-GB"/>
          </w:rPr>
          <w:t>compartment</w:t>
        </w:r>
      </w:hyperlink>
      <w:r w:rsidR="00800B4D" w:rsidRPr="00DF0345">
        <w:rPr>
          <w:rFonts w:ascii="Arial" w:eastAsia="Times New Roman" w:hAnsi="Arial" w:cs="Arial"/>
          <w:sz w:val="18"/>
          <w:szCs w:val="18"/>
          <w:lang w:val="en" w:eastAsia="en-GB"/>
        </w:rPr>
        <w:t xml:space="preserve"> for at least the last [</w:t>
      </w:r>
      <w:r w:rsidR="00800B4D" w:rsidRPr="00DF0345">
        <w:rPr>
          <w:rFonts w:ascii="Arial" w:eastAsia="Times New Roman" w:hAnsi="Arial" w:cs="Arial"/>
          <w:sz w:val="18"/>
          <w:szCs w:val="18"/>
          <w:highlight w:val="yellow"/>
          <w:lang w:val="en" w:eastAsia="en-GB"/>
        </w:rPr>
        <w:t>two</w:t>
      </w:r>
      <w:r w:rsidR="00800B4D" w:rsidRPr="00DF0345">
        <w:rPr>
          <w:rFonts w:ascii="Arial" w:eastAsia="Times New Roman" w:hAnsi="Arial" w:cs="Arial"/>
          <w:sz w:val="18"/>
          <w:szCs w:val="18"/>
          <w:lang w:val="en" w:eastAsia="en-GB"/>
        </w:rPr>
        <w:t>] years without detection of [PATHOGEN X], and:</w:t>
      </w:r>
    </w:p>
    <w:p w14:paraId="32F19D58" w14:textId="4DC30AA5" w:rsidR="00800B4D" w:rsidRPr="00DF0345" w:rsidRDefault="00DB0A8D" w:rsidP="00DB0A8D">
      <w:pPr>
        <w:spacing w:after="240" w:line="240" w:lineRule="auto"/>
        <w:ind w:left="851" w:hanging="425"/>
        <w:jc w:val="both"/>
        <w:rPr>
          <w:rFonts w:ascii="Arial" w:eastAsia="Times New Roman" w:hAnsi="Arial" w:cs="Arial"/>
          <w:sz w:val="18"/>
          <w:szCs w:val="18"/>
          <w:lang w:val="en" w:eastAsia="en-GB"/>
        </w:rPr>
      </w:pPr>
      <w:r w:rsidRPr="00DF0345">
        <w:rPr>
          <w:rFonts w:ascii="Arial" w:hAnsi="Arial" w:cs="Arial"/>
          <w:sz w:val="18"/>
          <w:szCs w:val="18"/>
        </w:rPr>
        <w:t>a)</w:t>
      </w:r>
      <w:r w:rsidRPr="00DF0345">
        <w:rPr>
          <w:rFonts w:ascii="Arial" w:hAnsi="Arial" w:cs="Arial"/>
          <w:sz w:val="18"/>
          <w:szCs w:val="18"/>
        </w:rPr>
        <w:tab/>
      </w:r>
      <w:hyperlink r:id="rId117" w:anchor="terme_conditions_elementaires_de_securite_biologique" w:history="1">
        <w:r w:rsidR="00800B4D" w:rsidRPr="00DF0345">
          <w:rPr>
            <w:rFonts w:ascii="Arial" w:eastAsia="Times New Roman" w:hAnsi="Arial" w:cs="Arial"/>
            <w:i/>
            <w:iCs/>
            <w:sz w:val="18"/>
            <w:szCs w:val="18"/>
            <w:lang w:val="en" w:eastAsia="en-GB"/>
          </w:rPr>
          <w:t>basic biosecurity conditions</w:t>
        </w:r>
      </w:hyperlink>
      <w:r w:rsidR="00800B4D" w:rsidRPr="00DF0345">
        <w:rPr>
          <w:rFonts w:ascii="Arial" w:eastAsia="Times New Roman" w:hAnsi="Arial" w:cs="Arial"/>
          <w:sz w:val="18"/>
          <w:szCs w:val="18"/>
          <w:lang w:val="en" w:eastAsia="en-GB"/>
        </w:rPr>
        <w:t xml:space="preserve"> have been continuously met for at least [</w:t>
      </w:r>
      <w:r w:rsidR="00800B4D" w:rsidRPr="00DF0345">
        <w:rPr>
          <w:rFonts w:ascii="Arial" w:eastAsia="Times New Roman" w:hAnsi="Arial" w:cs="Arial"/>
          <w:sz w:val="18"/>
          <w:szCs w:val="18"/>
          <w:highlight w:val="yellow"/>
          <w:lang w:val="en" w:eastAsia="en-GB"/>
        </w:rPr>
        <w:t>one</w:t>
      </w:r>
      <w:r w:rsidR="00800B4D" w:rsidRPr="00DF0345">
        <w:rPr>
          <w:rFonts w:ascii="Arial" w:eastAsia="Times New Roman" w:hAnsi="Arial" w:cs="Arial"/>
          <w:sz w:val="18"/>
          <w:szCs w:val="18"/>
          <w:lang w:val="en" w:eastAsia="en-GB"/>
        </w:rPr>
        <w:t xml:space="preserve">] year prior to commencement of </w:t>
      </w:r>
      <w:r w:rsidR="00800B4D" w:rsidRPr="00DF0345">
        <w:rPr>
          <w:rFonts w:ascii="Arial" w:eastAsia="Times New Roman" w:hAnsi="Arial" w:cs="Arial"/>
          <w:i/>
          <w:sz w:val="18"/>
          <w:szCs w:val="18"/>
          <w:lang w:val="en" w:eastAsia="en-GB"/>
        </w:rPr>
        <w:t>targeted surveillance</w:t>
      </w:r>
      <w:r w:rsidR="00800B4D" w:rsidRPr="00DF0345">
        <w:rPr>
          <w:rFonts w:ascii="Arial" w:eastAsia="Times New Roman" w:hAnsi="Arial" w:cs="Arial"/>
          <w:sz w:val="18"/>
          <w:szCs w:val="18"/>
          <w:lang w:val="en" w:eastAsia="en-GB"/>
        </w:rPr>
        <w:t>;</w:t>
      </w:r>
    </w:p>
    <w:p w14:paraId="7A2E0937" w14:textId="77777777" w:rsidR="00800B4D" w:rsidRPr="00DF0345" w:rsidRDefault="00800B4D" w:rsidP="000760A9">
      <w:pPr>
        <w:spacing w:after="240" w:line="240" w:lineRule="auto"/>
        <w:jc w:val="both"/>
        <w:rPr>
          <w:rFonts w:ascii="Arial" w:eastAsia="Times New Roman" w:hAnsi="Arial" w:cs="Arial"/>
          <w:sz w:val="18"/>
          <w:szCs w:val="18"/>
          <w:lang w:val="en" w:eastAsia="en-GB"/>
        </w:rPr>
      </w:pPr>
      <w:r w:rsidRPr="00DF0345">
        <w:rPr>
          <w:rFonts w:ascii="Arial" w:eastAsia="Times New Roman" w:hAnsi="Arial" w:cs="Arial"/>
          <w:sz w:val="18"/>
          <w:szCs w:val="18"/>
          <w:lang w:val="en" w:eastAsia="en-GB"/>
        </w:rPr>
        <w:t>OR</w:t>
      </w:r>
    </w:p>
    <w:p w14:paraId="5324716D" w14:textId="00806DC7" w:rsidR="00800B4D" w:rsidRPr="00DF0345" w:rsidRDefault="00DB0A8D" w:rsidP="00DB0A8D">
      <w:pPr>
        <w:spacing w:after="240" w:line="240" w:lineRule="auto"/>
        <w:ind w:left="426" w:hanging="426"/>
        <w:jc w:val="both"/>
        <w:rPr>
          <w:rFonts w:ascii="Arial" w:eastAsia="Times New Roman" w:hAnsi="Arial" w:cs="Arial"/>
          <w:sz w:val="18"/>
          <w:szCs w:val="18"/>
          <w:lang w:val="en" w:eastAsia="en-GB"/>
        </w:rPr>
      </w:pPr>
      <w:r w:rsidRPr="00DF0345">
        <w:rPr>
          <w:rFonts w:ascii="Arial" w:eastAsia="Times New Roman" w:hAnsi="Arial" w:cs="Arial"/>
          <w:sz w:val="18"/>
          <w:szCs w:val="18"/>
          <w:lang w:val="en" w:eastAsia="en-GB"/>
        </w:rPr>
        <w:t>2)</w:t>
      </w:r>
      <w:r w:rsidRPr="00DF0345">
        <w:rPr>
          <w:rFonts w:ascii="Arial" w:eastAsia="Times New Roman" w:hAnsi="Arial" w:cs="Arial"/>
          <w:sz w:val="18"/>
          <w:szCs w:val="18"/>
          <w:lang w:val="en" w:eastAsia="en-GB"/>
        </w:rPr>
        <w:tab/>
      </w:r>
      <w:r w:rsidR="00800B4D" w:rsidRPr="00DF0345">
        <w:rPr>
          <w:rFonts w:ascii="Arial" w:eastAsia="Times New Roman" w:hAnsi="Arial" w:cs="Arial"/>
          <w:sz w:val="18"/>
          <w:szCs w:val="18"/>
          <w:lang w:val="en" w:eastAsia="en-GB"/>
        </w:rPr>
        <w:t xml:space="preserve">it previously made a </w:t>
      </w:r>
      <w:hyperlink r:id="rId118" w:anchor="terme_auto_declaration_de_l_absence_de_maladie" w:history="1">
        <w:r w:rsidR="00800B4D" w:rsidRPr="00DF0345">
          <w:rPr>
            <w:rFonts w:ascii="Arial" w:eastAsia="Times New Roman" w:hAnsi="Arial" w:cs="Arial"/>
            <w:i/>
            <w:iCs/>
            <w:sz w:val="18"/>
            <w:szCs w:val="18"/>
            <w:lang w:val="en" w:eastAsia="en-GB"/>
          </w:rPr>
          <w:t>self-declaration of freedom</w:t>
        </w:r>
      </w:hyperlink>
      <w:r w:rsidR="00800B4D" w:rsidRPr="00DF0345">
        <w:rPr>
          <w:rFonts w:ascii="Arial" w:eastAsia="Times New Roman" w:hAnsi="Arial" w:cs="Arial"/>
          <w:sz w:val="18"/>
          <w:szCs w:val="18"/>
          <w:lang w:val="en" w:eastAsia="en-GB"/>
        </w:rPr>
        <w:t xml:space="preserve"> for a </w:t>
      </w:r>
      <w:r w:rsidR="00800B4D" w:rsidRPr="00DF0345">
        <w:rPr>
          <w:rFonts w:ascii="Arial" w:eastAsia="Times New Roman" w:hAnsi="Arial" w:cs="Arial"/>
          <w:i/>
          <w:sz w:val="18"/>
          <w:szCs w:val="18"/>
          <w:lang w:val="en" w:eastAsia="en-GB"/>
        </w:rPr>
        <w:t>compartment</w:t>
      </w:r>
      <w:r w:rsidR="00800B4D" w:rsidRPr="00DF0345">
        <w:rPr>
          <w:rFonts w:ascii="Arial" w:eastAsia="Times New Roman" w:hAnsi="Arial" w:cs="Arial"/>
          <w:sz w:val="18"/>
          <w:szCs w:val="18"/>
          <w:lang w:val="en" w:eastAsia="en-GB"/>
        </w:rPr>
        <w:t xml:space="preserve"> from infection with [PATHOGEN X] and subsequently lost its free status due to the detection of [PATHOGEN X] in the </w:t>
      </w:r>
      <w:hyperlink r:id="rId119" w:anchor="terme_zone" w:history="1">
        <w:r w:rsidR="00800B4D" w:rsidRPr="00DF0345">
          <w:rPr>
            <w:rFonts w:ascii="Arial" w:eastAsia="Times New Roman" w:hAnsi="Arial" w:cs="Arial"/>
            <w:i/>
            <w:iCs/>
            <w:sz w:val="18"/>
            <w:szCs w:val="18"/>
            <w:lang w:val="en" w:eastAsia="en-GB"/>
          </w:rPr>
          <w:t>zone</w:t>
        </w:r>
      </w:hyperlink>
      <w:r w:rsidR="00800B4D" w:rsidRPr="00DF0345">
        <w:rPr>
          <w:rFonts w:ascii="Arial" w:eastAsia="Times New Roman" w:hAnsi="Arial" w:cs="Arial"/>
          <w:sz w:val="18"/>
          <w:szCs w:val="18"/>
          <w:lang w:val="en" w:eastAsia="en-GB"/>
        </w:rPr>
        <w:t xml:space="preserve"> but the following conditions have been met:</w:t>
      </w:r>
    </w:p>
    <w:p w14:paraId="3820328C" w14:textId="0543DE01" w:rsidR="00800B4D" w:rsidRPr="00DF0345" w:rsidRDefault="00DB0A8D" w:rsidP="00DB0A8D">
      <w:pPr>
        <w:spacing w:after="240" w:line="240" w:lineRule="auto"/>
        <w:ind w:left="851" w:hanging="425"/>
        <w:jc w:val="both"/>
        <w:rPr>
          <w:rFonts w:ascii="Arial" w:eastAsia="Times New Roman" w:hAnsi="Arial" w:cs="Arial"/>
          <w:sz w:val="18"/>
          <w:szCs w:val="18"/>
          <w:lang w:val="en" w:eastAsia="en-GB"/>
        </w:rPr>
      </w:pPr>
      <w:r w:rsidRPr="00DF0345">
        <w:rPr>
          <w:rFonts w:ascii="Arial" w:eastAsia="Times New Roman" w:hAnsi="Arial" w:cs="Arial"/>
          <w:sz w:val="18"/>
          <w:szCs w:val="18"/>
          <w:lang w:val="en" w:eastAsia="en-GB"/>
        </w:rPr>
        <w:t>a)</w:t>
      </w:r>
      <w:r w:rsidRPr="00DF0345">
        <w:rPr>
          <w:rFonts w:ascii="Arial" w:eastAsia="Times New Roman" w:hAnsi="Arial" w:cs="Arial"/>
          <w:sz w:val="18"/>
          <w:szCs w:val="18"/>
          <w:lang w:val="en" w:eastAsia="en-GB"/>
        </w:rPr>
        <w:tab/>
      </w:r>
      <w:r w:rsidR="00800B4D" w:rsidRPr="00DF0345">
        <w:rPr>
          <w:rFonts w:ascii="Arial" w:eastAsia="Times New Roman" w:hAnsi="Arial" w:cs="Arial"/>
          <w:sz w:val="18"/>
          <w:szCs w:val="18"/>
          <w:lang w:val="en" w:eastAsia="en-GB"/>
        </w:rPr>
        <w:t xml:space="preserve">all </w:t>
      </w:r>
      <w:r w:rsidR="00800B4D" w:rsidRPr="00DF0345">
        <w:rPr>
          <w:rFonts w:ascii="Arial" w:eastAsia="Times New Roman" w:hAnsi="Arial" w:cs="Arial"/>
          <w:i/>
          <w:iCs/>
          <w:sz w:val="18"/>
          <w:szCs w:val="18"/>
          <w:lang w:val="en" w:eastAsia="en-GB"/>
        </w:rPr>
        <w:t>aquatic animals</w:t>
      </w:r>
      <w:r w:rsidR="00800B4D" w:rsidRPr="00DF0345">
        <w:rPr>
          <w:rFonts w:ascii="Arial" w:eastAsia="Times New Roman" w:hAnsi="Arial" w:cs="Arial"/>
          <w:sz w:val="18"/>
          <w:szCs w:val="18"/>
          <w:lang w:val="en" w:eastAsia="en-GB"/>
        </w:rPr>
        <w:t xml:space="preserve"> within the </w:t>
      </w:r>
      <w:r w:rsidR="00800B4D" w:rsidRPr="00DF0345">
        <w:rPr>
          <w:rFonts w:ascii="Arial" w:eastAsia="Times New Roman" w:hAnsi="Arial" w:cs="Arial"/>
          <w:i/>
          <w:sz w:val="18"/>
          <w:szCs w:val="18"/>
          <w:lang w:val="en" w:eastAsia="en-GB"/>
        </w:rPr>
        <w:t>compartment</w:t>
      </w:r>
      <w:r w:rsidR="00800B4D" w:rsidRPr="00DF0345">
        <w:rPr>
          <w:rFonts w:ascii="Arial" w:eastAsia="Times New Roman" w:hAnsi="Arial" w:cs="Arial"/>
          <w:sz w:val="18"/>
          <w:szCs w:val="18"/>
          <w:lang w:val="en" w:eastAsia="en-GB"/>
        </w:rPr>
        <w:t xml:space="preserve"> have been killed and disposed of by means that minimise the likelihood of further transmission of [PATHOGEN X], the appropriate </w:t>
      </w:r>
      <w:hyperlink r:id="rId120" w:anchor="terme_desinfection" w:history="1">
        <w:r w:rsidR="00800B4D" w:rsidRPr="00DF0345">
          <w:rPr>
            <w:rFonts w:ascii="Arial" w:eastAsia="Times New Roman" w:hAnsi="Arial" w:cs="Arial"/>
            <w:i/>
            <w:iCs/>
            <w:sz w:val="18"/>
            <w:szCs w:val="18"/>
            <w:lang w:val="en" w:eastAsia="en-GB"/>
          </w:rPr>
          <w:t>disinfection</w:t>
        </w:r>
      </w:hyperlink>
      <w:r w:rsidR="00800B4D" w:rsidRPr="00DF0345">
        <w:rPr>
          <w:rFonts w:ascii="Arial" w:eastAsia="Times New Roman" w:hAnsi="Arial" w:cs="Arial"/>
          <w:sz w:val="18"/>
          <w:szCs w:val="18"/>
          <w:lang w:val="en" w:eastAsia="en-GB"/>
        </w:rPr>
        <w:t xml:space="preserve"> procedures (as described in Chapter </w:t>
      </w:r>
      <w:hyperlink r:id="rId121" w:anchor="chapitre_disinfection" w:history="1">
        <w:r w:rsidR="00800B4D" w:rsidRPr="00DF0345">
          <w:rPr>
            <w:rFonts w:ascii="Arial" w:eastAsia="Times New Roman" w:hAnsi="Arial" w:cs="Arial"/>
            <w:sz w:val="18"/>
            <w:szCs w:val="18"/>
            <w:lang w:val="en" w:eastAsia="en-GB"/>
          </w:rPr>
          <w:t>4.3.</w:t>
        </w:r>
      </w:hyperlink>
      <w:r w:rsidR="00800B4D" w:rsidRPr="00DF0345">
        <w:rPr>
          <w:rFonts w:ascii="Arial" w:eastAsia="Times New Roman" w:hAnsi="Arial" w:cs="Arial"/>
          <w:sz w:val="18"/>
          <w:szCs w:val="18"/>
          <w:lang w:val="en" w:eastAsia="en-GB"/>
        </w:rPr>
        <w:t xml:space="preserve">) have been completed, and the </w:t>
      </w:r>
      <w:r w:rsidR="00800B4D" w:rsidRPr="00DF0345">
        <w:rPr>
          <w:rFonts w:ascii="Arial" w:eastAsia="Times New Roman" w:hAnsi="Arial" w:cs="Arial"/>
          <w:i/>
          <w:iCs/>
          <w:sz w:val="18"/>
          <w:szCs w:val="18"/>
          <w:lang w:val="en" w:eastAsia="en-GB"/>
        </w:rPr>
        <w:t>compartment</w:t>
      </w:r>
      <w:r w:rsidR="00800B4D" w:rsidRPr="00DF0345">
        <w:rPr>
          <w:rFonts w:ascii="Arial" w:eastAsia="Times New Roman" w:hAnsi="Arial" w:cs="Arial"/>
          <w:sz w:val="18"/>
          <w:szCs w:val="18"/>
          <w:lang w:val="en" w:eastAsia="en-GB"/>
        </w:rPr>
        <w:t xml:space="preserve"> has been fallowed for at least [</w:t>
      </w:r>
      <w:r w:rsidR="00800B4D" w:rsidRPr="00DF0345">
        <w:rPr>
          <w:rFonts w:ascii="Arial" w:eastAsia="Times New Roman" w:hAnsi="Arial" w:cs="Arial"/>
          <w:sz w:val="18"/>
          <w:szCs w:val="18"/>
          <w:highlight w:val="yellow"/>
          <w:lang w:val="en" w:eastAsia="en-GB"/>
        </w:rPr>
        <w:t>X</w:t>
      </w:r>
      <w:r w:rsidR="00800B4D" w:rsidRPr="00DF0345">
        <w:rPr>
          <w:rFonts w:ascii="Arial" w:eastAsia="Times New Roman" w:hAnsi="Arial" w:cs="Arial"/>
          <w:sz w:val="18"/>
          <w:szCs w:val="18"/>
          <w:lang w:val="en" w:eastAsia="en-GB"/>
        </w:rPr>
        <w:t>] weeks; and</w:t>
      </w:r>
    </w:p>
    <w:p w14:paraId="463FF76E" w14:textId="713192BD" w:rsidR="00800B4D" w:rsidRPr="00DF0345" w:rsidRDefault="00DB0A8D" w:rsidP="00DB0A8D">
      <w:pPr>
        <w:spacing w:after="240" w:line="240" w:lineRule="auto"/>
        <w:ind w:left="851" w:hanging="425"/>
        <w:jc w:val="both"/>
        <w:rPr>
          <w:rFonts w:ascii="Arial" w:eastAsia="Times New Roman" w:hAnsi="Arial" w:cs="Arial"/>
          <w:sz w:val="18"/>
          <w:szCs w:val="18"/>
          <w:lang w:val="en" w:eastAsia="en-GB"/>
        </w:rPr>
      </w:pPr>
      <w:r w:rsidRPr="00DF0345">
        <w:rPr>
          <w:rFonts w:ascii="Arial" w:eastAsia="Times New Roman" w:hAnsi="Arial" w:cs="Arial"/>
          <w:sz w:val="18"/>
          <w:szCs w:val="18"/>
          <w:lang w:val="en" w:eastAsia="en-GB"/>
        </w:rPr>
        <w:t>b)</w:t>
      </w:r>
      <w:r w:rsidRPr="00DF0345">
        <w:rPr>
          <w:rFonts w:ascii="Arial" w:eastAsia="Times New Roman" w:hAnsi="Arial" w:cs="Arial"/>
          <w:sz w:val="18"/>
          <w:szCs w:val="18"/>
          <w:lang w:val="en" w:eastAsia="en-GB"/>
        </w:rPr>
        <w:tab/>
      </w:r>
      <w:r w:rsidR="00800B4D" w:rsidRPr="00DF0345">
        <w:rPr>
          <w:rFonts w:ascii="Arial" w:eastAsia="Times New Roman" w:hAnsi="Arial" w:cs="Arial"/>
          <w:sz w:val="18"/>
          <w:szCs w:val="18"/>
          <w:lang w:val="en" w:eastAsia="en-GB"/>
        </w:rPr>
        <w:t xml:space="preserve">previously existing </w:t>
      </w:r>
      <w:hyperlink r:id="rId122" w:anchor="terme_conditions_elementaires_de_securite_biologique" w:history="1">
        <w:r w:rsidR="00800B4D" w:rsidRPr="00DF0345">
          <w:rPr>
            <w:rFonts w:ascii="Arial" w:eastAsia="Times New Roman" w:hAnsi="Arial" w:cs="Arial"/>
            <w:i/>
            <w:iCs/>
            <w:sz w:val="18"/>
            <w:szCs w:val="18"/>
            <w:lang w:val="en" w:eastAsia="en-GB"/>
          </w:rPr>
          <w:t>basic biosecurity conditions</w:t>
        </w:r>
      </w:hyperlink>
      <w:r w:rsidR="00800B4D" w:rsidRPr="00DF0345">
        <w:rPr>
          <w:rFonts w:ascii="Arial" w:eastAsia="Times New Roman" w:hAnsi="Arial" w:cs="Arial"/>
          <w:sz w:val="18"/>
          <w:szCs w:val="18"/>
          <w:lang w:val="en" w:eastAsia="en-GB"/>
        </w:rPr>
        <w:t xml:space="preserve">, including the </w:t>
      </w:r>
      <w:r w:rsidR="00800B4D" w:rsidRPr="00DF0345">
        <w:rPr>
          <w:rFonts w:ascii="Arial" w:eastAsia="Times New Roman" w:hAnsi="Arial" w:cs="Arial"/>
          <w:i/>
          <w:sz w:val="18"/>
          <w:szCs w:val="18"/>
          <w:lang w:val="en" w:eastAsia="en-GB"/>
        </w:rPr>
        <w:t>biosecurity plan</w:t>
      </w:r>
      <w:r w:rsidR="00800B4D" w:rsidRPr="00DF0345">
        <w:rPr>
          <w:rFonts w:ascii="Arial" w:eastAsia="Times New Roman" w:hAnsi="Arial" w:cs="Arial"/>
          <w:sz w:val="18"/>
          <w:szCs w:val="18"/>
          <w:lang w:val="en" w:eastAsia="en-GB"/>
        </w:rPr>
        <w:t xml:space="preserve">, have been reviewed and modified as necessary and have continuously been in place from the time of restocking with animals from an approved pathogen free source in accordance with the requirements of Articles X.X.9. </w:t>
      </w:r>
      <w:r w:rsidR="00800B4D" w:rsidRPr="00796F38">
        <w:rPr>
          <w:rFonts w:eastAsia="Times New Roman" w:cs="Times New Roman"/>
          <w:szCs w:val="20"/>
          <w:lang w:val="en" w:eastAsia="en-GB"/>
        </w:rPr>
        <w:t>[</w:t>
      </w:r>
      <w:r w:rsidR="00800B4D" w:rsidRPr="00796F38">
        <w:rPr>
          <w:rFonts w:eastAsia="Times New Roman" w:cs="Times New Roman"/>
          <w:i/>
          <w:iCs/>
          <w:color w:val="808080" w:themeColor="background1" w:themeShade="80"/>
          <w:szCs w:val="20"/>
          <w:lang w:val="en" w:eastAsia="en-GB"/>
        </w:rPr>
        <w:t xml:space="preserve">note: existing </w:t>
      </w:r>
      <w:r w:rsidR="003516E1" w:rsidRPr="00796F38">
        <w:rPr>
          <w:rFonts w:eastAsia="Times New Roman" w:cs="Times New Roman"/>
          <w:i/>
          <w:iCs/>
          <w:szCs w:val="20"/>
          <w:lang w:val="en" w:eastAsia="en-GB"/>
        </w:rPr>
        <w:t>A</w:t>
      </w:r>
      <w:r w:rsidR="00800B4D" w:rsidRPr="00796F38">
        <w:rPr>
          <w:rFonts w:eastAsia="Times New Roman" w:cs="Times New Roman"/>
          <w:i/>
          <w:iCs/>
          <w:szCs w:val="20"/>
          <w:lang w:val="en" w:eastAsia="en-GB"/>
        </w:rPr>
        <w:t>rticle X.X.7</w:t>
      </w:r>
      <w:r w:rsidR="00DF0345" w:rsidRPr="00796F38">
        <w:rPr>
          <w:rFonts w:eastAsia="Times New Roman" w:cs="Times New Roman"/>
          <w:i/>
          <w:iCs/>
          <w:szCs w:val="20"/>
          <w:lang w:val="en" w:eastAsia="en-GB"/>
        </w:rPr>
        <w:t>.</w:t>
      </w:r>
      <w:r w:rsidR="00800B4D" w:rsidRPr="00796F38">
        <w:rPr>
          <w:rFonts w:eastAsia="Times New Roman" w:cs="Times New Roman"/>
          <w:szCs w:val="20"/>
          <w:lang w:val="en" w:eastAsia="en-GB"/>
        </w:rPr>
        <w:t xml:space="preserve">] </w:t>
      </w:r>
      <w:r w:rsidR="00800B4D" w:rsidRPr="00DF0345">
        <w:rPr>
          <w:rFonts w:ascii="Arial" w:eastAsia="Times New Roman" w:hAnsi="Arial" w:cs="Arial"/>
          <w:sz w:val="18"/>
          <w:szCs w:val="18"/>
          <w:lang w:val="en" w:eastAsia="en-GB"/>
        </w:rPr>
        <w:t>and X.X.10 as appropriate</w:t>
      </w:r>
      <w:r w:rsidR="00800B4D" w:rsidRPr="00DF0345">
        <w:rPr>
          <w:rStyle w:val="Marquedecommentaire"/>
          <w:rFonts w:ascii="Arial" w:hAnsi="Arial" w:cs="Arial"/>
          <w:sz w:val="18"/>
          <w:szCs w:val="18"/>
          <w:lang w:val="en-NZ"/>
        </w:rPr>
        <w:t>;</w:t>
      </w:r>
      <w:r w:rsidR="00800B4D" w:rsidRPr="00DF0345">
        <w:rPr>
          <w:rFonts w:ascii="Arial" w:eastAsia="Times New Roman" w:hAnsi="Arial" w:cs="Arial"/>
          <w:sz w:val="18"/>
          <w:szCs w:val="18"/>
          <w:lang w:val="en" w:eastAsia="en-GB"/>
        </w:rPr>
        <w:t xml:space="preserve"> and</w:t>
      </w:r>
    </w:p>
    <w:p w14:paraId="1F04173F" w14:textId="45F3F2EB" w:rsidR="00800B4D" w:rsidRPr="00DF0345" w:rsidRDefault="00DB0A8D" w:rsidP="00DB0A8D">
      <w:pPr>
        <w:spacing w:after="240" w:line="240" w:lineRule="auto"/>
        <w:ind w:left="851" w:hanging="425"/>
        <w:jc w:val="both"/>
        <w:rPr>
          <w:rFonts w:ascii="Arial" w:eastAsia="Times New Roman" w:hAnsi="Arial" w:cs="Arial"/>
          <w:sz w:val="18"/>
          <w:szCs w:val="18"/>
          <w:lang w:val="en" w:eastAsia="en-GB"/>
        </w:rPr>
      </w:pPr>
      <w:r w:rsidRPr="00DF0345">
        <w:rPr>
          <w:rFonts w:ascii="Arial" w:hAnsi="Arial" w:cs="Arial"/>
          <w:sz w:val="18"/>
          <w:szCs w:val="18"/>
        </w:rPr>
        <w:t>c)</w:t>
      </w:r>
      <w:r w:rsidRPr="00DF0345">
        <w:rPr>
          <w:rFonts w:ascii="Arial" w:hAnsi="Arial" w:cs="Arial"/>
          <w:sz w:val="18"/>
          <w:szCs w:val="18"/>
        </w:rPr>
        <w:tab/>
      </w:r>
      <w:hyperlink r:id="rId123" w:anchor="terme_surveillance_specifique" w:history="1">
        <w:r w:rsidR="00800B4D" w:rsidRPr="00DF0345">
          <w:rPr>
            <w:rFonts w:ascii="Arial" w:eastAsia="Times New Roman" w:hAnsi="Arial" w:cs="Arial"/>
            <w:i/>
            <w:iCs/>
            <w:sz w:val="18"/>
            <w:szCs w:val="18"/>
            <w:lang w:val="en" w:eastAsia="en-GB"/>
          </w:rPr>
          <w:t>targeted surveillance</w:t>
        </w:r>
      </w:hyperlink>
      <w:r w:rsidR="00800B4D" w:rsidRPr="00DF0345">
        <w:rPr>
          <w:rFonts w:ascii="Arial" w:eastAsia="Times New Roman" w:hAnsi="Arial" w:cs="Arial"/>
          <w:sz w:val="18"/>
          <w:szCs w:val="18"/>
          <w:lang w:val="en" w:eastAsia="en-GB"/>
        </w:rPr>
        <w:t xml:space="preserve">, as described in Chapter </w:t>
      </w:r>
      <w:hyperlink r:id="rId124" w:anchor="chapitre_aqua_ani_surveillance" w:history="1">
        <w:r w:rsidR="00800B4D" w:rsidRPr="00DF0345">
          <w:rPr>
            <w:rFonts w:ascii="Arial" w:eastAsia="Times New Roman" w:hAnsi="Arial" w:cs="Arial"/>
            <w:sz w:val="18"/>
            <w:szCs w:val="18"/>
            <w:lang w:val="en" w:eastAsia="en-GB"/>
          </w:rPr>
          <w:t>1.4.</w:t>
        </w:r>
      </w:hyperlink>
      <w:r w:rsidR="00800B4D" w:rsidRPr="00DF0345">
        <w:rPr>
          <w:rFonts w:ascii="Arial" w:eastAsia="Times New Roman" w:hAnsi="Arial" w:cs="Arial"/>
          <w:sz w:val="18"/>
          <w:szCs w:val="18"/>
          <w:lang w:val="en" w:eastAsia="en-GB"/>
        </w:rPr>
        <w:t>, has been in place for at least the last [</w:t>
      </w:r>
      <w:r w:rsidR="00800B4D" w:rsidRPr="00DF0345">
        <w:rPr>
          <w:rFonts w:ascii="Arial" w:eastAsia="Times New Roman" w:hAnsi="Arial" w:cs="Arial"/>
          <w:sz w:val="18"/>
          <w:szCs w:val="18"/>
          <w:highlight w:val="yellow"/>
          <w:lang w:val="en" w:eastAsia="en-GB"/>
        </w:rPr>
        <w:t>one</w:t>
      </w:r>
      <w:r w:rsidR="00800B4D" w:rsidRPr="00DF0345">
        <w:rPr>
          <w:rFonts w:ascii="Arial" w:eastAsia="Times New Roman" w:hAnsi="Arial" w:cs="Arial"/>
          <w:sz w:val="18"/>
          <w:szCs w:val="18"/>
          <w:lang w:val="en" w:eastAsia="en-GB"/>
        </w:rPr>
        <w:t>] year without detection of [PATHOGEN X].</w:t>
      </w:r>
    </w:p>
    <w:p w14:paraId="4607A96E" w14:textId="47AC84AA" w:rsidR="00800B4D" w:rsidRPr="00DB0A8D" w:rsidRDefault="00800B4D" w:rsidP="00DB0A8D">
      <w:pPr>
        <w:spacing w:after="240" w:line="240" w:lineRule="auto"/>
        <w:jc w:val="center"/>
        <w:rPr>
          <w:rFonts w:ascii="Ottawa" w:eastAsia="Times New Roman" w:hAnsi="Ottawa" w:cs="Arial"/>
          <w:sz w:val="18"/>
          <w:szCs w:val="18"/>
          <w:lang w:val="en" w:eastAsia="en-GB"/>
        </w:rPr>
      </w:pPr>
      <w:r w:rsidRPr="00DB0A8D">
        <w:rPr>
          <w:rFonts w:ascii="Ottawa" w:eastAsia="Times New Roman" w:hAnsi="Ottawa" w:cs="Arial"/>
          <w:sz w:val="18"/>
          <w:szCs w:val="18"/>
          <w:lang w:val="en" w:eastAsia="en-GB"/>
        </w:rPr>
        <w:t>Article X.X.8.</w:t>
      </w:r>
    </w:p>
    <w:p w14:paraId="2EFBA91E" w14:textId="70A38F52" w:rsidR="00800B4D" w:rsidRPr="00DF0345" w:rsidRDefault="00800B4D" w:rsidP="000760A9">
      <w:pPr>
        <w:spacing w:after="240" w:line="240" w:lineRule="auto"/>
        <w:ind w:right="1088"/>
        <w:jc w:val="both"/>
        <w:rPr>
          <w:rFonts w:eastAsia="Times New Roman" w:cs="Times New Roman"/>
          <w:i/>
          <w:szCs w:val="20"/>
          <w:lang w:val="en" w:eastAsia="en-GB"/>
        </w:rPr>
      </w:pPr>
      <w:r w:rsidRPr="00DF0345">
        <w:rPr>
          <w:rFonts w:eastAsia="Times New Roman" w:cs="Times New Roman"/>
          <w:i/>
          <w:szCs w:val="20"/>
          <w:lang w:val="en" w:eastAsia="en-GB"/>
        </w:rPr>
        <w:t xml:space="preserve">[Note: modified from current </w:t>
      </w:r>
      <w:r w:rsidR="003516E1">
        <w:rPr>
          <w:rFonts w:eastAsia="Times New Roman" w:cs="Times New Roman"/>
          <w:i/>
          <w:szCs w:val="20"/>
          <w:lang w:val="en" w:eastAsia="en-GB"/>
        </w:rPr>
        <w:t>A</w:t>
      </w:r>
      <w:r w:rsidRPr="00DF0345">
        <w:rPr>
          <w:rFonts w:eastAsia="Times New Roman" w:cs="Times New Roman"/>
          <w:i/>
          <w:szCs w:val="20"/>
          <w:lang w:val="en" w:eastAsia="en-GB"/>
        </w:rPr>
        <w:t>rticle X.X.6</w:t>
      </w:r>
      <w:r w:rsidR="00DF0345">
        <w:rPr>
          <w:rFonts w:eastAsia="Times New Roman" w:cs="Times New Roman"/>
          <w:i/>
          <w:szCs w:val="20"/>
          <w:lang w:val="en" w:eastAsia="en-GB"/>
        </w:rPr>
        <w:t>.</w:t>
      </w:r>
      <w:r w:rsidRPr="00DF0345">
        <w:rPr>
          <w:rFonts w:eastAsia="Times New Roman" w:cs="Times New Roman"/>
          <w:i/>
          <w:szCs w:val="20"/>
          <w:lang w:val="en" w:eastAsia="en-GB"/>
        </w:rPr>
        <w:t>]</w:t>
      </w:r>
    </w:p>
    <w:p w14:paraId="0793BAAB" w14:textId="77777777" w:rsidR="00800B4D" w:rsidRPr="00DB0A8D" w:rsidRDefault="00800B4D" w:rsidP="000760A9">
      <w:pPr>
        <w:spacing w:after="240" w:line="240" w:lineRule="auto"/>
        <w:jc w:val="both"/>
        <w:rPr>
          <w:rFonts w:ascii="Ottawa" w:eastAsia="Times New Roman" w:hAnsi="Ottawa" w:cs="Arial"/>
          <w:b/>
          <w:sz w:val="18"/>
          <w:szCs w:val="18"/>
          <w:lang w:val="en" w:eastAsia="en-GB"/>
        </w:rPr>
      </w:pPr>
      <w:r w:rsidRPr="00DB0A8D">
        <w:rPr>
          <w:rFonts w:ascii="Ottawa" w:eastAsia="Times New Roman" w:hAnsi="Ottawa" w:cs="Arial"/>
          <w:b/>
          <w:sz w:val="18"/>
          <w:szCs w:val="18"/>
          <w:lang w:val="en" w:eastAsia="en-GB"/>
        </w:rPr>
        <w:t>Maintenance of free status</w:t>
      </w:r>
    </w:p>
    <w:p w14:paraId="496CF2A2" w14:textId="203A6167" w:rsidR="00800B4D" w:rsidRPr="00DB0A8D" w:rsidRDefault="00800B4D" w:rsidP="000760A9">
      <w:pPr>
        <w:spacing w:after="240" w:line="240" w:lineRule="auto"/>
        <w:jc w:val="both"/>
        <w:rPr>
          <w:rFonts w:ascii="Arial" w:eastAsia="Times New Roman" w:hAnsi="Arial" w:cs="Arial"/>
          <w:sz w:val="18"/>
          <w:szCs w:val="18"/>
          <w:lang w:val="en" w:eastAsia="en-GB"/>
        </w:rPr>
      </w:pPr>
      <w:r w:rsidRPr="00DB0A8D">
        <w:rPr>
          <w:rFonts w:ascii="Arial" w:eastAsia="Times New Roman" w:hAnsi="Arial" w:cs="Arial"/>
          <w:sz w:val="18"/>
          <w:szCs w:val="18"/>
          <w:lang w:val="en" w:eastAsia="en-GB"/>
        </w:rPr>
        <w:t xml:space="preserve">A country or </w:t>
      </w:r>
      <w:hyperlink r:id="rId125" w:anchor="terme_zone" w:history="1">
        <w:r w:rsidRPr="00DB0A8D">
          <w:rPr>
            <w:rFonts w:ascii="Arial" w:eastAsia="Times New Roman" w:hAnsi="Arial" w:cs="Arial"/>
            <w:i/>
            <w:iCs/>
            <w:sz w:val="18"/>
            <w:szCs w:val="18"/>
            <w:lang w:val="en" w:eastAsia="en-GB"/>
          </w:rPr>
          <w:t>zone</w:t>
        </w:r>
      </w:hyperlink>
      <w:r w:rsidRPr="00DB0A8D">
        <w:rPr>
          <w:rFonts w:ascii="Arial" w:eastAsia="Times New Roman" w:hAnsi="Arial" w:cs="Arial"/>
          <w:sz w:val="18"/>
          <w:szCs w:val="18"/>
          <w:lang w:val="en" w:eastAsia="en-GB"/>
        </w:rPr>
        <w:t xml:space="preserve"> that is declared free from infection with [PATHOGEN X] following the provisions of point 1 of Articles </w:t>
      </w:r>
      <w:hyperlink r:id="rId126" w:anchor="article_vhs.5." w:history="1">
        <w:r w:rsidRPr="00DB0A8D">
          <w:rPr>
            <w:rFonts w:ascii="Arial" w:eastAsia="Times New Roman" w:hAnsi="Arial" w:cs="Arial"/>
            <w:sz w:val="18"/>
            <w:szCs w:val="18"/>
            <w:lang w:val="en" w:eastAsia="en-GB"/>
          </w:rPr>
          <w:t>X.X.5.</w:t>
        </w:r>
      </w:hyperlink>
      <w:r w:rsidRPr="00DB0A8D">
        <w:rPr>
          <w:rFonts w:ascii="Arial" w:eastAsia="Times New Roman" w:hAnsi="Arial" w:cs="Arial"/>
          <w:sz w:val="18"/>
          <w:szCs w:val="18"/>
          <w:lang w:val="en" w:eastAsia="en-GB"/>
        </w:rPr>
        <w:t xml:space="preserve"> or X.X.6</w:t>
      </w:r>
      <w:r w:rsidR="00796F38">
        <w:rPr>
          <w:rFonts w:ascii="Arial" w:eastAsia="Times New Roman" w:hAnsi="Arial" w:cs="Arial"/>
          <w:sz w:val="18"/>
          <w:szCs w:val="18"/>
          <w:lang w:val="en" w:eastAsia="en-GB"/>
        </w:rPr>
        <w:t>.</w:t>
      </w:r>
      <w:r w:rsidRPr="00DB0A8D">
        <w:rPr>
          <w:rFonts w:ascii="Arial" w:eastAsia="Times New Roman" w:hAnsi="Arial" w:cs="Arial"/>
          <w:sz w:val="18"/>
          <w:szCs w:val="18"/>
          <w:lang w:val="en" w:eastAsia="en-GB"/>
        </w:rPr>
        <w:t xml:space="preserve"> (as relevant) may maintain its status as free from infection with [PATHOGEN X] provided that </w:t>
      </w:r>
      <w:hyperlink r:id="rId127" w:anchor="terme_conditions_elementaires_de_securite_biologique" w:history="1">
        <w:r w:rsidRPr="00DB0A8D">
          <w:rPr>
            <w:rFonts w:ascii="Arial" w:eastAsia="Times New Roman" w:hAnsi="Arial" w:cs="Arial"/>
            <w:i/>
            <w:iCs/>
            <w:sz w:val="18"/>
            <w:szCs w:val="18"/>
            <w:lang w:val="en" w:eastAsia="en-GB"/>
          </w:rPr>
          <w:t>basic biosecurity conditions</w:t>
        </w:r>
      </w:hyperlink>
      <w:r w:rsidRPr="00DB0A8D">
        <w:rPr>
          <w:rFonts w:ascii="Arial" w:eastAsia="Times New Roman" w:hAnsi="Arial" w:cs="Arial"/>
          <w:sz w:val="18"/>
          <w:szCs w:val="18"/>
          <w:lang w:val="en" w:eastAsia="en-GB"/>
        </w:rPr>
        <w:t xml:space="preserve"> are continuously maintained.</w:t>
      </w:r>
    </w:p>
    <w:p w14:paraId="1480F182" w14:textId="77777777" w:rsidR="001D5EB7" w:rsidRDefault="001D5EB7">
      <w:pPr>
        <w:rPr>
          <w:u w:val="single"/>
        </w:rPr>
      </w:pPr>
      <w:r>
        <w:rPr>
          <w:u w:val="single"/>
        </w:rPr>
        <w:br w:type="page"/>
      </w:r>
    </w:p>
    <w:p w14:paraId="3D840758" w14:textId="3BC876C3" w:rsidR="00DB0A8D" w:rsidRDefault="00DB0A8D" w:rsidP="001D5EB7">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sidR="00FC6CE0">
        <w:rPr>
          <w:rFonts w:cs="Times New Roman"/>
          <w:bCs/>
          <w:iCs/>
          <w:szCs w:val="20"/>
          <w:u w:val="single"/>
        </w:rPr>
        <w:t>9</w:t>
      </w:r>
      <w:r w:rsidR="00FC6CE0" w:rsidRPr="00DB0A8D">
        <w:rPr>
          <w:rFonts w:cs="Times New Roman"/>
          <w:bCs/>
          <w:iCs/>
          <w:szCs w:val="20"/>
        </w:rPr>
        <w:t xml:space="preserve"> </w:t>
      </w:r>
      <w:r w:rsidRPr="00DB0A8D">
        <w:rPr>
          <w:rFonts w:cs="Times New Roman"/>
          <w:bCs/>
          <w:iCs/>
          <w:szCs w:val="20"/>
        </w:rPr>
        <w:t>(contd)</w:t>
      </w:r>
    </w:p>
    <w:p w14:paraId="73A519C0" w14:textId="77777777" w:rsidR="00800B4D" w:rsidRPr="00DF0345" w:rsidRDefault="00800B4D" w:rsidP="000760A9">
      <w:pPr>
        <w:spacing w:after="240" w:line="240" w:lineRule="auto"/>
        <w:jc w:val="both"/>
        <w:rPr>
          <w:rFonts w:ascii="Arial" w:eastAsia="Times New Roman" w:hAnsi="Arial" w:cs="Arial"/>
          <w:sz w:val="18"/>
          <w:szCs w:val="18"/>
          <w:lang w:val="en" w:eastAsia="en-GB"/>
        </w:rPr>
      </w:pPr>
      <w:r w:rsidRPr="00DF0345">
        <w:rPr>
          <w:rFonts w:ascii="Arial" w:eastAsia="Times New Roman" w:hAnsi="Arial" w:cs="Arial"/>
          <w:sz w:val="18"/>
          <w:szCs w:val="18"/>
          <w:lang w:val="en" w:eastAsia="en-GB"/>
        </w:rPr>
        <w:t xml:space="preserve">A country or </w:t>
      </w:r>
      <w:hyperlink r:id="rId128" w:anchor="terme_zone" w:history="1">
        <w:r w:rsidRPr="00DF0345">
          <w:rPr>
            <w:rFonts w:ascii="Arial" w:eastAsia="Times New Roman" w:hAnsi="Arial" w:cs="Arial"/>
            <w:i/>
            <w:iCs/>
            <w:sz w:val="18"/>
            <w:szCs w:val="18"/>
            <w:lang w:val="en" w:eastAsia="en-GB"/>
          </w:rPr>
          <w:t>zone</w:t>
        </w:r>
      </w:hyperlink>
      <w:r w:rsidRPr="00DF0345">
        <w:rPr>
          <w:rFonts w:ascii="Arial" w:eastAsia="Times New Roman" w:hAnsi="Arial" w:cs="Arial"/>
          <w:sz w:val="18"/>
          <w:szCs w:val="18"/>
          <w:lang w:val="en" w:eastAsia="en-GB"/>
        </w:rPr>
        <w:t xml:space="preserve"> that is declared free from infection with [PATHOGEN X] following the provisions of point 2 of Articles </w:t>
      </w:r>
      <w:hyperlink r:id="rId129" w:anchor="article_vhs.4." w:history="1">
        <w:r w:rsidRPr="00DF0345">
          <w:rPr>
            <w:rFonts w:ascii="Arial" w:eastAsia="Times New Roman" w:hAnsi="Arial" w:cs="Arial"/>
            <w:sz w:val="18"/>
            <w:szCs w:val="18"/>
            <w:lang w:val="en" w:eastAsia="en-GB"/>
          </w:rPr>
          <w:t>X.X.5.</w:t>
        </w:r>
      </w:hyperlink>
      <w:r w:rsidRPr="00DF0345">
        <w:rPr>
          <w:rFonts w:ascii="Arial" w:eastAsia="Times New Roman" w:hAnsi="Arial" w:cs="Arial"/>
          <w:sz w:val="18"/>
          <w:szCs w:val="18"/>
          <w:lang w:val="en" w:eastAsia="en-GB"/>
        </w:rPr>
        <w:t xml:space="preserve"> or </w:t>
      </w:r>
      <w:hyperlink r:id="rId130" w:anchor="article_vhs.5." w:history="1">
        <w:r w:rsidRPr="00DF0345">
          <w:rPr>
            <w:rFonts w:ascii="Arial" w:eastAsia="Times New Roman" w:hAnsi="Arial" w:cs="Arial"/>
            <w:sz w:val="18"/>
            <w:szCs w:val="18"/>
            <w:lang w:val="en" w:eastAsia="en-GB"/>
          </w:rPr>
          <w:t>X.X.6.</w:t>
        </w:r>
      </w:hyperlink>
      <w:r w:rsidRPr="00DF0345">
        <w:rPr>
          <w:rFonts w:ascii="Arial" w:eastAsia="Times New Roman" w:hAnsi="Arial" w:cs="Arial"/>
          <w:sz w:val="18"/>
          <w:szCs w:val="18"/>
          <w:lang w:val="en" w:eastAsia="en-GB"/>
        </w:rPr>
        <w:t xml:space="preserve"> (as relevant) may discontinue </w:t>
      </w:r>
      <w:hyperlink r:id="rId131" w:anchor="terme_surveillance_specifique" w:history="1">
        <w:r w:rsidRPr="00DF0345">
          <w:rPr>
            <w:rFonts w:ascii="Arial" w:eastAsia="Times New Roman" w:hAnsi="Arial" w:cs="Arial"/>
            <w:i/>
            <w:iCs/>
            <w:sz w:val="18"/>
            <w:szCs w:val="18"/>
            <w:lang w:val="en" w:eastAsia="en-GB"/>
          </w:rPr>
          <w:t>targeted surveillance</w:t>
        </w:r>
      </w:hyperlink>
      <w:r w:rsidRPr="00DF0345">
        <w:rPr>
          <w:rFonts w:ascii="Arial" w:eastAsia="Times New Roman" w:hAnsi="Arial" w:cs="Arial"/>
          <w:sz w:val="18"/>
          <w:szCs w:val="18"/>
          <w:lang w:val="en" w:eastAsia="en-GB"/>
        </w:rPr>
        <w:t xml:space="preserve"> and maintain its free status provided that conditions are conducive to clinical expression of infection with [PATHOGEN X], as described in the corresponding chapter of the </w:t>
      </w:r>
      <w:hyperlink r:id="rId132" w:anchor="terme_manuel_aquatique" w:history="1">
        <w:r w:rsidRPr="00DF0345">
          <w:rPr>
            <w:rFonts w:ascii="Arial" w:eastAsia="Times New Roman" w:hAnsi="Arial" w:cs="Arial"/>
            <w:i/>
            <w:iCs/>
            <w:sz w:val="18"/>
            <w:szCs w:val="18"/>
            <w:lang w:val="en" w:eastAsia="en-GB"/>
          </w:rPr>
          <w:t>Aquatic Manual</w:t>
        </w:r>
      </w:hyperlink>
      <w:r w:rsidRPr="00DF0345">
        <w:rPr>
          <w:rFonts w:ascii="Arial" w:eastAsia="Times New Roman" w:hAnsi="Arial" w:cs="Arial"/>
          <w:sz w:val="18"/>
          <w:szCs w:val="18"/>
          <w:lang w:val="en" w:eastAsia="en-GB"/>
        </w:rPr>
        <w:t xml:space="preserve">, and </w:t>
      </w:r>
      <w:hyperlink r:id="rId133" w:anchor="terme_conditions_elementaires_de_securite_biologique" w:history="1">
        <w:r w:rsidRPr="00DF0345">
          <w:rPr>
            <w:rFonts w:ascii="Arial" w:eastAsia="Times New Roman" w:hAnsi="Arial" w:cs="Arial"/>
            <w:i/>
            <w:iCs/>
            <w:sz w:val="18"/>
            <w:szCs w:val="18"/>
            <w:lang w:val="en" w:eastAsia="en-GB"/>
          </w:rPr>
          <w:t>basic biosecurity conditions</w:t>
        </w:r>
      </w:hyperlink>
      <w:r w:rsidRPr="00DF0345">
        <w:rPr>
          <w:rFonts w:ascii="Arial" w:eastAsia="Times New Roman" w:hAnsi="Arial" w:cs="Arial"/>
          <w:sz w:val="18"/>
          <w:szCs w:val="18"/>
          <w:lang w:val="en" w:eastAsia="en-GB"/>
        </w:rPr>
        <w:t xml:space="preserve"> are continuously maintained.</w:t>
      </w:r>
    </w:p>
    <w:p w14:paraId="1FD9BFFB" w14:textId="77777777" w:rsidR="00800B4D" w:rsidRPr="00DF0345" w:rsidRDefault="00800B4D" w:rsidP="000760A9">
      <w:pPr>
        <w:spacing w:after="240" w:line="240" w:lineRule="auto"/>
        <w:jc w:val="both"/>
        <w:rPr>
          <w:rFonts w:ascii="Arial" w:eastAsia="Times New Roman" w:hAnsi="Arial" w:cs="Arial"/>
          <w:i/>
          <w:iCs/>
          <w:sz w:val="18"/>
          <w:szCs w:val="18"/>
          <w:lang w:val="en" w:eastAsia="en-GB"/>
        </w:rPr>
      </w:pPr>
      <w:r w:rsidRPr="00DF0345">
        <w:rPr>
          <w:rFonts w:ascii="Arial" w:eastAsia="Times New Roman" w:hAnsi="Arial" w:cs="Arial"/>
          <w:sz w:val="18"/>
          <w:szCs w:val="18"/>
          <w:lang w:val="en" w:eastAsia="en-GB"/>
        </w:rPr>
        <w:t xml:space="preserve">For declared free </w:t>
      </w:r>
      <w:hyperlink r:id="rId134" w:anchor="terme_zone" w:history="1">
        <w:r w:rsidRPr="00DF0345">
          <w:rPr>
            <w:rFonts w:ascii="Arial" w:eastAsia="Times New Roman" w:hAnsi="Arial" w:cs="Arial"/>
            <w:i/>
            <w:iCs/>
            <w:sz w:val="18"/>
            <w:szCs w:val="18"/>
            <w:lang w:val="en" w:eastAsia="en-GB"/>
          </w:rPr>
          <w:t>zones</w:t>
        </w:r>
      </w:hyperlink>
      <w:r w:rsidRPr="00DF0345">
        <w:rPr>
          <w:rFonts w:ascii="Arial" w:eastAsia="Times New Roman" w:hAnsi="Arial" w:cs="Arial"/>
          <w:sz w:val="18"/>
          <w:szCs w:val="18"/>
          <w:lang w:val="en" w:eastAsia="en-GB"/>
        </w:rPr>
        <w:t xml:space="preserve"> or </w:t>
      </w:r>
      <w:hyperlink r:id="rId135" w:anchor="terme_compartiment" w:history="1">
        <w:r w:rsidRPr="00DF0345">
          <w:rPr>
            <w:rFonts w:ascii="Arial" w:eastAsia="Times New Roman" w:hAnsi="Arial" w:cs="Arial"/>
            <w:i/>
            <w:iCs/>
            <w:sz w:val="18"/>
            <w:szCs w:val="18"/>
            <w:lang w:val="en" w:eastAsia="en-GB"/>
          </w:rPr>
          <w:t>compartments</w:t>
        </w:r>
      </w:hyperlink>
      <w:r w:rsidRPr="00DF0345">
        <w:rPr>
          <w:rFonts w:ascii="Arial" w:eastAsia="Times New Roman" w:hAnsi="Arial" w:cs="Arial"/>
          <w:sz w:val="18"/>
          <w:szCs w:val="18"/>
          <w:lang w:val="en" w:eastAsia="en-GB"/>
        </w:rPr>
        <w:t xml:space="preserve"> within the </w:t>
      </w:r>
      <w:r w:rsidRPr="00DF0345">
        <w:rPr>
          <w:rFonts w:ascii="Arial" w:eastAsia="Times New Roman" w:hAnsi="Arial" w:cs="Arial"/>
          <w:i/>
          <w:sz w:val="18"/>
          <w:szCs w:val="18"/>
          <w:lang w:val="en" w:eastAsia="en-GB"/>
        </w:rPr>
        <w:t>territory</w:t>
      </w:r>
      <w:r w:rsidRPr="00DF0345">
        <w:rPr>
          <w:rFonts w:ascii="Arial" w:eastAsia="Times New Roman" w:hAnsi="Arial" w:cs="Arial"/>
          <w:sz w:val="18"/>
          <w:szCs w:val="18"/>
          <w:lang w:val="en" w:eastAsia="en-GB"/>
        </w:rPr>
        <w:t xml:space="preserve"> of a country not declared free, </w:t>
      </w:r>
      <w:hyperlink r:id="rId136" w:anchor="terme_surveillance_specifique" w:history="1">
        <w:r w:rsidRPr="00DF0345">
          <w:rPr>
            <w:rFonts w:ascii="Arial" w:eastAsia="Times New Roman" w:hAnsi="Arial" w:cs="Arial"/>
            <w:i/>
            <w:iCs/>
            <w:sz w:val="18"/>
            <w:szCs w:val="18"/>
            <w:lang w:val="en" w:eastAsia="en-GB"/>
          </w:rPr>
          <w:t>targeted surveillance</w:t>
        </w:r>
      </w:hyperlink>
      <w:r w:rsidRPr="00DF0345">
        <w:rPr>
          <w:rFonts w:ascii="Arial" w:eastAsia="Times New Roman" w:hAnsi="Arial" w:cs="Arial"/>
          <w:sz w:val="18"/>
          <w:szCs w:val="18"/>
          <w:lang w:val="en" w:eastAsia="en-GB"/>
        </w:rPr>
        <w:t xml:space="preserve"> should be continued at a level determined by the </w:t>
      </w:r>
      <w:hyperlink r:id="rId137" w:anchor="terme_services_sante" w:history="1">
        <w:r w:rsidRPr="00DF0345">
          <w:rPr>
            <w:rFonts w:ascii="Arial" w:eastAsia="Times New Roman" w:hAnsi="Arial" w:cs="Arial"/>
            <w:i/>
            <w:iCs/>
            <w:sz w:val="18"/>
            <w:szCs w:val="18"/>
            <w:lang w:val="en" w:eastAsia="en-GB"/>
          </w:rPr>
          <w:t>Aquatic Animal Health Service</w:t>
        </w:r>
      </w:hyperlink>
      <w:r w:rsidRPr="00DF0345">
        <w:rPr>
          <w:rFonts w:ascii="Arial" w:eastAsia="Times New Roman" w:hAnsi="Arial" w:cs="Arial"/>
          <w:sz w:val="18"/>
          <w:szCs w:val="18"/>
          <w:lang w:val="en" w:eastAsia="en-GB"/>
        </w:rPr>
        <w:t xml:space="preserve"> on the basis of the likelihood of </w:t>
      </w:r>
      <w:hyperlink r:id="rId138" w:anchor="terme_infection" w:history="1">
        <w:r w:rsidRPr="00DF0345">
          <w:rPr>
            <w:rFonts w:ascii="Arial" w:eastAsia="Times New Roman" w:hAnsi="Arial" w:cs="Arial"/>
            <w:i/>
            <w:iCs/>
            <w:sz w:val="18"/>
            <w:szCs w:val="18"/>
            <w:lang w:val="en" w:eastAsia="en-GB"/>
          </w:rPr>
          <w:t>infection</w:t>
        </w:r>
      </w:hyperlink>
      <w:r w:rsidRPr="00DF0345">
        <w:rPr>
          <w:rFonts w:ascii="Arial" w:eastAsia="Times New Roman" w:hAnsi="Arial" w:cs="Arial"/>
          <w:i/>
          <w:iCs/>
          <w:sz w:val="18"/>
          <w:szCs w:val="18"/>
          <w:lang w:val="en" w:eastAsia="en-GB"/>
        </w:rPr>
        <w:t xml:space="preserve">. </w:t>
      </w:r>
    </w:p>
    <w:p w14:paraId="2B83E4F9" w14:textId="64653FE5" w:rsidR="00800B4D" w:rsidRPr="00685B5C" w:rsidRDefault="00800B4D" w:rsidP="00800B4D">
      <w:pPr>
        <w:spacing w:after="240" w:line="240" w:lineRule="auto"/>
        <w:jc w:val="both"/>
        <w:rPr>
          <w:rFonts w:ascii="Arial" w:eastAsia="Times New Roman" w:hAnsi="Arial" w:cs="Arial"/>
          <w:sz w:val="18"/>
          <w:szCs w:val="18"/>
          <w:lang w:val="en" w:eastAsia="en-GB"/>
        </w:rPr>
      </w:pPr>
      <w:r w:rsidRPr="00DF0345">
        <w:rPr>
          <w:rFonts w:ascii="Arial" w:eastAsia="Times New Roman" w:hAnsi="Arial" w:cs="Arial"/>
          <w:sz w:val="18"/>
          <w:szCs w:val="18"/>
          <w:lang w:val="en" w:eastAsia="en-GB"/>
        </w:rPr>
        <w:t xml:space="preserve">In all cases where conditions are not conducive to clinical expression of infection with [PATHOGEN X], ongoing </w:t>
      </w:r>
      <w:r w:rsidRPr="00DF0345">
        <w:rPr>
          <w:rFonts w:ascii="Arial" w:eastAsia="Times New Roman" w:hAnsi="Arial" w:cs="Arial"/>
          <w:i/>
          <w:sz w:val="18"/>
          <w:szCs w:val="18"/>
          <w:lang w:val="en" w:eastAsia="en-GB"/>
        </w:rPr>
        <w:t xml:space="preserve">targeted </w:t>
      </w:r>
      <w:r w:rsidRPr="00DF0345">
        <w:rPr>
          <w:rFonts w:ascii="Arial" w:eastAsia="Times New Roman" w:hAnsi="Arial" w:cs="Arial"/>
          <w:i/>
          <w:iCs/>
          <w:sz w:val="18"/>
          <w:szCs w:val="18"/>
          <w:lang w:val="en" w:eastAsia="en-GB"/>
        </w:rPr>
        <w:t>surveillance,</w:t>
      </w:r>
      <w:r w:rsidRPr="00DF0345">
        <w:rPr>
          <w:rFonts w:ascii="Arial" w:eastAsia="Times New Roman" w:hAnsi="Arial" w:cs="Arial"/>
          <w:sz w:val="18"/>
          <w:szCs w:val="18"/>
          <w:lang w:val="en" w:eastAsia="en-GB"/>
        </w:rPr>
        <w:t xml:space="preserve"> as described in Chapter </w:t>
      </w:r>
      <w:hyperlink r:id="rId139" w:anchor="chapitre_aqua_ani_surveillance" w:history="1">
        <w:r w:rsidRPr="00DF0345">
          <w:rPr>
            <w:rFonts w:ascii="Arial" w:eastAsia="Times New Roman" w:hAnsi="Arial" w:cs="Arial"/>
            <w:sz w:val="18"/>
            <w:szCs w:val="18"/>
            <w:lang w:val="en" w:eastAsia="en-GB"/>
          </w:rPr>
          <w:t>1.4.</w:t>
        </w:r>
      </w:hyperlink>
      <w:r w:rsidRPr="00DF0345">
        <w:rPr>
          <w:rFonts w:ascii="Arial" w:eastAsia="Times New Roman" w:hAnsi="Arial" w:cs="Arial"/>
          <w:sz w:val="18"/>
          <w:szCs w:val="18"/>
          <w:lang w:val="en" w:eastAsia="en-GB"/>
        </w:rPr>
        <w:t>, is required at a level that maintains the level of confidence in freedom from infection with [PATHOGEN X] that was required for the initial declaration of freedom.</w:t>
      </w:r>
    </w:p>
    <w:p w14:paraId="6BB5EB16" w14:textId="77777777" w:rsidR="00796F38" w:rsidRPr="00F50BB9" w:rsidRDefault="00796F38" w:rsidP="00796F38">
      <w:pPr>
        <w:spacing w:after="720"/>
        <w:ind w:right="51"/>
        <w:jc w:val="center"/>
        <w:rPr>
          <w:rFonts w:eastAsia="MS Mincho" w:cs="Times New Roman"/>
          <w:kern w:val="2"/>
          <w:szCs w:val="20"/>
        </w:rPr>
      </w:pPr>
      <w:r w:rsidRPr="00946B20">
        <w:rPr>
          <w:rFonts w:eastAsia="MS Mincho" w:cs="Times New Roman"/>
          <w:kern w:val="2"/>
          <w:szCs w:val="20"/>
        </w:rPr>
        <w:t>__________________________</w:t>
      </w:r>
    </w:p>
    <w:p w14:paraId="644637CE" w14:textId="77777777" w:rsidR="00800B4D" w:rsidRDefault="00800B4D" w:rsidP="00800B4D"/>
    <w:p w14:paraId="1158FED9" w14:textId="1E3592B1" w:rsidR="00800B4D" w:rsidRPr="00800B4D" w:rsidRDefault="00800B4D" w:rsidP="00800B4D">
      <w:pPr>
        <w:spacing w:after="240" w:line="240" w:lineRule="auto"/>
        <w:jc w:val="both"/>
        <w:rPr>
          <w:rFonts w:eastAsia="Times New Roman" w:cs="Times New Roman"/>
          <w:szCs w:val="20"/>
          <w:lang w:eastAsia="en-GB"/>
        </w:rPr>
      </w:pPr>
    </w:p>
    <w:p w14:paraId="08494B33" w14:textId="7ED68E28" w:rsidR="00800B4D" w:rsidRDefault="00800B4D" w:rsidP="00800B4D">
      <w:pPr>
        <w:spacing w:after="240" w:line="240" w:lineRule="auto"/>
        <w:jc w:val="both"/>
        <w:rPr>
          <w:rFonts w:eastAsia="Times New Roman" w:cs="Times New Roman"/>
          <w:szCs w:val="20"/>
          <w:lang w:val="en" w:eastAsia="en-GB"/>
        </w:rPr>
      </w:pPr>
    </w:p>
    <w:p w14:paraId="0818A24D" w14:textId="34170A90" w:rsidR="00800B4D" w:rsidRDefault="00800B4D" w:rsidP="00800B4D">
      <w:pPr>
        <w:spacing w:after="240" w:line="240" w:lineRule="auto"/>
        <w:jc w:val="both"/>
        <w:rPr>
          <w:rFonts w:eastAsia="Times New Roman" w:cs="Times New Roman"/>
          <w:szCs w:val="20"/>
          <w:lang w:val="en" w:eastAsia="en-GB"/>
        </w:rPr>
      </w:pPr>
    </w:p>
    <w:p w14:paraId="72FCFEB1" w14:textId="6EC3B7F8" w:rsidR="00800B4D" w:rsidRDefault="00800B4D" w:rsidP="00800B4D">
      <w:pPr>
        <w:spacing w:after="240" w:line="240" w:lineRule="auto"/>
        <w:jc w:val="both"/>
        <w:rPr>
          <w:rFonts w:eastAsia="Times New Roman" w:cs="Times New Roman"/>
          <w:szCs w:val="20"/>
          <w:lang w:val="en" w:eastAsia="en-GB"/>
        </w:rPr>
      </w:pPr>
    </w:p>
    <w:p w14:paraId="6575A60B" w14:textId="7494AA82" w:rsidR="00800B4D" w:rsidRDefault="00800B4D" w:rsidP="00800B4D">
      <w:pPr>
        <w:spacing w:after="240" w:line="240" w:lineRule="auto"/>
        <w:jc w:val="both"/>
        <w:rPr>
          <w:rFonts w:eastAsia="Times New Roman" w:cs="Times New Roman"/>
          <w:szCs w:val="20"/>
          <w:lang w:val="en" w:eastAsia="en-GB"/>
        </w:rPr>
      </w:pPr>
    </w:p>
    <w:p w14:paraId="1F460BF0" w14:textId="77777777" w:rsidR="00796F38" w:rsidRDefault="00796F38" w:rsidP="00FC6CE0">
      <w:pPr>
        <w:pStyle w:val="Titre4"/>
        <w:spacing w:before="0" w:after="480" w:line="240" w:lineRule="auto"/>
        <w:ind w:left="720"/>
        <w:jc w:val="right"/>
        <w:rPr>
          <w:rFonts w:ascii="Times New Roman" w:hAnsi="Times New Roman" w:cs="Times New Roman"/>
          <w:bCs/>
          <w:i w:val="0"/>
          <w:iCs w:val="0"/>
          <w:color w:val="auto"/>
          <w:u w:val="single"/>
        </w:rPr>
        <w:sectPr w:rsidR="00796F38" w:rsidSect="001D5EB7">
          <w:headerReference w:type="even" r:id="rId140"/>
          <w:headerReference w:type="default" r:id="rId141"/>
          <w:footerReference w:type="even" r:id="rId142"/>
          <w:footerReference w:type="default" r:id="rId143"/>
          <w:headerReference w:type="first" r:id="rId144"/>
          <w:footerReference w:type="first" r:id="rId145"/>
          <w:pgSz w:w="11906" w:h="16838" w:code="9"/>
          <w:pgMar w:top="1304" w:right="1304" w:bottom="1304" w:left="1304" w:header="567" w:footer="567" w:gutter="0"/>
          <w:cols w:space="708"/>
          <w:titlePg/>
          <w:docGrid w:linePitch="360"/>
        </w:sectPr>
      </w:pPr>
      <w:bookmarkStart w:id="99" w:name="_Annex_10_1"/>
      <w:bookmarkEnd w:id="99"/>
    </w:p>
    <w:p w14:paraId="7C8831A9" w14:textId="73A86C0C" w:rsidR="00FC6CE0" w:rsidRPr="006A2D15" w:rsidRDefault="00FC6CE0" w:rsidP="00FC6CE0">
      <w:pPr>
        <w:pStyle w:val="Titre4"/>
        <w:spacing w:before="0" w:after="480" w:line="240" w:lineRule="auto"/>
        <w:ind w:left="720"/>
        <w:jc w:val="right"/>
        <w:rPr>
          <w:rFonts w:ascii="Times New Roman" w:hAnsi="Times New Roman" w:cs="Times New Roman"/>
          <w:bCs/>
          <w:i w:val="0"/>
          <w:iCs w:val="0"/>
          <w:color w:val="auto"/>
          <w:u w:val="single"/>
        </w:rPr>
      </w:pPr>
      <w:bookmarkStart w:id="100" w:name="_Annex_10_2"/>
      <w:bookmarkEnd w:id="100"/>
      <w:r w:rsidRPr="006A2D15">
        <w:rPr>
          <w:rFonts w:ascii="Times New Roman" w:hAnsi="Times New Roman" w:cs="Times New Roman"/>
          <w:bCs/>
          <w:i w:val="0"/>
          <w:iCs w:val="0"/>
          <w:color w:val="auto"/>
          <w:u w:val="single"/>
        </w:rPr>
        <w:lastRenderedPageBreak/>
        <w:t xml:space="preserve">Annex </w:t>
      </w:r>
      <w:r>
        <w:rPr>
          <w:rFonts w:ascii="Times New Roman" w:hAnsi="Times New Roman" w:cs="Times New Roman"/>
          <w:bCs/>
          <w:i w:val="0"/>
          <w:iCs w:val="0"/>
          <w:color w:val="auto"/>
          <w:u w:val="single"/>
        </w:rPr>
        <w:t>10</w:t>
      </w:r>
    </w:p>
    <w:p w14:paraId="0FE61B0E" w14:textId="77777777" w:rsidR="00FC6CE0" w:rsidRPr="00BC2523" w:rsidRDefault="00FC6CE0" w:rsidP="00FC6CE0">
      <w:pPr>
        <w:spacing w:after="240" w:line="240" w:lineRule="auto"/>
        <w:jc w:val="center"/>
        <w:rPr>
          <w:rFonts w:cs="Times New Roman"/>
          <w:b/>
          <w:caps/>
          <w:sz w:val="22"/>
        </w:rPr>
      </w:pPr>
      <w:r w:rsidRPr="00BC2523">
        <w:rPr>
          <w:rFonts w:cs="Times New Roman"/>
          <w:b/>
          <w:caps/>
          <w:sz w:val="22"/>
        </w:rPr>
        <w:t>Assessment of</w:t>
      </w:r>
      <w:r w:rsidRPr="00BC2523">
        <w:rPr>
          <w:rFonts w:cs="Times New Roman"/>
          <w:caps/>
          <w:sz w:val="22"/>
        </w:rPr>
        <w:t xml:space="preserve"> </w:t>
      </w:r>
      <w:r w:rsidRPr="00BC2523">
        <w:rPr>
          <w:rFonts w:cs="Times New Roman"/>
          <w:b/>
          <w:caps/>
          <w:sz w:val="22"/>
        </w:rPr>
        <w:t>INFECTION WITH DECAPOD IRIDeSCENT VIRUS 1 (div1)</w:t>
      </w:r>
      <w:r w:rsidRPr="00BC2523">
        <w:rPr>
          <w:rFonts w:cs="Times New Roman"/>
          <w:b/>
          <w:caps/>
          <w:sz w:val="22"/>
        </w:rPr>
        <w:br/>
        <w:t>for listing in Chapter 1.3. of the</w:t>
      </w:r>
      <w:r w:rsidRPr="00BC2523">
        <w:rPr>
          <w:rFonts w:cs="Times New Roman"/>
          <w:b/>
          <w:caps/>
          <w:sz w:val="22"/>
        </w:rPr>
        <w:br/>
      </w:r>
      <w:r w:rsidRPr="00BC2523">
        <w:rPr>
          <w:rFonts w:cs="Times New Roman"/>
          <w:b/>
          <w:i/>
          <w:caps/>
          <w:sz w:val="22"/>
        </w:rPr>
        <w:t>Aquatic Animal Health Code</w:t>
      </w:r>
    </w:p>
    <w:p w14:paraId="09A8A8E7" w14:textId="77777777" w:rsidR="00FC6CE0" w:rsidRPr="00BC2523" w:rsidRDefault="00FC6CE0" w:rsidP="00FC6CE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uto"/>
        <w:jc w:val="both"/>
        <w:rPr>
          <w:rFonts w:cs="Times New Roman"/>
          <w:b/>
          <w:szCs w:val="20"/>
        </w:rPr>
      </w:pPr>
      <w:r w:rsidRPr="00BC2523">
        <w:rPr>
          <w:rFonts w:cs="Times New Roman"/>
          <w:b/>
          <w:szCs w:val="20"/>
        </w:rPr>
        <w:t>Overall Assessment</w:t>
      </w:r>
    </w:p>
    <w:p w14:paraId="26645DF7" w14:textId="3C6FBFBC" w:rsidR="00FC6CE0" w:rsidRPr="00BC2523" w:rsidRDefault="00FC6CE0" w:rsidP="00FC6CE0">
      <w:pPr>
        <w:spacing w:after="120" w:line="240" w:lineRule="auto"/>
        <w:jc w:val="both"/>
        <w:rPr>
          <w:rFonts w:cs="Times New Roman"/>
          <w:szCs w:val="20"/>
        </w:rPr>
      </w:pPr>
      <w:r w:rsidRPr="00BC2523">
        <w:rPr>
          <w:rFonts w:cs="Times New Roman"/>
          <w:szCs w:val="20"/>
        </w:rPr>
        <w:t xml:space="preserve">The OIE Aquatic Animal Health Standards Commission (the Commission) assessed infection with decapod iridescent </w:t>
      </w:r>
      <w:r w:rsidRPr="003516E1">
        <w:rPr>
          <w:rFonts w:cs="Times New Roman"/>
          <w:szCs w:val="20"/>
          <w:highlight w:val="yellow"/>
          <w:u w:val="double"/>
        </w:rPr>
        <w:t>virus 1</w:t>
      </w:r>
      <w:r w:rsidRPr="006401EB">
        <w:rPr>
          <w:rFonts w:cs="Times New Roman"/>
          <w:szCs w:val="20"/>
        </w:rPr>
        <w:t xml:space="preserve"> (DIV1</w:t>
      </w:r>
      <w:r w:rsidRPr="00BC2523">
        <w:rPr>
          <w:rFonts w:cs="Times New Roman"/>
          <w:szCs w:val="20"/>
        </w:rPr>
        <w:t xml:space="preserve">) against the criteria for listing aquatic animal diseases in Article 1.2.2. of the </w:t>
      </w:r>
      <w:r w:rsidRPr="00BC2523">
        <w:rPr>
          <w:rFonts w:cs="Times New Roman"/>
          <w:i/>
          <w:szCs w:val="20"/>
        </w:rPr>
        <w:t>Aquatic Code</w:t>
      </w:r>
      <w:r w:rsidRPr="00BC2523">
        <w:rPr>
          <w:rFonts w:cs="Times New Roman"/>
          <w:szCs w:val="20"/>
        </w:rPr>
        <w:t xml:space="preserve"> and agreed that infection with (DIV1) meets the OIE criteria for listing, notably 1.: International spread of the disease is likely; 2.: At least one country may demonstrate country or zone freedom from the disease; 3.: A precise case definition is available and a reliable means of detection and diagnosis exists, and 4b.: The disease has been shown to affect the health of cultured aquatic animals at the level of a country or a zone resulting in significant consequences e.g. production losses, morbidity or mortality at a zone or country level  (see Table 1 below).</w:t>
      </w:r>
    </w:p>
    <w:p w14:paraId="7375A179" w14:textId="77777777" w:rsidR="00FC6CE0" w:rsidRPr="00BC2523" w:rsidRDefault="00FC6CE0" w:rsidP="00FC6CE0">
      <w:pPr>
        <w:widowControl w:val="0"/>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240" w:line="240" w:lineRule="auto"/>
        <w:jc w:val="both"/>
        <w:rPr>
          <w:rFonts w:cs="Times New Roman"/>
          <w:strike/>
          <w:szCs w:val="20"/>
        </w:rPr>
      </w:pPr>
      <w:r w:rsidRPr="00BC2523">
        <w:rPr>
          <w:rFonts w:cs="Times New Roman"/>
          <w:b/>
          <w:szCs w:val="20"/>
        </w:rPr>
        <w:t>Table 1.</w:t>
      </w:r>
      <w:r w:rsidRPr="00BC2523">
        <w:rPr>
          <w:rFonts w:cs="Times New Roman"/>
          <w:szCs w:val="20"/>
        </w:rPr>
        <w:t xml:space="preserve"> Summary of assessment of infection with (DIV1) </w:t>
      </w:r>
    </w:p>
    <w:tbl>
      <w:tblPr>
        <w:tblW w:w="0" w:type="auto"/>
        <w:tblInd w:w="79" w:type="dxa"/>
        <w:tblLayout w:type="fixed"/>
        <w:tblCellMar>
          <w:left w:w="70" w:type="dxa"/>
          <w:right w:w="70" w:type="dxa"/>
        </w:tblCellMar>
        <w:tblLook w:val="0000" w:firstRow="0" w:lastRow="0" w:firstColumn="0" w:lastColumn="0" w:noHBand="0" w:noVBand="0"/>
      </w:tblPr>
      <w:tblGrid>
        <w:gridCol w:w="2340"/>
        <w:gridCol w:w="618"/>
        <w:gridCol w:w="618"/>
        <w:gridCol w:w="618"/>
        <w:gridCol w:w="618"/>
        <w:gridCol w:w="618"/>
        <w:gridCol w:w="607"/>
        <w:gridCol w:w="3319"/>
      </w:tblGrid>
      <w:tr w:rsidR="00FC6CE0" w:rsidRPr="00BC2523" w14:paraId="1E79BF97" w14:textId="77777777" w:rsidTr="00BC5907">
        <w:trPr>
          <w:cantSplit/>
        </w:trPr>
        <w:tc>
          <w:tcPr>
            <w:tcW w:w="2340" w:type="dxa"/>
            <w:vMerge w:val="restart"/>
            <w:tcBorders>
              <w:top w:val="single" w:sz="3" w:space="0" w:color="000000"/>
              <w:left w:val="single" w:sz="3" w:space="0" w:color="000000"/>
              <w:bottom w:val="single" w:sz="3" w:space="0" w:color="000000"/>
              <w:right w:val="single" w:sz="3" w:space="0" w:color="000000"/>
            </w:tcBorders>
            <w:tcMar>
              <w:left w:w="79" w:type="dxa"/>
              <w:right w:w="70" w:type="dxa"/>
            </w:tcMar>
          </w:tcPr>
          <w:p w14:paraId="02C08982"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p>
        </w:tc>
        <w:tc>
          <w:tcPr>
            <w:tcW w:w="3697" w:type="dxa"/>
            <w:gridSpan w:val="6"/>
            <w:tcBorders>
              <w:top w:val="single" w:sz="3" w:space="0" w:color="000000"/>
              <w:left w:val="single" w:sz="3" w:space="0" w:color="000000"/>
              <w:bottom w:val="single" w:sz="3" w:space="0" w:color="000000"/>
              <w:right w:val="single" w:sz="3" w:space="0" w:color="000000"/>
            </w:tcBorders>
            <w:tcMar>
              <w:left w:w="79" w:type="dxa"/>
              <w:right w:w="79" w:type="dxa"/>
            </w:tcMar>
          </w:tcPr>
          <w:p w14:paraId="2F67FF18"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Listing criteria</w:t>
            </w:r>
          </w:p>
        </w:tc>
        <w:tc>
          <w:tcPr>
            <w:tcW w:w="3319" w:type="dxa"/>
            <w:tcBorders>
              <w:top w:val="single" w:sz="3" w:space="0" w:color="000000"/>
              <w:left w:val="single" w:sz="3" w:space="0" w:color="000000"/>
              <w:bottom w:val="single" w:sz="3" w:space="0" w:color="000000"/>
              <w:right w:val="single" w:sz="3" w:space="0" w:color="000000"/>
            </w:tcBorders>
          </w:tcPr>
          <w:p w14:paraId="43B1FE68"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Conclusion</w:t>
            </w:r>
          </w:p>
        </w:tc>
      </w:tr>
      <w:tr w:rsidR="00FC6CE0" w:rsidRPr="00BC2523" w14:paraId="60A8A68A" w14:textId="77777777" w:rsidTr="00BC5907">
        <w:trPr>
          <w:cantSplit/>
        </w:trPr>
        <w:tc>
          <w:tcPr>
            <w:tcW w:w="2340" w:type="dxa"/>
            <w:vMerge/>
            <w:tcBorders>
              <w:top w:val="single" w:sz="3" w:space="0" w:color="000000"/>
              <w:left w:val="single" w:sz="3" w:space="0" w:color="000000"/>
              <w:bottom w:val="single" w:sz="3" w:space="0" w:color="000000"/>
              <w:right w:val="single" w:sz="3" w:space="0" w:color="000000"/>
            </w:tcBorders>
            <w:tcMar>
              <w:left w:w="79" w:type="dxa"/>
              <w:right w:w="70" w:type="dxa"/>
            </w:tcMar>
          </w:tcPr>
          <w:p w14:paraId="3FB7B53C"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05B08D2D"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1</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6124AAAC"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2</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56B47295"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3</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639C9FC2"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4a</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0AA9C952"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4b</w:t>
            </w:r>
          </w:p>
        </w:tc>
        <w:tc>
          <w:tcPr>
            <w:tcW w:w="607"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2E9CFB39"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4c</w:t>
            </w:r>
          </w:p>
        </w:tc>
        <w:tc>
          <w:tcPr>
            <w:tcW w:w="3319" w:type="dxa"/>
            <w:tcBorders>
              <w:top w:val="single" w:sz="3" w:space="0" w:color="000000"/>
              <w:left w:val="single" w:sz="3" w:space="0" w:color="000000"/>
              <w:bottom w:val="single" w:sz="3" w:space="0" w:color="000000"/>
              <w:right w:val="single" w:sz="3" w:space="0" w:color="000000"/>
            </w:tcBorders>
            <w:tcMar>
              <w:left w:w="79" w:type="dxa"/>
              <w:right w:w="79" w:type="dxa"/>
            </w:tcMar>
            <w:vAlign w:val="center"/>
          </w:tcPr>
          <w:p w14:paraId="575E8888"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p>
        </w:tc>
      </w:tr>
      <w:tr w:rsidR="00FC6CE0" w:rsidRPr="00BC2523" w14:paraId="2BB837D6" w14:textId="77777777" w:rsidTr="00BC5907">
        <w:tc>
          <w:tcPr>
            <w:tcW w:w="2340" w:type="dxa"/>
            <w:tcBorders>
              <w:top w:val="single" w:sz="3" w:space="0" w:color="000000"/>
              <w:left w:val="single" w:sz="3" w:space="0" w:color="000000"/>
              <w:bottom w:val="single" w:sz="3" w:space="0" w:color="000000"/>
              <w:right w:val="single" w:sz="3" w:space="0" w:color="000000"/>
            </w:tcBorders>
            <w:tcMar>
              <w:left w:w="79" w:type="dxa"/>
              <w:right w:w="70" w:type="dxa"/>
            </w:tcMar>
          </w:tcPr>
          <w:p w14:paraId="4109F3DE"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rPr>
                <w:rFonts w:cs="Times New Roman"/>
                <w:szCs w:val="20"/>
              </w:rPr>
            </w:pPr>
            <w:r w:rsidRPr="00BC2523">
              <w:rPr>
                <w:rFonts w:cs="Times New Roman"/>
                <w:szCs w:val="20"/>
              </w:rPr>
              <w:t>Infection with DIV1</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35DD6F87"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0B0C6CC2"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76B4F25D"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16C2DA37"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NA</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4C3A3058"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w:t>
            </w:r>
          </w:p>
        </w:tc>
        <w:tc>
          <w:tcPr>
            <w:tcW w:w="607"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6F5D7AEE"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w:t>
            </w:r>
          </w:p>
        </w:tc>
        <w:tc>
          <w:tcPr>
            <w:tcW w:w="3319" w:type="dxa"/>
            <w:tcBorders>
              <w:top w:val="single" w:sz="3" w:space="0" w:color="000000"/>
              <w:left w:val="single" w:sz="3" w:space="0" w:color="000000"/>
              <w:bottom w:val="single" w:sz="3" w:space="0" w:color="000000"/>
              <w:right w:val="single" w:sz="3" w:space="0" w:color="000000"/>
            </w:tcBorders>
            <w:tcMar>
              <w:left w:w="79" w:type="dxa"/>
              <w:right w:w="79" w:type="dxa"/>
            </w:tcMar>
            <w:vAlign w:val="center"/>
          </w:tcPr>
          <w:p w14:paraId="7041E9EE" w14:textId="77777777" w:rsidR="00FC6CE0" w:rsidRPr="00BC2523" w:rsidRDefault="00FC6CE0" w:rsidP="00BC5907">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cs="Times New Roman"/>
                <w:szCs w:val="20"/>
              </w:rPr>
            </w:pPr>
            <w:r w:rsidRPr="00BC2523">
              <w:rPr>
                <w:rFonts w:cs="Times New Roman"/>
                <w:szCs w:val="20"/>
              </w:rPr>
              <w:t xml:space="preserve">The disease meets the criteria for listing </w:t>
            </w:r>
          </w:p>
        </w:tc>
      </w:tr>
    </w:tbl>
    <w:p w14:paraId="5542E7A1" w14:textId="77777777" w:rsidR="00FC6CE0" w:rsidRPr="00BC2523" w:rsidRDefault="00FC6CE0" w:rsidP="00FC6CE0">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240" w:line="240" w:lineRule="auto"/>
        <w:jc w:val="both"/>
        <w:rPr>
          <w:rFonts w:cs="Times New Roman"/>
          <w:szCs w:val="20"/>
        </w:rPr>
      </w:pPr>
      <w:r w:rsidRPr="00BC2523">
        <w:rPr>
          <w:rFonts w:cs="Times New Roman"/>
          <w:szCs w:val="20"/>
        </w:rPr>
        <w:tab/>
        <w:t>NA = not applicable.</w:t>
      </w:r>
    </w:p>
    <w:p w14:paraId="02BCF1FF" w14:textId="77777777" w:rsidR="00FC6CE0" w:rsidRPr="00BC2523" w:rsidRDefault="00FC6CE0" w:rsidP="00FC6CE0">
      <w:pPr>
        <w:rPr>
          <w:rFonts w:cs="Times New Roman"/>
          <w:b/>
          <w:bCs/>
          <w:szCs w:val="20"/>
        </w:rPr>
      </w:pPr>
      <w:r w:rsidRPr="00BC2523">
        <w:rPr>
          <w:rFonts w:cs="Times New Roman"/>
          <w:b/>
          <w:bCs/>
          <w:szCs w:val="20"/>
        </w:rPr>
        <w:t>Background</w:t>
      </w:r>
    </w:p>
    <w:p w14:paraId="259C6355" w14:textId="77777777" w:rsidR="00FC6CE0" w:rsidRPr="00BC2523" w:rsidRDefault="00FC6CE0" w:rsidP="00FC6CE0">
      <w:pPr>
        <w:jc w:val="both"/>
        <w:rPr>
          <w:rFonts w:cs="Times New Roman"/>
          <w:szCs w:val="20"/>
        </w:rPr>
      </w:pPr>
      <w:r w:rsidRPr="00BC2523">
        <w:rPr>
          <w:rFonts w:cs="Times New Roman"/>
          <w:szCs w:val="20"/>
        </w:rPr>
        <w:t xml:space="preserve">A novel member of family </w:t>
      </w:r>
      <w:r w:rsidRPr="00BC2523">
        <w:rPr>
          <w:rFonts w:cs="Times New Roman"/>
          <w:i/>
          <w:iCs/>
          <w:szCs w:val="20"/>
        </w:rPr>
        <w:t>Iridoviridae</w:t>
      </w:r>
      <w:r w:rsidRPr="00BC2523">
        <w:rPr>
          <w:rFonts w:cs="Times New Roman"/>
          <w:szCs w:val="20"/>
        </w:rPr>
        <w:t xml:space="preserve">, named as decapod iridescent virus 1 (DIV1) (ICTV, 2019), with a double-stranded DNA genome </w:t>
      </w:r>
      <w:r w:rsidRPr="00BC2523">
        <w:rPr>
          <w:rFonts w:cs="Times New Roman"/>
          <w:szCs w:val="20"/>
          <w:highlight w:val="yellow"/>
          <w:u w:val="double"/>
        </w:rPr>
        <w:t>of</w:t>
      </w:r>
      <w:r w:rsidRPr="00BC2523">
        <w:rPr>
          <w:rFonts w:cs="Times New Roman"/>
          <w:szCs w:val="20"/>
        </w:rPr>
        <w:t xml:space="preserve"> about 166K bp (Li </w:t>
      </w:r>
      <w:r w:rsidRPr="00BC2523">
        <w:rPr>
          <w:rFonts w:cs="Times New Roman"/>
          <w:i/>
          <w:iCs/>
          <w:szCs w:val="20"/>
        </w:rPr>
        <w:t>et al</w:t>
      </w:r>
      <w:r w:rsidRPr="00BC2523">
        <w:rPr>
          <w:rFonts w:cs="Times New Roman"/>
          <w:szCs w:val="20"/>
        </w:rPr>
        <w:t xml:space="preserve">., 2017; Qiu </w:t>
      </w:r>
      <w:r w:rsidRPr="00BC2523">
        <w:rPr>
          <w:rFonts w:cs="Times New Roman"/>
          <w:i/>
          <w:iCs/>
          <w:szCs w:val="20"/>
        </w:rPr>
        <w:t>et al</w:t>
      </w:r>
      <w:r w:rsidRPr="00BC2523">
        <w:rPr>
          <w:rFonts w:cs="Times New Roman"/>
          <w:szCs w:val="20"/>
        </w:rPr>
        <w:t xml:space="preserve">., 2017b), has been identified as the cause of mass mortalities in shrimp, prawn and crayfish production (Xu </w:t>
      </w:r>
      <w:r w:rsidRPr="00BC2523">
        <w:rPr>
          <w:rFonts w:cs="Times New Roman"/>
          <w:i/>
          <w:iCs/>
          <w:szCs w:val="20"/>
        </w:rPr>
        <w:t>et al</w:t>
      </w:r>
      <w:r w:rsidRPr="00BC2523">
        <w:rPr>
          <w:rFonts w:cs="Times New Roman"/>
          <w:szCs w:val="20"/>
        </w:rPr>
        <w:t xml:space="preserve">., 2016; Qiu </w:t>
      </w:r>
      <w:r w:rsidRPr="00BC2523">
        <w:rPr>
          <w:rFonts w:cs="Times New Roman"/>
          <w:i/>
          <w:iCs/>
          <w:szCs w:val="20"/>
        </w:rPr>
        <w:t>et al</w:t>
      </w:r>
      <w:r w:rsidRPr="00BC2523">
        <w:rPr>
          <w:rFonts w:cs="Times New Roman"/>
          <w:szCs w:val="20"/>
        </w:rPr>
        <w:t xml:space="preserve">., 2017a; Qiu </w:t>
      </w:r>
      <w:r w:rsidRPr="00BC2523">
        <w:rPr>
          <w:rFonts w:cs="Times New Roman"/>
          <w:i/>
          <w:iCs/>
          <w:szCs w:val="20"/>
        </w:rPr>
        <w:t>et al</w:t>
      </w:r>
      <w:r w:rsidRPr="00BC2523">
        <w:rPr>
          <w:rFonts w:cs="Times New Roman"/>
          <w:szCs w:val="20"/>
        </w:rPr>
        <w:t xml:space="preserve">., 2019a). </w:t>
      </w:r>
      <w:r w:rsidRPr="00BC2523">
        <w:rPr>
          <w:rFonts w:cs="Times New Roman"/>
          <w:strike/>
          <w:szCs w:val="20"/>
        </w:rPr>
        <w:t xml:space="preserve">Shrimp </w:t>
      </w:r>
      <w:r w:rsidRPr="00BC2523">
        <w:rPr>
          <w:rFonts w:cs="Times New Roman"/>
          <w:szCs w:val="20"/>
        </w:rPr>
        <w:t>Infection with DIV1 has so far been detected in red claw crayfish (</w:t>
      </w:r>
      <w:r w:rsidRPr="00BC2523">
        <w:rPr>
          <w:rFonts w:cs="Times New Roman"/>
          <w:i/>
          <w:szCs w:val="20"/>
        </w:rPr>
        <w:t>Cherax quadricarinatus</w:t>
      </w:r>
      <w:r w:rsidRPr="00BC2523">
        <w:rPr>
          <w:rFonts w:cs="Times New Roman"/>
          <w:iCs/>
          <w:szCs w:val="20"/>
        </w:rPr>
        <w:t>)</w:t>
      </w:r>
      <w:r w:rsidRPr="00BC2523">
        <w:rPr>
          <w:rFonts w:cs="Times New Roman"/>
          <w:i/>
          <w:szCs w:val="20"/>
        </w:rPr>
        <w:t xml:space="preserve"> </w:t>
      </w:r>
      <w:r w:rsidRPr="00BC2523">
        <w:rPr>
          <w:rFonts w:cs="Times New Roman"/>
          <w:iCs/>
          <w:szCs w:val="20"/>
        </w:rPr>
        <w:t xml:space="preserve">(Xu </w:t>
      </w:r>
      <w:r w:rsidRPr="00BC2523">
        <w:rPr>
          <w:rFonts w:cs="Times New Roman"/>
          <w:i/>
          <w:iCs/>
          <w:szCs w:val="20"/>
        </w:rPr>
        <w:t>et al</w:t>
      </w:r>
      <w:r w:rsidRPr="00BC2523">
        <w:rPr>
          <w:rFonts w:cs="Times New Roman"/>
          <w:iCs/>
          <w:szCs w:val="20"/>
        </w:rPr>
        <w:t xml:space="preserve">., 2016), </w:t>
      </w:r>
      <w:r w:rsidRPr="00BC2523">
        <w:rPr>
          <w:rFonts w:cs="Times New Roman"/>
          <w:szCs w:val="20"/>
        </w:rPr>
        <w:t>white-leg shrimp (</w:t>
      </w:r>
      <w:r w:rsidRPr="00BC2523">
        <w:rPr>
          <w:rFonts w:cs="Times New Roman"/>
          <w:i/>
          <w:szCs w:val="20"/>
        </w:rPr>
        <w:t>Penaeus vannamei</w:t>
      </w:r>
      <w:r w:rsidRPr="00BC2523">
        <w:rPr>
          <w:rFonts w:cs="Times New Roman"/>
          <w:szCs w:val="20"/>
        </w:rPr>
        <w:t xml:space="preserve">) (Qiu </w:t>
      </w:r>
      <w:r w:rsidRPr="00BC2523">
        <w:rPr>
          <w:rFonts w:cs="Times New Roman"/>
          <w:i/>
          <w:iCs/>
          <w:szCs w:val="20"/>
        </w:rPr>
        <w:t xml:space="preserve">et al., </w:t>
      </w:r>
      <w:r w:rsidRPr="00BC2523">
        <w:rPr>
          <w:rFonts w:cs="Times New Roman"/>
          <w:szCs w:val="20"/>
        </w:rPr>
        <w:t xml:space="preserve">2017), </w:t>
      </w:r>
      <w:r w:rsidRPr="00BC2523">
        <w:rPr>
          <w:rFonts w:cs="Times New Roman"/>
          <w:szCs w:val="20"/>
          <w:lang w:eastAsia="zh-CN"/>
        </w:rPr>
        <w:t>g</w:t>
      </w:r>
      <w:r w:rsidRPr="00BC2523">
        <w:rPr>
          <w:rFonts w:cs="Times New Roman"/>
          <w:szCs w:val="20"/>
        </w:rPr>
        <w:t>iant freshwater prawn (</w:t>
      </w:r>
      <w:r w:rsidRPr="00BC2523">
        <w:rPr>
          <w:rFonts w:cs="Times New Roman"/>
          <w:i/>
          <w:szCs w:val="20"/>
        </w:rPr>
        <w:t>Macrobrachium rosenbergii</w:t>
      </w:r>
      <w:r w:rsidRPr="00BC2523">
        <w:rPr>
          <w:rFonts w:cs="Times New Roman"/>
          <w:iCs/>
          <w:szCs w:val="20"/>
        </w:rPr>
        <w:t>)</w:t>
      </w:r>
      <w:r w:rsidRPr="00BC2523">
        <w:rPr>
          <w:rFonts w:cs="Times New Roman"/>
          <w:i/>
          <w:szCs w:val="20"/>
        </w:rPr>
        <w:t xml:space="preserve"> </w:t>
      </w:r>
      <w:r w:rsidRPr="00BC2523">
        <w:rPr>
          <w:rFonts w:cs="Times New Roman"/>
          <w:iCs/>
          <w:szCs w:val="20"/>
        </w:rPr>
        <w:t xml:space="preserve">(Qiu </w:t>
      </w:r>
      <w:r w:rsidRPr="00BC2523">
        <w:rPr>
          <w:rFonts w:cs="Times New Roman"/>
          <w:i/>
          <w:iCs/>
          <w:szCs w:val="20"/>
        </w:rPr>
        <w:t>et al</w:t>
      </w:r>
      <w:r w:rsidRPr="00BC2523">
        <w:rPr>
          <w:rFonts w:cs="Times New Roman"/>
          <w:iCs/>
          <w:szCs w:val="20"/>
        </w:rPr>
        <w:t>., 2019a)</w:t>
      </w:r>
      <w:r w:rsidRPr="00BC2523">
        <w:rPr>
          <w:rFonts w:cs="Times New Roman"/>
          <w:szCs w:val="20"/>
        </w:rPr>
        <w:t>, red swamp crayfish (</w:t>
      </w:r>
      <w:r w:rsidRPr="00BC2523">
        <w:rPr>
          <w:rFonts w:cs="Times New Roman"/>
          <w:i/>
          <w:szCs w:val="20"/>
        </w:rPr>
        <w:t>Procambarus clarkia</w:t>
      </w:r>
      <w:r w:rsidRPr="00BC2523">
        <w:rPr>
          <w:rFonts w:cs="Times New Roman"/>
          <w:iCs/>
          <w:szCs w:val="20"/>
        </w:rPr>
        <w:t>)</w:t>
      </w:r>
      <w:r w:rsidRPr="00BC2523">
        <w:rPr>
          <w:rFonts w:cs="Times New Roman"/>
          <w:i/>
          <w:szCs w:val="20"/>
        </w:rPr>
        <w:t xml:space="preserve"> </w:t>
      </w:r>
      <w:r w:rsidRPr="00BC2523">
        <w:rPr>
          <w:rFonts w:cs="Times New Roman"/>
          <w:iCs/>
          <w:szCs w:val="20"/>
        </w:rPr>
        <w:t xml:space="preserve">(Qiu </w:t>
      </w:r>
      <w:r w:rsidRPr="00BC2523">
        <w:rPr>
          <w:rFonts w:cs="Times New Roman"/>
          <w:i/>
          <w:iCs/>
          <w:szCs w:val="20"/>
        </w:rPr>
        <w:t>et al</w:t>
      </w:r>
      <w:r w:rsidRPr="00BC2523">
        <w:rPr>
          <w:rFonts w:cs="Times New Roman"/>
          <w:iCs/>
          <w:szCs w:val="20"/>
        </w:rPr>
        <w:t>., 2019a), oriental river prawn (</w:t>
      </w:r>
      <w:r w:rsidRPr="00BC2523">
        <w:rPr>
          <w:rFonts w:cs="Times New Roman"/>
          <w:i/>
          <w:szCs w:val="20"/>
        </w:rPr>
        <w:t>Macrobrachium nipponense</w:t>
      </w:r>
      <w:r w:rsidRPr="00BC2523">
        <w:rPr>
          <w:rFonts w:cs="Times New Roman"/>
          <w:iCs/>
          <w:szCs w:val="20"/>
        </w:rPr>
        <w:t>)</w:t>
      </w:r>
      <w:r w:rsidRPr="00BC2523">
        <w:rPr>
          <w:rFonts w:cs="Times New Roman"/>
          <w:i/>
          <w:szCs w:val="20"/>
        </w:rPr>
        <w:t xml:space="preserve"> </w:t>
      </w:r>
      <w:r w:rsidRPr="00BC2523">
        <w:rPr>
          <w:rFonts w:cs="Times New Roman"/>
          <w:iCs/>
          <w:szCs w:val="20"/>
        </w:rPr>
        <w:t xml:space="preserve">(Qiu </w:t>
      </w:r>
      <w:r w:rsidRPr="00BC2523">
        <w:rPr>
          <w:rFonts w:cs="Times New Roman"/>
          <w:i/>
          <w:iCs/>
          <w:szCs w:val="20"/>
        </w:rPr>
        <w:t>et al</w:t>
      </w:r>
      <w:r w:rsidRPr="00BC2523">
        <w:rPr>
          <w:rFonts w:cs="Times New Roman"/>
          <w:iCs/>
          <w:szCs w:val="20"/>
        </w:rPr>
        <w:t xml:space="preserve">., 2019a) </w:t>
      </w:r>
      <w:r w:rsidRPr="00BC2523">
        <w:rPr>
          <w:rFonts w:cs="Times New Roman"/>
          <w:szCs w:val="20"/>
        </w:rPr>
        <w:t>and ridgetail white prawn (</w:t>
      </w:r>
      <w:r w:rsidRPr="00BC2523">
        <w:rPr>
          <w:rFonts w:cs="Times New Roman"/>
          <w:i/>
          <w:iCs/>
          <w:szCs w:val="20"/>
        </w:rPr>
        <w:t>Exopalaemon carinicauda</w:t>
      </w:r>
      <w:r w:rsidRPr="00BC2523">
        <w:rPr>
          <w:rFonts w:cs="Times New Roman"/>
          <w:szCs w:val="20"/>
        </w:rPr>
        <w:t xml:space="preserve">). Two species of crab, Chinese mitten </w:t>
      </w:r>
      <w:r w:rsidRPr="00685B5C">
        <w:rPr>
          <w:rFonts w:cs="Times New Roman"/>
          <w:strike/>
          <w:szCs w:val="20"/>
          <w:highlight w:val="yellow"/>
        </w:rPr>
        <w:t>crap</w:t>
      </w:r>
      <w:r w:rsidRPr="00BC2523">
        <w:rPr>
          <w:rFonts w:cs="Times New Roman"/>
          <w:szCs w:val="20"/>
        </w:rPr>
        <w:t xml:space="preserve"> </w:t>
      </w:r>
      <w:r w:rsidRPr="00BC2523">
        <w:rPr>
          <w:rFonts w:cs="Times New Roman"/>
          <w:szCs w:val="20"/>
          <w:highlight w:val="yellow"/>
          <w:u w:val="double"/>
        </w:rPr>
        <w:t>crab</w:t>
      </w:r>
      <w:r w:rsidRPr="00BC2523">
        <w:rPr>
          <w:rFonts w:cs="Times New Roman"/>
          <w:szCs w:val="20"/>
        </w:rPr>
        <w:t xml:space="preserve"> (</w:t>
      </w:r>
      <w:r w:rsidRPr="00BC2523">
        <w:rPr>
          <w:rFonts w:cs="Times New Roman"/>
          <w:i/>
          <w:iCs/>
          <w:szCs w:val="20"/>
        </w:rPr>
        <w:t>Eriocheir sinensis</w:t>
      </w:r>
      <w:r w:rsidRPr="00BC2523">
        <w:rPr>
          <w:rFonts w:cs="Times New Roman"/>
          <w:szCs w:val="20"/>
        </w:rPr>
        <w:t>) and striped shore crab (</w:t>
      </w:r>
      <w:r w:rsidRPr="00BC2523">
        <w:rPr>
          <w:rFonts w:cs="Times New Roman"/>
          <w:i/>
          <w:iCs/>
          <w:szCs w:val="20"/>
        </w:rPr>
        <w:t>Pachygrapsus crassipes</w:t>
      </w:r>
      <w:r w:rsidRPr="00BC2523">
        <w:rPr>
          <w:rFonts w:cs="Times New Roman"/>
          <w:szCs w:val="20"/>
        </w:rPr>
        <w:t xml:space="preserve">) have been shown to become infected with DIV1 in experimental challenge through unnatural pathways (Pan </w:t>
      </w:r>
      <w:r w:rsidRPr="00BC2523">
        <w:rPr>
          <w:rFonts w:cs="Times New Roman"/>
          <w:i/>
          <w:iCs/>
          <w:szCs w:val="20"/>
        </w:rPr>
        <w:t>et al</w:t>
      </w:r>
      <w:r w:rsidRPr="00BC2523">
        <w:rPr>
          <w:rFonts w:cs="Times New Roman"/>
          <w:szCs w:val="20"/>
        </w:rPr>
        <w:t xml:space="preserve">., 2017). The Commission has recognised the potential significance of infection with DIV1 to many countries given the worldwide importance of crustacean farming and trade. At the moment, infection with DIV1 is considered an “emerging disease” and, as such, should be reported in accordance with Article 1.1.4. of the </w:t>
      </w:r>
      <w:r w:rsidRPr="00BC2523">
        <w:rPr>
          <w:rFonts w:cs="Times New Roman"/>
          <w:i/>
          <w:szCs w:val="20"/>
        </w:rPr>
        <w:t>Aquatic Code</w:t>
      </w:r>
      <w:r w:rsidRPr="00BC2523">
        <w:rPr>
          <w:rFonts w:cs="Times New Roman"/>
          <w:szCs w:val="20"/>
        </w:rPr>
        <w:t xml:space="preserve">. </w:t>
      </w:r>
    </w:p>
    <w:p w14:paraId="7B9B8759" w14:textId="77777777" w:rsidR="00FC6CE0" w:rsidRPr="00BC2523" w:rsidRDefault="00FC6CE0" w:rsidP="00FC6CE0">
      <w:pPr>
        <w:jc w:val="both"/>
        <w:rPr>
          <w:rFonts w:cs="Times New Roman"/>
          <w:b/>
          <w:bCs/>
          <w:szCs w:val="20"/>
          <w:u w:val="single"/>
        </w:rPr>
      </w:pPr>
      <w:r w:rsidRPr="00BC2523">
        <w:rPr>
          <w:rFonts w:cs="Times New Roman"/>
          <w:b/>
          <w:bCs/>
          <w:szCs w:val="20"/>
          <w:u w:val="single"/>
        </w:rPr>
        <w:t>Criteria for listing an aquatic animal disease (Article 1.2.2.)</w:t>
      </w:r>
    </w:p>
    <w:p w14:paraId="18A45F84" w14:textId="77777777" w:rsidR="00FC6CE0" w:rsidRPr="00BC2523" w:rsidRDefault="00FC6CE0" w:rsidP="00FC6CE0">
      <w:pPr>
        <w:jc w:val="both"/>
        <w:rPr>
          <w:rFonts w:cs="Times New Roman"/>
          <w:b/>
          <w:bCs/>
          <w:i/>
          <w:szCs w:val="20"/>
        </w:rPr>
      </w:pPr>
      <w:r w:rsidRPr="00BC2523">
        <w:rPr>
          <w:rFonts w:cs="Times New Roman"/>
          <w:b/>
          <w:bCs/>
          <w:szCs w:val="20"/>
        </w:rPr>
        <w:t>C</w:t>
      </w:r>
      <w:r w:rsidRPr="00BC2523">
        <w:rPr>
          <w:rFonts w:cs="Times New Roman"/>
          <w:b/>
          <w:bCs/>
          <w:color w:val="000000"/>
          <w:szCs w:val="20"/>
          <w:shd w:val="clear" w:color="auto" w:fill="FAF9F8"/>
        </w:rPr>
        <w:t xml:space="preserve">riterion No. </w:t>
      </w:r>
      <w:r w:rsidRPr="00BC2523">
        <w:rPr>
          <w:rFonts w:cs="Times New Roman"/>
          <w:b/>
          <w:bCs/>
          <w:szCs w:val="20"/>
        </w:rPr>
        <w:t>1.</w:t>
      </w:r>
      <w:r w:rsidRPr="00BC2523">
        <w:rPr>
          <w:rFonts w:cs="Times New Roman"/>
          <w:b/>
          <w:bCs/>
          <w:i/>
          <w:szCs w:val="20"/>
        </w:rPr>
        <w:t xml:space="preserve"> International spread of the pathogenic agent (via aquatic animals, aquatic animal products, vectors or fomites) is likely.</w:t>
      </w:r>
    </w:p>
    <w:p w14:paraId="74F0F9EE" w14:textId="77777777" w:rsidR="00FC6CE0" w:rsidRPr="00BC2523" w:rsidRDefault="00FC6CE0" w:rsidP="00FC6CE0">
      <w:pPr>
        <w:jc w:val="both"/>
        <w:rPr>
          <w:rFonts w:cs="Times New Roman"/>
          <w:i/>
          <w:iCs/>
          <w:szCs w:val="20"/>
          <w:u w:val="single"/>
        </w:rPr>
      </w:pPr>
      <w:r w:rsidRPr="00BC2523">
        <w:rPr>
          <w:rFonts w:cs="Times New Roman"/>
          <w:i/>
          <w:iCs/>
          <w:szCs w:val="20"/>
          <w:u w:val="single"/>
        </w:rPr>
        <w:t>Assessment</w:t>
      </w:r>
    </w:p>
    <w:p w14:paraId="5BB11B64" w14:textId="77777777" w:rsidR="00FC6CE0" w:rsidRPr="00BC2523" w:rsidRDefault="00FC6CE0" w:rsidP="00FC6CE0">
      <w:pPr>
        <w:spacing w:after="240" w:line="240" w:lineRule="auto"/>
        <w:jc w:val="both"/>
        <w:rPr>
          <w:rFonts w:cs="Times New Roman"/>
          <w:i/>
          <w:szCs w:val="20"/>
          <w:u w:val="single"/>
        </w:rPr>
      </w:pPr>
      <w:r w:rsidRPr="00BC2523">
        <w:rPr>
          <w:rFonts w:cs="Times New Roman"/>
          <w:szCs w:val="20"/>
        </w:rPr>
        <w:t>The virus has been detected by PCR or nested PCR method in white-leg shrimp</w:t>
      </w:r>
      <w:r w:rsidRPr="00BC2523">
        <w:rPr>
          <w:rFonts w:cs="Times New Roman"/>
          <w:i/>
          <w:szCs w:val="20"/>
        </w:rPr>
        <w:t xml:space="preserve"> (P. vannamei), </w:t>
      </w:r>
      <w:r w:rsidRPr="00BC2523">
        <w:rPr>
          <w:rFonts w:cs="Times New Roman"/>
          <w:szCs w:val="20"/>
          <w:lang w:eastAsia="zh-CN"/>
        </w:rPr>
        <w:t>g</w:t>
      </w:r>
      <w:r w:rsidRPr="00BC2523">
        <w:rPr>
          <w:rFonts w:cs="Times New Roman"/>
          <w:szCs w:val="20"/>
        </w:rPr>
        <w:t>iant freshwater prawn (</w:t>
      </w:r>
      <w:r w:rsidRPr="00BC2523">
        <w:rPr>
          <w:rFonts w:cs="Times New Roman"/>
          <w:i/>
          <w:szCs w:val="20"/>
        </w:rPr>
        <w:t>M. rosenbergii</w:t>
      </w:r>
      <w:r w:rsidRPr="00BC2523">
        <w:rPr>
          <w:rFonts w:cs="Times New Roman"/>
          <w:iCs/>
          <w:szCs w:val="20"/>
        </w:rPr>
        <w:t>)</w:t>
      </w:r>
      <w:r w:rsidRPr="00BC2523">
        <w:rPr>
          <w:rFonts w:cs="Times New Roman"/>
          <w:szCs w:val="20"/>
        </w:rPr>
        <w:t>, red swamp crayfish (</w:t>
      </w:r>
      <w:r w:rsidRPr="00BC2523">
        <w:rPr>
          <w:rFonts w:cs="Times New Roman"/>
          <w:i/>
          <w:szCs w:val="20"/>
        </w:rPr>
        <w:t xml:space="preserve">P. </w:t>
      </w:r>
      <w:r w:rsidRPr="00685B5C">
        <w:rPr>
          <w:rFonts w:cs="Times New Roman"/>
          <w:i/>
          <w:strike/>
          <w:szCs w:val="20"/>
          <w:highlight w:val="yellow"/>
        </w:rPr>
        <w:t>clarkia</w:t>
      </w:r>
      <w:r w:rsidRPr="00BC2523">
        <w:rPr>
          <w:rFonts w:cs="Times New Roman"/>
          <w:i/>
          <w:szCs w:val="20"/>
        </w:rPr>
        <w:t xml:space="preserve"> </w:t>
      </w:r>
      <w:r w:rsidRPr="00BC2523">
        <w:rPr>
          <w:rFonts w:cs="Times New Roman"/>
          <w:i/>
          <w:szCs w:val="20"/>
          <w:highlight w:val="yellow"/>
          <w:u w:val="double"/>
        </w:rPr>
        <w:t>clarkii</w:t>
      </w:r>
      <w:r w:rsidRPr="00BC2523">
        <w:rPr>
          <w:rFonts w:cs="Times New Roman"/>
          <w:iCs/>
          <w:szCs w:val="20"/>
        </w:rPr>
        <w:t>), oriental river prawn (</w:t>
      </w:r>
      <w:r w:rsidRPr="00BC2523">
        <w:rPr>
          <w:rFonts w:cs="Times New Roman"/>
          <w:i/>
          <w:szCs w:val="20"/>
        </w:rPr>
        <w:t>M. nipponense</w:t>
      </w:r>
      <w:r w:rsidRPr="00BC2523">
        <w:rPr>
          <w:rFonts w:cs="Times New Roman"/>
          <w:iCs/>
          <w:szCs w:val="20"/>
        </w:rPr>
        <w:t>)</w:t>
      </w:r>
      <w:r w:rsidRPr="00BC2523">
        <w:rPr>
          <w:rFonts w:cs="Times New Roman"/>
          <w:i/>
          <w:szCs w:val="20"/>
        </w:rPr>
        <w:t xml:space="preserve"> </w:t>
      </w:r>
      <w:r w:rsidRPr="00BC2523">
        <w:rPr>
          <w:rFonts w:cs="Times New Roman"/>
          <w:szCs w:val="20"/>
        </w:rPr>
        <w:t>and ridgetail white prawn (</w:t>
      </w:r>
      <w:r w:rsidRPr="00BC2523">
        <w:rPr>
          <w:rFonts w:cs="Times New Roman"/>
          <w:i/>
          <w:iCs/>
          <w:szCs w:val="20"/>
        </w:rPr>
        <w:t>E. carinicauda</w:t>
      </w:r>
      <w:r w:rsidRPr="00BC2523">
        <w:rPr>
          <w:rFonts w:cs="Times New Roman"/>
          <w:szCs w:val="20"/>
        </w:rPr>
        <w:t xml:space="preserve">) in farms in China (People’s Rep. of) (Xu </w:t>
      </w:r>
      <w:r w:rsidRPr="00BC2523">
        <w:rPr>
          <w:rFonts w:cs="Times New Roman"/>
          <w:i/>
          <w:iCs/>
          <w:szCs w:val="20"/>
        </w:rPr>
        <w:t>et al</w:t>
      </w:r>
      <w:r w:rsidRPr="00BC2523">
        <w:rPr>
          <w:rFonts w:cs="Times New Roman"/>
          <w:szCs w:val="20"/>
        </w:rPr>
        <w:t xml:space="preserve">., 2016; Qiu </w:t>
      </w:r>
      <w:r w:rsidRPr="00BC2523">
        <w:rPr>
          <w:rFonts w:cs="Times New Roman"/>
          <w:i/>
          <w:iCs/>
          <w:szCs w:val="20"/>
        </w:rPr>
        <w:t>et al</w:t>
      </w:r>
      <w:r w:rsidRPr="00BC2523">
        <w:rPr>
          <w:rFonts w:cs="Times New Roman"/>
          <w:szCs w:val="20"/>
        </w:rPr>
        <w:t xml:space="preserve">., 2017a; Qiu </w:t>
      </w:r>
      <w:r w:rsidRPr="00BC2523">
        <w:rPr>
          <w:rFonts w:cs="Times New Roman"/>
          <w:i/>
          <w:iCs/>
          <w:szCs w:val="20"/>
        </w:rPr>
        <w:t>et al</w:t>
      </w:r>
      <w:r w:rsidRPr="00BC2523">
        <w:rPr>
          <w:rFonts w:cs="Times New Roman"/>
          <w:szCs w:val="20"/>
        </w:rPr>
        <w:t xml:space="preserve">., 2018b; Qiu </w:t>
      </w:r>
      <w:r w:rsidRPr="00BC2523">
        <w:rPr>
          <w:rFonts w:cs="Times New Roman"/>
          <w:i/>
          <w:iCs/>
          <w:szCs w:val="20"/>
        </w:rPr>
        <w:t>et al</w:t>
      </w:r>
      <w:r w:rsidRPr="00BC2523">
        <w:rPr>
          <w:rFonts w:cs="Times New Roman"/>
          <w:szCs w:val="20"/>
        </w:rPr>
        <w:t xml:space="preserve">., 2019b). Historically, </w:t>
      </w:r>
      <w:r w:rsidRPr="00BC2523">
        <w:rPr>
          <w:rFonts w:cs="Times New Roman"/>
          <w:i/>
          <w:szCs w:val="20"/>
        </w:rPr>
        <w:t>P. vannamei</w:t>
      </w:r>
      <w:r w:rsidRPr="00BC2523">
        <w:rPr>
          <w:rFonts w:cs="Times New Roman"/>
          <w:szCs w:val="20"/>
        </w:rPr>
        <w:t xml:space="preserve"> and other susceptible crustacean species have been traded internationally as broodstock and postlarvae for production in new geographic regions</w:t>
      </w:r>
      <w:r w:rsidRPr="00BC2523">
        <w:rPr>
          <w:rFonts w:cs="Times New Roman"/>
          <w:strike/>
          <w:szCs w:val="20"/>
          <w:highlight w:val="yellow"/>
        </w:rPr>
        <w:t xml:space="preserve">, and </w:t>
      </w:r>
      <w:r w:rsidRPr="00BC2523">
        <w:rPr>
          <w:rFonts w:cs="Times New Roman"/>
          <w:i/>
          <w:strike/>
          <w:szCs w:val="20"/>
          <w:highlight w:val="yellow"/>
        </w:rPr>
        <w:t>P. vannamei</w:t>
      </w:r>
      <w:r w:rsidRPr="00BC2523">
        <w:rPr>
          <w:rFonts w:cs="Times New Roman"/>
          <w:strike/>
          <w:szCs w:val="20"/>
          <w:highlight w:val="yellow"/>
        </w:rPr>
        <w:t xml:space="preserve"> products are traded internationally</w:t>
      </w:r>
      <w:r w:rsidRPr="00BC2523">
        <w:rPr>
          <w:rFonts w:cs="Times New Roman"/>
          <w:szCs w:val="20"/>
        </w:rPr>
        <w:t xml:space="preserve">. Thus, </w:t>
      </w:r>
      <w:r w:rsidRPr="00BC2523">
        <w:rPr>
          <w:rFonts w:cs="Times New Roman"/>
          <w:strike/>
          <w:szCs w:val="20"/>
          <w:highlight w:val="yellow"/>
        </w:rPr>
        <w:t>the potential</w:t>
      </w:r>
      <w:r w:rsidRPr="00BC2523">
        <w:rPr>
          <w:rFonts w:cs="Times New Roman"/>
          <w:strike/>
          <w:szCs w:val="20"/>
        </w:rPr>
        <w:t xml:space="preserve"> of</w:t>
      </w:r>
      <w:r w:rsidRPr="00BC2523">
        <w:rPr>
          <w:rFonts w:cs="Times New Roman"/>
          <w:szCs w:val="20"/>
        </w:rPr>
        <w:t xml:space="preserve"> </w:t>
      </w:r>
      <w:r w:rsidRPr="00BC2523">
        <w:rPr>
          <w:rFonts w:cs="Times New Roman"/>
          <w:szCs w:val="20"/>
          <w:highlight w:val="yellow"/>
          <w:u w:val="double"/>
        </w:rPr>
        <w:t>pathways for transmission are present and</w:t>
      </w:r>
      <w:r w:rsidRPr="00BC2523">
        <w:rPr>
          <w:rFonts w:cs="Times New Roman"/>
          <w:szCs w:val="20"/>
        </w:rPr>
        <w:t xml:space="preserve"> international spread is likely. Histopathology, visualization under TEM and </w:t>
      </w:r>
      <w:r w:rsidRPr="00BC2523">
        <w:rPr>
          <w:rFonts w:cs="Times New Roman"/>
          <w:i/>
          <w:szCs w:val="20"/>
        </w:rPr>
        <w:t>in-situ</w:t>
      </w:r>
      <w:r w:rsidRPr="00BC2523">
        <w:rPr>
          <w:rFonts w:cs="Times New Roman"/>
          <w:szCs w:val="20"/>
        </w:rPr>
        <w:t xml:space="preserve"> hybridisation provide evidence that the virus can be found in haematopoietic tissue, gills, hepatopancreas, periopods and muscle (Qiu </w:t>
      </w:r>
      <w:r w:rsidRPr="00BC2523">
        <w:rPr>
          <w:rFonts w:cs="Times New Roman"/>
          <w:i/>
          <w:szCs w:val="20"/>
        </w:rPr>
        <w:t>et al.</w:t>
      </w:r>
      <w:r w:rsidRPr="00BC2523">
        <w:rPr>
          <w:rFonts w:cs="Times New Roman"/>
          <w:szCs w:val="20"/>
        </w:rPr>
        <w:t>, 2017a). Quantitative PCR detection in experimentally infected shrimp showed that haemolymph and haemopoietic tissues had the highest DIV1 load and muscle tissues had the lowest load (Qiu</w:t>
      </w:r>
      <w:r w:rsidRPr="00BC2523">
        <w:rPr>
          <w:rFonts w:cs="Times New Roman"/>
          <w:i/>
          <w:szCs w:val="20"/>
        </w:rPr>
        <w:t xml:space="preserve"> et al.</w:t>
      </w:r>
      <w:r w:rsidRPr="00BC2523">
        <w:rPr>
          <w:rFonts w:cs="Times New Roman"/>
          <w:szCs w:val="20"/>
        </w:rPr>
        <w:t xml:space="preserve">, 2018a; Qiu </w:t>
      </w:r>
      <w:r w:rsidRPr="00BC2523">
        <w:rPr>
          <w:rFonts w:cs="Times New Roman"/>
          <w:i/>
          <w:iCs/>
          <w:szCs w:val="20"/>
        </w:rPr>
        <w:t>et al</w:t>
      </w:r>
      <w:r w:rsidRPr="00BC2523">
        <w:rPr>
          <w:rFonts w:cs="Times New Roman"/>
          <w:szCs w:val="20"/>
        </w:rPr>
        <w:t>., 2019a).</w:t>
      </w:r>
    </w:p>
    <w:p w14:paraId="734720B5" w14:textId="77777777" w:rsidR="001D5EB7" w:rsidRDefault="001D5EB7">
      <w:pPr>
        <w:rPr>
          <w:rFonts w:cs="Times New Roman"/>
          <w:bCs/>
          <w:iCs/>
          <w:u w:val="single"/>
        </w:rPr>
      </w:pPr>
      <w:r>
        <w:rPr>
          <w:rFonts w:cs="Times New Roman"/>
          <w:bCs/>
          <w:iCs/>
          <w:u w:val="single"/>
        </w:rPr>
        <w:br w:type="page"/>
      </w:r>
    </w:p>
    <w:p w14:paraId="3474B5F4" w14:textId="6D7D20DE" w:rsidR="00FC6CE0" w:rsidRPr="00BC2523" w:rsidRDefault="00FC6CE0" w:rsidP="00FC6CE0">
      <w:pPr>
        <w:spacing w:after="480" w:line="240" w:lineRule="auto"/>
        <w:rPr>
          <w:rFonts w:cs="Times New Roman"/>
          <w:bCs/>
          <w:iCs/>
        </w:rPr>
      </w:pPr>
      <w:r w:rsidRPr="00BC2523">
        <w:rPr>
          <w:rFonts w:cs="Times New Roman"/>
          <w:bCs/>
          <w:iCs/>
          <w:u w:val="single"/>
        </w:rPr>
        <w:lastRenderedPageBreak/>
        <w:t xml:space="preserve">Annex </w:t>
      </w:r>
      <w:r w:rsidR="001D5EB7">
        <w:rPr>
          <w:rFonts w:cs="Times New Roman"/>
          <w:bCs/>
          <w:iCs/>
          <w:u w:val="single"/>
        </w:rPr>
        <w:t>10</w:t>
      </w:r>
      <w:r>
        <w:rPr>
          <w:rFonts w:cs="Times New Roman"/>
          <w:bCs/>
          <w:iCs/>
        </w:rPr>
        <w:t xml:space="preserve"> (contd)</w:t>
      </w:r>
    </w:p>
    <w:p w14:paraId="7C751752" w14:textId="77777777" w:rsidR="00FC6CE0" w:rsidRPr="00BC2523" w:rsidRDefault="00FC6CE0" w:rsidP="00FC6CE0">
      <w:pPr>
        <w:spacing w:after="240" w:line="240" w:lineRule="auto"/>
        <w:jc w:val="both"/>
        <w:rPr>
          <w:rFonts w:cs="Times New Roman"/>
          <w:szCs w:val="20"/>
          <w:u w:val="single"/>
        </w:rPr>
      </w:pPr>
      <w:r w:rsidRPr="00BC2523">
        <w:rPr>
          <w:rFonts w:cs="Times New Roman"/>
          <w:i/>
          <w:szCs w:val="20"/>
          <w:u w:val="single"/>
        </w:rPr>
        <w:t>Conclusion</w:t>
      </w:r>
    </w:p>
    <w:p w14:paraId="330CA225" w14:textId="77777777" w:rsidR="00FC6CE0" w:rsidRPr="00BC2523" w:rsidRDefault="00FC6CE0" w:rsidP="00FC6CE0">
      <w:pPr>
        <w:spacing w:after="240" w:line="240" w:lineRule="auto"/>
        <w:jc w:val="both"/>
        <w:rPr>
          <w:rFonts w:cs="Times New Roman"/>
          <w:b/>
          <w:szCs w:val="20"/>
        </w:rPr>
      </w:pPr>
      <w:r w:rsidRPr="00BC2523">
        <w:rPr>
          <w:rFonts w:cs="Times New Roman"/>
          <w:szCs w:val="20"/>
        </w:rPr>
        <w:t>The criterion is met.</w:t>
      </w:r>
    </w:p>
    <w:p w14:paraId="06B53AF0" w14:textId="77777777" w:rsidR="00FC6CE0" w:rsidRPr="00BC2523" w:rsidRDefault="00FC6CE0" w:rsidP="00FC6CE0">
      <w:pPr>
        <w:rPr>
          <w:rFonts w:cs="Times New Roman"/>
          <w:b/>
          <w:bCs/>
          <w:szCs w:val="20"/>
        </w:rPr>
      </w:pPr>
      <w:r w:rsidRPr="00BC2523">
        <w:rPr>
          <w:rFonts w:cs="Times New Roman"/>
          <w:b/>
          <w:bCs/>
          <w:szCs w:val="20"/>
        </w:rPr>
        <w:t>AND</w:t>
      </w:r>
    </w:p>
    <w:p w14:paraId="71A2C654" w14:textId="77777777" w:rsidR="00FC6CE0" w:rsidRPr="00BC2523" w:rsidRDefault="00FC6CE0" w:rsidP="00FC6CE0">
      <w:pPr>
        <w:jc w:val="both"/>
        <w:rPr>
          <w:rFonts w:cs="Times New Roman"/>
          <w:b/>
          <w:bCs/>
          <w:szCs w:val="20"/>
        </w:rPr>
      </w:pPr>
      <w:r w:rsidRPr="00BC2523">
        <w:rPr>
          <w:rFonts w:cs="Times New Roman"/>
          <w:b/>
          <w:bCs/>
          <w:szCs w:val="20"/>
        </w:rPr>
        <w:t>C</w:t>
      </w:r>
      <w:r w:rsidRPr="00BC2523">
        <w:rPr>
          <w:rFonts w:cs="Times New Roman"/>
          <w:b/>
          <w:bCs/>
          <w:szCs w:val="20"/>
          <w:shd w:val="clear" w:color="auto" w:fill="FAF9F8"/>
        </w:rPr>
        <w:t>riterion No. 2. At least one country may demonstrate country or zone freedom from the disease in susceptible aquatic animals.</w:t>
      </w:r>
    </w:p>
    <w:p w14:paraId="0C9F66C0" w14:textId="77777777" w:rsidR="00FC6CE0" w:rsidRPr="00BC2523" w:rsidRDefault="00FC6CE0" w:rsidP="00FC6CE0">
      <w:pPr>
        <w:spacing w:after="240" w:line="240" w:lineRule="auto"/>
        <w:jc w:val="both"/>
        <w:rPr>
          <w:rFonts w:cs="Times New Roman"/>
          <w:szCs w:val="20"/>
          <w:u w:val="single"/>
        </w:rPr>
      </w:pPr>
      <w:r w:rsidRPr="00BC2523">
        <w:rPr>
          <w:rFonts w:cs="Times New Roman"/>
          <w:szCs w:val="20"/>
          <w:u w:val="single"/>
        </w:rPr>
        <w:t>Assessment</w:t>
      </w:r>
    </w:p>
    <w:p w14:paraId="5A358C52" w14:textId="77777777" w:rsidR="00FC6CE0" w:rsidRPr="00BC2523" w:rsidRDefault="00FC6CE0" w:rsidP="00FC6CE0">
      <w:pPr>
        <w:spacing w:after="240" w:line="240" w:lineRule="auto"/>
        <w:jc w:val="both"/>
        <w:rPr>
          <w:rFonts w:cs="Times New Roman"/>
          <w:strike/>
          <w:szCs w:val="20"/>
        </w:rPr>
      </w:pPr>
      <w:r w:rsidRPr="00BC2523">
        <w:rPr>
          <w:rFonts w:cs="Times New Roman"/>
          <w:szCs w:val="20"/>
        </w:rPr>
        <w:t xml:space="preserve">Currently, infection with DIV1 has only been detected in China (People’s Rep. of) but the </w:t>
      </w:r>
      <w:r w:rsidRPr="00BC2523">
        <w:rPr>
          <w:rFonts w:cs="Times New Roman"/>
          <w:szCs w:val="20"/>
          <w:highlight w:val="yellow"/>
          <w:u w:val="double"/>
        </w:rPr>
        <w:t>geographic</w:t>
      </w:r>
      <w:r w:rsidRPr="00BC2523">
        <w:rPr>
          <w:rFonts w:cs="Times New Roman"/>
          <w:szCs w:val="20"/>
        </w:rPr>
        <w:t xml:space="preserve"> distribution of the virus may be wider </w:t>
      </w:r>
      <w:r w:rsidRPr="00BC2523">
        <w:rPr>
          <w:rFonts w:cs="Times New Roman"/>
          <w:strike/>
          <w:szCs w:val="20"/>
          <w:highlight w:val="yellow"/>
        </w:rPr>
        <w:t>than what has been reported</w:t>
      </w:r>
      <w:r w:rsidRPr="00BC2523">
        <w:rPr>
          <w:rFonts w:cs="Times New Roman"/>
          <w:szCs w:val="20"/>
        </w:rPr>
        <w:t xml:space="preserve"> if mortality events have not been investigated. However, because of the broad distribution of</w:t>
      </w:r>
      <w:r w:rsidRPr="00BC2523">
        <w:rPr>
          <w:rFonts w:cs="Times New Roman"/>
          <w:i/>
          <w:szCs w:val="20"/>
        </w:rPr>
        <w:t> P. vannamei</w:t>
      </w:r>
      <w:r w:rsidRPr="00BC2523">
        <w:rPr>
          <w:rFonts w:cs="Times New Roman"/>
          <w:szCs w:val="20"/>
        </w:rPr>
        <w:t xml:space="preserve">, </w:t>
      </w:r>
      <w:r w:rsidRPr="00BC2523">
        <w:rPr>
          <w:rFonts w:cs="Times New Roman"/>
          <w:i/>
          <w:szCs w:val="20"/>
        </w:rPr>
        <w:t>M. rosenbergii</w:t>
      </w:r>
      <w:r w:rsidRPr="00BC2523">
        <w:rPr>
          <w:rFonts w:cs="Times New Roman"/>
          <w:szCs w:val="20"/>
        </w:rPr>
        <w:t xml:space="preserve">, and other susceptible species to infection with DIV1, as well as extensive trade in these species, and likely expression of clinical disease and mortality, it is expected that the disease would have been reported elsewhere if the virus had spread widely. </w:t>
      </w:r>
    </w:p>
    <w:p w14:paraId="535504F2" w14:textId="77777777" w:rsidR="00FC6CE0" w:rsidRPr="00BC2523" w:rsidRDefault="00FC6CE0" w:rsidP="00FC6CE0">
      <w:pPr>
        <w:spacing w:after="240" w:line="240" w:lineRule="auto"/>
        <w:jc w:val="both"/>
        <w:rPr>
          <w:rFonts w:cs="Times New Roman"/>
          <w:szCs w:val="20"/>
        </w:rPr>
      </w:pPr>
      <w:r w:rsidRPr="00BC2523">
        <w:rPr>
          <w:rFonts w:cs="Times New Roman"/>
          <w:szCs w:val="20"/>
        </w:rPr>
        <w:t xml:space="preserve">In addition, the disease has been listed as a notifiable disease by the Network of Aquaculture Centres in Asia-Pacific (NACA) in its ‘Quarterly Aquatic Animal Disease report’ (Asia and Pacific Region) since January 2019. It is </w:t>
      </w:r>
      <w:r w:rsidRPr="00BC2523">
        <w:rPr>
          <w:rFonts w:cs="Times New Roman"/>
          <w:szCs w:val="20"/>
          <w:highlight w:val="yellow"/>
          <w:u w:val="double"/>
        </w:rPr>
        <w:t>likely</w:t>
      </w:r>
      <w:r w:rsidRPr="00BC2523">
        <w:rPr>
          <w:rFonts w:cs="Times New Roman"/>
          <w:szCs w:val="20"/>
        </w:rPr>
        <w:t xml:space="preserve">, therefore, </w:t>
      </w:r>
      <w:r w:rsidRPr="00BC2523">
        <w:rPr>
          <w:rFonts w:cs="Times New Roman"/>
          <w:strike/>
          <w:szCs w:val="20"/>
          <w:highlight w:val="yellow"/>
        </w:rPr>
        <w:t>likely</w:t>
      </w:r>
      <w:r w:rsidRPr="00BC2523">
        <w:rPr>
          <w:rFonts w:cs="Times New Roman"/>
          <w:szCs w:val="20"/>
        </w:rPr>
        <w:t xml:space="preserve"> that </w:t>
      </w:r>
      <w:r w:rsidRPr="00BC2523">
        <w:rPr>
          <w:rFonts w:cs="Times New Roman"/>
          <w:strike/>
          <w:szCs w:val="20"/>
          <w:highlight w:val="yellow"/>
        </w:rPr>
        <w:t>the disease</w:t>
      </w:r>
      <w:r w:rsidRPr="00BC2523">
        <w:rPr>
          <w:rFonts w:cs="Times New Roman"/>
          <w:szCs w:val="20"/>
        </w:rPr>
        <w:t xml:space="preserve"> at least one country may </w:t>
      </w:r>
      <w:r w:rsidRPr="00BC2523">
        <w:rPr>
          <w:rFonts w:cs="Times New Roman"/>
          <w:szCs w:val="20"/>
          <w:highlight w:val="yellow"/>
          <w:u w:val="double"/>
        </w:rPr>
        <w:t>be able to</w:t>
      </w:r>
      <w:r w:rsidRPr="00BC2523">
        <w:rPr>
          <w:rFonts w:cs="Times New Roman"/>
          <w:szCs w:val="20"/>
        </w:rPr>
        <w:t xml:space="preserve"> demonstrate country or zone freedom from the disease in susceptible aquatic animals.</w:t>
      </w:r>
      <w:r w:rsidRPr="00BC2523" w:rsidDel="00FE59C4">
        <w:rPr>
          <w:rFonts w:cs="Times New Roman"/>
          <w:szCs w:val="20"/>
        </w:rPr>
        <w:t xml:space="preserve"> </w:t>
      </w:r>
    </w:p>
    <w:p w14:paraId="7FABABF9" w14:textId="77777777" w:rsidR="00FC6CE0" w:rsidRPr="00BC2523" w:rsidRDefault="00FC6CE0" w:rsidP="00FC6CE0">
      <w:pPr>
        <w:jc w:val="both"/>
        <w:rPr>
          <w:rStyle w:val="Emphaseintense"/>
          <w:rFonts w:cs="Times New Roman"/>
          <w:sz w:val="20"/>
          <w:szCs w:val="20"/>
        </w:rPr>
      </w:pPr>
      <w:r w:rsidRPr="00BC2523">
        <w:rPr>
          <w:rStyle w:val="Emphaseintense"/>
          <w:rFonts w:cs="Times New Roman"/>
          <w:sz w:val="20"/>
          <w:szCs w:val="20"/>
        </w:rPr>
        <w:t>Conclusion</w:t>
      </w:r>
    </w:p>
    <w:p w14:paraId="77F17D85" w14:textId="77777777" w:rsidR="00FC6CE0" w:rsidRPr="00BC2523" w:rsidRDefault="00FC6CE0" w:rsidP="00FC6CE0">
      <w:pPr>
        <w:spacing w:after="240" w:line="240" w:lineRule="auto"/>
        <w:jc w:val="both"/>
        <w:rPr>
          <w:rStyle w:val="Emphaseintense"/>
          <w:rFonts w:cs="Times New Roman"/>
          <w:i w:val="0"/>
          <w:sz w:val="20"/>
          <w:szCs w:val="20"/>
          <w:u w:val="none"/>
        </w:rPr>
      </w:pPr>
      <w:r w:rsidRPr="00BC2523">
        <w:rPr>
          <w:rStyle w:val="Emphaseintense"/>
          <w:rFonts w:cs="Times New Roman"/>
          <w:sz w:val="20"/>
          <w:szCs w:val="20"/>
          <w:u w:val="none"/>
        </w:rPr>
        <w:t>The criterion is met.</w:t>
      </w:r>
    </w:p>
    <w:p w14:paraId="06694025" w14:textId="77777777" w:rsidR="00FC6CE0" w:rsidRPr="00BC2523" w:rsidRDefault="00FC6CE0" w:rsidP="00FC6CE0">
      <w:pPr>
        <w:spacing w:after="240" w:line="240" w:lineRule="auto"/>
        <w:jc w:val="both"/>
        <w:rPr>
          <w:rFonts w:cs="Times New Roman"/>
          <w:b/>
          <w:szCs w:val="20"/>
        </w:rPr>
      </w:pPr>
      <w:r w:rsidRPr="00BC2523">
        <w:rPr>
          <w:rFonts w:cs="Times New Roman"/>
          <w:b/>
          <w:szCs w:val="20"/>
        </w:rPr>
        <w:t>AND</w:t>
      </w:r>
    </w:p>
    <w:p w14:paraId="0ECE836B" w14:textId="77777777" w:rsidR="00FC6CE0" w:rsidRPr="00BC2523" w:rsidRDefault="00FC6CE0" w:rsidP="00FC6CE0">
      <w:pPr>
        <w:spacing w:after="240" w:line="240" w:lineRule="auto"/>
        <w:jc w:val="both"/>
        <w:rPr>
          <w:rFonts w:cs="Times New Roman"/>
          <w:b/>
          <w:i/>
          <w:szCs w:val="20"/>
        </w:rPr>
      </w:pPr>
      <w:r w:rsidRPr="00BC2523">
        <w:rPr>
          <w:rFonts w:cs="Times New Roman"/>
          <w:b/>
          <w:szCs w:val="20"/>
        </w:rPr>
        <w:t>C</w:t>
      </w:r>
      <w:r w:rsidRPr="00BC2523">
        <w:rPr>
          <w:rFonts w:cs="Times New Roman"/>
          <w:b/>
          <w:szCs w:val="20"/>
          <w:shd w:val="clear" w:color="auto" w:fill="FAF9F8"/>
        </w:rPr>
        <w:t xml:space="preserve">riterion No. </w:t>
      </w:r>
      <w:r w:rsidRPr="00BC2523">
        <w:rPr>
          <w:rFonts w:cs="Times New Roman"/>
          <w:b/>
          <w:i/>
          <w:szCs w:val="20"/>
        </w:rPr>
        <w:t>3. A precise case definition is available, and a reliable means of detection and diagnosis exists.</w:t>
      </w:r>
    </w:p>
    <w:p w14:paraId="23944749" w14:textId="77777777" w:rsidR="00FC6CE0" w:rsidRPr="00BC2523" w:rsidRDefault="00FC6CE0" w:rsidP="00FC6CE0">
      <w:pPr>
        <w:jc w:val="both"/>
        <w:rPr>
          <w:rFonts w:cs="Times New Roman"/>
          <w:i/>
          <w:iCs/>
          <w:szCs w:val="20"/>
          <w:u w:val="single"/>
        </w:rPr>
      </w:pPr>
      <w:r w:rsidRPr="00BC2523">
        <w:rPr>
          <w:rFonts w:cs="Times New Roman"/>
          <w:i/>
          <w:iCs/>
          <w:szCs w:val="20"/>
          <w:u w:val="single"/>
        </w:rPr>
        <w:t>Assessment</w:t>
      </w:r>
    </w:p>
    <w:p w14:paraId="0A7F83D4" w14:textId="77777777" w:rsidR="00FC6CE0" w:rsidRPr="00BC2523" w:rsidRDefault="00FC6CE0" w:rsidP="00FC6CE0">
      <w:pPr>
        <w:spacing w:after="240" w:line="240" w:lineRule="auto"/>
        <w:jc w:val="both"/>
        <w:rPr>
          <w:rFonts w:cs="Times New Roman"/>
          <w:szCs w:val="20"/>
        </w:rPr>
      </w:pPr>
      <w:r w:rsidRPr="00BC2523">
        <w:rPr>
          <w:rFonts w:cs="Times New Roman"/>
          <w:szCs w:val="20"/>
        </w:rPr>
        <w:t xml:space="preserve">Infected </w:t>
      </w:r>
      <w:r w:rsidRPr="00BC2523">
        <w:rPr>
          <w:rFonts w:cs="Times New Roman"/>
          <w:i/>
          <w:szCs w:val="20"/>
        </w:rPr>
        <w:t>P. vannamei</w:t>
      </w:r>
      <w:r w:rsidRPr="00BC2523">
        <w:rPr>
          <w:rFonts w:cs="Times New Roman"/>
          <w:szCs w:val="20"/>
        </w:rPr>
        <w:t xml:space="preserve"> exhibit empty stomach and guts in all diseased shrimp, slight loss of colour on the surface and in the area of the hepatopancreas, and soft shell. In some individuals slight reddening of the body is observed. Moribund shrimp lose their swimming ability and sink to the bottom of the pond (Qiu </w:t>
      </w:r>
      <w:r w:rsidRPr="00BC2523">
        <w:rPr>
          <w:rFonts w:cs="Times New Roman"/>
          <w:i/>
          <w:iCs/>
          <w:szCs w:val="20"/>
        </w:rPr>
        <w:t>et al</w:t>
      </w:r>
      <w:r w:rsidRPr="00BC2523">
        <w:rPr>
          <w:rFonts w:cs="Times New Roman"/>
          <w:szCs w:val="20"/>
        </w:rPr>
        <w:t xml:space="preserve">., 2017a). Diseased </w:t>
      </w:r>
      <w:r w:rsidRPr="00BC2523">
        <w:rPr>
          <w:rFonts w:cs="Times New Roman"/>
          <w:i/>
          <w:szCs w:val="20"/>
        </w:rPr>
        <w:t>M. rosenbergii</w:t>
      </w:r>
      <w:r w:rsidRPr="00BC2523">
        <w:rPr>
          <w:rFonts w:cs="Times New Roman"/>
          <w:szCs w:val="20"/>
        </w:rPr>
        <w:t xml:space="preserve"> exhibit a white triangle inside the carapace at the base of rostrum which is the location of hematopoietic tissue (Qiu </w:t>
      </w:r>
      <w:r w:rsidRPr="00BC2523">
        <w:rPr>
          <w:rFonts w:cs="Times New Roman"/>
          <w:i/>
          <w:iCs/>
          <w:szCs w:val="20"/>
        </w:rPr>
        <w:t>et al</w:t>
      </w:r>
      <w:r w:rsidRPr="00BC2523">
        <w:rPr>
          <w:rFonts w:cs="Times New Roman"/>
          <w:szCs w:val="20"/>
        </w:rPr>
        <w:t xml:space="preserve">., 2019a). </w:t>
      </w:r>
    </w:p>
    <w:p w14:paraId="58F11A5B" w14:textId="77777777" w:rsidR="00FC6CE0" w:rsidRPr="00BC2523" w:rsidRDefault="00FC6CE0" w:rsidP="00FC6CE0">
      <w:pPr>
        <w:spacing w:after="240" w:line="240" w:lineRule="auto"/>
        <w:jc w:val="both"/>
        <w:rPr>
          <w:rFonts w:cs="Times New Roman"/>
          <w:szCs w:val="20"/>
        </w:rPr>
      </w:pPr>
      <w:r w:rsidRPr="00BC2523">
        <w:rPr>
          <w:rFonts w:cs="Times New Roman"/>
          <w:szCs w:val="20"/>
        </w:rPr>
        <w:t xml:space="preserve">To date, a nested PCR method (Qiu </w:t>
      </w:r>
      <w:r w:rsidRPr="00BC2523">
        <w:rPr>
          <w:rFonts w:cs="Times New Roman"/>
          <w:i/>
          <w:szCs w:val="20"/>
        </w:rPr>
        <w:t>et al.,</w:t>
      </w:r>
      <w:r w:rsidRPr="00BC2523">
        <w:rPr>
          <w:rFonts w:cs="Times New Roman"/>
          <w:szCs w:val="20"/>
        </w:rPr>
        <w:t xml:space="preserve"> 2017a), a TaqMan probe based real-time PCR (TaqMan qPCR) method (Qiu </w:t>
      </w:r>
      <w:r w:rsidRPr="00BC2523">
        <w:rPr>
          <w:rFonts w:cs="Times New Roman"/>
          <w:i/>
          <w:szCs w:val="20"/>
        </w:rPr>
        <w:t>et al.,</w:t>
      </w:r>
      <w:r w:rsidRPr="00BC2523">
        <w:rPr>
          <w:rFonts w:cs="Times New Roman"/>
          <w:szCs w:val="20"/>
        </w:rPr>
        <w:t xml:space="preserve"> 2018a), </w:t>
      </w:r>
      <w:r w:rsidRPr="00BC2523">
        <w:rPr>
          <w:rFonts w:cs="Times New Roman"/>
          <w:strike/>
          <w:szCs w:val="20"/>
          <w:highlight w:val="yellow"/>
        </w:rPr>
        <w:t>and</w:t>
      </w:r>
      <w:r w:rsidRPr="00BC2523">
        <w:rPr>
          <w:rFonts w:cs="Times New Roman"/>
          <w:szCs w:val="20"/>
        </w:rPr>
        <w:t xml:space="preserve"> </w:t>
      </w:r>
      <w:r w:rsidRPr="00BC2523">
        <w:rPr>
          <w:rFonts w:cs="Times New Roman"/>
          <w:szCs w:val="20"/>
          <w:highlight w:val="yellow"/>
          <w:u w:val="double"/>
        </w:rPr>
        <w:t>an</w:t>
      </w:r>
      <w:r w:rsidRPr="00BC2523">
        <w:rPr>
          <w:rFonts w:cs="Times New Roman"/>
          <w:szCs w:val="20"/>
        </w:rPr>
        <w:t xml:space="preserve"> </w:t>
      </w:r>
      <w:r w:rsidRPr="00BC2523">
        <w:rPr>
          <w:rFonts w:cs="Times New Roman"/>
          <w:i/>
          <w:szCs w:val="20"/>
        </w:rPr>
        <w:t>in situ</w:t>
      </w:r>
      <w:r w:rsidRPr="00BC2523">
        <w:rPr>
          <w:rFonts w:cs="Times New Roman"/>
          <w:szCs w:val="20"/>
        </w:rPr>
        <w:t xml:space="preserve"> hybridization method (Qiu </w:t>
      </w:r>
      <w:r w:rsidRPr="00BC2523">
        <w:rPr>
          <w:rFonts w:cs="Times New Roman"/>
          <w:i/>
          <w:szCs w:val="20"/>
        </w:rPr>
        <w:t>et al.,</w:t>
      </w:r>
      <w:r w:rsidRPr="00BC2523">
        <w:rPr>
          <w:rFonts w:cs="Times New Roman"/>
          <w:szCs w:val="20"/>
        </w:rPr>
        <w:t xml:space="preserve"> 2017a) and an </w:t>
      </w:r>
      <w:r w:rsidRPr="00BC2523">
        <w:rPr>
          <w:rFonts w:cs="Times New Roman"/>
          <w:i/>
          <w:iCs/>
          <w:szCs w:val="20"/>
        </w:rPr>
        <w:t>in situ</w:t>
      </w:r>
      <w:r w:rsidRPr="00BC2523">
        <w:rPr>
          <w:rFonts w:cs="Times New Roman"/>
          <w:szCs w:val="20"/>
        </w:rPr>
        <w:t xml:space="preserve"> DIG-labeling-loop-mediated DNA amplification (ISDL) method (Chen </w:t>
      </w:r>
      <w:r w:rsidRPr="00BC2523">
        <w:rPr>
          <w:rFonts w:cs="Times New Roman"/>
          <w:i/>
          <w:iCs/>
          <w:szCs w:val="20"/>
        </w:rPr>
        <w:t>et al</w:t>
      </w:r>
      <w:r w:rsidRPr="00BC2523">
        <w:rPr>
          <w:rFonts w:cs="Times New Roman"/>
          <w:szCs w:val="20"/>
        </w:rPr>
        <w:t>., 2019) have been published and are available for DIV1 detection. The PCR primers and TaqMan probe have been shown to be specific for DIV1 (no cross-reaction with other shrimp pathogens), with a low detection limit (4 copies per reaction) and high sensitivity and specificity (95.3% and 99.2%, respectively). Validation of the nested PCR method and TaqMan probe based real-time PCR method has occurred.</w:t>
      </w:r>
    </w:p>
    <w:p w14:paraId="348CF3B2" w14:textId="77777777" w:rsidR="00FC6CE0" w:rsidRDefault="00FC6CE0" w:rsidP="00FC6CE0">
      <w:pPr>
        <w:spacing w:after="240" w:line="240" w:lineRule="auto"/>
        <w:jc w:val="both"/>
        <w:rPr>
          <w:rFonts w:cs="Times New Roman"/>
          <w:szCs w:val="20"/>
        </w:rPr>
      </w:pPr>
      <w:r w:rsidRPr="00BC2523">
        <w:rPr>
          <w:rFonts w:cs="Times New Roman"/>
          <w:szCs w:val="20"/>
        </w:rPr>
        <w:t xml:space="preserve">It can be concluded that </w:t>
      </w:r>
      <w:r w:rsidRPr="00BC2523">
        <w:rPr>
          <w:rFonts w:cs="Times New Roman"/>
          <w:strike/>
          <w:szCs w:val="20"/>
          <w:highlight w:val="yellow"/>
        </w:rPr>
        <w:t>a)</w:t>
      </w:r>
      <w:r w:rsidRPr="00BC2523">
        <w:rPr>
          <w:rFonts w:cs="Times New Roman"/>
          <w:szCs w:val="20"/>
        </w:rPr>
        <w:t xml:space="preserve"> reliable means of detection and diagnosis </w:t>
      </w:r>
      <w:r w:rsidRPr="00BC2523">
        <w:rPr>
          <w:rFonts w:cs="Times New Roman"/>
          <w:strike/>
          <w:szCs w:val="20"/>
          <w:highlight w:val="yellow"/>
        </w:rPr>
        <w:t>is</w:t>
      </w:r>
      <w:r w:rsidRPr="00BC2523">
        <w:rPr>
          <w:rFonts w:cs="Times New Roman"/>
          <w:szCs w:val="20"/>
        </w:rPr>
        <w:t xml:space="preserve"> </w:t>
      </w:r>
      <w:r w:rsidRPr="00BC2523">
        <w:rPr>
          <w:rFonts w:cs="Times New Roman"/>
          <w:szCs w:val="20"/>
          <w:highlight w:val="yellow"/>
          <w:u w:val="double"/>
        </w:rPr>
        <w:t>are</w:t>
      </w:r>
      <w:r w:rsidRPr="00BC2523">
        <w:rPr>
          <w:rFonts w:cs="Times New Roman"/>
          <w:szCs w:val="20"/>
        </w:rPr>
        <w:t xml:space="preserve"> available, and </w:t>
      </w:r>
      <w:r w:rsidRPr="00BC2523">
        <w:rPr>
          <w:rFonts w:cs="Times New Roman"/>
          <w:strike/>
          <w:szCs w:val="20"/>
          <w:highlight w:val="yellow"/>
        </w:rPr>
        <w:t>b)</w:t>
      </w:r>
      <w:r w:rsidRPr="00BC2523">
        <w:rPr>
          <w:rFonts w:cs="Times New Roman"/>
          <w:szCs w:val="20"/>
        </w:rPr>
        <w:t xml:space="preserve">a precise case definition </w:t>
      </w:r>
      <w:r w:rsidRPr="00BC2523">
        <w:rPr>
          <w:rFonts w:cs="Times New Roman"/>
          <w:szCs w:val="20"/>
          <w:highlight w:val="yellow"/>
          <w:u w:val="double"/>
        </w:rPr>
        <w:t>can be developed</w:t>
      </w:r>
      <w:r w:rsidRPr="00BC2523">
        <w:rPr>
          <w:rFonts w:cs="Times New Roman"/>
          <w:szCs w:val="20"/>
        </w:rPr>
        <w:t xml:space="preserve"> based on clinical signs and </w:t>
      </w:r>
      <w:r w:rsidRPr="00BC2523">
        <w:rPr>
          <w:rFonts w:cs="Times New Roman"/>
          <w:strike/>
          <w:szCs w:val="20"/>
          <w:u w:val="double"/>
        </w:rPr>
        <w:t>c)</w:t>
      </w:r>
      <w:r w:rsidRPr="00BC2523">
        <w:rPr>
          <w:rFonts w:cs="Times New Roman"/>
          <w:szCs w:val="20"/>
        </w:rPr>
        <w:t xml:space="preserve">the </w:t>
      </w:r>
      <w:r w:rsidRPr="00BC2523">
        <w:rPr>
          <w:rFonts w:cs="Times New Roman"/>
          <w:strike/>
          <w:szCs w:val="20"/>
          <w:highlight w:val="yellow"/>
        </w:rPr>
        <w:t>use of the</w:t>
      </w:r>
      <w:r w:rsidRPr="00BC2523">
        <w:rPr>
          <w:rFonts w:cs="Times New Roman"/>
          <w:szCs w:val="20"/>
        </w:rPr>
        <w:t xml:space="preserve"> available diagnostic tests</w:t>
      </w:r>
      <w:r w:rsidRPr="00BC2523">
        <w:rPr>
          <w:rFonts w:cs="Times New Roman"/>
          <w:strike/>
          <w:szCs w:val="20"/>
          <w:highlight w:val="yellow"/>
        </w:rPr>
        <w:t>can be developed</w:t>
      </w:r>
      <w:r w:rsidRPr="00BC2523">
        <w:rPr>
          <w:rFonts w:cs="Times New Roman"/>
          <w:szCs w:val="20"/>
        </w:rPr>
        <w:t xml:space="preserve">. </w:t>
      </w:r>
    </w:p>
    <w:p w14:paraId="1E6DB6F4" w14:textId="77777777" w:rsidR="00FC6CE0" w:rsidRPr="00BC2523" w:rsidRDefault="00FC6CE0" w:rsidP="00FC6CE0">
      <w:pPr>
        <w:rPr>
          <w:rFonts w:cs="Times New Roman"/>
          <w:i/>
          <w:iCs/>
          <w:szCs w:val="20"/>
          <w:u w:val="single"/>
        </w:rPr>
      </w:pPr>
      <w:r w:rsidRPr="00BC2523">
        <w:rPr>
          <w:rFonts w:cs="Times New Roman"/>
          <w:i/>
          <w:iCs/>
          <w:szCs w:val="20"/>
          <w:u w:val="single"/>
        </w:rPr>
        <w:t xml:space="preserve">Conclusion: </w:t>
      </w:r>
    </w:p>
    <w:p w14:paraId="72106676" w14:textId="77777777" w:rsidR="00FC6CE0" w:rsidRPr="00BC2523" w:rsidRDefault="00FC6CE0" w:rsidP="00FC6CE0">
      <w:pPr>
        <w:rPr>
          <w:rFonts w:cs="Times New Roman"/>
          <w:i/>
          <w:iCs/>
          <w:szCs w:val="20"/>
        </w:rPr>
      </w:pPr>
      <w:r w:rsidRPr="00BC2523">
        <w:rPr>
          <w:rFonts w:cs="Times New Roman"/>
          <w:i/>
          <w:iCs/>
          <w:szCs w:val="20"/>
        </w:rPr>
        <w:t xml:space="preserve">Criterion is met. </w:t>
      </w:r>
    </w:p>
    <w:p w14:paraId="7A37A311" w14:textId="77777777" w:rsidR="00FC6CE0" w:rsidRDefault="00FC6CE0" w:rsidP="00FC6CE0">
      <w:pPr>
        <w:rPr>
          <w:rFonts w:cs="Times New Roman"/>
          <w:b/>
          <w:bCs/>
          <w:szCs w:val="20"/>
        </w:rPr>
      </w:pPr>
      <w:r>
        <w:rPr>
          <w:rFonts w:cs="Times New Roman"/>
          <w:b/>
          <w:bCs/>
          <w:szCs w:val="20"/>
        </w:rPr>
        <w:br w:type="page"/>
      </w:r>
    </w:p>
    <w:p w14:paraId="4377BA16" w14:textId="4DBECDF4" w:rsidR="00FC6CE0" w:rsidRPr="00BC2523" w:rsidRDefault="00FC6CE0" w:rsidP="00FC6CE0">
      <w:pPr>
        <w:spacing w:after="480" w:line="240" w:lineRule="auto"/>
        <w:jc w:val="right"/>
        <w:rPr>
          <w:rFonts w:cs="Times New Roman"/>
          <w:bCs/>
          <w:iCs/>
        </w:rPr>
      </w:pPr>
      <w:r w:rsidRPr="00BC2523">
        <w:rPr>
          <w:rFonts w:cs="Times New Roman"/>
          <w:bCs/>
          <w:iCs/>
          <w:u w:val="single"/>
        </w:rPr>
        <w:lastRenderedPageBreak/>
        <w:t xml:space="preserve">Annex </w:t>
      </w:r>
      <w:r>
        <w:rPr>
          <w:rFonts w:cs="Times New Roman"/>
          <w:bCs/>
          <w:iCs/>
          <w:u w:val="single"/>
        </w:rPr>
        <w:t>10</w:t>
      </w:r>
      <w:r>
        <w:rPr>
          <w:rFonts w:cs="Times New Roman"/>
          <w:bCs/>
          <w:iCs/>
        </w:rPr>
        <w:t xml:space="preserve"> (contd)</w:t>
      </w:r>
    </w:p>
    <w:p w14:paraId="632AC205" w14:textId="77777777" w:rsidR="00FC6CE0" w:rsidRPr="00BC2523" w:rsidRDefault="00FC6CE0" w:rsidP="00FC6CE0">
      <w:pPr>
        <w:jc w:val="both"/>
        <w:rPr>
          <w:rFonts w:cs="Times New Roman"/>
          <w:b/>
          <w:bCs/>
          <w:szCs w:val="20"/>
        </w:rPr>
      </w:pPr>
      <w:r w:rsidRPr="00BC2523">
        <w:rPr>
          <w:rFonts w:cs="Times New Roman"/>
          <w:b/>
          <w:bCs/>
          <w:szCs w:val="20"/>
        </w:rPr>
        <w:t xml:space="preserve">AND </w:t>
      </w:r>
    </w:p>
    <w:p w14:paraId="7A622676" w14:textId="77777777" w:rsidR="00FC6CE0" w:rsidRPr="00BC2523" w:rsidRDefault="00FC6CE0" w:rsidP="00FC6CE0">
      <w:pPr>
        <w:spacing w:after="240" w:line="240" w:lineRule="auto"/>
        <w:jc w:val="both"/>
        <w:rPr>
          <w:rFonts w:cs="Times New Roman"/>
          <w:b/>
          <w:i/>
          <w:szCs w:val="20"/>
          <w:shd w:val="clear" w:color="auto" w:fill="FAF9F8"/>
        </w:rPr>
      </w:pPr>
      <w:r w:rsidRPr="00BC2523">
        <w:rPr>
          <w:rFonts w:cs="Times New Roman"/>
          <w:b/>
          <w:szCs w:val="20"/>
          <w:shd w:val="clear" w:color="auto" w:fill="FAF9F8"/>
        </w:rPr>
        <w:t xml:space="preserve">Criterion No. 4. a. </w:t>
      </w:r>
      <w:r w:rsidRPr="00BC2523">
        <w:rPr>
          <w:rFonts w:cs="Times New Roman"/>
          <w:b/>
          <w:i/>
          <w:szCs w:val="20"/>
        </w:rPr>
        <w:t xml:space="preserve"> </w:t>
      </w:r>
      <w:r w:rsidRPr="00BC2523">
        <w:rPr>
          <w:rFonts w:cs="Times New Roman"/>
          <w:b/>
          <w:i/>
          <w:szCs w:val="20"/>
          <w:shd w:val="clear" w:color="auto" w:fill="FAF9F8"/>
        </w:rPr>
        <w:t>Natural transmission to humans has been proven, and human infection is associated with severe consequences.</w:t>
      </w:r>
    </w:p>
    <w:p w14:paraId="226A653F" w14:textId="77777777" w:rsidR="00FC6CE0" w:rsidRPr="00BC2523" w:rsidRDefault="00FC6CE0" w:rsidP="00FC6CE0">
      <w:pPr>
        <w:jc w:val="both"/>
        <w:rPr>
          <w:rFonts w:cs="Times New Roman"/>
          <w:i/>
          <w:iCs/>
          <w:szCs w:val="20"/>
          <w:u w:val="single"/>
        </w:rPr>
      </w:pPr>
      <w:r w:rsidRPr="00BC2523">
        <w:rPr>
          <w:rFonts w:cs="Times New Roman"/>
          <w:i/>
          <w:iCs/>
          <w:szCs w:val="20"/>
          <w:u w:val="single"/>
        </w:rPr>
        <w:t>Assessment:</w:t>
      </w:r>
    </w:p>
    <w:p w14:paraId="66BAD669" w14:textId="77777777" w:rsidR="00FC6CE0" w:rsidRPr="00BC2523" w:rsidRDefault="00FC6CE0" w:rsidP="00FC6CE0">
      <w:pPr>
        <w:spacing w:after="240" w:line="240" w:lineRule="auto"/>
        <w:jc w:val="both"/>
        <w:rPr>
          <w:rFonts w:cs="Times New Roman"/>
          <w:i/>
          <w:szCs w:val="20"/>
          <w:u w:val="single"/>
        </w:rPr>
      </w:pPr>
      <w:r w:rsidRPr="00BC2523">
        <w:rPr>
          <w:rFonts w:cs="Times New Roman"/>
          <w:szCs w:val="20"/>
        </w:rPr>
        <w:t>No available data to assess.</w:t>
      </w:r>
    </w:p>
    <w:p w14:paraId="28C060A6" w14:textId="77777777" w:rsidR="00FC6CE0" w:rsidRPr="00BC2523" w:rsidRDefault="00FC6CE0" w:rsidP="00FC6CE0">
      <w:pPr>
        <w:jc w:val="both"/>
        <w:rPr>
          <w:rStyle w:val="Emphaseintense"/>
          <w:rFonts w:cs="Times New Roman"/>
          <w:sz w:val="20"/>
          <w:szCs w:val="20"/>
        </w:rPr>
      </w:pPr>
      <w:r w:rsidRPr="00BC2523">
        <w:rPr>
          <w:rStyle w:val="Emphaseintense"/>
          <w:rFonts w:cs="Times New Roman"/>
          <w:sz w:val="20"/>
          <w:szCs w:val="20"/>
        </w:rPr>
        <w:t>Conclusion</w:t>
      </w:r>
    </w:p>
    <w:p w14:paraId="7748865C" w14:textId="77777777" w:rsidR="00FC6CE0" w:rsidRPr="00BC2523" w:rsidRDefault="00FC6CE0" w:rsidP="00FC6CE0">
      <w:pPr>
        <w:spacing w:after="240" w:line="240" w:lineRule="auto"/>
        <w:jc w:val="both"/>
        <w:rPr>
          <w:rFonts w:cs="Times New Roman"/>
          <w:szCs w:val="20"/>
        </w:rPr>
      </w:pPr>
      <w:r w:rsidRPr="00BC2523">
        <w:rPr>
          <w:rFonts w:cs="Times New Roman"/>
          <w:szCs w:val="20"/>
        </w:rPr>
        <w:t xml:space="preserve">Criterion not applicable. </w:t>
      </w:r>
    </w:p>
    <w:p w14:paraId="34577142" w14:textId="77777777" w:rsidR="00FC6CE0" w:rsidRPr="00BC2523" w:rsidRDefault="00FC6CE0" w:rsidP="00FC6CE0">
      <w:pPr>
        <w:spacing w:after="240" w:line="240" w:lineRule="auto"/>
        <w:jc w:val="both"/>
        <w:rPr>
          <w:rFonts w:cs="Times New Roman"/>
          <w:b/>
          <w:szCs w:val="20"/>
        </w:rPr>
      </w:pPr>
      <w:r w:rsidRPr="00BC2523">
        <w:rPr>
          <w:rFonts w:cs="Times New Roman"/>
          <w:b/>
          <w:szCs w:val="20"/>
        </w:rPr>
        <w:t>OR</w:t>
      </w:r>
    </w:p>
    <w:p w14:paraId="19A0B1F1" w14:textId="77777777" w:rsidR="00FC6CE0" w:rsidRPr="00BC2523" w:rsidRDefault="00FC6CE0" w:rsidP="00FC6CE0">
      <w:pPr>
        <w:tabs>
          <w:tab w:val="left" w:pos="450"/>
        </w:tabs>
        <w:spacing w:after="240" w:line="240" w:lineRule="auto"/>
        <w:jc w:val="both"/>
        <w:rPr>
          <w:rFonts w:cs="Times New Roman"/>
          <w:b/>
          <w:i/>
          <w:szCs w:val="20"/>
        </w:rPr>
      </w:pPr>
      <w:r w:rsidRPr="00BC2523">
        <w:rPr>
          <w:rFonts w:cs="Times New Roman"/>
          <w:b/>
          <w:szCs w:val="20"/>
        </w:rPr>
        <w:t>C</w:t>
      </w:r>
      <w:r w:rsidRPr="00BC2523">
        <w:rPr>
          <w:rFonts w:cs="Times New Roman"/>
          <w:b/>
          <w:szCs w:val="20"/>
          <w:shd w:val="clear" w:color="auto" w:fill="FAF9F8"/>
        </w:rPr>
        <w:t xml:space="preserve">riterion No. </w:t>
      </w:r>
      <w:r w:rsidRPr="00BC2523">
        <w:rPr>
          <w:rFonts w:cs="Times New Roman"/>
          <w:b/>
          <w:szCs w:val="20"/>
        </w:rPr>
        <w:t>4</w:t>
      </w:r>
      <w:r w:rsidRPr="00BC2523">
        <w:rPr>
          <w:rFonts w:cs="Times New Roman"/>
          <w:b/>
          <w:i/>
          <w:szCs w:val="20"/>
        </w:rPr>
        <w:t>.</w:t>
      </w:r>
      <w:r w:rsidRPr="00BC2523">
        <w:rPr>
          <w:rFonts w:cs="Times New Roman"/>
          <w:b/>
          <w:szCs w:val="20"/>
        </w:rPr>
        <w:t>b</w:t>
      </w:r>
      <w:r w:rsidRPr="00BC2523">
        <w:rPr>
          <w:rFonts w:cs="Times New Roman"/>
          <w:b/>
          <w:i/>
          <w:szCs w:val="20"/>
        </w:rPr>
        <w:t>.  The disease has been shown to affect the health of cultured aquatic animals at the level of a country or a zone resulting in significant consequences e.g. production losses, morbidity or mortality at a zone or country level.</w:t>
      </w:r>
    </w:p>
    <w:p w14:paraId="44D73089" w14:textId="77777777" w:rsidR="00FC6CE0" w:rsidRPr="00BC2523" w:rsidRDefault="00FC6CE0" w:rsidP="00FC6CE0">
      <w:pPr>
        <w:spacing w:after="240" w:line="240" w:lineRule="auto"/>
        <w:jc w:val="both"/>
        <w:rPr>
          <w:rFonts w:cs="Times New Roman"/>
          <w:szCs w:val="20"/>
        </w:rPr>
      </w:pPr>
      <w:r w:rsidRPr="00BC2523">
        <w:rPr>
          <w:rFonts w:cs="Times New Roman"/>
          <w:i/>
          <w:szCs w:val="20"/>
          <w:u w:val="single"/>
        </w:rPr>
        <w:t>Assessment</w:t>
      </w:r>
    </w:p>
    <w:p w14:paraId="0E6DC446" w14:textId="77777777" w:rsidR="00FC6CE0" w:rsidRPr="00BC2523" w:rsidRDefault="00FC6CE0" w:rsidP="00FC6CE0">
      <w:pPr>
        <w:spacing w:after="240" w:line="240" w:lineRule="auto"/>
        <w:jc w:val="both"/>
        <w:rPr>
          <w:rFonts w:cs="Times New Roman"/>
          <w:szCs w:val="20"/>
        </w:rPr>
      </w:pPr>
      <w:r w:rsidRPr="00BC2523">
        <w:rPr>
          <w:rFonts w:cs="Times New Roman"/>
          <w:szCs w:val="20"/>
        </w:rPr>
        <w:t xml:space="preserve">High mortality (&gt;80%) </w:t>
      </w:r>
      <w:r w:rsidRPr="00BC2523">
        <w:rPr>
          <w:rFonts w:cs="Times New Roman"/>
          <w:strike/>
          <w:szCs w:val="20"/>
          <w:highlight w:val="yellow"/>
        </w:rPr>
        <w:t>have</w:t>
      </w:r>
      <w:r w:rsidRPr="00BC2523">
        <w:rPr>
          <w:rFonts w:cs="Times New Roman"/>
          <w:szCs w:val="20"/>
        </w:rPr>
        <w:t xml:space="preserve"> </w:t>
      </w:r>
      <w:r w:rsidRPr="00BC2523">
        <w:rPr>
          <w:rFonts w:cs="Times New Roman"/>
          <w:szCs w:val="20"/>
          <w:highlight w:val="yellow"/>
          <w:u w:val="double"/>
        </w:rPr>
        <w:t>has</w:t>
      </w:r>
      <w:r w:rsidRPr="00BC2523">
        <w:rPr>
          <w:rFonts w:cs="Times New Roman"/>
          <w:szCs w:val="20"/>
        </w:rPr>
        <w:t xml:space="preserve"> been observed in affected </w:t>
      </w:r>
      <w:r w:rsidRPr="00BC2523">
        <w:rPr>
          <w:rFonts w:cs="Times New Roman"/>
          <w:i/>
          <w:szCs w:val="20"/>
        </w:rPr>
        <w:t>P. vannamei</w:t>
      </w:r>
      <w:r w:rsidRPr="00BC2523">
        <w:rPr>
          <w:rFonts w:cs="Times New Roman"/>
          <w:szCs w:val="20"/>
        </w:rPr>
        <w:t xml:space="preserve"> and </w:t>
      </w:r>
      <w:r w:rsidRPr="00BC2523">
        <w:rPr>
          <w:rFonts w:cs="Times New Roman"/>
          <w:i/>
          <w:szCs w:val="20"/>
        </w:rPr>
        <w:t>M. rosenbergii</w:t>
      </w:r>
      <w:r w:rsidRPr="00BC2523">
        <w:rPr>
          <w:rFonts w:cs="Times New Roman"/>
          <w:szCs w:val="20"/>
        </w:rPr>
        <w:t xml:space="preserve"> populations in farms in China (People’s Rep. of) (Qiu </w:t>
      </w:r>
      <w:r w:rsidRPr="00BC2523">
        <w:rPr>
          <w:rFonts w:cs="Times New Roman"/>
          <w:i/>
          <w:iCs/>
          <w:szCs w:val="20"/>
        </w:rPr>
        <w:t>et al</w:t>
      </w:r>
      <w:r w:rsidRPr="00BC2523">
        <w:rPr>
          <w:rFonts w:cs="Times New Roman"/>
          <w:szCs w:val="20"/>
        </w:rPr>
        <w:t xml:space="preserve">., 2017a; Qiu </w:t>
      </w:r>
      <w:r w:rsidRPr="00BC2523">
        <w:rPr>
          <w:rFonts w:cs="Times New Roman"/>
          <w:i/>
          <w:iCs/>
          <w:szCs w:val="20"/>
        </w:rPr>
        <w:t>et al</w:t>
      </w:r>
      <w:r w:rsidRPr="00BC2523">
        <w:rPr>
          <w:rFonts w:cs="Times New Roman"/>
          <w:szCs w:val="20"/>
        </w:rPr>
        <w:t>., 2019a). Experimental infection trials mimicking the natural infection pathway (</w:t>
      </w:r>
      <w:r w:rsidRPr="00BC2523">
        <w:rPr>
          <w:rFonts w:cs="Times New Roman"/>
          <w:i/>
          <w:szCs w:val="20"/>
        </w:rPr>
        <w:t>per os</w:t>
      </w:r>
      <w:r w:rsidRPr="00BC2523">
        <w:rPr>
          <w:rFonts w:cs="Times New Roman"/>
          <w:szCs w:val="20"/>
        </w:rPr>
        <w:t xml:space="preserve"> </w:t>
      </w:r>
      <w:r w:rsidRPr="00BC2523">
        <w:rPr>
          <w:rFonts w:cs="Times New Roman"/>
          <w:strike/>
          <w:szCs w:val="20"/>
          <w:highlight w:val="yellow"/>
        </w:rPr>
        <w:t>and reverse garvage</w:t>
      </w:r>
      <w:r w:rsidRPr="00BC2523">
        <w:rPr>
          <w:rFonts w:cs="Times New Roman"/>
          <w:szCs w:val="20"/>
        </w:rPr>
        <w:t xml:space="preserve">) in </w:t>
      </w:r>
      <w:r w:rsidRPr="00BC2523">
        <w:rPr>
          <w:rFonts w:cs="Times New Roman"/>
          <w:i/>
          <w:szCs w:val="20"/>
        </w:rPr>
        <w:t>P. vannamei</w:t>
      </w:r>
      <w:r w:rsidRPr="00BC2523">
        <w:rPr>
          <w:rFonts w:cs="Times New Roman"/>
          <w:szCs w:val="20"/>
        </w:rPr>
        <w:t xml:space="preserve"> </w:t>
      </w:r>
      <w:r w:rsidRPr="00BC2523">
        <w:rPr>
          <w:rFonts w:cs="Times New Roman"/>
          <w:strike/>
          <w:szCs w:val="20"/>
          <w:highlight w:val="yellow"/>
        </w:rPr>
        <w:t>has</w:t>
      </w:r>
      <w:r w:rsidRPr="00BC2523">
        <w:rPr>
          <w:rFonts w:cs="Times New Roman"/>
          <w:szCs w:val="20"/>
        </w:rPr>
        <w:t xml:space="preserve"> </w:t>
      </w:r>
      <w:r w:rsidRPr="00BC2523">
        <w:rPr>
          <w:rFonts w:cs="Times New Roman"/>
          <w:szCs w:val="20"/>
          <w:highlight w:val="yellow"/>
          <w:u w:val="double"/>
        </w:rPr>
        <w:t>have</w:t>
      </w:r>
      <w:r w:rsidRPr="00BC2523">
        <w:rPr>
          <w:rFonts w:cs="Times New Roman"/>
          <w:szCs w:val="20"/>
        </w:rPr>
        <w:t xml:space="preserve"> shown 100% cumulative mortality within 2 weeks (Qiu </w:t>
      </w:r>
      <w:r w:rsidRPr="00BC2523">
        <w:rPr>
          <w:rFonts w:cs="Times New Roman"/>
          <w:i/>
          <w:szCs w:val="20"/>
        </w:rPr>
        <w:t>et al.,</w:t>
      </w:r>
      <w:r w:rsidRPr="00BC2523">
        <w:rPr>
          <w:rFonts w:cs="Times New Roman"/>
          <w:szCs w:val="20"/>
        </w:rPr>
        <w:t xml:space="preserve"> 2017a). Injection challenges in </w:t>
      </w:r>
      <w:r w:rsidRPr="00BC2523">
        <w:rPr>
          <w:rFonts w:cs="Times New Roman"/>
          <w:i/>
          <w:szCs w:val="20"/>
        </w:rPr>
        <w:t>P. vannamei</w:t>
      </w:r>
      <w:r w:rsidRPr="00BC2523">
        <w:rPr>
          <w:rFonts w:cs="Times New Roman"/>
          <w:szCs w:val="20"/>
        </w:rPr>
        <w:t xml:space="preserve">, </w:t>
      </w:r>
      <w:r w:rsidRPr="00BC2523">
        <w:rPr>
          <w:rFonts w:cs="Times New Roman"/>
          <w:i/>
          <w:szCs w:val="20"/>
        </w:rPr>
        <w:t>C. quadricarinatus</w:t>
      </w:r>
      <w:r w:rsidRPr="00BC2523">
        <w:rPr>
          <w:rFonts w:cs="Times New Roman"/>
          <w:szCs w:val="20"/>
        </w:rPr>
        <w:t xml:space="preserve">, and </w:t>
      </w:r>
      <w:r w:rsidRPr="00BC2523">
        <w:rPr>
          <w:rFonts w:cs="Times New Roman"/>
          <w:i/>
          <w:szCs w:val="20"/>
        </w:rPr>
        <w:t>P. clarkii</w:t>
      </w:r>
      <w:r w:rsidRPr="00BC2523">
        <w:rPr>
          <w:rFonts w:cs="Times New Roman"/>
          <w:szCs w:val="20"/>
        </w:rPr>
        <w:t xml:space="preserve"> also </w:t>
      </w:r>
      <w:r w:rsidRPr="00BC2523">
        <w:rPr>
          <w:rFonts w:cs="Times New Roman"/>
          <w:strike/>
          <w:szCs w:val="20"/>
          <w:highlight w:val="yellow"/>
        </w:rPr>
        <w:t>exhibited</w:t>
      </w:r>
      <w:r w:rsidRPr="00BC2523">
        <w:rPr>
          <w:rFonts w:cs="Times New Roman"/>
          <w:szCs w:val="20"/>
        </w:rPr>
        <w:t xml:space="preserve"> </w:t>
      </w:r>
      <w:r w:rsidRPr="00BC2523">
        <w:rPr>
          <w:rFonts w:cs="Times New Roman"/>
          <w:szCs w:val="20"/>
          <w:highlight w:val="yellow"/>
          <w:u w:val="double"/>
        </w:rPr>
        <w:t>resulted in</w:t>
      </w:r>
      <w:r w:rsidRPr="00BC2523">
        <w:rPr>
          <w:rFonts w:cs="Times New Roman"/>
          <w:szCs w:val="20"/>
        </w:rPr>
        <w:t xml:space="preserve"> 100% cumulative mortalities (Xu </w:t>
      </w:r>
      <w:r w:rsidRPr="00BC2523">
        <w:rPr>
          <w:rFonts w:cs="Times New Roman"/>
          <w:i/>
          <w:szCs w:val="20"/>
        </w:rPr>
        <w:t>et al.</w:t>
      </w:r>
      <w:r w:rsidRPr="00BC2523">
        <w:rPr>
          <w:rFonts w:cs="Times New Roman"/>
          <w:szCs w:val="20"/>
        </w:rPr>
        <w:t xml:space="preserve">, 2016; Qiu </w:t>
      </w:r>
      <w:r w:rsidRPr="00BC2523">
        <w:rPr>
          <w:rFonts w:cs="Times New Roman"/>
          <w:i/>
          <w:szCs w:val="20"/>
        </w:rPr>
        <w:t>et al.</w:t>
      </w:r>
      <w:r w:rsidRPr="00BC2523">
        <w:rPr>
          <w:rFonts w:cs="Times New Roman"/>
          <w:szCs w:val="20"/>
        </w:rPr>
        <w:t xml:space="preserve">, 2017a). Since 2014, some disease events with massive losses of </w:t>
      </w:r>
      <w:r w:rsidRPr="00BC2523">
        <w:rPr>
          <w:rFonts w:cs="Times New Roman"/>
          <w:i/>
          <w:szCs w:val="20"/>
        </w:rPr>
        <w:t xml:space="preserve">P. vannamei </w:t>
      </w:r>
      <w:r w:rsidRPr="00BC2523">
        <w:rPr>
          <w:rFonts w:cs="Times New Roman"/>
          <w:szCs w:val="20"/>
        </w:rPr>
        <w:t xml:space="preserve">and </w:t>
      </w:r>
      <w:r w:rsidRPr="00BC2523">
        <w:rPr>
          <w:rFonts w:cs="Times New Roman"/>
          <w:i/>
          <w:szCs w:val="20"/>
        </w:rPr>
        <w:t>M. rosenbergii</w:t>
      </w:r>
      <w:r w:rsidRPr="00BC2523">
        <w:rPr>
          <w:rFonts w:cs="Times New Roman"/>
          <w:szCs w:val="20"/>
        </w:rPr>
        <w:t xml:space="preserve"> in coastal provinces of China (People’s Rep. of) have been associated with infection with DIV1 (Qiu</w:t>
      </w:r>
      <w:r w:rsidRPr="00BC2523">
        <w:rPr>
          <w:rFonts w:cs="Times New Roman"/>
          <w:i/>
          <w:szCs w:val="20"/>
        </w:rPr>
        <w:t xml:space="preserve"> et al.</w:t>
      </w:r>
      <w:r w:rsidRPr="00BC2523">
        <w:rPr>
          <w:rFonts w:cs="Times New Roman"/>
          <w:szCs w:val="20"/>
        </w:rPr>
        <w:t xml:space="preserve">, 2017a). Targeted surveillance in China in 2017 and 2018 </w:t>
      </w:r>
      <w:r w:rsidRPr="00BC2523">
        <w:rPr>
          <w:rFonts w:cs="Times New Roman"/>
          <w:strike/>
          <w:szCs w:val="20"/>
          <w:highlight w:val="yellow"/>
        </w:rPr>
        <w:t>revealed</w:t>
      </w:r>
      <w:r w:rsidRPr="00BC2523">
        <w:rPr>
          <w:rFonts w:cs="Times New Roman"/>
          <w:szCs w:val="20"/>
        </w:rPr>
        <w:t xml:space="preserve"> </w:t>
      </w:r>
      <w:r w:rsidRPr="00BC2523">
        <w:rPr>
          <w:rFonts w:cs="Times New Roman"/>
          <w:strike/>
          <w:szCs w:val="20"/>
          <w:highlight w:val="yellow"/>
        </w:rPr>
        <w:t>that</w:t>
      </w:r>
      <w:r w:rsidRPr="00BC2523">
        <w:rPr>
          <w:rFonts w:cs="Times New Roman"/>
          <w:strike/>
          <w:szCs w:val="20"/>
        </w:rPr>
        <w:t xml:space="preserve"> </w:t>
      </w:r>
      <w:r w:rsidRPr="00BC2523">
        <w:rPr>
          <w:rFonts w:cs="Times New Roman"/>
          <w:szCs w:val="20"/>
          <w:highlight w:val="yellow"/>
          <w:u w:val="double"/>
        </w:rPr>
        <w:t>detected</w:t>
      </w:r>
      <w:r w:rsidRPr="00BC2523">
        <w:rPr>
          <w:rFonts w:cs="Times New Roman"/>
          <w:szCs w:val="20"/>
        </w:rPr>
        <w:t xml:space="preserve"> DIV1 </w:t>
      </w:r>
      <w:r w:rsidRPr="00BC2523">
        <w:rPr>
          <w:rFonts w:cs="Times New Roman"/>
          <w:strike/>
          <w:szCs w:val="20"/>
          <w:highlight w:val="yellow"/>
        </w:rPr>
        <w:t>has been detected</w:t>
      </w:r>
      <w:r w:rsidRPr="00BC2523">
        <w:rPr>
          <w:rFonts w:cs="Times New Roman"/>
          <w:szCs w:val="20"/>
        </w:rPr>
        <w:t xml:space="preserve"> in 11 of 16 provinces (Qiu </w:t>
      </w:r>
      <w:r w:rsidRPr="00BC2523">
        <w:rPr>
          <w:rFonts w:cs="Times New Roman"/>
          <w:i/>
          <w:iCs/>
          <w:szCs w:val="20"/>
        </w:rPr>
        <w:t>et al</w:t>
      </w:r>
      <w:r w:rsidRPr="00BC2523">
        <w:rPr>
          <w:rFonts w:cs="Times New Roman"/>
          <w:szCs w:val="20"/>
        </w:rPr>
        <w:t xml:space="preserve">., 2018b; Qiu </w:t>
      </w:r>
      <w:r w:rsidRPr="00BC2523">
        <w:rPr>
          <w:rFonts w:cs="Times New Roman"/>
          <w:i/>
          <w:iCs/>
          <w:szCs w:val="20"/>
        </w:rPr>
        <w:t>et al</w:t>
      </w:r>
      <w:r w:rsidRPr="00BC2523">
        <w:rPr>
          <w:rFonts w:cs="Times New Roman"/>
          <w:szCs w:val="20"/>
        </w:rPr>
        <w:t xml:space="preserve">., 2019b). Losses are significant at a country level. </w:t>
      </w:r>
    </w:p>
    <w:p w14:paraId="240F765E" w14:textId="77777777" w:rsidR="00FC6CE0" w:rsidRPr="00BC2523" w:rsidRDefault="00FC6CE0" w:rsidP="00FC6CE0">
      <w:pPr>
        <w:spacing w:after="240" w:line="240" w:lineRule="auto"/>
        <w:jc w:val="both"/>
        <w:rPr>
          <w:rFonts w:cs="Times New Roman"/>
          <w:szCs w:val="20"/>
          <w:u w:val="single"/>
        </w:rPr>
      </w:pPr>
      <w:r w:rsidRPr="00BC2523">
        <w:rPr>
          <w:rFonts w:cs="Times New Roman"/>
          <w:i/>
          <w:szCs w:val="20"/>
          <w:u w:val="single"/>
        </w:rPr>
        <w:t>Conclusion</w:t>
      </w:r>
    </w:p>
    <w:p w14:paraId="003CABD3" w14:textId="77777777" w:rsidR="00FC6CE0" w:rsidRPr="00BC2523" w:rsidRDefault="00FC6CE0" w:rsidP="00FC6CE0">
      <w:pPr>
        <w:spacing w:after="240" w:line="240" w:lineRule="auto"/>
        <w:jc w:val="both"/>
        <w:rPr>
          <w:rFonts w:cs="Times New Roman"/>
          <w:b/>
          <w:szCs w:val="20"/>
        </w:rPr>
      </w:pPr>
      <w:r w:rsidRPr="00BC2523">
        <w:rPr>
          <w:rFonts w:cs="Times New Roman"/>
          <w:szCs w:val="20"/>
        </w:rPr>
        <w:t xml:space="preserve">Criterion is met. </w:t>
      </w:r>
    </w:p>
    <w:p w14:paraId="32986F8E" w14:textId="77777777" w:rsidR="00FC6CE0" w:rsidRPr="00BC2523" w:rsidRDefault="00FC6CE0" w:rsidP="00FC6CE0">
      <w:pPr>
        <w:spacing w:after="240" w:line="240" w:lineRule="auto"/>
        <w:jc w:val="both"/>
        <w:rPr>
          <w:rFonts w:cs="Times New Roman"/>
          <w:b/>
          <w:szCs w:val="20"/>
          <w:shd w:val="clear" w:color="auto" w:fill="FAF9F8"/>
        </w:rPr>
      </w:pPr>
      <w:r w:rsidRPr="00BC2523">
        <w:rPr>
          <w:rFonts w:cs="Times New Roman"/>
          <w:b/>
          <w:szCs w:val="20"/>
          <w:shd w:val="clear" w:color="auto" w:fill="FAF9F8"/>
        </w:rPr>
        <w:t>OR</w:t>
      </w:r>
    </w:p>
    <w:p w14:paraId="1CFC7361" w14:textId="77777777" w:rsidR="00FC6CE0" w:rsidRPr="00BC2523" w:rsidRDefault="00FC6CE0" w:rsidP="00FC6CE0">
      <w:pPr>
        <w:spacing w:after="240" w:line="240" w:lineRule="auto"/>
        <w:jc w:val="both"/>
        <w:rPr>
          <w:rFonts w:cs="Times New Roman"/>
          <w:b/>
          <w:i/>
          <w:szCs w:val="20"/>
          <w:shd w:val="clear" w:color="auto" w:fill="FAF9F8"/>
        </w:rPr>
      </w:pPr>
      <w:r w:rsidRPr="00BC2523">
        <w:rPr>
          <w:rFonts w:cs="Times New Roman"/>
          <w:b/>
          <w:szCs w:val="20"/>
        </w:rPr>
        <w:t>C</w:t>
      </w:r>
      <w:r w:rsidRPr="00BC2523">
        <w:rPr>
          <w:rFonts w:cs="Times New Roman"/>
          <w:b/>
          <w:szCs w:val="20"/>
          <w:shd w:val="clear" w:color="auto" w:fill="FAF9F8"/>
        </w:rPr>
        <w:t xml:space="preserve">riterion No. </w:t>
      </w:r>
      <w:r w:rsidRPr="00BC2523">
        <w:rPr>
          <w:rFonts w:cs="Times New Roman"/>
          <w:b/>
          <w:szCs w:val="20"/>
        </w:rPr>
        <w:t>4</w:t>
      </w:r>
      <w:r w:rsidRPr="00BC2523">
        <w:rPr>
          <w:rFonts w:cs="Times New Roman"/>
          <w:b/>
          <w:i/>
          <w:szCs w:val="20"/>
        </w:rPr>
        <w:t>.</w:t>
      </w:r>
      <w:r w:rsidRPr="00BC2523">
        <w:rPr>
          <w:rFonts w:cs="Times New Roman"/>
          <w:b/>
          <w:szCs w:val="20"/>
        </w:rPr>
        <w:t xml:space="preserve">c. </w:t>
      </w:r>
      <w:r w:rsidRPr="00BC2523">
        <w:rPr>
          <w:rFonts w:cs="Times New Roman"/>
          <w:b/>
          <w:i/>
          <w:szCs w:val="20"/>
          <w:shd w:val="clear" w:color="auto" w:fill="FAF9F8"/>
        </w:rPr>
        <w:t>The disease has been shown to, or scientific evidence indicates that it would affect the health of wild aquatic animals resulting in significant consequences e.g. morbidity or mortality at a population level, reduced productivity or ecological impacts.</w:t>
      </w:r>
    </w:p>
    <w:p w14:paraId="1BE31B78" w14:textId="77777777" w:rsidR="00FC6CE0" w:rsidRPr="00BC2523" w:rsidRDefault="00FC6CE0" w:rsidP="00FC6CE0">
      <w:pPr>
        <w:spacing w:after="240" w:line="240" w:lineRule="auto"/>
        <w:jc w:val="both"/>
        <w:rPr>
          <w:rFonts w:cs="Times New Roman"/>
          <w:szCs w:val="20"/>
        </w:rPr>
      </w:pPr>
      <w:r w:rsidRPr="00BC2523">
        <w:rPr>
          <w:rFonts w:cs="Times New Roman"/>
          <w:i/>
          <w:szCs w:val="20"/>
          <w:u w:val="single"/>
        </w:rPr>
        <w:t>Assessment</w:t>
      </w:r>
    </w:p>
    <w:p w14:paraId="72A18C27" w14:textId="77777777" w:rsidR="00FC6CE0" w:rsidRPr="00BC2523" w:rsidRDefault="00FC6CE0" w:rsidP="00FC6CE0">
      <w:pPr>
        <w:spacing w:after="240" w:line="240" w:lineRule="auto"/>
        <w:jc w:val="both"/>
        <w:rPr>
          <w:rFonts w:cs="Times New Roman"/>
          <w:szCs w:val="20"/>
        </w:rPr>
      </w:pPr>
      <w:r w:rsidRPr="00BC2523">
        <w:rPr>
          <w:rFonts w:cs="Times New Roman"/>
          <w:szCs w:val="20"/>
        </w:rPr>
        <w:t>Infection with DIV1 has been shown to have a significant effect on the health of cultured shrimp</w:t>
      </w:r>
      <w:r w:rsidRPr="00BC2523">
        <w:rPr>
          <w:rFonts w:cs="Times New Roman"/>
          <w:strike/>
          <w:szCs w:val="20"/>
          <w:highlight w:val="yellow"/>
        </w:rPr>
        <w:t>,</w:t>
      </w:r>
      <w:r w:rsidRPr="00BC2523">
        <w:rPr>
          <w:rFonts w:cs="Times New Roman"/>
          <w:szCs w:val="20"/>
        </w:rPr>
        <w:t xml:space="preserve"> </w:t>
      </w:r>
      <w:r w:rsidRPr="00BC2523">
        <w:rPr>
          <w:rFonts w:cs="Times New Roman"/>
          <w:szCs w:val="20"/>
          <w:highlight w:val="yellow"/>
          <w:u w:val="double"/>
        </w:rPr>
        <w:t>or</w:t>
      </w:r>
      <w:r w:rsidRPr="00BC2523">
        <w:rPr>
          <w:rFonts w:cs="Times New Roman"/>
          <w:szCs w:val="20"/>
        </w:rPr>
        <w:t xml:space="preserve"> crayfish</w:t>
      </w:r>
      <w:r w:rsidRPr="00BC2523">
        <w:rPr>
          <w:rFonts w:cs="Times New Roman"/>
          <w:strike/>
          <w:szCs w:val="20"/>
          <w:highlight w:val="yellow"/>
        </w:rPr>
        <w:t>, or lobsters</w:t>
      </w:r>
      <w:r w:rsidRPr="00BC2523">
        <w:rPr>
          <w:rFonts w:cs="Times New Roman"/>
          <w:strike/>
          <w:szCs w:val="20"/>
        </w:rPr>
        <w:t xml:space="preserve"> </w:t>
      </w:r>
      <w:r w:rsidRPr="00BC2523">
        <w:rPr>
          <w:rFonts w:cs="Times New Roman"/>
          <w:szCs w:val="20"/>
        </w:rPr>
        <w:t>resulting in significant consequences including morbidity and mortality. It is possible that the disease would affect wild aquatic animals; however, there are no available data to demonstrate impact (e.g. morbidity or mortality) of the disease on wild aquatic animals at a population level.</w:t>
      </w:r>
    </w:p>
    <w:p w14:paraId="3A8AB1E6" w14:textId="77777777" w:rsidR="00FC6CE0" w:rsidRPr="00BC2523" w:rsidRDefault="00FC6CE0" w:rsidP="00FC6CE0">
      <w:pPr>
        <w:spacing w:after="240" w:line="240" w:lineRule="auto"/>
        <w:jc w:val="both"/>
        <w:rPr>
          <w:rFonts w:cs="Times New Roman"/>
          <w:szCs w:val="20"/>
          <w:u w:val="single"/>
        </w:rPr>
      </w:pPr>
      <w:r w:rsidRPr="00BC2523">
        <w:rPr>
          <w:rFonts w:cs="Times New Roman"/>
          <w:i/>
          <w:szCs w:val="20"/>
          <w:u w:val="single"/>
        </w:rPr>
        <w:t>Conclusion</w:t>
      </w:r>
    </w:p>
    <w:p w14:paraId="75D79699" w14:textId="77777777" w:rsidR="00FC6CE0" w:rsidRPr="00BC2523" w:rsidRDefault="00FC6CE0" w:rsidP="00FC6CE0">
      <w:pPr>
        <w:spacing w:after="240" w:line="240" w:lineRule="auto"/>
        <w:jc w:val="both"/>
        <w:rPr>
          <w:rFonts w:cs="Times New Roman"/>
          <w:b/>
          <w:szCs w:val="20"/>
        </w:rPr>
      </w:pPr>
      <w:r w:rsidRPr="00BC2523">
        <w:rPr>
          <w:rFonts w:cs="Times New Roman"/>
          <w:szCs w:val="20"/>
        </w:rPr>
        <w:t xml:space="preserve">Criterion is not met. </w:t>
      </w:r>
    </w:p>
    <w:p w14:paraId="581533B4" w14:textId="77777777" w:rsidR="001D5EB7" w:rsidRDefault="001D5EB7">
      <w:pPr>
        <w:rPr>
          <w:rFonts w:cs="Times New Roman"/>
          <w:bCs/>
          <w:iCs/>
          <w:u w:val="single"/>
        </w:rPr>
      </w:pPr>
      <w:r>
        <w:rPr>
          <w:rFonts w:cs="Times New Roman"/>
          <w:bCs/>
          <w:iCs/>
          <w:u w:val="single"/>
        </w:rPr>
        <w:br w:type="page"/>
      </w:r>
    </w:p>
    <w:p w14:paraId="65D076B2" w14:textId="6231059C" w:rsidR="00FC6CE0" w:rsidRPr="00BC2523" w:rsidRDefault="00FC6CE0" w:rsidP="00FC6CE0">
      <w:pPr>
        <w:spacing w:after="480" w:line="240" w:lineRule="auto"/>
        <w:rPr>
          <w:rFonts w:cs="Times New Roman"/>
          <w:bCs/>
          <w:iCs/>
        </w:rPr>
      </w:pPr>
      <w:r w:rsidRPr="00BC2523">
        <w:rPr>
          <w:rFonts w:cs="Times New Roman"/>
          <w:bCs/>
          <w:iCs/>
          <w:u w:val="single"/>
        </w:rPr>
        <w:lastRenderedPageBreak/>
        <w:t xml:space="preserve">Annex </w:t>
      </w:r>
      <w:r w:rsidR="001D5EB7">
        <w:rPr>
          <w:rFonts w:cs="Times New Roman"/>
          <w:bCs/>
          <w:iCs/>
          <w:u w:val="single"/>
        </w:rPr>
        <w:t>10</w:t>
      </w:r>
      <w:r>
        <w:rPr>
          <w:rFonts w:cs="Times New Roman"/>
          <w:bCs/>
          <w:iCs/>
        </w:rPr>
        <w:t xml:space="preserve"> (contd)</w:t>
      </w:r>
    </w:p>
    <w:p w14:paraId="0966663B" w14:textId="77777777" w:rsidR="00FC6CE0" w:rsidRPr="00BC2523" w:rsidRDefault="00FC6CE0" w:rsidP="00FC6CE0">
      <w:pPr>
        <w:spacing w:after="240" w:line="240" w:lineRule="auto"/>
        <w:jc w:val="both"/>
        <w:rPr>
          <w:rFonts w:cs="Times New Roman"/>
          <w:b/>
          <w:szCs w:val="20"/>
        </w:rPr>
      </w:pPr>
      <w:r w:rsidRPr="00BC2523">
        <w:rPr>
          <w:rFonts w:cs="Times New Roman"/>
          <w:b/>
          <w:szCs w:val="20"/>
        </w:rPr>
        <w:t>References</w:t>
      </w:r>
    </w:p>
    <w:p w14:paraId="386C9790" w14:textId="77777777" w:rsidR="00FC6CE0" w:rsidRPr="00BC2523" w:rsidRDefault="00FC6CE0" w:rsidP="00FC6CE0">
      <w:pPr>
        <w:spacing w:after="240" w:line="240" w:lineRule="auto"/>
        <w:jc w:val="both"/>
        <w:rPr>
          <w:rFonts w:cs="Times New Roman"/>
          <w:szCs w:val="20"/>
          <w:lang w:val="en-US"/>
        </w:rPr>
      </w:pPr>
      <w:r w:rsidRPr="00BC2523">
        <w:rPr>
          <w:rFonts w:cs="Times New Roman"/>
          <w:szCs w:val="20"/>
          <w:lang w:val="en-US"/>
        </w:rPr>
        <w:t>CHEN, X., QIU, L.</w:t>
      </w:r>
      <w:r w:rsidRPr="00BC2523">
        <w:rPr>
          <w:rFonts w:eastAsiaTheme="minorEastAsia" w:cs="Times New Roman"/>
          <w:szCs w:val="20"/>
          <w:lang w:val="en-US" w:eastAsia="zh-CN"/>
        </w:rPr>
        <w:t xml:space="preserve">, </w:t>
      </w:r>
      <w:r w:rsidRPr="00BC2523">
        <w:rPr>
          <w:rFonts w:cs="Times New Roman"/>
          <w:szCs w:val="20"/>
          <w:lang w:val="en-US"/>
        </w:rPr>
        <w:t xml:space="preserve">WANG, H.L. </w:t>
      </w:r>
      <w:r w:rsidRPr="00BC2523">
        <w:rPr>
          <w:rFonts w:eastAsiaTheme="minorEastAsia" w:cs="Times New Roman"/>
          <w:szCs w:val="20"/>
          <w:lang w:val="en-US" w:eastAsia="zh-CN"/>
        </w:rPr>
        <w:t>(2019).</w:t>
      </w:r>
      <w:r w:rsidRPr="00BC2523">
        <w:rPr>
          <w:rFonts w:cs="Times New Roman"/>
          <w:szCs w:val="20"/>
          <w:lang w:val="en-US"/>
        </w:rPr>
        <w:t xml:space="preserve"> Susceptibility of </w:t>
      </w:r>
      <w:r w:rsidRPr="00BC2523">
        <w:rPr>
          <w:rFonts w:cs="Times New Roman"/>
          <w:i/>
          <w:iCs/>
          <w:szCs w:val="20"/>
          <w:lang w:val="en-US"/>
        </w:rPr>
        <w:t>Exopalaemon carinicauda</w:t>
      </w:r>
      <w:r w:rsidRPr="00BC2523">
        <w:rPr>
          <w:rFonts w:cs="Times New Roman"/>
          <w:szCs w:val="20"/>
          <w:lang w:val="en-US"/>
        </w:rPr>
        <w:t xml:space="preserve"> to the infection with Shrimp hemocyte iridescent virus (SHIV 20141215), a strain of Decapod iridescent virus 1 (DIV1). </w:t>
      </w:r>
      <w:r w:rsidRPr="00BC2523">
        <w:rPr>
          <w:rFonts w:cs="Times New Roman"/>
          <w:i/>
          <w:iCs/>
          <w:szCs w:val="20"/>
          <w:lang w:val="en-US"/>
        </w:rPr>
        <w:t>Viruses</w:t>
      </w:r>
      <w:r w:rsidRPr="00BC2523">
        <w:rPr>
          <w:rFonts w:cs="Times New Roman"/>
          <w:szCs w:val="20"/>
          <w:lang w:val="en-US"/>
        </w:rPr>
        <w:t xml:space="preserve">, </w:t>
      </w:r>
      <w:r w:rsidRPr="00BC2523">
        <w:rPr>
          <w:rFonts w:cs="Times New Roman"/>
          <w:b/>
          <w:bCs/>
          <w:szCs w:val="20"/>
          <w:lang w:val="en-US"/>
        </w:rPr>
        <w:t>11(4)</w:t>
      </w:r>
      <w:r w:rsidRPr="00BC2523">
        <w:rPr>
          <w:rFonts w:cs="Times New Roman"/>
          <w:szCs w:val="20"/>
          <w:lang w:val="en-US"/>
        </w:rPr>
        <w:t>: 387. doi: 10.3390/v11040387.</w:t>
      </w:r>
    </w:p>
    <w:p w14:paraId="38FF36A5" w14:textId="77777777" w:rsidR="00FC6CE0" w:rsidRPr="00BC2523" w:rsidRDefault="00FC6CE0" w:rsidP="00FC6CE0">
      <w:pPr>
        <w:spacing w:after="240" w:line="240" w:lineRule="auto"/>
        <w:jc w:val="both"/>
        <w:rPr>
          <w:rFonts w:cs="Times New Roman"/>
          <w:szCs w:val="20"/>
          <w:lang w:val="en-US"/>
        </w:rPr>
      </w:pPr>
      <w:r w:rsidRPr="00BC2523">
        <w:rPr>
          <w:rFonts w:cs="Times New Roman"/>
          <w:szCs w:val="20"/>
        </w:rPr>
        <w:t>ICTV. (2019). One New Genus with One New Species in the Subfamily Betairidovirinae. Available online: https://talk.ictvonline.org/files/ictv_official_taxonomy_updates_since_the_8th_report/m/animal-dna-viruses-and-retroviruses/8051.</w:t>
      </w:r>
    </w:p>
    <w:p w14:paraId="31E02EC9" w14:textId="77777777" w:rsidR="00FC6CE0" w:rsidRPr="00BC2523" w:rsidRDefault="00FC6CE0" w:rsidP="00FC6CE0">
      <w:pPr>
        <w:spacing w:after="240" w:line="240" w:lineRule="auto"/>
        <w:jc w:val="both"/>
        <w:rPr>
          <w:rFonts w:cs="Times New Roman"/>
          <w:b/>
          <w:szCs w:val="20"/>
        </w:rPr>
      </w:pPr>
      <w:r w:rsidRPr="00BC2523">
        <w:rPr>
          <w:rFonts w:cs="Times New Roman"/>
          <w:caps/>
          <w:szCs w:val="20"/>
          <w:lang w:val="nb-NO"/>
        </w:rPr>
        <w:t>Li, F., Xu, L. &amp; Yang, F.</w:t>
      </w:r>
      <w:r w:rsidRPr="00BC2523">
        <w:rPr>
          <w:rFonts w:cs="Times New Roman"/>
          <w:szCs w:val="20"/>
          <w:lang w:val="nb-NO"/>
        </w:rPr>
        <w:t xml:space="preserve"> (2017). </w:t>
      </w:r>
      <w:r w:rsidRPr="00BC2523">
        <w:rPr>
          <w:rFonts w:cs="Times New Roman"/>
          <w:szCs w:val="20"/>
        </w:rPr>
        <w:t xml:space="preserve">Genomic characterization of a novel iridovirus from redclaw crayfish </w:t>
      </w:r>
      <w:r w:rsidRPr="00BC2523">
        <w:rPr>
          <w:rFonts w:cs="Times New Roman"/>
          <w:i/>
          <w:szCs w:val="20"/>
        </w:rPr>
        <w:t>Cherax quadricarinatus</w:t>
      </w:r>
      <w:r w:rsidRPr="00BC2523">
        <w:rPr>
          <w:rFonts w:cs="Times New Roman"/>
          <w:szCs w:val="20"/>
        </w:rPr>
        <w:t xml:space="preserve">: evidence for a new genus within the family </w:t>
      </w:r>
      <w:r w:rsidRPr="00BC2523">
        <w:rPr>
          <w:rFonts w:cs="Times New Roman"/>
          <w:i/>
          <w:szCs w:val="20"/>
        </w:rPr>
        <w:t>Iridoviridae</w:t>
      </w:r>
      <w:r w:rsidRPr="00BC2523">
        <w:rPr>
          <w:rFonts w:cs="Times New Roman"/>
          <w:szCs w:val="20"/>
        </w:rPr>
        <w:t xml:space="preserve">. </w:t>
      </w:r>
      <w:r w:rsidRPr="00BC2523">
        <w:rPr>
          <w:rFonts w:cs="Times New Roman"/>
          <w:i/>
          <w:szCs w:val="20"/>
        </w:rPr>
        <w:t>Journal of General Virology</w:t>
      </w:r>
      <w:r w:rsidRPr="00BC2523">
        <w:rPr>
          <w:rFonts w:cs="Times New Roman"/>
          <w:szCs w:val="20"/>
        </w:rPr>
        <w:t xml:space="preserve">, </w:t>
      </w:r>
      <w:r w:rsidRPr="00BC2523">
        <w:rPr>
          <w:rFonts w:cs="Times New Roman"/>
          <w:b/>
          <w:szCs w:val="20"/>
        </w:rPr>
        <w:t>98(10).</w:t>
      </w:r>
    </w:p>
    <w:p w14:paraId="006F9C81" w14:textId="77777777" w:rsidR="00FC6CE0" w:rsidRPr="00BC2523" w:rsidRDefault="00FC6CE0" w:rsidP="00FC6CE0">
      <w:pPr>
        <w:spacing w:after="240" w:line="240" w:lineRule="auto"/>
        <w:jc w:val="both"/>
        <w:rPr>
          <w:rFonts w:cs="Times New Roman"/>
          <w:szCs w:val="20"/>
        </w:rPr>
      </w:pPr>
      <w:r w:rsidRPr="00BC2523">
        <w:rPr>
          <w:rFonts w:cs="Times New Roman"/>
          <w:szCs w:val="20"/>
        </w:rPr>
        <w:t>PAN, C. K., YUAN, H. F.</w:t>
      </w:r>
      <w:r w:rsidRPr="00BC2523">
        <w:rPr>
          <w:rFonts w:eastAsiaTheme="minorEastAsia" w:cs="Times New Roman"/>
          <w:szCs w:val="20"/>
          <w:lang w:val="en-US" w:eastAsia="zh-CN"/>
        </w:rPr>
        <w:t xml:space="preserve">, </w:t>
      </w:r>
      <w:r w:rsidRPr="00BC2523">
        <w:rPr>
          <w:rFonts w:cs="Times New Roman"/>
          <w:szCs w:val="20"/>
        </w:rPr>
        <w:t xml:space="preserve">WANG, T. T., YANG, F., CHEN, J. M. (2017). Study of </w:t>
      </w:r>
      <w:r w:rsidRPr="00BC2523">
        <w:rPr>
          <w:rFonts w:cs="Times New Roman"/>
          <w:i/>
          <w:szCs w:val="20"/>
        </w:rPr>
        <w:t>Cherax quadricarinatus</w:t>
      </w:r>
      <w:r w:rsidRPr="00BC2523">
        <w:rPr>
          <w:rFonts w:cs="Times New Roman"/>
          <w:szCs w:val="20"/>
        </w:rPr>
        <w:t xml:space="preserve"> iridovirus in two crab. Journal of Applied Oceanography, 36(1): 82-86 (in Chinese).</w:t>
      </w:r>
    </w:p>
    <w:p w14:paraId="54D3BF47" w14:textId="77777777" w:rsidR="00FC6CE0" w:rsidRPr="00BC2523" w:rsidRDefault="00FC6CE0" w:rsidP="00FC6CE0">
      <w:pPr>
        <w:spacing w:after="240" w:line="240" w:lineRule="auto"/>
        <w:jc w:val="both"/>
        <w:rPr>
          <w:rFonts w:cs="Times New Roman"/>
          <w:szCs w:val="20"/>
        </w:rPr>
      </w:pPr>
      <w:r w:rsidRPr="00BC2523">
        <w:rPr>
          <w:rFonts w:cs="Times New Roman"/>
          <w:caps/>
          <w:szCs w:val="20"/>
        </w:rPr>
        <w:t>Qiu, L., Chen, M. M. &amp; Wan, X. Y.,</w:t>
      </w:r>
      <w:r w:rsidRPr="00BC2523">
        <w:rPr>
          <w:rFonts w:cs="Times New Roman"/>
          <w:szCs w:val="20"/>
        </w:rPr>
        <w:t xml:space="preserve"> (2017a). Characterization of a new member of </w:t>
      </w:r>
      <w:r w:rsidRPr="00BC2523">
        <w:rPr>
          <w:rFonts w:cs="Times New Roman"/>
          <w:i/>
          <w:szCs w:val="20"/>
        </w:rPr>
        <w:t>Iridoviridae</w:t>
      </w:r>
      <w:r w:rsidRPr="00BC2523">
        <w:rPr>
          <w:rFonts w:cs="Times New Roman"/>
          <w:szCs w:val="20"/>
        </w:rPr>
        <w:t>, Shrimp hemocyte iridescent virus (SHIV), found in white leg shrimp (</w:t>
      </w:r>
      <w:r w:rsidRPr="00BC2523">
        <w:rPr>
          <w:rFonts w:cs="Times New Roman"/>
          <w:i/>
          <w:szCs w:val="20"/>
        </w:rPr>
        <w:t>Litopenaeus vannamei</w:t>
      </w:r>
      <w:r w:rsidRPr="00BC2523">
        <w:rPr>
          <w:rFonts w:cs="Times New Roman"/>
          <w:szCs w:val="20"/>
        </w:rPr>
        <w:t xml:space="preserve">). </w:t>
      </w:r>
      <w:r w:rsidRPr="00BC2523">
        <w:rPr>
          <w:rFonts w:cs="Times New Roman"/>
          <w:i/>
          <w:szCs w:val="20"/>
        </w:rPr>
        <w:t>Scientific Reports</w:t>
      </w:r>
      <w:r w:rsidRPr="00BC2523">
        <w:rPr>
          <w:rFonts w:cs="Times New Roman"/>
          <w:szCs w:val="20"/>
        </w:rPr>
        <w:t xml:space="preserve">, </w:t>
      </w:r>
      <w:r w:rsidRPr="00BC2523">
        <w:rPr>
          <w:rFonts w:cs="Times New Roman"/>
          <w:b/>
          <w:szCs w:val="20"/>
        </w:rPr>
        <w:t>7(1)</w:t>
      </w:r>
      <w:r w:rsidRPr="00BC2523">
        <w:rPr>
          <w:rFonts w:cs="Times New Roman"/>
          <w:szCs w:val="20"/>
        </w:rPr>
        <w:t>:11834.</w:t>
      </w:r>
    </w:p>
    <w:p w14:paraId="5A5DEC65" w14:textId="77777777" w:rsidR="00FC6CE0" w:rsidRPr="00BC2523" w:rsidRDefault="00FC6CE0" w:rsidP="00FC6CE0">
      <w:pPr>
        <w:spacing w:after="240" w:line="240" w:lineRule="auto"/>
        <w:jc w:val="both"/>
        <w:rPr>
          <w:rFonts w:cs="Times New Roman"/>
          <w:szCs w:val="20"/>
        </w:rPr>
      </w:pPr>
      <w:r w:rsidRPr="00BC2523">
        <w:rPr>
          <w:rFonts w:cs="Times New Roman"/>
          <w:caps/>
          <w:szCs w:val="20"/>
        </w:rPr>
        <w:t>Qiu, L., Chen, M. M. &amp; Wang, R. Y.,</w:t>
      </w:r>
      <w:r w:rsidRPr="00BC2523">
        <w:rPr>
          <w:rFonts w:cs="Times New Roman"/>
          <w:szCs w:val="20"/>
        </w:rPr>
        <w:t xml:space="preserve"> (2017b). Complete genome sequence of shrimp hemocyte iridescent virus (SHIV) isolated from white leg shrimp, </w:t>
      </w:r>
      <w:r w:rsidRPr="00BC2523">
        <w:rPr>
          <w:rFonts w:cs="Times New Roman"/>
          <w:i/>
          <w:szCs w:val="20"/>
        </w:rPr>
        <w:t>Litopenaeus vannamei</w:t>
      </w:r>
      <w:r w:rsidRPr="00BC2523">
        <w:rPr>
          <w:rFonts w:cs="Times New Roman"/>
          <w:szCs w:val="20"/>
        </w:rPr>
        <w:t xml:space="preserve">. </w:t>
      </w:r>
      <w:r w:rsidRPr="00BC2523">
        <w:rPr>
          <w:rFonts w:cs="Times New Roman"/>
          <w:i/>
          <w:szCs w:val="20"/>
        </w:rPr>
        <w:t>Archives of Virology</w:t>
      </w:r>
      <w:r w:rsidRPr="00BC2523">
        <w:rPr>
          <w:rFonts w:cs="Times New Roman"/>
          <w:szCs w:val="20"/>
        </w:rPr>
        <w:t xml:space="preserve">, </w:t>
      </w:r>
      <w:r w:rsidRPr="00BC2523">
        <w:rPr>
          <w:rFonts w:cs="Times New Roman"/>
          <w:b/>
          <w:szCs w:val="20"/>
        </w:rPr>
        <w:t>130(9),</w:t>
      </w:r>
      <w:r w:rsidRPr="00BC2523">
        <w:rPr>
          <w:rFonts w:cs="Times New Roman"/>
          <w:szCs w:val="20"/>
        </w:rPr>
        <w:t xml:space="preserve"> 1-5.</w:t>
      </w:r>
    </w:p>
    <w:p w14:paraId="6042CFAE" w14:textId="77777777" w:rsidR="00FC6CE0" w:rsidRPr="00BC2523" w:rsidRDefault="00FC6CE0" w:rsidP="00FC6CE0">
      <w:pPr>
        <w:spacing w:after="240" w:line="240" w:lineRule="auto"/>
        <w:jc w:val="both"/>
        <w:rPr>
          <w:rFonts w:cs="Times New Roman"/>
          <w:b/>
          <w:szCs w:val="20"/>
        </w:rPr>
      </w:pPr>
      <w:r w:rsidRPr="00BC2523">
        <w:rPr>
          <w:rFonts w:cs="Times New Roman"/>
          <w:caps/>
          <w:szCs w:val="20"/>
        </w:rPr>
        <w:t>Qiu, L., Chen, M. M. &amp; Wan, X. Y.</w:t>
      </w:r>
      <w:r w:rsidRPr="00BC2523">
        <w:rPr>
          <w:rFonts w:cs="Times New Roman"/>
          <w:szCs w:val="20"/>
        </w:rPr>
        <w:t xml:space="preserve"> (2018a). Detection and quantification of Shrimp hemocyte iridescent virus by TaqMan probe based real-time PCR. </w:t>
      </w:r>
      <w:r w:rsidRPr="00BC2523">
        <w:rPr>
          <w:rFonts w:cs="Times New Roman"/>
          <w:i/>
          <w:szCs w:val="20"/>
        </w:rPr>
        <w:t>Journal of Invertebrate Pathology</w:t>
      </w:r>
      <w:r w:rsidRPr="00BC2523">
        <w:rPr>
          <w:rFonts w:cs="Times New Roman"/>
          <w:szCs w:val="20"/>
        </w:rPr>
        <w:t xml:space="preserve">, </w:t>
      </w:r>
      <w:r w:rsidRPr="00BC2523">
        <w:rPr>
          <w:rFonts w:cs="Times New Roman"/>
          <w:b/>
          <w:szCs w:val="20"/>
        </w:rPr>
        <w:t xml:space="preserve">154: </w:t>
      </w:r>
      <w:r w:rsidRPr="00BC2523">
        <w:rPr>
          <w:rFonts w:cs="Times New Roman"/>
          <w:szCs w:val="20"/>
        </w:rPr>
        <w:t>95-101</w:t>
      </w:r>
    </w:p>
    <w:p w14:paraId="7E26431D" w14:textId="77777777" w:rsidR="00FC6CE0" w:rsidRPr="00BC2523" w:rsidRDefault="00FC6CE0" w:rsidP="00FC6CE0">
      <w:pPr>
        <w:spacing w:after="240" w:line="240" w:lineRule="auto"/>
        <w:jc w:val="both"/>
        <w:rPr>
          <w:rFonts w:cs="Times New Roman"/>
          <w:bCs/>
          <w:szCs w:val="20"/>
        </w:rPr>
      </w:pPr>
      <w:r w:rsidRPr="00BC2523">
        <w:rPr>
          <w:rFonts w:cs="Times New Roman"/>
          <w:bCs/>
          <w:szCs w:val="20"/>
        </w:rPr>
        <w:t>QIU, L., DONG, X.</w:t>
      </w:r>
      <w:r w:rsidRPr="00BC2523">
        <w:rPr>
          <w:rFonts w:eastAsiaTheme="minorEastAsia" w:cs="Times New Roman"/>
          <w:bCs/>
          <w:szCs w:val="20"/>
          <w:lang w:eastAsia="zh-CN"/>
        </w:rPr>
        <w:t xml:space="preserve">, </w:t>
      </w:r>
      <w:r w:rsidRPr="00BC2523">
        <w:rPr>
          <w:rFonts w:cs="Times New Roman"/>
          <w:bCs/>
          <w:szCs w:val="20"/>
        </w:rPr>
        <w:t>WAN, X.Y. (2018b). Analysis of iridescent viral disease of shrimp (SHID) in 2017. In Analysis of Important Diseases of Aquatic Animals in China in 2017. Fishery and Fishery Administration Bureau under the Ministry of Agriculture and Rural Affairs, National Fishery Technical Extension Center, Eds., China Agriculture Press, Beijing, pp. 187-204, ISBN 978-7-109-24522-8 (in Chinese).</w:t>
      </w:r>
    </w:p>
    <w:p w14:paraId="1CE9A7DF" w14:textId="77777777" w:rsidR="00FC6CE0" w:rsidRPr="00BC2523" w:rsidRDefault="00FC6CE0" w:rsidP="00FC6CE0">
      <w:pPr>
        <w:spacing w:after="240" w:line="240" w:lineRule="auto"/>
        <w:jc w:val="both"/>
        <w:rPr>
          <w:rFonts w:cs="Times New Roman"/>
          <w:szCs w:val="20"/>
        </w:rPr>
      </w:pPr>
      <w:r w:rsidRPr="00BC2523">
        <w:rPr>
          <w:rFonts w:cs="Times New Roman"/>
          <w:szCs w:val="20"/>
        </w:rPr>
        <w:t>Q</w:t>
      </w:r>
      <w:r w:rsidRPr="00BC2523">
        <w:rPr>
          <w:rFonts w:cs="Times New Roman"/>
          <w:caps/>
          <w:szCs w:val="20"/>
        </w:rPr>
        <w:t>iu</w:t>
      </w:r>
      <w:r w:rsidRPr="00BC2523">
        <w:rPr>
          <w:rFonts w:cs="Times New Roman"/>
          <w:szCs w:val="20"/>
        </w:rPr>
        <w:t>, L., C</w:t>
      </w:r>
      <w:r w:rsidRPr="00BC2523">
        <w:rPr>
          <w:rFonts w:cs="Times New Roman"/>
          <w:caps/>
          <w:szCs w:val="20"/>
        </w:rPr>
        <w:t>hen</w:t>
      </w:r>
      <w:r w:rsidRPr="00BC2523">
        <w:rPr>
          <w:rFonts w:cs="Times New Roman"/>
          <w:szCs w:val="20"/>
        </w:rPr>
        <w:t>, X</w:t>
      </w:r>
      <w:r w:rsidRPr="00BC2523">
        <w:rPr>
          <w:rFonts w:eastAsiaTheme="minorEastAsia" w:cs="Times New Roman"/>
          <w:szCs w:val="20"/>
          <w:lang w:eastAsia="zh-CN"/>
        </w:rPr>
        <w:t xml:space="preserve">. and </w:t>
      </w:r>
      <w:r w:rsidRPr="00BC2523">
        <w:rPr>
          <w:rFonts w:cs="Times New Roman"/>
          <w:szCs w:val="20"/>
        </w:rPr>
        <w:t>Z</w:t>
      </w:r>
      <w:r w:rsidRPr="00BC2523">
        <w:rPr>
          <w:rFonts w:cs="Times New Roman"/>
          <w:caps/>
          <w:szCs w:val="20"/>
        </w:rPr>
        <w:t>hao</w:t>
      </w:r>
      <w:r w:rsidRPr="00BC2523">
        <w:rPr>
          <w:rFonts w:cs="Times New Roman"/>
          <w:szCs w:val="20"/>
        </w:rPr>
        <w:t xml:space="preserve">, R.H. (2019a). Description of a Natural Infection with Decapod Iridescent Virus 1 in Farmed Giant Freshwater Prawn, </w:t>
      </w:r>
      <w:r w:rsidRPr="00BC2523">
        <w:rPr>
          <w:rFonts w:cs="Times New Roman"/>
          <w:i/>
          <w:iCs/>
          <w:szCs w:val="20"/>
        </w:rPr>
        <w:t>Macrobrachiumrosenbergii</w:t>
      </w:r>
      <w:r w:rsidRPr="00BC2523">
        <w:rPr>
          <w:rFonts w:cs="Times New Roman"/>
          <w:szCs w:val="20"/>
        </w:rPr>
        <w:t xml:space="preserve">. </w:t>
      </w:r>
      <w:r w:rsidRPr="00BC2523">
        <w:rPr>
          <w:rFonts w:cs="Times New Roman"/>
          <w:i/>
          <w:iCs/>
          <w:szCs w:val="20"/>
        </w:rPr>
        <w:t>Viruses</w:t>
      </w:r>
      <w:r w:rsidRPr="00BC2523">
        <w:rPr>
          <w:rFonts w:cs="Times New Roman"/>
          <w:szCs w:val="20"/>
        </w:rPr>
        <w:t xml:space="preserve">, </w:t>
      </w:r>
      <w:r w:rsidRPr="00BC2523">
        <w:rPr>
          <w:rFonts w:cs="Times New Roman"/>
          <w:b/>
          <w:bCs/>
          <w:szCs w:val="20"/>
        </w:rPr>
        <w:t>11(4)</w:t>
      </w:r>
      <w:r w:rsidRPr="00BC2523">
        <w:rPr>
          <w:rFonts w:cs="Times New Roman"/>
          <w:szCs w:val="20"/>
        </w:rPr>
        <w:t>, 354. doi: 10.3390/v11040354.</w:t>
      </w:r>
    </w:p>
    <w:p w14:paraId="4AD9E510" w14:textId="77777777" w:rsidR="00FC6CE0" w:rsidRPr="00BC2523" w:rsidRDefault="00FC6CE0" w:rsidP="00FC6CE0">
      <w:pPr>
        <w:spacing w:after="240" w:line="240" w:lineRule="auto"/>
        <w:jc w:val="both"/>
        <w:rPr>
          <w:rFonts w:cs="Times New Roman"/>
          <w:szCs w:val="20"/>
        </w:rPr>
      </w:pPr>
      <w:r w:rsidRPr="00BC2523">
        <w:rPr>
          <w:rFonts w:cs="Times New Roman"/>
          <w:szCs w:val="20"/>
        </w:rPr>
        <w:t>QIU, L., DONG, X</w:t>
      </w:r>
      <w:r w:rsidRPr="00BC2523">
        <w:rPr>
          <w:rFonts w:eastAsiaTheme="minorEastAsia" w:cs="Times New Roman"/>
          <w:szCs w:val="20"/>
          <w:lang w:eastAsia="zh-CN"/>
        </w:rPr>
        <w:t>.,</w:t>
      </w:r>
      <w:r w:rsidRPr="00BC2523">
        <w:rPr>
          <w:rFonts w:cs="Times New Roman"/>
          <w:szCs w:val="20"/>
        </w:rPr>
        <w:t xml:space="preserve"> WAN, X.Y. (2019b). Analysis of iridescent viral disease of shrimp (SHID) in 2018. In Analysis of Important Diseases of Aquatic Animals in China in 2018. Fishery and Fishery Administration Bureau under the Ministry of Agriculture and Rural Affairs, National Fishery Technical Extension Center, Eds., (in press) (in Chinese).</w:t>
      </w:r>
    </w:p>
    <w:p w14:paraId="2435627E" w14:textId="738D87C4" w:rsidR="00FC6CE0" w:rsidRDefault="00FC6CE0" w:rsidP="001D5EB7">
      <w:pPr>
        <w:spacing w:after="240" w:line="240" w:lineRule="auto"/>
        <w:jc w:val="both"/>
        <w:rPr>
          <w:rFonts w:cs="Times New Roman"/>
          <w:szCs w:val="20"/>
        </w:rPr>
      </w:pPr>
      <w:r w:rsidRPr="00BC2523">
        <w:rPr>
          <w:rFonts w:cs="Times New Roman"/>
          <w:caps/>
          <w:szCs w:val="20"/>
          <w:lang w:val="nb-NO"/>
        </w:rPr>
        <w:t xml:space="preserve">Xu, L., Wang, T. &amp; Li, F. </w:t>
      </w:r>
      <w:r w:rsidRPr="00BC2523">
        <w:rPr>
          <w:rFonts w:cs="Times New Roman"/>
          <w:szCs w:val="20"/>
          <w:lang w:val="nb-NO"/>
        </w:rPr>
        <w:t xml:space="preserve">(2016).  </w:t>
      </w:r>
      <w:r w:rsidRPr="00BC2523">
        <w:rPr>
          <w:rFonts w:cs="Times New Roman"/>
          <w:szCs w:val="20"/>
        </w:rPr>
        <w:t xml:space="preserve">Isolation and preliminary characterization of a new pathogenic iridovirus from redclaw crayfish </w:t>
      </w:r>
      <w:r w:rsidRPr="00BC2523">
        <w:rPr>
          <w:rFonts w:cs="Times New Roman"/>
          <w:i/>
          <w:szCs w:val="20"/>
        </w:rPr>
        <w:t>Cherax quadricarinatus</w:t>
      </w:r>
      <w:r w:rsidRPr="00BC2523">
        <w:rPr>
          <w:rFonts w:cs="Times New Roman"/>
          <w:szCs w:val="20"/>
        </w:rPr>
        <w:t xml:space="preserve">. </w:t>
      </w:r>
      <w:r w:rsidRPr="00BC2523">
        <w:rPr>
          <w:rFonts w:cs="Times New Roman"/>
          <w:i/>
          <w:szCs w:val="20"/>
        </w:rPr>
        <w:t>Diseases of Aquatic Organisms</w:t>
      </w:r>
      <w:r w:rsidRPr="00BC2523">
        <w:rPr>
          <w:rFonts w:cs="Times New Roman"/>
          <w:szCs w:val="20"/>
        </w:rPr>
        <w:t xml:space="preserve">, </w:t>
      </w:r>
      <w:r w:rsidRPr="00BC2523">
        <w:rPr>
          <w:rFonts w:cs="Times New Roman"/>
          <w:b/>
          <w:szCs w:val="20"/>
        </w:rPr>
        <w:t>120(1),</w:t>
      </w:r>
      <w:r w:rsidRPr="00BC2523">
        <w:rPr>
          <w:rFonts w:cs="Times New Roman"/>
          <w:szCs w:val="20"/>
        </w:rPr>
        <w:t>17.</w:t>
      </w:r>
    </w:p>
    <w:p w14:paraId="179E641D" w14:textId="5F6F16BC" w:rsidR="001D5EB7" w:rsidRDefault="001D5EB7" w:rsidP="001D5EB7">
      <w:pPr>
        <w:spacing w:after="240" w:line="240" w:lineRule="auto"/>
        <w:jc w:val="both"/>
        <w:rPr>
          <w:rFonts w:cs="Times New Roman"/>
          <w:szCs w:val="20"/>
        </w:rPr>
      </w:pPr>
    </w:p>
    <w:p w14:paraId="4A620E92" w14:textId="2BEFE0EF" w:rsidR="00FC6CE0" w:rsidRDefault="00FC6CE0" w:rsidP="00FC6CE0">
      <w:pPr>
        <w:spacing w:after="240" w:line="240" w:lineRule="auto"/>
        <w:jc w:val="both"/>
        <w:rPr>
          <w:rFonts w:eastAsia="MS Mincho" w:cs="Times New Roman"/>
          <w:kern w:val="2"/>
          <w:szCs w:val="20"/>
        </w:rPr>
      </w:pPr>
    </w:p>
    <w:p w14:paraId="73A893CC" w14:textId="5268C4D4" w:rsidR="00FC6CE0" w:rsidRDefault="00FC6CE0" w:rsidP="00FC6CE0">
      <w:pPr>
        <w:spacing w:after="240" w:line="240" w:lineRule="auto"/>
        <w:jc w:val="both"/>
        <w:rPr>
          <w:rFonts w:eastAsia="MS Mincho" w:cs="Times New Roman"/>
          <w:kern w:val="2"/>
          <w:szCs w:val="20"/>
        </w:rPr>
      </w:pPr>
    </w:p>
    <w:p w14:paraId="1853CA64" w14:textId="665D0AF6" w:rsidR="00FC6CE0" w:rsidRDefault="00FC6CE0" w:rsidP="00FC6CE0">
      <w:pPr>
        <w:spacing w:after="240" w:line="240" w:lineRule="auto"/>
        <w:jc w:val="both"/>
        <w:rPr>
          <w:rFonts w:eastAsia="MS Mincho" w:cs="Times New Roman"/>
          <w:kern w:val="2"/>
          <w:szCs w:val="20"/>
        </w:rPr>
      </w:pPr>
    </w:p>
    <w:p w14:paraId="1A7A7FCC" w14:textId="1576BA10" w:rsidR="00FC6CE0" w:rsidRDefault="00FC6CE0" w:rsidP="00FC6CE0">
      <w:pPr>
        <w:spacing w:after="240" w:line="240" w:lineRule="auto"/>
        <w:jc w:val="both"/>
        <w:rPr>
          <w:rFonts w:eastAsia="MS Mincho" w:cs="Times New Roman"/>
          <w:kern w:val="2"/>
          <w:szCs w:val="20"/>
        </w:rPr>
      </w:pPr>
    </w:p>
    <w:p w14:paraId="06CCB901" w14:textId="5F89B926" w:rsidR="00FC6CE0" w:rsidRDefault="00FC6CE0" w:rsidP="00FC6CE0">
      <w:pPr>
        <w:spacing w:after="240" w:line="240" w:lineRule="auto"/>
        <w:jc w:val="both"/>
        <w:rPr>
          <w:rFonts w:eastAsia="MS Mincho" w:cs="Times New Roman"/>
          <w:kern w:val="2"/>
          <w:szCs w:val="20"/>
        </w:rPr>
      </w:pPr>
    </w:p>
    <w:p w14:paraId="4190E0A3" w14:textId="38CAAD68" w:rsidR="00FC6CE0" w:rsidRDefault="00FC6CE0" w:rsidP="00FC6CE0">
      <w:pPr>
        <w:spacing w:after="240" w:line="240" w:lineRule="auto"/>
        <w:jc w:val="both"/>
        <w:rPr>
          <w:rFonts w:eastAsia="MS Mincho" w:cs="Times New Roman"/>
          <w:kern w:val="2"/>
          <w:szCs w:val="20"/>
        </w:rPr>
      </w:pPr>
    </w:p>
    <w:p w14:paraId="526B32F7" w14:textId="58E8541B" w:rsidR="00FC6CE0" w:rsidRDefault="00FC6CE0" w:rsidP="00FC6CE0">
      <w:pPr>
        <w:spacing w:after="240" w:line="240" w:lineRule="auto"/>
        <w:jc w:val="both"/>
        <w:rPr>
          <w:rFonts w:eastAsia="MS Mincho" w:cs="Times New Roman"/>
          <w:kern w:val="2"/>
          <w:szCs w:val="20"/>
        </w:rPr>
      </w:pPr>
    </w:p>
    <w:p w14:paraId="63EF6FDD" w14:textId="41F3FCAC" w:rsidR="00FC6CE0" w:rsidRDefault="00FC6CE0" w:rsidP="00FC6CE0">
      <w:pPr>
        <w:spacing w:after="240" w:line="240" w:lineRule="auto"/>
        <w:jc w:val="both"/>
        <w:rPr>
          <w:rFonts w:eastAsia="MS Mincho" w:cs="Times New Roman"/>
          <w:kern w:val="2"/>
          <w:szCs w:val="20"/>
        </w:rPr>
      </w:pPr>
    </w:p>
    <w:p w14:paraId="50DB1CCE" w14:textId="362E9A54" w:rsidR="00DB0A8D" w:rsidRPr="006A2D15" w:rsidRDefault="00DB0A8D" w:rsidP="006A2D15">
      <w:pPr>
        <w:pStyle w:val="Titre4"/>
        <w:spacing w:before="0" w:after="480" w:line="240" w:lineRule="auto"/>
        <w:ind w:left="720"/>
        <w:jc w:val="right"/>
        <w:rPr>
          <w:rFonts w:ascii="Times New Roman" w:hAnsi="Times New Roman" w:cs="Times New Roman"/>
          <w:i w:val="0"/>
          <w:color w:val="auto"/>
        </w:rPr>
      </w:pPr>
      <w:bookmarkStart w:id="101" w:name="_Annex_11"/>
      <w:bookmarkEnd w:id="97"/>
      <w:bookmarkEnd w:id="101"/>
      <w:r w:rsidRPr="006A2D15">
        <w:rPr>
          <w:rFonts w:ascii="Times New Roman" w:hAnsi="Times New Roman" w:cs="Times New Roman"/>
          <w:i w:val="0"/>
          <w:color w:val="auto"/>
          <w:u w:val="single"/>
        </w:rPr>
        <w:lastRenderedPageBreak/>
        <w:t>A</w:t>
      </w:r>
      <w:r w:rsidRPr="006A2D15">
        <w:rPr>
          <w:rFonts w:ascii="Times New Roman" w:hAnsi="Times New Roman" w:cs="Times New Roman"/>
          <w:bCs/>
          <w:i w:val="0"/>
          <w:iCs w:val="0"/>
          <w:color w:val="auto"/>
          <w:szCs w:val="20"/>
          <w:u w:val="single"/>
        </w:rPr>
        <w:t>nnex 11</w:t>
      </w:r>
    </w:p>
    <w:p w14:paraId="31B7CBBB" w14:textId="2CE4FDBB" w:rsidR="00E65E42" w:rsidRPr="003557DE" w:rsidRDefault="00E65E42" w:rsidP="00E65E42">
      <w:pPr>
        <w:pBdr>
          <w:bottom w:val="single" w:sz="6" w:space="6" w:color="auto"/>
        </w:pBdr>
        <w:spacing w:after="0"/>
        <w:jc w:val="center"/>
        <w:rPr>
          <w:rFonts w:ascii="Ottawa" w:hAnsi="Ottawa" w:cs="Arial"/>
          <w:b/>
          <w:bCs/>
          <w:iCs/>
          <w:caps/>
          <w:spacing w:val="40"/>
          <w:sz w:val="32"/>
          <w:szCs w:val="32"/>
          <w:lang w:val="en-IE" w:bidi="en-US"/>
        </w:rPr>
      </w:pPr>
      <w:r w:rsidRPr="0076436B">
        <w:rPr>
          <w:rFonts w:ascii="Ottawa" w:hAnsi="Ottawa" w:cs="Arial"/>
          <w:bCs/>
          <w:iCs/>
          <w:caps/>
          <w:spacing w:val="40"/>
          <w:sz w:val="24"/>
          <w:szCs w:val="24"/>
          <w:lang w:val="en-IE" w:bidi="en-US"/>
        </w:rPr>
        <w:t>CHAPTER 2.3.9.</w:t>
      </w:r>
      <w:r w:rsidRPr="0076436B">
        <w:rPr>
          <w:rFonts w:ascii="Ottawa" w:hAnsi="Ottawa" w:cs="Arial"/>
          <w:bCs/>
          <w:iCs/>
          <w:caps/>
          <w:spacing w:val="40"/>
          <w:sz w:val="24"/>
          <w:szCs w:val="24"/>
          <w:lang w:val="en-IE" w:bidi="en-US"/>
        </w:rPr>
        <w:br/>
      </w:r>
      <w:r w:rsidRPr="00D403F5">
        <w:rPr>
          <w:rFonts w:ascii="Ottawa" w:hAnsi="Ottawa" w:cs="Arial"/>
          <w:bCs/>
          <w:iCs/>
          <w:caps/>
          <w:spacing w:val="40"/>
          <w:sz w:val="18"/>
          <w:szCs w:val="18"/>
          <w:lang w:val="en-IE" w:bidi="en-US"/>
        </w:rPr>
        <w:br/>
      </w:r>
      <w:r w:rsidRPr="003557DE">
        <w:rPr>
          <w:rFonts w:ascii="Ottawa" w:hAnsi="Ottawa" w:cs="Arial"/>
          <w:b/>
          <w:bCs/>
          <w:iCs/>
          <w:caps/>
          <w:spacing w:val="40"/>
          <w:sz w:val="32"/>
          <w:szCs w:val="32"/>
          <w:lang w:val="en-IE" w:bidi="en-US"/>
        </w:rPr>
        <w:t xml:space="preserve">infection with spring </w:t>
      </w:r>
      <w:r w:rsidRPr="003557DE">
        <w:rPr>
          <w:rFonts w:ascii="Ottawa" w:hAnsi="Ottawa" w:cs="Arial"/>
          <w:b/>
          <w:bCs/>
          <w:iCs/>
          <w:caps/>
          <w:spacing w:val="40"/>
          <w:sz w:val="32"/>
          <w:szCs w:val="32"/>
          <w:lang w:val="en-IE" w:bidi="en-US"/>
        </w:rPr>
        <w:br/>
        <w:t>viraemia of carp virus</w:t>
      </w:r>
    </w:p>
    <w:p w14:paraId="730FA118" w14:textId="77777777" w:rsidR="00E65E42" w:rsidRPr="00A175F0" w:rsidRDefault="00E65E42" w:rsidP="00E65E42">
      <w:pPr>
        <w:spacing w:before="120" w:after="120" w:line="240" w:lineRule="auto"/>
        <w:ind w:left="284" w:hanging="284"/>
        <w:jc w:val="both"/>
        <w:rPr>
          <w:rFonts w:ascii="Ottawa" w:eastAsia="MS Mincho" w:hAnsi="Ottawa" w:cs="Arial"/>
          <w:b/>
          <w:bCs/>
          <w:sz w:val="22"/>
          <w:lang w:eastAsia="fr-FR"/>
        </w:rPr>
      </w:pPr>
      <w:r w:rsidRPr="00A175F0">
        <w:rPr>
          <w:rFonts w:ascii="Ottawa" w:eastAsia="MS Mincho" w:hAnsi="Ottawa" w:cs="Arial"/>
          <w:b/>
          <w:bCs/>
          <w:sz w:val="22"/>
          <w:lang w:eastAsia="fr-FR"/>
        </w:rPr>
        <w:t>1.</w:t>
      </w:r>
      <w:r w:rsidRPr="00A175F0">
        <w:rPr>
          <w:rFonts w:ascii="Ottawa" w:eastAsia="MS Mincho" w:hAnsi="Ottawa" w:cs="Arial"/>
          <w:b/>
          <w:bCs/>
          <w:sz w:val="22"/>
          <w:lang w:eastAsia="fr-FR"/>
        </w:rPr>
        <w:tab/>
        <w:t>Scope</w:t>
      </w:r>
    </w:p>
    <w:p w14:paraId="39A3FF98" w14:textId="77777777" w:rsidR="00E65E42" w:rsidRPr="00BD2E1E" w:rsidRDefault="00E65E42" w:rsidP="00457C4E">
      <w:pPr>
        <w:spacing w:after="240" w:line="240" w:lineRule="auto"/>
        <w:ind w:left="284"/>
        <w:jc w:val="both"/>
        <w:rPr>
          <w:rFonts w:ascii="Arial" w:hAnsi="Arial" w:cs="Arial"/>
          <w:sz w:val="18"/>
          <w:szCs w:val="18"/>
          <w:lang w:val="en-IE" w:bidi="en-US"/>
        </w:rPr>
      </w:pPr>
      <w:r w:rsidRPr="00BD2E1E">
        <w:rPr>
          <w:rFonts w:ascii="Arial" w:hAnsi="Arial" w:cs="Arial"/>
          <w:sz w:val="18"/>
          <w:szCs w:val="18"/>
          <w:lang w:val="en-IE" w:bidi="en-US"/>
        </w:rPr>
        <w:t xml:space="preserve">Infection with spring viraemia of carp virus means infection with the pathogenic agent </w:t>
      </w:r>
      <w:r w:rsidRPr="00BD2E1E">
        <w:rPr>
          <w:rFonts w:ascii="Arial" w:eastAsia="MS Mincho" w:hAnsi="Arial" w:cs="Arial"/>
          <w:bCs/>
          <w:i/>
          <w:iCs/>
          <w:sz w:val="18"/>
          <w:szCs w:val="18"/>
          <w:lang w:val="en-IE" w:bidi="en-US"/>
        </w:rPr>
        <w:t xml:space="preserve">Carp </w:t>
      </w:r>
      <w:r w:rsidRPr="00BD2E1E">
        <w:rPr>
          <w:rFonts w:ascii="Arial" w:eastAsia="MS Mincho" w:hAnsi="Arial" w:cs="Arial"/>
          <w:i/>
          <w:iCs/>
          <w:sz w:val="18"/>
          <w:szCs w:val="18"/>
          <w:lang w:val="en-IE" w:bidi="en-US"/>
        </w:rPr>
        <w:t xml:space="preserve">sprivivirus </w:t>
      </w:r>
      <w:r w:rsidRPr="00BD2E1E">
        <w:rPr>
          <w:rFonts w:ascii="Arial" w:hAnsi="Arial" w:cs="Arial"/>
          <w:sz w:val="18"/>
          <w:szCs w:val="18"/>
          <w:lang w:val="en-IE" w:bidi="en-US"/>
        </w:rPr>
        <w:t>(common</w:t>
      </w:r>
      <w:r w:rsidRPr="00BD2E1E">
        <w:rPr>
          <w:rFonts w:ascii="Arial" w:hAnsi="Arial" w:cs="Arial"/>
          <w:sz w:val="18"/>
          <w:szCs w:val="18"/>
          <w:u w:val="double"/>
          <w:lang w:val="en-IE" w:bidi="en-US"/>
        </w:rPr>
        <w:t>ly</w:t>
      </w:r>
      <w:r w:rsidRPr="00BD2E1E">
        <w:rPr>
          <w:rFonts w:ascii="Arial" w:hAnsi="Arial" w:cs="Arial"/>
          <w:sz w:val="18"/>
          <w:szCs w:val="18"/>
          <w:lang w:val="en-IE" w:bidi="en-US"/>
        </w:rPr>
        <w:t xml:space="preserve"> known as spring viraemia of carp virus [SVCV]), of the Genus </w:t>
      </w:r>
      <w:r w:rsidRPr="00BD2E1E">
        <w:rPr>
          <w:rFonts w:ascii="Arial" w:hAnsi="Arial" w:cs="Arial"/>
          <w:i/>
          <w:sz w:val="18"/>
          <w:szCs w:val="18"/>
          <w:lang w:val="en-IE" w:bidi="en-US"/>
        </w:rPr>
        <w:t>Sprivivirus</w:t>
      </w:r>
      <w:r w:rsidRPr="00BD2E1E">
        <w:rPr>
          <w:rFonts w:ascii="Arial" w:hAnsi="Arial" w:cs="Arial"/>
          <w:sz w:val="18"/>
          <w:szCs w:val="18"/>
          <w:lang w:val="en-IE" w:bidi="en-US"/>
        </w:rPr>
        <w:t xml:space="preserve"> and the Family </w:t>
      </w:r>
      <w:r w:rsidRPr="00BD2E1E">
        <w:rPr>
          <w:rFonts w:ascii="Arial" w:hAnsi="Arial" w:cs="Arial"/>
          <w:i/>
          <w:sz w:val="18"/>
          <w:szCs w:val="18"/>
          <w:lang w:val="en-IE" w:bidi="en-US"/>
        </w:rPr>
        <w:t>Rhabdoviridae.</w:t>
      </w:r>
      <w:r w:rsidRPr="00BD2E1E">
        <w:rPr>
          <w:rFonts w:ascii="Arial" w:hAnsi="Arial" w:cs="Arial"/>
          <w:sz w:val="18"/>
          <w:szCs w:val="18"/>
          <w:lang w:val="en-IE" w:bidi="en-US"/>
        </w:rPr>
        <w:t xml:space="preserve"> </w:t>
      </w:r>
    </w:p>
    <w:p w14:paraId="63913705" w14:textId="77777777" w:rsidR="00E65E42" w:rsidRPr="00A175F0" w:rsidRDefault="00E65E42" w:rsidP="00E65E42">
      <w:pPr>
        <w:spacing w:after="240" w:line="240" w:lineRule="auto"/>
        <w:ind w:left="284" w:hanging="284"/>
        <w:jc w:val="both"/>
        <w:rPr>
          <w:rFonts w:ascii="Ottawa" w:eastAsia="MS Mincho" w:hAnsi="Ottawa" w:cs="Arial"/>
          <w:b/>
          <w:bCs/>
          <w:sz w:val="22"/>
          <w:lang w:eastAsia="fr-FR"/>
        </w:rPr>
      </w:pPr>
      <w:r w:rsidRPr="00A175F0">
        <w:rPr>
          <w:rFonts w:ascii="Ottawa" w:eastAsia="MS Mincho" w:hAnsi="Ottawa" w:cs="Arial"/>
          <w:b/>
          <w:bCs/>
          <w:sz w:val="22"/>
          <w:lang w:eastAsia="fr-FR"/>
        </w:rPr>
        <w:t>2.</w:t>
      </w:r>
      <w:r w:rsidRPr="00A175F0">
        <w:rPr>
          <w:rFonts w:ascii="Ottawa" w:eastAsia="MS Mincho" w:hAnsi="Ottawa" w:cs="Arial"/>
          <w:b/>
          <w:bCs/>
          <w:sz w:val="22"/>
          <w:lang w:eastAsia="fr-FR"/>
        </w:rPr>
        <w:tab/>
        <w:t>Disease information</w:t>
      </w:r>
    </w:p>
    <w:p w14:paraId="54F89B9F" w14:textId="77777777" w:rsidR="00E65E42" w:rsidRPr="00BD2E1E" w:rsidRDefault="00E65E42" w:rsidP="00A175F0">
      <w:pPr>
        <w:tabs>
          <w:tab w:val="left" w:pos="1418"/>
        </w:tabs>
        <w:spacing w:after="240" w:line="240" w:lineRule="auto"/>
        <w:ind w:left="709" w:hanging="425"/>
        <w:jc w:val="both"/>
        <w:rPr>
          <w:rFonts w:ascii="Ottawa" w:eastAsia="MS Mincho" w:hAnsi="Ottawa" w:cs="Arial"/>
          <w:b/>
          <w:sz w:val="21"/>
          <w:szCs w:val="21"/>
          <w:lang w:val="da-DK" w:eastAsia="da-DK"/>
        </w:rPr>
      </w:pPr>
      <w:r w:rsidRPr="00BD2E1E">
        <w:rPr>
          <w:rFonts w:ascii="Ottawa" w:eastAsia="MS Mincho" w:hAnsi="Ottawa" w:cs="Arial"/>
          <w:b/>
          <w:sz w:val="21"/>
          <w:szCs w:val="21"/>
          <w:lang w:val="da-DK" w:eastAsia="da-DK"/>
        </w:rPr>
        <w:t>2.1.</w:t>
      </w:r>
      <w:r w:rsidRPr="00BD2E1E">
        <w:rPr>
          <w:rFonts w:ascii="Ottawa" w:eastAsia="MS Mincho" w:hAnsi="Ottawa" w:cs="Arial"/>
          <w:b/>
          <w:sz w:val="21"/>
          <w:szCs w:val="21"/>
          <w:lang w:val="da-DK" w:eastAsia="da-DK"/>
        </w:rPr>
        <w:tab/>
        <w:t>Agent factors</w:t>
      </w:r>
    </w:p>
    <w:p w14:paraId="607716AD" w14:textId="67807731" w:rsidR="00E65E42" w:rsidRPr="00BD2E1E" w:rsidRDefault="00E65E42" w:rsidP="00A175F0">
      <w:pPr>
        <w:spacing w:after="240" w:line="240" w:lineRule="auto"/>
        <w:ind w:left="1276" w:hanging="567"/>
        <w:jc w:val="both"/>
        <w:rPr>
          <w:rFonts w:ascii="Ottawa" w:hAnsi="Ottawa" w:cs="Arial"/>
          <w:b/>
          <w:bCs/>
          <w:szCs w:val="20"/>
          <w:lang w:val="en-IE" w:eastAsia="fr-FR"/>
        </w:rPr>
      </w:pPr>
      <w:r w:rsidRPr="00BD2E1E">
        <w:rPr>
          <w:rFonts w:ascii="Ottawa" w:hAnsi="Ottawa" w:cs="Arial"/>
          <w:b/>
          <w:bCs/>
          <w:szCs w:val="20"/>
          <w:lang w:val="en-IE" w:eastAsia="fr-FR"/>
        </w:rPr>
        <w:t>2.1.1.</w:t>
      </w:r>
      <w:r w:rsidR="00223026">
        <w:rPr>
          <w:rFonts w:ascii="Ottawa" w:hAnsi="Ottawa" w:cs="Arial"/>
          <w:b/>
          <w:bCs/>
          <w:szCs w:val="20"/>
          <w:lang w:val="en-IE" w:eastAsia="fr-FR"/>
        </w:rPr>
        <w:tab/>
      </w:r>
      <w:r w:rsidRPr="00BD2E1E">
        <w:rPr>
          <w:rFonts w:ascii="Ottawa" w:hAnsi="Ottawa" w:cs="Arial"/>
          <w:b/>
          <w:bCs/>
          <w:szCs w:val="20"/>
          <w:lang w:val="en-IE" w:eastAsia="fr-FR"/>
        </w:rPr>
        <w:t>Aetiological agent</w:t>
      </w:r>
    </w:p>
    <w:p w14:paraId="53ADC49C" w14:textId="77777777" w:rsidR="00E65E42" w:rsidRPr="00BD2E1E" w:rsidRDefault="00E65E42" w:rsidP="00A175F0">
      <w:pPr>
        <w:spacing w:after="240" w:line="240" w:lineRule="auto"/>
        <w:ind w:left="709"/>
        <w:jc w:val="both"/>
        <w:rPr>
          <w:rFonts w:ascii="Arial" w:hAnsi="Arial" w:cs="Arial"/>
          <w:bCs/>
          <w:sz w:val="18"/>
          <w:szCs w:val="18"/>
          <w:lang w:val="en-IE"/>
        </w:rPr>
      </w:pPr>
      <w:r w:rsidRPr="00BD2E1E">
        <w:rPr>
          <w:rFonts w:ascii="Arial" w:hAnsi="Arial" w:cs="Arial"/>
          <w:bCs/>
          <w:sz w:val="18"/>
          <w:szCs w:val="18"/>
          <w:lang w:val="en-IE"/>
        </w:rPr>
        <w:t xml:space="preserve">The virus genome is a non-segmented, negative-sense, single strand of RNA. The genome contains 11,019 nucleotides encoding five proteins in the following order: a nucleoprotein (N), a phosphoprotein (P), a matrix protein (M), a glycoprotein (G) and an RNA-dependent, RNA polymerase (L). The genome does not contain a non-virion (NV) gene between the G and L genes as is found in fish rhabdoviruses of the genus </w:t>
      </w:r>
      <w:r w:rsidRPr="00BD2E1E">
        <w:rPr>
          <w:rFonts w:ascii="Arial" w:hAnsi="Arial" w:cs="Arial"/>
          <w:bCs/>
          <w:i/>
          <w:sz w:val="18"/>
          <w:szCs w:val="18"/>
          <w:lang w:val="en-IE"/>
        </w:rPr>
        <w:t xml:space="preserve">Novirhabdovirus </w:t>
      </w:r>
      <w:r w:rsidRPr="00BD2E1E">
        <w:rPr>
          <w:rFonts w:ascii="Arial" w:hAnsi="Arial" w:cs="Arial"/>
          <w:bCs/>
          <w:sz w:val="18"/>
          <w:szCs w:val="18"/>
          <w:lang w:val="en-IE"/>
        </w:rPr>
        <w:t xml:space="preserve">(Ahne </w:t>
      </w:r>
      <w:r w:rsidRPr="00BD2E1E">
        <w:rPr>
          <w:rFonts w:ascii="Arial" w:hAnsi="Arial" w:cs="Arial"/>
          <w:bCs/>
          <w:i/>
          <w:sz w:val="18"/>
          <w:szCs w:val="18"/>
          <w:lang w:val="en-IE"/>
        </w:rPr>
        <w:t>et al.,</w:t>
      </w:r>
      <w:r w:rsidRPr="00BD2E1E">
        <w:rPr>
          <w:rFonts w:ascii="Arial" w:hAnsi="Arial" w:cs="Arial"/>
          <w:bCs/>
          <w:sz w:val="18"/>
          <w:szCs w:val="18"/>
          <w:lang w:val="en-IE"/>
        </w:rPr>
        <w:t xml:space="preserve"> 2002). The type strain of SVCV is available from the American Type Culture Collection (ATCC VR-1390). Two complete genome sequences of the type strain have been submitted to Genbank (Genbank accession U18101 by Bjorklund </w:t>
      </w:r>
      <w:r w:rsidRPr="00BD2E1E">
        <w:rPr>
          <w:rFonts w:ascii="Arial" w:hAnsi="Arial" w:cs="Arial"/>
          <w:bCs/>
          <w:i/>
          <w:sz w:val="18"/>
          <w:szCs w:val="18"/>
          <w:lang w:val="en-IE"/>
        </w:rPr>
        <w:t>et al.</w:t>
      </w:r>
      <w:r w:rsidRPr="00BD2E1E">
        <w:rPr>
          <w:rFonts w:ascii="Arial" w:hAnsi="Arial" w:cs="Arial"/>
          <w:bCs/>
          <w:sz w:val="18"/>
          <w:szCs w:val="18"/>
          <w:lang w:val="en-IE"/>
        </w:rPr>
        <w:t xml:space="preserve"> [1996] and Genbank accession AJ318079 by Hoffmann </w:t>
      </w:r>
      <w:r w:rsidRPr="00BD2E1E">
        <w:rPr>
          <w:rFonts w:ascii="Arial" w:hAnsi="Arial" w:cs="Arial"/>
          <w:bCs/>
          <w:i/>
          <w:sz w:val="18"/>
          <w:szCs w:val="18"/>
          <w:lang w:val="en-IE"/>
        </w:rPr>
        <w:t>et al.</w:t>
      </w:r>
      <w:r w:rsidRPr="00BD2E1E">
        <w:rPr>
          <w:rFonts w:ascii="Arial" w:hAnsi="Arial" w:cs="Arial"/>
          <w:bCs/>
          <w:sz w:val="18"/>
          <w:szCs w:val="18"/>
          <w:lang w:val="en-IE"/>
        </w:rPr>
        <w:t xml:space="preserve"> [2002]). The complete genome sequence of isolates from China (People’s Rep. of) has also been deposited in Genbank (Genbank accession DQ097384 by Teng </w:t>
      </w:r>
      <w:r w:rsidRPr="00BD2E1E">
        <w:rPr>
          <w:rFonts w:ascii="Arial" w:hAnsi="Arial" w:cs="Arial"/>
          <w:bCs/>
          <w:i/>
          <w:sz w:val="18"/>
          <w:szCs w:val="18"/>
          <w:lang w:val="en-IE"/>
        </w:rPr>
        <w:t>et al.</w:t>
      </w:r>
      <w:r w:rsidRPr="00BD2E1E">
        <w:rPr>
          <w:rFonts w:ascii="Arial" w:hAnsi="Arial" w:cs="Arial"/>
          <w:bCs/>
          <w:sz w:val="18"/>
          <w:szCs w:val="18"/>
          <w:lang w:val="en-IE"/>
        </w:rPr>
        <w:t xml:space="preserve"> [2007] and Genbank accession EU177782 by Zhang </w:t>
      </w:r>
      <w:r w:rsidRPr="00BD2E1E">
        <w:rPr>
          <w:rFonts w:ascii="Arial" w:hAnsi="Arial" w:cs="Arial"/>
          <w:bCs/>
          <w:i/>
          <w:sz w:val="18"/>
          <w:szCs w:val="18"/>
          <w:lang w:val="en-IE"/>
        </w:rPr>
        <w:t>et al.</w:t>
      </w:r>
      <w:r w:rsidRPr="00BD2E1E">
        <w:rPr>
          <w:rFonts w:ascii="Arial" w:hAnsi="Arial" w:cs="Arial"/>
          <w:bCs/>
          <w:sz w:val="18"/>
          <w:szCs w:val="18"/>
          <w:lang w:val="en-IE"/>
        </w:rPr>
        <w:t xml:space="preserve"> [2009]).</w:t>
      </w:r>
    </w:p>
    <w:p w14:paraId="4C5C85BD" w14:textId="77777777" w:rsidR="00E65E42" w:rsidRPr="00BD2E1E" w:rsidRDefault="00E65E42" w:rsidP="00A175F0">
      <w:pPr>
        <w:spacing w:after="240" w:line="240" w:lineRule="auto"/>
        <w:ind w:left="709"/>
        <w:jc w:val="both"/>
        <w:rPr>
          <w:rFonts w:ascii="Arial" w:hAnsi="Arial" w:cs="Arial"/>
          <w:bCs/>
          <w:sz w:val="18"/>
          <w:szCs w:val="18"/>
          <w:lang w:val="en-IE" w:bidi="en-US"/>
        </w:rPr>
      </w:pPr>
      <w:r w:rsidRPr="00BD2E1E">
        <w:rPr>
          <w:rFonts w:ascii="Arial" w:hAnsi="Arial" w:cs="Arial"/>
          <w:bCs/>
          <w:sz w:val="18"/>
          <w:szCs w:val="18"/>
          <w:lang w:val="en-IE" w:bidi="en-US"/>
        </w:rPr>
        <w:t xml:space="preserve">Stone </w:t>
      </w:r>
      <w:r w:rsidRPr="00BD2E1E">
        <w:rPr>
          <w:rFonts w:ascii="Arial" w:hAnsi="Arial" w:cs="Arial"/>
          <w:bCs/>
          <w:i/>
          <w:sz w:val="18"/>
          <w:szCs w:val="18"/>
          <w:lang w:val="en-IE" w:bidi="en-US"/>
        </w:rPr>
        <w:t>et al.</w:t>
      </w:r>
      <w:r w:rsidRPr="00BD2E1E">
        <w:rPr>
          <w:rFonts w:ascii="Arial" w:hAnsi="Arial" w:cs="Arial"/>
          <w:bCs/>
          <w:sz w:val="18"/>
          <w:szCs w:val="18"/>
          <w:lang w:val="en-IE" w:bidi="en-US"/>
        </w:rPr>
        <w:t xml:space="preserve"> (2003) used sequence analysis of a 550 nucleotide region of the G-gene to compare 36 isolates from different fish species and geographical locations </w:t>
      </w:r>
      <w:r w:rsidRPr="00BD2E1E">
        <w:rPr>
          <w:rFonts w:ascii="Arial" w:hAnsi="Arial" w:cs="Arial"/>
          <w:bCs/>
          <w:sz w:val="18"/>
          <w:szCs w:val="18"/>
          <w:u w:val="double"/>
          <w:lang w:val="en-IE" w:bidi="en-US"/>
        </w:rPr>
        <w:t>that were</w:t>
      </w:r>
      <w:r w:rsidRPr="00BD2E1E">
        <w:rPr>
          <w:rFonts w:ascii="Arial" w:hAnsi="Arial" w:cs="Arial"/>
          <w:bCs/>
          <w:sz w:val="18"/>
          <w:szCs w:val="18"/>
          <w:lang w:val="en-IE" w:bidi="en-US"/>
        </w:rPr>
        <w:t xml:space="preserve"> previously identified </w:t>
      </w:r>
      <w:r w:rsidRPr="00BD2E1E">
        <w:rPr>
          <w:rFonts w:ascii="Arial" w:hAnsi="Arial" w:cs="Arial"/>
          <w:bCs/>
          <w:sz w:val="18"/>
          <w:szCs w:val="18"/>
          <w:u w:val="double"/>
          <w:lang w:val="en-IE" w:bidi="en-US"/>
        </w:rPr>
        <w:t>by serology</w:t>
      </w:r>
      <w:r w:rsidRPr="00BD2E1E">
        <w:rPr>
          <w:rFonts w:ascii="Arial" w:hAnsi="Arial" w:cs="Arial"/>
          <w:bCs/>
          <w:sz w:val="18"/>
          <w:szCs w:val="18"/>
          <w:lang w:val="en-IE" w:bidi="en-US"/>
        </w:rPr>
        <w:t xml:space="preserve"> as SVCV or pike fry rhabdovirus (PFRV)</w:t>
      </w:r>
      <w:r w:rsidRPr="00BD2E1E">
        <w:rPr>
          <w:rFonts w:ascii="Arial" w:hAnsi="Arial" w:cs="Arial"/>
          <w:bCs/>
          <w:strike/>
          <w:sz w:val="18"/>
          <w:szCs w:val="18"/>
          <w:lang w:val="en-IE" w:bidi="en-US"/>
        </w:rPr>
        <w:t xml:space="preserve"> by serology</w:t>
      </w:r>
      <w:r w:rsidRPr="00BD2E1E">
        <w:rPr>
          <w:rFonts w:ascii="Arial" w:hAnsi="Arial" w:cs="Arial"/>
          <w:bCs/>
          <w:sz w:val="18"/>
          <w:szCs w:val="18"/>
          <w:lang w:val="en-IE" w:bidi="en-US"/>
        </w:rPr>
        <w:t xml:space="preserve">. The analysis showed that the isolates could be separated into four distinct genogroups and that all of the SVCV isolates could be assigned to genogroup I, sharing &lt;61% nucleotide identity with viruses in the other three genogroups. Re-analysis of the sequence data generated for viruses assigned to Genogroup I identified four subgroups (Ia–d). Those viruses originating in Asia were assigned to Subgroup Ia, those from Moldova, the Ukraine and Russia to Subgroups Ib and Ic, and those from the UK to Subgroup Id. </w:t>
      </w:r>
    </w:p>
    <w:p w14:paraId="1483812C" w14:textId="77777777" w:rsidR="00E65E42" w:rsidRPr="00287692" w:rsidRDefault="00E65E42" w:rsidP="00A175F0">
      <w:pPr>
        <w:spacing w:after="240" w:line="240" w:lineRule="auto"/>
        <w:ind w:left="1276" w:hanging="567"/>
        <w:jc w:val="both"/>
        <w:rPr>
          <w:rFonts w:ascii="Ottawa" w:hAnsi="Ottawa" w:cs="Arial"/>
          <w:b/>
          <w:bCs/>
          <w:szCs w:val="20"/>
          <w:lang w:val="en-IE" w:eastAsia="fr-FR"/>
        </w:rPr>
      </w:pPr>
      <w:r w:rsidRPr="00287692">
        <w:rPr>
          <w:rFonts w:ascii="Ottawa" w:hAnsi="Ottawa" w:cs="Arial"/>
          <w:b/>
          <w:bCs/>
          <w:szCs w:val="20"/>
          <w:lang w:val="en-IE" w:eastAsia="fr-FR"/>
        </w:rPr>
        <w:t>2.1.2.</w:t>
      </w:r>
      <w:r w:rsidRPr="00287692">
        <w:rPr>
          <w:rFonts w:ascii="Ottawa" w:hAnsi="Ottawa" w:cs="Arial"/>
          <w:b/>
          <w:bCs/>
          <w:szCs w:val="20"/>
          <w:lang w:val="en-IE" w:eastAsia="fr-FR"/>
        </w:rPr>
        <w:tab/>
        <w:t xml:space="preserve">Survival and stability in processed or stored samples </w:t>
      </w:r>
    </w:p>
    <w:p w14:paraId="13FF42D6" w14:textId="77777777" w:rsidR="00E65E42" w:rsidRPr="00BD2E1E" w:rsidRDefault="00E65E42" w:rsidP="00A175F0">
      <w:pPr>
        <w:spacing w:after="240" w:line="240" w:lineRule="auto"/>
        <w:ind w:left="709"/>
        <w:jc w:val="both"/>
        <w:rPr>
          <w:rFonts w:ascii="Arial" w:hAnsi="Arial" w:cs="Arial"/>
          <w:bCs/>
          <w:sz w:val="18"/>
          <w:szCs w:val="18"/>
          <w:lang w:val="en-IE" w:bidi="en-US"/>
        </w:rPr>
      </w:pPr>
      <w:r w:rsidRPr="00BD2E1E">
        <w:rPr>
          <w:rFonts w:ascii="Arial" w:hAnsi="Arial" w:cs="Arial"/>
          <w:bCs/>
          <w:sz w:val="18"/>
          <w:szCs w:val="18"/>
          <w:lang w:val="en-IE"/>
        </w:rPr>
        <w:t xml:space="preserve">There are limited published data on the stability of the pathogen in host tissues. There is also limited information on the stability of the virus in the tissues after death of a diseased animal. Detection </w:t>
      </w:r>
      <w:r w:rsidRPr="00BD2E1E">
        <w:rPr>
          <w:rFonts w:ascii="Arial" w:hAnsi="Arial" w:cs="Arial"/>
          <w:bCs/>
          <w:sz w:val="18"/>
          <w:szCs w:val="18"/>
          <w:u w:val="double"/>
          <w:lang w:val="en-IE"/>
        </w:rPr>
        <w:t>of SVCV</w:t>
      </w:r>
      <w:r w:rsidRPr="00BD2E1E">
        <w:rPr>
          <w:rFonts w:ascii="Arial" w:hAnsi="Arial" w:cs="Arial"/>
          <w:bCs/>
          <w:sz w:val="18"/>
          <w:szCs w:val="18"/>
          <w:lang w:val="en-IE"/>
        </w:rPr>
        <w:t xml:space="preserve"> in the tissues of recently dead animals by </w:t>
      </w:r>
      <w:r w:rsidRPr="00BD2E1E">
        <w:rPr>
          <w:rFonts w:ascii="Arial" w:hAnsi="Arial" w:cs="Arial"/>
          <w:bCs/>
          <w:sz w:val="18"/>
          <w:szCs w:val="18"/>
          <w:u w:val="double"/>
          <w:lang w:val="en-IE"/>
        </w:rPr>
        <w:t>either</w:t>
      </w:r>
      <w:r w:rsidRPr="00BD2E1E">
        <w:rPr>
          <w:rFonts w:ascii="Arial" w:hAnsi="Arial" w:cs="Arial"/>
          <w:bCs/>
          <w:sz w:val="18"/>
          <w:szCs w:val="18"/>
          <w:lang w:val="en-IE"/>
        </w:rPr>
        <w:t xml:space="preserve"> </w:t>
      </w:r>
      <w:r w:rsidRPr="00BD2E1E">
        <w:rPr>
          <w:rFonts w:ascii="Arial" w:hAnsi="Arial" w:cs="Arial"/>
          <w:bCs/>
          <w:strike/>
          <w:sz w:val="18"/>
          <w:szCs w:val="18"/>
          <w:lang w:val="en-IE"/>
        </w:rPr>
        <w:t>both</w:t>
      </w:r>
      <w:r w:rsidRPr="001120B4">
        <w:rPr>
          <w:rFonts w:ascii="Arial" w:hAnsi="Arial" w:cs="Arial"/>
          <w:bCs/>
          <w:sz w:val="18"/>
          <w:szCs w:val="18"/>
          <w:lang w:val="en-IE"/>
        </w:rPr>
        <w:t xml:space="preserve"> </w:t>
      </w:r>
      <w:r w:rsidRPr="00E777B4">
        <w:rPr>
          <w:rFonts w:ascii="Arial" w:hAnsi="Arial" w:cs="Arial"/>
          <w:bCs/>
          <w:strike/>
          <w:sz w:val="18"/>
          <w:szCs w:val="18"/>
          <w:highlight w:val="yellow"/>
          <w:lang w:eastAsia="fr-FR"/>
        </w:rPr>
        <w:t>reverse-transcription polymerase chain reaction (</w:t>
      </w:r>
      <w:r w:rsidRPr="00BD2E1E">
        <w:rPr>
          <w:rFonts w:ascii="Arial" w:hAnsi="Arial" w:cs="Arial"/>
          <w:bCs/>
          <w:sz w:val="18"/>
          <w:szCs w:val="18"/>
          <w:lang w:eastAsia="fr-FR"/>
        </w:rPr>
        <w:t>RT-PCR</w:t>
      </w:r>
      <w:r w:rsidRPr="00E777B4">
        <w:rPr>
          <w:rFonts w:ascii="Arial" w:hAnsi="Arial" w:cs="Arial"/>
          <w:bCs/>
          <w:strike/>
          <w:sz w:val="18"/>
          <w:szCs w:val="18"/>
          <w:highlight w:val="yellow"/>
          <w:lang w:eastAsia="fr-FR"/>
        </w:rPr>
        <w:t>)</w:t>
      </w:r>
      <w:r w:rsidRPr="00BD2E1E">
        <w:rPr>
          <w:rFonts w:ascii="Arial" w:hAnsi="Arial" w:cs="Arial"/>
          <w:bCs/>
          <w:sz w:val="18"/>
          <w:szCs w:val="18"/>
          <w:lang w:eastAsia="fr-FR"/>
        </w:rPr>
        <w:t xml:space="preserve"> </w:t>
      </w:r>
      <w:r w:rsidRPr="00BD2E1E">
        <w:rPr>
          <w:rFonts w:ascii="Arial" w:hAnsi="Arial" w:cs="Arial"/>
          <w:bCs/>
          <w:sz w:val="18"/>
          <w:szCs w:val="18"/>
          <w:u w:val="double"/>
          <w:lang w:val="en-IE"/>
        </w:rPr>
        <w:t>or</w:t>
      </w:r>
      <w:r w:rsidRPr="00BD2E1E">
        <w:rPr>
          <w:rFonts w:ascii="Arial" w:hAnsi="Arial" w:cs="Arial"/>
          <w:bCs/>
          <w:sz w:val="18"/>
          <w:szCs w:val="18"/>
          <w:lang w:val="en-IE"/>
        </w:rPr>
        <w:t xml:space="preserve"> </w:t>
      </w:r>
      <w:r w:rsidRPr="00BD2E1E">
        <w:rPr>
          <w:rFonts w:ascii="Arial" w:hAnsi="Arial" w:cs="Arial"/>
          <w:bCs/>
          <w:strike/>
          <w:sz w:val="18"/>
          <w:szCs w:val="18"/>
          <w:lang w:val="en-IE"/>
        </w:rPr>
        <w:t xml:space="preserve">and </w:t>
      </w:r>
      <w:r w:rsidRPr="00BD2E1E">
        <w:rPr>
          <w:rFonts w:ascii="Arial" w:hAnsi="Arial" w:cs="Arial"/>
          <w:bCs/>
          <w:sz w:val="18"/>
          <w:szCs w:val="18"/>
          <w:lang w:val="en-IE"/>
        </w:rPr>
        <w:t xml:space="preserve">culture </w:t>
      </w:r>
      <w:r w:rsidRPr="00BD2E1E">
        <w:rPr>
          <w:rFonts w:ascii="Arial" w:hAnsi="Arial" w:cs="Arial"/>
          <w:bCs/>
          <w:sz w:val="18"/>
          <w:szCs w:val="18"/>
          <w:u w:val="double"/>
          <w:lang w:val="en-IE"/>
        </w:rPr>
        <w:t>may be possible</w:t>
      </w:r>
      <w:r w:rsidRPr="00BD2E1E">
        <w:rPr>
          <w:rFonts w:ascii="Arial" w:hAnsi="Arial" w:cs="Arial"/>
          <w:bCs/>
          <w:strike/>
          <w:sz w:val="18"/>
          <w:szCs w:val="18"/>
          <w:lang w:val="en-IE"/>
        </w:rPr>
        <w:t xml:space="preserve"> should not be ruled out</w:t>
      </w:r>
      <w:r w:rsidRPr="00BD2E1E">
        <w:rPr>
          <w:rFonts w:ascii="Arial" w:hAnsi="Arial" w:cs="Arial"/>
          <w:bCs/>
          <w:sz w:val="18"/>
          <w:szCs w:val="18"/>
          <w:lang w:val="en-IE"/>
        </w:rPr>
        <w:t xml:space="preserve">, and therefore, dead fish </w:t>
      </w:r>
      <w:r w:rsidRPr="00BD2E1E">
        <w:rPr>
          <w:rFonts w:ascii="Arial" w:hAnsi="Arial" w:cs="Arial"/>
          <w:bCs/>
          <w:strike/>
          <w:sz w:val="18"/>
          <w:szCs w:val="18"/>
          <w:lang w:val="en-IE"/>
        </w:rPr>
        <w:t xml:space="preserve">as well as moribund should </w:t>
      </w:r>
      <w:r w:rsidRPr="00BD2E1E">
        <w:rPr>
          <w:rFonts w:ascii="Arial" w:hAnsi="Arial" w:cs="Arial"/>
          <w:bCs/>
          <w:sz w:val="18"/>
          <w:szCs w:val="18"/>
          <w:u w:val="double"/>
          <w:lang w:val="en-IE"/>
        </w:rPr>
        <w:t>may</w:t>
      </w:r>
      <w:r w:rsidRPr="00BD2E1E">
        <w:rPr>
          <w:rFonts w:ascii="Arial" w:hAnsi="Arial" w:cs="Arial"/>
          <w:bCs/>
          <w:sz w:val="18"/>
          <w:szCs w:val="18"/>
          <w:lang w:val="en-IE"/>
        </w:rPr>
        <w:t xml:space="preserve"> be taken for analysis </w:t>
      </w:r>
      <w:r w:rsidRPr="00BD2E1E">
        <w:rPr>
          <w:rFonts w:ascii="Arial" w:hAnsi="Arial" w:cs="Arial"/>
          <w:bCs/>
          <w:sz w:val="18"/>
          <w:szCs w:val="18"/>
          <w:u w:val="double"/>
          <w:lang w:val="en-IE"/>
        </w:rPr>
        <w:t>if moribund fish are not available</w:t>
      </w:r>
      <w:r w:rsidRPr="00BD2E1E">
        <w:rPr>
          <w:rFonts w:ascii="Arial" w:hAnsi="Arial" w:cs="Arial"/>
          <w:bCs/>
          <w:sz w:val="18"/>
          <w:szCs w:val="18"/>
          <w:lang w:val="en-IE"/>
        </w:rPr>
        <w:t xml:space="preserve">. </w:t>
      </w:r>
    </w:p>
    <w:p w14:paraId="42B3DB04" w14:textId="77777777" w:rsidR="00E65E42" w:rsidRPr="00BD2E1E" w:rsidRDefault="00E65E42" w:rsidP="00A175F0">
      <w:pPr>
        <w:spacing w:after="240" w:line="240" w:lineRule="auto"/>
        <w:ind w:left="709"/>
        <w:jc w:val="both"/>
        <w:rPr>
          <w:rFonts w:ascii="Arial" w:hAnsi="Arial" w:cs="Arial"/>
          <w:bCs/>
          <w:sz w:val="18"/>
          <w:szCs w:val="18"/>
          <w:lang w:val="en-IE"/>
        </w:rPr>
      </w:pPr>
      <w:r w:rsidRPr="00BD2E1E">
        <w:rPr>
          <w:rFonts w:ascii="Arial" w:hAnsi="Arial" w:cs="Arial"/>
          <w:bCs/>
          <w:sz w:val="18"/>
          <w:szCs w:val="18"/>
          <w:lang w:val="en-IE" w:bidi="en-US"/>
        </w:rPr>
        <w:t xml:space="preserve">The virus can be stored for several months when frozen in medium containing 2‒5% serum. The virus is most stable at lower temperatures, with little loss of titre </w:t>
      </w:r>
      <w:r w:rsidRPr="00BD2E1E">
        <w:rPr>
          <w:rFonts w:ascii="Arial" w:hAnsi="Arial" w:cs="Arial"/>
          <w:bCs/>
          <w:strike/>
          <w:sz w:val="18"/>
          <w:szCs w:val="18"/>
          <w:lang w:val="en-IE" w:bidi="en-US"/>
        </w:rPr>
        <w:t xml:space="preserve">for </w:t>
      </w:r>
      <w:r w:rsidRPr="00BD2E1E">
        <w:rPr>
          <w:rFonts w:ascii="Arial" w:hAnsi="Arial" w:cs="Arial"/>
          <w:bCs/>
          <w:sz w:val="18"/>
          <w:szCs w:val="18"/>
          <w:lang w:val="en-IE" w:bidi="en-US"/>
        </w:rPr>
        <w:t>when stored for 1 month at ‒20°C, or for 6 months at ‒30 or ‒74°C (</w:t>
      </w:r>
      <w:hyperlink r:id="rId146" w:anchor="chapitre_svc.biblio-1" w:history="1">
        <w:r w:rsidRPr="00BD2E1E">
          <w:rPr>
            <w:rFonts w:ascii="Arial" w:hAnsi="Arial" w:cs="Arial"/>
            <w:bCs/>
            <w:sz w:val="18"/>
            <w:szCs w:val="18"/>
            <w:lang w:val="en-IE" w:bidi="en-US"/>
          </w:rPr>
          <w:t>Ahne, 1976</w:t>
        </w:r>
      </w:hyperlink>
      <w:r w:rsidRPr="00BD2E1E">
        <w:rPr>
          <w:rFonts w:ascii="Arial" w:hAnsi="Arial" w:cs="Arial"/>
          <w:bCs/>
          <w:sz w:val="18"/>
          <w:szCs w:val="18"/>
          <w:lang w:val="en-IE" w:bidi="en-US"/>
        </w:rPr>
        <w:t xml:space="preserve">; </w:t>
      </w:r>
      <w:r>
        <w:rPr>
          <w:rFonts w:ascii="Arial" w:hAnsi="Arial" w:cs="Arial"/>
          <w:bCs/>
          <w:sz w:val="18"/>
          <w:szCs w:val="18"/>
          <w:lang w:val="en-IE" w:bidi="en-US"/>
        </w:rPr>
        <w:t xml:space="preserve">de </w:t>
      </w:r>
      <w:hyperlink r:id="rId147" w:anchor="chapitre_svc.biblio-25" w:history="1">
        <w:r w:rsidRPr="00BD2E1E">
          <w:rPr>
            <w:rFonts w:ascii="Arial" w:hAnsi="Arial" w:cs="Arial"/>
            <w:bCs/>
            <w:sz w:val="18"/>
            <w:szCs w:val="18"/>
            <w:lang w:val="en-IE" w:bidi="en-US"/>
          </w:rPr>
          <w:t>Kinkelin &amp; Le Berre, 1974</w:t>
        </w:r>
      </w:hyperlink>
      <w:r w:rsidRPr="00BD2E1E">
        <w:rPr>
          <w:rFonts w:ascii="Arial" w:hAnsi="Arial" w:cs="Arial"/>
          <w:bCs/>
          <w:sz w:val="18"/>
          <w:szCs w:val="18"/>
          <w:lang w:val="en-IE" w:bidi="en-US"/>
        </w:rPr>
        <w:t>). The virus is stable over four freeze (‒30°C)‒thaw cycles in medium containing 2% serum (</w:t>
      </w:r>
      <w:r>
        <w:rPr>
          <w:rFonts w:ascii="Arial" w:hAnsi="Arial" w:cs="Arial"/>
          <w:bCs/>
          <w:sz w:val="18"/>
          <w:szCs w:val="18"/>
          <w:lang w:val="en-IE" w:bidi="en-US"/>
        </w:rPr>
        <w:t xml:space="preserve">de </w:t>
      </w:r>
      <w:hyperlink r:id="rId148" w:anchor="chapitre_svc.biblio-25" w:history="1">
        <w:r w:rsidRPr="00BD2E1E">
          <w:rPr>
            <w:rFonts w:ascii="Arial" w:hAnsi="Arial" w:cs="Arial"/>
            <w:bCs/>
            <w:sz w:val="18"/>
            <w:szCs w:val="18"/>
            <w:lang w:val="en-IE" w:bidi="en-US"/>
          </w:rPr>
          <w:t>Kinkelin &amp; Le Berre, 1974</w:t>
        </w:r>
      </w:hyperlink>
      <w:r w:rsidRPr="00BD2E1E">
        <w:rPr>
          <w:rFonts w:ascii="Arial" w:hAnsi="Arial" w:cs="Arial"/>
          <w:bCs/>
          <w:sz w:val="18"/>
          <w:szCs w:val="18"/>
          <w:lang w:val="en-IE" w:bidi="en-US"/>
        </w:rPr>
        <w:t>).</w:t>
      </w:r>
    </w:p>
    <w:p w14:paraId="08E6090A" w14:textId="77777777" w:rsidR="00E65E42" w:rsidRPr="00A175F0" w:rsidRDefault="00E65E42" w:rsidP="00A175F0">
      <w:pPr>
        <w:spacing w:after="240" w:line="240" w:lineRule="auto"/>
        <w:ind w:left="709"/>
        <w:jc w:val="both"/>
        <w:rPr>
          <w:rFonts w:ascii="Ottawa" w:hAnsi="Ottawa" w:cs="Arial"/>
          <w:b/>
          <w:bCs/>
          <w:szCs w:val="20"/>
          <w:lang w:val="en-IE" w:eastAsia="fr-FR"/>
        </w:rPr>
      </w:pPr>
      <w:r w:rsidRPr="00A175F0">
        <w:rPr>
          <w:rFonts w:ascii="Ottawa" w:hAnsi="Ottawa" w:cs="Arial"/>
          <w:b/>
          <w:bCs/>
          <w:szCs w:val="20"/>
          <w:lang w:val="en-IE" w:eastAsia="fr-FR"/>
        </w:rPr>
        <w:t>2.1.3.</w:t>
      </w:r>
      <w:r w:rsidRPr="00A175F0">
        <w:rPr>
          <w:rFonts w:ascii="Ottawa" w:hAnsi="Ottawa" w:cs="Arial"/>
          <w:b/>
          <w:bCs/>
          <w:szCs w:val="20"/>
          <w:lang w:val="en-IE" w:eastAsia="fr-FR"/>
        </w:rPr>
        <w:tab/>
        <w:t xml:space="preserve">Survival and </w:t>
      </w:r>
      <w:r w:rsidRPr="00A175F0">
        <w:rPr>
          <w:rFonts w:ascii="Ottawa" w:hAnsi="Ottawa" w:cs="Arial"/>
          <w:b/>
          <w:bCs/>
          <w:szCs w:val="20"/>
          <w:lang w:val="en-IE"/>
        </w:rPr>
        <w:t>stability</w:t>
      </w:r>
      <w:r w:rsidRPr="00A175F0">
        <w:rPr>
          <w:rFonts w:ascii="Ottawa" w:hAnsi="Ottawa" w:cs="Arial"/>
          <w:b/>
          <w:bCs/>
          <w:szCs w:val="20"/>
          <w:lang w:val="en-IE" w:eastAsia="fr-FR"/>
        </w:rPr>
        <w:t xml:space="preserve"> outside the host </w:t>
      </w:r>
    </w:p>
    <w:p w14:paraId="7BF57D46" w14:textId="77777777" w:rsidR="00E65E42" w:rsidRDefault="00E65E42" w:rsidP="00A175F0">
      <w:pPr>
        <w:spacing w:after="240" w:line="240" w:lineRule="auto"/>
        <w:ind w:left="709"/>
        <w:jc w:val="both"/>
        <w:rPr>
          <w:rFonts w:ascii="Arial" w:hAnsi="Arial" w:cs="Arial"/>
          <w:bCs/>
          <w:sz w:val="18"/>
          <w:szCs w:val="18"/>
          <w:lang w:val="en-IE"/>
        </w:rPr>
      </w:pPr>
      <w:r w:rsidRPr="00BD2E1E">
        <w:rPr>
          <w:rFonts w:ascii="Arial" w:hAnsi="Arial" w:cs="Arial"/>
          <w:bCs/>
          <w:sz w:val="18"/>
          <w:szCs w:val="18"/>
          <w:lang w:val="en-IE"/>
        </w:rPr>
        <w:t xml:space="preserve">The virus </w:t>
      </w:r>
      <w:r w:rsidRPr="00F922E1">
        <w:rPr>
          <w:rFonts w:ascii="Arial" w:hAnsi="Arial" w:cs="Arial"/>
          <w:bCs/>
          <w:strike/>
          <w:sz w:val="18"/>
          <w:szCs w:val="18"/>
          <w:highlight w:val="yellow"/>
          <w:lang w:val="en-IE"/>
        </w:rPr>
        <w:t xml:space="preserve">has been shown to </w:t>
      </w:r>
      <w:r w:rsidRPr="00F922E1">
        <w:rPr>
          <w:rFonts w:ascii="Arial" w:hAnsi="Arial" w:cs="Arial"/>
          <w:bCs/>
          <w:sz w:val="18"/>
          <w:szCs w:val="18"/>
          <w:highlight w:val="yellow"/>
          <w:u w:val="double"/>
          <w:lang w:val="en-IE"/>
        </w:rPr>
        <w:t>can</w:t>
      </w:r>
      <w:r>
        <w:rPr>
          <w:rFonts w:ascii="Arial" w:hAnsi="Arial" w:cs="Arial"/>
          <w:bCs/>
          <w:sz w:val="18"/>
          <w:szCs w:val="18"/>
          <w:lang w:val="en-IE"/>
        </w:rPr>
        <w:t xml:space="preserve"> </w:t>
      </w:r>
      <w:r w:rsidRPr="00BD2E1E">
        <w:rPr>
          <w:rFonts w:ascii="Arial" w:hAnsi="Arial" w:cs="Arial"/>
          <w:bCs/>
          <w:sz w:val="18"/>
          <w:szCs w:val="18"/>
          <w:lang w:val="en-IE"/>
        </w:rPr>
        <w:t>remain viable outside the host for 5 weeks in river water at 10°C</w:t>
      </w:r>
      <w:r>
        <w:rPr>
          <w:rFonts w:ascii="Arial" w:hAnsi="Arial" w:cs="Arial"/>
          <w:bCs/>
          <w:sz w:val="18"/>
          <w:szCs w:val="18"/>
          <w:lang w:val="en-IE"/>
        </w:rPr>
        <w:t xml:space="preserve"> </w:t>
      </w:r>
      <w:r w:rsidRPr="004D139B">
        <w:rPr>
          <w:rFonts w:ascii="Arial" w:hAnsi="Arial" w:cs="Arial"/>
          <w:bCs/>
          <w:sz w:val="18"/>
          <w:szCs w:val="18"/>
          <w:highlight w:val="yellow"/>
          <w:u w:val="double"/>
          <w:lang w:val="en-IE"/>
        </w:rPr>
        <w:t>and</w:t>
      </w:r>
      <w:r w:rsidRPr="00BD2E1E">
        <w:rPr>
          <w:rFonts w:ascii="Arial" w:hAnsi="Arial" w:cs="Arial"/>
          <w:bCs/>
          <w:sz w:val="18"/>
          <w:szCs w:val="18"/>
          <w:lang w:val="en-IE"/>
        </w:rPr>
        <w:t xml:space="preserve"> for more than 6 weeks in pond mud at 4°C, reducing to 4 days in pond mud at 10°C (Ahne, 1976). </w:t>
      </w:r>
    </w:p>
    <w:p w14:paraId="13D3F2EC" w14:textId="77777777" w:rsidR="00E65E42" w:rsidRPr="00BD2E1E" w:rsidRDefault="00E65E42" w:rsidP="00A175F0">
      <w:pPr>
        <w:spacing w:after="360" w:line="240" w:lineRule="auto"/>
        <w:ind w:left="709"/>
        <w:jc w:val="both"/>
        <w:rPr>
          <w:rFonts w:ascii="Arial" w:hAnsi="Arial" w:cs="Arial"/>
          <w:bCs/>
          <w:sz w:val="18"/>
          <w:szCs w:val="18"/>
          <w:lang w:val="en-IE"/>
        </w:rPr>
      </w:pPr>
      <w:r w:rsidRPr="00BD2E1E">
        <w:rPr>
          <w:rFonts w:ascii="Arial" w:hAnsi="Arial" w:cs="Arial"/>
          <w:bCs/>
          <w:sz w:val="18"/>
          <w:szCs w:val="18"/>
          <w:lang w:val="en-IE"/>
        </w:rPr>
        <w:t>For inactivation methods, see Section 2.4.5.</w:t>
      </w:r>
    </w:p>
    <w:p w14:paraId="45331699" w14:textId="77777777" w:rsidR="00DB0A8D" w:rsidRDefault="00DB0A8D">
      <w:pPr>
        <w:rPr>
          <w:rFonts w:ascii="Ottawa" w:eastAsia="MS Mincho" w:hAnsi="Ottawa" w:cs="Arial"/>
          <w:b/>
          <w:sz w:val="21"/>
          <w:szCs w:val="21"/>
          <w:lang w:val="da-DK" w:eastAsia="da-DK"/>
        </w:rPr>
      </w:pPr>
      <w:r>
        <w:rPr>
          <w:rFonts w:ascii="Ottawa" w:eastAsia="MS Mincho" w:hAnsi="Ottawa" w:cs="Arial"/>
          <w:b/>
          <w:sz w:val="21"/>
          <w:szCs w:val="21"/>
          <w:lang w:val="da-DK" w:eastAsia="da-DK"/>
        </w:rPr>
        <w:br w:type="page"/>
      </w:r>
    </w:p>
    <w:p w14:paraId="0490FC33" w14:textId="77777777" w:rsidR="00DB0A8D" w:rsidRDefault="00DB0A8D" w:rsidP="00DB0A8D">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451B1164" w14:textId="4FAD44BE" w:rsidR="00E65E42" w:rsidRPr="000151EA" w:rsidRDefault="00E65E42" w:rsidP="00A175F0">
      <w:pPr>
        <w:tabs>
          <w:tab w:val="left" w:pos="1418"/>
        </w:tabs>
        <w:spacing w:after="240" w:line="240" w:lineRule="auto"/>
        <w:ind w:left="709" w:hanging="425"/>
        <w:jc w:val="both"/>
        <w:rPr>
          <w:rFonts w:ascii="Ottawa" w:eastAsia="MS Mincho" w:hAnsi="Ottawa" w:cs="Arial"/>
          <w:b/>
          <w:sz w:val="21"/>
          <w:szCs w:val="21"/>
          <w:lang w:val="da-DK" w:eastAsia="da-DK"/>
        </w:rPr>
      </w:pPr>
      <w:r w:rsidRPr="000151EA">
        <w:rPr>
          <w:rFonts w:ascii="Ottawa" w:eastAsia="MS Mincho" w:hAnsi="Ottawa" w:cs="Arial"/>
          <w:b/>
          <w:sz w:val="21"/>
          <w:szCs w:val="21"/>
          <w:lang w:val="da-DK" w:eastAsia="da-DK"/>
        </w:rPr>
        <w:t>2.2.</w:t>
      </w:r>
      <w:r w:rsidRPr="000151EA">
        <w:rPr>
          <w:rFonts w:ascii="Ottawa" w:eastAsia="MS Mincho" w:hAnsi="Ottawa" w:cs="Arial"/>
          <w:b/>
          <w:sz w:val="21"/>
          <w:szCs w:val="21"/>
          <w:lang w:val="da-DK" w:eastAsia="da-DK"/>
        </w:rPr>
        <w:tab/>
        <w:t>Host factors</w:t>
      </w:r>
    </w:p>
    <w:p w14:paraId="3A76F202" w14:textId="77777777" w:rsidR="00E65E42" w:rsidRPr="000151EA" w:rsidRDefault="00E65E42" w:rsidP="00A175F0">
      <w:pPr>
        <w:spacing w:after="240" w:line="240" w:lineRule="auto"/>
        <w:ind w:left="709"/>
        <w:jc w:val="both"/>
        <w:rPr>
          <w:rFonts w:ascii="Ottawa" w:hAnsi="Ottawa" w:cs="Arial"/>
          <w:b/>
          <w:bCs/>
          <w:szCs w:val="20"/>
          <w:lang w:val="en-IE" w:eastAsia="fr-FR"/>
        </w:rPr>
      </w:pPr>
      <w:r w:rsidRPr="000151EA">
        <w:rPr>
          <w:rFonts w:ascii="Ottawa" w:hAnsi="Ottawa" w:cs="Arial"/>
          <w:b/>
          <w:bCs/>
          <w:szCs w:val="20"/>
          <w:lang w:val="en-IE" w:eastAsia="fr-FR"/>
        </w:rPr>
        <w:t>2.2.1.</w:t>
      </w:r>
      <w:r w:rsidRPr="000151EA">
        <w:rPr>
          <w:rFonts w:ascii="Ottawa" w:hAnsi="Ottawa" w:cs="Arial"/>
          <w:b/>
          <w:bCs/>
          <w:szCs w:val="20"/>
          <w:lang w:val="en-IE" w:eastAsia="fr-FR"/>
        </w:rPr>
        <w:tab/>
      </w:r>
      <w:bookmarkStart w:id="102" w:name="_Hlk20819181"/>
      <w:r w:rsidRPr="000151EA">
        <w:rPr>
          <w:rFonts w:ascii="Ottawa" w:hAnsi="Ottawa" w:cs="Arial"/>
          <w:b/>
          <w:bCs/>
          <w:szCs w:val="20"/>
          <w:lang w:val="en-IE" w:eastAsia="fr-FR"/>
        </w:rPr>
        <w:t xml:space="preserve">Susceptible host species </w:t>
      </w:r>
      <w:bookmarkEnd w:id="102"/>
    </w:p>
    <w:p w14:paraId="002F17EA" w14:textId="77777777" w:rsidR="00E65E42" w:rsidRPr="00BD2E1E" w:rsidRDefault="00E65E42" w:rsidP="00A175F0">
      <w:pPr>
        <w:spacing w:after="120" w:line="240" w:lineRule="auto"/>
        <w:ind w:left="709"/>
        <w:jc w:val="both"/>
        <w:rPr>
          <w:rFonts w:ascii="Arial" w:eastAsia="Calibri" w:hAnsi="Arial" w:cs="Arial"/>
          <w:bCs/>
          <w:iCs/>
          <w:strike/>
          <w:sz w:val="18"/>
          <w:szCs w:val="18"/>
        </w:rPr>
      </w:pPr>
      <w:bookmarkStart w:id="103" w:name="_Hlk4166077"/>
      <w:r w:rsidRPr="00BD2E1E">
        <w:rPr>
          <w:rFonts w:ascii="Arial" w:hAnsi="Arial" w:cs="Arial"/>
          <w:bCs/>
          <w:sz w:val="18"/>
          <w:szCs w:val="18"/>
          <w:lang w:val="en-IE"/>
        </w:rPr>
        <w:t xml:space="preserve">Species that fulfil the criteria for </w:t>
      </w:r>
      <w:r w:rsidRPr="00BD2E1E">
        <w:rPr>
          <w:rFonts w:ascii="Arial" w:hAnsi="Arial" w:cs="Arial"/>
          <w:bCs/>
          <w:sz w:val="18"/>
          <w:szCs w:val="18"/>
        </w:rPr>
        <w:t xml:space="preserve">listing as susceptible to infection with SVCV according to Chapter 1.5. of the </w:t>
      </w:r>
      <w:r w:rsidRPr="00BD2E1E">
        <w:rPr>
          <w:rFonts w:ascii="Arial" w:hAnsi="Arial" w:cs="Arial"/>
          <w:bCs/>
          <w:i/>
          <w:iCs/>
          <w:sz w:val="18"/>
          <w:szCs w:val="18"/>
        </w:rPr>
        <w:t>Aquatic Animal Health Code</w:t>
      </w:r>
      <w:r w:rsidRPr="00BD2E1E">
        <w:rPr>
          <w:rFonts w:ascii="Arial" w:hAnsi="Arial" w:cs="Arial"/>
          <w:bCs/>
          <w:sz w:val="18"/>
          <w:szCs w:val="18"/>
          <w:lang w:val="en-IE"/>
        </w:rPr>
        <w:t xml:space="preserve"> (</w:t>
      </w:r>
      <w:r w:rsidRPr="00BD2E1E">
        <w:rPr>
          <w:rFonts w:ascii="Arial" w:hAnsi="Arial" w:cs="Arial"/>
          <w:bCs/>
          <w:i/>
          <w:iCs/>
          <w:sz w:val="18"/>
          <w:szCs w:val="18"/>
        </w:rPr>
        <w:t>Aquatic Code</w:t>
      </w:r>
      <w:r w:rsidRPr="00BD2E1E">
        <w:rPr>
          <w:rFonts w:ascii="Arial" w:hAnsi="Arial" w:cs="Arial"/>
          <w:bCs/>
          <w:sz w:val="18"/>
          <w:szCs w:val="18"/>
          <w:lang w:val="en-IE"/>
        </w:rPr>
        <w:t xml:space="preserve">) are: </w:t>
      </w:r>
      <w:r w:rsidRPr="00BD2E1E">
        <w:rPr>
          <w:rFonts w:ascii="Arial" w:hAnsi="Arial" w:cs="Arial"/>
          <w:bCs/>
          <w:strike/>
          <w:sz w:val="18"/>
          <w:szCs w:val="18"/>
          <w:lang w:val="en-IE"/>
        </w:rPr>
        <w:t>all varieties and subspecies of common carp (</w:t>
      </w:r>
      <w:r w:rsidRPr="00BD2E1E">
        <w:rPr>
          <w:rFonts w:ascii="Arial" w:eastAsia="Calibri" w:hAnsi="Arial" w:cs="Arial"/>
          <w:bCs/>
          <w:i/>
          <w:strike/>
          <w:sz w:val="18"/>
          <w:szCs w:val="18"/>
        </w:rPr>
        <w:t>Cyprinus carpio</w:t>
      </w:r>
      <w:r w:rsidRPr="00BD2E1E">
        <w:rPr>
          <w:rFonts w:ascii="Arial" w:hAnsi="Arial" w:cs="Arial"/>
          <w:bCs/>
          <w:strike/>
          <w:sz w:val="18"/>
          <w:szCs w:val="18"/>
          <w:lang w:val="en-IE"/>
        </w:rPr>
        <w:t xml:space="preserve">), </w:t>
      </w:r>
      <w:r w:rsidRPr="00BD2E1E">
        <w:rPr>
          <w:rFonts w:ascii="Arial" w:eastAsia="Calibri" w:hAnsi="Arial" w:cs="Arial"/>
          <w:bCs/>
          <w:strike/>
          <w:sz w:val="18"/>
          <w:szCs w:val="18"/>
        </w:rPr>
        <w:t>bighead carp</w:t>
      </w:r>
      <w:r w:rsidRPr="00BD2E1E">
        <w:rPr>
          <w:rFonts w:ascii="Arial" w:eastAsia="Calibri" w:hAnsi="Arial" w:cs="Arial"/>
          <w:bCs/>
          <w:i/>
          <w:strike/>
          <w:sz w:val="18"/>
          <w:szCs w:val="18"/>
        </w:rPr>
        <w:t xml:space="preserve"> (Aristichthys nobilis</w:t>
      </w:r>
      <w:r w:rsidRPr="00BD2E1E">
        <w:rPr>
          <w:rFonts w:ascii="Arial" w:eastAsia="Calibri" w:hAnsi="Arial" w:cs="Arial"/>
          <w:bCs/>
          <w:strike/>
          <w:sz w:val="18"/>
          <w:szCs w:val="18"/>
        </w:rPr>
        <w:t xml:space="preserve">), </w:t>
      </w:r>
      <w:r w:rsidRPr="00BD2E1E">
        <w:rPr>
          <w:rFonts w:ascii="Arial" w:eastAsia="Calibri" w:hAnsi="Arial" w:cs="Arial"/>
          <w:bCs/>
          <w:iCs/>
          <w:strike/>
          <w:color w:val="000000"/>
          <w:sz w:val="18"/>
          <w:szCs w:val="18"/>
        </w:rPr>
        <w:t>bream</w:t>
      </w:r>
      <w:r w:rsidRPr="00BD2E1E">
        <w:rPr>
          <w:rFonts w:ascii="Arial" w:eastAsia="Calibri" w:hAnsi="Arial" w:cs="Arial"/>
          <w:bCs/>
          <w:i/>
          <w:iCs/>
          <w:strike/>
          <w:color w:val="000000"/>
          <w:sz w:val="18"/>
          <w:szCs w:val="18"/>
        </w:rPr>
        <w:t xml:space="preserve"> </w:t>
      </w:r>
      <w:r w:rsidRPr="00BD2E1E">
        <w:rPr>
          <w:rFonts w:ascii="Arial" w:eastAsia="Calibri" w:hAnsi="Arial" w:cs="Arial"/>
          <w:bCs/>
          <w:iCs/>
          <w:strike/>
          <w:color w:val="000000"/>
          <w:sz w:val="18"/>
          <w:szCs w:val="18"/>
        </w:rPr>
        <w:t>(</w:t>
      </w:r>
      <w:r w:rsidRPr="00BD2E1E">
        <w:rPr>
          <w:rFonts w:ascii="Arial" w:eastAsia="Calibri" w:hAnsi="Arial" w:cs="Arial"/>
          <w:bCs/>
          <w:i/>
          <w:iCs/>
          <w:strike/>
          <w:color w:val="000000"/>
          <w:sz w:val="18"/>
          <w:szCs w:val="18"/>
        </w:rPr>
        <w:t>Abramis brama</w:t>
      </w:r>
      <w:r w:rsidRPr="00BD2E1E">
        <w:rPr>
          <w:rFonts w:ascii="Arial" w:eastAsia="Calibri" w:hAnsi="Arial" w:cs="Arial"/>
          <w:bCs/>
          <w:iCs/>
          <w:strike/>
          <w:color w:val="000000"/>
          <w:sz w:val="18"/>
          <w:szCs w:val="18"/>
        </w:rPr>
        <w:t xml:space="preserve">), </w:t>
      </w:r>
      <w:r w:rsidRPr="00BD2E1E">
        <w:rPr>
          <w:rFonts w:ascii="Arial" w:eastAsia="Calibri" w:hAnsi="Arial" w:cs="Arial"/>
          <w:bCs/>
          <w:strike/>
          <w:sz w:val="18"/>
          <w:szCs w:val="18"/>
        </w:rPr>
        <w:t>Caspian white fish</w:t>
      </w:r>
      <w:r w:rsidRPr="00BD2E1E">
        <w:rPr>
          <w:rFonts w:ascii="Arial" w:eastAsia="Calibri" w:hAnsi="Arial" w:cs="Arial"/>
          <w:bCs/>
          <w:iCs/>
          <w:strike/>
          <w:color w:val="000000"/>
          <w:sz w:val="18"/>
          <w:szCs w:val="18"/>
        </w:rPr>
        <w:t xml:space="preserve"> (</w:t>
      </w:r>
      <w:r w:rsidRPr="00BD2E1E">
        <w:rPr>
          <w:rFonts w:ascii="Arial" w:eastAsia="Calibri" w:hAnsi="Arial" w:cs="Arial"/>
          <w:bCs/>
          <w:i/>
          <w:strike/>
          <w:sz w:val="18"/>
          <w:szCs w:val="18"/>
        </w:rPr>
        <w:t>Rutilus kutum</w:t>
      </w:r>
      <w:r w:rsidRPr="00BD2E1E">
        <w:rPr>
          <w:rFonts w:ascii="Arial" w:eastAsia="Calibri" w:hAnsi="Arial" w:cs="Arial"/>
          <w:bCs/>
          <w:strike/>
          <w:sz w:val="18"/>
          <w:szCs w:val="18"/>
        </w:rPr>
        <w:t>)</w:t>
      </w:r>
      <w:r w:rsidRPr="00BD2E1E">
        <w:rPr>
          <w:rFonts w:ascii="Arial" w:eastAsia="Calibri" w:hAnsi="Arial" w:cs="Arial"/>
          <w:bCs/>
          <w:i/>
          <w:iCs/>
          <w:strike/>
          <w:color w:val="000000"/>
          <w:sz w:val="18"/>
          <w:szCs w:val="18"/>
        </w:rPr>
        <w:t xml:space="preserve">, </w:t>
      </w:r>
      <w:r w:rsidRPr="00BD2E1E">
        <w:rPr>
          <w:rFonts w:ascii="Arial" w:eastAsia="Calibri" w:hAnsi="Arial" w:cs="Arial"/>
          <w:bCs/>
          <w:iCs/>
          <w:strike/>
          <w:sz w:val="18"/>
          <w:szCs w:val="18"/>
        </w:rPr>
        <w:t>fathead minnow</w:t>
      </w:r>
      <w:r w:rsidRPr="00BD2E1E">
        <w:rPr>
          <w:rFonts w:ascii="Arial" w:eastAsia="Calibri" w:hAnsi="Arial" w:cs="Arial"/>
          <w:bCs/>
          <w:strike/>
          <w:sz w:val="18"/>
          <w:szCs w:val="18"/>
          <w:lang w:val="en-US"/>
        </w:rPr>
        <w:t xml:space="preserve"> (</w:t>
      </w:r>
      <w:r w:rsidRPr="00BD2E1E">
        <w:rPr>
          <w:rFonts w:ascii="Arial" w:eastAsia="Calibri" w:hAnsi="Arial" w:cs="Arial"/>
          <w:bCs/>
          <w:i/>
          <w:strike/>
          <w:sz w:val="18"/>
          <w:szCs w:val="18"/>
        </w:rPr>
        <w:t>Pimephales promelas</w:t>
      </w:r>
      <w:r w:rsidRPr="00BD2E1E">
        <w:rPr>
          <w:rFonts w:ascii="Arial" w:eastAsia="Calibri" w:hAnsi="Arial" w:cs="Arial"/>
          <w:bCs/>
          <w:strike/>
          <w:sz w:val="18"/>
          <w:szCs w:val="18"/>
          <w:lang w:val="en-US"/>
        </w:rPr>
        <w:t>), golden shiner</w:t>
      </w:r>
      <w:r w:rsidRPr="00BD2E1E">
        <w:rPr>
          <w:rFonts w:ascii="Arial" w:eastAsia="Calibri" w:hAnsi="Arial" w:cs="Arial"/>
          <w:bCs/>
          <w:i/>
          <w:strike/>
          <w:sz w:val="18"/>
          <w:szCs w:val="18"/>
          <w:lang w:val="en-US"/>
        </w:rPr>
        <w:t xml:space="preserve"> </w:t>
      </w:r>
      <w:r w:rsidRPr="00BD2E1E">
        <w:rPr>
          <w:rFonts w:ascii="Arial" w:eastAsia="Calibri" w:hAnsi="Arial" w:cs="Arial"/>
          <w:bCs/>
          <w:strike/>
          <w:sz w:val="18"/>
          <w:szCs w:val="18"/>
          <w:lang w:val="en-US"/>
        </w:rPr>
        <w:t>(</w:t>
      </w:r>
      <w:r w:rsidRPr="00BD2E1E">
        <w:rPr>
          <w:rFonts w:ascii="Arial" w:eastAsia="Calibri" w:hAnsi="Arial" w:cs="Arial"/>
          <w:bCs/>
          <w:i/>
          <w:strike/>
          <w:sz w:val="18"/>
          <w:szCs w:val="18"/>
          <w:lang w:val="en-US"/>
        </w:rPr>
        <w:t>Notemigonus crysoleucas</w:t>
      </w:r>
      <w:r w:rsidRPr="00BD2E1E">
        <w:rPr>
          <w:rFonts w:ascii="Arial" w:eastAsia="Calibri" w:hAnsi="Arial" w:cs="Arial"/>
          <w:bCs/>
          <w:strike/>
          <w:sz w:val="18"/>
          <w:szCs w:val="18"/>
          <w:lang w:val="en-US"/>
        </w:rPr>
        <w:t xml:space="preserve">), </w:t>
      </w:r>
      <w:r w:rsidRPr="00BD2E1E">
        <w:rPr>
          <w:rFonts w:ascii="Arial" w:eastAsia="Calibri" w:hAnsi="Arial" w:cs="Arial"/>
          <w:bCs/>
          <w:strike/>
          <w:sz w:val="18"/>
          <w:szCs w:val="18"/>
        </w:rPr>
        <w:t>goldfish (</w:t>
      </w:r>
      <w:r w:rsidRPr="00BD2E1E">
        <w:rPr>
          <w:rFonts w:ascii="Arial" w:eastAsia="Calibri" w:hAnsi="Arial" w:cs="Arial"/>
          <w:bCs/>
          <w:i/>
          <w:strike/>
          <w:sz w:val="18"/>
          <w:szCs w:val="18"/>
        </w:rPr>
        <w:t>Carassius auratus</w:t>
      </w:r>
      <w:r w:rsidRPr="00BD2E1E">
        <w:rPr>
          <w:rFonts w:ascii="Arial" w:eastAsia="Calibri" w:hAnsi="Arial" w:cs="Arial"/>
          <w:bCs/>
          <w:strike/>
          <w:sz w:val="18"/>
          <w:szCs w:val="18"/>
        </w:rPr>
        <w:t>),</w:t>
      </w:r>
      <w:r w:rsidRPr="00BD2E1E">
        <w:rPr>
          <w:rFonts w:ascii="Arial" w:eastAsia="Calibri" w:hAnsi="Arial" w:cs="Arial"/>
          <w:bCs/>
          <w:i/>
          <w:strike/>
          <w:sz w:val="18"/>
          <w:szCs w:val="18"/>
        </w:rPr>
        <w:t xml:space="preserve"> </w:t>
      </w:r>
      <w:r w:rsidRPr="00BD2E1E">
        <w:rPr>
          <w:rFonts w:ascii="Arial" w:eastAsia="Calibri" w:hAnsi="Arial" w:cs="Arial"/>
          <w:bCs/>
          <w:strike/>
          <w:sz w:val="18"/>
          <w:szCs w:val="18"/>
          <w:lang w:val="en-US"/>
        </w:rPr>
        <w:t>grass carp</w:t>
      </w:r>
      <w:r w:rsidRPr="00BD2E1E">
        <w:rPr>
          <w:rFonts w:ascii="Arial" w:eastAsia="Calibri" w:hAnsi="Arial" w:cs="Arial"/>
          <w:bCs/>
          <w:i/>
          <w:strike/>
          <w:sz w:val="18"/>
          <w:szCs w:val="18"/>
        </w:rPr>
        <w:t xml:space="preserve"> </w:t>
      </w:r>
      <w:r w:rsidRPr="00BD2E1E">
        <w:rPr>
          <w:rFonts w:ascii="Arial" w:eastAsia="Calibri" w:hAnsi="Arial" w:cs="Arial"/>
          <w:bCs/>
          <w:strike/>
          <w:sz w:val="18"/>
          <w:szCs w:val="18"/>
        </w:rPr>
        <w:t>(</w:t>
      </w:r>
      <w:r w:rsidRPr="00BD2E1E">
        <w:rPr>
          <w:rFonts w:ascii="Arial" w:eastAsia="Calibri" w:hAnsi="Arial" w:cs="Arial"/>
          <w:bCs/>
          <w:i/>
          <w:strike/>
          <w:sz w:val="18"/>
          <w:szCs w:val="18"/>
          <w:lang w:val="en-US"/>
        </w:rPr>
        <w:t>Ctenopharyngodon Idella</w:t>
      </w:r>
      <w:r w:rsidRPr="00BD2E1E">
        <w:rPr>
          <w:rFonts w:ascii="Arial" w:eastAsia="Calibri" w:hAnsi="Arial" w:cs="Arial"/>
          <w:bCs/>
          <w:strike/>
          <w:sz w:val="18"/>
          <w:szCs w:val="18"/>
          <w:lang w:val="en-US"/>
        </w:rPr>
        <w:t>)</w:t>
      </w:r>
      <w:r w:rsidRPr="00BD2E1E">
        <w:rPr>
          <w:rFonts w:ascii="Arial" w:eastAsia="Calibri" w:hAnsi="Arial" w:cs="Arial"/>
          <w:bCs/>
          <w:i/>
          <w:strike/>
          <w:sz w:val="18"/>
          <w:szCs w:val="18"/>
          <w:lang w:val="en-US"/>
        </w:rPr>
        <w:t xml:space="preserve">, </w:t>
      </w:r>
      <w:r w:rsidRPr="00BD2E1E">
        <w:rPr>
          <w:rFonts w:ascii="Arial" w:eastAsia="Calibri" w:hAnsi="Arial" w:cs="Arial"/>
          <w:bCs/>
          <w:strike/>
          <w:sz w:val="18"/>
          <w:szCs w:val="18"/>
          <w:lang w:val="en-US"/>
        </w:rPr>
        <w:t>roach</w:t>
      </w:r>
      <w:r w:rsidRPr="00BD2E1E">
        <w:rPr>
          <w:rFonts w:ascii="Arial" w:eastAsia="Arial" w:hAnsi="Arial" w:cs="Arial"/>
          <w:bCs/>
          <w:strike/>
          <w:sz w:val="18"/>
          <w:szCs w:val="18"/>
          <w:lang w:val="en-IE"/>
        </w:rPr>
        <w:t xml:space="preserve"> (</w:t>
      </w:r>
      <w:r w:rsidRPr="00BD2E1E">
        <w:rPr>
          <w:rFonts w:ascii="Arial" w:eastAsia="Calibri" w:hAnsi="Arial" w:cs="Arial"/>
          <w:bCs/>
          <w:i/>
          <w:strike/>
          <w:sz w:val="18"/>
          <w:szCs w:val="18"/>
          <w:lang w:val="en-US"/>
        </w:rPr>
        <w:t>Rutilus rutilus</w:t>
      </w:r>
      <w:r w:rsidRPr="00BD2E1E">
        <w:rPr>
          <w:rFonts w:ascii="Arial" w:eastAsia="Calibri" w:hAnsi="Arial" w:cs="Arial"/>
          <w:bCs/>
          <w:strike/>
          <w:sz w:val="18"/>
          <w:szCs w:val="18"/>
          <w:lang w:val="en-US"/>
        </w:rPr>
        <w:t xml:space="preserve">) and </w:t>
      </w:r>
      <w:r w:rsidRPr="00BD2E1E">
        <w:rPr>
          <w:rFonts w:ascii="Arial" w:eastAsia="Arial" w:hAnsi="Arial" w:cs="Arial"/>
          <w:bCs/>
          <w:strike/>
          <w:sz w:val="18"/>
          <w:szCs w:val="18"/>
          <w:lang w:val="en-IE"/>
        </w:rPr>
        <w:t>sheatfish (also known as European or wels catfish) (</w:t>
      </w:r>
      <w:r w:rsidRPr="00BD2E1E">
        <w:rPr>
          <w:rFonts w:ascii="Arial" w:eastAsia="Arial" w:hAnsi="Arial" w:cs="Arial"/>
          <w:bCs/>
          <w:i/>
          <w:strike/>
          <w:sz w:val="18"/>
          <w:szCs w:val="18"/>
          <w:lang w:val="en-IE"/>
        </w:rPr>
        <w:t>Silurus glanis</w:t>
      </w:r>
      <w:r w:rsidRPr="00BD2E1E">
        <w:rPr>
          <w:rFonts w:ascii="Arial" w:eastAsia="Arial" w:hAnsi="Arial" w:cs="Arial"/>
          <w:bCs/>
          <w:strike/>
          <w:sz w:val="18"/>
          <w:szCs w:val="18"/>
          <w:lang w:val="en-IE"/>
        </w:rPr>
        <w:t>)</w:t>
      </w:r>
      <w:r w:rsidRPr="00BD2E1E">
        <w:rPr>
          <w:rFonts w:ascii="Arial" w:eastAsia="Calibri" w:hAnsi="Arial" w:cs="Arial"/>
          <w:bCs/>
          <w:iCs/>
          <w:strike/>
          <w:sz w:val="18"/>
          <w:szCs w:val="18"/>
        </w:rPr>
        <w:t>.</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3"/>
        <w:gridCol w:w="2381"/>
        <w:gridCol w:w="4535"/>
      </w:tblGrid>
      <w:tr w:rsidR="00E65E42" w:rsidRPr="00BD2E1E" w14:paraId="34C58569" w14:textId="77777777" w:rsidTr="00E65E42">
        <w:trPr>
          <w:tblHeader/>
          <w:jc w:val="center"/>
        </w:trPr>
        <w:tc>
          <w:tcPr>
            <w:tcW w:w="1503" w:type="dxa"/>
            <w:tcBorders>
              <w:top w:val="single" w:sz="4" w:space="0" w:color="auto"/>
              <w:bottom w:val="single" w:sz="4" w:space="0" w:color="auto"/>
            </w:tcBorders>
            <w:vAlign w:val="center"/>
          </w:tcPr>
          <w:p w14:paraId="29B50FAD" w14:textId="77777777" w:rsidR="00E65E42" w:rsidRPr="00BD2E1E" w:rsidRDefault="00E65E42" w:rsidP="00E65E42">
            <w:pPr>
              <w:pStyle w:val="TableHead"/>
              <w:spacing w:before="0" w:after="0"/>
              <w:rPr>
                <w:rFonts w:ascii="Arial" w:hAnsi="Arial" w:cs="Arial"/>
                <w:szCs w:val="18"/>
                <w:u w:val="double"/>
                <w:lang w:val="en-GB"/>
              </w:rPr>
            </w:pPr>
            <w:r w:rsidRPr="00BD2E1E">
              <w:rPr>
                <w:rFonts w:ascii="Arial" w:hAnsi="Arial" w:cs="Arial"/>
                <w:szCs w:val="18"/>
                <w:u w:val="double"/>
                <w:lang w:val="en-GB"/>
              </w:rPr>
              <w:t>Family</w:t>
            </w:r>
          </w:p>
        </w:tc>
        <w:tc>
          <w:tcPr>
            <w:tcW w:w="2381" w:type="dxa"/>
            <w:tcBorders>
              <w:top w:val="single" w:sz="4" w:space="0" w:color="auto"/>
              <w:bottom w:val="single" w:sz="4" w:space="0" w:color="auto"/>
            </w:tcBorders>
            <w:shd w:val="clear" w:color="auto" w:fill="auto"/>
            <w:vAlign w:val="center"/>
          </w:tcPr>
          <w:p w14:paraId="22272503" w14:textId="77777777" w:rsidR="00E65E42" w:rsidRPr="00BD2E1E" w:rsidRDefault="00E65E42" w:rsidP="00E65E42">
            <w:pPr>
              <w:pStyle w:val="TableHead"/>
              <w:spacing w:before="0" w:after="0"/>
              <w:rPr>
                <w:rFonts w:ascii="Arial" w:hAnsi="Arial" w:cs="Arial"/>
                <w:szCs w:val="18"/>
                <w:u w:val="double"/>
                <w:lang w:val="en-GB"/>
              </w:rPr>
            </w:pPr>
            <w:r w:rsidRPr="00BD2E1E">
              <w:rPr>
                <w:rFonts w:ascii="Arial" w:hAnsi="Arial" w:cs="Arial"/>
                <w:szCs w:val="18"/>
                <w:u w:val="double"/>
                <w:lang w:val="en-GB"/>
              </w:rPr>
              <w:t>Scientific name</w:t>
            </w:r>
          </w:p>
        </w:tc>
        <w:tc>
          <w:tcPr>
            <w:tcW w:w="4535" w:type="dxa"/>
            <w:tcBorders>
              <w:top w:val="single" w:sz="4" w:space="0" w:color="auto"/>
              <w:bottom w:val="single" w:sz="4" w:space="0" w:color="auto"/>
            </w:tcBorders>
            <w:vAlign w:val="center"/>
          </w:tcPr>
          <w:p w14:paraId="52C398B0" w14:textId="77777777" w:rsidR="00E65E42" w:rsidRPr="00BD2E1E" w:rsidRDefault="00E65E42" w:rsidP="00E65E42">
            <w:pPr>
              <w:pStyle w:val="TableHead"/>
              <w:spacing w:before="0" w:after="0"/>
              <w:rPr>
                <w:rFonts w:ascii="Arial" w:hAnsi="Arial" w:cs="Arial"/>
                <w:szCs w:val="18"/>
                <w:u w:val="double"/>
                <w:lang w:val="en-GB"/>
              </w:rPr>
            </w:pPr>
            <w:r w:rsidRPr="00BD2E1E">
              <w:rPr>
                <w:rFonts w:ascii="Arial" w:hAnsi="Arial" w:cs="Arial"/>
                <w:szCs w:val="18"/>
                <w:u w:val="double"/>
                <w:lang w:val="en-GB"/>
              </w:rPr>
              <w:t>Common name</w:t>
            </w:r>
          </w:p>
        </w:tc>
      </w:tr>
      <w:tr w:rsidR="00E65E42" w:rsidRPr="00BD2E1E" w14:paraId="3349ADD7" w14:textId="77777777" w:rsidTr="00E65E42">
        <w:trPr>
          <w:jc w:val="center"/>
        </w:trPr>
        <w:tc>
          <w:tcPr>
            <w:tcW w:w="1503" w:type="dxa"/>
            <w:vMerge w:val="restart"/>
            <w:tcBorders>
              <w:top w:val="single" w:sz="4" w:space="0" w:color="auto"/>
            </w:tcBorders>
            <w:vAlign w:val="center"/>
          </w:tcPr>
          <w:p w14:paraId="189BCF16" w14:textId="77777777" w:rsidR="00E65E42" w:rsidRPr="00BD2E1E" w:rsidRDefault="00831075" w:rsidP="00E65E42">
            <w:pPr>
              <w:spacing w:after="0"/>
              <w:jc w:val="center"/>
              <w:rPr>
                <w:rFonts w:ascii="Arial" w:hAnsi="Arial" w:cs="Arial"/>
                <w:color w:val="000000"/>
                <w:sz w:val="18"/>
                <w:szCs w:val="18"/>
                <w:u w:val="double"/>
              </w:rPr>
            </w:pPr>
            <w:hyperlink r:id="rId149" w:history="1">
              <w:r w:rsidR="00E65E42" w:rsidRPr="00BD2E1E">
                <w:rPr>
                  <w:rFonts w:ascii="Arial" w:eastAsia="Times New Roman" w:hAnsi="Arial" w:cs="Arial"/>
                  <w:sz w:val="18"/>
                  <w:szCs w:val="18"/>
                  <w:u w:val="double"/>
                </w:rPr>
                <w:t>Cyprinidae</w:t>
              </w:r>
            </w:hyperlink>
          </w:p>
        </w:tc>
        <w:tc>
          <w:tcPr>
            <w:tcW w:w="2381" w:type="dxa"/>
            <w:tcBorders>
              <w:top w:val="single" w:sz="4" w:space="0" w:color="auto"/>
            </w:tcBorders>
            <w:shd w:val="clear" w:color="auto" w:fill="auto"/>
            <w:vAlign w:val="center"/>
          </w:tcPr>
          <w:p w14:paraId="2C642C7A" w14:textId="77777777" w:rsidR="00E65E42" w:rsidRPr="00BD2E1E" w:rsidRDefault="00E65E42" w:rsidP="00E65E42">
            <w:pPr>
              <w:pStyle w:val="Tabletext"/>
              <w:spacing w:before="0" w:after="0"/>
              <w:rPr>
                <w:i/>
                <w:iCs/>
                <w:color w:val="000000"/>
                <w:szCs w:val="18"/>
                <w:u w:val="double"/>
              </w:rPr>
            </w:pPr>
            <w:r w:rsidRPr="00BD2E1E">
              <w:rPr>
                <w:i/>
                <w:szCs w:val="18"/>
                <w:u w:val="double"/>
              </w:rPr>
              <w:t>Abramis brama</w:t>
            </w:r>
          </w:p>
        </w:tc>
        <w:tc>
          <w:tcPr>
            <w:tcW w:w="4535" w:type="dxa"/>
            <w:tcBorders>
              <w:top w:val="single" w:sz="4" w:space="0" w:color="auto"/>
            </w:tcBorders>
            <w:vAlign w:val="center"/>
          </w:tcPr>
          <w:p w14:paraId="1A0B019D" w14:textId="77777777" w:rsidR="00E65E42" w:rsidRPr="00BD2E1E" w:rsidRDefault="00E65E42" w:rsidP="00E65E42">
            <w:pPr>
              <w:pStyle w:val="Tabletext"/>
              <w:spacing w:before="0" w:after="0"/>
              <w:rPr>
                <w:color w:val="000000"/>
                <w:szCs w:val="18"/>
                <w:u w:val="double"/>
              </w:rPr>
            </w:pPr>
            <w:r w:rsidRPr="00BD2E1E">
              <w:rPr>
                <w:szCs w:val="18"/>
                <w:u w:val="double"/>
              </w:rPr>
              <w:t>Bream</w:t>
            </w:r>
          </w:p>
        </w:tc>
      </w:tr>
      <w:tr w:rsidR="00E65E42" w:rsidRPr="00BD2E1E" w14:paraId="4C79699B" w14:textId="77777777" w:rsidTr="00E65E42">
        <w:trPr>
          <w:jc w:val="center"/>
        </w:trPr>
        <w:tc>
          <w:tcPr>
            <w:tcW w:w="1503" w:type="dxa"/>
            <w:vMerge/>
            <w:vAlign w:val="center"/>
          </w:tcPr>
          <w:p w14:paraId="2C9EE7B9" w14:textId="77777777" w:rsidR="00E65E42" w:rsidRPr="00BD2E1E" w:rsidRDefault="00E65E42" w:rsidP="00E65E42">
            <w:pPr>
              <w:spacing w:after="0"/>
              <w:jc w:val="center"/>
              <w:rPr>
                <w:rFonts w:ascii="Arial" w:hAnsi="Arial" w:cs="Arial"/>
                <w:color w:val="000000"/>
                <w:sz w:val="18"/>
                <w:szCs w:val="18"/>
                <w:u w:val="double"/>
              </w:rPr>
            </w:pPr>
          </w:p>
        </w:tc>
        <w:tc>
          <w:tcPr>
            <w:tcW w:w="2381" w:type="dxa"/>
            <w:tcBorders>
              <w:top w:val="single" w:sz="4" w:space="0" w:color="auto"/>
            </w:tcBorders>
            <w:shd w:val="clear" w:color="auto" w:fill="auto"/>
            <w:vAlign w:val="center"/>
          </w:tcPr>
          <w:p w14:paraId="672C7D25" w14:textId="77777777" w:rsidR="00E65E42" w:rsidRPr="00BD2E1E" w:rsidRDefault="00E65E42" w:rsidP="00E65E42">
            <w:pPr>
              <w:pStyle w:val="Tabletext"/>
              <w:spacing w:before="0" w:after="0"/>
              <w:rPr>
                <w:i/>
                <w:szCs w:val="18"/>
                <w:u w:val="double"/>
              </w:rPr>
            </w:pPr>
            <w:r w:rsidRPr="00BD2E1E">
              <w:rPr>
                <w:i/>
                <w:szCs w:val="18"/>
                <w:u w:val="double"/>
              </w:rPr>
              <w:t>Aristichthys nobilis</w:t>
            </w:r>
          </w:p>
        </w:tc>
        <w:tc>
          <w:tcPr>
            <w:tcW w:w="4535" w:type="dxa"/>
            <w:tcBorders>
              <w:top w:val="single" w:sz="4" w:space="0" w:color="auto"/>
            </w:tcBorders>
            <w:vAlign w:val="center"/>
          </w:tcPr>
          <w:p w14:paraId="30C9E596" w14:textId="77777777" w:rsidR="00E65E42" w:rsidRPr="00BD2E1E" w:rsidRDefault="00E65E42" w:rsidP="00E65E42">
            <w:pPr>
              <w:pStyle w:val="Tabletext"/>
              <w:spacing w:before="0" w:after="0"/>
              <w:rPr>
                <w:szCs w:val="18"/>
                <w:u w:val="double"/>
              </w:rPr>
            </w:pPr>
            <w:r w:rsidRPr="00BD2E1E">
              <w:rPr>
                <w:szCs w:val="18"/>
                <w:u w:val="double"/>
              </w:rPr>
              <w:t>Bighead</w:t>
            </w:r>
            <w:r w:rsidRPr="00BD2E1E">
              <w:rPr>
                <w:spacing w:val="-13"/>
                <w:szCs w:val="18"/>
                <w:u w:val="double"/>
              </w:rPr>
              <w:t xml:space="preserve"> </w:t>
            </w:r>
            <w:r w:rsidRPr="00BD2E1E">
              <w:rPr>
                <w:szCs w:val="18"/>
                <w:u w:val="double"/>
              </w:rPr>
              <w:t>carp</w:t>
            </w:r>
          </w:p>
        </w:tc>
      </w:tr>
      <w:tr w:rsidR="00E65E42" w:rsidRPr="00BD2E1E" w14:paraId="2CD81591" w14:textId="77777777" w:rsidTr="00E65E42">
        <w:trPr>
          <w:jc w:val="center"/>
        </w:trPr>
        <w:tc>
          <w:tcPr>
            <w:tcW w:w="1503" w:type="dxa"/>
            <w:vMerge/>
            <w:vAlign w:val="center"/>
          </w:tcPr>
          <w:p w14:paraId="68D54F66" w14:textId="77777777" w:rsidR="00E65E42" w:rsidRPr="00BD2E1E" w:rsidRDefault="00E65E42" w:rsidP="00E65E42">
            <w:pPr>
              <w:spacing w:after="0"/>
              <w:jc w:val="center"/>
              <w:rPr>
                <w:rFonts w:ascii="Arial" w:hAnsi="Arial" w:cs="Arial"/>
                <w:color w:val="000000"/>
                <w:sz w:val="18"/>
                <w:szCs w:val="18"/>
                <w:u w:val="double"/>
              </w:rPr>
            </w:pPr>
          </w:p>
        </w:tc>
        <w:tc>
          <w:tcPr>
            <w:tcW w:w="2381" w:type="dxa"/>
            <w:tcBorders>
              <w:top w:val="single" w:sz="4" w:space="0" w:color="auto"/>
            </w:tcBorders>
            <w:shd w:val="clear" w:color="auto" w:fill="auto"/>
            <w:vAlign w:val="center"/>
          </w:tcPr>
          <w:p w14:paraId="5A53F211" w14:textId="77777777" w:rsidR="00E65E42" w:rsidRPr="00BD2E1E" w:rsidRDefault="00E65E42" w:rsidP="00E65E42">
            <w:pPr>
              <w:pStyle w:val="Tabletext"/>
              <w:spacing w:before="0" w:after="0"/>
              <w:rPr>
                <w:i/>
                <w:iCs/>
                <w:color w:val="000000"/>
                <w:szCs w:val="18"/>
                <w:u w:val="double"/>
              </w:rPr>
            </w:pPr>
            <w:r w:rsidRPr="00BD2E1E">
              <w:rPr>
                <w:i/>
                <w:szCs w:val="18"/>
                <w:u w:val="double"/>
              </w:rPr>
              <w:t>Carassius auratus</w:t>
            </w:r>
          </w:p>
        </w:tc>
        <w:tc>
          <w:tcPr>
            <w:tcW w:w="4535" w:type="dxa"/>
            <w:tcBorders>
              <w:top w:val="single" w:sz="4" w:space="0" w:color="auto"/>
            </w:tcBorders>
            <w:vAlign w:val="center"/>
          </w:tcPr>
          <w:p w14:paraId="617A533C" w14:textId="77777777" w:rsidR="00E65E42" w:rsidRPr="00BD2E1E" w:rsidRDefault="00E65E42" w:rsidP="00E65E42">
            <w:pPr>
              <w:pStyle w:val="Tabletext"/>
              <w:spacing w:before="0" w:after="0"/>
              <w:rPr>
                <w:color w:val="000000"/>
                <w:szCs w:val="18"/>
                <w:u w:val="double"/>
              </w:rPr>
            </w:pPr>
            <w:r w:rsidRPr="00BD2E1E">
              <w:rPr>
                <w:szCs w:val="18"/>
                <w:u w:val="double"/>
              </w:rPr>
              <w:t>Goldfish</w:t>
            </w:r>
          </w:p>
        </w:tc>
      </w:tr>
      <w:tr w:rsidR="00E65E42" w:rsidRPr="00BD2E1E" w14:paraId="7E4315A0" w14:textId="77777777" w:rsidTr="00E65E42">
        <w:trPr>
          <w:jc w:val="center"/>
        </w:trPr>
        <w:tc>
          <w:tcPr>
            <w:tcW w:w="1503" w:type="dxa"/>
            <w:vMerge/>
            <w:vAlign w:val="center"/>
          </w:tcPr>
          <w:p w14:paraId="78C01D4F" w14:textId="77777777" w:rsidR="00E65E42" w:rsidRPr="00BD2E1E" w:rsidRDefault="00E65E42" w:rsidP="00E65E42">
            <w:pPr>
              <w:spacing w:after="0"/>
              <w:jc w:val="center"/>
              <w:rPr>
                <w:rFonts w:ascii="Arial" w:hAnsi="Arial" w:cs="Arial"/>
                <w:color w:val="000000"/>
                <w:sz w:val="18"/>
                <w:szCs w:val="18"/>
                <w:u w:val="double"/>
              </w:rPr>
            </w:pPr>
          </w:p>
        </w:tc>
        <w:tc>
          <w:tcPr>
            <w:tcW w:w="2381" w:type="dxa"/>
            <w:tcBorders>
              <w:top w:val="single" w:sz="4" w:space="0" w:color="auto"/>
            </w:tcBorders>
            <w:shd w:val="clear" w:color="auto" w:fill="auto"/>
            <w:vAlign w:val="center"/>
          </w:tcPr>
          <w:p w14:paraId="7D316465" w14:textId="77777777" w:rsidR="00E65E42" w:rsidRPr="00BD2E1E" w:rsidRDefault="00E65E42" w:rsidP="00E65E42">
            <w:pPr>
              <w:pStyle w:val="Tabletext"/>
              <w:spacing w:before="0" w:after="0"/>
              <w:rPr>
                <w:i/>
                <w:iCs/>
                <w:color w:val="000000"/>
                <w:szCs w:val="18"/>
                <w:u w:val="double"/>
              </w:rPr>
            </w:pPr>
            <w:r w:rsidRPr="00BD2E1E">
              <w:rPr>
                <w:i/>
                <w:szCs w:val="18"/>
                <w:u w:val="double"/>
              </w:rPr>
              <w:t>Ctenopharyngodon idella</w:t>
            </w:r>
          </w:p>
        </w:tc>
        <w:tc>
          <w:tcPr>
            <w:tcW w:w="4535" w:type="dxa"/>
            <w:tcBorders>
              <w:top w:val="single" w:sz="4" w:space="0" w:color="auto"/>
            </w:tcBorders>
            <w:vAlign w:val="center"/>
          </w:tcPr>
          <w:p w14:paraId="6AE56AE7" w14:textId="77777777" w:rsidR="00E65E42" w:rsidRPr="00BD2E1E" w:rsidRDefault="00E65E42" w:rsidP="00E65E42">
            <w:pPr>
              <w:pStyle w:val="Tabletext"/>
              <w:spacing w:before="0" w:after="0"/>
              <w:rPr>
                <w:color w:val="000000"/>
                <w:szCs w:val="18"/>
                <w:u w:val="double"/>
              </w:rPr>
            </w:pPr>
            <w:r w:rsidRPr="00BD2E1E">
              <w:rPr>
                <w:szCs w:val="18"/>
                <w:u w:val="double"/>
              </w:rPr>
              <w:t>Grass carp</w:t>
            </w:r>
          </w:p>
        </w:tc>
      </w:tr>
      <w:tr w:rsidR="00E65E42" w:rsidRPr="00BD2E1E" w14:paraId="040DD351" w14:textId="77777777" w:rsidTr="00E65E42">
        <w:trPr>
          <w:jc w:val="center"/>
        </w:trPr>
        <w:tc>
          <w:tcPr>
            <w:tcW w:w="1503" w:type="dxa"/>
            <w:vMerge/>
            <w:vAlign w:val="center"/>
          </w:tcPr>
          <w:p w14:paraId="6EA1A91D" w14:textId="77777777" w:rsidR="00E65E42" w:rsidRPr="00BD2E1E" w:rsidRDefault="00E65E42" w:rsidP="00E65E42">
            <w:pPr>
              <w:spacing w:after="0"/>
              <w:jc w:val="center"/>
              <w:rPr>
                <w:rFonts w:ascii="Arial" w:hAnsi="Arial" w:cs="Arial"/>
                <w:color w:val="000000"/>
                <w:sz w:val="18"/>
                <w:szCs w:val="18"/>
                <w:u w:val="double"/>
              </w:rPr>
            </w:pPr>
          </w:p>
        </w:tc>
        <w:tc>
          <w:tcPr>
            <w:tcW w:w="2381" w:type="dxa"/>
            <w:tcBorders>
              <w:top w:val="single" w:sz="4" w:space="0" w:color="auto"/>
            </w:tcBorders>
            <w:shd w:val="clear" w:color="auto" w:fill="auto"/>
            <w:vAlign w:val="center"/>
          </w:tcPr>
          <w:p w14:paraId="4AE19F77" w14:textId="77777777" w:rsidR="00E65E42" w:rsidRPr="00BD2E1E" w:rsidRDefault="00E65E42" w:rsidP="00E65E42">
            <w:pPr>
              <w:pStyle w:val="Tabletext"/>
              <w:spacing w:before="0" w:after="0"/>
              <w:rPr>
                <w:i/>
                <w:iCs/>
                <w:color w:val="000000"/>
                <w:szCs w:val="18"/>
                <w:u w:val="double"/>
              </w:rPr>
            </w:pPr>
            <w:r w:rsidRPr="00BD2E1E">
              <w:rPr>
                <w:i/>
                <w:szCs w:val="18"/>
                <w:u w:val="double"/>
              </w:rPr>
              <w:t>Cyprinus</w:t>
            </w:r>
            <w:r w:rsidRPr="00BD2E1E">
              <w:rPr>
                <w:i/>
                <w:spacing w:val="-13"/>
                <w:szCs w:val="18"/>
                <w:u w:val="double"/>
              </w:rPr>
              <w:t xml:space="preserve"> </w:t>
            </w:r>
            <w:r w:rsidRPr="00BD2E1E">
              <w:rPr>
                <w:i/>
                <w:szCs w:val="18"/>
                <w:u w:val="double"/>
              </w:rPr>
              <w:t>carpio</w:t>
            </w:r>
          </w:p>
        </w:tc>
        <w:tc>
          <w:tcPr>
            <w:tcW w:w="4535" w:type="dxa"/>
            <w:tcBorders>
              <w:top w:val="single" w:sz="4" w:space="0" w:color="auto"/>
            </w:tcBorders>
            <w:vAlign w:val="center"/>
          </w:tcPr>
          <w:p w14:paraId="4CAF81A7" w14:textId="77777777" w:rsidR="00E65E42" w:rsidRPr="00BD2E1E" w:rsidRDefault="00E65E42" w:rsidP="00E65E42">
            <w:pPr>
              <w:pStyle w:val="Tabletext"/>
              <w:spacing w:before="0" w:after="0"/>
              <w:rPr>
                <w:color w:val="000000"/>
                <w:szCs w:val="18"/>
                <w:u w:val="double"/>
              </w:rPr>
            </w:pPr>
            <w:r w:rsidRPr="00BD2E1E">
              <w:rPr>
                <w:szCs w:val="18"/>
                <w:u w:val="double"/>
              </w:rPr>
              <w:t>Common</w:t>
            </w:r>
            <w:r w:rsidRPr="00BD2E1E">
              <w:rPr>
                <w:spacing w:val="-13"/>
                <w:szCs w:val="18"/>
                <w:u w:val="double"/>
              </w:rPr>
              <w:t xml:space="preserve"> </w:t>
            </w:r>
            <w:r w:rsidRPr="00BD2E1E">
              <w:rPr>
                <w:szCs w:val="18"/>
                <w:u w:val="double"/>
              </w:rPr>
              <w:t>carp (all</w:t>
            </w:r>
            <w:r w:rsidRPr="00BD2E1E">
              <w:rPr>
                <w:spacing w:val="-13"/>
                <w:szCs w:val="18"/>
                <w:u w:val="double"/>
              </w:rPr>
              <w:t xml:space="preserve"> </w:t>
            </w:r>
            <w:r w:rsidRPr="00BD2E1E">
              <w:rPr>
                <w:szCs w:val="18"/>
                <w:u w:val="double"/>
              </w:rPr>
              <w:t>varieties</w:t>
            </w:r>
            <w:r w:rsidRPr="00BD2E1E">
              <w:rPr>
                <w:spacing w:val="-13"/>
                <w:szCs w:val="18"/>
                <w:u w:val="double"/>
              </w:rPr>
              <w:t xml:space="preserve"> </w:t>
            </w:r>
            <w:r w:rsidRPr="00BD2E1E">
              <w:rPr>
                <w:szCs w:val="18"/>
                <w:u w:val="double"/>
              </w:rPr>
              <w:t>and</w:t>
            </w:r>
            <w:r w:rsidRPr="00BD2E1E">
              <w:rPr>
                <w:spacing w:val="-13"/>
                <w:szCs w:val="18"/>
                <w:u w:val="double"/>
              </w:rPr>
              <w:t xml:space="preserve"> </w:t>
            </w:r>
            <w:r w:rsidRPr="00BD2E1E">
              <w:rPr>
                <w:szCs w:val="18"/>
                <w:u w:val="double"/>
              </w:rPr>
              <w:t>subspecies</w:t>
            </w:r>
            <w:r w:rsidRPr="00BD2E1E">
              <w:rPr>
                <w:spacing w:val="-13"/>
                <w:szCs w:val="18"/>
                <w:u w:val="double"/>
              </w:rPr>
              <w:t xml:space="preserve">) </w:t>
            </w:r>
          </w:p>
        </w:tc>
      </w:tr>
      <w:tr w:rsidR="00E65E42" w:rsidRPr="00BD2E1E" w14:paraId="20E02449" w14:textId="77777777" w:rsidTr="00E65E42">
        <w:trPr>
          <w:jc w:val="center"/>
        </w:trPr>
        <w:tc>
          <w:tcPr>
            <w:tcW w:w="1503" w:type="dxa"/>
            <w:vMerge/>
            <w:vAlign w:val="center"/>
          </w:tcPr>
          <w:p w14:paraId="21707044" w14:textId="77777777" w:rsidR="00E65E42" w:rsidRPr="00BD2E1E" w:rsidRDefault="00E65E42" w:rsidP="00E65E42">
            <w:pPr>
              <w:spacing w:after="0"/>
              <w:jc w:val="center"/>
              <w:rPr>
                <w:rFonts w:ascii="Arial" w:hAnsi="Arial" w:cs="Arial"/>
                <w:color w:val="000000"/>
                <w:sz w:val="18"/>
                <w:szCs w:val="18"/>
                <w:u w:val="double"/>
              </w:rPr>
            </w:pPr>
          </w:p>
        </w:tc>
        <w:tc>
          <w:tcPr>
            <w:tcW w:w="2381" w:type="dxa"/>
            <w:tcBorders>
              <w:top w:val="single" w:sz="4" w:space="0" w:color="auto"/>
            </w:tcBorders>
            <w:shd w:val="clear" w:color="auto" w:fill="auto"/>
            <w:vAlign w:val="center"/>
          </w:tcPr>
          <w:p w14:paraId="718FB020" w14:textId="77777777" w:rsidR="00E65E42" w:rsidRPr="00BD2E1E" w:rsidRDefault="00E65E42" w:rsidP="00E65E42">
            <w:pPr>
              <w:pStyle w:val="Tabletext"/>
              <w:spacing w:before="0" w:after="0"/>
              <w:rPr>
                <w:i/>
                <w:iCs/>
                <w:color w:val="000000"/>
                <w:szCs w:val="18"/>
                <w:u w:val="double"/>
              </w:rPr>
            </w:pPr>
            <w:r w:rsidRPr="00BD2E1E">
              <w:rPr>
                <w:i/>
                <w:szCs w:val="18"/>
                <w:u w:val="double"/>
              </w:rPr>
              <w:t>Danio rerio</w:t>
            </w:r>
          </w:p>
        </w:tc>
        <w:tc>
          <w:tcPr>
            <w:tcW w:w="4535" w:type="dxa"/>
            <w:tcBorders>
              <w:top w:val="single" w:sz="4" w:space="0" w:color="auto"/>
            </w:tcBorders>
            <w:vAlign w:val="center"/>
          </w:tcPr>
          <w:p w14:paraId="3064AA25" w14:textId="77777777" w:rsidR="00E65E42" w:rsidRPr="00BD2E1E" w:rsidRDefault="00E65E42" w:rsidP="00E65E42">
            <w:pPr>
              <w:pStyle w:val="Tabletext"/>
              <w:spacing w:before="0" w:after="0"/>
              <w:rPr>
                <w:color w:val="000000"/>
                <w:szCs w:val="18"/>
                <w:u w:val="double"/>
              </w:rPr>
            </w:pPr>
            <w:r w:rsidRPr="00BD2E1E">
              <w:rPr>
                <w:iCs/>
                <w:szCs w:val="18"/>
                <w:u w:val="double"/>
              </w:rPr>
              <w:t>Zebrafish</w:t>
            </w:r>
          </w:p>
        </w:tc>
      </w:tr>
      <w:tr w:rsidR="00E65E42" w:rsidRPr="00BD2E1E" w14:paraId="6B00B1B8" w14:textId="77777777" w:rsidTr="00E65E42">
        <w:trPr>
          <w:jc w:val="center"/>
        </w:trPr>
        <w:tc>
          <w:tcPr>
            <w:tcW w:w="1503" w:type="dxa"/>
            <w:vMerge/>
            <w:vAlign w:val="center"/>
          </w:tcPr>
          <w:p w14:paraId="51DCCC00" w14:textId="77777777" w:rsidR="00E65E42" w:rsidRPr="00BD2E1E" w:rsidRDefault="00E65E42" w:rsidP="00E65E42">
            <w:pPr>
              <w:spacing w:after="0"/>
              <w:jc w:val="center"/>
              <w:rPr>
                <w:rFonts w:ascii="Arial" w:hAnsi="Arial" w:cs="Arial"/>
                <w:color w:val="000000"/>
                <w:sz w:val="18"/>
                <w:szCs w:val="18"/>
                <w:u w:val="double"/>
              </w:rPr>
            </w:pPr>
          </w:p>
        </w:tc>
        <w:tc>
          <w:tcPr>
            <w:tcW w:w="2381" w:type="dxa"/>
            <w:tcBorders>
              <w:top w:val="single" w:sz="4" w:space="0" w:color="auto"/>
            </w:tcBorders>
            <w:shd w:val="clear" w:color="auto" w:fill="auto"/>
            <w:vAlign w:val="center"/>
          </w:tcPr>
          <w:p w14:paraId="1E8B00C8" w14:textId="77777777" w:rsidR="00E65E42" w:rsidRPr="00BD2E1E" w:rsidRDefault="00E65E42" w:rsidP="00E65E42">
            <w:pPr>
              <w:pStyle w:val="Tabletext"/>
              <w:spacing w:before="0" w:after="0"/>
              <w:rPr>
                <w:i/>
                <w:iCs/>
                <w:color w:val="000000"/>
                <w:szCs w:val="18"/>
                <w:u w:val="double"/>
              </w:rPr>
            </w:pPr>
            <w:r w:rsidRPr="00BD2E1E">
              <w:rPr>
                <w:i/>
                <w:szCs w:val="18"/>
                <w:u w:val="double"/>
              </w:rPr>
              <w:t>Notemigonus crysoleucas</w:t>
            </w:r>
          </w:p>
        </w:tc>
        <w:tc>
          <w:tcPr>
            <w:tcW w:w="4535" w:type="dxa"/>
            <w:tcBorders>
              <w:top w:val="single" w:sz="4" w:space="0" w:color="auto"/>
            </w:tcBorders>
            <w:vAlign w:val="center"/>
          </w:tcPr>
          <w:p w14:paraId="55A9B7E5" w14:textId="77777777" w:rsidR="00E65E42" w:rsidRPr="00BD2E1E" w:rsidRDefault="00E65E42" w:rsidP="00E65E42">
            <w:pPr>
              <w:pStyle w:val="Tabletext"/>
              <w:spacing w:before="0" w:after="0"/>
              <w:rPr>
                <w:color w:val="000000"/>
                <w:szCs w:val="18"/>
                <w:u w:val="double"/>
              </w:rPr>
            </w:pPr>
            <w:r w:rsidRPr="00BD2E1E">
              <w:rPr>
                <w:szCs w:val="18"/>
                <w:u w:val="double"/>
              </w:rPr>
              <w:t>Golden shiner</w:t>
            </w:r>
          </w:p>
        </w:tc>
      </w:tr>
      <w:tr w:rsidR="00E65E42" w:rsidRPr="00BD2E1E" w14:paraId="2A392493" w14:textId="77777777" w:rsidTr="00E65E42">
        <w:trPr>
          <w:jc w:val="center"/>
        </w:trPr>
        <w:tc>
          <w:tcPr>
            <w:tcW w:w="1503" w:type="dxa"/>
            <w:vMerge/>
            <w:vAlign w:val="center"/>
          </w:tcPr>
          <w:p w14:paraId="14AEBE68" w14:textId="77777777" w:rsidR="00E65E42" w:rsidRPr="00BD2E1E" w:rsidRDefault="00E65E42" w:rsidP="00E65E42">
            <w:pPr>
              <w:spacing w:after="0"/>
              <w:jc w:val="center"/>
              <w:rPr>
                <w:rFonts w:ascii="Arial" w:hAnsi="Arial" w:cs="Arial"/>
                <w:color w:val="000000"/>
                <w:sz w:val="18"/>
                <w:szCs w:val="18"/>
                <w:u w:val="double"/>
              </w:rPr>
            </w:pPr>
          </w:p>
        </w:tc>
        <w:tc>
          <w:tcPr>
            <w:tcW w:w="2381" w:type="dxa"/>
            <w:tcBorders>
              <w:top w:val="single" w:sz="4" w:space="0" w:color="auto"/>
            </w:tcBorders>
            <w:shd w:val="clear" w:color="auto" w:fill="auto"/>
            <w:vAlign w:val="center"/>
          </w:tcPr>
          <w:p w14:paraId="0ECB5840" w14:textId="77777777" w:rsidR="00E65E42" w:rsidRPr="00BD2E1E" w:rsidRDefault="00E65E42" w:rsidP="00E65E42">
            <w:pPr>
              <w:pStyle w:val="Tabletext"/>
              <w:spacing w:before="0" w:after="0"/>
              <w:rPr>
                <w:i/>
                <w:iCs/>
                <w:color w:val="000000"/>
                <w:szCs w:val="18"/>
                <w:u w:val="double"/>
              </w:rPr>
            </w:pPr>
            <w:r w:rsidRPr="00BD2E1E">
              <w:rPr>
                <w:i/>
                <w:szCs w:val="18"/>
                <w:u w:val="double"/>
              </w:rPr>
              <w:t>Pimephales promelas</w:t>
            </w:r>
          </w:p>
        </w:tc>
        <w:tc>
          <w:tcPr>
            <w:tcW w:w="4535" w:type="dxa"/>
            <w:tcBorders>
              <w:top w:val="single" w:sz="4" w:space="0" w:color="auto"/>
            </w:tcBorders>
            <w:vAlign w:val="center"/>
          </w:tcPr>
          <w:p w14:paraId="2A055922" w14:textId="77777777" w:rsidR="00E65E42" w:rsidRPr="00BD2E1E" w:rsidRDefault="00E65E42" w:rsidP="00E65E42">
            <w:pPr>
              <w:pStyle w:val="Tabletext"/>
              <w:spacing w:before="0" w:after="0"/>
              <w:rPr>
                <w:color w:val="000000"/>
                <w:szCs w:val="18"/>
                <w:u w:val="double"/>
              </w:rPr>
            </w:pPr>
            <w:r w:rsidRPr="00BD2E1E">
              <w:rPr>
                <w:szCs w:val="18"/>
                <w:u w:val="double"/>
              </w:rPr>
              <w:t>Fathead minnow</w:t>
            </w:r>
          </w:p>
        </w:tc>
      </w:tr>
      <w:tr w:rsidR="00E65E42" w:rsidRPr="00BD2E1E" w14:paraId="451A5819" w14:textId="77777777" w:rsidTr="00E65E42">
        <w:trPr>
          <w:jc w:val="center"/>
        </w:trPr>
        <w:tc>
          <w:tcPr>
            <w:tcW w:w="1503" w:type="dxa"/>
            <w:vMerge/>
            <w:vAlign w:val="center"/>
          </w:tcPr>
          <w:p w14:paraId="6D3CF038" w14:textId="77777777" w:rsidR="00E65E42" w:rsidRPr="00BD2E1E" w:rsidRDefault="00E65E42" w:rsidP="00E65E42">
            <w:pPr>
              <w:spacing w:after="0"/>
              <w:jc w:val="center"/>
              <w:rPr>
                <w:rFonts w:ascii="Arial" w:hAnsi="Arial" w:cs="Arial"/>
                <w:sz w:val="18"/>
                <w:szCs w:val="18"/>
                <w:u w:val="double"/>
              </w:rPr>
            </w:pPr>
          </w:p>
        </w:tc>
        <w:tc>
          <w:tcPr>
            <w:tcW w:w="2381" w:type="dxa"/>
            <w:tcBorders>
              <w:top w:val="single" w:sz="4" w:space="0" w:color="auto"/>
            </w:tcBorders>
            <w:shd w:val="clear" w:color="auto" w:fill="auto"/>
            <w:vAlign w:val="center"/>
          </w:tcPr>
          <w:p w14:paraId="55D885DC" w14:textId="77777777" w:rsidR="00E65E42" w:rsidRPr="00BD2E1E" w:rsidRDefault="00E65E42" w:rsidP="00E65E42">
            <w:pPr>
              <w:pStyle w:val="Tabletext"/>
              <w:spacing w:before="0" w:after="0"/>
              <w:rPr>
                <w:i/>
                <w:szCs w:val="18"/>
                <w:u w:val="double"/>
                <w:lang w:val="en-GB"/>
              </w:rPr>
            </w:pPr>
            <w:r w:rsidRPr="00BD2E1E">
              <w:rPr>
                <w:i/>
                <w:szCs w:val="18"/>
                <w:u w:val="double"/>
              </w:rPr>
              <w:t>Rutilus kutum</w:t>
            </w:r>
          </w:p>
        </w:tc>
        <w:tc>
          <w:tcPr>
            <w:tcW w:w="4535" w:type="dxa"/>
            <w:tcBorders>
              <w:top w:val="single" w:sz="4" w:space="0" w:color="auto"/>
            </w:tcBorders>
            <w:vAlign w:val="center"/>
          </w:tcPr>
          <w:p w14:paraId="6E9429F4" w14:textId="77777777" w:rsidR="00E65E42" w:rsidRPr="00BD2E1E" w:rsidRDefault="00E65E42" w:rsidP="00E65E42">
            <w:pPr>
              <w:pStyle w:val="Tabletext"/>
              <w:spacing w:before="0" w:after="0"/>
              <w:rPr>
                <w:iCs/>
                <w:szCs w:val="18"/>
                <w:u w:val="double"/>
                <w:lang w:val="en-GB"/>
              </w:rPr>
            </w:pPr>
            <w:r w:rsidRPr="00BD2E1E">
              <w:rPr>
                <w:szCs w:val="18"/>
                <w:u w:val="double"/>
              </w:rPr>
              <w:t>Caspian white fish</w:t>
            </w:r>
          </w:p>
        </w:tc>
      </w:tr>
      <w:tr w:rsidR="00E65E42" w:rsidRPr="00BD2E1E" w14:paraId="56830EF4" w14:textId="77777777" w:rsidTr="00E65E42">
        <w:trPr>
          <w:jc w:val="center"/>
        </w:trPr>
        <w:tc>
          <w:tcPr>
            <w:tcW w:w="1503" w:type="dxa"/>
            <w:vMerge/>
            <w:vAlign w:val="center"/>
          </w:tcPr>
          <w:p w14:paraId="1EB284A3" w14:textId="77777777" w:rsidR="00E65E42" w:rsidRPr="00BD2E1E" w:rsidRDefault="00E65E42" w:rsidP="00E65E42">
            <w:pPr>
              <w:spacing w:after="0"/>
              <w:jc w:val="center"/>
              <w:rPr>
                <w:rFonts w:ascii="Arial" w:hAnsi="Arial" w:cs="Arial"/>
                <w:sz w:val="18"/>
                <w:szCs w:val="18"/>
                <w:u w:val="double"/>
              </w:rPr>
            </w:pPr>
          </w:p>
        </w:tc>
        <w:tc>
          <w:tcPr>
            <w:tcW w:w="2381" w:type="dxa"/>
            <w:tcBorders>
              <w:top w:val="single" w:sz="4" w:space="0" w:color="auto"/>
            </w:tcBorders>
            <w:shd w:val="clear" w:color="auto" w:fill="auto"/>
            <w:vAlign w:val="center"/>
          </w:tcPr>
          <w:p w14:paraId="4197149E" w14:textId="77777777" w:rsidR="00E65E42" w:rsidRPr="00BD2E1E" w:rsidRDefault="00E65E42" w:rsidP="00E65E42">
            <w:pPr>
              <w:pStyle w:val="Tabletext"/>
              <w:spacing w:before="0" w:after="0"/>
              <w:rPr>
                <w:i/>
                <w:szCs w:val="18"/>
                <w:u w:val="double"/>
                <w:lang w:val="en-GB"/>
              </w:rPr>
            </w:pPr>
            <w:r w:rsidRPr="00BD2E1E">
              <w:rPr>
                <w:i/>
                <w:szCs w:val="18"/>
                <w:u w:val="double"/>
              </w:rPr>
              <w:t>Rutilus rutilus</w:t>
            </w:r>
          </w:p>
        </w:tc>
        <w:tc>
          <w:tcPr>
            <w:tcW w:w="4535" w:type="dxa"/>
            <w:tcBorders>
              <w:top w:val="single" w:sz="4" w:space="0" w:color="auto"/>
            </w:tcBorders>
            <w:vAlign w:val="center"/>
          </w:tcPr>
          <w:p w14:paraId="5BFEBC1A" w14:textId="77777777" w:rsidR="00E65E42" w:rsidRPr="00BD2E1E" w:rsidRDefault="00E65E42" w:rsidP="00E65E42">
            <w:pPr>
              <w:pStyle w:val="Tabletext"/>
              <w:spacing w:before="0" w:after="0"/>
              <w:rPr>
                <w:iCs/>
                <w:szCs w:val="18"/>
                <w:u w:val="double"/>
                <w:lang w:val="en-GB"/>
              </w:rPr>
            </w:pPr>
            <w:r w:rsidRPr="00BD2E1E">
              <w:rPr>
                <w:szCs w:val="18"/>
                <w:u w:val="double"/>
              </w:rPr>
              <w:t>Roach</w:t>
            </w:r>
          </w:p>
        </w:tc>
      </w:tr>
      <w:tr w:rsidR="00E65E42" w:rsidRPr="00BD2E1E" w14:paraId="2549DD32" w14:textId="77777777" w:rsidTr="00E65E42">
        <w:trPr>
          <w:jc w:val="center"/>
        </w:trPr>
        <w:tc>
          <w:tcPr>
            <w:tcW w:w="1503" w:type="dxa"/>
            <w:vAlign w:val="center"/>
          </w:tcPr>
          <w:p w14:paraId="7CE19ADA" w14:textId="77777777" w:rsidR="00E65E42" w:rsidRPr="00BD2E1E" w:rsidRDefault="00831075" w:rsidP="00E65E42">
            <w:pPr>
              <w:pStyle w:val="Tabletext"/>
              <w:spacing w:before="0" w:after="0"/>
              <w:rPr>
                <w:szCs w:val="18"/>
                <w:u w:val="double"/>
                <w:lang w:val="en-GB"/>
              </w:rPr>
            </w:pPr>
            <w:hyperlink r:id="rId150" w:history="1">
              <w:r w:rsidR="00E65E42" w:rsidRPr="00BD2E1E">
                <w:rPr>
                  <w:szCs w:val="18"/>
                  <w:u w:val="double"/>
                </w:rPr>
                <w:t>Siluridae</w:t>
              </w:r>
            </w:hyperlink>
          </w:p>
        </w:tc>
        <w:tc>
          <w:tcPr>
            <w:tcW w:w="2381" w:type="dxa"/>
            <w:tcBorders>
              <w:top w:val="single" w:sz="4" w:space="0" w:color="auto"/>
            </w:tcBorders>
            <w:shd w:val="clear" w:color="auto" w:fill="auto"/>
            <w:vAlign w:val="center"/>
          </w:tcPr>
          <w:p w14:paraId="75FE92D4" w14:textId="77777777" w:rsidR="00E65E42" w:rsidRPr="00BD2E1E" w:rsidRDefault="00E65E42" w:rsidP="00E65E42">
            <w:pPr>
              <w:pStyle w:val="Tabletext"/>
              <w:spacing w:before="0" w:after="0"/>
              <w:rPr>
                <w:i/>
                <w:szCs w:val="18"/>
                <w:u w:val="double"/>
                <w:lang w:val="en-GB"/>
              </w:rPr>
            </w:pPr>
            <w:r w:rsidRPr="00BD2E1E">
              <w:rPr>
                <w:i/>
                <w:szCs w:val="18"/>
                <w:u w:val="double"/>
              </w:rPr>
              <w:t>Silurus</w:t>
            </w:r>
            <w:r w:rsidRPr="00BD2E1E">
              <w:rPr>
                <w:i/>
                <w:spacing w:val="-7"/>
                <w:szCs w:val="18"/>
                <w:u w:val="double"/>
              </w:rPr>
              <w:t xml:space="preserve"> </w:t>
            </w:r>
            <w:r w:rsidRPr="00BD2E1E">
              <w:rPr>
                <w:i/>
                <w:szCs w:val="18"/>
                <w:u w:val="double"/>
              </w:rPr>
              <w:t>glanis</w:t>
            </w:r>
          </w:p>
        </w:tc>
        <w:tc>
          <w:tcPr>
            <w:tcW w:w="4535" w:type="dxa"/>
            <w:tcBorders>
              <w:top w:val="single" w:sz="4" w:space="0" w:color="auto"/>
            </w:tcBorders>
            <w:vAlign w:val="center"/>
          </w:tcPr>
          <w:p w14:paraId="4253D61D" w14:textId="77777777" w:rsidR="00E65E42" w:rsidRPr="00E777B4" w:rsidRDefault="00E65E42" w:rsidP="00E65E42">
            <w:pPr>
              <w:pStyle w:val="Tabletext"/>
              <w:spacing w:before="0" w:after="0"/>
              <w:rPr>
                <w:iCs/>
                <w:strike/>
                <w:szCs w:val="18"/>
                <w:highlight w:val="yellow"/>
                <w:u w:val="double"/>
                <w:lang w:val="en-GB"/>
              </w:rPr>
            </w:pPr>
            <w:r w:rsidRPr="00E777B4">
              <w:rPr>
                <w:strike/>
                <w:szCs w:val="18"/>
                <w:highlight w:val="yellow"/>
                <w:u w:val="double"/>
              </w:rPr>
              <w:t xml:space="preserve">Sheatfish (also known as European or wels catfish) </w:t>
            </w:r>
            <w:r w:rsidRPr="00E777B4">
              <w:rPr>
                <w:szCs w:val="18"/>
                <w:highlight w:val="yellow"/>
                <w:u w:val="double"/>
              </w:rPr>
              <w:t>Wels catfish</w:t>
            </w:r>
          </w:p>
        </w:tc>
      </w:tr>
    </w:tbl>
    <w:bookmarkEnd w:id="103"/>
    <w:p w14:paraId="1DB785A8" w14:textId="77777777" w:rsidR="00E65E42" w:rsidRPr="000151EA" w:rsidRDefault="00E65E42" w:rsidP="00A175F0">
      <w:pPr>
        <w:spacing w:before="240" w:after="240" w:line="240" w:lineRule="auto"/>
        <w:ind w:left="709"/>
        <w:jc w:val="both"/>
        <w:rPr>
          <w:rFonts w:ascii="Ottawa" w:hAnsi="Ottawa" w:cs="Arial"/>
          <w:b/>
          <w:bCs/>
          <w:szCs w:val="20"/>
          <w:lang w:val="en-IE" w:eastAsia="fr-FR"/>
        </w:rPr>
      </w:pPr>
      <w:r w:rsidRPr="000151EA">
        <w:rPr>
          <w:rFonts w:ascii="Ottawa" w:hAnsi="Ottawa" w:cs="Arial"/>
          <w:b/>
          <w:bCs/>
          <w:szCs w:val="20"/>
          <w:lang w:val="en-IE" w:eastAsia="fr-FR"/>
        </w:rPr>
        <w:t>2.2.2.</w:t>
      </w:r>
      <w:r w:rsidRPr="000151EA">
        <w:rPr>
          <w:rFonts w:ascii="Ottawa" w:hAnsi="Ottawa" w:cs="Arial"/>
          <w:b/>
          <w:bCs/>
          <w:szCs w:val="20"/>
          <w:lang w:val="en-IE" w:eastAsia="fr-FR"/>
        </w:rPr>
        <w:tab/>
      </w:r>
      <w:bookmarkStart w:id="104" w:name="_Hlk20819241"/>
      <w:r w:rsidRPr="000151EA">
        <w:rPr>
          <w:rFonts w:ascii="Ottawa" w:hAnsi="Ottawa" w:cs="Arial"/>
          <w:b/>
          <w:bCs/>
          <w:szCs w:val="20"/>
          <w:lang w:val="en-IE" w:eastAsia="fr-FR"/>
        </w:rPr>
        <w:t>Species with incomplete evidence for susceptibility</w:t>
      </w:r>
      <w:bookmarkEnd w:id="104"/>
    </w:p>
    <w:p w14:paraId="248F443E" w14:textId="77777777" w:rsidR="00E65E42" w:rsidRDefault="00E65E42" w:rsidP="00A175F0">
      <w:pPr>
        <w:spacing w:after="240" w:line="240" w:lineRule="auto"/>
        <w:ind w:left="709"/>
        <w:jc w:val="both"/>
        <w:rPr>
          <w:rFonts w:ascii="Arial" w:hAnsi="Arial" w:cs="Arial"/>
          <w:bCs/>
          <w:sz w:val="18"/>
          <w:szCs w:val="18"/>
        </w:rPr>
      </w:pPr>
      <w:r w:rsidRPr="00BD2E1E">
        <w:rPr>
          <w:rFonts w:ascii="Arial" w:hAnsi="Arial" w:cs="Arial"/>
          <w:bCs/>
          <w:iCs/>
          <w:sz w:val="18"/>
          <w:szCs w:val="18"/>
        </w:rPr>
        <w:t>Species for which there is incomplete evidence for susceptibility</w:t>
      </w:r>
      <w:r w:rsidRPr="00BD2E1E">
        <w:rPr>
          <w:rFonts w:ascii="Arial" w:hAnsi="Arial" w:cs="Arial"/>
          <w:bCs/>
          <w:sz w:val="18"/>
          <w:szCs w:val="18"/>
        </w:rPr>
        <w:t xml:space="preserve"> according to Chapter 1.5. of the </w:t>
      </w:r>
      <w:r w:rsidRPr="00BD2E1E">
        <w:rPr>
          <w:rFonts w:ascii="Arial" w:hAnsi="Arial" w:cs="Arial"/>
          <w:bCs/>
          <w:i/>
          <w:iCs/>
          <w:sz w:val="18"/>
          <w:szCs w:val="18"/>
        </w:rPr>
        <w:t>Aquatic Code</w:t>
      </w:r>
      <w:r w:rsidRPr="00BD2E1E">
        <w:rPr>
          <w:rFonts w:ascii="Arial" w:hAnsi="Arial" w:cs="Arial"/>
          <w:bCs/>
          <w:iCs/>
          <w:sz w:val="18"/>
          <w:szCs w:val="18"/>
        </w:rPr>
        <w:t xml:space="preserve"> are: </w:t>
      </w:r>
      <w:r w:rsidRPr="00F922E1">
        <w:rPr>
          <w:rFonts w:ascii="Arial" w:eastAsia="Calibri" w:hAnsi="Arial" w:cs="Arial"/>
          <w:bCs/>
          <w:sz w:val="18"/>
          <w:szCs w:val="18"/>
        </w:rPr>
        <w:t>Crucian carp</w:t>
      </w:r>
      <w:r w:rsidRPr="00F922E1">
        <w:rPr>
          <w:rFonts w:ascii="Arial" w:eastAsia="Calibri" w:hAnsi="Arial" w:cs="Arial"/>
          <w:bCs/>
          <w:i/>
          <w:sz w:val="18"/>
          <w:szCs w:val="18"/>
        </w:rPr>
        <w:t xml:space="preserve"> </w:t>
      </w:r>
      <w:r w:rsidRPr="00F922E1">
        <w:rPr>
          <w:rFonts w:ascii="Arial" w:eastAsia="Calibri" w:hAnsi="Arial" w:cs="Arial"/>
          <w:bCs/>
          <w:sz w:val="18"/>
          <w:szCs w:val="18"/>
        </w:rPr>
        <w:t>(</w:t>
      </w:r>
      <w:r w:rsidRPr="00F922E1">
        <w:rPr>
          <w:rFonts w:ascii="Arial" w:eastAsia="Calibri" w:hAnsi="Arial" w:cs="Arial"/>
          <w:bCs/>
          <w:i/>
          <w:sz w:val="18"/>
          <w:szCs w:val="18"/>
        </w:rPr>
        <w:t>Carassius carassius</w:t>
      </w:r>
      <w:r w:rsidRPr="00F922E1">
        <w:rPr>
          <w:rFonts w:ascii="Arial" w:eastAsia="Calibri" w:hAnsi="Arial" w:cs="Arial"/>
          <w:bCs/>
          <w:sz w:val="18"/>
          <w:szCs w:val="18"/>
        </w:rPr>
        <w:t>), pike</w:t>
      </w:r>
      <w:r w:rsidRPr="00F922E1">
        <w:rPr>
          <w:rFonts w:ascii="Arial" w:eastAsia="Calibri" w:hAnsi="Arial" w:cs="Arial"/>
          <w:bCs/>
          <w:i/>
          <w:sz w:val="18"/>
          <w:szCs w:val="18"/>
        </w:rPr>
        <w:t xml:space="preserve"> </w:t>
      </w:r>
      <w:r w:rsidRPr="00F922E1">
        <w:rPr>
          <w:rFonts w:ascii="Arial" w:eastAsia="Calibri" w:hAnsi="Arial" w:cs="Arial"/>
          <w:bCs/>
          <w:sz w:val="18"/>
          <w:szCs w:val="18"/>
        </w:rPr>
        <w:t>(</w:t>
      </w:r>
      <w:r w:rsidRPr="00F922E1">
        <w:rPr>
          <w:rFonts w:ascii="Arial" w:eastAsia="Calibri" w:hAnsi="Arial" w:cs="Arial"/>
          <w:bCs/>
          <w:i/>
          <w:sz w:val="18"/>
          <w:szCs w:val="18"/>
        </w:rPr>
        <w:t>Esox lucius</w:t>
      </w:r>
      <w:r w:rsidRPr="00F922E1">
        <w:rPr>
          <w:rFonts w:ascii="Arial" w:eastAsia="Calibri" w:hAnsi="Arial" w:cs="Arial"/>
          <w:bCs/>
          <w:sz w:val="18"/>
          <w:szCs w:val="18"/>
        </w:rPr>
        <w:t xml:space="preserve">), </w:t>
      </w:r>
      <w:r w:rsidRPr="00F922E1">
        <w:rPr>
          <w:rFonts w:ascii="Arial" w:eastAsia="Calibri" w:hAnsi="Arial" w:cs="Arial"/>
          <w:bCs/>
          <w:sz w:val="18"/>
          <w:szCs w:val="18"/>
          <w:shd w:val="clear" w:color="auto" w:fill="FFFFFF"/>
        </w:rPr>
        <w:t>firebelly newt</w:t>
      </w:r>
      <w:r w:rsidRPr="00F922E1">
        <w:rPr>
          <w:rFonts w:ascii="Arial" w:eastAsia="Calibri" w:hAnsi="Arial" w:cs="Arial"/>
          <w:bCs/>
          <w:i/>
          <w:sz w:val="18"/>
          <w:szCs w:val="18"/>
          <w:shd w:val="clear" w:color="auto" w:fill="FFFFFF"/>
        </w:rPr>
        <w:t xml:space="preserve"> </w:t>
      </w:r>
      <w:r w:rsidRPr="00F922E1">
        <w:rPr>
          <w:rFonts w:ascii="Arial" w:eastAsia="Calibri" w:hAnsi="Arial" w:cs="Arial"/>
          <w:bCs/>
          <w:sz w:val="18"/>
          <w:szCs w:val="18"/>
          <w:shd w:val="clear" w:color="auto" w:fill="FFFFFF"/>
        </w:rPr>
        <w:t>(</w:t>
      </w:r>
      <w:r w:rsidRPr="00F922E1">
        <w:rPr>
          <w:rFonts w:ascii="Arial" w:eastAsia="Calibri" w:hAnsi="Arial" w:cs="Arial"/>
          <w:bCs/>
          <w:i/>
          <w:sz w:val="18"/>
          <w:szCs w:val="18"/>
          <w:shd w:val="clear" w:color="auto" w:fill="FFFFFF"/>
        </w:rPr>
        <w:t>Cynops orientalis</w:t>
      </w:r>
      <w:r w:rsidRPr="00F922E1">
        <w:rPr>
          <w:rFonts w:ascii="Arial" w:eastAsia="Calibri" w:hAnsi="Arial" w:cs="Arial"/>
          <w:bCs/>
          <w:sz w:val="18"/>
          <w:szCs w:val="18"/>
          <w:shd w:val="clear" w:color="auto" w:fill="FFFFFF"/>
        </w:rPr>
        <w:t>),</w:t>
      </w:r>
      <w:r w:rsidRPr="00F922E1">
        <w:rPr>
          <w:rFonts w:ascii="Arial" w:eastAsia="Calibri" w:hAnsi="Arial" w:cs="Arial"/>
          <w:bCs/>
          <w:i/>
          <w:iCs/>
          <w:sz w:val="18"/>
          <w:szCs w:val="18"/>
        </w:rPr>
        <w:t xml:space="preserve"> </w:t>
      </w:r>
      <w:r w:rsidRPr="00F922E1">
        <w:rPr>
          <w:rFonts w:ascii="Arial" w:eastAsia="Calibri" w:hAnsi="Arial" w:cs="Arial"/>
          <w:bCs/>
          <w:sz w:val="18"/>
          <w:szCs w:val="18"/>
          <w:lang w:val="en-US"/>
        </w:rPr>
        <w:t>silver carp (</w:t>
      </w:r>
      <w:r w:rsidRPr="00F922E1">
        <w:rPr>
          <w:rFonts w:ascii="Arial" w:eastAsia="Calibri" w:hAnsi="Arial" w:cs="Arial"/>
          <w:bCs/>
          <w:i/>
          <w:sz w:val="18"/>
          <w:szCs w:val="18"/>
          <w:lang w:val="en-US"/>
        </w:rPr>
        <w:t>Hypophthalmichthys molitrix</w:t>
      </w:r>
      <w:r w:rsidRPr="00F922E1">
        <w:rPr>
          <w:rFonts w:ascii="Arial" w:eastAsia="Calibri" w:hAnsi="Arial" w:cs="Arial"/>
          <w:bCs/>
          <w:sz w:val="18"/>
          <w:szCs w:val="18"/>
          <w:lang w:val="en-US"/>
        </w:rPr>
        <w:t xml:space="preserve">), </w:t>
      </w:r>
      <w:r w:rsidRPr="00F922E1">
        <w:rPr>
          <w:rFonts w:ascii="Arial" w:eastAsia="Calibri" w:hAnsi="Arial" w:cs="Arial"/>
          <w:bCs/>
          <w:sz w:val="18"/>
          <w:szCs w:val="18"/>
          <w:u w:val="double"/>
          <w:lang w:val="en-US"/>
        </w:rPr>
        <w:t>and</w:t>
      </w:r>
      <w:r w:rsidRPr="00F922E1">
        <w:rPr>
          <w:rFonts w:ascii="Arial" w:eastAsia="Calibri" w:hAnsi="Arial" w:cs="Arial"/>
          <w:bCs/>
          <w:sz w:val="18"/>
          <w:szCs w:val="18"/>
          <w:lang w:val="en-US"/>
        </w:rPr>
        <w:t xml:space="preserve"> yellow per</w:t>
      </w:r>
      <w:r w:rsidRPr="00F922E1">
        <w:rPr>
          <w:rFonts w:ascii="Arial" w:eastAsia="Calibri" w:hAnsi="Arial" w:cs="Arial"/>
          <w:bCs/>
          <w:sz w:val="18"/>
          <w:szCs w:val="18"/>
        </w:rPr>
        <w:t>ch</w:t>
      </w:r>
      <w:r w:rsidRPr="00F922E1">
        <w:rPr>
          <w:rFonts w:ascii="Arial" w:eastAsia="MS PGothic" w:hAnsi="Arial" w:cs="Arial"/>
          <w:i/>
          <w:sz w:val="18"/>
          <w:szCs w:val="18"/>
          <w:lang w:val="en-US"/>
        </w:rPr>
        <w:t xml:space="preserve"> </w:t>
      </w:r>
      <w:r w:rsidRPr="00F922E1">
        <w:rPr>
          <w:rFonts w:ascii="Arial" w:eastAsia="MS PGothic" w:hAnsi="Arial" w:cs="Arial"/>
          <w:sz w:val="18"/>
          <w:szCs w:val="18"/>
          <w:lang w:val="en-US"/>
        </w:rPr>
        <w:t>(</w:t>
      </w:r>
      <w:r w:rsidRPr="00F922E1">
        <w:rPr>
          <w:rFonts w:ascii="Arial" w:eastAsia="MS PGothic" w:hAnsi="Arial" w:cs="Arial"/>
          <w:i/>
          <w:sz w:val="18"/>
          <w:szCs w:val="18"/>
          <w:lang w:val="en-US"/>
        </w:rPr>
        <w:t>Perca flavescens</w:t>
      </w:r>
      <w:r w:rsidRPr="00F922E1">
        <w:rPr>
          <w:rFonts w:ascii="Arial" w:eastAsia="Calibri" w:hAnsi="Arial" w:cs="Arial"/>
          <w:bCs/>
          <w:sz w:val="18"/>
          <w:szCs w:val="18"/>
        </w:rPr>
        <w:t>)</w:t>
      </w:r>
      <w:r w:rsidRPr="00BD2E1E">
        <w:rPr>
          <w:rFonts w:ascii="Arial" w:eastAsia="Calibri" w:hAnsi="Arial" w:cs="Arial"/>
          <w:bCs/>
          <w:strike/>
          <w:sz w:val="18"/>
          <w:szCs w:val="18"/>
        </w:rPr>
        <w:t xml:space="preserve"> </w:t>
      </w:r>
      <w:r w:rsidRPr="00BD2E1E">
        <w:rPr>
          <w:rFonts w:ascii="Arial" w:eastAsia="Calibri" w:hAnsi="Arial" w:cs="Arial"/>
          <w:bCs/>
          <w:iCs/>
          <w:strike/>
          <w:sz w:val="18"/>
          <w:szCs w:val="18"/>
        </w:rPr>
        <w:t>and</w:t>
      </w:r>
      <w:r w:rsidRPr="00BD2E1E">
        <w:rPr>
          <w:rFonts w:ascii="Arial" w:eastAsia="Calibri" w:hAnsi="Arial" w:cs="Arial"/>
          <w:bCs/>
          <w:i/>
          <w:iCs/>
          <w:strike/>
          <w:sz w:val="18"/>
          <w:szCs w:val="18"/>
        </w:rPr>
        <w:t xml:space="preserve"> </w:t>
      </w:r>
      <w:r w:rsidRPr="00BD2E1E">
        <w:rPr>
          <w:rFonts w:ascii="Arial" w:eastAsia="Calibri" w:hAnsi="Arial" w:cs="Arial"/>
          <w:bCs/>
          <w:iCs/>
          <w:strike/>
          <w:sz w:val="18"/>
          <w:szCs w:val="18"/>
        </w:rPr>
        <w:t>zebrafish</w:t>
      </w:r>
      <w:r w:rsidRPr="00BD2E1E">
        <w:rPr>
          <w:rFonts w:ascii="Arial" w:eastAsia="Calibri" w:hAnsi="Arial" w:cs="Arial"/>
          <w:bCs/>
          <w:i/>
          <w:iCs/>
          <w:strike/>
          <w:sz w:val="18"/>
          <w:szCs w:val="18"/>
        </w:rPr>
        <w:t xml:space="preserve"> </w:t>
      </w:r>
      <w:r w:rsidRPr="00BD2E1E">
        <w:rPr>
          <w:rFonts w:ascii="Arial" w:eastAsia="Calibri" w:hAnsi="Arial" w:cs="Arial"/>
          <w:bCs/>
          <w:iCs/>
          <w:strike/>
          <w:sz w:val="18"/>
          <w:szCs w:val="18"/>
        </w:rPr>
        <w:t>(</w:t>
      </w:r>
      <w:r w:rsidRPr="00BD2E1E">
        <w:rPr>
          <w:rFonts w:ascii="Arial" w:eastAsia="Calibri" w:hAnsi="Arial" w:cs="Arial"/>
          <w:bCs/>
          <w:i/>
          <w:iCs/>
          <w:strike/>
          <w:sz w:val="18"/>
          <w:szCs w:val="18"/>
        </w:rPr>
        <w:t>Danio rerio</w:t>
      </w:r>
      <w:r w:rsidRPr="00BD2E1E">
        <w:rPr>
          <w:rFonts w:ascii="Arial" w:eastAsia="Calibri" w:hAnsi="Arial" w:cs="Arial"/>
          <w:bCs/>
          <w:iCs/>
          <w:strike/>
          <w:sz w:val="18"/>
          <w:szCs w:val="18"/>
        </w:rPr>
        <w:t>)</w:t>
      </w:r>
      <w:r w:rsidRPr="00BD2E1E">
        <w:rPr>
          <w:rFonts w:ascii="Arial" w:eastAsia="Calibri" w:hAnsi="Arial" w:cs="Arial"/>
          <w:bCs/>
          <w:sz w:val="18"/>
          <w:szCs w:val="18"/>
          <w:shd w:val="clear" w:color="auto" w:fill="FFFFFF"/>
        </w:rPr>
        <w:t>.</w:t>
      </w:r>
      <w:r w:rsidRPr="00BD2E1E">
        <w:rPr>
          <w:rFonts w:ascii="Arial" w:hAnsi="Arial" w:cs="Arial"/>
          <w:bCs/>
          <w:sz w:val="18"/>
          <w:szCs w:val="18"/>
        </w:rPr>
        <w:t xml:space="preserve"> </w:t>
      </w:r>
    </w:p>
    <w:p w14:paraId="2739B992" w14:textId="77777777" w:rsidR="00E65E42" w:rsidRPr="00BD2E1E" w:rsidRDefault="00E65E42" w:rsidP="00A175F0">
      <w:pPr>
        <w:spacing w:after="240" w:line="240" w:lineRule="auto"/>
        <w:ind w:left="709"/>
        <w:jc w:val="both"/>
        <w:rPr>
          <w:rFonts w:ascii="Arial" w:hAnsi="Arial" w:cs="Arial"/>
          <w:bCs/>
          <w:iCs/>
          <w:strike/>
          <w:sz w:val="18"/>
          <w:szCs w:val="18"/>
        </w:rPr>
      </w:pPr>
      <w:r w:rsidRPr="00BD2E1E">
        <w:rPr>
          <w:rFonts w:ascii="Arial" w:hAnsi="Arial" w:cs="Arial"/>
          <w:bCs/>
          <w:iCs/>
          <w:strike/>
          <w:sz w:val="18"/>
          <w:szCs w:val="18"/>
        </w:rPr>
        <w:t>Evidence is lacking for these species to either confirm that the identity of the pathogenic agent is SVCV, transmission mimics natural pathways of infection, or presence of the pathogenic agent constitutes an infection.</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73"/>
        <w:gridCol w:w="2551"/>
        <w:gridCol w:w="2401"/>
      </w:tblGrid>
      <w:tr w:rsidR="00E65E42" w:rsidRPr="00F922E1" w14:paraId="3A8758B5" w14:textId="77777777" w:rsidTr="00E65E42">
        <w:trPr>
          <w:tblHeader/>
          <w:jc w:val="center"/>
        </w:trPr>
        <w:tc>
          <w:tcPr>
            <w:tcW w:w="2273" w:type="dxa"/>
            <w:tcBorders>
              <w:top w:val="single" w:sz="4" w:space="0" w:color="auto"/>
              <w:bottom w:val="single" w:sz="4" w:space="0" w:color="auto"/>
            </w:tcBorders>
            <w:vAlign w:val="center"/>
          </w:tcPr>
          <w:p w14:paraId="6C90CE9C" w14:textId="77777777" w:rsidR="00E65E42" w:rsidRPr="00F922E1" w:rsidRDefault="00E65E42" w:rsidP="00E65E42">
            <w:pPr>
              <w:pStyle w:val="TableHead"/>
              <w:spacing w:before="0" w:after="0"/>
              <w:rPr>
                <w:rFonts w:ascii="Arial" w:hAnsi="Arial" w:cs="Arial"/>
                <w:strike/>
                <w:szCs w:val="18"/>
                <w:highlight w:val="yellow"/>
                <w:lang w:val="en-GB"/>
              </w:rPr>
            </w:pPr>
            <w:r w:rsidRPr="00F922E1">
              <w:rPr>
                <w:rFonts w:ascii="Arial" w:hAnsi="Arial" w:cs="Arial"/>
                <w:strike/>
                <w:szCs w:val="18"/>
                <w:highlight w:val="yellow"/>
                <w:lang w:val="en-GB"/>
              </w:rPr>
              <w:t>Family</w:t>
            </w:r>
          </w:p>
        </w:tc>
        <w:tc>
          <w:tcPr>
            <w:tcW w:w="2551" w:type="dxa"/>
            <w:tcBorders>
              <w:top w:val="single" w:sz="4" w:space="0" w:color="auto"/>
              <w:bottom w:val="single" w:sz="4" w:space="0" w:color="auto"/>
            </w:tcBorders>
            <w:shd w:val="clear" w:color="auto" w:fill="auto"/>
            <w:vAlign w:val="center"/>
          </w:tcPr>
          <w:p w14:paraId="0A5315D6" w14:textId="77777777" w:rsidR="00E65E42" w:rsidRPr="00F922E1" w:rsidRDefault="00E65E42" w:rsidP="00E65E42">
            <w:pPr>
              <w:pStyle w:val="TableHead"/>
              <w:spacing w:before="0" w:after="0"/>
              <w:rPr>
                <w:rFonts w:ascii="Arial" w:hAnsi="Arial" w:cs="Arial"/>
                <w:strike/>
                <w:szCs w:val="18"/>
                <w:highlight w:val="yellow"/>
                <w:lang w:val="en-GB"/>
              </w:rPr>
            </w:pPr>
            <w:r w:rsidRPr="00F922E1">
              <w:rPr>
                <w:rFonts w:ascii="Arial" w:hAnsi="Arial" w:cs="Arial"/>
                <w:strike/>
                <w:szCs w:val="18"/>
                <w:highlight w:val="yellow"/>
                <w:lang w:val="en-GB"/>
              </w:rPr>
              <w:t>Scientific name</w:t>
            </w:r>
          </w:p>
        </w:tc>
        <w:tc>
          <w:tcPr>
            <w:tcW w:w="2401" w:type="dxa"/>
            <w:tcBorders>
              <w:top w:val="single" w:sz="4" w:space="0" w:color="auto"/>
              <w:bottom w:val="single" w:sz="4" w:space="0" w:color="auto"/>
            </w:tcBorders>
            <w:vAlign w:val="center"/>
          </w:tcPr>
          <w:p w14:paraId="30795A3B" w14:textId="77777777" w:rsidR="00E65E42" w:rsidRPr="00F922E1" w:rsidRDefault="00E65E42" w:rsidP="00E65E42">
            <w:pPr>
              <w:pStyle w:val="TableHead"/>
              <w:spacing w:before="0" w:after="0"/>
              <w:rPr>
                <w:rFonts w:ascii="Arial" w:hAnsi="Arial" w:cs="Arial"/>
                <w:strike/>
                <w:szCs w:val="18"/>
                <w:highlight w:val="yellow"/>
                <w:lang w:val="en-GB"/>
              </w:rPr>
            </w:pPr>
            <w:r w:rsidRPr="00F922E1">
              <w:rPr>
                <w:rFonts w:ascii="Arial" w:hAnsi="Arial" w:cs="Arial"/>
                <w:strike/>
                <w:szCs w:val="18"/>
                <w:highlight w:val="yellow"/>
                <w:lang w:val="en-GB"/>
              </w:rPr>
              <w:t>Common name</w:t>
            </w:r>
          </w:p>
        </w:tc>
      </w:tr>
      <w:tr w:rsidR="00E65E42" w:rsidRPr="00F922E1" w14:paraId="56F6E5E4" w14:textId="77777777" w:rsidTr="00E65E42">
        <w:trPr>
          <w:trHeight w:val="283"/>
          <w:tblHeader/>
          <w:jc w:val="center"/>
        </w:trPr>
        <w:tc>
          <w:tcPr>
            <w:tcW w:w="2273" w:type="dxa"/>
            <w:vMerge w:val="restart"/>
            <w:tcBorders>
              <w:top w:val="single" w:sz="4" w:space="0" w:color="auto"/>
            </w:tcBorders>
            <w:vAlign w:val="center"/>
          </w:tcPr>
          <w:p w14:paraId="7562F855" w14:textId="77777777" w:rsidR="00E65E42" w:rsidRPr="00F922E1" w:rsidRDefault="00E65E42" w:rsidP="00E65E42">
            <w:pPr>
              <w:pStyle w:val="TableHead"/>
              <w:spacing w:before="0" w:after="0"/>
              <w:rPr>
                <w:rFonts w:ascii="Arial" w:hAnsi="Arial" w:cs="Arial"/>
                <w:b w:val="0"/>
                <w:bCs w:val="0"/>
                <w:strike/>
                <w:szCs w:val="18"/>
                <w:highlight w:val="yellow"/>
                <w:lang w:val="en-GB"/>
              </w:rPr>
            </w:pPr>
            <w:r w:rsidRPr="00F922E1">
              <w:rPr>
                <w:rFonts w:ascii="Arial" w:hAnsi="Arial" w:cs="Arial"/>
                <w:b w:val="0"/>
                <w:bCs w:val="0"/>
                <w:strike/>
                <w:color w:val="000000"/>
                <w:szCs w:val="18"/>
                <w:highlight w:val="yellow"/>
              </w:rPr>
              <w:t>Cyprinidae</w:t>
            </w:r>
          </w:p>
        </w:tc>
        <w:tc>
          <w:tcPr>
            <w:tcW w:w="2551" w:type="dxa"/>
            <w:tcBorders>
              <w:top w:val="single" w:sz="4" w:space="0" w:color="auto"/>
            </w:tcBorders>
            <w:shd w:val="clear" w:color="auto" w:fill="auto"/>
            <w:vAlign w:val="center"/>
          </w:tcPr>
          <w:p w14:paraId="70DDDA40" w14:textId="77777777" w:rsidR="00E65E42" w:rsidRPr="00F922E1" w:rsidRDefault="00E65E42" w:rsidP="00E65E42">
            <w:pPr>
              <w:pStyle w:val="TableHead"/>
              <w:spacing w:before="0" w:after="0"/>
              <w:rPr>
                <w:rFonts w:ascii="Arial" w:hAnsi="Arial" w:cs="Arial"/>
                <w:b w:val="0"/>
                <w:bCs w:val="0"/>
                <w:i/>
                <w:iCs/>
                <w:strike/>
                <w:szCs w:val="18"/>
                <w:highlight w:val="yellow"/>
                <w:lang w:val="en-GB"/>
              </w:rPr>
            </w:pPr>
            <w:r w:rsidRPr="00F922E1">
              <w:rPr>
                <w:rFonts w:ascii="Arial" w:hAnsi="Arial" w:cs="Arial"/>
                <w:b w:val="0"/>
                <w:bCs w:val="0"/>
                <w:i/>
                <w:iCs/>
                <w:strike/>
                <w:szCs w:val="18"/>
                <w:highlight w:val="yellow"/>
                <w:lang w:val="en-GB"/>
              </w:rPr>
              <w:t>Carassius carassius</w:t>
            </w:r>
          </w:p>
        </w:tc>
        <w:tc>
          <w:tcPr>
            <w:tcW w:w="2401" w:type="dxa"/>
            <w:tcBorders>
              <w:top w:val="single" w:sz="4" w:space="0" w:color="auto"/>
            </w:tcBorders>
            <w:vAlign w:val="center"/>
          </w:tcPr>
          <w:p w14:paraId="0A0AAF62" w14:textId="77777777" w:rsidR="00E65E42" w:rsidRPr="00F922E1" w:rsidRDefault="00E65E42" w:rsidP="00E65E42">
            <w:pPr>
              <w:pStyle w:val="TableHead"/>
              <w:spacing w:before="0" w:after="0"/>
              <w:rPr>
                <w:rFonts w:ascii="Arial" w:hAnsi="Arial" w:cs="Arial"/>
                <w:b w:val="0"/>
                <w:bCs w:val="0"/>
                <w:strike/>
                <w:szCs w:val="18"/>
                <w:highlight w:val="yellow"/>
                <w:lang w:val="en-GB"/>
              </w:rPr>
            </w:pPr>
            <w:r w:rsidRPr="00F922E1">
              <w:rPr>
                <w:rFonts w:ascii="Arial" w:hAnsi="Arial" w:cs="Arial"/>
                <w:b w:val="0"/>
                <w:bCs w:val="0"/>
                <w:strike/>
                <w:szCs w:val="18"/>
                <w:highlight w:val="yellow"/>
                <w:lang w:val="en-GB"/>
              </w:rPr>
              <w:t>Crucian carp</w:t>
            </w:r>
          </w:p>
        </w:tc>
      </w:tr>
      <w:tr w:rsidR="00E65E42" w:rsidRPr="00F922E1" w14:paraId="11BF8953" w14:textId="77777777" w:rsidTr="00E65E42">
        <w:trPr>
          <w:tblHeader/>
          <w:jc w:val="center"/>
        </w:trPr>
        <w:tc>
          <w:tcPr>
            <w:tcW w:w="2273" w:type="dxa"/>
            <w:vMerge/>
            <w:tcBorders>
              <w:bottom w:val="single" w:sz="4" w:space="0" w:color="auto"/>
            </w:tcBorders>
            <w:vAlign w:val="center"/>
          </w:tcPr>
          <w:p w14:paraId="58DE4ADF" w14:textId="77777777" w:rsidR="00E65E42" w:rsidRPr="00F922E1" w:rsidRDefault="00E65E42" w:rsidP="00E65E42">
            <w:pPr>
              <w:pStyle w:val="TableHead"/>
              <w:spacing w:before="0" w:after="0"/>
              <w:rPr>
                <w:rFonts w:ascii="Arial" w:hAnsi="Arial" w:cs="Arial"/>
                <w:b w:val="0"/>
                <w:bCs w:val="0"/>
                <w:strike/>
                <w:szCs w:val="18"/>
                <w:highlight w:val="yellow"/>
                <w:lang w:val="en-GB"/>
              </w:rPr>
            </w:pPr>
          </w:p>
        </w:tc>
        <w:tc>
          <w:tcPr>
            <w:tcW w:w="2551" w:type="dxa"/>
            <w:tcBorders>
              <w:top w:val="single" w:sz="4" w:space="0" w:color="auto"/>
              <w:bottom w:val="single" w:sz="4" w:space="0" w:color="auto"/>
            </w:tcBorders>
            <w:shd w:val="clear" w:color="auto" w:fill="auto"/>
            <w:vAlign w:val="center"/>
          </w:tcPr>
          <w:p w14:paraId="62EB2E31" w14:textId="77777777" w:rsidR="00E65E42" w:rsidRPr="00F922E1" w:rsidRDefault="00E65E42" w:rsidP="00E65E42">
            <w:pPr>
              <w:pStyle w:val="TableHead"/>
              <w:spacing w:before="0" w:after="0"/>
              <w:rPr>
                <w:rFonts w:ascii="Arial" w:hAnsi="Arial" w:cs="Arial"/>
                <w:b w:val="0"/>
                <w:bCs w:val="0"/>
                <w:strike/>
                <w:szCs w:val="18"/>
                <w:highlight w:val="yellow"/>
                <w:lang w:val="en-GB"/>
              </w:rPr>
            </w:pPr>
            <w:r w:rsidRPr="00F922E1">
              <w:rPr>
                <w:rFonts w:ascii="Arial" w:eastAsia="Calibri" w:hAnsi="Arial" w:cs="Arial"/>
                <w:b w:val="0"/>
                <w:bCs w:val="0"/>
                <w:i/>
                <w:strike/>
                <w:szCs w:val="18"/>
                <w:highlight w:val="yellow"/>
                <w:lang w:val="en-US"/>
              </w:rPr>
              <w:t>Hypophthalmichthys molitrix</w:t>
            </w:r>
          </w:p>
        </w:tc>
        <w:tc>
          <w:tcPr>
            <w:tcW w:w="2401" w:type="dxa"/>
            <w:tcBorders>
              <w:top w:val="single" w:sz="4" w:space="0" w:color="auto"/>
              <w:bottom w:val="single" w:sz="4" w:space="0" w:color="auto"/>
            </w:tcBorders>
            <w:vAlign w:val="center"/>
          </w:tcPr>
          <w:p w14:paraId="7357FE31" w14:textId="77777777" w:rsidR="00E65E42" w:rsidRPr="00F922E1" w:rsidRDefault="00E65E42" w:rsidP="00E65E42">
            <w:pPr>
              <w:pStyle w:val="TableHead"/>
              <w:spacing w:before="0" w:after="0"/>
              <w:rPr>
                <w:rFonts w:ascii="Arial" w:hAnsi="Arial" w:cs="Arial"/>
                <w:b w:val="0"/>
                <w:bCs w:val="0"/>
                <w:strike/>
                <w:szCs w:val="18"/>
                <w:highlight w:val="yellow"/>
                <w:lang w:val="en-GB"/>
              </w:rPr>
            </w:pPr>
            <w:r w:rsidRPr="00F922E1">
              <w:rPr>
                <w:rFonts w:ascii="Arial" w:eastAsia="Calibri" w:hAnsi="Arial" w:cs="Arial"/>
                <w:b w:val="0"/>
                <w:bCs w:val="0"/>
                <w:strike/>
                <w:szCs w:val="18"/>
                <w:highlight w:val="yellow"/>
                <w:lang w:val="en-US"/>
              </w:rPr>
              <w:t>Silver carp</w:t>
            </w:r>
          </w:p>
        </w:tc>
      </w:tr>
      <w:tr w:rsidR="00E65E42" w:rsidRPr="00F922E1" w14:paraId="6CE0929D" w14:textId="77777777" w:rsidTr="00E65E42">
        <w:trPr>
          <w:tblHeader/>
          <w:jc w:val="center"/>
        </w:trPr>
        <w:tc>
          <w:tcPr>
            <w:tcW w:w="2273" w:type="dxa"/>
            <w:tcBorders>
              <w:top w:val="single" w:sz="4" w:space="0" w:color="auto"/>
              <w:bottom w:val="single" w:sz="4" w:space="0" w:color="auto"/>
            </w:tcBorders>
            <w:vAlign w:val="center"/>
          </w:tcPr>
          <w:p w14:paraId="7C0401CD" w14:textId="77777777" w:rsidR="00E65E42" w:rsidRPr="00F922E1" w:rsidRDefault="00E65E42" w:rsidP="00E65E42">
            <w:pPr>
              <w:pStyle w:val="TableHead"/>
              <w:spacing w:before="0" w:after="0"/>
              <w:rPr>
                <w:rFonts w:ascii="Arial" w:hAnsi="Arial" w:cs="Arial"/>
                <w:b w:val="0"/>
                <w:bCs w:val="0"/>
                <w:strike/>
                <w:szCs w:val="18"/>
                <w:highlight w:val="yellow"/>
                <w:lang w:val="en-GB"/>
              </w:rPr>
            </w:pPr>
            <w:r w:rsidRPr="00F922E1">
              <w:rPr>
                <w:rFonts w:ascii="Arial" w:hAnsi="Arial" w:cs="Arial"/>
                <w:b w:val="0"/>
                <w:bCs w:val="0"/>
                <w:strike/>
                <w:szCs w:val="18"/>
                <w:highlight w:val="yellow"/>
                <w:lang w:val="en-GB"/>
              </w:rPr>
              <w:t>Esocidae</w:t>
            </w:r>
          </w:p>
        </w:tc>
        <w:tc>
          <w:tcPr>
            <w:tcW w:w="2551" w:type="dxa"/>
            <w:tcBorders>
              <w:top w:val="single" w:sz="4" w:space="0" w:color="auto"/>
              <w:bottom w:val="single" w:sz="4" w:space="0" w:color="auto"/>
            </w:tcBorders>
            <w:shd w:val="clear" w:color="auto" w:fill="auto"/>
            <w:vAlign w:val="center"/>
          </w:tcPr>
          <w:p w14:paraId="40C60EB5" w14:textId="77777777" w:rsidR="00E65E42" w:rsidRPr="00F922E1" w:rsidRDefault="00E65E42" w:rsidP="00E65E42">
            <w:pPr>
              <w:pStyle w:val="TableHead"/>
              <w:spacing w:before="0" w:after="0"/>
              <w:rPr>
                <w:rFonts w:ascii="Arial" w:hAnsi="Arial" w:cs="Arial"/>
                <w:b w:val="0"/>
                <w:bCs w:val="0"/>
                <w:strike/>
                <w:szCs w:val="18"/>
                <w:highlight w:val="yellow"/>
                <w:lang w:val="en-GB"/>
              </w:rPr>
            </w:pPr>
            <w:r w:rsidRPr="00F922E1">
              <w:rPr>
                <w:rFonts w:ascii="Arial" w:eastAsia="Calibri" w:hAnsi="Arial" w:cs="Arial"/>
                <w:b w:val="0"/>
                <w:bCs w:val="0"/>
                <w:i/>
                <w:strike/>
                <w:szCs w:val="18"/>
                <w:highlight w:val="yellow"/>
              </w:rPr>
              <w:t>Esox lucius</w:t>
            </w:r>
          </w:p>
        </w:tc>
        <w:tc>
          <w:tcPr>
            <w:tcW w:w="2401" w:type="dxa"/>
            <w:tcBorders>
              <w:top w:val="single" w:sz="4" w:space="0" w:color="auto"/>
              <w:bottom w:val="single" w:sz="4" w:space="0" w:color="auto"/>
            </w:tcBorders>
            <w:vAlign w:val="center"/>
          </w:tcPr>
          <w:p w14:paraId="092F0BB3" w14:textId="77777777" w:rsidR="00E65E42" w:rsidRPr="00F922E1" w:rsidRDefault="00E65E42" w:rsidP="00E65E42">
            <w:pPr>
              <w:pStyle w:val="TableHead"/>
              <w:spacing w:before="0" w:after="0"/>
              <w:rPr>
                <w:rFonts w:ascii="Arial" w:hAnsi="Arial" w:cs="Arial"/>
                <w:b w:val="0"/>
                <w:bCs w:val="0"/>
                <w:strike/>
                <w:szCs w:val="18"/>
                <w:highlight w:val="yellow"/>
                <w:lang w:val="en-GB"/>
              </w:rPr>
            </w:pPr>
            <w:r w:rsidRPr="00F922E1">
              <w:rPr>
                <w:rFonts w:ascii="Arial" w:hAnsi="Arial" w:cs="Arial"/>
                <w:b w:val="0"/>
                <w:bCs w:val="0"/>
                <w:strike/>
                <w:szCs w:val="18"/>
                <w:highlight w:val="yellow"/>
                <w:lang w:val="en-GB"/>
              </w:rPr>
              <w:t>Northern pike</w:t>
            </w:r>
          </w:p>
        </w:tc>
      </w:tr>
      <w:tr w:rsidR="00E65E42" w:rsidRPr="00F922E1" w14:paraId="5834B759" w14:textId="77777777" w:rsidTr="00E65E42">
        <w:trPr>
          <w:tblHeader/>
          <w:jc w:val="center"/>
        </w:trPr>
        <w:tc>
          <w:tcPr>
            <w:tcW w:w="2273" w:type="dxa"/>
            <w:tcBorders>
              <w:top w:val="single" w:sz="4" w:space="0" w:color="auto"/>
              <w:bottom w:val="single" w:sz="4" w:space="0" w:color="auto"/>
            </w:tcBorders>
            <w:vAlign w:val="center"/>
          </w:tcPr>
          <w:p w14:paraId="7E6580E6" w14:textId="77777777" w:rsidR="00E65E42" w:rsidRPr="00F922E1" w:rsidRDefault="00E65E42" w:rsidP="00E65E42">
            <w:pPr>
              <w:pStyle w:val="TableHead"/>
              <w:spacing w:before="0" w:after="0"/>
              <w:rPr>
                <w:rFonts w:ascii="Arial" w:hAnsi="Arial" w:cs="Arial"/>
                <w:b w:val="0"/>
                <w:bCs w:val="0"/>
                <w:strike/>
                <w:szCs w:val="18"/>
                <w:highlight w:val="yellow"/>
                <w:lang w:val="en-GB"/>
              </w:rPr>
            </w:pPr>
            <w:r w:rsidRPr="00F922E1">
              <w:rPr>
                <w:rFonts w:ascii="Arial" w:hAnsi="Arial" w:cs="Arial"/>
                <w:b w:val="0"/>
                <w:bCs w:val="0"/>
                <w:strike/>
                <w:szCs w:val="18"/>
                <w:highlight w:val="yellow"/>
                <w:lang w:val="en-GB"/>
              </w:rPr>
              <w:t>Percidae</w:t>
            </w:r>
          </w:p>
        </w:tc>
        <w:tc>
          <w:tcPr>
            <w:tcW w:w="2551" w:type="dxa"/>
            <w:tcBorders>
              <w:top w:val="single" w:sz="4" w:space="0" w:color="auto"/>
              <w:bottom w:val="single" w:sz="4" w:space="0" w:color="auto"/>
            </w:tcBorders>
            <w:shd w:val="clear" w:color="auto" w:fill="auto"/>
            <w:vAlign w:val="center"/>
          </w:tcPr>
          <w:p w14:paraId="170EFF1A" w14:textId="77777777" w:rsidR="00E65E42" w:rsidRPr="00F922E1" w:rsidRDefault="00E65E42" w:rsidP="00E65E42">
            <w:pPr>
              <w:pStyle w:val="TableHead"/>
              <w:spacing w:before="0" w:after="0"/>
              <w:rPr>
                <w:rFonts w:ascii="Arial" w:hAnsi="Arial" w:cs="Arial"/>
                <w:b w:val="0"/>
                <w:bCs w:val="0"/>
                <w:strike/>
                <w:szCs w:val="18"/>
                <w:highlight w:val="yellow"/>
                <w:lang w:val="en-GB"/>
              </w:rPr>
            </w:pPr>
            <w:r w:rsidRPr="00F922E1">
              <w:rPr>
                <w:rFonts w:ascii="Arial" w:eastAsia="MS PGothic" w:hAnsi="Arial" w:cs="Arial"/>
                <w:b w:val="0"/>
                <w:bCs w:val="0"/>
                <w:i/>
                <w:strike/>
                <w:szCs w:val="18"/>
                <w:highlight w:val="yellow"/>
                <w:lang w:val="en-US"/>
              </w:rPr>
              <w:t>Perca flavescens</w:t>
            </w:r>
          </w:p>
        </w:tc>
        <w:tc>
          <w:tcPr>
            <w:tcW w:w="2401" w:type="dxa"/>
            <w:tcBorders>
              <w:top w:val="single" w:sz="4" w:space="0" w:color="auto"/>
              <w:bottom w:val="single" w:sz="4" w:space="0" w:color="auto"/>
            </w:tcBorders>
            <w:vAlign w:val="center"/>
          </w:tcPr>
          <w:p w14:paraId="355D528D" w14:textId="77777777" w:rsidR="00E65E42" w:rsidRPr="00F922E1" w:rsidRDefault="00E65E42" w:rsidP="00E65E42">
            <w:pPr>
              <w:spacing w:after="0"/>
              <w:jc w:val="center"/>
              <w:rPr>
                <w:rFonts w:ascii="Arial" w:hAnsi="Arial" w:cs="Arial"/>
                <w:strike/>
                <w:sz w:val="18"/>
                <w:szCs w:val="18"/>
                <w:highlight w:val="yellow"/>
              </w:rPr>
            </w:pPr>
            <w:r w:rsidRPr="00F922E1">
              <w:rPr>
                <w:rFonts w:ascii="Arial" w:eastAsia="Calibri" w:hAnsi="Arial" w:cs="Arial"/>
                <w:strike/>
                <w:sz w:val="18"/>
                <w:szCs w:val="18"/>
                <w:highlight w:val="yellow"/>
                <w:lang w:val="en-US"/>
              </w:rPr>
              <w:t>Yellow per</w:t>
            </w:r>
            <w:r w:rsidRPr="00F922E1">
              <w:rPr>
                <w:rFonts w:ascii="Arial" w:eastAsia="Calibri" w:hAnsi="Arial" w:cs="Arial"/>
                <w:strike/>
                <w:sz w:val="18"/>
                <w:szCs w:val="18"/>
                <w:highlight w:val="yellow"/>
              </w:rPr>
              <w:t>ch</w:t>
            </w:r>
          </w:p>
        </w:tc>
      </w:tr>
      <w:tr w:rsidR="00E65E42" w:rsidRPr="00F922E1" w14:paraId="4BBE6BFA" w14:textId="77777777" w:rsidTr="00E65E42">
        <w:trPr>
          <w:tblHeader/>
          <w:jc w:val="center"/>
        </w:trPr>
        <w:tc>
          <w:tcPr>
            <w:tcW w:w="2273" w:type="dxa"/>
            <w:tcBorders>
              <w:top w:val="single" w:sz="4" w:space="0" w:color="auto"/>
              <w:bottom w:val="single" w:sz="4" w:space="0" w:color="auto"/>
            </w:tcBorders>
            <w:vAlign w:val="center"/>
          </w:tcPr>
          <w:p w14:paraId="796AC026" w14:textId="77777777" w:rsidR="00E65E42" w:rsidRPr="00F922E1" w:rsidRDefault="00E65E42" w:rsidP="00E65E42">
            <w:pPr>
              <w:pStyle w:val="TableHead"/>
              <w:spacing w:before="0" w:after="0"/>
              <w:rPr>
                <w:rFonts w:ascii="Arial" w:hAnsi="Arial" w:cs="Arial"/>
                <w:b w:val="0"/>
                <w:bCs w:val="0"/>
                <w:strike/>
                <w:szCs w:val="18"/>
                <w:highlight w:val="yellow"/>
                <w:lang w:val="en-GB"/>
              </w:rPr>
            </w:pPr>
            <w:r w:rsidRPr="00F922E1">
              <w:rPr>
                <w:rFonts w:ascii="Arial" w:hAnsi="Arial" w:cs="Arial"/>
                <w:b w:val="0"/>
                <w:bCs w:val="0"/>
                <w:strike/>
                <w:szCs w:val="18"/>
                <w:highlight w:val="yellow"/>
                <w:lang w:val="en-GB"/>
              </w:rPr>
              <w:t>Salamandridae</w:t>
            </w:r>
          </w:p>
        </w:tc>
        <w:tc>
          <w:tcPr>
            <w:tcW w:w="2551" w:type="dxa"/>
            <w:tcBorders>
              <w:top w:val="single" w:sz="4" w:space="0" w:color="auto"/>
              <w:bottom w:val="single" w:sz="4" w:space="0" w:color="auto"/>
            </w:tcBorders>
            <w:shd w:val="clear" w:color="auto" w:fill="auto"/>
            <w:vAlign w:val="center"/>
          </w:tcPr>
          <w:p w14:paraId="0F5A6473" w14:textId="77777777" w:rsidR="00E65E42" w:rsidRPr="00F922E1" w:rsidRDefault="00E65E42" w:rsidP="00E65E42">
            <w:pPr>
              <w:pStyle w:val="TableHead"/>
              <w:spacing w:before="0" w:after="0"/>
              <w:rPr>
                <w:rFonts w:ascii="Arial" w:hAnsi="Arial" w:cs="Arial"/>
                <w:b w:val="0"/>
                <w:bCs w:val="0"/>
                <w:strike/>
                <w:szCs w:val="18"/>
                <w:highlight w:val="yellow"/>
                <w:lang w:val="en-GB"/>
              </w:rPr>
            </w:pPr>
            <w:r w:rsidRPr="00F922E1">
              <w:rPr>
                <w:rFonts w:ascii="Arial" w:eastAsia="Calibri" w:hAnsi="Arial" w:cs="Arial"/>
                <w:b w:val="0"/>
                <w:bCs w:val="0"/>
                <w:i/>
                <w:strike/>
                <w:szCs w:val="18"/>
                <w:highlight w:val="yellow"/>
                <w:shd w:val="clear" w:color="auto" w:fill="FFFFFF"/>
              </w:rPr>
              <w:t>Cynops orientalis</w:t>
            </w:r>
          </w:p>
        </w:tc>
        <w:tc>
          <w:tcPr>
            <w:tcW w:w="2401" w:type="dxa"/>
            <w:tcBorders>
              <w:top w:val="single" w:sz="4" w:space="0" w:color="auto"/>
              <w:bottom w:val="single" w:sz="4" w:space="0" w:color="auto"/>
            </w:tcBorders>
            <w:vAlign w:val="center"/>
          </w:tcPr>
          <w:p w14:paraId="19CC3FF5" w14:textId="77777777" w:rsidR="00E65E42" w:rsidRPr="00F922E1" w:rsidRDefault="00E65E42" w:rsidP="00E65E42">
            <w:pPr>
              <w:pStyle w:val="TableHead"/>
              <w:spacing w:before="0" w:after="0"/>
              <w:rPr>
                <w:rFonts w:ascii="Arial" w:hAnsi="Arial" w:cs="Arial"/>
                <w:b w:val="0"/>
                <w:bCs w:val="0"/>
                <w:strike/>
                <w:szCs w:val="18"/>
                <w:highlight w:val="yellow"/>
                <w:lang w:val="en-GB"/>
              </w:rPr>
            </w:pPr>
            <w:r w:rsidRPr="00F922E1">
              <w:rPr>
                <w:rFonts w:ascii="Arial" w:eastAsia="Calibri" w:hAnsi="Arial" w:cs="Arial"/>
                <w:b w:val="0"/>
                <w:bCs w:val="0"/>
                <w:strike/>
                <w:szCs w:val="18"/>
                <w:highlight w:val="yellow"/>
                <w:shd w:val="clear" w:color="auto" w:fill="FFFFFF"/>
              </w:rPr>
              <w:t>Firebelly newt</w:t>
            </w:r>
          </w:p>
        </w:tc>
      </w:tr>
    </w:tbl>
    <w:p w14:paraId="634124B8" w14:textId="77777777" w:rsidR="00E65E42" w:rsidRPr="00BD2E1E" w:rsidRDefault="00E65E42" w:rsidP="00A175F0">
      <w:pPr>
        <w:spacing w:before="240" w:after="240" w:line="240" w:lineRule="auto"/>
        <w:ind w:left="709"/>
        <w:jc w:val="both"/>
        <w:rPr>
          <w:rFonts w:ascii="Arial" w:hAnsi="Arial" w:cs="Arial"/>
          <w:color w:val="000000"/>
          <w:sz w:val="18"/>
          <w:szCs w:val="18"/>
          <w:u w:val="double"/>
        </w:rPr>
      </w:pPr>
      <w:r w:rsidRPr="00BD2E1E">
        <w:rPr>
          <w:rFonts w:ascii="Arial" w:hAnsi="Arial" w:cs="Arial"/>
          <w:sz w:val="18"/>
          <w:szCs w:val="18"/>
          <w:u w:val="double"/>
          <w:lang w:val="en-IE"/>
        </w:rPr>
        <w:t>In addition, pathogen-specific positive polymerase chain reaction (PCR) results have been reported in the following organisms, but an active infection has not been demonstrated:</w:t>
      </w:r>
      <w:r w:rsidRPr="00BD2E1E">
        <w:rPr>
          <w:rFonts w:ascii="Arial" w:hAnsi="Arial" w:cs="Arial"/>
          <w:color w:val="000000"/>
          <w:sz w:val="18"/>
          <w:szCs w:val="18"/>
          <w:u w:val="double"/>
        </w:rPr>
        <w:t xml:space="preserve"> </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73"/>
        <w:gridCol w:w="2551"/>
        <w:gridCol w:w="2401"/>
      </w:tblGrid>
      <w:tr w:rsidR="00E65E42" w:rsidRPr="00BD2E1E" w14:paraId="3C9E62CC" w14:textId="77777777" w:rsidTr="00E65E42">
        <w:trPr>
          <w:tblHeader/>
          <w:jc w:val="center"/>
        </w:trPr>
        <w:tc>
          <w:tcPr>
            <w:tcW w:w="2273" w:type="dxa"/>
            <w:tcBorders>
              <w:top w:val="single" w:sz="4" w:space="0" w:color="auto"/>
              <w:bottom w:val="single" w:sz="4" w:space="0" w:color="auto"/>
            </w:tcBorders>
            <w:vAlign w:val="center"/>
          </w:tcPr>
          <w:p w14:paraId="552A8AF2" w14:textId="77777777" w:rsidR="00E65E42" w:rsidRPr="00BD2E1E" w:rsidRDefault="00E65E42" w:rsidP="00E65E42">
            <w:pPr>
              <w:pStyle w:val="TableHead"/>
              <w:spacing w:before="0" w:after="0"/>
              <w:rPr>
                <w:rFonts w:ascii="Arial" w:hAnsi="Arial" w:cs="Arial"/>
                <w:szCs w:val="18"/>
                <w:u w:val="double"/>
                <w:lang w:val="en-GB"/>
              </w:rPr>
            </w:pPr>
            <w:bookmarkStart w:id="105" w:name="_Hlk21441220"/>
            <w:r w:rsidRPr="00BD2E1E">
              <w:rPr>
                <w:rFonts w:ascii="Arial" w:hAnsi="Arial" w:cs="Arial"/>
                <w:szCs w:val="18"/>
                <w:u w:val="double"/>
                <w:lang w:val="en-GB"/>
              </w:rPr>
              <w:t>Family</w:t>
            </w:r>
          </w:p>
        </w:tc>
        <w:tc>
          <w:tcPr>
            <w:tcW w:w="2551" w:type="dxa"/>
            <w:tcBorders>
              <w:top w:val="single" w:sz="4" w:space="0" w:color="auto"/>
              <w:bottom w:val="single" w:sz="4" w:space="0" w:color="auto"/>
            </w:tcBorders>
            <w:shd w:val="clear" w:color="auto" w:fill="auto"/>
            <w:vAlign w:val="center"/>
          </w:tcPr>
          <w:p w14:paraId="5C215987" w14:textId="77777777" w:rsidR="00E65E42" w:rsidRPr="00BD2E1E" w:rsidRDefault="00E65E42" w:rsidP="00E65E42">
            <w:pPr>
              <w:pStyle w:val="TableHead"/>
              <w:spacing w:before="0" w:after="0"/>
              <w:rPr>
                <w:rFonts w:ascii="Arial" w:hAnsi="Arial" w:cs="Arial"/>
                <w:szCs w:val="18"/>
                <w:u w:val="double"/>
                <w:lang w:val="en-GB"/>
              </w:rPr>
            </w:pPr>
            <w:r w:rsidRPr="00BD2E1E">
              <w:rPr>
                <w:rFonts w:ascii="Arial" w:hAnsi="Arial" w:cs="Arial"/>
                <w:szCs w:val="18"/>
                <w:u w:val="double"/>
                <w:lang w:val="en-GB"/>
              </w:rPr>
              <w:t>Scientific name</w:t>
            </w:r>
          </w:p>
        </w:tc>
        <w:tc>
          <w:tcPr>
            <w:tcW w:w="2401" w:type="dxa"/>
            <w:tcBorders>
              <w:top w:val="single" w:sz="4" w:space="0" w:color="auto"/>
              <w:bottom w:val="single" w:sz="4" w:space="0" w:color="auto"/>
            </w:tcBorders>
            <w:vAlign w:val="center"/>
          </w:tcPr>
          <w:p w14:paraId="0674744D" w14:textId="77777777" w:rsidR="00E65E42" w:rsidRPr="00BD2E1E" w:rsidRDefault="00E65E42" w:rsidP="00E65E42">
            <w:pPr>
              <w:pStyle w:val="TableHead"/>
              <w:spacing w:before="0" w:after="0"/>
              <w:rPr>
                <w:rFonts w:ascii="Arial" w:hAnsi="Arial" w:cs="Arial"/>
                <w:szCs w:val="18"/>
                <w:u w:val="double"/>
                <w:lang w:val="en-GB"/>
              </w:rPr>
            </w:pPr>
            <w:r w:rsidRPr="00BD2E1E">
              <w:rPr>
                <w:rFonts w:ascii="Arial" w:hAnsi="Arial" w:cs="Arial"/>
                <w:szCs w:val="18"/>
                <w:u w:val="double"/>
                <w:lang w:val="en-GB"/>
              </w:rPr>
              <w:t>Common name</w:t>
            </w:r>
          </w:p>
        </w:tc>
      </w:tr>
      <w:tr w:rsidR="00E65E42" w:rsidRPr="00BD2E1E" w14:paraId="7E064739" w14:textId="77777777" w:rsidTr="00E65E42">
        <w:trPr>
          <w:tblHeader/>
          <w:jc w:val="center"/>
        </w:trPr>
        <w:tc>
          <w:tcPr>
            <w:tcW w:w="2273" w:type="dxa"/>
            <w:tcBorders>
              <w:top w:val="single" w:sz="4" w:space="0" w:color="auto"/>
              <w:bottom w:val="single" w:sz="4" w:space="0" w:color="auto"/>
            </w:tcBorders>
            <w:vAlign w:val="center"/>
          </w:tcPr>
          <w:p w14:paraId="23410820" w14:textId="77777777" w:rsidR="00E65E42" w:rsidRPr="00BD2E1E" w:rsidRDefault="00E65E42" w:rsidP="00E65E42">
            <w:pPr>
              <w:pStyle w:val="TableHead"/>
              <w:spacing w:before="0" w:after="0"/>
              <w:rPr>
                <w:rFonts w:ascii="Arial" w:hAnsi="Arial" w:cs="Arial"/>
                <w:szCs w:val="18"/>
                <w:u w:val="double"/>
                <w:lang w:val="en-GB"/>
              </w:rPr>
            </w:pPr>
            <w:r w:rsidRPr="00BD2E1E">
              <w:rPr>
                <w:rFonts w:ascii="Arial" w:hAnsi="Arial" w:cs="Arial"/>
                <w:b w:val="0"/>
                <w:bCs w:val="0"/>
                <w:szCs w:val="18"/>
                <w:u w:val="double"/>
                <w:lang w:val="en-GB"/>
              </w:rPr>
              <w:t>Catostomidae</w:t>
            </w:r>
          </w:p>
        </w:tc>
        <w:tc>
          <w:tcPr>
            <w:tcW w:w="2551" w:type="dxa"/>
            <w:tcBorders>
              <w:top w:val="single" w:sz="4" w:space="0" w:color="auto"/>
              <w:bottom w:val="single" w:sz="4" w:space="0" w:color="auto"/>
            </w:tcBorders>
            <w:shd w:val="clear" w:color="auto" w:fill="auto"/>
            <w:vAlign w:val="center"/>
          </w:tcPr>
          <w:p w14:paraId="10E16934" w14:textId="77777777" w:rsidR="00E65E42" w:rsidRPr="00BD2E1E" w:rsidRDefault="00E65E42" w:rsidP="00E65E42">
            <w:pPr>
              <w:pStyle w:val="TableHead"/>
              <w:spacing w:before="0" w:after="0"/>
              <w:rPr>
                <w:rFonts w:ascii="Arial" w:hAnsi="Arial" w:cs="Arial"/>
                <w:szCs w:val="18"/>
                <w:u w:val="double"/>
                <w:lang w:val="en-GB"/>
              </w:rPr>
            </w:pPr>
            <w:r w:rsidRPr="00BD2E1E">
              <w:rPr>
                <w:rFonts w:ascii="Arial" w:eastAsia="Calibri" w:hAnsi="Arial" w:cs="Arial"/>
                <w:b w:val="0"/>
                <w:bCs w:val="0"/>
                <w:i/>
                <w:iCs/>
                <w:szCs w:val="18"/>
                <w:u w:val="double"/>
                <w:shd w:val="clear" w:color="auto" w:fill="FFFFFF"/>
              </w:rPr>
              <w:t>Catostomus commersonii</w:t>
            </w:r>
          </w:p>
        </w:tc>
        <w:tc>
          <w:tcPr>
            <w:tcW w:w="2401" w:type="dxa"/>
            <w:tcBorders>
              <w:top w:val="single" w:sz="4" w:space="0" w:color="auto"/>
              <w:bottom w:val="single" w:sz="4" w:space="0" w:color="auto"/>
            </w:tcBorders>
            <w:vAlign w:val="center"/>
          </w:tcPr>
          <w:p w14:paraId="328D9E7F" w14:textId="77777777" w:rsidR="00E65E42" w:rsidRPr="00BD2E1E" w:rsidRDefault="00E65E42" w:rsidP="00E65E42">
            <w:pPr>
              <w:pStyle w:val="TableHead"/>
              <w:spacing w:before="0" w:after="0"/>
              <w:rPr>
                <w:rFonts w:ascii="Arial" w:hAnsi="Arial" w:cs="Arial"/>
                <w:szCs w:val="18"/>
                <w:u w:val="double"/>
                <w:lang w:val="en-GB"/>
              </w:rPr>
            </w:pPr>
            <w:r w:rsidRPr="00BD2E1E">
              <w:rPr>
                <w:rFonts w:ascii="Arial" w:eastAsia="Calibri" w:hAnsi="Arial" w:cs="Arial"/>
                <w:b w:val="0"/>
                <w:bCs w:val="0"/>
                <w:szCs w:val="18"/>
                <w:u w:val="double"/>
                <w:shd w:val="clear" w:color="auto" w:fill="FFFFFF"/>
              </w:rPr>
              <w:t>White sucker</w:t>
            </w:r>
          </w:p>
        </w:tc>
      </w:tr>
      <w:tr w:rsidR="00E65E42" w:rsidRPr="00BD2E1E" w14:paraId="34623E1C" w14:textId="77777777" w:rsidTr="00E65E42">
        <w:trPr>
          <w:tblHeader/>
          <w:jc w:val="center"/>
        </w:trPr>
        <w:tc>
          <w:tcPr>
            <w:tcW w:w="2273" w:type="dxa"/>
            <w:tcBorders>
              <w:top w:val="single" w:sz="4" w:space="0" w:color="auto"/>
              <w:bottom w:val="single" w:sz="4" w:space="0" w:color="auto"/>
            </w:tcBorders>
            <w:vAlign w:val="center"/>
          </w:tcPr>
          <w:p w14:paraId="51E754C9" w14:textId="77777777" w:rsidR="00E65E42" w:rsidRPr="00BD2E1E" w:rsidRDefault="00E65E42" w:rsidP="00E65E42">
            <w:pPr>
              <w:pStyle w:val="TableHead"/>
              <w:spacing w:before="0" w:after="0"/>
              <w:rPr>
                <w:rFonts w:ascii="Arial" w:hAnsi="Arial" w:cs="Arial"/>
                <w:szCs w:val="18"/>
                <w:u w:val="double"/>
                <w:lang w:val="en-GB"/>
              </w:rPr>
            </w:pPr>
            <w:r w:rsidRPr="00BD2E1E">
              <w:rPr>
                <w:rFonts w:ascii="Arial" w:hAnsi="Arial" w:cs="Arial"/>
                <w:b w:val="0"/>
                <w:bCs w:val="0"/>
                <w:szCs w:val="18"/>
                <w:u w:val="double"/>
                <w:lang w:val="en-GB"/>
              </w:rPr>
              <w:t>Cichlidae</w:t>
            </w:r>
          </w:p>
        </w:tc>
        <w:tc>
          <w:tcPr>
            <w:tcW w:w="2551" w:type="dxa"/>
            <w:tcBorders>
              <w:top w:val="single" w:sz="4" w:space="0" w:color="auto"/>
              <w:bottom w:val="single" w:sz="4" w:space="0" w:color="auto"/>
            </w:tcBorders>
            <w:shd w:val="clear" w:color="auto" w:fill="auto"/>
            <w:vAlign w:val="center"/>
          </w:tcPr>
          <w:p w14:paraId="32AC7F42" w14:textId="77777777" w:rsidR="00E65E42" w:rsidRPr="00BD2E1E" w:rsidRDefault="00E65E42" w:rsidP="00E65E42">
            <w:pPr>
              <w:pStyle w:val="TableHead"/>
              <w:spacing w:before="0" w:after="0"/>
              <w:rPr>
                <w:rFonts w:ascii="Arial" w:hAnsi="Arial" w:cs="Arial"/>
                <w:szCs w:val="18"/>
                <w:u w:val="double"/>
                <w:lang w:val="en-GB"/>
              </w:rPr>
            </w:pPr>
            <w:r w:rsidRPr="00F922E1">
              <w:rPr>
                <w:rFonts w:ascii="Arial" w:hAnsi="Arial" w:cs="Arial"/>
                <w:b w:val="0"/>
                <w:bCs w:val="0"/>
                <w:i/>
                <w:iCs/>
                <w:strike/>
                <w:szCs w:val="18"/>
                <w:highlight w:val="yellow"/>
                <w:lang w:val="en-GB"/>
              </w:rPr>
              <w:t>Sarotherodon niloticus</w:t>
            </w:r>
            <w:r>
              <w:rPr>
                <w:rFonts w:ascii="Arial" w:hAnsi="Arial" w:cs="Arial"/>
                <w:b w:val="0"/>
                <w:bCs w:val="0"/>
                <w:i/>
                <w:iCs/>
                <w:strike/>
                <w:szCs w:val="18"/>
                <w:highlight w:val="yellow"/>
                <w:lang w:val="en-GB"/>
              </w:rPr>
              <w:br/>
            </w:r>
            <w:r w:rsidRPr="00695BD1">
              <w:rPr>
                <w:rFonts w:ascii="Arial" w:hAnsi="Arial" w:cs="Arial"/>
                <w:b w:val="0"/>
                <w:i/>
                <w:szCs w:val="18"/>
                <w:highlight w:val="yellow"/>
                <w:u w:val="double"/>
              </w:rPr>
              <w:t>Oreochromis niloticus</w:t>
            </w:r>
          </w:p>
        </w:tc>
        <w:tc>
          <w:tcPr>
            <w:tcW w:w="2401" w:type="dxa"/>
            <w:tcBorders>
              <w:top w:val="single" w:sz="4" w:space="0" w:color="auto"/>
              <w:bottom w:val="single" w:sz="4" w:space="0" w:color="auto"/>
            </w:tcBorders>
            <w:vAlign w:val="center"/>
          </w:tcPr>
          <w:p w14:paraId="1E9AD175" w14:textId="77777777" w:rsidR="00E65E42" w:rsidRPr="00BD2E1E" w:rsidRDefault="00E65E42" w:rsidP="00E65E42">
            <w:pPr>
              <w:pStyle w:val="TableHead"/>
              <w:spacing w:before="0" w:after="0"/>
              <w:rPr>
                <w:rFonts w:ascii="Arial" w:hAnsi="Arial" w:cs="Arial"/>
                <w:szCs w:val="18"/>
                <w:u w:val="double"/>
                <w:lang w:val="en-GB"/>
              </w:rPr>
            </w:pPr>
            <w:r w:rsidRPr="00BD2E1E">
              <w:rPr>
                <w:rFonts w:ascii="Arial" w:hAnsi="Arial" w:cs="Arial"/>
                <w:b w:val="0"/>
                <w:bCs w:val="0"/>
                <w:szCs w:val="18"/>
                <w:u w:val="double"/>
                <w:lang w:val="en-GB"/>
              </w:rPr>
              <w:t>Nile tilapia</w:t>
            </w:r>
          </w:p>
        </w:tc>
      </w:tr>
      <w:tr w:rsidR="00E65E42" w:rsidRPr="00BD2E1E" w14:paraId="5501FEAC" w14:textId="77777777" w:rsidTr="00E65E42">
        <w:trPr>
          <w:tblHeader/>
          <w:jc w:val="center"/>
        </w:trPr>
        <w:tc>
          <w:tcPr>
            <w:tcW w:w="2273" w:type="dxa"/>
            <w:vMerge w:val="restart"/>
            <w:tcBorders>
              <w:top w:val="single" w:sz="4" w:space="0" w:color="auto"/>
            </w:tcBorders>
            <w:vAlign w:val="center"/>
          </w:tcPr>
          <w:p w14:paraId="37F59263" w14:textId="77777777" w:rsidR="00E65E42" w:rsidRPr="00BD2E1E" w:rsidRDefault="00E65E42" w:rsidP="00E65E42">
            <w:pPr>
              <w:pStyle w:val="TableHead"/>
              <w:spacing w:before="0" w:after="0"/>
              <w:rPr>
                <w:rFonts w:ascii="Arial" w:hAnsi="Arial" w:cs="Arial"/>
                <w:szCs w:val="18"/>
                <w:u w:val="double"/>
                <w:lang w:val="en-GB"/>
              </w:rPr>
            </w:pPr>
            <w:r w:rsidRPr="00BD2E1E">
              <w:rPr>
                <w:rFonts w:ascii="Arial" w:hAnsi="Arial" w:cs="Arial"/>
                <w:b w:val="0"/>
                <w:bCs w:val="0"/>
                <w:szCs w:val="18"/>
                <w:u w:val="double"/>
                <w:lang w:val="en-GB"/>
              </w:rPr>
              <w:t>Cyprinidae</w:t>
            </w:r>
          </w:p>
        </w:tc>
        <w:tc>
          <w:tcPr>
            <w:tcW w:w="2551" w:type="dxa"/>
            <w:tcBorders>
              <w:top w:val="single" w:sz="4" w:space="0" w:color="auto"/>
              <w:bottom w:val="single" w:sz="4" w:space="0" w:color="auto"/>
            </w:tcBorders>
            <w:shd w:val="clear" w:color="auto" w:fill="auto"/>
            <w:vAlign w:val="center"/>
          </w:tcPr>
          <w:p w14:paraId="62FDAE1D" w14:textId="77777777" w:rsidR="00E65E42" w:rsidRPr="00BD2E1E" w:rsidRDefault="00E65E42" w:rsidP="00E65E42">
            <w:pPr>
              <w:pStyle w:val="TableHead"/>
              <w:spacing w:before="0" w:after="0"/>
              <w:rPr>
                <w:rFonts w:ascii="Arial" w:hAnsi="Arial" w:cs="Arial"/>
                <w:b w:val="0"/>
                <w:bCs w:val="0"/>
                <w:szCs w:val="18"/>
                <w:u w:val="double"/>
                <w:lang w:val="en-GB"/>
              </w:rPr>
            </w:pPr>
            <w:r w:rsidRPr="00BD2E1E">
              <w:rPr>
                <w:rFonts w:ascii="Arial" w:hAnsi="Arial" w:cs="Arial"/>
                <w:b w:val="0"/>
                <w:bCs w:val="0"/>
                <w:i/>
                <w:iCs/>
                <w:szCs w:val="18"/>
                <w:u w:val="double"/>
              </w:rPr>
              <w:t>Notropis atherinoides</w:t>
            </w:r>
          </w:p>
        </w:tc>
        <w:tc>
          <w:tcPr>
            <w:tcW w:w="2401" w:type="dxa"/>
            <w:tcBorders>
              <w:top w:val="single" w:sz="4" w:space="0" w:color="auto"/>
              <w:bottom w:val="single" w:sz="4" w:space="0" w:color="auto"/>
            </w:tcBorders>
            <w:vAlign w:val="center"/>
          </w:tcPr>
          <w:p w14:paraId="390D79AF" w14:textId="77777777" w:rsidR="00E65E42" w:rsidRPr="00BD2E1E" w:rsidRDefault="00E65E42" w:rsidP="00E65E42">
            <w:pPr>
              <w:pStyle w:val="TableHead"/>
              <w:spacing w:before="0" w:after="0"/>
              <w:rPr>
                <w:rFonts w:ascii="Arial" w:hAnsi="Arial" w:cs="Arial"/>
                <w:b w:val="0"/>
                <w:bCs w:val="0"/>
                <w:szCs w:val="18"/>
                <w:u w:val="double"/>
                <w:lang w:val="en-GB"/>
              </w:rPr>
            </w:pPr>
            <w:r w:rsidRPr="00BD2E1E">
              <w:rPr>
                <w:rFonts w:ascii="Arial" w:hAnsi="Arial" w:cs="Arial"/>
                <w:b w:val="0"/>
                <w:bCs w:val="0"/>
                <w:szCs w:val="18"/>
                <w:u w:val="double"/>
              </w:rPr>
              <w:t>Emerald shiner</w:t>
            </w:r>
          </w:p>
        </w:tc>
      </w:tr>
      <w:tr w:rsidR="00E65E42" w:rsidRPr="00BD2E1E" w14:paraId="2CF2756B" w14:textId="77777777" w:rsidTr="00E65E42">
        <w:trPr>
          <w:tblHeader/>
          <w:jc w:val="center"/>
        </w:trPr>
        <w:tc>
          <w:tcPr>
            <w:tcW w:w="2273" w:type="dxa"/>
            <w:vMerge/>
            <w:vAlign w:val="center"/>
          </w:tcPr>
          <w:p w14:paraId="4893ECFE" w14:textId="77777777" w:rsidR="00E65E42" w:rsidRPr="00BD2E1E" w:rsidRDefault="00E65E42" w:rsidP="00E65E42">
            <w:pPr>
              <w:pStyle w:val="TableHead"/>
              <w:spacing w:before="0" w:after="0"/>
              <w:rPr>
                <w:rFonts w:ascii="Arial" w:hAnsi="Arial" w:cs="Arial"/>
                <w:szCs w:val="18"/>
                <w:u w:val="double"/>
                <w:lang w:val="en-GB"/>
              </w:rPr>
            </w:pPr>
          </w:p>
        </w:tc>
        <w:tc>
          <w:tcPr>
            <w:tcW w:w="2551" w:type="dxa"/>
            <w:tcBorders>
              <w:top w:val="single" w:sz="4" w:space="0" w:color="auto"/>
              <w:bottom w:val="single" w:sz="4" w:space="0" w:color="auto"/>
            </w:tcBorders>
            <w:shd w:val="clear" w:color="auto" w:fill="auto"/>
            <w:vAlign w:val="center"/>
          </w:tcPr>
          <w:p w14:paraId="6DF7A450" w14:textId="77777777" w:rsidR="00E65E42" w:rsidRPr="00BD2E1E" w:rsidRDefault="00E65E42" w:rsidP="00E65E42">
            <w:pPr>
              <w:pStyle w:val="TableHead"/>
              <w:spacing w:before="0" w:after="0"/>
              <w:rPr>
                <w:rFonts w:ascii="Arial" w:hAnsi="Arial" w:cs="Arial"/>
                <w:b w:val="0"/>
                <w:bCs w:val="0"/>
                <w:szCs w:val="18"/>
                <w:u w:val="double"/>
                <w:lang w:val="en-GB"/>
              </w:rPr>
            </w:pPr>
            <w:r w:rsidRPr="00BD2E1E">
              <w:rPr>
                <w:rFonts w:ascii="Arial" w:hAnsi="Arial" w:cs="Arial"/>
                <w:b w:val="0"/>
                <w:bCs w:val="0"/>
                <w:i/>
                <w:iCs/>
                <w:szCs w:val="18"/>
                <w:u w:val="double"/>
                <w:lang w:val="en-GB"/>
              </w:rPr>
              <w:t>Cirrhinus mrigala</w:t>
            </w:r>
          </w:p>
        </w:tc>
        <w:tc>
          <w:tcPr>
            <w:tcW w:w="2401" w:type="dxa"/>
            <w:tcBorders>
              <w:top w:val="single" w:sz="4" w:space="0" w:color="auto"/>
              <w:bottom w:val="single" w:sz="4" w:space="0" w:color="auto"/>
            </w:tcBorders>
            <w:vAlign w:val="center"/>
          </w:tcPr>
          <w:p w14:paraId="50677B4F" w14:textId="77777777" w:rsidR="00E65E42" w:rsidRPr="00BD2E1E" w:rsidRDefault="00E65E42" w:rsidP="00E65E42">
            <w:pPr>
              <w:pStyle w:val="TableHead"/>
              <w:spacing w:before="0" w:after="0"/>
              <w:rPr>
                <w:rFonts w:ascii="Arial" w:hAnsi="Arial" w:cs="Arial"/>
                <w:b w:val="0"/>
                <w:bCs w:val="0"/>
                <w:szCs w:val="18"/>
                <w:u w:val="double"/>
                <w:lang w:val="en-GB"/>
              </w:rPr>
            </w:pPr>
            <w:r w:rsidRPr="00BD2E1E">
              <w:rPr>
                <w:rFonts w:ascii="Arial" w:hAnsi="Arial" w:cs="Arial"/>
                <w:b w:val="0"/>
                <w:bCs w:val="0"/>
                <w:szCs w:val="18"/>
                <w:u w:val="double"/>
              </w:rPr>
              <w:t>Mrigal carp</w:t>
            </w:r>
          </w:p>
        </w:tc>
      </w:tr>
      <w:tr w:rsidR="00E65E42" w:rsidRPr="00BD2E1E" w14:paraId="0C5D5BFC" w14:textId="77777777" w:rsidTr="00E65E42">
        <w:trPr>
          <w:tblHeader/>
          <w:jc w:val="center"/>
        </w:trPr>
        <w:tc>
          <w:tcPr>
            <w:tcW w:w="2273" w:type="dxa"/>
            <w:vMerge/>
            <w:vAlign w:val="center"/>
          </w:tcPr>
          <w:p w14:paraId="6C8F5D0A" w14:textId="77777777" w:rsidR="00E65E42" w:rsidRPr="00BD2E1E" w:rsidRDefault="00E65E42" w:rsidP="00E65E42">
            <w:pPr>
              <w:pStyle w:val="TableHead"/>
              <w:spacing w:before="0" w:after="0"/>
              <w:rPr>
                <w:rFonts w:ascii="Arial" w:hAnsi="Arial" w:cs="Arial"/>
                <w:szCs w:val="18"/>
                <w:u w:val="double"/>
                <w:lang w:val="en-GB"/>
              </w:rPr>
            </w:pPr>
          </w:p>
        </w:tc>
        <w:tc>
          <w:tcPr>
            <w:tcW w:w="2551" w:type="dxa"/>
            <w:tcBorders>
              <w:top w:val="single" w:sz="4" w:space="0" w:color="auto"/>
              <w:bottom w:val="single" w:sz="4" w:space="0" w:color="auto"/>
            </w:tcBorders>
            <w:shd w:val="clear" w:color="auto" w:fill="auto"/>
            <w:vAlign w:val="center"/>
          </w:tcPr>
          <w:p w14:paraId="52F13A4C" w14:textId="77777777" w:rsidR="00E65E42" w:rsidRPr="00BD2E1E" w:rsidRDefault="00E65E42" w:rsidP="00E65E42">
            <w:pPr>
              <w:pStyle w:val="TableHead"/>
              <w:spacing w:before="0" w:after="0"/>
              <w:rPr>
                <w:rFonts w:ascii="Arial" w:hAnsi="Arial" w:cs="Arial"/>
                <w:b w:val="0"/>
                <w:bCs w:val="0"/>
                <w:szCs w:val="18"/>
                <w:u w:val="double"/>
                <w:lang w:val="en-GB"/>
              </w:rPr>
            </w:pPr>
            <w:r w:rsidRPr="00BD2E1E">
              <w:rPr>
                <w:rFonts w:ascii="Arial" w:eastAsia="Calibri" w:hAnsi="Arial" w:cs="Arial"/>
                <w:b w:val="0"/>
                <w:bCs w:val="0"/>
                <w:i/>
                <w:szCs w:val="18"/>
                <w:u w:val="double"/>
                <w:shd w:val="clear" w:color="auto" w:fill="FFFFFF"/>
              </w:rPr>
              <w:t>Labeo rohita</w:t>
            </w:r>
          </w:p>
        </w:tc>
        <w:tc>
          <w:tcPr>
            <w:tcW w:w="2401" w:type="dxa"/>
            <w:tcBorders>
              <w:top w:val="single" w:sz="4" w:space="0" w:color="auto"/>
              <w:bottom w:val="single" w:sz="4" w:space="0" w:color="auto"/>
            </w:tcBorders>
            <w:vAlign w:val="center"/>
          </w:tcPr>
          <w:p w14:paraId="0B566495" w14:textId="77777777" w:rsidR="00E65E42" w:rsidRPr="00BD2E1E" w:rsidRDefault="00E65E42" w:rsidP="00E65E42">
            <w:pPr>
              <w:pStyle w:val="TableHead"/>
              <w:spacing w:before="0" w:after="0"/>
              <w:rPr>
                <w:rFonts w:ascii="Arial" w:hAnsi="Arial" w:cs="Arial"/>
                <w:b w:val="0"/>
                <w:bCs w:val="0"/>
                <w:szCs w:val="18"/>
                <w:u w:val="double"/>
                <w:lang w:val="en-GB"/>
              </w:rPr>
            </w:pPr>
            <w:r w:rsidRPr="00BD2E1E">
              <w:rPr>
                <w:rFonts w:ascii="Arial" w:eastAsia="Calibri" w:hAnsi="Arial" w:cs="Arial"/>
                <w:b w:val="0"/>
                <w:bCs w:val="0"/>
                <w:szCs w:val="18"/>
                <w:u w:val="double"/>
                <w:shd w:val="clear" w:color="auto" w:fill="FFFFFF"/>
              </w:rPr>
              <w:t>Rohu</w:t>
            </w:r>
          </w:p>
        </w:tc>
      </w:tr>
      <w:tr w:rsidR="00E65E42" w:rsidRPr="00BD2E1E" w14:paraId="327169E7" w14:textId="77777777" w:rsidTr="00E65E42">
        <w:trPr>
          <w:tblHeader/>
          <w:jc w:val="center"/>
        </w:trPr>
        <w:tc>
          <w:tcPr>
            <w:tcW w:w="2273" w:type="dxa"/>
            <w:vMerge/>
            <w:tcBorders>
              <w:bottom w:val="single" w:sz="4" w:space="0" w:color="auto"/>
            </w:tcBorders>
            <w:vAlign w:val="center"/>
          </w:tcPr>
          <w:p w14:paraId="749E7A55" w14:textId="77777777" w:rsidR="00E65E42" w:rsidRPr="00BD2E1E" w:rsidRDefault="00E65E42" w:rsidP="00E65E42">
            <w:pPr>
              <w:pStyle w:val="TableHead"/>
              <w:spacing w:before="0" w:after="0"/>
              <w:rPr>
                <w:rFonts w:ascii="Arial" w:hAnsi="Arial" w:cs="Arial"/>
                <w:szCs w:val="18"/>
                <w:u w:val="double"/>
                <w:lang w:val="en-GB"/>
              </w:rPr>
            </w:pPr>
          </w:p>
        </w:tc>
        <w:tc>
          <w:tcPr>
            <w:tcW w:w="2551" w:type="dxa"/>
            <w:tcBorders>
              <w:top w:val="single" w:sz="4" w:space="0" w:color="auto"/>
              <w:bottom w:val="single" w:sz="4" w:space="0" w:color="auto"/>
            </w:tcBorders>
            <w:shd w:val="clear" w:color="auto" w:fill="auto"/>
            <w:vAlign w:val="center"/>
          </w:tcPr>
          <w:p w14:paraId="7EC7FA06" w14:textId="77777777" w:rsidR="00E65E42" w:rsidRPr="00BD2E1E" w:rsidRDefault="00E65E42" w:rsidP="00E65E42">
            <w:pPr>
              <w:pStyle w:val="TableHead"/>
              <w:spacing w:before="0" w:after="0"/>
              <w:rPr>
                <w:rFonts w:ascii="Arial" w:hAnsi="Arial" w:cs="Arial"/>
                <w:b w:val="0"/>
                <w:bCs w:val="0"/>
                <w:szCs w:val="18"/>
                <w:u w:val="double"/>
                <w:lang w:val="en-GB"/>
              </w:rPr>
            </w:pPr>
            <w:r w:rsidRPr="00BD2E1E">
              <w:rPr>
                <w:rFonts w:ascii="Arial" w:eastAsia="Calibri" w:hAnsi="Arial" w:cs="Arial"/>
                <w:b w:val="0"/>
                <w:bCs w:val="0"/>
                <w:i/>
                <w:iCs/>
                <w:szCs w:val="18"/>
                <w:u w:val="double"/>
                <w:shd w:val="clear" w:color="auto" w:fill="FFFFFF"/>
              </w:rPr>
              <w:t>Tinca tinca</w:t>
            </w:r>
          </w:p>
        </w:tc>
        <w:tc>
          <w:tcPr>
            <w:tcW w:w="2401" w:type="dxa"/>
            <w:tcBorders>
              <w:top w:val="single" w:sz="4" w:space="0" w:color="auto"/>
              <w:bottom w:val="single" w:sz="4" w:space="0" w:color="auto"/>
            </w:tcBorders>
            <w:vAlign w:val="center"/>
          </w:tcPr>
          <w:p w14:paraId="58CFAECA" w14:textId="77777777" w:rsidR="00E65E42" w:rsidRPr="00BD2E1E" w:rsidRDefault="00E65E42" w:rsidP="00E65E42">
            <w:pPr>
              <w:pStyle w:val="TableHead"/>
              <w:spacing w:before="0" w:after="0"/>
              <w:rPr>
                <w:rFonts w:ascii="Arial" w:hAnsi="Arial" w:cs="Arial"/>
                <w:b w:val="0"/>
                <w:bCs w:val="0"/>
                <w:szCs w:val="18"/>
                <w:u w:val="double"/>
                <w:lang w:val="en-GB"/>
              </w:rPr>
            </w:pPr>
            <w:r w:rsidRPr="00BD2E1E">
              <w:rPr>
                <w:rFonts w:ascii="Arial" w:eastAsia="Calibri" w:hAnsi="Arial" w:cs="Arial"/>
                <w:b w:val="0"/>
                <w:bCs w:val="0"/>
                <w:szCs w:val="18"/>
                <w:u w:val="double"/>
                <w:shd w:val="clear" w:color="auto" w:fill="FFFFFF"/>
              </w:rPr>
              <w:t>Tench</w:t>
            </w:r>
          </w:p>
        </w:tc>
      </w:tr>
      <w:tr w:rsidR="00E65E42" w:rsidRPr="00BD2E1E" w14:paraId="292D0314" w14:textId="77777777" w:rsidTr="00E65E42">
        <w:trPr>
          <w:tblHeader/>
          <w:jc w:val="center"/>
        </w:trPr>
        <w:tc>
          <w:tcPr>
            <w:tcW w:w="2273" w:type="dxa"/>
            <w:tcBorders>
              <w:top w:val="single" w:sz="4" w:space="0" w:color="auto"/>
              <w:bottom w:val="single" w:sz="4" w:space="0" w:color="auto"/>
            </w:tcBorders>
            <w:vAlign w:val="center"/>
          </w:tcPr>
          <w:p w14:paraId="43F899AF" w14:textId="77777777" w:rsidR="00E65E42" w:rsidRPr="00BD2E1E" w:rsidRDefault="00E65E42" w:rsidP="00E65E42">
            <w:pPr>
              <w:pStyle w:val="TableHead"/>
              <w:spacing w:before="0" w:after="0"/>
              <w:rPr>
                <w:rFonts w:ascii="Arial" w:hAnsi="Arial" w:cs="Arial"/>
                <w:szCs w:val="18"/>
                <w:u w:val="double"/>
                <w:lang w:val="en-GB"/>
              </w:rPr>
            </w:pPr>
            <w:r w:rsidRPr="00BD2E1E">
              <w:rPr>
                <w:rFonts w:ascii="Arial" w:hAnsi="Arial" w:cs="Arial"/>
                <w:b w:val="0"/>
                <w:bCs w:val="0"/>
                <w:szCs w:val="18"/>
                <w:u w:val="double"/>
                <w:lang w:val="en-GB"/>
              </w:rPr>
              <w:t>Penaeidae</w:t>
            </w:r>
          </w:p>
        </w:tc>
        <w:tc>
          <w:tcPr>
            <w:tcW w:w="2551" w:type="dxa"/>
            <w:tcBorders>
              <w:top w:val="single" w:sz="4" w:space="0" w:color="auto"/>
              <w:bottom w:val="single" w:sz="4" w:space="0" w:color="auto"/>
            </w:tcBorders>
            <w:shd w:val="clear" w:color="auto" w:fill="auto"/>
            <w:vAlign w:val="center"/>
          </w:tcPr>
          <w:p w14:paraId="332CB574" w14:textId="77777777" w:rsidR="00E65E42" w:rsidRPr="00BD2E1E" w:rsidRDefault="00E65E42" w:rsidP="00E65E42">
            <w:pPr>
              <w:pStyle w:val="TableHead"/>
              <w:spacing w:before="0" w:after="0"/>
              <w:rPr>
                <w:rFonts w:ascii="Arial" w:hAnsi="Arial" w:cs="Arial"/>
                <w:szCs w:val="18"/>
                <w:u w:val="double"/>
                <w:lang w:val="en-GB"/>
              </w:rPr>
            </w:pPr>
            <w:r w:rsidRPr="00BD2E1E">
              <w:rPr>
                <w:rFonts w:ascii="Arial" w:eastAsia="Calibri" w:hAnsi="Arial" w:cs="Arial"/>
                <w:b w:val="0"/>
                <w:bCs w:val="0"/>
                <w:i/>
                <w:iCs/>
                <w:szCs w:val="18"/>
                <w:u w:val="double"/>
                <w:shd w:val="clear" w:color="auto" w:fill="FFFFFF"/>
              </w:rPr>
              <w:t>Litopenaeus vannamei</w:t>
            </w:r>
          </w:p>
        </w:tc>
        <w:tc>
          <w:tcPr>
            <w:tcW w:w="2401" w:type="dxa"/>
            <w:tcBorders>
              <w:top w:val="single" w:sz="4" w:space="0" w:color="auto"/>
              <w:bottom w:val="single" w:sz="4" w:space="0" w:color="auto"/>
            </w:tcBorders>
            <w:vAlign w:val="center"/>
          </w:tcPr>
          <w:p w14:paraId="5539E5AD" w14:textId="77777777" w:rsidR="00E65E42" w:rsidRPr="00BD2E1E" w:rsidRDefault="00E65E42" w:rsidP="00E65E42">
            <w:pPr>
              <w:pStyle w:val="TableHead"/>
              <w:spacing w:before="0" w:after="0"/>
              <w:rPr>
                <w:rFonts w:ascii="Arial" w:hAnsi="Arial" w:cs="Arial"/>
                <w:szCs w:val="18"/>
                <w:u w:val="double"/>
                <w:lang w:val="en-GB"/>
              </w:rPr>
            </w:pPr>
            <w:r w:rsidRPr="00BD2E1E">
              <w:rPr>
                <w:rFonts w:ascii="Arial" w:eastAsia="Calibri" w:hAnsi="Arial" w:cs="Arial"/>
                <w:b w:val="0"/>
                <w:bCs w:val="0"/>
                <w:szCs w:val="18"/>
                <w:u w:val="double"/>
                <w:shd w:val="clear" w:color="auto" w:fill="FFFFFF"/>
              </w:rPr>
              <w:t>Pacific white</w:t>
            </w:r>
            <w:r>
              <w:rPr>
                <w:rFonts w:ascii="Arial" w:eastAsia="Calibri" w:hAnsi="Arial" w:cs="Arial"/>
                <w:b w:val="0"/>
                <w:bCs w:val="0"/>
                <w:szCs w:val="18"/>
                <w:u w:val="double"/>
                <w:shd w:val="clear" w:color="auto" w:fill="FFFFFF"/>
              </w:rPr>
              <w:t xml:space="preserve"> </w:t>
            </w:r>
            <w:r w:rsidRPr="00BD2E1E">
              <w:rPr>
                <w:rFonts w:ascii="Arial" w:eastAsia="Calibri" w:hAnsi="Arial" w:cs="Arial"/>
                <w:b w:val="0"/>
                <w:bCs w:val="0"/>
                <w:szCs w:val="18"/>
                <w:u w:val="double"/>
                <w:shd w:val="clear" w:color="auto" w:fill="FFFFFF"/>
              </w:rPr>
              <w:t>shrimp</w:t>
            </w:r>
          </w:p>
        </w:tc>
      </w:tr>
      <w:tr w:rsidR="00E65E42" w:rsidRPr="00BD2E1E" w14:paraId="1332357A" w14:textId="77777777" w:rsidTr="00E65E42">
        <w:trPr>
          <w:trHeight w:val="185"/>
          <w:tblHeader/>
          <w:jc w:val="center"/>
        </w:trPr>
        <w:tc>
          <w:tcPr>
            <w:tcW w:w="2273" w:type="dxa"/>
            <w:vMerge w:val="restart"/>
            <w:tcBorders>
              <w:top w:val="single" w:sz="4" w:space="0" w:color="auto"/>
            </w:tcBorders>
            <w:vAlign w:val="center"/>
          </w:tcPr>
          <w:p w14:paraId="3EDBD8F4" w14:textId="77777777" w:rsidR="00E65E42" w:rsidRPr="00BD2E1E" w:rsidRDefault="00E65E42" w:rsidP="00E65E42">
            <w:pPr>
              <w:pStyle w:val="TableHead"/>
              <w:spacing w:before="0" w:after="0"/>
              <w:rPr>
                <w:rFonts w:ascii="Arial" w:hAnsi="Arial" w:cs="Arial"/>
                <w:b w:val="0"/>
                <w:bCs w:val="0"/>
                <w:szCs w:val="18"/>
                <w:u w:val="double"/>
                <w:lang w:val="en-GB"/>
              </w:rPr>
            </w:pPr>
            <w:r w:rsidRPr="00BD2E1E">
              <w:rPr>
                <w:rFonts w:ascii="Arial" w:hAnsi="Arial" w:cs="Arial"/>
                <w:b w:val="0"/>
                <w:bCs w:val="0"/>
                <w:szCs w:val="18"/>
                <w:u w:val="double"/>
                <w:lang w:val="en-GB"/>
              </w:rPr>
              <w:t>Salmonidae</w:t>
            </w:r>
          </w:p>
        </w:tc>
        <w:tc>
          <w:tcPr>
            <w:tcW w:w="2551" w:type="dxa"/>
            <w:tcBorders>
              <w:top w:val="single" w:sz="4" w:space="0" w:color="auto"/>
            </w:tcBorders>
            <w:shd w:val="clear" w:color="auto" w:fill="auto"/>
            <w:vAlign w:val="center"/>
          </w:tcPr>
          <w:p w14:paraId="131ED572" w14:textId="77777777" w:rsidR="00E65E42" w:rsidRPr="00BD2E1E" w:rsidRDefault="00E65E42" w:rsidP="00E65E42">
            <w:pPr>
              <w:pStyle w:val="TableHead"/>
              <w:spacing w:before="0" w:after="0"/>
              <w:rPr>
                <w:rFonts w:ascii="Arial" w:hAnsi="Arial" w:cs="Arial"/>
                <w:b w:val="0"/>
                <w:bCs w:val="0"/>
                <w:i/>
                <w:iCs/>
                <w:szCs w:val="18"/>
                <w:u w:val="double"/>
                <w:lang w:val="en-GB"/>
              </w:rPr>
            </w:pPr>
            <w:r w:rsidRPr="00BD2E1E">
              <w:rPr>
                <w:rFonts w:ascii="Arial" w:hAnsi="Arial" w:cs="Arial"/>
                <w:b w:val="0"/>
                <w:bCs w:val="0"/>
                <w:i/>
                <w:iCs/>
                <w:szCs w:val="18"/>
                <w:u w:val="double"/>
                <w:lang w:val="en-GB"/>
              </w:rPr>
              <w:t>Oncorhynchus tshawytscha</w:t>
            </w:r>
          </w:p>
        </w:tc>
        <w:tc>
          <w:tcPr>
            <w:tcW w:w="2401" w:type="dxa"/>
            <w:tcBorders>
              <w:top w:val="single" w:sz="4" w:space="0" w:color="auto"/>
            </w:tcBorders>
            <w:vAlign w:val="center"/>
          </w:tcPr>
          <w:p w14:paraId="20EF30DC" w14:textId="77777777" w:rsidR="00E65E42" w:rsidRPr="00BD2E1E" w:rsidRDefault="00E65E42" w:rsidP="00E65E42">
            <w:pPr>
              <w:pStyle w:val="TableHead"/>
              <w:spacing w:before="0" w:after="0"/>
              <w:rPr>
                <w:rFonts w:ascii="Arial" w:hAnsi="Arial" w:cs="Arial"/>
                <w:b w:val="0"/>
                <w:bCs w:val="0"/>
                <w:szCs w:val="18"/>
                <w:u w:val="double"/>
                <w:lang w:val="en-GB"/>
              </w:rPr>
            </w:pPr>
            <w:r w:rsidRPr="00BD2E1E">
              <w:rPr>
                <w:rFonts w:ascii="Arial" w:hAnsi="Arial" w:cs="Arial"/>
                <w:b w:val="0"/>
                <w:bCs w:val="0"/>
                <w:szCs w:val="18"/>
                <w:u w:val="double"/>
                <w:lang w:val="en-GB"/>
              </w:rPr>
              <w:t xml:space="preserve">Chinook salmon </w:t>
            </w:r>
          </w:p>
        </w:tc>
      </w:tr>
      <w:tr w:rsidR="00E65E42" w:rsidRPr="00BD2E1E" w14:paraId="27A77B62" w14:textId="77777777" w:rsidTr="00E65E42">
        <w:trPr>
          <w:trHeight w:val="103"/>
          <w:tblHeader/>
          <w:jc w:val="center"/>
        </w:trPr>
        <w:tc>
          <w:tcPr>
            <w:tcW w:w="2273" w:type="dxa"/>
            <w:vMerge/>
            <w:vAlign w:val="center"/>
          </w:tcPr>
          <w:p w14:paraId="083A3CBA" w14:textId="77777777" w:rsidR="00E65E42" w:rsidRPr="00BD2E1E" w:rsidRDefault="00E65E42" w:rsidP="00E65E42">
            <w:pPr>
              <w:pStyle w:val="TableHead"/>
              <w:spacing w:before="0" w:after="0"/>
              <w:rPr>
                <w:rFonts w:ascii="Arial" w:hAnsi="Arial" w:cs="Arial"/>
                <w:b w:val="0"/>
                <w:bCs w:val="0"/>
                <w:szCs w:val="18"/>
                <w:u w:val="double"/>
                <w:lang w:val="en-GB"/>
              </w:rPr>
            </w:pPr>
          </w:p>
        </w:tc>
        <w:tc>
          <w:tcPr>
            <w:tcW w:w="2551" w:type="dxa"/>
            <w:tcBorders>
              <w:top w:val="single" w:sz="4" w:space="0" w:color="auto"/>
            </w:tcBorders>
            <w:shd w:val="clear" w:color="auto" w:fill="auto"/>
            <w:vAlign w:val="center"/>
          </w:tcPr>
          <w:p w14:paraId="3D384FE9" w14:textId="77777777" w:rsidR="00E65E42" w:rsidRPr="00BD2E1E" w:rsidRDefault="00E65E42" w:rsidP="00E65E42">
            <w:pPr>
              <w:pStyle w:val="TableHead"/>
              <w:spacing w:before="0" w:after="0"/>
              <w:rPr>
                <w:rFonts w:ascii="Arial" w:hAnsi="Arial" w:cs="Arial"/>
                <w:b w:val="0"/>
                <w:bCs w:val="0"/>
                <w:i/>
                <w:iCs/>
                <w:szCs w:val="18"/>
                <w:u w:val="double"/>
                <w:lang w:val="en-GB"/>
              </w:rPr>
            </w:pPr>
            <w:r w:rsidRPr="00BD2E1E">
              <w:rPr>
                <w:rFonts w:ascii="Arial" w:hAnsi="Arial" w:cs="Arial"/>
                <w:b w:val="0"/>
                <w:bCs w:val="0"/>
                <w:i/>
                <w:iCs/>
                <w:szCs w:val="18"/>
                <w:u w:val="double"/>
                <w:lang w:val="en-GB"/>
              </w:rPr>
              <w:t>Oncorhynchus nerka</w:t>
            </w:r>
          </w:p>
        </w:tc>
        <w:tc>
          <w:tcPr>
            <w:tcW w:w="2401" w:type="dxa"/>
            <w:tcBorders>
              <w:top w:val="single" w:sz="4" w:space="0" w:color="auto"/>
            </w:tcBorders>
            <w:vAlign w:val="center"/>
          </w:tcPr>
          <w:p w14:paraId="345E7B28" w14:textId="77777777" w:rsidR="00E65E42" w:rsidRPr="00BD2E1E" w:rsidRDefault="00E65E42" w:rsidP="00E65E42">
            <w:pPr>
              <w:pStyle w:val="TableHead"/>
              <w:spacing w:before="0" w:after="0"/>
              <w:rPr>
                <w:rFonts w:ascii="Arial" w:hAnsi="Arial" w:cs="Arial"/>
                <w:b w:val="0"/>
                <w:bCs w:val="0"/>
                <w:szCs w:val="18"/>
                <w:u w:val="double"/>
                <w:lang w:val="en-GB"/>
              </w:rPr>
            </w:pPr>
            <w:r w:rsidRPr="00BD2E1E">
              <w:rPr>
                <w:rFonts w:ascii="Arial" w:hAnsi="Arial" w:cs="Arial"/>
                <w:b w:val="0"/>
                <w:bCs w:val="0"/>
                <w:szCs w:val="18"/>
                <w:u w:val="double"/>
                <w:lang w:val="en-GB"/>
              </w:rPr>
              <w:t>Sockeye</w:t>
            </w:r>
            <w:r>
              <w:rPr>
                <w:rFonts w:ascii="Arial" w:hAnsi="Arial" w:cs="Arial"/>
                <w:b w:val="0"/>
                <w:bCs w:val="0"/>
                <w:szCs w:val="18"/>
                <w:u w:val="double"/>
                <w:lang w:val="en-GB"/>
              </w:rPr>
              <w:t xml:space="preserve"> </w:t>
            </w:r>
            <w:r w:rsidRPr="00BD2E1E">
              <w:rPr>
                <w:rFonts w:ascii="Arial" w:hAnsi="Arial" w:cs="Arial"/>
                <w:b w:val="0"/>
                <w:bCs w:val="0"/>
                <w:szCs w:val="18"/>
                <w:u w:val="double"/>
                <w:lang w:val="en-GB"/>
              </w:rPr>
              <w:t>salmon</w:t>
            </w:r>
          </w:p>
        </w:tc>
      </w:tr>
      <w:tr w:rsidR="00E65E42" w:rsidRPr="00BD2E1E" w14:paraId="466A7138" w14:textId="77777777" w:rsidTr="00E65E42">
        <w:trPr>
          <w:trHeight w:val="163"/>
          <w:tblHeader/>
          <w:jc w:val="center"/>
        </w:trPr>
        <w:tc>
          <w:tcPr>
            <w:tcW w:w="2273" w:type="dxa"/>
            <w:vMerge/>
            <w:vAlign w:val="center"/>
          </w:tcPr>
          <w:p w14:paraId="5F352DE0" w14:textId="77777777" w:rsidR="00E65E42" w:rsidRPr="00BD2E1E" w:rsidRDefault="00E65E42" w:rsidP="00E65E42">
            <w:pPr>
              <w:pStyle w:val="TableHead"/>
              <w:spacing w:before="0" w:after="0"/>
              <w:rPr>
                <w:rFonts w:ascii="Arial" w:hAnsi="Arial" w:cs="Arial"/>
                <w:b w:val="0"/>
                <w:bCs w:val="0"/>
                <w:szCs w:val="18"/>
                <w:u w:val="double"/>
                <w:lang w:val="en-GB"/>
              </w:rPr>
            </w:pPr>
          </w:p>
        </w:tc>
        <w:tc>
          <w:tcPr>
            <w:tcW w:w="2551" w:type="dxa"/>
            <w:tcBorders>
              <w:top w:val="single" w:sz="4" w:space="0" w:color="auto"/>
            </w:tcBorders>
            <w:shd w:val="clear" w:color="auto" w:fill="auto"/>
            <w:vAlign w:val="center"/>
          </w:tcPr>
          <w:p w14:paraId="162DCAF6" w14:textId="77777777" w:rsidR="00E65E42" w:rsidRPr="00BD2E1E" w:rsidRDefault="00E65E42" w:rsidP="00E65E42">
            <w:pPr>
              <w:pStyle w:val="TableHead"/>
              <w:spacing w:before="0" w:after="0"/>
              <w:rPr>
                <w:rFonts w:ascii="Arial" w:hAnsi="Arial" w:cs="Arial"/>
                <w:b w:val="0"/>
                <w:bCs w:val="0"/>
                <w:i/>
                <w:iCs/>
                <w:szCs w:val="18"/>
                <w:u w:val="double"/>
                <w:lang w:val="en-GB"/>
              </w:rPr>
            </w:pPr>
            <w:r w:rsidRPr="00BD2E1E">
              <w:rPr>
                <w:rFonts w:ascii="Arial" w:hAnsi="Arial" w:cs="Arial"/>
                <w:b w:val="0"/>
                <w:bCs w:val="0"/>
                <w:i/>
                <w:iCs/>
                <w:szCs w:val="18"/>
                <w:u w:val="double"/>
                <w:lang w:val="en-GB"/>
              </w:rPr>
              <w:t>Oncorhynchus mykiss</w:t>
            </w:r>
          </w:p>
        </w:tc>
        <w:tc>
          <w:tcPr>
            <w:tcW w:w="2401" w:type="dxa"/>
            <w:tcBorders>
              <w:top w:val="single" w:sz="4" w:space="0" w:color="auto"/>
            </w:tcBorders>
            <w:vAlign w:val="center"/>
          </w:tcPr>
          <w:p w14:paraId="75CFF803" w14:textId="77777777" w:rsidR="00E65E42" w:rsidRPr="00BD2E1E" w:rsidRDefault="00E65E42" w:rsidP="00E65E42">
            <w:pPr>
              <w:pStyle w:val="TableHead"/>
              <w:spacing w:before="0" w:after="0"/>
              <w:rPr>
                <w:rFonts w:ascii="Arial" w:hAnsi="Arial" w:cs="Arial"/>
                <w:b w:val="0"/>
                <w:bCs w:val="0"/>
                <w:szCs w:val="18"/>
                <w:u w:val="double"/>
                <w:lang w:val="en-GB"/>
              </w:rPr>
            </w:pPr>
            <w:r w:rsidRPr="00BD2E1E">
              <w:rPr>
                <w:rFonts w:ascii="Arial" w:hAnsi="Arial" w:cs="Arial"/>
                <w:b w:val="0"/>
                <w:bCs w:val="0"/>
                <w:szCs w:val="18"/>
                <w:u w:val="double"/>
                <w:lang w:val="en-GB"/>
              </w:rPr>
              <w:t>Rainbow</w:t>
            </w:r>
            <w:r>
              <w:rPr>
                <w:rFonts w:ascii="Arial" w:hAnsi="Arial" w:cs="Arial"/>
                <w:b w:val="0"/>
                <w:bCs w:val="0"/>
                <w:szCs w:val="18"/>
                <w:u w:val="double"/>
                <w:lang w:val="en-GB"/>
              </w:rPr>
              <w:t xml:space="preserve"> </w:t>
            </w:r>
            <w:r w:rsidRPr="00BD2E1E">
              <w:rPr>
                <w:rFonts w:ascii="Arial" w:hAnsi="Arial" w:cs="Arial"/>
                <w:b w:val="0"/>
                <w:bCs w:val="0"/>
                <w:szCs w:val="18"/>
                <w:u w:val="double"/>
                <w:lang w:val="en-GB"/>
              </w:rPr>
              <w:t>trout</w:t>
            </w:r>
          </w:p>
        </w:tc>
      </w:tr>
      <w:tr w:rsidR="00E65E42" w:rsidRPr="00BD2E1E" w14:paraId="12E87F77" w14:textId="77777777" w:rsidTr="00E65E42">
        <w:trPr>
          <w:trHeight w:val="237"/>
          <w:tblHeader/>
          <w:jc w:val="center"/>
        </w:trPr>
        <w:tc>
          <w:tcPr>
            <w:tcW w:w="2273" w:type="dxa"/>
            <w:vMerge/>
            <w:vAlign w:val="center"/>
          </w:tcPr>
          <w:p w14:paraId="7C863AFF" w14:textId="77777777" w:rsidR="00E65E42" w:rsidRPr="00BD2E1E" w:rsidRDefault="00E65E42" w:rsidP="00E65E42">
            <w:pPr>
              <w:pStyle w:val="TableHead"/>
              <w:spacing w:before="0" w:after="0"/>
              <w:rPr>
                <w:rFonts w:ascii="Arial" w:hAnsi="Arial" w:cs="Arial"/>
                <w:b w:val="0"/>
                <w:bCs w:val="0"/>
                <w:szCs w:val="18"/>
                <w:u w:val="double"/>
                <w:lang w:val="en-GB"/>
              </w:rPr>
            </w:pPr>
          </w:p>
        </w:tc>
        <w:tc>
          <w:tcPr>
            <w:tcW w:w="2551" w:type="dxa"/>
            <w:tcBorders>
              <w:top w:val="single" w:sz="4" w:space="0" w:color="auto"/>
            </w:tcBorders>
            <w:shd w:val="clear" w:color="auto" w:fill="auto"/>
            <w:vAlign w:val="center"/>
          </w:tcPr>
          <w:p w14:paraId="449237AE" w14:textId="77777777" w:rsidR="00E65E42" w:rsidRPr="00E777B4" w:rsidRDefault="00E65E42" w:rsidP="00E65E42">
            <w:pPr>
              <w:pStyle w:val="TableHead"/>
              <w:spacing w:before="0" w:after="0"/>
              <w:rPr>
                <w:rFonts w:ascii="Arial" w:hAnsi="Arial" w:cs="Arial"/>
                <w:b w:val="0"/>
                <w:bCs w:val="0"/>
                <w:i/>
                <w:iCs/>
                <w:strike/>
                <w:szCs w:val="18"/>
                <w:highlight w:val="yellow"/>
                <w:u w:val="double"/>
                <w:lang w:val="en-GB"/>
              </w:rPr>
            </w:pPr>
            <w:r w:rsidRPr="00E777B4">
              <w:rPr>
                <w:rFonts w:ascii="Arial" w:eastAsia="Calibri" w:hAnsi="Arial" w:cs="Arial"/>
                <w:b w:val="0"/>
                <w:bCs w:val="0"/>
                <w:i/>
                <w:strike/>
                <w:szCs w:val="18"/>
                <w:highlight w:val="yellow"/>
                <w:u w:val="double"/>
                <w:shd w:val="clear" w:color="auto" w:fill="FFFFFF"/>
              </w:rPr>
              <w:t>Oncorhynchus mykiss</w:t>
            </w:r>
          </w:p>
        </w:tc>
        <w:tc>
          <w:tcPr>
            <w:tcW w:w="2401" w:type="dxa"/>
            <w:tcBorders>
              <w:top w:val="single" w:sz="4" w:space="0" w:color="auto"/>
            </w:tcBorders>
            <w:vAlign w:val="center"/>
          </w:tcPr>
          <w:p w14:paraId="386EEF8B" w14:textId="77777777" w:rsidR="00E65E42" w:rsidRPr="00E777B4" w:rsidRDefault="00E65E42" w:rsidP="00E65E42">
            <w:pPr>
              <w:pStyle w:val="TableHead"/>
              <w:spacing w:before="0" w:after="0"/>
              <w:rPr>
                <w:rFonts w:ascii="Arial" w:hAnsi="Arial" w:cs="Arial"/>
                <w:b w:val="0"/>
                <w:bCs w:val="0"/>
                <w:strike/>
                <w:szCs w:val="18"/>
                <w:highlight w:val="yellow"/>
                <w:u w:val="double"/>
                <w:lang w:val="en-GB"/>
              </w:rPr>
            </w:pPr>
            <w:r w:rsidRPr="00E777B4">
              <w:rPr>
                <w:rFonts w:ascii="Arial" w:eastAsia="Calibri" w:hAnsi="Arial" w:cs="Arial"/>
                <w:b w:val="0"/>
                <w:bCs w:val="0"/>
                <w:strike/>
                <w:szCs w:val="18"/>
                <w:highlight w:val="yellow"/>
                <w:u w:val="double"/>
                <w:shd w:val="clear" w:color="auto" w:fill="FFFFFF"/>
              </w:rPr>
              <w:t>Steelhead trout</w:t>
            </w:r>
          </w:p>
        </w:tc>
      </w:tr>
    </w:tbl>
    <w:p w14:paraId="18C6CEAC" w14:textId="77777777" w:rsidR="00DB0A8D" w:rsidRDefault="00DB0A8D">
      <w:pPr>
        <w:rPr>
          <w:u w:val="single"/>
        </w:rPr>
      </w:pPr>
      <w:r>
        <w:rPr>
          <w:u w:val="single"/>
        </w:rPr>
        <w:br w:type="page"/>
      </w:r>
    </w:p>
    <w:p w14:paraId="61475762" w14:textId="0EB033FB" w:rsidR="00DB0A8D" w:rsidRPr="00DB0A8D" w:rsidRDefault="00DB0A8D" w:rsidP="00DB0A8D">
      <w:pPr>
        <w:spacing w:after="480" w:line="240" w:lineRule="auto"/>
        <w:jc w:val="right"/>
        <w:rPr>
          <w:lang w:val="fr-FR"/>
        </w:rPr>
      </w:pPr>
      <w:r w:rsidRPr="00DB0A8D">
        <w:rPr>
          <w:u w:val="single"/>
          <w:lang w:val="fr-FR"/>
        </w:rPr>
        <w:lastRenderedPageBreak/>
        <w:t>A</w:t>
      </w:r>
      <w:r w:rsidRPr="00DB0A8D">
        <w:rPr>
          <w:rFonts w:cs="Times New Roman"/>
          <w:bCs/>
          <w:iCs/>
          <w:szCs w:val="20"/>
          <w:u w:val="single"/>
          <w:lang w:val="fr-FR"/>
        </w:rPr>
        <w:t>nnex 11</w:t>
      </w:r>
      <w:r w:rsidRPr="00DB0A8D">
        <w:rPr>
          <w:rFonts w:cs="Times New Roman"/>
          <w:bCs/>
          <w:iCs/>
          <w:szCs w:val="20"/>
          <w:lang w:val="fr-FR"/>
        </w:rPr>
        <w:t xml:space="preserve"> (contd)</w:t>
      </w:r>
    </w:p>
    <w:p w14:paraId="7C6EB525" w14:textId="77777777" w:rsidR="00E65E42" w:rsidRPr="00A175F0" w:rsidRDefault="00E65E42" w:rsidP="00A175F0">
      <w:pPr>
        <w:spacing w:before="240" w:after="240" w:line="240" w:lineRule="auto"/>
        <w:ind w:left="709"/>
        <w:jc w:val="both"/>
        <w:rPr>
          <w:rFonts w:ascii="Ottawa" w:hAnsi="Ottawa" w:cs="Arial"/>
          <w:b/>
          <w:bCs/>
          <w:szCs w:val="20"/>
          <w:u w:val="double"/>
          <w:lang w:val="fr-FR" w:eastAsia="fr-FR"/>
        </w:rPr>
      </w:pPr>
      <w:r w:rsidRPr="00DB0A8D">
        <w:rPr>
          <w:rFonts w:ascii="Ottawa" w:hAnsi="Ottawa" w:cs="Arial"/>
          <w:b/>
          <w:bCs/>
          <w:szCs w:val="20"/>
          <w:u w:val="double"/>
          <w:lang w:val="fr-FR" w:eastAsia="fr-FR"/>
        </w:rPr>
        <w:t>2.2.3.</w:t>
      </w:r>
      <w:r w:rsidRPr="00DB0A8D">
        <w:rPr>
          <w:rFonts w:ascii="Ottawa" w:hAnsi="Ottawa" w:cs="Arial"/>
          <w:b/>
          <w:bCs/>
          <w:szCs w:val="20"/>
          <w:u w:val="double"/>
          <w:lang w:val="fr-FR" w:eastAsia="fr-FR"/>
        </w:rPr>
        <w:tab/>
      </w:r>
      <w:r w:rsidRPr="00A175F0">
        <w:rPr>
          <w:rFonts w:ascii="Ottawa" w:hAnsi="Ottawa" w:cs="Arial"/>
          <w:b/>
          <w:bCs/>
          <w:szCs w:val="20"/>
          <w:u w:val="double"/>
          <w:lang w:val="en-IE" w:eastAsia="fr-FR"/>
        </w:rPr>
        <w:t>Non</w:t>
      </w:r>
      <w:r w:rsidRPr="00A175F0">
        <w:rPr>
          <w:rFonts w:ascii="Ottawa" w:hAnsi="Ottawa" w:cs="Arial"/>
          <w:b/>
          <w:bCs/>
          <w:szCs w:val="20"/>
          <w:u w:val="double"/>
          <w:lang w:val="fr-FR" w:eastAsia="fr-FR"/>
        </w:rPr>
        <w:t>-</w:t>
      </w:r>
      <w:r w:rsidRPr="00A175F0">
        <w:rPr>
          <w:rFonts w:ascii="Ottawa" w:hAnsi="Ottawa" w:cs="Arial"/>
          <w:b/>
          <w:bCs/>
          <w:szCs w:val="20"/>
          <w:u w:val="double"/>
          <w:lang w:val="en-IE" w:eastAsia="fr-FR"/>
        </w:rPr>
        <w:t>susceptible</w:t>
      </w:r>
      <w:r w:rsidRPr="00A175F0">
        <w:rPr>
          <w:rFonts w:ascii="Ottawa" w:hAnsi="Ottawa" w:cs="Arial"/>
          <w:b/>
          <w:bCs/>
          <w:szCs w:val="20"/>
          <w:u w:val="double"/>
          <w:lang w:val="fr-FR" w:eastAsia="fr-FR"/>
        </w:rPr>
        <w:t xml:space="preserve"> species</w:t>
      </w:r>
    </w:p>
    <w:p w14:paraId="3E284022" w14:textId="77777777" w:rsidR="00E65E42" w:rsidRPr="00F922E1" w:rsidRDefault="00E65E42" w:rsidP="00A175F0">
      <w:pPr>
        <w:spacing w:after="120"/>
        <w:ind w:left="709"/>
        <w:jc w:val="both"/>
        <w:rPr>
          <w:rFonts w:ascii="Arial" w:hAnsi="Arial" w:cs="Arial"/>
          <w:bCs/>
          <w:iCs/>
          <w:sz w:val="18"/>
          <w:szCs w:val="18"/>
          <w:u w:val="double"/>
        </w:rPr>
      </w:pPr>
      <w:r w:rsidRPr="00F922E1">
        <w:rPr>
          <w:rFonts w:ascii="Arial" w:hAnsi="Arial" w:cs="Arial"/>
          <w:bCs/>
          <w:iCs/>
          <w:sz w:val="18"/>
          <w:szCs w:val="18"/>
          <w:u w:val="double"/>
        </w:rPr>
        <w:t xml:space="preserve">Species that have been found non-susceptible to infection with SVCV </w:t>
      </w:r>
      <w:r w:rsidRPr="00F922E1">
        <w:rPr>
          <w:rFonts w:ascii="Arial" w:hAnsi="Arial" w:cs="Arial"/>
          <w:bCs/>
          <w:sz w:val="18"/>
          <w:szCs w:val="18"/>
          <w:u w:val="double"/>
        </w:rPr>
        <w:t xml:space="preserve">according to Chapter 1.5. of the </w:t>
      </w:r>
      <w:r w:rsidRPr="00F922E1">
        <w:rPr>
          <w:rFonts w:ascii="Arial" w:hAnsi="Arial" w:cs="Arial"/>
          <w:bCs/>
          <w:i/>
          <w:iCs/>
          <w:sz w:val="18"/>
          <w:szCs w:val="18"/>
          <w:u w:val="double"/>
        </w:rPr>
        <w:t xml:space="preserve">Aquatic </w:t>
      </w:r>
      <w:bookmarkStart w:id="106" w:name="_Hlk21704714"/>
      <w:r w:rsidRPr="00F922E1">
        <w:rPr>
          <w:rFonts w:ascii="Arial" w:hAnsi="Arial" w:cs="Arial"/>
          <w:bCs/>
          <w:i/>
          <w:iCs/>
          <w:sz w:val="18"/>
          <w:szCs w:val="18"/>
          <w:u w:val="double"/>
        </w:rPr>
        <w:t>Code</w:t>
      </w:r>
      <w:r w:rsidRPr="00F922E1">
        <w:rPr>
          <w:rFonts w:ascii="Arial" w:hAnsi="Arial" w:cs="Arial"/>
          <w:bCs/>
          <w:iCs/>
          <w:sz w:val="18"/>
          <w:szCs w:val="18"/>
          <w:u w:val="double"/>
        </w:rPr>
        <w:t xml:space="preserve"> are:</w:t>
      </w:r>
      <w:bookmarkEnd w:id="105"/>
      <w:r w:rsidRPr="00F922E1">
        <w:rPr>
          <w:rFonts w:ascii="Arial" w:hAnsi="Arial" w:cs="Arial"/>
          <w:bCs/>
          <w:iCs/>
          <w:sz w:val="18"/>
          <w:szCs w:val="18"/>
          <w:u w:val="double"/>
        </w:rPr>
        <w:t xml:space="preserve"> </w:t>
      </w:r>
      <w:r w:rsidRPr="00F922E1">
        <w:rPr>
          <w:rFonts w:ascii="Arial" w:hAnsi="Arial" w:cs="Arial"/>
          <w:sz w:val="18"/>
          <w:szCs w:val="18"/>
          <w:highlight w:val="yellow"/>
          <w:u w:val="double"/>
          <w:lang w:eastAsia="fr-FR"/>
        </w:rPr>
        <w:t>Largemouth bass (</w:t>
      </w:r>
      <w:r w:rsidRPr="00F922E1">
        <w:rPr>
          <w:rFonts w:ascii="Arial" w:hAnsi="Arial" w:cs="Arial"/>
          <w:i/>
          <w:iCs/>
          <w:sz w:val="18"/>
          <w:szCs w:val="18"/>
          <w:highlight w:val="yellow"/>
          <w:u w:val="double"/>
          <w:lang w:eastAsia="fr-FR"/>
        </w:rPr>
        <w:t>Micropterus salmoides</w:t>
      </w:r>
      <w:r w:rsidRPr="00F922E1">
        <w:rPr>
          <w:rFonts w:ascii="Arial" w:hAnsi="Arial" w:cs="Arial"/>
          <w:sz w:val="18"/>
          <w:szCs w:val="18"/>
          <w:highlight w:val="yellow"/>
          <w:u w:val="double"/>
          <w:lang w:eastAsia="fr-FR"/>
        </w:rPr>
        <w:t>), Muskellunge (</w:t>
      </w:r>
      <w:r w:rsidRPr="00F922E1">
        <w:rPr>
          <w:rFonts w:ascii="Arial" w:hAnsi="Arial" w:cs="Arial"/>
          <w:i/>
          <w:iCs/>
          <w:sz w:val="18"/>
          <w:szCs w:val="18"/>
          <w:highlight w:val="yellow"/>
          <w:u w:val="double"/>
          <w:lang w:eastAsia="fr-FR"/>
        </w:rPr>
        <w:t>Esox masquinongy</w:t>
      </w:r>
      <w:r w:rsidRPr="00F922E1">
        <w:rPr>
          <w:rFonts w:ascii="Arial" w:hAnsi="Arial" w:cs="Arial"/>
          <w:sz w:val="18"/>
          <w:szCs w:val="18"/>
          <w:highlight w:val="yellow"/>
          <w:u w:val="double"/>
          <w:lang w:eastAsia="fr-FR"/>
        </w:rPr>
        <w:t>), and Walleye (</w:t>
      </w:r>
      <w:r w:rsidRPr="00F922E1">
        <w:rPr>
          <w:rFonts w:ascii="Arial" w:hAnsi="Arial" w:cs="Arial"/>
          <w:i/>
          <w:iCs/>
          <w:sz w:val="18"/>
          <w:szCs w:val="18"/>
          <w:highlight w:val="yellow"/>
          <w:u w:val="double"/>
          <w:lang w:eastAsia="fr-FR"/>
        </w:rPr>
        <w:t>Sander vitreus</w:t>
      </w:r>
      <w:r w:rsidRPr="00F922E1">
        <w:rPr>
          <w:rFonts w:ascii="Arial" w:hAnsi="Arial" w:cs="Arial"/>
          <w:sz w:val="18"/>
          <w:szCs w:val="18"/>
          <w:highlight w:val="yellow"/>
          <w:u w:val="double"/>
          <w:lang w:eastAsia="fr-FR"/>
        </w:rPr>
        <w:t>).</w:t>
      </w:r>
    </w:p>
    <w:tbl>
      <w:tblPr>
        <w:tblW w:w="8363" w:type="dxa"/>
        <w:tblInd w:w="983" w:type="dxa"/>
        <w:tblCellMar>
          <w:left w:w="0" w:type="dxa"/>
          <w:right w:w="0" w:type="dxa"/>
        </w:tblCellMar>
        <w:tblLook w:val="04A0" w:firstRow="1" w:lastRow="0" w:firstColumn="1" w:lastColumn="0" w:noHBand="0" w:noVBand="1"/>
      </w:tblPr>
      <w:tblGrid>
        <w:gridCol w:w="2400"/>
        <w:gridCol w:w="2990"/>
        <w:gridCol w:w="2973"/>
      </w:tblGrid>
      <w:tr w:rsidR="00E65E42" w:rsidRPr="00F922E1" w14:paraId="2244C5C9" w14:textId="77777777" w:rsidTr="00223026">
        <w:tc>
          <w:tcPr>
            <w:tcW w:w="24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9311D36" w14:textId="77777777" w:rsidR="00E65E42" w:rsidRPr="00F922E1" w:rsidRDefault="00E65E42" w:rsidP="00223026">
            <w:pPr>
              <w:pStyle w:val="Para3"/>
              <w:spacing w:after="0"/>
              <w:ind w:left="26" w:hanging="26"/>
              <w:jc w:val="center"/>
              <w:rPr>
                <w:rFonts w:cs="Arial"/>
                <w:b/>
                <w:strike/>
                <w:szCs w:val="18"/>
                <w:highlight w:val="yellow"/>
                <w:lang w:eastAsia="fr-FR"/>
              </w:rPr>
            </w:pPr>
            <w:r w:rsidRPr="00F922E1">
              <w:rPr>
                <w:rFonts w:cs="Arial"/>
                <w:b/>
                <w:bCs w:val="0"/>
                <w:strike/>
                <w:szCs w:val="18"/>
                <w:highlight w:val="yellow"/>
                <w:lang w:eastAsia="fr-FR"/>
              </w:rPr>
              <w:t>Family</w:t>
            </w:r>
          </w:p>
        </w:tc>
        <w:tc>
          <w:tcPr>
            <w:tcW w:w="29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C3A77AF" w14:textId="77777777" w:rsidR="00E65E42" w:rsidRPr="00F922E1" w:rsidRDefault="00E65E42" w:rsidP="00223026">
            <w:pPr>
              <w:pStyle w:val="Para3"/>
              <w:spacing w:after="0"/>
              <w:ind w:left="26" w:hanging="26"/>
              <w:jc w:val="center"/>
              <w:rPr>
                <w:rFonts w:cs="Arial"/>
                <w:b/>
                <w:bCs w:val="0"/>
                <w:strike/>
                <w:szCs w:val="18"/>
                <w:highlight w:val="yellow"/>
                <w:lang w:eastAsia="fr-FR"/>
              </w:rPr>
            </w:pPr>
            <w:r w:rsidRPr="00F922E1">
              <w:rPr>
                <w:rFonts w:cs="Arial"/>
                <w:b/>
                <w:bCs w:val="0"/>
                <w:strike/>
                <w:szCs w:val="18"/>
                <w:highlight w:val="yellow"/>
                <w:lang w:eastAsia="fr-FR"/>
              </w:rPr>
              <w:t>Scientific name</w:t>
            </w:r>
          </w:p>
        </w:tc>
        <w:tc>
          <w:tcPr>
            <w:tcW w:w="297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A0E50F6" w14:textId="77777777" w:rsidR="00E65E42" w:rsidRPr="00F922E1" w:rsidRDefault="00E65E42" w:rsidP="00223026">
            <w:pPr>
              <w:pStyle w:val="Para3"/>
              <w:spacing w:after="0"/>
              <w:ind w:left="26" w:hanging="26"/>
              <w:jc w:val="center"/>
              <w:rPr>
                <w:rFonts w:cs="Arial"/>
                <w:b/>
                <w:bCs w:val="0"/>
                <w:strike/>
                <w:szCs w:val="18"/>
                <w:highlight w:val="yellow"/>
                <w:lang w:eastAsia="fr-FR"/>
              </w:rPr>
            </w:pPr>
            <w:r w:rsidRPr="00F922E1">
              <w:rPr>
                <w:rFonts w:cs="Arial"/>
                <w:b/>
                <w:bCs w:val="0"/>
                <w:strike/>
                <w:szCs w:val="18"/>
                <w:highlight w:val="yellow"/>
                <w:lang w:eastAsia="fr-FR"/>
              </w:rPr>
              <w:t>Common name</w:t>
            </w:r>
          </w:p>
        </w:tc>
      </w:tr>
      <w:tr w:rsidR="00E65E42" w:rsidRPr="00F922E1" w14:paraId="41D14808" w14:textId="77777777" w:rsidTr="00223026">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647062" w14:textId="77777777" w:rsidR="00E65E42" w:rsidRPr="00F922E1" w:rsidRDefault="00E65E42" w:rsidP="00223026">
            <w:pPr>
              <w:pStyle w:val="Para3"/>
              <w:spacing w:after="0"/>
              <w:ind w:left="26" w:hanging="26"/>
              <w:jc w:val="center"/>
              <w:rPr>
                <w:rFonts w:cs="Arial"/>
                <w:bCs w:val="0"/>
                <w:strike/>
                <w:szCs w:val="18"/>
                <w:highlight w:val="yellow"/>
                <w:lang w:eastAsia="fr-FR"/>
              </w:rPr>
            </w:pPr>
            <w:r w:rsidRPr="00F922E1">
              <w:rPr>
                <w:rFonts w:cs="Arial"/>
                <w:strike/>
                <w:szCs w:val="18"/>
                <w:highlight w:val="yellow"/>
                <w:lang w:eastAsia="fr-FR"/>
              </w:rPr>
              <w:t>Centrarchidae</w:t>
            </w:r>
          </w:p>
        </w:tc>
        <w:tc>
          <w:tcPr>
            <w:tcW w:w="29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383A90" w14:textId="77777777" w:rsidR="00E65E42" w:rsidRPr="00F922E1" w:rsidRDefault="00E65E42" w:rsidP="00223026">
            <w:pPr>
              <w:pStyle w:val="Para3"/>
              <w:spacing w:after="0"/>
              <w:ind w:left="26" w:hanging="26"/>
              <w:jc w:val="center"/>
              <w:rPr>
                <w:rFonts w:cs="Arial"/>
                <w:i/>
                <w:iCs/>
                <w:strike/>
                <w:szCs w:val="18"/>
                <w:highlight w:val="yellow"/>
                <w:lang w:eastAsia="fr-FR"/>
              </w:rPr>
            </w:pPr>
            <w:r w:rsidRPr="00F922E1">
              <w:rPr>
                <w:rFonts w:cs="Arial"/>
                <w:i/>
                <w:iCs/>
                <w:strike/>
                <w:szCs w:val="18"/>
                <w:highlight w:val="yellow"/>
                <w:lang w:eastAsia="fr-FR"/>
              </w:rPr>
              <w:t xml:space="preserve">Micropterus salmoides </w:t>
            </w:r>
          </w:p>
        </w:tc>
        <w:tc>
          <w:tcPr>
            <w:tcW w:w="29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2B93C9" w14:textId="77777777" w:rsidR="00E65E42" w:rsidRPr="00F922E1" w:rsidRDefault="00E65E42" w:rsidP="00223026">
            <w:pPr>
              <w:pStyle w:val="Para3"/>
              <w:spacing w:after="0"/>
              <w:ind w:left="26" w:hanging="26"/>
              <w:jc w:val="center"/>
              <w:rPr>
                <w:rFonts w:cs="Arial"/>
                <w:strike/>
                <w:szCs w:val="18"/>
                <w:highlight w:val="yellow"/>
                <w:lang w:eastAsia="fr-FR"/>
              </w:rPr>
            </w:pPr>
            <w:r w:rsidRPr="00F922E1">
              <w:rPr>
                <w:rFonts w:cs="Arial"/>
                <w:strike/>
                <w:szCs w:val="18"/>
                <w:highlight w:val="yellow"/>
                <w:lang w:eastAsia="fr-FR"/>
              </w:rPr>
              <w:t>Largemouth bass</w:t>
            </w:r>
          </w:p>
        </w:tc>
      </w:tr>
      <w:tr w:rsidR="00E65E42" w:rsidRPr="00F922E1" w14:paraId="67898E1D" w14:textId="77777777" w:rsidTr="00223026">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C535B9" w14:textId="77777777" w:rsidR="00E65E42" w:rsidRPr="00F922E1" w:rsidRDefault="00E65E42" w:rsidP="00223026">
            <w:pPr>
              <w:pStyle w:val="Para3"/>
              <w:spacing w:after="0"/>
              <w:ind w:left="26" w:hanging="26"/>
              <w:jc w:val="center"/>
              <w:rPr>
                <w:rFonts w:cs="Arial"/>
                <w:strike/>
                <w:szCs w:val="18"/>
                <w:highlight w:val="yellow"/>
                <w:lang w:eastAsia="fr-FR"/>
              </w:rPr>
            </w:pPr>
            <w:r w:rsidRPr="00F922E1">
              <w:rPr>
                <w:rStyle w:val="slabel1"/>
                <w:rFonts w:eastAsiaTheme="majorEastAsia" w:cs="Arial"/>
                <w:strike/>
                <w:color w:val="000000"/>
                <w:szCs w:val="18"/>
                <w:highlight w:val="yellow"/>
                <w:lang w:eastAsia="fr-FR"/>
              </w:rPr>
              <w:t>Esocidae</w:t>
            </w:r>
          </w:p>
        </w:tc>
        <w:tc>
          <w:tcPr>
            <w:tcW w:w="29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AAB360" w14:textId="77777777" w:rsidR="00E65E42" w:rsidRPr="00F922E1" w:rsidRDefault="00E65E42" w:rsidP="00223026">
            <w:pPr>
              <w:pStyle w:val="Para3"/>
              <w:spacing w:after="0"/>
              <w:ind w:left="26" w:hanging="26"/>
              <w:jc w:val="center"/>
              <w:rPr>
                <w:rFonts w:cs="Arial"/>
                <w:i/>
                <w:iCs/>
                <w:strike/>
                <w:szCs w:val="18"/>
                <w:highlight w:val="yellow"/>
                <w:lang w:eastAsia="fr-FR"/>
              </w:rPr>
            </w:pPr>
            <w:r w:rsidRPr="00F922E1">
              <w:rPr>
                <w:rFonts w:cs="Arial"/>
                <w:i/>
                <w:iCs/>
                <w:strike/>
                <w:szCs w:val="18"/>
                <w:highlight w:val="yellow"/>
                <w:lang w:eastAsia="fr-FR"/>
              </w:rPr>
              <w:t>Esox masquinongy</w:t>
            </w:r>
          </w:p>
        </w:tc>
        <w:tc>
          <w:tcPr>
            <w:tcW w:w="29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B05A6A" w14:textId="77777777" w:rsidR="00E65E42" w:rsidRPr="00F922E1" w:rsidRDefault="00E65E42" w:rsidP="00223026">
            <w:pPr>
              <w:pStyle w:val="Para3"/>
              <w:spacing w:after="0"/>
              <w:ind w:left="26" w:hanging="26"/>
              <w:jc w:val="center"/>
              <w:rPr>
                <w:rFonts w:cs="Arial"/>
                <w:strike/>
                <w:szCs w:val="18"/>
                <w:highlight w:val="yellow"/>
                <w:lang w:eastAsia="fr-FR"/>
              </w:rPr>
            </w:pPr>
            <w:r w:rsidRPr="00F922E1">
              <w:rPr>
                <w:rFonts w:cs="Arial"/>
                <w:strike/>
                <w:szCs w:val="18"/>
                <w:highlight w:val="yellow"/>
                <w:lang w:eastAsia="fr-FR"/>
              </w:rPr>
              <w:t>Muskellunge</w:t>
            </w:r>
          </w:p>
        </w:tc>
      </w:tr>
      <w:tr w:rsidR="00E65E42" w:rsidRPr="00F922E1" w14:paraId="403E3904" w14:textId="77777777" w:rsidTr="00223026">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1DE73F" w14:textId="77777777" w:rsidR="00E65E42" w:rsidRPr="00F922E1" w:rsidRDefault="00E65E42" w:rsidP="00223026">
            <w:pPr>
              <w:pStyle w:val="Para3"/>
              <w:spacing w:after="0"/>
              <w:ind w:left="26" w:hanging="26"/>
              <w:jc w:val="center"/>
              <w:rPr>
                <w:rFonts w:cs="Arial"/>
                <w:strike/>
                <w:szCs w:val="18"/>
                <w:highlight w:val="yellow"/>
                <w:lang w:eastAsia="fr-FR"/>
              </w:rPr>
            </w:pPr>
            <w:r w:rsidRPr="00F922E1">
              <w:rPr>
                <w:rFonts w:cs="Arial"/>
                <w:strike/>
                <w:szCs w:val="18"/>
                <w:highlight w:val="yellow"/>
                <w:lang w:eastAsia="fr-FR"/>
              </w:rPr>
              <w:t>Percidae</w:t>
            </w:r>
          </w:p>
        </w:tc>
        <w:tc>
          <w:tcPr>
            <w:tcW w:w="29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3D2744" w14:textId="77777777" w:rsidR="00E65E42" w:rsidRPr="00F922E1" w:rsidRDefault="00E65E42" w:rsidP="00223026">
            <w:pPr>
              <w:pStyle w:val="Para3"/>
              <w:spacing w:after="0"/>
              <w:ind w:left="26" w:hanging="26"/>
              <w:jc w:val="center"/>
              <w:rPr>
                <w:rFonts w:cs="Arial"/>
                <w:i/>
                <w:iCs/>
                <w:strike/>
                <w:szCs w:val="18"/>
                <w:highlight w:val="yellow"/>
                <w:lang w:eastAsia="fr-FR"/>
              </w:rPr>
            </w:pPr>
            <w:r w:rsidRPr="00F922E1">
              <w:rPr>
                <w:rFonts w:cs="Arial"/>
                <w:i/>
                <w:iCs/>
                <w:strike/>
                <w:szCs w:val="18"/>
                <w:highlight w:val="yellow"/>
                <w:lang w:eastAsia="fr-FR"/>
              </w:rPr>
              <w:t>Sander vitreus</w:t>
            </w:r>
          </w:p>
        </w:tc>
        <w:tc>
          <w:tcPr>
            <w:tcW w:w="29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182B34" w14:textId="77777777" w:rsidR="00E65E42" w:rsidRPr="00F922E1" w:rsidRDefault="00E65E42" w:rsidP="00223026">
            <w:pPr>
              <w:pStyle w:val="Para3"/>
              <w:spacing w:after="0"/>
              <w:ind w:left="26" w:hanging="26"/>
              <w:jc w:val="center"/>
              <w:rPr>
                <w:rFonts w:cs="Arial"/>
                <w:strike/>
                <w:szCs w:val="18"/>
                <w:highlight w:val="yellow"/>
                <w:lang w:eastAsia="fr-FR"/>
              </w:rPr>
            </w:pPr>
            <w:r w:rsidRPr="00F922E1">
              <w:rPr>
                <w:rFonts w:cs="Arial"/>
                <w:strike/>
                <w:szCs w:val="18"/>
                <w:highlight w:val="yellow"/>
                <w:lang w:eastAsia="fr-FR"/>
              </w:rPr>
              <w:t>Walleye</w:t>
            </w:r>
          </w:p>
        </w:tc>
      </w:tr>
    </w:tbl>
    <w:bookmarkEnd w:id="106"/>
    <w:p w14:paraId="2E1E211A" w14:textId="77777777" w:rsidR="00E65E42" w:rsidRPr="000151EA" w:rsidRDefault="00E65E42" w:rsidP="00A175F0">
      <w:pPr>
        <w:spacing w:before="240" w:after="240" w:line="240" w:lineRule="auto"/>
        <w:ind w:left="709"/>
        <w:jc w:val="both"/>
        <w:rPr>
          <w:rFonts w:ascii="Ottawa" w:hAnsi="Ottawa" w:cs="Arial"/>
          <w:b/>
          <w:bCs/>
          <w:szCs w:val="20"/>
          <w:lang w:val="en-IE" w:eastAsia="fr-FR"/>
        </w:rPr>
      </w:pPr>
      <w:r w:rsidRPr="000151EA">
        <w:rPr>
          <w:rFonts w:ascii="Ottawa" w:hAnsi="Ottawa" w:cs="Arial"/>
          <w:b/>
          <w:bCs/>
          <w:szCs w:val="20"/>
          <w:lang w:val="en-IE" w:eastAsia="fr-FR"/>
        </w:rPr>
        <w:t>2.2.4.</w:t>
      </w:r>
      <w:r w:rsidRPr="000151EA">
        <w:rPr>
          <w:rFonts w:ascii="Ottawa" w:hAnsi="Ottawa" w:cs="Arial"/>
          <w:b/>
          <w:bCs/>
          <w:szCs w:val="20"/>
          <w:lang w:val="en-IE" w:eastAsia="fr-FR"/>
        </w:rPr>
        <w:tab/>
      </w:r>
      <w:r w:rsidRPr="00A175F0">
        <w:rPr>
          <w:rFonts w:ascii="Ottawa" w:hAnsi="Ottawa" w:cs="Arial"/>
          <w:b/>
          <w:bCs/>
          <w:szCs w:val="20"/>
          <w:lang w:val="en-IE" w:eastAsia="fr-FR"/>
        </w:rPr>
        <w:t>Likelihood</w:t>
      </w:r>
      <w:r w:rsidRPr="000151EA">
        <w:rPr>
          <w:rFonts w:ascii="Ottawa" w:hAnsi="Ottawa" w:cs="Arial"/>
          <w:b/>
          <w:bCs/>
          <w:szCs w:val="20"/>
          <w:lang w:val="en-IE" w:eastAsia="fr-FR"/>
        </w:rPr>
        <w:t xml:space="preserve"> of infection by species, host life stage, population or sub-populations </w:t>
      </w:r>
    </w:p>
    <w:p w14:paraId="54E8A355" w14:textId="77777777" w:rsidR="00E65E42" w:rsidRPr="00BD2E1E" w:rsidRDefault="00E65E42" w:rsidP="00A175F0">
      <w:pPr>
        <w:spacing w:after="240" w:line="240" w:lineRule="auto"/>
        <w:ind w:left="709"/>
        <w:jc w:val="both"/>
        <w:rPr>
          <w:rFonts w:ascii="Arial" w:hAnsi="Arial" w:cs="Arial"/>
          <w:bCs/>
          <w:iCs/>
          <w:sz w:val="18"/>
          <w:szCs w:val="18"/>
          <w:lang w:eastAsia="fr-FR"/>
        </w:rPr>
      </w:pPr>
      <w:r w:rsidRPr="00BD2E1E">
        <w:rPr>
          <w:rFonts w:ascii="Arial" w:hAnsi="Arial" w:cs="Arial"/>
          <w:bCs/>
          <w:iCs/>
          <w:sz w:val="18"/>
          <w:szCs w:val="18"/>
          <w:lang w:eastAsia="fr-FR"/>
        </w:rPr>
        <w:t xml:space="preserve">Common carp varieties are the principal hosts for SVCV and are considered to be most </w:t>
      </w:r>
      <w:r w:rsidRPr="009F5247">
        <w:rPr>
          <w:rFonts w:ascii="Arial" w:hAnsi="Arial" w:cs="Arial"/>
          <w:bCs/>
          <w:iCs/>
          <w:sz w:val="18"/>
          <w:szCs w:val="18"/>
          <w:highlight w:val="yellow"/>
          <w:u w:val="double"/>
          <w:lang w:eastAsia="fr-FR"/>
        </w:rPr>
        <w:t>likely</w:t>
      </w:r>
      <w:r w:rsidRPr="009F5247">
        <w:rPr>
          <w:rFonts w:ascii="Arial" w:hAnsi="Arial" w:cs="Arial"/>
          <w:bCs/>
          <w:iCs/>
          <w:sz w:val="18"/>
          <w:szCs w:val="18"/>
          <w:highlight w:val="yellow"/>
          <w:lang w:eastAsia="fr-FR"/>
        </w:rPr>
        <w:t xml:space="preserve"> </w:t>
      </w:r>
      <w:r w:rsidRPr="009F5247">
        <w:rPr>
          <w:rFonts w:ascii="Arial" w:hAnsi="Arial" w:cs="Arial"/>
          <w:bCs/>
          <w:iCs/>
          <w:strike/>
          <w:sz w:val="18"/>
          <w:szCs w:val="18"/>
          <w:highlight w:val="yellow"/>
          <w:lang w:eastAsia="fr-FR"/>
        </w:rPr>
        <w:t>susceptible</w:t>
      </w:r>
      <w:r w:rsidRPr="009F5247">
        <w:rPr>
          <w:rFonts w:ascii="Arial" w:hAnsi="Arial" w:cs="Arial"/>
          <w:bCs/>
          <w:iCs/>
          <w:strike/>
          <w:sz w:val="18"/>
          <w:szCs w:val="18"/>
          <w:lang w:eastAsia="fr-FR"/>
        </w:rPr>
        <w:t xml:space="preserve"> </w:t>
      </w:r>
      <w:r w:rsidRPr="00BD2E1E">
        <w:rPr>
          <w:rFonts w:ascii="Arial" w:hAnsi="Arial" w:cs="Arial"/>
          <w:bCs/>
          <w:iCs/>
          <w:sz w:val="18"/>
          <w:szCs w:val="18"/>
          <w:lang w:eastAsia="fr-FR"/>
        </w:rPr>
        <w:t xml:space="preserve">to </w:t>
      </w:r>
      <w:r w:rsidRPr="009F5247">
        <w:rPr>
          <w:rFonts w:ascii="Arial" w:hAnsi="Arial" w:cs="Arial"/>
          <w:bCs/>
          <w:iCs/>
          <w:sz w:val="18"/>
          <w:szCs w:val="18"/>
          <w:highlight w:val="yellow"/>
          <w:u w:val="double"/>
          <w:lang w:eastAsia="fr-FR"/>
        </w:rPr>
        <w:t>be infected</w:t>
      </w:r>
      <w:r w:rsidRPr="009F5247">
        <w:rPr>
          <w:rFonts w:ascii="Arial" w:hAnsi="Arial" w:cs="Arial"/>
          <w:bCs/>
          <w:iCs/>
          <w:strike/>
          <w:sz w:val="18"/>
          <w:szCs w:val="18"/>
          <w:highlight w:val="yellow"/>
          <w:lang w:eastAsia="fr-FR"/>
        </w:rPr>
        <w:t xml:space="preserve"> infection</w:t>
      </w:r>
      <w:r w:rsidRPr="00BD2E1E">
        <w:rPr>
          <w:rFonts w:ascii="Arial" w:hAnsi="Arial" w:cs="Arial"/>
          <w:bCs/>
          <w:iCs/>
          <w:sz w:val="18"/>
          <w:szCs w:val="18"/>
          <w:lang w:eastAsia="fr-FR"/>
        </w:rPr>
        <w:t xml:space="preserve"> with SVCV followed</w:t>
      </w:r>
      <w:r w:rsidRPr="009F5247">
        <w:rPr>
          <w:rFonts w:ascii="Arial" w:hAnsi="Arial" w:cs="Arial"/>
          <w:bCs/>
          <w:iCs/>
          <w:strike/>
          <w:sz w:val="18"/>
          <w:szCs w:val="18"/>
          <w:highlight w:val="yellow"/>
          <w:lang w:eastAsia="fr-FR"/>
        </w:rPr>
        <w:t xml:space="preserve">, in </w:t>
      </w:r>
      <w:r w:rsidRPr="00695BD1">
        <w:rPr>
          <w:rFonts w:ascii="Arial" w:hAnsi="Arial" w:cs="Arial"/>
          <w:bCs/>
          <w:iCs/>
          <w:strike/>
          <w:sz w:val="18"/>
          <w:szCs w:val="18"/>
          <w:highlight w:val="yellow"/>
          <w:lang w:eastAsia="fr-FR"/>
        </w:rPr>
        <w:t>order of susceptibility,</w:t>
      </w:r>
      <w:r w:rsidRPr="009F5247">
        <w:rPr>
          <w:rFonts w:ascii="Arial" w:hAnsi="Arial" w:cs="Arial"/>
          <w:bCs/>
          <w:iCs/>
          <w:sz w:val="18"/>
          <w:szCs w:val="18"/>
          <w:lang w:eastAsia="fr-FR"/>
        </w:rPr>
        <w:t xml:space="preserve"> </w:t>
      </w:r>
      <w:r w:rsidRPr="00BD2E1E">
        <w:rPr>
          <w:rFonts w:ascii="Arial" w:hAnsi="Arial" w:cs="Arial"/>
          <w:bCs/>
          <w:iCs/>
          <w:sz w:val="18"/>
          <w:szCs w:val="18"/>
          <w:lang w:eastAsia="fr-FR"/>
        </w:rPr>
        <w:t xml:space="preserve">by other carp species (including hybrids), other susceptible cyprinid species and finally </w:t>
      </w:r>
      <w:r w:rsidRPr="00695BD1">
        <w:rPr>
          <w:rFonts w:ascii="Arial" w:hAnsi="Arial" w:cs="Arial"/>
          <w:bCs/>
          <w:iCs/>
          <w:strike/>
          <w:sz w:val="18"/>
          <w:szCs w:val="18"/>
          <w:highlight w:val="yellow"/>
          <w:lang w:eastAsia="fr-FR"/>
        </w:rPr>
        <w:t>susceptible</w:t>
      </w:r>
      <w:r w:rsidRPr="009F5247">
        <w:rPr>
          <w:rFonts w:ascii="Arial" w:hAnsi="Arial" w:cs="Arial"/>
          <w:bCs/>
          <w:iCs/>
          <w:strike/>
          <w:sz w:val="18"/>
          <w:szCs w:val="18"/>
          <w:lang w:eastAsia="fr-FR"/>
        </w:rPr>
        <w:t xml:space="preserve"> </w:t>
      </w:r>
      <w:r w:rsidRPr="00BD2E1E">
        <w:rPr>
          <w:rFonts w:ascii="Arial" w:hAnsi="Arial" w:cs="Arial"/>
          <w:bCs/>
          <w:iCs/>
          <w:sz w:val="18"/>
          <w:szCs w:val="18"/>
          <w:lang w:eastAsia="fr-FR"/>
        </w:rPr>
        <w:t xml:space="preserve">non-cyprinid fish species. </w:t>
      </w:r>
      <w:r w:rsidRPr="00695BD1">
        <w:rPr>
          <w:rFonts w:ascii="Arial" w:hAnsi="Arial" w:cs="Arial"/>
          <w:bCs/>
          <w:iCs/>
          <w:strike/>
          <w:sz w:val="18"/>
          <w:szCs w:val="18"/>
          <w:highlight w:val="yellow"/>
          <w:lang w:eastAsia="fr-FR"/>
        </w:rPr>
        <w:t xml:space="preserve">When sampling during surveillance programmes for SVCV, common carp or strains such as koi or ghost (koi × common) carp are preferentially selected, followed by carp hybrids (e.g. common carp × crucian carp), then other carp species such as crucian carp, goldfish, grass carp, bighead carp and silver carp. Should these species not be available then other known susceptible species should be sampled. Cyprinid species </w:t>
      </w:r>
      <w:r w:rsidRPr="00695BD1">
        <w:rPr>
          <w:rFonts w:ascii="Arial" w:hAnsi="Arial" w:cs="Arial"/>
          <w:bCs/>
          <w:iCs/>
          <w:strike/>
          <w:sz w:val="18"/>
          <w:szCs w:val="18"/>
          <w:highlight w:val="yellow"/>
          <w:u w:val="double"/>
          <w:lang w:eastAsia="fr-FR"/>
        </w:rPr>
        <w:t>may be</w:t>
      </w:r>
      <w:r w:rsidRPr="00695BD1">
        <w:rPr>
          <w:rFonts w:ascii="Arial" w:hAnsi="Arial" w:cs="Arial"/>
          <w:bCs/>
          <w:iCs/>
          <w:strike/>
          <w:sz w:val="18"/>
          <w:szCs w:val="18"/>
          <w:highlight w:val="yellow"/>
          <w:lang w:eastAsia="fr-FR"/>
        </w:rPr>
        <w:t xml:space="preserve"> are increasingly mixed together in polyculture systems and the risk of transmission of SVCV between species during disease outbreaks is high (Billard &amp; Berni, 2004).</w:t>
      </w:r>
    </w:p>
    <w:p w14:paraId="7BCED941" w14:textId="6F865C01" w:rsidR="00E65E42" w:rsidRPr="00695BD1" w:rsidRDefault="00E65E42" w:rsidP="00A175F0">
      <w:pPr>
        <w:spacing w:after="240" w:line="240" w:lineRule="auto"/>
        <w:ind w:left="709"/>
        <w:jc w:val="both"/>
        <w:rPr>
          <w:rFonts w:ascii="Arial" w:hAnsi="Arial" w:cs="Arial"/>
          <w:bCs/>
          <w:strike/>
          <w:sz w:val="18"/>
          <w:szCs w:val="18"/>
          <w:lang w:eastAsia="fr-FR"/>
        </w:rPr>
      </w:pPr>
      <w:r w:rsidRPr="00BD2E1E">
        <w:rPr>
          <w:rFonts w:ascii="Arial" w:hAnsi="Arial" w:cs="Arial"/>
          <w:bCs/>
          <w:sz w:val="18"/>
          <w:szCs w:val="18"/>
          <w:lang w:eastAsia="fr-FR"/>
        </w:rPr>
        <w:t xml:space="preserve">Generally, young fish up to </w:t>
      </w:r>
      <w:r w:rsidR="00223026">
        <w:rPr>
          <w:rFonts w:ascii="Arial" w:hAnsi="Arial" w:cs="Arial"/>
          <w:bCs/>
          <w:sz w:val="18"/>
          <w:szCs w:val="18"/>
          <w:lang w:eastAsia="fr-FR"/>
        </w:rPr>
        <w:t>one-</w:t>
      </w:r>
      <w:r w:rsidRPr="00BD2E1E">
        <w:rPr>
          <w:rFonts w:ascii="Arial" w:hAnsi="Arial" w:cs="Arial"/>
          <w:bCs/>
          <w:sz w:val="18"/>
          <w:szCs w:val="18"/>
          <w:lang w:eastAsia="fr-FR"/>
        </w:rPr>
        <w:t xml:space="preserve">year old are most </w:t>
      </w:r>
      <w:r w:rsidRPr="009F5247">
        <w:rPr>
          <w:rFonts w:ascii="Arial" w:hAnsi="Arial" w:cs="Arial"/>
          <w:bCs/>
          <w:strike/>
          <w:sz w:val="18"/>
          <w:szCs w:val="18"/>
          <w:highlight w:val="yellow"/>
          <w:lang w:eastAsia="fr-FR"/>
        </w:rPr>
        <w:t>susceptibl</w:t>
      </w:r>
      <w:r>
        <w:rPr>
          <w:rFonts w:ascii="Arial" w:hAnsi="Arial" w:cs="Arial"/>
          <w:bCs/>
          <w:strike/>
          <w:sz w:val="18"/>
          <w:szCs w:val="18"/>
          <w:highlight w:val="yellow"/>
          <w:lang w:eastAsia="fr-FR"/>
        </w:rPr>
        <w:t>e to</w:t>
      </w:r>
      <w:r w:rsidRPr="009F5247">
        <w:rPr>
          <w:rFonts w:ascii="Arial" w:hAnsi="Arial" w:cs="Arial"/>
          <w:bCs/>
          <w:strike/>
          <w:sz w:val="18"/>
          <w:szCs w:val="18"/>
          <w:highlight w:val="yellow"/>
          <w:lang w:eastAsia="fr-FR"/>
        </w:rPr>
        <w:t xml:space="preserve"> </w:t>
      </w:r>
      <w:r w:rsidRPr="009F5247">
        <w:rPr>
          <w:rFonts w:ascii="Arial" w:hAnsi="Arial" w:cs="Arial"/>
          <w:bCs/>
          <w:sz w:val="18"/>
          <w:szCs w:val="18"/>
          <w:highlight w:val="yellow"/>
          <w:u w:val="double"/>
          <w:lang w:eastAsia="fr-FR"/>
        </w:rPr>
        <w:t>likely to demonstrate</w:t>
      </w:r>
      <w:r w:rsidRPr="00BD2E1E">
        <w:rPr>
          <w:rFonts w:ascii="Arial" w:hAnsi="Arial" w:cs="Arial"/>
          <w:bCs/>
          <w:sz w:val="18"/>
          <w:szCs w:val="18"/>
          <w:lang w:eastAsia="fr-FR"/>
        </w:rPr>
        <w:t xml:space="preserve"> clinical </w:t>
      </w:r>
      <w:r w:rsidRPr="00695BD1">
        <w:rPr>
          <w:rFonts w:ascii="Arial" w:hAnsi="Arial" w:cs="Arial"/>
          <w:bCs/>
          <w:sz w:val="18"/>
          <w:szCs w:val="18"/>
          <w:highlight w:val="yellow"/>
          <w:u w:val="double"/>
          <w:lang w:eastAsia="fr-FR"/>
        </w:rPr>
        <w:t>signs of</w:t>
      </w:r>
      <w:r>
        <w:rPr>
          <w:rFonts w:ascii="Arial" w:hAnsi="Arial" w:cs="Arial"/>
          <w:bCs/>
          <w:sz w:val="18"/>
          <w:szCs w:val="18"/>
          <w:lang w:eastAsia="fr-FR"/>
        </w:rPr>
        <w:t xml:space="preserve"> </w:t>
      </w:r>
      <w:r w:rsidRPr="00BD2E1E">
        <w:rPr>
          <w:rFonts w:ascii="Arial" w:hAnsi="Arial" w:cs="Arial"/>
          <w:bCs/>
          <w:sz w:val="18"/>
          <w:szCs w:val="18"/>
          <w:lang w:eastAsia="fr-FR"/>
        </w:rPr>
        <w:t>disease, but all age groups can be affected. Moreover, there is a high variability in the degree of susceptibility to infection with SVCV among individuals of the same fish species. Apart from the physiological state of the fish, the role of which is poorly understood, age or the age-related status of innate immunity appears to be extremely important</w:t>
      </w:r>
      <w:r>
        <w:rPr>
          <w:rFonts w:ascii="Arial" w:hAnsi="Arial" w:cs="Arial"/>
          <w:bCs/>
          <w:sz w:val="18"/>
          <w:szCs w:val="18"/>
          <w:lang w:eastAsia="fr-FR"/>
        </w:rPr>
        <w:t xml:space="preserve"> </w:t>
      </w:r>
      <w:r w:rsidRPr="00695BD1">
        <w:rPr>
          <w:rFonts w:ascii="Arial" w:hAnsi="Arial" w:cs="Arial"/>
          <w:bCs/>
          <w:sz w:val="18"/>
          <w:szCs w:val="18"/>
          <w:highlight w:val="yellow"/>
          <w:u w:val="double"/>
          <w:lang w:eastAsia="fr-FR"/>
        </w:rPr>
        <w:t xml:space="preserve">to the manifestation of clinical </w:t>
      </w:r>
      <w:r w:rsidRPr="009F5247">
        <w:rPr>
          <w:rFonts w:ascii="Arial" w:hAnsi="Arial" w:cs="Arial"/>
          <w:bCs/>
          <w:sz w:val="18"/>
          <w:szCs w:val="18"/>
          <w:highlight w:val="yellow"/>
          <w:u w:val="double"/>
          <w:lang w:eastAsia="fr-FR"/>
        </w:rPr>
        <w:t>disease</w:t>
      </w:r>
      <w:r w:rsidRPr="009F5247">
        <w:rPr>
          <w:rFonts w:ascii="Arial" w:hAnsi="Arial" w:cs="Arial"/>
          <w:bCs/>
          <w:sz w:val="18"/>
          <w:szCs w:val="18"/>
          <w:highlight w:val="yellow"/>
          <w:lang w:eastAsia="fr-FR"/>
        </w:rPr>
        <w:t xml:space="preserve">: </w:t>
      </w:r>
      <w:r w:rsidRPr="009F5247">
        <w:rPr>
          <w:rFonts w:ascii="Arial" w:hAnsi="Arial" w:cs="Arial"/>
          <w:bCs/>
          <w:strike/>
          <w:sz w:val="18"/>
          <w:szCs w:val="18"/>
          <w:highlight w:val="yellow"/>
          <w:lang w:eastAsia="fr-FR"/>
        </w:rPr>
        <w:t>the</w:t>
      </w:r>
      <w:r w:rsidRPr="00BD2E1E">
        <w:rPr>
          <w:rFonts w:ascii="Arial" w:hAnsi="Arial" w:cs="Arial"/>
          <w:bCs/>
          <w:sz w:val="18"/>
          <w:szCs w:val="18"/>
          <w:lang w:eastAsia="fr-FR"/>
        </w:rPr>
        <w:t xml:space="preserve"> younger </w:t>
      </w:r>
      <w:r w:rsidRPr="00695BD1">
        <w:rPr>
          <w:rFonts w:ascii="Arial" w:hAnsi="Arial" w:cs="Arial"/>
          <w:bCs/>
          <w:strike/>
          <w:sz w:val="18"/>
          <w:szCs w:val="18"/>
          <w:highlight w:val="yellow"/>
          <w:lang w:eastAsia="fr-FR"/>
        </w:rPr>
        <w:t>the</w:t>
      </w:r>
      <w:r w:rsidRPr="009F5247">
        <w:rPr>
          <w:rFonts w:ascii="Arial" w:hAnsi="Arial" w:cs="Arial"/>
          <w:bCs/>
          <w:sz w:val="18"/>
          <w:szCs w:val="18"/>
          <w:lang w:eastAsia="fr-FR"/>
        </w:rPr>
        <w:t xml:space="preserve"> </w:t>
      </w:r>
      <w:r w:rsidRPr="00BD2E1E">
        <w:rPr>
          <w:rFonts w:ascii="Arial" w:hAnsi="Arial" w:cs="Arial"/>
          <w:bCs/>
          <w:sz w:val="18"/>
          <w:szCs w:val="18"/>
          <w:lang w:eastAsia="fr-FR"/>
        </w:rPr>
        <w:t>fish</w:t>
      </w:r>
      <w:r w:rsidRPr="009F5247">
        <w:rPr>
          <w:rFonts w:ascii="Arial" w:hAnsi="Arial" w:cs="Arial"/>
          <w:bCs/>
          <w:strike/>
          <w:sz w:val="18"/>
          <w:szCs w:val="18"/>
          <w:highlight w:val="yellow"/>
          <w:lang w:eastAsia="fr-FR"/>
        </w:rPr>
        <w:t>, t</w:t>
      </w:r>
      <w:r w:rsidRPr="00695BD1">
        <w:rPr>
          <w:rFonts w:ascii="Arial" w:hAnsi="Arial" w:cs="Arial"/>
          <w:bCs/>
          <w:strike/>
          <w:sz w:val="18"/>
          <w:szCs w:val="18"/>
          <w:highlight w:val="yellow"/>
          <w:lang w:eastAsia="fr-FR"/>
        </w:rPr>
        <w:t>he higher the susceptibility</w:t>
      </w:r>
      <w:r w:rsidRPr="00BD2E1E">
        <w:rPr>
          <w:rFonts w:ascii="Arial" w:hAnsi="Arial" w:cs="Arial"/>
          <w:bCs/>
          <w:sz w:val="18"/>
          <w:szCs w:val="18"/>
          <w:lang w:eastAsia="fr-FR"/>
        </w:rPr>
        <w:t xml:space="preserve"> </w:t>
      </w:r>
      <w:r w:rsidRPr="00695BD1">
        <w:rPr>
          <w:rFonts w:ascii="Arial" w:hAnsi="Arial" w:cs="Arial"/>
          <w:bCs/>
          <w:sz w:val="18"/>
          <w:szCs w:val="18"/>
          <w:highlight w:val="yellow"/>
          <w:u w:val="double"/>
          <w:lang w:eastAsia="fr-FR"/>
        </w:rPr>
        <w:t>are more likely</w:t>
      </w:r>
      <w:r>
        <w:rPr>
          <w:rFonts w:ascii="Arial" w:hAnsi="Arial" w:cs="Arial"/>
          <w:bCs/>
          <w:sz w:val="18"/>
          <w:szCs w:val="18"/>
          <w:lang w:eastAsia="fr-FR"/>
        </w:rPr>
        <w:t xml:space="preserve"> </w:t>
      </w:r>
      <w:r w:rsidRPr="00BD2E1E">
        <w:rPr>
          <w:rFonts w:ascii="Arial" w:hAnsi="Arial" w:cs="Arial"/>
          <w:bCs/>
          <w:sz w:val="18"/>
          <w:szCs w:val="18"/>
          <w:lang w:eastAsia="fr-FR"/>
        </w:rPr>
        <w:t xml:space="preserve">to </w:t>
      </w:r>
      <w:r w:rsidRPr="00695BD1">
        <w:rPr>
          <w:rFonts w:ascii="Arial" w:hAnsi="Arial" w:cs="Arial"/>
          <w:bCs/>
          <w:sz w:val="18"/>
          <w:szCs w:val="18"/>
          <w:highlight w:val="yellow"/>
          <w:u w:val="double"/>
          <w:lang w:eastAsia="fr-FR"/>
        </w:rPr>
        <w:t>show signs of</w:t>
      </w:r>
      <w:r>
        <w:rPr>
          <w:rFonts w:ascii="Arial" w:hAnsi="Arial" w:cs="Arial"/>
          <w:bCs/>
          <w:sz w:val="18"/>
          <w:szCs w:val="18"/>
          <w:lang w:eastAsia="fr-FR"/>
        </w:rPr>
        <w:t xml:space="preserve"> </w:t>
      </w:r>
      <w:r w:rsidRPr="00BD2E1E">
        <w:rPr>
          <w:rFonts w:ascii="Arial" w:hAnsi="Arial" w:cs="Arial"/>
          <w:bCs/>
          <w:sz w:val="18"/>
          <w:szCs w:val="18"/>
          <w:lang w:eastAsia="fr-FR"/>
        </w:rPr>
        <w:t>overt disease</w:t>
      </w:r>
      <w:r w:rsidRPr="00695BD1">
        <w:rPr>
          <w:rFonts w:ascii="Arial" w:hAnsi="Arial" w:cs="Arial"/>
          <w:bCs/>
          <w:strike/>
          <w:sz w:val="18"/>
          <w:szCs w:val="18"/>
          <w:highlight w:val="yellow"/>
          <w:lang w:eastAsia="fr-FR"/>
        </w:rPr>
        <w:t>, although even adult broodfish can be susceptible to infection</w:t>
      </w:r>
      <w:r w:rsidRPr="009F5247">
        <w:rPr>
          <w:rFonts w:ascii="Arial" w:hAnsi="Arial" w:cs="Arial"/>
          <w:bCs/>
          <w:sz w:val="18"/>
          <w:szCs w:val="18"/>
          <w:lang w:eastAsia="fr-FR"/>
        </w:rPr>
        <w:t xml:space="preserve">. </w:t>
      </w:r>
    </w:p>
    <w:p w14:paraId="49718999" w14:textId="77777777" w:rsidR="00E65E42" w:rsidRPr="00BD2E1E" w:rsidRDefault="00E65E42" w:rsidP="00A175F0">
      <w:pPr>
        <w:spacing w:after="240" w:line="240" w:lineRule="auto"/>
        <w:ind w:left="709"/>
        <w:jc w:val="both"/>
        <w:rPr>
          <w:rFonts w:ascii="Arial" w:hAnsi="Arial" w:cs="Arial"/>
          <w:bCs/>
          <w:sz w:val="18"/>
          <w:szCs w:val="18"/>
        </w:rPr>
      </w:pPr>
      <w:r w:rsidRPr="00BD2E1E">
        <w:rPr>
          <w:rFonts w:ascii="Arial" w:hAnsi="Arial" w:cs="Arial"/>
          <w:bCs/>
          <w:sz w:val="18"/>
          <w:szCs w:val="18"/>
        </w:rPr>
        <w:t>Fish that have separated from the shoal and found at the water inlet or sides of a pond are more likely to be infected.</w:t>
      </w:r>
    </w:p>
    <w:p w14:paraId="23B89D82" w14:textId="77777777" w:rsidR="00E65E42" w:rsidRPr="000151EA" w:rsidRDefault="00E65E42" w:rsidP="00A175F0">
      <w:pPr>
        <w:spacing w:before="240" w:after="240" w:line="240" w:lineRule="auto"/>
        <w:ind w:left="709"/>
        <w:jc w:val="both"/>
        <w:rPr>
          <w:rFonts w:ascii="Ottawa" w:hAnsi="Ottawa" w:cs="Arial"/>
          <w:b/>
          <w:bCs/>
          <w:szCs w:val="20"/>
          <w:lang w:val="en-IE" w:eastAsia="fr-FR"/>
        </w:rPr>
      </w:pPr>
      <w:r w:rsidRPr="000151EA">
        <w:rPr>
          <w:rFonts w:ascii="Ottawa" w:hAnsi="Ottawa" w:cs="Arial"/>
          <w:b/>
          <w:bCs/>
          <w:szCs w:val="20"/>
          <w:lang w:val="en-IE" w:eastAsia="fr-FR"/>
        </w:rPr>
        <w:t>2.2.5.</w:t>
      </w:r>
      <w:r w:rsidRPr="000151EA">
        <w:rPr>
          <w:rFonts w:ascii="Ottawa" w:hAnsi="Ottawa" w:cs="Arial"/>
          <w:b/>
          <w:bCs/>
          <w:szCs w:val="20"/>
          <w:lang w:val="en-IE" w:eastAsia="fr-FR"/>
        </w:rPr>
        <w:tab/>
      </w:r>
      <w:bookmarkStart w:id="107" w:name="_Hlk20819978"/>
      <w:r w:rsidRPr="00A175F0">
        <w:rPr>
          <w:rFonts w:ascii="Ottawa" w:hAnsi="Ottawa" w:cs="Arial"/>
          <w:b/>
          <w:bCs/>
          <w:szCs w:val="20"/>
          <w:lang w:val="en-IE" w:eastAsia="fr-FR"/>
        </w:rPr>
        <w:t>Distribution</w:t>
      </w:r>
      <w:r w:rsidRPr="000151EA">
        <w:rPr>
          <w:rFonts w:ascii="Ottawa" w:hAnsi="Ottawa" w:cs="Arial"/>
          <w:b/>
          <w:bCs/>
          <w:szCs w:val="20"/>
          <w:lang w:val="en-IE" w:eastAsia="fr-FR"/>
        </w:rPr>
        <w:t xml:space="preserve"> of the pathogen in the host</w:t>
      </w:r>
      <w:bookmarkEnd w:id="107"/>
    </w:p>
    <w:p w14:paraId="7C7F3F6B" w14:textId="77777777" w:rsidR="00E65E42" w:rsidRPr="00BD2E1E" w:rsidRDefault="00E65E42" w:rsidP="00A175F0">
      <w:pPr>
        <w:spacing w:after="240" w:line="240" w:lineRule="auto"/>
        <w:ind w:left="709"/>
        <w:jc w:val="both"/>
        <w:rPr>
          <w:rFonts w:ascii="Arial" w:hAnsi="Arial" w:cs="Arial"/>
          <w:bCs/>
          <w:sz w:val="18"/>
          <w:szCs w:val="18"/>
          <w:lang w:eastAsia="fr-FR"/>
        </w:rPr>
      </w:pPr>
      <w:r w:rsidRPr="00BD2E1E">
        <w:rPr>
          <w:rFonts w:ascii="Arial" w:eastAsia="Calibri" w:hAnsi="Arial" w:cs="Arial"/>
          <w:bCs/>
          <w:strike/>
          <w:sz w:val="18"/>
          <w:szCs w:val="18"/>
          <w:lang w:val="en-IE"/>
        </w:rPr>
        <w:t xml:space="preserve">The transmission of SVCV is horizontal (Fijan, 1988). </w:t>
      </w:r>
      <w:r w:rsidRPr="00BD2E1E">
        <w:rPr>
          <w:rFonts w:ascii="Arial" w:eastAsia="Calibri" w:hAnsi="Arial" w:cs="Arial"/>
          <w:bCs/>
          <w:sz w:val="18"/>
          <w:szCs w:val="18"/>
          <w:lang w:val="en-IE"/>
        </w:rPr>
        <w:t>SVCV appears to enter via the gills and then spread</w:t>
      </w:r>
      <w:r w:rsidRPr="00E777B4">
        <w:rPr>
          <w:rFonts w:ascii="Arial" w:eastAsia="Calibri" w:hAnsi="Arial" w:cs="Arial"/>
          <w:bCs/>
          <w:strike/>
          <w:sz w:val="18"/>
          <w:szCs w:val="18"/>
          <w:highlight w:val="yellow"/>
          <w:lang w:val="en-IE"/>
        </w:rPr>
        <w:t>s</w:t>
      </w:r>
      <w:r w:rsidRPr="00BD2E1E">
        <w:rPr>
          <w:rFonts w:ascii="Arial" w:eastAsia="Calibri" w:hAnsi="Arial" w:cs="Arial"/>
          <w:bCs/>
          <w:sz w:val="18"/>
          <w:szCs w:val="18"/>
          <w:lang w:val="en-IE"/>
        </w:rPr>
        <w:t xml:space="preserve"> to the kidney, liver, heart, spleen and alimentary tract. During disease outbreaks h</w:t>
      </w:r>
      <w:r w:rsidRPr="00BD2E1E">
        <w:rPr>
          <w:rFonts w:ascii="Arial" w:hAnsi="Arial" w:cs="Arial"/>
          <w:bCs/>
          <w:sz w:val="18"/>
          <w:szCs w:val="18"/>
          <w:lang w:val="en-IE" w:eastAsia="fr-FR"/>
        </w:rPr>
        <w:t xml:space="preserve">igh titres of virus occur in the liver and kidney of infected fish, but much lower titres occur in the spleen, gills and brain </w:t>
      </w:r>
      <w:r w:rsidRPr="00BD2E1E">
        <w:rPr>
          <w:rFonts w:ascii="Arial" w:hAnsi="Arial" w:cs="Arial"/>
          <w:bCs/>
          <w:sz w:val="18"/>
          <w:szCs w:val="18"/>
          <w:lang w:eastAsia="fr-FR"/>
        </w:rPr>
        <w:t>(Dixon, 2008).</w:t>
      </w:r>
      <w:r w:rsidRPr="00BD2E1E">
        <w:rPr>
          <w:rFonts w:ascii="Arial" w:eastAsia="Calibri" w:hAnsi="Arial" w:cs="Arial"/>
          <w:bCs/>
          <w:sz w:val="18"/>
          <w:szCs w:val="18"/>
          <w:lang w:val="en-IE"/>
        </w:rPr>
        <w:t xml:space="preserve"> The virus has been detected in ovarian fluid (Bekesi &amp; Csontos, 1985)</w:t>
      </w:r>
      <w:r w:rsidRPr="00BD2E1E">
        <w:rPr>
          <w:rFonts w:ascii="Arial" w:eastAsia="Calibri" w:hAnsi="Arial" w:cs="Arial"/>
          <w:bCs/>
          <w:strike/>
          <w:sz w:val="18"/>
          <w:szCs w:val="18"/>
          <w:lang w:val="en-IE"/>
        </w:rPr>
        <w:t>, but vertical transmission has yet to be demonstrated</w:t>
      </w:r>
      <w:r w:rsidRPr="00BD2E1E">
        <w:rPr>
          <w:rFonts w:ascii="Arial" w:eastAsia="Calibri" w:hAnsi="Arial" w:cs="Arial"/>
          <w:bCs/>
          <w:sz w:val="18"/>
          <w:szCs w:val="18"/>
          <w:lang w:val="en-IE"/>
        </w:rPr>
        <w:t xml:space="preserve">. </w:t>
      </w:r>
    </w:p>
    <w:p w14:paraId="38B0D8BE" w14:textId="77777777" w:rsidR="00E65E42" w:rsidRPr="000151EA" w:rsidRDefault="00E65E42" w:rsidP="00A175F0">
      <w:pPr>
        <w:spacing w:before="240" w:after="240" w:line="240" w:lineRule="auto"/>
        <w:ind w:left="709"/>
        <w:jc w:val="both"/>
        <w:rPr>
          <w:rFonts w:ascii="Ottawa" w:hAnsi="Ottawa" w:cs="Arial"/>
          <w:b/>
          <w:bCs/>
          <w:szCs w:val="20"/>
          <w:lang w:val="en-IE" w:eastAsia="fr-FR"/>
        </w:rPr>
      </w:pPr>
      <w:r w:rsidRPr="000151EA">
        <w:rPr>
          <w:rFonts w:ascii="Ottawa" w:hAnsi="Ottawa" w:cs="Arial"/>
          <w:b/>
          <w:bCs/>
          <w:szCs w:val="20"/>
          <w:lang w:val="en-IE" w:eastAsia="fr-FR"/>
        </w:rPr>
        <w:t>2.2.6.</w:t>
      </w:r>
      <w:r w:rsidRPr="000151EA">
        <w:rPr>
          <w:rFonts w:ascii="Ottawa" w:hAnsi="Ottawa" w:cs="Arial"/>
          <w:b/>
          <w:bCs/>
          <w:szCs w:val="20"/>
          <w:lang w:val="en-IE" w:eastAsia="fr-FR"/>
        </w:rPr>
        <w:tab/>
      </w:r>
      <w:r w:rsidRPr="000151EA">
        <w:rPr>
          <w:rFonts w:ascii="Ottawa" w:hAnsi="Ottawa" w:cs="Arial"/>
          <w:b/>
          <w:bCs/>
          <w:szCs w:val="20"/>
          <w:u w:val="double"/>
          <w:lang w:val="en-IE" w:eastAsia="fr-FR"/>
        </w:rPr>
        <w:t xml:space="preserve">Aquatic </w:t>
      </w:r>
      <w:r w:rsidRPr="00A175F0">
        <w:rPr>
          <w:rFonts w:ascii="Ottawa" w:hAnsi="Ottawa" w:cs="Arial"/>
          <w:b/>
          <w:bCs/>
          <w:szCs w:val="20"/>
          <w:lang w:val="en-IE" w:eastAsia="fr-FR"/>
        </w:rPr>
        <w:t>animal</w:t>
      </w:r>
      <w:r w:rsidRPr="000151EA">
        <w:rPr>
          <w:rFonts w:ascii="Ottawa" w:hAnsi="Ottawa" w:cs="Arial"/>
          <w:b/>
          <w:bCs/>
          <w:szCs w:val="20"/>
          <w:lang w:val="en-IE" w:eastAsia="fr-FR"/>
        </w:rPr>
        <w:t xml:space="preserve"> reservoirs of infection </w:t>
      </w:r>
    </w:p>
    <w:p w14:paraId="7377C803" w14:textId="77777777" w:rsidR="00E65E42" w:rsidRPr="00BD2E1E" w:rsidRDefault="00E65E42" w:rsidP="00A175F0">
      <w:pPr>
        <w:spacing w:after="120" w:line="240" w:lineRule="auto"/>
        <w:ind w:left="709"/>
        <w:jc w:val="both"/>
        <w:rPr>
          <w:rFonts w:ascii="Arial" w:hAnsi="Arial" w:cs="Arial"/>
          <w:bCs/>
          <w:sz w:val="18"/>
          <w:szCs w:val="18"/>
          <w:lang w:val="en-IE"/>
        </w:rPr>
      </w:pPr>
      <w:r w:rsidRPr="00BD2E1E">
        <w:rPr>
          <w:rFonts w:ascii="Arial" w:hAnsi="Arial" w:cs="Arial"/>
          <w:bCs/>
          <w:sz w:val="18"/>
          <w:szCs w:val="18"/>
          <w:lang w:val="en-IE"/>
        </w:rPr>
        <w:t xml:space="preserve">Liu </w:t>
      </w:r>
      <w:r w:rsidRPr="00BD2E1E">
        <w:rPr>
          <w:rFonts w:ascii="Arial" w:hAnsi="Arial" w:cs="Arial"/>
          <w:bCs/>
          <w:i/>
          <w:iCs/>
          <w:sz w:val="18"/>
          <w:szCs w:val="18"/>
          <w:lang w:val="en-IE"/>
        </w:rPr>
        <w:t xml:space="preserve">et al. </w:t>
      </w:r>
      <w:r w:rsidRPr="00BD2E1E">
        <w:rPr>
          <w:rFonts w:ascii="Arial" w:hAnsi="Arial" w:cs="Arial"/>
          <w:bCs/>
          <w:sz w:val="18"/>
          <w:szCs w:val="18"/>
          <w:lang w:val="en-IE"/>
        </w:rPr>
        <w:t xml:space="preserve">(2004) isolated SVCV in China (People’s Rep. of) from common and koi carp exhibiting no external or internal signs of disease, and similarly, the virus was isolated </w:t>
      </w:r>
      <w:r w:rsidRPr="00BD2E1E">
        <w:rPr>
          <w:rFonts w:ascii="Arial" w:hAnsi="Arial" w:cs="Arial"/>
          <w:bCs/>
          <w:sz w:val="18"/>
          <w:szCs w:val="18"/>
          <w:lang w:val="en"/>
        </w:rPr>
        <w:t xml:space="preserve">from apparently healthy wild carp in Canada (Garver </w:t>
      </w:r>
      <w:r w:rsidRPr="00BD2E1E">
        <w:rPr>
          <w:rFonts w:ascii="Arial" w:hAnsi="Arial" w:cs="Arial"/>
          <w:bCs/>
          <w:i/>
          <w:iCs/>
          <w:sz w:val="18"/>
          <w:szCs w:val="18"/>
          <w:lang w:val="en"/>
        </w:rPr>
        <w:t>et al</w:t>
      </w:r>
      <w:r w:rsidRPr="00BD2E1E">
        <w:rPr>
          <w:rFonts w:ascii="Arial" w:hAnsi="Arial" w:cs="Arial"/>
          <w:bCs/>
          <w:sz w:val="18"/>
          <w:szCs w:val="18"/>
          <w:lang w:val="en"/>
        </w:rPr>
        <w:t>., 2007).</w:t>
      </w:r>
      <w:r>
        <w:rPr>
          <w:rFonts w:ascii="Arial" w:hAnsi="Arial" w:cs="Arial"/>
          <w:bCs/>
          <w:sz w:val="18"/>
          <w:szCs w:val="18"/>
          <w:lang w:val="en"/>
        </w:rPr>
        <w:t xml:space="preserve"> </w:t>
      </w:r>
      <w:r w:rsidRPr="00E777B4">
        <w:rPr>
          <w:rFonts w:ascii="Arial" w:hAnsi="Arial" w:cs="Arial"/>
          <w:bCs/>
          <w:sz w:val="18"/>
          <w:szCs w:val="18"/>
          <w:highlight w:val="yellow"/>
          <w:u w:val="double"/>
          <w:lang w:val="en"/>
        </w:rPr>
        <w:t>Thus fish surviving infection with SVCV may act as reservoirs of infection.</w:t>
      </w:r>
    </w:p>
    <w:p w14:paraId="554116DF" w14:textId="77777777" w:rsidR="00E65E42" w:rsidRPr="000151EA" w:rsidRDefault="00E65E42" w:rsidP="00A175F0">
      <w:pPr>
        <w:spacing w:before="240" w:after="240" w:line="240" w:lineRule="auto"/>
        <w:ind w:left="709"/>
        <w:jc w:val="both"/>
        <w:rPr>
          <w:rFonts w:ascii="Ottawa" w:hAnsi="Ottawa" w:cs="Arial"/>
          <w:b/>
          <w:bCs/>
          <w:szCs w:val="20"/>
          <w:lang w:val="en-IE" w:eastAsia="fr-FR"/>
        </w:rPr>
      </w:pPr>
      <w:r w:rsidRPr="000151EA">
        <w:rPr>
          <w:rFonts w:ascii="Ottawa" w:hAnsi="Ottawa" w:cs="Arial"/>
          <w:b/>
          <w:bCs/>
          <w:szCs w:val="20"/>
          <w:lang w:val="en-IE" w:eastAsia="fr-FR"/>
        </w:rPr>
        <w:t>2.2.7.</w:t>
      </w:r>
      <w:r w:rsidRPr="000151EA">
        <w:rPr>
          <w:rFonts w:ascii="Ottawa" w:hAnsi="Ottawa" w:cs="Arial"/>
          <w:b/>
          <w:bCs/>
          <w:szCs w:val="20"/>
          <w:lang w:val="en-IE" w:eastAsia="fr-FR"/>
        </w:rPr>
        <w:tab/>
        <w:t>Vectors</w:t>
      </w:r>
    </w:p>
    <w:p w14:paraId="3D17458C" w14:textId="77777777" w:rsidR="00E65E42" w:rsidRPr="00BD2E1E" w:rsidRDefault="00E65E42" w:rsidP="00A175F0">
      <w:pPr>
        <w:spacing w:after="120" w:line="240" w:lineRule="auto"/>
        <w:ind w:left="709"/>
        <w:jc w:val="both"/>
        <w:rPr>
          <w:rFonts w:ascii="Arial" w:hAnsi="Arial" w:cs="Arial"/>
          <w:bCs/>
          <w:sz w:val="18"/>
          <w:szCs w:val="18"/>
          <w:lang w:eastAsia="fr-FR"/>
        </w:rPr>
      </w:pPr>
      <w:r w:rsidRPr="00BD2E1E">
        <w:rPr>
          <w:rFonts w:ascii="Arial" w:hAnsi="Arial" w:cs="Arial"/>
          <w:bCs/>
          <w:sz w:val="18"/>
          <w:szCs w:val="18"/>
          <w:lang w:eastAsia="fr-FR"/>
        </w:rPr>
        <w:t xml:space="preserve">The parasitic invertebrates </w:t>
      </w:r>
      <w:r w:rsidRPr="00BD2E1E">
        <w:rPr>
          <w:rFonts w:ascii="Arial" w:hAnsi="Arial" w:cs="Arial"/>
          <w:bCs/>
          <w:i/>
          <w:iCs/>
          <w:sz w:val="18"/>
          <w:szCs w:val="18"/>
          <w:lang w:eastAsia="fr-FR"/>
        </w:rPr>
        <w:t>Argulus foliaceus</w:t>
      </w:r>
      <w:r w:rsidRPr="00BD2E1E">
        <w:rPr>
          <w:rFonts w:ascii="Arial" w:hAnsi="Arial" w:cs="Arial"/>
          <w:bCs/>
          <w:sz w:val="18"/>
          <w:szCs w:val="18"/>
          <w:lang w:eastAsia="fr-FR"/>
        </w:rPr>
        <w:t xml:space="preserve"> (Crustacea, Branchiura) and </w:t>
      </w:r>
      <w:r w:rsidRPr="00BD2E1E">
        <w:rPr>
          <w:rFonts w:ascii="Arial" w:hAnsi="Arial" w:cs="Arial"/>
          <w:bCs/>
          <w:i/>
          <w:iCs/>
          <w:sz w:val="18"/>
          <w:szCs w:val="18"/>
          <w:lang w:eastAsia="fr-FR"/>
        </w:rPr>
        <w:t>Piscicola geometra</w:t>
      </w:r>
      <w:r w:rsidRPr="00BD2E1E">
        <w:rPr>
          <w:rFonts w:ascii="Arial" w:hAnsi="Arial" w:cs="Arial"/>
          <w:bCs/>
          <w:sz w:val="18"/>
          <w:szCs w:val="18"/>
          <w:lang w:eastAsia="fr-FR"/>
        </w:rPr>
        <w:t xml:space="preserve"> (Annelida, Hirudinea) have been demonstrated to transfer SVCV from diseased to healthy fish under experimental conditions and the virus has been isolated from </w:t>
      </w:r>
      <w:r w:rsidRPr="00BD2E1E">
        <w:rPr>
          <w:rFonts w:ascii="Arial" w:hAnsi="Arial" w:cs="Arial"/>
          <w:bCs/>
          <w:i/>
          <w:sz w:val="18"/>
          <w:szCs w:val="18"/>
          <w:lang w:eastAsia="fr-FR"/>
        </w:rPr>
        <w:t xml:space="preserve">A. foliaceus </w:t>
      </w:r>
      <w:r w:rsidRPr="00BD2E1E">
        <w:rPr>
          <w:rFonts w:ascii="Arial" w:hAnsi="Arial" w:cs="Arial"/>
          <w:bCs/>
          <w:sz w:val="18"/>
          <w:szCs w:val="18"/>
          <w:lang w:eastAsia="fr-FR"/>
        </w:rPr>
        <w:t xml:space="preserve">removed from infected carp (Ahne </w:t>
      </w:r>
      <w:r w:rsidRPr="00BD2E1E">
        <w:rPr>
          <w:rFonts w:ascii="Arial" w:hAnsi="Arial" w:cs="Arial"/>
          <w:bCs/>
          <w:i/>
          <w:sz w:val="18"/>
          <w:szCs w:val="18"/>
          <w:lang w:eastAsia="fr-FR"/>
        </w:rPr>
        <w:t>et al.</w:t>
      </w:r>
      <w:r w:rsidRPr="00BD2E1E">
        <w:rPr>
          <w:rFonts w:ascii="Arial" w:hAnsi="Arial" w:cs="Arial"/>
          <w:bCs/>
          <w:sz w:val="18"/>
          <w:szCs w:val="18"/>
          <w:lang w:eastAsia="fr-FR"/>
        </w:rPr>
        <w:t xml:space="preserve">, 2002; Dixon, 2008). </w:t>
      </w:r>
      <w:r w:rsidRPr="00BD2E1E">
        <w:rPr>
          <w:rFonts w:ascii="Arial" w:hAnsi="Arial" w:cs="Arial"/>
          <w:bCs/>
          <w:sz w:val="18"/>
          <w:szCs w:val="18"/>
          <w:lang w:val="en-IE" w:eastAsia="fr-FR"/>
        </w:rPr>
        <w:t>It has been demonstrated experimentally that virus can be isolated from fish tissues regurgitated by herons (</w:t>
      </w:r>
      <w:r w:rsidRPr="00BD2E1E">
        <w:rPr>
          <w:rFonts w:ascii="Arial" w:hAnsi="Arial" w:cs="Arial"/>
          <w:bCs/>
          <w:i/>
          <w:iCs/>
          <w:sz w:val="18"/>
          <w:szCs w:val="18"/>
          <w:lang w:val="en-IE" w:eastAsia="fr-FR"/>
        </w:rPr>
        <w:t>Ardea cinerea</w:t>
      </w:r>
      <w:r w:rsidRPr="00BD2E1E">
        <w:rPr>
          <w:rFonts w:ascii="Arial" w:hAnsi="Arial" w:cs="Arial"/>
          <w:bCs/>
          <w:sz w:val="18"/>
          <w:szCs w:val="18"/>
          <w:lang w:val="en-IE" w:eastAsia="fr-FR"/>
        </w:rPr>
        <w:t xml:space="preserve">) 120 minutes after being fed with SVCV-infected carp, suggesting a potential route for SVCV transmission, </w:t>
      </w:r>
      <w:r w:rsidRPr="00BD2E1E">
        <w:rPr>
          <w:rFonts w:ascii="Arial" w:eastAsia="Calibri" w:hAnsi="Arial" w:cs="Arial"/>
          <w:bCs/>
          <w:sz w:val="18"/>
          <w:szCs w:val="18"/>
          <w:lang w:val="en-IE"/>
        </w:rPr>
        <w:t xml:space="preserve">but is not known whether such transmission has occurred in nature </w:t>
      </w:r>
      <w:r w:rsidRPr="00BD2E1E">
        <w:rPr>
          <w:rFonts w:ascii="Arial" w:hAnsi="Arial" w:cs="Arial"/>
          <w:bCs/>
          <w:sz w:val="18"/>
          <w:szCs w:val="18"/>
          <w:lang w:val="en-IE" w:eastAsia="fr-FR"/>
        </w:rPr>
        <w:t>(</w:t>
      </w:r>
      <w:r w:rsidRPr="00BD2E1E">
        <w:rPr>
          <w:rFonts w:ascii="Arial" w:eastAsia="HelveticaLTStd-Roman" w:hAnsi="Arial" w:cs="Arial"/>
          <w:bCs/>
          <w:sz w:val="18"/>
          <w:szCs w:val="18"/>
          <w:lang w:val="en-IE"/>
        </w:rPr>
        <w:t xml:space="preserve">Peters &amp; Neukirch, 1986). </w:t>
      </w:r>
    </w:p>
    <w:p w14:paraId="27877299" w14:textId="77777777" w:rsidR="00DB0A8D" w:rsidRDefault="00DB0A8D">
      <w:pPr>
        <w:rPr>
          <w:rFonts w:ascii="Ottawa" w:eastAsia="MS Mincho" w:hAnsi="Ottawa" w:cs="Arial"/>
          <w:b/>
          <w:sz w:val="21"/>
          <w:szCs w:val="21"/>
          <w:lang w:val="da-DK" w:eastAsia="da-DK"/>
        </w:rPr>
      </w:pPr>
      <w:r>
        <w:rPr>
          <w:rFonts w:ascii="Ottawa" w:eastAsia="MS Mincho" w:hAnsi="Ottawa" w:cs="Arial"/>
          <w:b/>
          <w:sz w:val="21"/>
          <w:szCs w:val="21"/>
          <w:lang w:val="da-DK" w:eastAsia="da-DK"/>
        </w:rPr>
        <w:br w:type="page"/>
      </w:r>
    </w:p>
    <w:p w14:paraId="762B8A30" w14:textId="77777777" w:rsidR="00DB0A8D" w:rsidRDefault="00DB0A8D" w:rsidP="00DB0A8D">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40D3F236" w14:textId="630DE7EE" w:rsidR="00E65E42" w:rsidRPr="00BD2E1E" w:rsidRDefault="00E65E42" w:rsidP="00A175F0">
      <w:pPr>
        <w:tabs>
          <w:tab w:val="left" w:pos="1418"/>
        </w:tabs>
        <w:spacing w:after="240" w:line="240" w:lineRule="auto"/>
        <w:ind w:left="709" w:hanging="425"/>
        <w:jc w:val="both"/>
        <w:rPr>
          <w:rFonts w:ascii="Ottawa" w:eastAsia="MS Mincho" w:hAnsi="Ottawa" w:cs="Arial"/>
          <w:b/>
          <w:sz w:val="21"/>
          <w:szCs w:val="21"/>
          <w:lang w:val="da-DK" w:eastAsia="da-DK"/>
        </w:rPr>
      </w:pPr>
      <w:r w:rsidRPr="00BD2E1E">
        <w:rPr>
          <w:rFonts w:ascii="Ottawa" w:eastAsia="MS Mincho" w:hAnsi="Ottawa" w:cs="Arial"/>
          <w:b/>
          <w:sz w:val="21"/>
          <w:szCs w:val="21"/>
          <w:lang w:val="da-DK" w:eastAsia="da-DK"/>
        </w:rPr>
        <w:t>2.3.</w:t>
      </w:r>
      <w:r w:rsidRPr="00BD2E1E">
        <w:rPr>
          <w:rFonts w:ascii="Ottawa" w:eastAsia="MS Mincho" w:hAnsi="Ottawa" w:cs="Arial"/>
          <w:b/>
          <w:sz w:val="21"/>
          <w:szCs w:val="21"/>
          <w:lang w:val="da-DK" w:eastAsia="da-DK"/>
        </w:rPr>
        <w:tab/>
        <w:t>Disease pattern</w:t>
      </w:r>
    </w:p>
    <w:p w14:paraId="1DFFE01B" w14:textId="77777777" w:rsidR="00E65E42" w:rsidRPr="000151EA" w:rsidRDefault="00E65E42" w:rsidP="00A175F0">
      <w:pPr>
        <w:spacing w:after="80" w:line="240" w:lineRule="auto"/>
        <w:ind w:left="993" w:hanging="284"/>
        <w:jc w:val="both"/>
        <w:rPr>
          <w:rFonts w:ascii="Ottawa" w:hAnsi="Ottawa" w:cs="Arial"/>
          <w:b/>
          <w:bCs/>
          <w:szCs w:val="20"/>
          <w:lang w:val="en-IE" w:eastAsia="fr-FR"/>
        </w:rPr>
      </w:pPr>
      <w:bookmarkStart w:id="108" w:name="_Hlk20820314"/>
      <w:r w:rsidRPr="000151EA">
        <w:rPr>
          <w:rFonts w:ascii="Ottawa" w:hAnsi="Ottawa" w:cs="Arial"/>
          <w:b/>
          <w:bCs/>
          <w:szCs w:val="20"/>
          <w:lang w:val="en-IE" w:eastAsia="fr-FR"/>
        </w:rPr>
        <w:t>2.3.1.</w:t>
      </w:r>
      <w:r w:rsidRPr="000151EA">
        <w:rPr>
          <w:rFonts w:ascii="Ottawa" w:hAnsi="Ottawa" w:cs="Arial"/>
          <w:b/>
          <w:bCs/>
          <w:szCs w:val="20"/>
          <w:lang w:val="en-IE" w:eastAsia="fr-FR"/>
        </w:rPr>
        <w:tab/>
        <w:t>Mortality, morbidity and prevalence</w:t>
      </w:r>
      <w:bookmarkEnd w:id="108"/>
      <w:r w:rsidRPr="000151EA">
        <w:rPr>
          <w:rFonts w:ascii="Ottawa" w:hAnsi="Ottawa" w:cs="Arial"/>
          <w:b/>
          <w:bCs/>
          <w:szCs w:val="20"/>
          <w:lang w:val="en-IE" w:eastAsia="fr-FR"/>
        </w:rPr>
        <w:t xml:space="preserve"> </w:t>
      </w:r>
    </w:p>
    <w:p w14:paraId="7C452127" w14:textId="77777777" w:rsidR="00E65E42" w:rsidRDefault="00E65E42" w:rsidP="00A175F0">
      <w:pPr>
        <w:spacing w:after="80" w:line="240" w:lineRule="auto"/>
        <w:ind w:left="709"/>
        <w:jc w:val="both"/>
        <w:rPr>
          <w:rFonts w:ascii="Arial" w:hAnsi="Arial" w:cs="Arial"/>
          <w:bCs/>
          <w:sz w:val="18"/>
          <w:szCs w:val="18"/>
          <w:lang w:val="en-IE" w:eastAsia="fr-FR"/>
        </w:rPr>
      </w:pPr>
      <w:r w:rsidRPr="00695BD1">
        <w:rPr>
          <w:rFonts w:ascii="Arial" w:hAnsi="Arial" w:cs="Arial"/>
          <w:bCs/>
          <w:sz w:val="18"/>
          <w:szCs w:val="18"/>
          <w:highlight w:val="yellow"/>
          <w:u w:val="double"/>
          <w:lang w:val="en-IE" w:eastAsia="fr-FR"/>
        </w:rPr>
        <w:t xml:space="preserve">A noticeable increase in mortality will occur in the </w:t>
      </w:r>
      <w:r w:rsidRPr="008115A0">
        <w:rPr>
          <w:rFonts w:ascii="Arial" w:hAnsi="Arial" w:cs="Arial"/>
          <w:bCs/>
          <w:sz w:val="18"/>
          <w:szCs w:val="18"/>
          <w:highlight w:val="yellow"/>
          <w:u w:val="double"/>
          <w:lang w:val="en-IE" w:eastAsia="fr-FR"/>
        </w:rPr>
        <w:t>population d</w:t>
      </w:r>
      <w:r w:rsidRPr="00BD2E1E">
        <w:rPr>
          <w:rFonts w:ascii="Arial" w:hAnsi="Arial" w:cs="Arial"/>
          <w:bCs/>
          <w:sz w:val="18"/>
          <w:szCs w:val="18"/>
          <w:lang w:val="en-IE" w:eastAsia="fr-FR"/>
        </w:rPr>
        <w:t>uring an outbreak of infection with SVCV</w:t>
      </w:r>
      <w:r w:rsidRPr="008115A0">
        <w:rPr>
          <w:rFonts w:ascii="Arial" w:hAnsi="Arial" w:cs="Arial"/>
          <w:bCs/>
          <w:strike/>
          <w:sz w:val="18"/>
          <w:szCs w:val="18"/>
          <w:lang w:val="en-IE" w:eastAsia="fr-FR"/>
        </w:rPr>
        <w:t xml:space="preserve"> </w:t>
      </w:r>
      <w:r w:rsidRPr="00695BD1">
        <w:rPr>
          <w:rFonts w:ascii="Arial" w:hAnsi="Arial" w:cs="Arial"/>
          <w:bCs/>
          <w:strike/>
          <w:sz w:val="18"/>
          <w:szCs w:val="18"/>
          <w:highlight w:val="yellow"/>
          <w:lang w:val="en-IE" w:eastAsia="fr-FR"/>
        </w:rPr>
        <w:t>there will be a noticeable increase in mortality in the population</w:t>
      </w:r>
      <w:r w:rsidRPr="008115A0">
        <w:rPr>
          <w:rFonts w:ascii="Arial" w:hAnsi="Arial" w:cs="Arial"/>
          <w:bCs/>
          <w:sz w:val="18"/>
          <w:szCs w:val="18"/>
          <w:lang w:val="en-IE" w:eastAsia="fr-FR"/>
        </w:rPr>
        <w:t xml:space="preserve">. </w:t>
      </w:r>
      <w:r w:rsidRPr="00BD2E1E">
        <w:rPr>
          <w:rFonts w:ascii="Arial" w:hAnsi="Arial" w:cs="Arial"/>
          <w:bCs/>
          <w:strike/>
          <w:sz w:val="18"/>
          <w:szCs w:val="18"/>
          <w:lang w:val="en-IE" w:eastAsia="fr-FR"/>
        </w:rPr>
        <w:t xml:space="preserve">Co-infections with koi herpesvirus or carp oedema virus can increase levels of mortality. </w:t>
      </w:r>
      <w:r w:rsidRPr="00BD2E1E">
        <w:rPr>
          <w:rFonts w:ascii="Arial" w:hAnsi="Arial" w:cs="Arial"/>
          <w:bCs/>
          <w:sz w:val="18"/>
          <w:szCs w:val="18"/>
          <w:lang w:eastAsia="fr-FR"/>
        </w:rPr>
        <w:t xml:space="preserve">Disease patterns are influenced by water temperature, age and condition of the fish, population density and stress factors. The immune status of the fish is also an important factor with both nonspecific (e.g. interferon) and specific immunity (serum antibodies, cellular immunity) having important roles. Poor physiological condition of over-wintered fish may be a contributory factor to </w:t>
      </w:r>
      <w:r w:rsidRPr="00695BD1">
        <w:rPr>
          <w:rFonts w:ascii="Arial" w:hAnsi="Arial" w:cs="Arial"/>
          <w:bCs/>
          <w:sz w:val="18"/>
          <w:szCs w:val="18"/>
          <w:highlight w:val="yellow"/>
          <w:u w:val="double"/>
          <w:lang w:eastAsia="fr-FR"/>
        </w:rPr>
        <w:t>the onset of clinical</w:t>
      </w:r>
      <w:r>
        <w:rPr>
          <w:rFonts w:ascii="Arial" w:hAnsi="Arial" w:cs="Arial"/>
          <w:bCs/>
          <w:sz w:val="18"/>
          <w:szCs w:val="18"/>
          <w:lang w:eastAsia="fr-FR"/>
        </w:rPr>
        <w:t xml:space="preserve"> </w:t>
      </w:r>
      <w:r w:rsidRPr="00BD2E1E">
        <w:rPr>
          <w:rFonts w:ascii="Arial" w:hAnsi="Arial" w:cs="Arial"/>
          <w:bCs/>
          <w:sz w:val="18"/>
          <w:szCs w:val="18"/>
          <w:lang w:eastAsia="fr-FR"/>
        </w:rPr>
        <w:t xml:space="preserve">disease </w:t>
      </w:r>
      <w:r w:rsidRPr="00695BD1">
        <w:rPr>
          <w:rFonts w:ascii="Arial" w:hAnsi="Arial" w:cs="Arial"/>
          <w:bCs/>
          <w:sz w:val="18"/>
          <w:szCs w:val="18"/>
          <w:highlight w:val="yellow"/>
          <w:u w:val="double"/>
          <w:lang w:eastAsia="fr-FR"/>
        </w:rPr>
        <w:t>in infected animals</w:t>
      </w:r>
      <w:r w:rsidRPr="008115A0">
        <w:rPr>
          <w:rFonts w:ascii="Arial" w:hAnsi="Arial" w:cs="Arial"/>
          <w:bCs/>
          <w:strike/>
          <w:sz w:val="18"/>
          <w:szCs w:val="18"/>
          <w:highlight w:val="yellow"/>
          <w:lang w:eastAsia="fr-FR"/>
        </w:rPr>
        <w:t xml:space="preserve"> </w:t>
      </w:r>
      <w:r w:rsidRPr="00695BD1">
        <w:rPr>
          <w:rFonts w:ascii="Arial" w:hAnsi="Arial" w:cs="Arial"/>
          <w:bCs/>
          <w:strike/>
          <w:sz w:val="18"/>
          <w:szCs w:val="18"/>
          <w:highlight w:val="yellow"/>
          <w:lang w:eastAsia="fr-FR"/>
        </w:rPr>
        <w:t>susceptibility</w:t>
      </w:r>
      <w:r w:rsidRPr="008115A0">
        <w:rPr>
          <w:rFonts w:ascii="Arial" w:hAnsi="Arial" w:cs="Arial"/>
          <w:bCs/>
          <w:sz w:val="18"/>
          <w:szCs w:val="18"/>
          <w:lang w:eastAsia="fr-FR"/>
        </w:rPr>
        <w:t>.</w:t>
      </w:r>
      <w:r w:rsidRPr="00BD2E1E">
        <w:rPr>
          <w:rFonts w:ascii="Arial" w:hAnsi="Arial" w:cs="Arial"/>
          <w:bCs/>
          <w:sz w:val="18"/>
          <w:szCs w:val="18"/>
          <w:lang w:eastAsia="fr-FR"/>
        </w:rPr>
        <w:t xml:space="preserve"> </w:t>
      </w:r>
      <w:r w:rsidRPr="00BD2E1E">
        <w:rPr>
          <w:rFonts w:ascii="Arial" w:hAnsi="Arial" w:cs="Arial"/>
          <w:bCs/>
          <w:sz w:val="18"/>
          <w:szCs w:val="18"/>
          <w:lang w:val="en-IE" w:eastAsia="fr-FR"/>
        </w:rPr>
        <w:t xml:space="preserve">In European aquaculture, losses can be up to 70% in young carp (Ahne </w:t>
      </w:r>
      <w:r w:rsidRPr="00BD2E1E">
        <w:rPr>
          <w:rFonts w:ascii="Arial" w:hAnsi="Arial" w:cs="Arial"/>
          <w:bCs/>
          <w:i/>
          <w:sz w:val="18"/>
          <w:szCs w:val="18"/>
          <w:lang w:val="en-IE" w:eastAsia="fr-FR"/>
        </w:rPr>
        <w:t>et al.</w:t>
      </w:r>
      <w:r w:rsidRPr="00BD2E1E">
        <w:rPr>
          <w:rFonts w:ascii="Arial" w:hAnsi="Arial" w:cs="Arial"/>
          <w:bCs/>
          <w:sz w:val="18"/>
          <w:szCs w:val="18"/>
          <w:lang w:val="en-IE" w:eastAsia="fr-FR"/>
        </w:rPr>
        <w:t xml:space="preserve">, 2002), but are usually from 1 to 40%. </w:t>
      </w:r>
    </w:p>
    <w:p w14:paraId="0315E1F6" w14:textId="77777777" w:rsidR="00E65E42" w:rsidRPr="00BD2E1E" w:rsidRDefault="00E65E42" w:rsidP="00A175F0">
      <w:pPr>
        <w:spacing w:after="80" w:line="240" w:lineRule="auto"/>
        <w:ind w:left="709"/>
        <w:jc w:val="both"/>
        <w:rPr>
          <w:rFonts w:ascii="Arial" w:hAnsi="Arial" w:cs="Arial"/>
          <w:bCs/>
          <w:sz w:val="18"/>
          <w:szCs w:val="18"/>
          <w:lang w:val="en"/>
        </w:rPr>
      </w:pPr>
      <w:r w:rsidRPr="00BD2E1E">
        <w:rPr>
          <w:rFonts w:ascii="Arial" w:hAnsi="Arial" w:cs="Arial"/>
          <w:bCs/>
          <w:sz w:val="18"/>
          <w:szCs w:val="18"/>
          <w:lang w:val="en-IE" w:eastAsia="fr-FR"/>
        </w:rPr>
        <w:t>In one survey from Serbia, the virus was isolated by culture in samples collected from 12 of the 38 hatcheries screened over the 10-year period (1992–2002)</w:t>
      </w:r>
      <w:r>
        <w:rPr>
          <w:rFonts w:ascii="Arial" w:hAnsi="Arial" w:cs="Arial"/>
          <w:bCs/>
          <w:sz w:val="18"/>
          <w:szCs w:val="18"/>
          <w:lang w:val="en-IE" w:eastAsia="fr-FR"/>
        </w:rPr>
        <w:t xml:space="preserve"> </w:t>
      </w:r>
      <w:r w:rsidRPr="00E777B4">
        <w:rPr>
          <w:rFonts w:ascii="Arial" w:hAnsi="Arial" w:cs="Arial"/>
          <w:bCs/>
          <w:sz w:val="18"/>
          <w:szCs w:val="18"/>
          <w:highlight w:val="yellow"/>
          <w:u w:val="double"/>
          <w:lang w:val="en-IE" w:eastAsia="fr-FR"/>
        </w:rPr>
        <w:t xml:space="preserve">(Svetlana </w:t>
      </w:r>
      <w:r w:rsidRPr="00E777B4">
        <w:rPr>
          <w:rFonts w:ascii="Arial" w:hAnsi="Arial" w:cs="Arial"/>
          <w:bCs/>
          <w:i/>
          <w:sz w:val="18"/>
          <w:szCs w:val="18"/>
          <w:highlight w:val="yellow"/>
          <w:u w:val="double"/>
          <w:lang w:val="en-IE" w:eastAsia="fr-FR"/>
        </w:rPr>
        <w:t xml:space="preserve">et al., </w:t>
      </w:r>
      <w:r w:rsidRPr="00E777B4">
        <w:rPr>
          <w:rFonts w:ascii="Arial" w:hAnsi="Arial" w:cs="Arial"/>
          <w:bCs/>
          <w:sz w:val="18"/>
          <w:szCs w:val="18"/>
          <w:highlight w:val="yellow"/>
          <w:u w:val="double"/>
          <w:lang w:val="en-IE" w:eastAsia="fr-FR"/>
        </w:rPr>
        <w:t>2004)</w:t>
      </w:r>
      <w:r w:rsidRPr="00BD2E1E">
        <w:rPr>
          <w:rFonts w:ascii="Arial" w:hAnsi="Arial" w:cs="Arial"/>
          <w:bCs/>
          <w:sz w:val="18"/>
          <w:szCs w:val="18"/>
          <w:lang w:val="en-IE" w:eastAsia="fr-FR"/>
        </w:rPr>
        <w:t xml:space="preserve">. The virus occurred sporadically in different ponds on one site, and sporadically from year to year at different sites (Svetlana </w:t>
      </w:r>
      <w:r w:rsidRPr="00BD2E1E">
        <w:rPr>
          <w:rFonts w:ascii="Arial" w:hAnsi="Arial" w:cs="Arial"/>
          <w:bCs/>
          <w:i/>
          <w:sz w:val="18"/>
          <w:szCs w:val="18"/>
          <w:lang w:val="en-IE" w:eastAsia="fr-FR"/>
        </w:rPr>
        <w:t xml:space="preserve">et al., </w:t>
      </w:r>
      <w:r w:rsidRPr="00BD2E1E">
        <w:rPr>
          <w:rFonts w:ascii="Arial" w:hAnsi="Arial" w:cs="Arial"/>
          <w:bCs/>
          <w:sz w:val="18"/>
          <w:szCs w:val="18"/>
          <w:lang w:val="en-IE" w:eastAsia="fr-FR"/>
        </w:rPr>
        <w:t xml:space="preserve">2004). </w:t>
      </w:r>
      <w:r w:rsidRPr="00BD2E1E">
        <w:rPr>
          <w:rFonts w:ascii="Arial" w:hAnsi="Arial" w:cs="Arial"/>
          <w:bCs/>
          <w:sz w:val="18"/>
          <w:szCs w:val="18"/>
          <w:lang w:val="en" w:eastAsia="fr-FR"/>
        </w:rPr>
        <w:t>In another study, 18 of 30 tissue pools (five fish/pool) of wild</w:t>
      </w:r>
      <w:r w:rsidRPr="00E777B4">
        <w:rPr>
          <w:rFonts w:ascii="Arial" w:hAnsi="Arial" w:cs="Arial"/>
          <w:bCs/>
          <w:sz w:val="18"/>
          <w:szCs w:val="18"/>
          <w:highlight w:val="yellow"/>
          <w:u w:val="double"/>
          <w:lang w:val="en" w:eastAsia="fr-FR"/>
        </w:rPr>
        <w:t>, clinically health,</w:t>
      </w:r>
      <w:r w:rsidRPr="00BD2E1E">
        <w:rPr>
          <w:rFonts w:ascii="Arial" w:hAnsi="Arial" w:cs="Arial"/>
          <w:bCs/>
          <w:sz w:val="18"/>
          <w:szCs w:val="18"/>
          <w:lang w:val="en" w:eastAsia="fr-FR"/>
        </w:rPr>
        <w:t xml:space="preserve"> common carp sampled in Canada in 2006 were positive for SVCV by culture (Garver </w:t>
      </w:r>
      <w:r w:rsidRPr="00BD2E1E">
        <w:rPr>
          <w:rFonts w:ascii="Arial" w:hAnsi="Arial" w:cs="Arial"/>
          <w:bCs/>
          <w:i/>
          <w:sz w:val="18"/>
          <w:szCs w:val="18"/>
          <w:lang w:val="en" w:eastAsia="fr-FR"/>
        </w:rPr>
        <w:t>et al.,</w:t>
      </w:r>
      <w:r w:rsidRPr="00BD2E1E">
        <w:rPr>
          <w:rFonts w:ascii="Arial" w:hAnsi="Arial" w:cs="Arial"/>
          <w:bCs/>
          <w:sz w:val="18"/>
          <w:szCs w:val="18"/>
          <w:lang w:val="en" w:eastAsia="fr-FR"/>
        </w:rPr>
        <w:t xml:space="preserve"> 2007).</w:t>
      </w:r>
      <w:r w:rsidRPr="00BD2E1E">
        <w:rPr>
          <w:rFonts w:ascii="Arial" w:hAnsi="Arial" w:cs="Arial"/>
          <w:bCs/>
          <w:sz w:val="18"/>
          <w:szCs w:val="18"/>
          <w:lang w:val="en"/>
        </w:rPr>
        <w:t xml:space="preserve"> </w:t>
      </w:r>
      <w:r w:rsidRPr="0051235E">
        <w:rPr>
          <w:rFonts w:ascii="Arial" w:hAnsi="Arial" w:cs="Arial"/>
          <w:bCs/>
          <w:strike/>
          <w:sz w:val="18"/>
          <w:szCs w:val="18"/>
          <w:highlight w:val="yellow"/>
          <w:lang w:val="en"/>
        </w:rPr>
        <w:t>The isolation of SVCV in the latter case was from asymptomatic common carp which correlates with</w:t>
      </w:r>
      <w:r w:rsidRPr="00E777B4">
        <w:rPr>
          <w:rFonts w:ascii="Arial" w:hAnsi="Arial" w:cs="Arial"/>
          <w:bCs/>
          <w:strike/>
          <w:sz w:val="18"/>
          <w:szCs w:val="18"/>
          <w:lang w:val="en"/>
        </w:rPr>
        <w:t xml:space="preserve"> </w:t>
      </w:r>
      <w:r w:rsidRPr="0051235E">
        <w:rPr>
          <w:rFonts w:ascii="Arial" w:hAnsi="Arial" w:cs="Arial"/>
          <w:bCs/>
          <w:sz w:val="18"/>
          <w:szCs w:val="18"/>
          <w:highlight w:val="yellow"/>
          <w:u w:val="double"/>
          <w:lang w:val="en"/>
        </w:rPr>
        <w:t>This</w:t>
      </w:r>
      <w:r>
        <w:rPr>
          <w:rFonts w:ascii="Arial" w:hAnsi="Arial" w:cs="Arial"/>
          <w:bCs/>
          <w:sz w:val="18"/>
          <w:szCs w:val="18"/>
          <w:lang w:val="en"/>
        </w:rPr>
        <w:t xml:space="preserve"> </w:t>
      </w:r>
      <w:r w:rsidRPr="00BD2E1E">
        <w:rPr>
          <w:rFonts w:ascii="Arial" w:hAnsi="Arial" w:cs="Arial"/>
          <w:bCs/>
          <w:sz w:val="18"/>
          <w:szCs w:val="18"/>
          <w:lang w:val="en"/>
        </w:rPr>
        <w:t>observation</w:t>
      </w:r>
      <w:r>
        <w:rPr>
          <w:rFonts w:ascii="Arial" w:hAnsi="Arial" w:cs="Arial"/>
          <w:bCs/>
          <w:sz w:val="18"/>
          <w:szCs w:val="18"/>
          <w:lang w:val="en"/>
        </w:rPr>
        <w:t xml:space="preserve"> </w:t>
      </w:r>
      <w:r w:rsidRPr="0051235E">
        <w:rPr>
          <w:rFonts w:ascii="Arial" w:hAnsi="Arial" w:cs="Arial"/>
          <w:bCs/>
          <w:sz w:val="18"/>
          <w:szCs w:val="18"/>
          <w:highlight w:val="yellow"/>
          <w:u w:val="double"/>
          <w:lang w:val="en"/>
        </w:rPr>
        <w:t>suggests that</w:t>
      </w:r>
      <w:r w:rsidRPr="00E777B4">
        <w:rPr>
          <w:rFonts w:ascii="Arial" w:hAnsi="Arial" w:cs="Arial"/>
          <w:bCs/>
          <w:sz w:val="18"/>
          <w:szCs w:val="18"/>
          <w:u w:val="double"/>
          <w:lang w:val="en"/>
        </w:rPr>
        <w:t xml:space="preserve"> </w:t>
      </w:r>
      <w:r w:rsidRPr="00BD2E1E">
        <w:rPr>
          <w:rFonts w:ascii="Arial" w:hAnsi="Arial" w:cs="Arial"/>
          <w:bCs/>
          <w:sz w:val="18"/>
          <w:szCs w:val="18"/>
          <w:lang w:val="en"/>
        </w:rPr>
        <w:t xml:space="preserve">SVCV infection </w:t>
      </w:r>
      <w:r w:rsidRPr="0051235E">
        <w:rPr>
          <w:rFonts w:ascii="Arial" w:hAnsi="Arial" w:cs="Arial"/>
          <w:bCs/>
          <w:sz w:val="18"/>
          <w:szCs w:val="18"/>
          <w:highlight w:val="yellow"/>
          <w:u w:val="double"/>
          <w:lang w:val="en"/>
        </w:rPr>
        <w:t>may</w:t>
      </w:r>
      <w:r>
        <w:rPr>
          <w:rFonts w:ascii="Arial" w:hAnsi="Arial" w:cs="Arial"/>
          <w:bCs/>
          <w:sz w:val="18"/>
          <w:szCs w:val="18"/>
          <w:lang w:val="en"/>
        </w:rPr>
        <w:t xml:space="preserve"> </w:t>
      </w:r>
      <w:r w:rsidRPr="0051235E">
        <w:rPr>
          <w:rFonts w:ascii="Arial" w:hAnsi="Arial" w:cs="Arial"/>
          <w:bCs/>
          <w:strike/>
          <w:sz w:val="18"/>
          <w:szCs w:val="18"/>
          <w:highlight w:val="yellow"/>
          <w:lang w:val="en"/>
        </w:rPr>
        <w:t>can often</w:t>
      </w:r>
      <w:r w:rsidRPr="00BD2E1E">
        <w:rPr>
          <w:rFonts w:ascii="Arial" w:hAnsi="Arial" w:cs="Arial"/>
          <w:bCs/>
          <w:sz w:val="18"/>
          <w:szCs w:val="18"/>
          <w:lang w:val="en"/>
        </w:rPr>
        <w:t xml:space="preserve"> be clinically inapparent (Fijan, 1999).</w:t>
      </w:r>
    </w:p>
    <w:p w14:paraId="798A5987" w14:textId="77777777" w:rsidR="00E65E42" w:rsidRPr="00A175F0" w:rsidRDefault="00E65E42" w:rsidP="00A175F0">
      <w:pPr>
        <w:spacing w:after="80" w:line="240" w:lineRule="auto"/>
        <w:ind w:left="993" w:hanging="284"/>
        <w:jc w:val="both"/>
        <w:rPr>
          <w:rFonts w:ascii="Ottawa" w:hAnsi="Ottawa" w:cs="Arial"/>
          <w:b/>
          <w:bCs/>
          <w:szCs w:val="20"/>
          <w:lang w:val="en-IE" w:eastAsia="fr-FR"/>
        </w:rPr>
      </w:pPr>
      <w:r w:rsidRPr="00A175F0">
        <w:rPr>
          <w:rFonts w:ascii="Ottawa" w:hAnsi="Ottawa" w:cs="Arial"/>
          <w:b/>
          <w:bCs/>
          <w:szCs w:val="20"/>
          <w:lang w:val="en-IE" w:eastAsia="fr-FR"/>
        </w:rPr>
        <w:t>2.3.2.</w:t>
      </w:r>
      <w:r w:rsidRPr="00A175F0">
        <w:rPr>
          <w:rFonts w:ascii="Ottawa" w:hAnsi="Ottawa" w:cs="Arial"/>
          <w:b/>
          <w:bCs/>
          <w:szCs w:val="20"/>
          <w:lang w:val="en-IE" w:eastAsia="fr-FR"/>
        </w:rPr>
        <w:tab/>
        <w:t xml:space="preserve">Clinical </w:t>
      </w:r>
      <w:r w:rsidRPr="00223026">
        <w:rPr>
          <w:rFonts w:ascii="Ottawa" w:hAnsi="Ottawa" w:cs="Arial"/>
          <w:b/>
          <w:bCs/>
          <w:szCs w:val="20"/>
          <w:lang w:val="en-IE" w:eastAsia="fr-FR"/>
        </w:rPr>
        <w:t>signs</w:t>
      </w:r>
      <w:r w:rsidRPr="00A175F0">
        <w:rPr>
          <w:rFonts w:ascii="Ottawa" w:hAnsi="Ottawa" w:cs="Arial"/>
          <w:b/>
          <w:bCs/>
          <w:szCs w:val="20"/>
          <w:lang w:val="en-IE" w:eastAsia="fr-FR"/>
        </w:rPr>
        <w:t>, including behavioural changes</w:t>
      </w:r>
    </w:p>
    <w:p w14:paraId="4B9994F8" w14:textId="77777777" w:rsidR="00E65E42" w:rsidRPr="00BD2E1E" w:rsidRDefault="00E65E42" w:rsidP="00A175F0">
      <w:pPr>
        <w:spacing w:after="80" w:line="240" w:lineRule="auto"/>
        <w:ind w:left="709"/>
        <w:jc w:val="both"/>
        <w:rPr>
          <w:rFonts w:ascii="Arial" w:hAnsi="Arial" w:cs="Arial"/>
          <w:bCs/>
          <w:sz w:val="18"/>
          <w:szCs w:val="18"/>
          <w:lang w:val="en-IE" w:eastAsia="fr-FR"/>
        </w:rPr>
      </w:pPr>
      <w:r w:rsidRPr="00BD2E1E">
        <w:rPr>
          <w:rFonts w:ascii="Arial" w:hAnsi="Arial" w:cs="Arial"/>
          <w:bCs/>
          <w:sz w:val="18"/>
          <w:szCs w:val="18"/>
          <w:lang w:val="en-IE" w:eastAsia="fr-FR"/>
        </w:rPr>
        <w:t>Fish can become lethargic, separate from the shoal and gather at the water inlet or sides of a pond and some may experience loss of equilibrium. Clinical signs of infection with SVCV are nonspecific and not all fish will exhibit all of the signs. Two of the most obvious and consistent features are abdominal distension and haemorrhages</w:t>
      </w:r>
      <w:r w:rsidRPr="00E777B4">
        <w:rPr>
          <w:rFonts w:ascii="Arial" w:hAnsi="Arial" w:cs="Arial"/>
          <w:bCs/>
          <w:sz w:val="18"/>
          <w:szCs w:val="18"/>
          <w:highlight w:val="yellow"/>
          <w:u w:val="double"/>
          <w:lang w:val="en-IE" w:eastAsia="fr-FR"/>
        </w:rPr>
        <w:t>, which</w:t>
      </w:r>
      <w:r>
        <w:rPr>
          <w:rFonts w:ascii="Arial" w:hAnsi="Arial" w:cs="Arial"/>
          <w:bCs/>
          <w:sz w:val="18"/>
          <w:szCs w:val="18"/>
          <w:lang w:val="en-IE" w:eastAsia="fr-FR"/>
        </w:rPr>
        <w:t xml:space="preserve"> </w:t>
      </w:r>
      <w:r w:rsidRPr="00E777B4">
        <w:rPr>
          <w:rFonts w:ascii="Arial" w:hAnsi="Arial" w:cs="Arial"/>
          <w:bCs/>
          <w:strike/>
          <w:sz w:val="18"/>
          <w:szCs w:val="18"/>
          <w:highlight w:val="yellow"/>
          <w:lang w:val="en-IE" w:eastAsia="fr-FR"/>
        </w:rPr>
        <w:t>. The latter</w:t>
      </w:r>
      <w:r w:rsidRPr="00BD2E1E">
        <w:rPr>
          <w:rFonts w:ascii="Arial" w:hAnsi="Arial" w:cs="Arial"/>
          <w:bCs/>
          <w:sz w:val="18"/>
          <w:szCs w:val="18"/>
          <w:lang w:val="en-IE" w:eastAsia="fr-FR"/>
        </w:rPr>
        <w:t xml:space="preserve"> may</w:t>
      </w:r>
      <w:r>
        <w:rPr>
          <w:rFonts w:ascii="Arial" w:hAnsi="Arial" w:cs="Arial"/>
          <w:bCs/>
          <w:sz w:val="18"/>
          <w:szCs w:val="18"/>
          <w:lang w:val="en-IE" w:eastAsia="fr-FR"/>
        </w:rPr>
        <w:t xml:space="preserve"> </w:t>
      </w:r>
      <w:r w:rsidRPr="00E777B4">
        <w:rPr>
          <w:rFonts w:ascii="Arial" w:hAnsi="Arial" w:cs="Arial"/>
          <w:bCs/>
          <w:sz w:val="18"/>
          <w:szCs w:val="18"/>
          <w:highlight w:val="yellow"/>
          <w:u w:val="double"/>
          <w:lang w:val="en-IE" w:eastAsia="fr-FR"/>
        </w:rPr>
        <w:t>be pale and</w:t>
      </w:r>
      <w:r w:rsidRPr="00E777B4">
        <w:rPr>
          <w:rFonts w:ascii="Arial" w:hAnsi="Arial" w:cs="Arial"/>
          <w:bCs/>
          <w:sz w:val="18"/>
          <w:szCs w:val="18"/>
          <w:u w:val="double"/>
          <w:lang w:val="en-IE" w:eastAsia="fr-FR"/>
        </w:rPr>
        <w:t xml:space="preserve"> </w:t>
      </w:r>
      <w:r w:rsidRPr="00BD2E1E">
        <w:rPr>
          <w:rFonts w:ascii="Arial" w:hAnsi="Arial" w:cs="Arial"/>
          <w:bCs/>
          <w:sz w:val="18"/>
          <w:szCs w:val="18"/>
          <w:lang w:val="en-IE" w:eastAsia="fr-FR"/>
        </w:rPr>
        <w:t>occur on the skin, fin bases, eyes and gills</w:t>
      </w:r>
      <w:r w:rsidRPr="00E777B4">
        <w:rPr>
          <w:rFonts w:ascii="Arial" w:hAnsi="Arial" w:cs="Arial"/>
          <w:bCs/>
          <w:strike/>
          <w:sz w:val="18"/>
          <w:szCs w:val="18"/>
          <w:highlight w:val="yellow"/>
          <w:lang w:val="en-IE" w:eastAsia="fr-FR"/>
        </w:rPr>
        <w:t>, which may be pale</w:t>
      </w:r>
      <w:r w:rsidRPr="00BD2E1E">
        <w:rPr>
          <w:rFonts w:ascii="Arial" w:hAnsi="Arial" w:cs="Arial"/>
          <w:bCs/>
          <w:sz w:val="18"/>
          <w:szCs w:val="18"/>
          <w:lang w:val="en-IE" w:eastAsia="fr-FR"/>
        </w:rPr>
        <w:t xml:space="preserve">. The skin may darken and exophthalmia is often observed. The vent may be swollen, inflamed and trail mucoid casts. </w:t>
      </w:r>
      <w:r w:rsidRPr="00BD2E1E">
        <w:rPr>
          <w:rFonts w:ascii="Arial" w:hAnsi="Arial" w:cs="Arial"/>
          <w:bCs/>
          <w:strike/>
          <w:sz w:val="18"/>
          <w:szCs w:val="18"/>
          <w:lang w:val="en-IE" w:eastAsia="fr-FR"/>
        </w:rPr>
        <w:t xml:space="preserve">During an outbreak of infection with SVCV there will be a noticeable increase in mortality in the population. </w:t>
      </w:r>
      <w:r w:rsidRPr="00E777B4">
        <w:rPr>
          <w:rFonts w:ascii="Arial" w:hAnsi="Arial" w:cs="Arial"/>
          <w:bCs/>
          <w:strike/>
          <w:sz w:val="18"/>
          <w:szCs w:val="18"/>
          <w:highlight w:val="yellow"/>
          <w:lang w:val="en-IE" w:eastAsia="fr-FR"/>
        </w:rPr>
        <w:t>Diseased fish usually appear darker in colour.</w:t>
      </w:r>
      <w:r w:rsidRPr="00E777B4">
        <w:rPr>
          <w:rFonts w:ascii="Arial" w:hAnsi="Arial" w:cs="Arial"/>
          <w:bCs/>
          <w:strike/>
          <w:sz w:val="18"/>
          <w:szCs w:val="18"/>
          <w:lang w:val="en-IE" w:eastAsia="fr-FR"/>
        </w:rPr>
        <w:t xml:space="preserve"> </w:t>
      </w:r>
      <w:r w:rsidRPr="00BD2E1E">
        <w:rPr>
          <w:rFonts w:ascii="Arial" w:hAnsi="Arial" w:cs="Arial"/>
          <w:bCs/>
          <w:sz w:val="18"/>
          <w:szCs w:val="18"/>
          <w:lang w:val="en-IE" w:eastAsia="fr-FR"/>
        </w:rPr>
        <w:t xml:space="preserve">There may be no clinical signs in cases with a sudden onset of mortality. </w:t>
      </w:r>
    </w:p>
    <w:p w14:paraId="5DF4C17D" w14:textId="77777777" w:rsidR="00E65E42" w:rsidRPr="00A175F0" w:rsidRDefault="00E65E42" w:rsidP="00A175F0">
      <w:pPr>
        <w:spacing w:after="80" w:line="240" w:lineRule="auto"/>
        <w:ind w:left="993" w:hanging="284"/>
        <w:jc w:val="both"/>
        <w:rPr>
          <w:rFonts w:ascii="Ottawa" w:hAnsi="Ottawa" w:cs="Arial"/>
          <w:b/>
          <w:bCs/>
          <w:szCs w:val="20"/>
          <w:lang w:val="en-IE" w:eastAsia="fr-FR"/>
        </w:rPr>
      </w:pPr>
      <w:r w:rsidRPr="00A175F0">
        <w:rPr>
          <w:rFonts w:ascii="Ottawa" w:hAnsi="Ottawa" w:cs="Arial"/>
          <w:b/>
          <w:bCs/>
          <w:szCs w:val="20"/>
          <w:lang w:val="en-IE" w:eastAsia="fr-FR"/>
        </w:rPr>
        <w:t>2.3.3</w:t>
      </w:r>
      <w:r w:rsidRPr="00A175F0">
        <w:rPr>
          <w:rFonts w:ascii="Ottawa" w:hAnsi="Ottawa" w:cs="Arial"/>
          <w:b/>
          <w:bCs/>
          <w:szCs w:val="20"/>
          <w:lang w:val="en-IE" w:eastAsia="fr-FR"/>
        </w:rPr>
        <w:tab/>
      </w:r>
      <w:r w:rsidRPr="00223026">
        <w:rPr>
          <w:rFonts w:ascii="Ottawa" w:hAnsi="Ottawa" w:cs="Arial"/>
          <w:b/>
          <w:bCs/>
          <w:szCs w:val="20"/>
          <w:lang w:val="en-IE" w:eastAsia="fr-FR"/>
        </w:rPr>
        <w:t>Gross</w:t>
      </w:r>
      <w:r w:rsidRPr="00A175F0">
        <w:rPr>
          <w:rFonts w:ascii="Ottawa" w:hAnsi="Ottawa" w:cs="Arial"/>
          <w:b/>
          <w:bCs/>
          <w:szCs w:val="20"/>
          <w:lang w:val="en-IE" w:eastAsia="fr-FR"/>
        </w:rPr>
        <w:t xml:space="preserve"> pathology</w:t>
      </w:r>
    </w:p>
    <w:p w14:paraId="11AFB89F" w14:textId="77777777" w:rsidR="00E65E42" w:rsidRPr="00BD2E1E" w:rsidRDefault="00E65E42" w:rsidP="00A175F0">
      <w:pPr>
        <w:spacing w:after="80" w:line="240" w:lineRule="auto"/>
        <w:ind w:left="709"/>
        <w:jc w:val="both"/>
        <w:rPr>
          <w:rFonts w:ascii="Arial" w:hAnsi="Arial" w:cs="Arial"/>
          <w:bCs/>
          <w:sz w:val="18"/>
          <w:szCs w:val="18"/>
          <w:lang w:val="en-IE" w:eastAsia="fr-FR"/>
        </w:rPr>
      </w:pPr>
      <w:r w:rsidRPr="00BD2E1E">
        <w:rPr>
          <w:rFonts w:ascii="Arial" w:hAnsi="Arial" w:cs="Arial"/>
          <w:bCs/>
          <w:sz w:val="18"/>
          <w:szCs w:val="18"/>
          <w:lang w:val="en-IE" w:eastAsia="fr-FR"/>
        </w:rPr>
        <w:t xml:space="preserve">There are no pathognomonic gross lesions. Lesions may be absent in cases of sudden mortality. Gross pathologies are mainly documented for common carp and may include excess ascitic fluid in the abdominal cavity, usually containing blood, degeneration of the gill lamellae and inflammation of the intestine, which contains mucous instead of food. Oedema and haemorrhage of the visceral organs is commonly observed (the spleen is often enlarged), </w:t>
      </w:r>
      <w:r w:rsidRPr="00BD2E1E">
        <w:rPr>
          <w:rFonts w:ascii="Arial" w:hAnsi="Arial" w:cs="Arial"/>
          <w:bCs/>
          <w:sz w:val="18"/>
          <w:szCs w:val="18"/>
          <w:lang w:val="en" w:eastAsia="fr-FR"/>
        </w:rPr>
        <w:t>and organs adhere to each other and to the peritoneum</w:t>
      </w:r>
      <w:r w:rsidRPr="00BD2E1E">
        <w:rPr>
          <w:rFonts w:ascii="Arial" w:hAnsi="Arial" w:cs="Arial"/>
          <w:bCs/>
          <w:sz w:val="18"/>
          <w:szCs w:val="18"/>
          <w:lang w:val="en-IE" w:eastAsia="fr-FR"/>
        </w:rPr>
        <w:t>. Focal haemorrhages may be seen in the muscle and fat tissue, as well as in the swim bladder</w:t>
      </w:r>
      <w:r w:rsidRPr="00BD2E1E">
        <w:rPr>
          <w:rFonts w:ascii="Arial" w:hAnsi="Arial" w:cs="Arial"/>
          <w:bCs/>
          <w:sz w:val="18"/>
          <w:szCs w:val="18"/>
          <w:lang w:val="en" w:eastAsia="fr-FR"/>
        </w:rPr>
        <w:t xml:space="preserve"> (see Dixon, 2008). </w:t>
      </w:r>
      <w:bookmarkStart w:id="109" w:name="_Hlk20820831"/>
      <w:r w:rsidRPr="00BD2E1E">
        <w:rPr>
          <w:rFonts w:ascii="Arial" w:hAnsi="Arial" w:cs="Arial"/>
          <w:bCs/>
          <w:sz w:val="18"/>
          <w:szCs w:val="18"/>
          <w:lang w:val="en" w:eastAsia="fr-FR"/>
        </w:rPr>
        <w:t xml:space="preserve">However, petechial haemorrhages are </w:t>
      </w:r>
      <w:r w:rsidRPr="00BD2E1E">
        <w:rPr>
          <w:rFonts w:ascii="Arial" w:hAnsi="Arial" w:cs="Arial"/>
          <w:bCs/>
          <w:sz w:val="18"/>
          <w:szCs w:val="18"/>
          <w:u w:val="double"/>
          <w:lang w:val="en" w:eastAsia="fr-FR"/>
        </w:rPr>
        <w:t>infrequent</w:t>
      </w:r>
      <w:r w:rsidRPr="00BD2E1E">
        <w:rPr>
          <w:rFonts w:ascii="Arial" w:hAnsi="Arial" w:cs="Arial"/>
          <w:bCs/>
          <w:sz w:val="18"/>
          <w:szCs w:val="18"/>
          <w:lang w:val="en" w:eastAsia="fr-FR"/>
        </w:rPr>
        <w:t xml:space="preserve"> </w:t>
      </w:r>
      <w:r w:rsidRPr="00BD2E1E">
        <w:rPr>
          <w:rFonts w:ascii="Arial" w:hAnsi="Arial" w:cs="Arial"/>
          <w:bCs/>
          <w:strike/>
          <w:sz w:val="18"/>
          <w:szCs w:val="18"/>
          <w:lang w:val="en" w:eastAsia="fr-FR"/>
        </w:rPr>
        <w:t xml:space="preserve">uncommon </w:t>
      </w:r>
      <w:r w:rsidRPr="00BD2E1E">
        <w:rPr>
          <w:rFonts w:ascii="Arial" w:hAnsi="Arial" w:cs="Arial"/>
          <w:bCs/>
          <w:sz w:val="18"/>
          <w:szCs w:val="18"/>
          <w:lang w:val="en" w:eastAsia="fr-FR"/>
        </w:rPr>
        <w:t xml:space="preserve">in cases caused by Asian strains of SVCV (Dikkeboom </w:t>
      </w:r>
      <w:r w:rsidRPr="00BD2E1E">
        <w:rPr>
          <w:rFonts w:ascii="Arial" w:hAnsi="Arial" w:cs="Arial"/>
          <w:bCs/>
          <w:i/>
          <w:iCs/>
          <w:sz w:val="18"/>
          <w:szCs w:val="18"/>
          <w:lang w:val="en" w:eastAsia="fr-FR"/>
        </w:rPr>
        <w:t>et al</w:t>
      </w:r>
      <w:r w:rsidRPr="00BD2E1E">
        <w:rPr>
          <w:rFonts w:ascii="Arial" w:hAnsi="Arial" w:cs="Arial"/>
          <w:bCs/>
          <w:sz w:val="18"/>
          <w:szCs w:val="18"/>
          <w:lang w:val="en" w:eastAsia="fr-FR"/>
        </w:rPr>
        <w:t xml:space="preserve">., 2004). </w:t>
      </w:r>
      <w:bookmarkEnd w:id="109"/>
    </w:p>
    <w:p w14:paraId="1D4A67EE" w14:textId="77777777" w:rsidR="00E65E42" w:rsidRPr="000151EA" w:rsidRDefault="00E65E42" w:rsidP="00A175F0">
      <w:pPr>
        <w:spacing w:after="80" w:line="240" w:lineRule="auto"/>
        <w:ind w:left="993" w:hanging="284"/>
        <w:jc w:val="both"/>
        <w:rPr>
          <w:rFonts w:ascii="Ottawa" w:hAnsi="Ottawa" w:cs="Arial"/>
          <w:b/>
          <w:bCs/>
          <w:szCs w:val="20"/>
          <w:lang w:val="en-IE" w:eastAsia="fr-FR"/>
        </w:rPr>
      </w:pPr>
      <w:r w:rsidRPr="000151EA">
        <w:rPr>
          <w:rFonts w:ascii="Ottawa" w:hAnsi="Ottawa" w:cs="Arial"/>
          <w:b/>
          <w:bCs/>
          <w:szCs w:val="20"/>
          <w:lang w:val="en-IE" w:eastAsia="fr-FR"/>
        </w:rPr>
        <w:t>2.3.4.</w:t>
      </w:r>
      <w:r w:rsidRPr="000151EA">
        <w:rPr>
          <w:rFonts w:ascii="Ottawa" w:hAnsi="Ottawa" w:cs="Arial"/>
          <w:b/>
          <w:bCs/>
          <w:szCs w:val="20"/>
          <w:lang w:val="en-IE" w:eastAsia="fr-FR"/>
        </w:rPr>
        <w:tab/>
        <w:t>Modes of transmission and life cycle</w:t>
      </w:r>
    </w:p>
    <w:p w14:paraId="4A81E9D4" w14:textId="77777777" w:rsidR="00E65E42" w:rsidRPr="00BD2E1E" w:rsidRDefault="00E65E42" w:rsidP="00A175F0">
      <w:pPr>
        <w:spacing w:after="80" w:line="240" w:lineRule="auto"/>
        <w:ind w:left="709"/>
        <w:jc w:val="both"/>
        <w:rPr>
          <w:rFonts w:ascii="Arial" w:hAnsi="Arial" w:cs="Arial"/>
          <w:bCs/>
          <w:sz w:val="18"/>
          <w:szCs w:val="18"/>
          <w:lang w:val="en-IE"/>
        </w:rPr>
      </w:pPr>
      <w:r w:rsidRPr="00BD2E1E">
        <w:rPr>
          <w:rFonts w:ascii="Arial" w:hAnsi="Arial" w:cs="Arial"/>
          <w:bCs/>
          <w:sz w:val="18"/>
          <w:szCs w:val="18"/>
        </w:rPr>
        <w:t xml:space="preserve">The transmission of SVCV is horizontal (Fijan, 1988). </w:t>
      </w:r>
      <w:r w:rsidRPr="00BD2E1E">
        <w:rPr>
          <w:rFonts w:ascii="Arial" w:hAnsi="Arial" w:cs="Arial"/>
          <w:bCs/>
          <w:sz w:val="18"/>
          <w:szCs w:val="18"/>
          <w:u w:val="double"/>
        </w:rPr>
        <w:t xml:space="preserve">Horizontal transmission may be direct, </w:t>
      </w:r>
      <w:r w:rsidRPr="00695BD1">
        <w:rPr>
          <w:rFonts w:ascii="Arial" w:hAnsi="Arial" w:cs="Arial"/>
          <w:bCs/>
          <w:sz w:val="18"/>
          <w:szCs w:val="18"/>
          <w:highlight w:val="yellow"/>
          <w:u w:val="double"/>
        </w:rPr>
        <w:t>or</w:t>
      </w:r>
      <w:r w:rsidRPr="00587AB6">
        <w:rPr>
          <w:rFonts w:ascii="Arial" w:hAnsi="Arial" w:cs="Arial"/>
          <w:bCs/>
          <w:sz w:val="18"/>
          <w:szCs w:val="18"/>
          <w:u w:val="double"/>
        </w:rPr>
        <w:t xml:space="preserve"> </w:t>
      </w:r>
      <w:r w:rsidRPr="00BD2E1E">
        <w:rPr>
          <w:rFonts w:ascii="Arial" w:hAnsi="Arial" w:cs="Arial"/>
          <w:bCs/>
          <w:sz w:val="18"/>
          <w:szCs w:val="18"/>
          <w:u w:val="double"/>
        </w:rPr>
        <w:t>via water, fomites or vectors (Section 2.2.7.) (Fijan, 1988).</w:t>
      </w:r>
      <w:r w:rsidRPr="00BD2E1E">
        <w:rPr>
          <w:rFonts w:ascii="Arial" w:hAnsi="Arial" w:cs="Arial"/>
          <w:bCs/>
          <w:sz w:val="18"/>
          <w:szCs w:val="18"/>
        </w:rPr>
        <w:t xml:space="preserve"> </w:t>
      </w:r>
      <w:r w:rsidRPr="00BD2E1E">
        <w:rPr>
          <w:rFonts w:ascii="Arial" w:hAnsi="Arial" w:cs="Arial"/>
          <w:bCs/>
          <w:sz w:val="18"/>
          <w:szCs w:val="18"/>
          <w:lang w:val="en-IE"/>
        </w:rPr>
        <w:t>The virus appears to enter the host via the gill</w:t>
      </w:r>
      <w:r w:rsidRPr="00E777B4">
        <w:rPr>
          <w:rFonts w:ascii="Arial" w:hAnsi="Arial" w:cs="Arial"/>
          <w:bCs/>
          <w:sz w:val="18"/>
          <w:szCs w:val="18"/>
          <w:highlight w:val="yellow"/>
          <w:u w:val="double"/>
          <w:lang w:val="en-IE"/>
        </w:rPr>
        <w:t>s</w:t>
      </w:r>
      <w:r w:rsidRPr="00BD2E1E">
        <w:rPr>
          <w:rFonts w:ascii="Arial" w:hAnsi="Arial" w:cs="Arial"/>
          <w:bCs/>
          <w:sz w:val="18"/>
          <w:szCs w:val="18"/>
          <w:lang w:val="en-IE"/>
        </w:rPr>
        <w:t xml:space="preserve">. A viraemia follows and the virus rapidly spreads to the liver, kidney, spleen and alimentary tract. The virus can be detected in faeces and is also shed into the water via faeces and urine </w:t>
      </w:r>
      <w:r w:rsidRPr="00BD2E1E">
        <w:rPr>
          <w:rFonts w:ascii="Arial" w:eastAsia="Calibri" w:hAnsi="Arial" w:cs="Arial"/>
          <w:bCs/>
          <w:sz w:val="18"/>
          <w:szCs w:val="18"/>
          <w:lang w:val="en-IE"/>
        </w:rPr>
        <w:t>(Ahne, 1982).</w:t>
      </w:r>
    </w:p>
    <w:p w14:paraId="74F45815" w14:textId="77777777" w:rsidR="00E65E42" w:rsidRDefault="00E65E42" w:rsidP="00A175F0">
      <w:pPr>
        <w:spacing w:after="80" w:line="240" w:lineRule="auto"/>
        <w:ind w:left="709"/>
        <w:jc w:val="both"/>
        <w:rPr>
          <w:rFonts w:ascii="Arial" w:eastAsia="Calibri" w:hAnsi="Arial" w:cs="Arial"/>
          <w:bCs/>
          <w:sz w:val="18"/>
          <w:szCs w:val="18"/>
          <w:lang w:val="en-IE"/>
        </w:rPr>
      </w:pPr>
      <w:r w:rsidRPr="00BD2E1E">
        <w:rPr>
          <w:rFonts w:ascii="Arial" w:hAnsi="Arial" w:cs="Arial"/>
          <w:bCs/>
          <w:sz w:val="18"/>
          <w:szCs w:val="18"/>
        </w:rPr>
        <w:t xml:space="preserve">Vertical </w:t>
      </w:r>
      <w:r w:rsidRPr="008115A0">
        <w:rPr>
          <w:rFonts w:ascii="Arial" w:hAnsi="Arial" w:cs="Arial"/>
          <w:bCs/>
          <w:strike/>
          <w:sz w:val="18"/>
          <w:szCs w:val="18"/>
          <w:highlight w:val="yellow"/>
        </w:rPr>
        <w:t xml:space="preserve">or </w:t>
      </w:r>
      <w:r w:rsidRPr="008115A0">
        <w:rPr>
          <w:rFonts w:ascii="Arial" w:hAnsi="Arial" w:cs="Arial"/>
          <w:bCs/>
          <w:sz w:val="18"/>
          <w:szCs w:val="18"/>
          <w:highlight w:val="yellow"/>
          <w:u w:val="double"/>
        </w:rPr>
        <w:t>a</w:t>
      </w:r>
      <w:r w:rsidRPr="00695BD1">
        <w:rPr>
          <w:rFonts w:ascii="Arial" w:hAnsi="Arial" w:cs="Arial"/>
          <w:bCs/>
          <w:sz w:val="18"/>
          <w:szCs w:val="18"/>
          <w:highlight w:val="yellow"/>
          <w:u w:val="double"/>
        </w:rPr>
        <w:t>nd</w:t>
      </w:r>
      <w:r>
        <w:rPr>
          <w:rFonts w:ascii="Arial" w:hAnsi="Arial" w:cs="Arial"/>
          <w:bCs/>
          <w:sz w:val="18"/>
          <w:szCs w:val="18"/>
        </w:rPr>
        <w:t xml:space="preserve"> </w:t>
      </w:r>
      <w:r w:rsidRPr="00BD2E1E">
        <w:rPr>
          <w:rFonts w:ascii="Arial" w:hAnsi="Arial" w:cs="Arial"/>
          <w:bCs/>
          <w:sz w:val="18"/>
          <w:szCs w:val="18"/>
        </w:rPr>
        <w:t>‘egg-associated’ transmission cannot be ruled out following one report of isolation of SVCV from carp ovarian fluid, although there have been no further reports (</w:t>
      </w:r>
      <w:r w:rsidRPr="00BD2E1E">
        <w:rPr>
          <w:rFonts w:ascii="Arial" w:eastAsia="Calibri" w:hAnsi="Arial" w:cs="Arial"/>
          <w:bCs/>
          <w:sz w:val="18"/>
          <w:szCs w:val="18"/>
          <w:lang w:val="en-IE"/>
        </w:rPr>
        <w:t>Bekesi &amp; Csontos, 1985).</w:t>
      </w:r>
    </w:p>
    <w:p w14:paraId="5CE41750" w14:textId="77777777" w:rsidR="00E65E42" w:rsidRPr="00BD2E1E" w:rsidRDefault="00E65E42" w:rsidP="00A175F0">
      <w:pPr>
        <w:spacing w:after="80" w:line="240" w:lineRule="auto"/>
        <w:ind w:left="709"/>
        <w:jc w:val="both"/>
        <w:rPr>
          <w:rFonts w:ascii="Arial" w:hAnsi="Arial" w:cs="Arial"/>
          <w:bCs/>
          <w:sz w:val="18"/>
          <w:szCs w:val="18"/>
        </w:rPr>
      </w:pPr>
      <w:r w:rsidRPr="00BD2E1E">
        <w:rPr>
          <w:rFonts w:ascii="Arial" w:hAnsi="Arial" w:cs="Arial"/>
          <w:bCs/>
          <w:strike/>
          <w:sz w:val="18"/>
          <w:szCs w:val="18"/>
        </w:rPr>
        <w:t>Horizontal transmission may be direct or vectorial, water being the major abiotic vector (Fijan, 1988). Animate vectors (Section 2.2.6.) and fomites may also be involved in transmission of SVCV (Fijan, 1988).</w:t>
      </w:r>
      <w:r w:rsidRPr="00BD2E1E">
        <w:rPr>
          <w:rFonts w:ascii="Arial" w:hAnsi="Arial" w:cs="Arial"/>
          <w:bCs/>
          <w:sz w:val="18"/>
          <w:szCs w:val="18"/>
        </w:rPr>
        <w:t xml:space="preserve"> Once SVCV is established in populations, it may be very difficult to eradicate without destroying all </w:t>
      </w:r>
      <w:r w:rsidRPr="00695BD1">
        <w:rPr>
          <w:rFonts w:ascii="Arial" w:hAnsi="Arial" w:cs="Arial"/>
          <w:bCs/>
          <w:sz w:val="18"/>
          <w:szCs w:val="18"/>
          <w:highlight w:val="yellow"/>
          <w:u w:val="double"/>
        </w:rPr>
        <w:t>susceptible species and vectors</w:t>
      </w:r>
      <w:r w:rsidRPr="008115A0">
        <w:rPr>
          <w:rFonts w:ascii="Arial" w:hAnsi="Arial" w:cs="Arial"/>
          <w:bCs/>
          <w:strike/>
          <w:sz w:val="18"/>
          <w:szCs w:val="18"/>
          <w:highlight w:val="yellow"/>
        </w:rPr>
        <w:t xml:space="preserve"> </w:t>
      </w:r>
      <w:r w:rsidRPr="00695BD1">
        <w:rPr>
          <w:rFonts w:ascii="Arial" w:hAnsi="Arial" w:cs="Arial"/>
          <w:bCs/>
          <w:strike/>
          <w:sz w:val="18"/>
          <w:szCs w:val="18"/>
          <w:highlight w:val="yellow"/>
        </w:rPr>
        <w:t>types of life at the site</w:t>
      </w:r>
      <w:r w:rsidRPr="00BD2E1E">
        <w:rPr>
          <w:rFonts w:ascii="Arial" w:hAnsi="Arial" w:cs="Arial"/>
          <w:bCs/>
          <w:sz w:val="18"/>
          <w:szCs w:val="18"/>
        </w:rPr>
        <w:t>.</w:t>
      </w:r>
    </w:p>
    <w:p w14:paraId="355F314E" w14:textId="77777777" w:rsidR="00E65E42" w:rsidRPr="000151EA" w:rsidRDefault="00E65E42" w:rsidP="00A175F0">
      <w:pPr>
        <w:spacing w:after="80" w:line="240" w:lineRule="auto"/>
        <w:ind w:left="993" w:hanging="284"/>
        <w:jc w:val="both"/>
        <w:rPr>
          <w:rFonts w:ascii="Ottawa" w:hAnsi="Ottawa" w:cs="Arial"/>
          <w:b/>
          <w:bCs/>
          <w:szCs w:val="20"/>
          <w:lang w:val="en-IE" w:eastAsia="fr-FR"/>
        </w:rPr>
      </w:pPr>
      <w:bookmarkStart w:id="110" w:name="_Hlk20821362"/>
      <w:r w:rsidRPr="000151EA">
        <w:rPr>
          <w:rFonts w:ascii="Ottawa" w:hAnsi="Ottawa" w:cs="Arial"/>
          <w:b/>
          <w:bCs/>
          <w:szCs w:val="20"/>
          <w:lang w:val="en-IE" w:eastAsia="fr-FR"/>
        </w:rPr>
        <w:t>2.3.5.</w:t>
      </w:r>
      <w:r w:rsidRPr="000151EA">
        <w:rPr>
          <w:rFonts w:ascii="Ottawa" w:hAnsi="Ottawa" w:cs="Arial"/>
          <w:b/>
          <w:bCs/>
          <w:szCs w:val="20"/>
          <w:lang w:val="en-IE" w:eastAsia="fr-FR"/>
        </w:rPr>
        <w:tab/>
        <w:t>Environmental and management factors</w:t>
      </w:r>
      <w:bookmarkEnd w:id="110"/>
      <w:r w:rsidRPr="000151EA">
        <w:rPr>
          <w:rFonts w:ascii="Ottawa" w:hAnsi="Ottawa" w:cs="Arial"/>
          <w:b/>
          <w:bCs/>
          <w:szCs w:val="20"/>
          <w:lang w:val="en-IE" w:eastAsia="fr-FR"/>
        </w:rPr>
        <w:t xml:space="preserve"> </w:t>
      </w:r>
    </w:p>
    <w:p w14:paraId="1FF33DA0" w14:textId="77777777" w:rsidR="00E65E42" w:rsidRDefault="00E65E42" w:rsidP="00A175F0">
      <w:pPr>
        <w:spacing w:after="240" w:line="240" w:lineRule="auto"/>
        <w:ind w:left="709"/>
        <w:jc w:val="both"/>
        <w:rPr>
          <w:rFonts w:ascii="Arial" w:hAnsi="Arial" w:cs="Arial"/>
          <w:bCs/>
          <w:sz w:val="18"/>
          <w:szCs w:val="18"/>
        </w:rPr>
      </w:pPr>
      <w:r w:rsidRPr="00BD2E1E">
        <w:rPr>
          <w:rFonts w:ascii="Arial" w:hAnsi="Arial" w:cs="Arial"/>
          <w:bCs/>
          <w:sz w:val="18"/>
          <w:szCs w:val="18"/>
        </w:rPr>
        <w:t xml:space="preserve">Disease outbreaks in carp generally occur between 11 and 17°C. They rarely occur below 10°C, and mortalities, particularly in older fish, decline as the temperature exceeds 22°C (Fijan, 1988). However, the virus was isolated from apparently healthy fish from a lake in Canada that had been sampled over a 13-day period during which the water temperature varied between 24.2°C and 27.3°C (Garver </w:t>
      </w:r>
      <w:r w:rsidRPr="00BD2E1E">
        <w:rPr>
          <w:rFonts w:ascii="Arial" w:hAnsi="Arial" w:cs="Arial"/>
          <w:bCs/>
          <w:i/>
          <w:sz w:val="18"/>
          <w:szCs w:val="18"/>
        </w:rPr>
        <w:t>et al,</w:t>
      </w:r>
      <w:r w:rsidRPr="00BD2E1E">
        <w:rPr>
          <w:rFonts w:ascii="Arial" w:hAnsi="Arial" w:cs="Arial"/>
          <w:bCs/>
          <w:sz w:val="18"/>
          <w:szCs w:val="18"/>
        </w:rPr>
        <w:t xml:space="preserve"> 2007). </w:t>
      </w:r>
      <w:bookmarkStart w:id="111" w:name="_Hlk20821053"/>
      <w:r w:rsidRPr="00BD2E1E">
        <w:rPr>
          <w:rFonts w:ascii="Arial" w:hAnsi="Arial" w:cs="Arial"/>
          <w:bCs/>
          <w:sz w:val="18"/>
          <w:szCs w:val="18"/>
          <w:u w:val="double"/>
        </w:rPr>
        <w:t>These fish may have been more susceptible to infection as they were penned and detection was during spawning.</w:t>
      </w:r>
      <w:r w:rsidRPr="00BD2E1E">
        <w:rPr>
          <w:rFonts w:ascii="Arial" w:hAnsi="Arial" w:cs="Arial"/>
          <w:bCs/>
          <w:sz w:val="18"/>
          <w:szCs w:val="18"/>
        </w:rPr>
        <w:t xml:space="preserve"> </w:t>
      </w:r>
      <w:bookmarkEnd w:id="111"/>
      <w:r w:rsidRPr="00BD2E1E">
        <w:rPr>
          <w:rFonts w:ascii="Arial" w:hAnsi="Arial" w:cs="Arial"/>
          <w:bCs/>
          <w:sz w:val="18"/>
          <w:szCs w:val="18"/>
        </w:rPr>
        <w:t xml:space="preserve">Secondary and concomitant bacterial </w:t>
      </w:r>
      <w:r w:rsidRPr="00E777B4">
        <w:rPr>
          <w:rFonts w:ascii="Arial" w:hAnsi="Arial" w:cs="Arial"/>
          <w:bCs/>
          <w:strike/>
          <w:sz w:val="18"/>
          <w:szCs w:val="18"/>
          <w:highlight w:val="yellow"/>
        </w:rPr>
        <w:t>and/</w:t>
      </w:r>
      <w:r w:rsidRPr="00BD2E1E">
        <w:rPr>
          <w:rFonts w:ascii="Arial" w:hAnsi="Arial" w:cs="Arial"/>
          <w:bCs/>
          <w:sz w:val="18"/>
          <w:szCs w:val="18"/>
        </w:rPr>
        <w:t xml:space="preserve">or parasitic infections can affect the mortality rate and </w:t>
      </w:r>
      <w:r w:rsidRPr="008115A0">
        <w:rPr>
          <w:rFonts w:ascii="Arial" w:hAnsi="Arial" w:cs="Arial"/>
          <w:bCs/>
          <w:strike/>
          <w:sz w:val="18"/>
          <w:szCs w:val="18"/>
          <w:highlight w:val="yellow"/>
        </w:rPr>
        <w:t xml:space="preserve">display </w:t>
      </w:r>
      <w:r w:rsidRPr="008115A0">
        <w:rPr>
          <w:rFonts w:ascii="Arial" w:hAnsi="Arial" w:cs="Arial"/>
          <w:bCs/>
          <w:sz w:val="18"/>
          <w:szCs w:val="18"/>
          <w:highlight w:val="yellow"/>
          <w:u w:val="double"/>
        </w:rPr>
        <w:t>t</w:t>
      </w:r>
      <w:r w:rsidRPr="00695BD1">
        <w:rPr>
          <w:rFonts w:ascii="Arial" w:hAnsi="Arial" w:cs="Arial"/>
          <w:bCs/>
          <w:sz w:val="18"/>
          <w:szCs w:val="18"/>
          <w:highlight w:val="yellow"/>
          <w:u w:val="double"/>
        </w:rPr>
        <w:t>he appearance</w:t>
      </w:r>
      <w:r>
        <w:rPr>
          <w:rFonts w:ascii="Arial" w:hAnsi="Arial" w:cs="Arial"/>
          <w:bCs/>
          <w:sz w:val="18"/>
          <w:szCs w:val="18"/>
        </w:rPr>
        <w:t xml:space="preserve"> </w:t>
      </w:r>
      <w:r w:rsidRPr="00BD2E1E">
        <w:rPr>
          <w:rFonts w:ascii="Arial" w:hAnsi="Arial" w:cs="Arial"/>
          <w:bCs/>
          <w:sz w:val="18"/>
          <w:szCs w:val="18"/>
        </w:rPr>
        <w:t xml:space="preserve">of </w:t>
      </w:r>
      <w:r w:rsidRPr="00695BD1">
        <w:rPr>
          <w:rFonts w:ascii="Arial" w:hAnsi="Arial" w:cs="Arial"/>
          <w:bCs/>
          <w:sz w:val="18"/>
          <w:szCs w:val="18"/>
          <w:highlight w:val="yellow"/>
          <w:u w:val="double"/>
        </w:rPr>
        <w:t>clinical</w:t>
      </w:r>
      <w:r>
        <w:rPr>
          <w:rFonts w:ascii="Arial" w:hAnsi="Arial" w:cs="Arial"/>
          <w:bCs/>
          <w:sz w:val="18"/>
          <w:szCs w:val="18"/>
        </w:rPr>
        <w:t xml:space="preserve"> </w:t>
      </w:r>
      <w:r w:rsidRPr="00BD2E1E">
        <w:rPr>
          <w:rFonts w:ascii="Arial" w:hAnsi="Arial" w:cs="Arial"/>
          <w:bCs/>
          <w:sz w:val="18"/>
          <w:szCs w:val="18"/>
        </w:rPr>
        <w:t xml:space="preserve">signs. In carp, the disease is often observed </w:t>
      </w:r>
      <w:r w:rsidRPr="00E777B4">
        <w:rPr>
          <w:rFonts w:ascii="Arial" w:hAnsi="Arial" w:cs="Arial"/>
          <w:bCs/>
          <w:sz w:val="18"/>
          <w:szCs w:val="18"/>
          <w:highlight w:val="yellow"/>
          <w:u w:val="double"/>
        </w:rPr>
        <w:t>during</w:t>
      </w:r>
      <w:r>
        <w:rPr>
          <w:rFonts w:ascii="Arial" w:hAnsi="Arial" w:cs="Arial"/>
          <w:bCs/>
          <w:sz w:val="18"/>
          <w:szCs w:val="18"/>
        </w:rPr>
        <w:t xml:space="preserve"> </w:t>
      </w:r>
      <w:r w:rsidRPr="00E777B4">
        <w:rPr>
          <w:rFonts w:ascii="Arial" w:hAnsi="Arial" w:cs="Arial"/>
          <w:bCs/>
          <w:strike/>
          <w:sz w:val="18"/>
          <w:szCs w:val="18"/>
          <w:highlight w:val="yellow"/>
        </w:rPr>
        <w:t>in</w:t>
      </w:r>
      <w:r w:rsidRPr="00E777B4">
        <w:rPr>
          <w:rFonts w:ascii="Arial" w:hAnsi="Arial" w:cs="Arial"/>
          <w:bCs/>
          <w:strike/>
          <w:sz w:val="18"/>
          <w:szCs w:val="18"/>
        </w:rPr>
        <w:t xml:space="preserve"> </w:t>
      </w:r>
      <w:r w:rsidRPr="00BD2E1E">
        <w:rPr>
          <w:rFonts w:ascii="Arial" w:hAnsi="Arial" w:cs="Arial"/>
          <w:bCs/>
          <w:sz w:val="18"/>
          <w:szCs w:val="18"/>
        </w:rPr>
        <w:t>spring</w:t>
      </w:r>
      <w:r w:rsidRPr="00E777B4">
        <w:rPr>
          <w:rFonts w:ascii="Arial" w:hAnsi="Arial" w:cs="Arial"/>
          <w:bCs/>
          <w:strike/>
          <w:sz w:val="18"/>
          <w:szCs w:val="18"/>
          <w:highlight w:val="yellow"/>
        </w:rPr>
        <w:t>time</w:t>
      </w:r>
      <w:r w:rsidRPr="00BD2E1E">
        <w:rPr>
          <w:rFonts w:ascii="Arial" w:hAnsi="Arial" w:cs="Arial"/>
          <w:bCs/>
          <w:sz w:val="18"/>
          <w:szCs w:val="18"/>
        </w:rPr>
        <w:t xml:space="preserve"> (hence the common name for the disease), particularly in countries having cold winters. It is believed that the poor condition of the over-wintered fish may be a contributory factor in </w:t>
      </w:r>
      <w:r w:rsidRPr="00E777B4">
        <w:rPr>
          <w:rFonts w:ascii="Arial" w:hAnsi="Arial" w:cs="Arial"/>
          <w:bCs/>
          <w:sz w:val="18"/>
          <w:szCs w:val="18"/>
          <w:highlight w:val="yellow"/>
          <w:u w:val="double"/>
        </w:rPr>
        <w:t>the</w:t>
      </w:r>
      <w:r w:rsidRPr="00E777B4">
        <w:rPr>
          <w:rFonts w:ascii="Arial" w:hAnsi="Arial" w:cs="Arial"/>
          <w:bCs/>
          <w:strike/>
          <w:sz w:val="18"/>
          <w:szCs w:val="18"/>
          <w:highlight w:val="yellow"/>
        </w:rPr>
        <w:t>disease</w:t>
      </w:r>
      <w:r w:rsidRPr="00BD2E1E">
        <w:rPr>
          <w:rFonts w:ascii="Arial" w:hAnsi="Arial" w:cs="Arial"/>
          <w:bCs/>
          <w:sz w:val="18"/>
          <w:szCs w:val="18"/>
        </w:rPr>
        <w:t xml:space="preserve"> occurrence</w:t>
      </w:r>
      <w:r>
        <w:rPr>
          <w:rFonts w:ascii="Arial" w:hAnsi="Arial" w:cs="Arial"/>
          <w:bCs/>
          <w:sz w:val="18"/>
          <w:szCs w:val="18"/>
        </w:rPr>
        <w:t xml:space="preserve"> </w:t>
      </w:r>
      <w:r w:rsidRPr="00E777B4">
        <w:rPr>
          <w:rFonts w:ascii="Arial" w:hAnsi="Arial" w:cs="Arial"/>
          <w:bCs/>
          <w:sz w:val="18"/>
          <w:szCs w:val="18"/>
          <w:highlight w:val="yellow"/>
          <w:u w:val="double"/>
        </w:rPr>
        <w:t>of clinical disease. Clinical</w:t>
      </w:r>
      <w:r>
        <w:rPr>
          <w:rFonts w:ascii="Arial" w:hAnsi="Arial" w:cs="Arial"/>
          <w:bCs/>
          <w:sz w:val="18"/>
          <w:szCs w:val="18"/>
        </w:rPr>
        <w:t xml:space="preserve"> </w:t>
      </w:r>
      <w:r w:rsidRPr="00E777B4">
        <w:rPr>
          <w:rFonts w:ascii="Arial" w:hAnsi="Arial" w:cs="Arial"/>
          <w:bCs/>
          <w:strike/>
          <w:sz w:val="18"/>
          <w:szCs w:val="18"/>
          <w:highlight w:val="yellow"/>
        </w:rPr>
        <w:t>The</w:t>
      </w:r>
      <w:r w:rsidRPr="00E777B4">
        <w:rPr>
          <w:rFonts w:ascii="Arial" w:hAnsi="Arial" w:cs="Arial"/>
          <w:bCs/>
          <w:strike/>
          <w:sz w:val="18"/>
          <w:szCs w:val="18"/>
        </w:rPr>
        <w:t xml:space="preserve"> </w:t>
      </w:r>
      <w:r w:rsidRPr="00BD2E1E">
        <w:rPr>
          <w:rFonts w:ascii="Arial" w:hAnsi="Arial" w:cs="Arial"/>
          <w:bCs/>
          <w:sz w:val="18"/>
          <w:szCs w:val="18"/>
        </w:rPr>
        <w:t>disease can occur in fish in quarantine following the stress of transportation, even though there has been no evidence of infection prior to transportation.</w:t>
      </w:r>
    </w:p>
    <w:p w14:paraId="412F81E2" w14:textId="77777777" w:rsidR="00DB0A8D" w:rsidRDefault="00DB0A8D" w:rsidP="00DB0A8D">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518FF71E" w14:textId="77777777" w:rsidR="00E65E42" w:rsidRPr="000151EA" w:rsidRDefault="00E65E42" w:rsidP="00A175F0">
      <w:pPr>
        <w:spacing w:after="80" w:line="240" w:lineRule="auto"/>
        <w:ind w:left="993" w:hanging="284"/>
        <w:jc w:val="both"/>
        <w:rPr>
          <w:rFonts w:ascii="Ottawa" w:hAnsi="Ottawa" w:cs="Arial"/>
          <w:b/>
          <w:bCs/>
          <w:szCs w:val="20"/>
          <w:lang w:val="en-IE" w:eastAsia="fr-FR"/>
        </w:rPr>
      </w:pPr>
      <w:r w:rsidRPr="000151EA">
        <w:rPr>
          <w:rFonts w:ascii="Ottawa" w:hAnsi="Ottawa" w:cs="Arial"/>
          <w:b/>
          <w:bCs/>
          <w:szCs w:val="20"/>
          <w:lang w:val="en-IE" w:eastAsia="fr-FR"/>
        </w:rPr>
        <w:t>2.3.6.</w:t>
      </w:r>
      <w:r w:rsidRPr="000151EA">
        <w:rPr>
          <w:rFonts w:ascii="Ottawa" w:hAnsi="Ottawa" w:cs="Arial"/>
          <w:b/>
          <w:bCs/>
          <w:szCs w:val="20"/>
          <w:lang w:val="en-IE" w:eastAsia="fr-FR"/>
        </w:rPr>
        <w:tab/>
        <w:t>Geographical distribution</w:t>
      </w:r>
    </w:p>
    <w:p w14:paraId="1B082B7E" w14:textId="77777777" w:rsidR="00E65E42" w:rsidRPr="00BD2E1E" w:rsidRDefault="00E65E42" w:rsidP="00A175F0">
      <w:pPr>
        <w:spacing w:after="240" w:line="240" w:lineRule="auto"/>
        <w:ind w:left="709"/>
        <w:jc w:val="both"/>
        <w:rPr>
          <w:rFonts w:ascii="Arial" w:hAnsi="Arial" w:cs="Arial"/>
          <w:bCs/>
          <w:sz w:val="18"/>
          <w:szCs w:val="18"/>
          <w:lang w:eastAsia="fr-FR"/>
        </w:rPr>
      </w:pPr>
      <w:r w:rsidRPr="00BD2E1E">
        <w:rPr>
          <w:rFonts w:ascii="Arial" w:hAnsi="Arial" w:cs="Arial"/>
          <w:bCs/>
          <w:sz w:val="18"/>
          <w:szCs w:val="18"/>
          <w:lang w:eastAsia="fr-FR"/>
        </w:rPr>
        <w:t>For a long time, the geographical range of SVC</w:t>
      </w:r>
      <w:r w:rsidRPr="00E777B4">
        <w:rPr>
          <w:rFonts w:ascii="Arial" w:hAnsi="Arial" w:cs="Arial"/>
          <w:bCs/>
          <w:sz w:val="18"/>
          <w:szCs w:val="18"/>
          <w:highlight w:val="yellow"/>
          <w:u w:val="double"/>
          <w:lang w:eastAsia="fr-FR"/>
        </w:rPr>
        <w:t>V</w:t>
      </w:r>
      <w:r w:rsidRPr="00BD2E1E">
        <w:rPr>
          <w:rFonts w:ascii="Arial" w:hAnsi="Arial" w:cs="Arial"/>
          <w:bCs/>
          <w:sz w:val="18"/>
          <w:szCs w:val="18"/>
          <w:lang w:eastAsia="fr-FR"/>
        </w:rPr>
        <w:t xml:space="preserve"> was limited to countries of the European continent that experience low water temperatures during winter. </w:t>
      </w:r>
      <w:r w:rsidRPr="00BD2E1E">
        <w:rPr>
          <w:rFonts w:ascii="Arial" w:hAnsi="Arial" w:cs="Arial"/>
          <w:bCs/>
          <w:strike/>
          <w:sz w:val="18"/>
          <w:szCs w:val="18"/>
          <w:lang w:eastAsia="fr-FR"/>
        </w:rPr>
        <w:t xml:space="preserve">Consequently </w:t>
      </w:r>
      <w:r w:rsidRPr="00BD2E1E">
        <w:rPr>
          <w:rFonts w:ascii="Arial" w:hAnsi="Arial" w:cs="Arial"/>
          <w:bCs/>
          <w:sz w:val="18"/>
          <w:szCs w:val="18"/>
          <w:lang w:eastAsia="fr-FR"/>
        </w:rPr>
        <w:t>The disease has been recorded from most European countries</w:t>
      </w:r>
      <w:r w:rsidRPr="008115A0">
        <w:rPr>
          <w:rFonts w:ascii="Arial" w:hAnsi="Arial" w:cs="Arial"/>
          <w:bCs/>
          <w:sz w:val="18"/>
          <w:szCs w:val="18"/>
          <w:highlight w:val="yellow"/>
          <w:u w:val="double"/>
          <w:lang w:eastAsia="fr-FR"/>
        </w:rPr>
        <w:t>.</w:t>
      </w:r>
      <w:r>
        <w:rPr>
          <w:rFonts w:ascii="Arial" w:hAnsi="Arial" w:cs="Arial"/>
          <w:bCs/>
          <w:sz w:val="18"/>
          <w:szCs w:val="18"/>
          <w:lang w:eastAsia="fr-FR"/>
        </w:rPr>
        <w:t xml:space="preserve"> </w:t>
      </w:r>
      <w:r w:rsidRPr="005C17DA">
        <w:rPr>
          <w:rFonts w:ascii="Arial" w:hAnsi="Arial" w:cs="Arial"/>
          <w:bCs/>
          <w:strike/>
          <w:sz w:val="18"/>
          <w:szCs w:val="18"/>
          <w:highlight w:val="yellow"/>
          <w:lang w:eastAsia="fr-FR"/>
        </w:rPr>
        <w:t xml:space="preserve">and from certain of the western Independent States of the former Soviet Union (Belarus, Georgia, Lithuania, Moldova, Russia and the Ukraine) </w:t>
      </w:r>
      <w:r w:rsidRPr="005C17DA">
        <w:rPr>
          <w:rFonts w:ascii="Arial" w:hAnsi="Arial" w:cs="Arial"/>
          <w:bCs/>
          <w:strike/>
          <w:sz w:val="18"/>
          <w:szCs w:val="18"/>
          <w:highlight w:val="yellow"/>
          <w:lang w:val="en-IE" w:eastAsia="fr-FR"/>
        </w:rPr>
        <w:t>(see Dixon 2008 for references to these and the following locations)</w:t>
      </w:r>
      <w:r>
        <w:rPr>
          <w:rFonts w:ascii="Arial" w:hAnsi="Arial" w:cs="Arial"/>
          <w:bCs/>
          <w:strike/>
          <w:sz w:val="18"/>
          <w:szCs w:val="18"/>
          <w:lang w:val="en-IE" w:eastAsia="fr-FR"/>
        </w:rPr>
        <w:t>.</w:t>
      </w:r>
      <w:r w:rsidRPr="008115A0">
        <w:rPr>
          <w:rFonts w:ascii="Arial" w:hAnsi="Arial" w:cs="Arial"/>
          <w:bCs/>
          <w:strike/>
          <w:sz w:val="18"/>
          <w:szCs w:val="18"/>
          <w:lang w:eastAsia="fr-FR"/>
        </w:rPr>
        <w:t xml:space="preserve"> </w:t>
      </w:r>
      <w:r w:rsidRPr="00BD2E1E">
        <w:rPr>
          <w:rFonts w:ascii="Arial" w:hAnsi="Arial" w:cs="Arial"/>
          <w:bCs/>
          <w:sz w:val="18"/>
          <w:szCs w:val="18"/>
          <w:lang w:eastAsia="fr-FR"/>
        </w:rPr>
        <w:t xml:space="preserve">However, in 1998, the disease was recorded </w:t>
      </w:r>
      <w:r w:rsidRPr="00695BD1">
        <w:rPr>
          <w:rFonts w:ascii="Arial" w:hAnsi="Arial" w:cs="Arial"/>
          <w:bCs/>
          <w:sz w:val="18"/>
          <w:szCs w:val="18"/>
          <w:highlight w:val="yellow"/>
          <w:u w:val="double"/>
          <w:lang w:eastAsia="fr-FR"/>
        </w:rPr>
        <w:t>in</w:t>
      </w:r>
      <w:r>
        <w:rPr>
          <w:rFonts w:ascii="Arial" w:hAnsi="Arial" w:cs="Arial"/>
          <w:bCs/>
          <w:sz w:val="18"/>
          <w:szCs w:val="18"/>
          <w:lang w:eastAsia="fr-FR"/>
        </w:rPr>
        <w:t xml:space="preserve"> </w:t>
      </w:r>
      <w:r w:rsidRPr="00BD2E1E">
        <w:rPr>
          <w:rFonts w:ascii="Arial" w:hAnsi="Arial" w:cs="Arial"/>
          <w:bCs/>
          <w:sz w:val="18"/>
          <w:szCs w:val="18"/>
          <w:lang w:eastAsia="fr-FR"/>
        </w:rPr>
        <w:t xml:space="preserve">South America </w:t>
      </w:r>
      <w:r w:rsidRPr="00695BD1">
        <w:rPr>
          <w:rFonts w:ascii="Arial" w:hAnsi="Arial" w:cs="Arial"/>
          <w:bCs/>
          <w:strike/>
          <w:sz w:val="18"/>
          <w:szCs w:val="18"/>
          <w:highlight w:val="yellow"/>
          <w:lang w:eastAsia="fr-FR"/>
        </w:rPr>
        <w:t xml:space="preserve">(in goldfish in a lake in </w:t>
      </w:r>
      <w:r w:rsidRPr="008115A0">
        <w:rPr>
          <w:rFonts w:ascii="Arial" w:hAnsi="Arial" w:cs="Arial"/>
          <w:bCs/>
          <w:strike/>
          <w:sz w:val="18"/>
          <w:szCs w:val="18"/>
          <w:highlight w:val="yellow"/>
          <w:lang w:eastAsia="fr-FR"/>
        </w:rPr>
        <w:t xml:space="preserve">Brazil) </w:t>
      </w:r>
      <w:r w:rsidRPr="008115A0">
        <w:rPr>
          <w:rFonts w:ascii="Arial" w:hAnsi="Arial" w:cs="Arial"/>
          <w:bCs/>
          <w:sz w:val="18"/>
          <w:szCs w:val="18"/>
          <w:highlight w:val="yellow"/>
          <w:u w:val="double"/>
          <w:lang w:eastAsia="fr-FR"/>
        </w:rPr>
        <w:t>and</w:t>
      </w:r>
      <w:r>
        <w:rPr>
          <w:rFonts w:ascii="Arial" w:hAnsi="Arial" w:cs="Arial"/>
          <w:bCs/>
          <w:sz w:val="18"/>
          <w:szCs w:val="18"/>
          <w:lang w:eastAsia="fr-FR"/>
        </w:rPr>
        <w:t xml:space="preserve"> </w:t>
      </w:r>
      <w:r w:rsidRPr="00BD2E1E">
        <w:rPr>
          <w:rFonts w:ascii="Arial" w:hAnsi="Arial" w:cs="Arial"/>
          <w:bCs/>
          <w:sz w:val="18"/>
          <w:szCs w:val="18"/>
          <w:lang w:eastAsia="fr-FR"/>
        </w:rPr>
        <w:t xml:space="preserve">in 2002 in </w:t>
      </w:r>
      <w:r w:rsidRPr="00695BD1">
        <w:rPr>
          <w:rFonts w:ascii="Arial" w:hAnsi="Arial" w:cs="Arial"/>
          <w:bCs/>
          <w:strike/>
          <w:sz w:val="18"/>
          <w:szCs w:val="18"/>
          <w:highlight w:val="yellow"/>
          <w:lang w:eastAsia="fr-FR"/>
        </w:rPr>
        <w:t>the USA</w:t>
      </w:r>
      <w:r w:rsidRPr="008115A0">
        <w:rPr>
          <w:rFonts w:ascii="Arial" w:hAnsi="Arial" w:cs="Arial"/>
          <w:bCs/>
          <w:strike/>
          <w:sz w:val="18"/>
          <w:szCs w:val="18"/>
          <w:highlight w:val="yellow"/>
          <w:lang w:eastAsia="fr-FR"/>
        </w:rPr>
        <w:t xml:space="preserve">, </w:t>
      </w:r>
      <w:r w:rsidRPr="008115A0">
        <w:rPr>
          <w:rFonts w:ascii="Arial" w:hAnsi="Arial" w:cs="Arial"/>
          <w:bCs/>
          <w:sz w:val="18"/>
          <w:szCs w:val="18"/>
          <w:highlight w:val="yellow"/>
          <w:u w:val="double"/>
          <w:lang w:eastAsia="fr-FR"/>
        </w:rPr>
        <w:t>North America.</w:t>
      </w:r>
      <w:r w:rsidRPr="008115A0">
        <w:rPr>
          <w:rFonts w:ascii="Arial" w:hAnsi="Arial" w:cs="Arial"/>
          <w:bCs/>
          <w:sz w:val="18"/>
          <w:szCs w:val="18"/>
          <w:highlight w:val="yellow"/>
          <w:lang w:eastAsia="fr-FR"/>
        </w:rPr>
        <w:t xml:space="preserve"> </w:t>
      </w:r>
      <w:r w:rsidRPr="008115A0">
        <w:rPr>
          <w:rFonts w:ascii="Arial" w:hAnsi="Arial" w:cs="Arial"/>
          <w:bCs/>
          <w:strike/>
          <w:sz w:val="18"/>
          <w:szCs w:val="18"/>
          <w:highlight w:val="yellow"/>
          <w:lang w:eastAsia="fr-FR"/>
        </w:rPr>
        <w:t xml:space="preserve">and in 2006 in Canada </w:t>
      </w:r>
      <w:r w:rsidRPr="008115A0">
        <w:rPr>
          <w:rFonts w:ascii="Arial" w:hAnsi="Arial" w:cs="Arial"/>
          <w:bCs/>
          <w:sz w:val="18"/>
          <w:szCs w:val="18"/>
          <w:highlight w:val="yellow"/>
          <w:u w:val="double"/>
          <w:lang w:eastAsia="fr-FR"/>
        </w:rPr>
        <w:t>The virus was first detected in Asia</w:t>
      </w:r>
      <w:r w:rsidRPr="008115A0">
        <w:rPr>
          <w:rFonts w:ascii="Arial" w:hAnsi="Arial" w:cs="Arial"/>
          <w:bCs/>
          <w:strike/>
          <w:sz w:val="18"/>
          <w:szCs w:val="18"/>
          <w:highlight w:val="yellow"/>
          <w:lang w:eastAsia="fr-FR"/>
        </w:rPr>
        <w:t xml:space="preserve"> Detection of the virus in carp in China (People’s Rep</w:t>
      </w:r>
      <w:r w:rsidRPr="00695BD1">
        <w:rPr>
          <w:rFonts w:ascii="Arial" w:hAnsi="Arial" w:cs="Arial"/>
          <w:bCs/>
          <w:strike/>
          <w:sz w:val="18"/>
          <w:szCs w:val="18"/>
          <w:highlight w:val="yellow"/>
          <w:lang w:eastAsia="fr-FR"/>
        </w:rPr>
        <w:t>. of) was confirmed</w:t>
      </w:r>
      <w:r w:rsidRPr="00BD2E1E">
        <w:rPr>
          <w:rFonts w:ascii="Arial" w:hAnsi="Arial" w:cs="Arial"/>
          <w:bCs/>
          <w:sz w:val="18"/>
          <w:szCs w:val="18"/>
          <w:lang w:eastAsia="fr-FR"/>
        </w:rPr>
        <w:t xml:space="preserve"> in 2004.</w:t>
      </w:r>
    </w:p>
    <w:p w14:paraId="23794256" w14:textId="77777777" w:rsidR="00E65E42" w:rsidRPr="00BD2E1E" w:rsidRDefault="00E65E42" w:rsidP="00A175F0">
      <w:pPr>
        <w:spacing w:after="240" w:line="240" w:lineRule="auto"/>
        <w:ind w:left="709"/>
        <w:jc w:val="both"/>
        <w:rPr>
          <w:rFonts w:ascii="Arial" w:hAnsi="Arial" w:cs="Arial"/>
          <w:bCs/>
          <w:sz w:val="18"/>
          <w:szCs w:val="18"/>
          <w:u w:val="double"/>
          <w:lang w:val="en-IE" w:eastAsia="fr-FR"/>
        </w:rPr>
      </w:pPr>
      <w:r w:rsidRPr="00BD2E1E">
        <w:rPr>
          <w:rFonts w:ascii="Arial" w:hAnsi="Arial" w:cs="Arial"/>
          <w:sz w:val="18"/>
          <w:szCs w:val="18"/>
          <w:u w:val="double"/>
          <w:lang w:eastAsia="fr-FR"/>
        </w:rPr>
        <w:t>For recent information on distribution at the country level consult the WAHIS interface</w:t>
      </w:r>
      <w:r>
        <w:rPr>
          <w:rFonts w:ascii="Arial" w:hAnsi="Arial" w:cs="Arial"/>
          <w:sz w:val="18"/>
          <w:szCs w:val="18"/>
          <w:u w:val="double"/>
          <w:lang w:eastAsia="fr-FR"/>
        </w:rPr>
        <w:t xml:space="preserve"> </w:t>
      </w:r>
      <w:r w:rsidRPr="00695BD1">
        <w:rPr>
          <w:rFonts w:ascii="Arial" w:hAnsi="Arial" w:cs="Arial"/>
          <w:sz w:val="18"/>
          <w:szCs w:val="18"/>
          <w:highlight w:val="yellow"/>
          <w:u w:val="double"/>
          <w:lang w:eastAsia="fr-FR"/>
        </w:rPr>
        <w:t>(https://www.oie.int/wahis_2/public/wahid.php/Wahidhome/Home/index/newlang/en).</w:t>
      </w:r>
    </w:p>
    <w:p w14:paraId="7DF2B49B" w14:textId="77777777" w:rsidR="00E65E42" w:rsidRPr="00A175F0" w:rsidRDefault="00E65E42" w:rsidP="00A175F0">
      <w:pPr>
        <w:tabs>
          <w:tab w:val="left" w:pos="1418"/>
        </w:tabs>
        <w:spacing w:after="240" w:line="240" w:lineRule="auto"/>
        <w:ind w:left="709" w:hanging="425"/>
        <w:jc w:val="both"/>
        <w:rPr>
          <w:rFonts w:ascii="Ottawa" w:eastAsia="MS Mincho" w:hAnsi="Ottawa" w:cs="Arial"/>
          <w:b/>
          <w:sz w:val="21"/>
          <w:szCs w:val="21"/>
          <w:lang w:val="da-DK" w:eastAsia="da-DK"/>
        </w:rPr>
      </w:pPr>
      <w:r w:rsidRPr="00A175F0">
        <w:rPr>
          <w:rFonts w:ascii="Ottawa" w:eastAsia="MS Mincho" w:hAnsi="Ottawa" w:cs="Arial"/>
          <w:b/>
          <w:sz w:val="21"/>
          <w:szCs w:val="21"/>
          <w:lang w:val="da-DK" w:eastAsia="da-DK"/>
        </w:rPr>
        <w:t>2.4.</w:t>
      </w:r>
      <w:r w:rsidRPr="00A175F0">
        <w:rPr>
          <w:rFonts w:ascii="Ottawa" w:eastAsia="MS Mincho" w:hAnsi="Ottawa" w:cs="Arial"/>
          <w:b/>
          <w:sz w:val="21"/>
          <w:szCs w:val="21"/>
          <w:lang w:val="da-DK" w:eastAsia="da-DK"/>
        </w:rPr>
        <w:tab/>
        <w:t xml:space="preserve">Biosecurity and disease control strategies </w:t>
      </w:r>
    </w:p>
    <w:p w14:paraId="63079691" w14:textId="77777777" w:rsidR="00E65E42" w:rsidRPr="000151EA" w:rsidRDefault="00E65E42" w:rsidP="00A175F0">
      <w:pPr>
        <w:spacing w:after="80" w:line="240" w:lineRule="auto"/>
        <w:ind w:left="993" w:hanging="284"/>
        <w:jc w:val="both"/>
        <w:rPr>
          <w:rFonts w:ascii="Ottawa" w:hAnsi="Ottawa" w:cs="Arial"/>
          <w:b/>
          <w:bCs/>
          <w:szCs w:val="20"/>
          <w:lang w:val="en-IE" w:eastAsia="fr-FR"/>
        </w:rPr>
      </w:pPr>
      <w:r w:rsidRPr="000151EA">
        <w:rPr>
          <w:rFonts w:ascii="Ottawa" w:hAnsi="Ottawa" w:cs="Arial"/>
          <w:b/>
          <w:bCs/>
          <w:szCs w:val="20"/>
          <w:lang w:val="en-IE" w:eastAsia="fr-FR"/>
        </w:rPr>
        <w:t>2.4.1.</w:t>
      </w:r>
      <w:r w:rsidRPr="000151EA">
        <w:rPr>
          <w:rFonts w:ascii="Ottawa" w:hAnsi="Ottawa" w:cs="Arial"/>
          <w:b/>
          <w:bCs/>
          <w:szCs w:val="20"/>
          <w:lang w:val="en-IE" w:eastAsia="fr-FR"/>
        </w:rPr>
        <w:tab/>
        <w:t>Vaccination</w:t>
      </w:r>
    </w:p>
    <w:p w14:paraId="3528270C" w14:textId="77777777" w:rsidR="00E65E42" w:rsidRPr="00BD2E1E" w:rsidRDefault="00E65E42" w:rsidP="00457C4E">
      <w:pPr>
        <w:spacing w:after="240" w:line="240" w:lineRule="auto"/>
        <w:ind w:left="709"/>
        <w:jc w:val="both"/>
        <w:rPr>
          <w:rFonts w:ascii="Arial" w:hAnsi="Arial" w:cs="Arial"/>
          <w:bCs/>
          <w:sz w:val="18"/>
          <w:szCs w:val="18"/>
          <w:lang w:val="en-IE" w:eastAsia="fr-FR"/>
        </w:rPr>
      </w:pPr>
      <w:r w:rsidRPr="00BD2E1E">
        <w:rPr>
          <w:rFonts w:ascii="Arial" w:hAnsi="Arial" w:cs="Arial"/>
          <w:bCs/>
          <w:sz w:val="18"/>
          <w:szCs w:val="18"/>
        </w:rPr>
        <w:t xml:space="preserve">A safe and effective vaccine is not currently available; however, </w:t>
      </w:r>
      <w:r w:rsidRPr="00BD2E1E">
        <w:rPr>
          <w:rFonts w:ascii="Arial" w:hAnsi="Arial" w:cs="Arial"/>
          <w:bCs/>
          <w:strike/>
          <w:sz w:val="18"/>
          <w:szCs w:val="18"/>
        </w:rPr>
        <w:t xml:space="preserve">a number </w:t>
      </w:r>
      <w:r w:rsidRPr="00BD2E1E">
        <w:rPr>
          <w:rFonts w:ascii="Arial" w:hAnsi="Arial" w:cs="Arial"/>
          <w:bCs/>
          <w:sz w:val="18"/>
          <w:szCs w:val="18"/>
          <w:u w:val="double"/>
        </w:rPr>
        <w:t>the efficacy</w:t>
      </w:r>
      <w:r w:rsidRPr="00BD2E1E">
        <w:rPr>
          <w:rFonts w:ascii="Arial" w:hAnsi="Arial" w:cs="Arial"/>
          <w:bCs/>
          <w:sz w:val="18"/>
          <w:szCs w:val="18"/>
        </w:rPr>
        <w:t xml:space="preserve"> of </w:t>
      </w:r>
      <w:r w:rsidRPr="00BD2E1E">
        <w:rPr>
          <w:rFonts w:ascii="Arial" w:hAnsi="Arial" w:cs="Arial"/>
          <w:bCs/>
          <w:sz w:val="18"/>
          <w:szCs w:val="18"/>
          <w:u w:val="single"/>
        </w:rPr>
        <w:t>an</w:t>
      </w:r>
      <w:r w:rsidRPr="00BD2E1E">
        <w:rPr>
          <w:rFonts w:ascii="Arial" w:hAnsi="Arial" w:cs="Arial"/>
          <w:bCs/>
          <w:sz w:val="18"/>
          <w:szCs w:val="18"/>
        </w:rPr>
        <w:t xml:space="preserve"> experimental </w:t>
      </w:r>
      <w:r w:rsidRPr="00BD2E1E">
        <w:rPr>
          <w:rFonts w:ascii="Arial" w:hAnsi="Arial" w:cs="Arial"/>
          <w:bCs/>
          <w:sz w:val="18"/>
          <w:szCs w:val="18"/>
          <w:u w:val="double"/>
        </w:rPr>
        <w:t>DNA vaccine has been investigated</w:t>
      </w:r>
      <w:r w:rsidRPr="00BD2E1E">
        <w:rPr>
          <w:rFonts w:ascii="Arial" w:hAnsi="Arial" w:cs="Arial"/>
          <w:bCs/>
          <w:sz w:val="18"/>
          <w:szCs w:val="18"/>
        </w:rPr>
        <w:t xml:space="preserve"> </w:t>
      </w:r>
      <w:r w:rsidRPr="00BD2E1E">
        <w:rPr>
          <w:rFonts w:ascii="Arial" w:hAnsi="Arial" w:cs="Arial"/>
          <w:bCs/>
          <w:strike/>
          <w:sz w:val="18"/>
          <w:szCs w:val="18"/>
        </w:rPr>
        <w:t>inactivated preparations, live attenuated vaccines and DNA vaccines have given encouraging results (</w:t>
      </w:r>
      <w:r w:rsidRPr="00BD2E1E">
        <w:rPr>
          <w:rFonts w:ascii="Arial" w:hAnsi="Arial" w:cs="Arial"/>
          <w:bCs/>
          <w:strike/>
          <w:sz w:val="18"/>
          <w:szCs w:val="18"/>
          <w:lang w:val="en-IE"/>
        </w:rPr>
        <w:t>Dixon, 2008</w:t>
      </w:r>
      <w:r w:rsidRPr="00BD2E1E">
        <w:rPr>
          <w:rFonts w:ascii="Arial" w:hAnsi="Arial" w:cs="Arial"/>
          <w:bCs/>
          <w:strike/>
          <w:sz w:val="18"/>
          <w:szCs w:val="18"/>
        </w:rPr>
        <w:t xml:space="preserve">, </w:t>
      </w:r>
      <w:r w:rsidRPr="00BD2E1E">
        <w:rPr>
          <w:rFonts w:ascii="Arial" w:hAnsi="Arial" w:cs="Arial"/>
          <w:bCs/>
          <w:sz w:val="18"/>
          <w:szCs w:val="18"/>
          <w:u w:val="double"/>
        </w:rPr>
        <w:t>(</w:t>
      </w:r>
      <w:r w:rsidRPr="00BD2E1E">
        <w:rPr>
          <w:rFonts w:ascii="Arial" w:hAnsi="Arial" w:cs="Arial"/>
          <w:bCs/>
          <w:sz w:val="18"/>
          <w:szCs w:val="18"/>
        </w:rPr>
        <w:t xml:space="preserve">Emmenegger &amp; Kurath, 2008). </w:t>
      </w:r>
      <w:r w:rsidRPr="00BD2E1E">
        <w:rPr>
          <w:rFonts w:ascii="Arial" w:hAnsi="Arial" w:cs="Arial"/>
          <w:bCs/>
          <w:strike/>
          <w:sz w:val="18"/>
          <w:szCs w:val="18"/>
        </w:rPr>
        <w:t>The use of live attenuated vaccines or the DNA vaccines might affect diagnostic performance.</w:t>
      </w:r>
    </w:p>
    <w:p w14:paraId="606EC030" w14:textId="77777777" w:rsidR="00E65E42" w:rsidRPr="00223026" w:rsidRDefault="00E65E42" w:rsidP="00A175F0">
      <w:pPr>
        <w:spacing w:after="80" w:line="240" w:lineRule="auto"/>
        <w:ind w:left="993" w:hanging="284"/>
        <w:jc w:val="both"/>
        <w:rPr>
          <w:rFonts w:ascii="Ottawa" w:hAnsi="Ottawa" w:cs="Arial"/>
          <w:b/>
          <w:bCs/>
          <w:szCs w:val="20"/>
          <w:lang w:val="en-IE" w:eastAsia="fr-FR"/>
        </w:rPr>
      </w:pPr>
      <w:r w:rsidRPr="00223026">
        <w:rPr>
          <w:rFonts w:ascii="Ottawa" w:hAnsi="Ottawa" w:cs="Arial"/>
          <w:b/>
          <w:bCs/>
          <w:szCs w:val="20"/>
          <w:lang w:val="en-IE" w:eastAsia="fr-FR"/>
        </w:rPr>
        <w:t>2.4.2.</w:t>
      </w:r>
      <w:r w:rsidRPr="00223026">
        <w:rPr>
          <w:rFonts w:ascii="Ottawa" w:hAnsi="Ottawa" w:cs="Arial"/>
          <w:b/>
          <w:bCs/>
          <w:szCs w:val="20"/>
          <w:lang w:val="en-IE" w:eastAsia="fr-FR"/>
        </w:rPr>
        <w:tab/>
        <w:t>Chemotherapy including blocking agents</w:t>
      </w:r>
    </w:p>
    <w:p w14:paraId="13CFE08F" w14:textId="77777777" w:rsidR="00E65E42" w:rsidRDefault="00E65E42" w:rsidP="00457C4E">
      <w:pPr>
        <w:spacing w:after="240" w:line="240" w:lineRule="auto"/>
        <w:ind w:left="709"/>
        <w:jc w:val="both"/>
        <w:rPr>
          <w:rFonts w:ascii="Arial" w:hAnsi="Arial" w:cs="Arial"/>
          <w:bCs/>
          <w:sz w:val="18"/>
          <w:szCs w:val="18"/>
          <w:lang w:val="en-IE" w:eastAsia="fr-FR"/>
        </w:rPr>
      </w:pPr>
      <w:r w:rsidRPr="00BD2E1E">
        <w:rPr>
          <w:rFonts w:ascii="Arial" w:hAnsi="Arial" w:cs="Arial"/>
          <w:bCs/>
          <w:sz w:val="18"/>
          <w:szCs w:val="18"/>
          <w:lang w:val="en-IE" w:eastAsia="fr-FR"/>
        </w:rPr>
        <w:t xml:space="preserve">Methisoprinol inhibits the replication of SVCV </w:t>
      </w:r>
      <w:r w:rsidRPr="00BD2E1E">
        <w:rPr>
          <w:rFonts w:ascii="Arial" w:hAnsi="Arial" w:cs="Arial"/>
          <w:bCs/>
          <w:i/>
          <w:sz w:val="18"/>
          <w:szCs w:val="18"/>
          <w:lang w:val="en-IE" w:eastAsia="fr-FR"/>
        </w:rPr>
        <w:t>in vitro</w:t>
      </w:r>
      <w:r w:rsidRPr="00BD2E1E">
        <w:rPr>
          <w:rFonts w:ascii="Arial" w:hAnsi="Arial" w:cs="Arial"/>
          <w:bCs/>
          <w:sz w:val="18"/>
          <w:szCs w:val="18"/>
          <w:lang w:val="en-IE" w:eastAsia="fr-FR"/>
        </w:rPr>
        <w:t>, but has not been tested under carp culture conditions</w:t>
      </w:r>
      <w:r>
        <w:rPr>
          <w:rFonts w:ascii="Arial" w:hAnsi="Arial" w:cs="Arial"/>
          <w:bCs/>
          <w:sz w:val="18"/>
          <w:szCs w:val="18"/>
          <w:lang w:val="en-IE" w:eastAsia="fr-FR"/>
        </w:rPr>
        <w:t xml:space="preserve"> </w:t>
      </w:r>
      <w:r w:rsidRPr="00695BD1">
        <w:rPr>
          <w:rFonts w:ascii="Arial" w:hAnsi="Arial" w:cs="Arial"/>
          <w:bCs/>
          <w:sz w:val="18"/>
          <w:szCs w:val="18"/>
          <w:highlight w:val="yellow"/>
          <w:u w:val="double"/>
          <w:lang w:val="en-IE" w:eastAsia="fr-FR"/>
        </w:rPr>
        <w:t>(Siwi</w:t>
      </w:r>
      <w:r>
        <w:rPr>
          <w:rFonts w:ascii="Arial" w:hAnsi="Arial" w:cs="Arial"/>
          <w:bCs/>
          <w:sz w:val="18"/>
          <w:szCs w:val="18"/>
          <w:highlight w:val="yellow"/>
          <w:u w:val="double"/>
          <w:lang w:val="en-IE" w:eastAsia="fr-FR"/>
        </w:rPr>
        <w:t>c</w:t>
      </w:r>
      <w:r w:rsidRPr="00695BD1">
        <w:rPr>
          <w:rFonts w:ascii="Arial" w:hAnsi="Arial" w:cs="Arial"/>
          <w:bCs/>
          <w:sz w:val="18"/>
          <w:szCs w:val="18"/>
          <w:highlight w:val="yellow"/>
          <w:u w:val="double"/>
          <w:lang w:val="en-IE" w:eastAsia="fr-FR"/>
        </w:rPr>
        <w:t xml:space="preserve">ki </w:t>
      </w:r>
      <w:r w:rsidRPr="00695BD1">
        <w:rPr>
          <w:rFonts w:ascii="Arial" w:hAnsi="Arial" w:cs="Arial"/>
          <w:bCs/>
          <w:i/>
          <w:sz w:val="18"/>
          <w:szCs w:val="18"/>
          <w:highlight w:val="yellow"/>
          <w:u w:val="double"/>
          <w:lang w:val="en-IE" w:eastAsia="fr-FR"/>
        </w:rPr>
        <w:t>et al.,</w:t>
      </w:r>
      <w:r w:rsidRPr="00695BD1">
        <w:rPr>
          <w:rFonts w:ascii="Arial" w:hAnsi="Arial" w:cs="Arial"/>
          <w:bCs/>
          <w:sz w:val="18"/>
          <w:szCs w:val="18"/>
          <w:highlight w:val="yellow"/>
          <w:u w:val="double"/>
          <w:lang w:val="en-IE" w:eastAsia="fr-FR"/>
        </w:rPr>
        <w:t xml:space="preserve"> 2002).</w:t>
      </w:r>
    </w:p>
    <w:p w14:paraId="28E68FBD" w14:textId="77777777" w:rsidR="00E65E42" w:rsidRPr="000151EA" w:rsidRDefault="00E65E42" w:rsidP="00A175F0">
      <w:pPr>
        <w:spacing w:after="80" w:line="240" w:lineRule="auto"/>
        <w:ind w:left="993" w:hanging="284"/>
        <w:jc w:val="both"/>
        <w:rPr>
          <w:rFonts w:ascii="Ottawa" w:hAnsi="Ottawa" w:cs="Arial"/>
          <w:b/>
          <w:bCs/>
          <w:szCs w:val="20"/>
          <w:lang w:val="en-IE" w:eastAsia="fr-FR"/>
        </w:rPr>
      </w:pPr>
      <w:r w:rsidRPr="000151EA">
        <w:rPr>
          <w:rFonts w:ascii="Ottawa" w:hAnsi="Ottawa" w:cs="Arial"/>
          <w:b/>
          <w:bCs/>
          <w:szCs w:val="20"/>
          <w:lang w:val="en-IE" w:eastAsia="fr-FR"/>
        </w:rPr>
        <w:t>2.4.3.</w:t>
      </w:r>
      <w:r w:rsidRPr="000151EA">
        <w:rPr>
          <w:rFonts w:ascii="Ottawa" w:hAnsi="Ottawa" w:cs="Arial"/>
          <w:b/>
          <w:bCs/>
          <w:szCs w:val="20"/>
          <w:lang w:val="en-IE" w:eastAsia="fr-FR"/>
        </w:rPr>
        <w:tab/>
        <w:t>Immunostimulation</w:t>
      </w:r>
    </w:p>
    <w:p w14:paraId="30250B92" w14:textId="77777777" w:rsidR="00E65E42" w:rsidRPr="00BD2E1E" w:rsidRDefault="00E65E42" w:rsidP="00457C4E">
      <w:pPr>
        <w:spacing w:after="240" w:line="240" w:lineRule="auto"/>
        <w:ind w:left="709"/>
        <w:jc w:val="both"/>
        <w:rPr>
          <w:rFonts w:ascii="Arial" w:hAnsi="Arial" w:cs="Arial"/>
          <w:bCs/>
          <w:sz w:val="18"/>
          <w:szCs w:val="18"/>
          <w:lang w:val="en-IE" w:eastAsia="fr-FR"/>
        </w:rPr>
      </w:pPr>
      <w:r w:rsidRPr="00BD2E1E">
        <w:rPr>
          <w:rFonts w:ascii="Arial" w:hAnsi="Arial" w:cs="Arial"/>
          <w:bCs/>
          <w:sz w:val="18"/>
          <w:szCs w:val="18"/>
          <w:lang w:val="en-IE" w:eastAsia="fr-FR"/>
        </w:rPr>
        <w:t xml:space="preserve">Injection into carp of single-stranded and double-stranded RNA (which is an interferon inducer) protected carp for longer than 3 weeks, but the treatment is not effective by bath administration (Alikin </w:t>
      </w:r>
      <w:r w:rsidRPr="00BD2E1E">
        <w:rPr>
          <w:rFonts w:ascii="Arial" w:hAnsi="Arial" w:cs="Arial"/>
          <w:bCs/>
          <w:i/>
          <w:sz w:val="18"/>
          <w:szCs w:val="18"/>
          <w:lang w:val="en-IE" w:eastAsia="fr-FR"/>
        </w:rPr>
        <w:t>et al.,</w:t>
      </w:r>
      <w:r w:rsidRPr="00BD2E1E">
        <w:rPr>
          <w:rFonts w:ascii="Arial" w:hAnsi="Arial" w:cs="Arial"/>
          <w:bCs/>
          <w:sz w:val="18"/>
          <w:szCs w:val="18"/>
          <w:lang w:val="en-IE" w:eastAsia="fr-FR"/>
        </w:rPr>
        <w:t xml:space="preserve"> 1996).</w:t>
      </w:r>
    </w:p>
    <w:p w14:paraId="1839A593" w14:textId="77777777" w:rsidR="00E65E42" w:rsidRPr="00223026" w:rsidRDefault="00E65E42" w:rsidP="00A175F0">
      <w:pPr>
        <w:spacing w:after="80" w:line="240" w:lineRule="auto"/>
        <w:ind w:left="993" w:hanging="284"/>
        <w:jc w:val="both"/>
        <w:rPr>
          <w:rFonts w:ascii="Ottawa" w:hAnsi="Ottawa" w:cs="Arial"/>
          <w:b/>
          <w:bCs/>
          <w:szCs w:val="20"/>
          <w:lang w:val="en-IE" w:eastAsia="fr-FR"/>
        </w:rPr>
      </w:pPr>
      <w:r w:rsidRPr="00223026">
        <w:rPr>
          <w:rFonts w:ascii="Ottawa" w:hAnsi="Ottawa" w:cs="Arial"/>
          <w:b/>
          <w:bCs/>
          <w:szCs w:val="20"/>
          <w:lang w:val="en-IE" w:eastAsia="fr-FR"/>
        </w:rPr>
        <w:t>2.4.4.</w:t>
      </w:r>
      <w:r w:rsidRPr="00223026">
        <w:rPr>
          <w:rFonts w:ascii="Ottawa" w:hAnsi="Ottawa" w:cs="Arial"/>
          <w:b/>
          <w:bCs/>
          <w:szCs w:val="20"/>
          <w:lang w:val="en-IE" w:eastAsia="fr-FR"/>
        </w:rPr>
        <w:tab/>
        <w:t>Breeding resistant strains</w:t>
      </w:r>
    </w:p>
    <w:p w14:paraId="7691C174" w14:textId="77777777" w:rsidR="00E65E42" w:rsidRPr="00BD2E1E" w:rsidRDefault="00E65E42" w:rsidP="00457C4E">
      <w:pPr>
        <w:spacing w:line="240" w:lineRule="auto"/>
        <w:ind w:left="709"/>
        <w:jc w:val="both"/>
        <w:rPr>
          <w:rFonts w:ascii="Arial" w:hAnsi="Arial" w:cs="Arial"/>
          <w:bCs/>
          <w:sz w:val="18"/>
          <w:szCs w:val="18"/>
          <w:lang w:val="en-IE" w:eastAsia="fr-FR"/>
        </w:rPr>
      </w:pPr>
      <w:r w:rsidRPr="00BD2E1E">
        <w:rPr>
          <w:rFonts w:ascii="Arial" w:hAnsi="Arial" w:cs="Arial"/>
          <w:bCs/>
          <w:sz w:val="18"/>
          <w:szCs w:val="18"/>
          <w:lang w:val="en-IE" w:eastAsia="fr-FR"/>
        </w:rPr>
        <w:t xml:space="preserve">The “Krasnodar” strain of common carp has been bred for increased resistance to SVCV (Kirpichnikov </w:t>
      </w:r>
      <w:r w:rsidRPr="00BD2E1E">
        <w:rPr>
          <w:rFonts w:ascii="Arial" w:hAnsi="Arial" w:cs="Arial"/>
          <w:bCs/>
          <w:i/>
          <w:sz w:val="18"/>
          <w:szCs w:val="18"/>
          <w:lang w:val="en-IE" w:eastAsia="fr-FR"/>
        </w:rPr>
        <w:t>et al</w:t>
      </w:r>
      <w:r w:rsidRPr="00BD2E1E">
        <w:rPr>
          <w:rFonts w:ascii="Arial" w:hAnsi="Arial" w:cs="Arial"/>
          <w:bCs/>
          <w:sz w:val="18"/>
          <w:szCs w:val="18"/>
          <w:lang w:val="en-IE" w:eastAsia="fr-FR"/>
        </w:rPr>
        <w:t>., 1993).</w:t>
      </w:r>
    </w:p>
    <w:p w14:paraId="50B7832A" w14:textId="77777777" w:rsidR="00E65E42" w:rsidRPr="000151EA" w:rsidRDefault="00E65E42" w:rsidP="00A175F0">
      <w:pPr>
        <w:spacing w:after="80" w:line="240" w:lineRule="auto"/>
        <w:ind w:left="993" w:hanging="284"/>
        <w:jc w:val="both"/>
        <w:rPr>
          <w:rFonts w:ascii="Ottawa" w:hAnsi="Ottawa" w:cs="Arial"/>
          <w:b/>
          <w:bCs/>
          <w:szCs w:val="20"/>
          <w:lang w:val="en-IE" w:eastAsia="fr-FR"/>
        </w:rPr>
      </w:pPr>
      <w:r w:rsidRPr="000151EA">
        <w:rPr>
          <w:rFonts w:ascii="Ottawa" w:hAnsi="Ottawa" w:cs="Arial"/>
          <w:b/>
          <w:bCs/>
          <w:szCs w:val="20"/>
          <w:lang w:val="en-IE" w:eastAsia="fr-FR"/>
        </w:rPr>
        <w:t>2.4.5.</w:t>
      </w:r>
      <w:r w:rsidRPr="000151EA">
        <w:rPr>
          <w:rFonts w:ascii="Ottawa" w:hAnsi="Ottawa" w:cs="Arial"/>
          <w:b/>
          <w:bCs/>
          <w:szCs w:val="20"/>
          <w:lang w:val="en-IE" w:eastAsia="fr-FR"/>
        </w:rPr>
        <w:tab/>
        <w:t>Inactivation methods</w:t>
      </w:r>
    </w:p>
    <w:p w14:paraId="2B2FBE32" w14:textId="77777777" w:rsidR="00E65E42" w:rsidRPr="00BD2E1E" w:rsidRDefault="00E65E42" w:rsidP="00457C4E">
      <w:pPr>
        <w:spacing w:line="240" w:lineRule="auto"/>
        <w:ind w:left="709"/>
        <w:jc w:val="both"/>
        <w:rPr>
          <w:rFonts w:ascii="Arial" w:hAnsi="Arial" w:cs="Arial"/>
          <w:bCs/>
          <w:sz w:val="18"/>
          <w:szCs w:val="18"/>
          <w:lang w:val="en-IE" w:eastAsia="fr-FR"/>
        </w:rPr>
      </w:pPr>
      <w:r w:rsidRPr="00BD2E1E">
        <w:rPr>
          <w:rFonts w:ascii="Arial" w:hAnsi="Arial" w:cs="Arial"/>
          <w:bCs/>
          <w:sz w:val="18"/>
          <w:szCs w:val="18"/>
          <w:lang w:val="en-IE" w:eastAsia="fr-FR"/>
        </w:rPr>
        <w:t>The virus is inactivated at 56°C for 30 minutes, at pH 12 for 10 minutes and pH 3 for 2 hours (</w:t>
      </w:r>
      <w:hyperlink r:id="rId151" w:anchor="chapitre_svc.biblio-3" w:history="1">
        <w:r w:rsidRPr="00BD2E1E">
          <w:rPr>
            <w:rFonts w:ascii="Arial" w:hAnsi="Arial" w:cs="Arial"/>
            <w:bCs/>
            <w:sz w:val="18"/>
            <w:szCs w:val="18"/>
            <w:lang w:val="en-IE" w:eastAsia="fr-FR"/>
          </w:rPr>
          <w:t>Ahne, 1986</w:t>
        </w:r>
      </w:hyperlink>
      <w:r w:rsidRPr="00BD2E1E">
        <w:rPr>
          <w:rFonts w:ascii="Arial" w:hAnsi="Arial" w:cs="Arial"/>
          <w:bCs/>
          <w:sz w:val="18"/>
          <w:szCs w:val="18"/>
          <w:lang w:val="en-IE" w:eastAsia="fr-FR"/>
        </w:rPr>
        <w:t xml:space="preserve">). Oxidising agents, sodium dodecyl sulphate, non-ionic detergents and lipid solvents are all effective for inactivation of SVCV. The following disinfectants are </w:t>
      </w:r>
      <w:r w:rsidRPr="00E777B4">
        <w:rPr>
          <w:rFonts w:ascii="Arial" w:hAnsi="Arial" w:cs="Arial"/>
          <w:bCs/>
          <w:strike/>
          <w:sz w:val="18"/>
          <w:szCs w:val="18"/>
          <w:highlight w:val="yellow"/>
          <w:lang w:val="en-IE" w:eastAsia="fr-FR"/>
        </w:rPr>
        <w:t>also effective for</w:t>
      </w:r>
      <w:r w:rsidRPr="00BD2E1E">
        <w:rPr>
          <w:rFonts w:ascii="Arial" w:hAnsi="Arial" w:cs="Arial"/>
          <w:bCs/>
          <w:sz w:val="18"/>
          <w:szCs w:val="18"/>
          <w:lang w:val="en-IE" w:eastAsia="fr-FR"/>
        </w:rPr>
        <w:t xml:space="preserve"> inactivat</w:t>
      </w:r>
      <w:r w:rsidRPr="00E777B4">
        <w:rPr>
          <w:rFonts w:ascii="Arial" w:hAnsi="Arial" w:cs="Arial"/>
          <w:bCs/>
          <w:sz w:val="18"/>
          <w:szCs w:val="18"/>
          <w:highlight w:val="yellow"/>
          <w:u w:val="double"/>
          <w:lang w:val="en-IE" w:eastAsia="fr-FR"/>
        </w:rPr>
        <w:t>e the</w:t>
      </w:r>
      <w:r w:rsidRPr="00E777B4">
        <w:rPr>
          <w:rFonts w:ascii="Arial" w:hAnsi="Arial" w:cs="Arial"/>
          <w:bCs/>
          <w:sz w:val="18"/>
          <w:szCs w:val="18"/>
          <w:u w:val="double"/>
          <w:lang w:val="en-IE" w:eastAsia="fr-FR"/>
        </w:rPr>
        <w:t xml:space="preserve"> </w:t>
      </w:r>
      <w:r w:rsidRPr="00E777B4">
        <w:rPr>
          <w:rFonts w:ascii="Arial" w:hAnsi="Arial" w:cs="Arial"/>
          <w:bCs/>
          <w:sz w:val="18"/>
          <w:szCs w:val="18"/>
          <w:highlight w:val="yellow"/>
          <w:u w:val="double"/>
          <w:lang w:val="en-IE" w:eastAsia="fr-FR"/>
        </w:rPr>
        <w:t>virus</w:t>
      </w:r>
      <w:r w:rsidRPr="00E777B4">
        <w:rPr>
          <w:rFonts w:ascii="Arial" w:hAnsi="Arial" w:cs="Arial"/>
          <w:bCs/>
          <w:strike/>
          <w:sz w:val="18"/>
          <w:szCs w:val="18"/>
          <w:highlight w:val="yellow"/>
          <w:lang w:val="en-IE" w:eastAsia="fr-FR"/>
        </w:rPr>
        <w:t>ion</w:t>
      </w:r>
      <w:r w:rsidRPr="00BD2E1E">
        <w:rPr>
          <w:rFonts w:ascii="Arial" w:hAnsi="Arial" w:cs="Arial"/>
          <w:bCs/>
          <w:sz w:val="18"/>
          <w:szCs w:val="18"/>
          <w:lang w:val="en-IE" w:eastAsia="fr-FR"/>
        </w:rPr>
        <w:t>: 3% formalin for 5</w:t>
      </w:r>
      <w:r>
        <w:rPr>
          <w:rFonts w:ascii="Arial" w:hAnsi="Arial" w:cs="Arial"/>
          <w:bCs/>
          <w:sz w:val="18"/>
          <w:szCs w:val="18"/>
          <w:lang w:val="en-IE" w:eastAsia="fr-FR"/>
        </w:rPr>
        <w:t> </w:t>
      </w:r>
      <w:r w:rsidRPr="00BD2E1E">
        <w:rPr>
          <w:rFonts w:ascii="Arial" w:hAnsi="Arial" w:cs="Arial"/>
          <w:bCs/>
          <w:sz w:val="18"/>
          <w:szCs w:val="18"/>
          <w:lang w:val="en-IE" w:eastAsia="fr-FR"/>
        </w:rPr>
        <w:t>minutes, 2% sodium hydroxide for 10 minutes, 540 mg litre</w:t>
      </w:r>
      <w:r w:rsidRPr="00BD2E1E">
        <w:rPr>
          <w:rFonts w:ascii="Arial" w:hAnsi="Arial" w:cs="Arial"/>
          <w:bCs/>
          <w:sz w:val="18"/>
          <w:szCs w:val="18"/>
          <w:vertAlign w:val="superscript"/>
          <w:lang w:val="en-IE" w:eastAsia="fr-FR"/>
        </w:rPr>
        <w:t>‒1</w:t>
      </w:r>
      <w:r w:rsidRPr="00BD2E1E">
        <w:rPr>
          <w:rFonts w:ascii="Arial" w:hAnsi="Arial" w:cs="Arial"/>
          <w:bCs/>
          <w:sz w:val="18"/>
          <w:szCs w:val="18"/>
          <w:lang w:val="en-IE" w:eastAsia="fr-FR"/>
        </w:rPr>
        <w:t xml:space="preserve"> chlorine for 20 minutes, 200‒250 ppm (parts per million) iodine compounds for 30 minutes, 100 ppm benzalkonium chloride for 20 minutes, 350 ppm alkyltoluene for 20 minutes, 100 ppm chlorhexidine gluconate for 20 minutes and 200 ppm cresol for 20</w:t>
      </w:r>
      <w:r>
        <w:rPr>
          <w:rFonts w:ascii="Arial" w:hAnsi="Arial" w:cs="Arial"/>
          <w:bCs/>
          <w:sz w:val="18"/>
          <w:szCs w:val="18"/>
          <w:lang w:val="en-IE" w:eastAsia="fr-FR"/>
        </w:rPr>
        <w:t> </w:t>
      </w:r>
      <w:r w:rsidRPr="00BD2E1E">
        <w:rPr>
          <w:rFonts w:ascii="Arial" w:hAnsi="Arial" w:cs="Arial"/>
          <w:bCs/>
          <w:sz w:val="18"/>
          <w:szCs w:val="18"/>
          <w:lang w:val="en-IE" w:eastAsia="fr-FR"/>
        </w:rPr>
        <w:t>minutes (</w:t>
      </w:r>
      <w:hyperlink r:id="rId152" w:anchor="chapitre_svc.biblio-2" w:history="1">
        <w:r w:rsidRPr="00BD2E1E">
          <w:rPr>
            <w:rFonts w:ascii="Arial" w:hAnsi="Arial" w:cs="Arial"/>
            <w:bCs/>
            <w:sz w:val="18"/>
            <w:szCs w:val="18"/>
            <w:lang w:val="en-IE" w:eastAsia="fr-FR"/>
          </w:rPr>
          <w:t>Ahne, 1982</w:t>
        </w:r>
      </w:hyperlink>
      <w:r w:rsidRPr="00BD2E1E">
        <w:rPr>
          <w:rFonts w:ascii="Arial" w:hAnsi="Arial" w:cs="Arial"/>
          <w:bCs/>
          <w:sz w:val="18"/>
          <w:szCs w:val="18"/>
          <w:lang w:val="en-IE" w:eastAsia="fr-FR"/>
        </w:rPr>
        <w:t xml:space="preserve">; </w:t>
      </w:r>
      <w:hyperlink r:id="rId153" w:anchor="chapitre_svc.biblio-5" w:history="1">
        <w:r w:rsidRPr="00BD2E1E">
          <w:rPr>
            <w:rFonts w:ascii="Arial" w:hAnsi="Arial" w:cs="Arial"/>
            <w:bCs/>
            <w:sz w:val="18"/>
            <w:szCs w:val="18"/>
            <w:lang w:val="en-IE" w:eastAsia="fr-FR"/>
          </w:rPr>
          <w:t>Ahne &amp; Held, 1980</w:t>
        </w:r>
      </w:hyperlink>
      <w:r w:rsidRPr="00BD2E1E">
        <w:rPr>
          <w:rFonts w:ascii="Arial" w:hAnsi="Arial" w:cs="Arial"/>
          <w:bCs/>
          <w:sz w:val="18"/>
          <w:szCs w:val="18"/>
          <w:lang w:val="en-IE" w:eastAsia="fr-FR"/>
        </w:rPr>
        <w:t xml:space="preserve">; </w:t>
      </w:r>
      <w:hyperlink r:id="rId154" w:anchor="chapitre_svc.biblio-26" w:history="1">
        <w:r w:rsidRPr="00BD2E1E">
          <w:rPr>
            <w:rFonts w:ascii="Arial" w:hAnsi="Arial" w:cs="Arial"/>
            <w:bCs/>
            <w:sz w:val="18"/>
            <w:szCs w:val="18"/>
            <w:lang w:val="en-IE" w:eastAsia="fr-FR"/>
          </w:rPr>
          <w:t xml:space="preserve">Kiryu </w:t>
        </w:r>
        <w:r w:rsidRPr="00BD2E1E">
          <w:rPr>
            <w:rFonts w:ascii="Arial" w:hAnsi="Arial" w:cs="Arial"/>
            <w:bCs/>
            <w:i/>
            <w:sz w:val="18"/>
            <w:szCs w:val="18"/>
            <w:lang w:val="en-IE" w:eastAsia="fr-FR"/>
          </w:rPr>
          <w:t>et al.,</w:t>
        </w:r>
        <w:r w:rsidRPr="00BD2E1E">
          <w:rPr>
            <w:rFonts w:ascii="Arial" w:hAnsi="Arial" w:cs="Arial"/>
            <w:bCs/>
            <w:sz w:val="18"/>
            <w:szCs w:val="18"/>
            <w:lang w:val="en-IE" w:eastAsia="fr-FR"/>
          </w:rPr>
          <w:t xml:space="preserve"> 2007</w:t>
        </w:r>
      </w:hyperlink>
      <w:r w:rsidRPr="00BD2E1E">
        <w:rPr>
          <w:rFonts w:ascii="Arial" w:hAnsi="Arial" w:cs="Arial"/>
          <w:bCs/>
          <w:sz w:val="18"/>
          <w:szCs w:val="18"/>
          <w:lang w:val="en-IE" w:eastAsia="fr-FR"/>
        </w:rPr>
        <w:t>).</w:t>
      </w:r>
    </w:p>
    <w:p w14:paraId="61A05922" w14:textId="77777777" w:rsidR="00E65E42" w:rsidRPr="000151EA" w:rsidRDefault="00E65E42" w:rsidP="00457C4E">
      <w:pPr>
        <w:spacing w:after="80" w:line="240" w:lineRule="auto"/>
        <w:ind w:left="993" w:hanging="284"/>
        <w:jc w:val="both"/>
        <w:rPr>
          <w:rFonts w:ascii="Ottawa" w:hAnsi="Ottawa" w:cs="Arial"/>
          <w:b/>
          <w:bCs/>
          <w:szCs w:val="20"/>
          <w:lang w:val="en-IE" w:eastAsia="fr-FR"/>
        </w:rPr>
      </w:pPr>
      <w:r w:rsidRPr="000151EA">
        <w:rPr>
          <w:rFonts w:ascii="Ottawa" w:hAnsi="Ottawa" w:cs="Arial"/>
          <w:b/>
          <w:bCs/>
          <w:szCs w:val="20"/>
          <w:lang w:val="en-IE" w:eastAsia="fr-FR"/>
        </w:rPr>
        <w:t>2.4.6.</w:t>
      </w:r>
      <w:r w:rsidRPr="000151EA">
        <w:rPr>
          <w:rFonts w:ascii="Ottawa" w:hAnsi="Ottawa" w:cs="Arial"/>
          <w:b/>
          <w:bCs/>
          <w:szCs w:val="20"/>
          <w:lang w:val="en-IE" w:eastAsia="fr-FR"/>
        </w:rPr>
        <w:tab/>
        <w:t>Disinfection of eggs and larvae</w:t>
      </w:r>
    </w:p>
    <w:p w14:paraId="5F884671" w14:textId="77777777" w:rsidR="00E65E42" w:rsidRDefault="00E65E42" w:rsidP="00457C4E">
      <w:pPr>
        <w:spacing w:line="240" w:lineRule="auto"/>
        <w:ind w:left="709"/>
        <w:jc w:val="both"/>
        <w:rPr>
          <w:rFonts w:ascii="Arial" w:hAnsi="Arial" w:cs="Arial"/>
          <w:bCs/>
          <w:sz w:val="18"/>
          <w:szCs w:val="18"/>
          <w:lang w:val="en-IE" w:eastAsia="fr-FR"/>
        </w:rPr>
      </w:pPr>
      <w:r w:rsidRPr="00BD2E1E">
        <w:rPr>
          <w:rFonts w:ascii="Arial" w:hAnsi="Arial" w:cs="Arial"/>
          <w:bCs/>
          <w:sz w:val="18"/>
          <w:szCs w:val="18"/>
          <w:lang w:val="en-IE" w:eastAsia="fr-FR"/>
        </w:rPr>
        <w:t xml:space="preserve">Eggs can be disinfected by iodophor treatment (Ahne &amp; Held, 1980). </w:t>
      </w:r>
    </w:p>
    <w:p w14:paraId="0A0335C5" w14:textId="77777777" w:rsidR="00E65E42" w:rsidRPr="00223026" w:rsidRDefault="00E65E42" w:rsidP="00457C4E">
      <w:pPr>
        <w:spacing w:after="80" w:line="240" w:lineRule="auto"/>
        <w:ind w:left="993" w:hanging="284"/>
        <w:jc w:val="both"/>
        <w:rPr>
          <w:rFonts w:ascii="Ottawa" w:hAnsi="Ottawa" w:cs="Arial"/>
          <w:b/>
          <w:bCs/>
          <w:szCs w:val="20"/>
          <w:lang w:val="en-IE" w:eastAsia="fr-FR"/>
        </w:rPr>
      </w:pPr>
      <w:r w:rsidRPr="00223026">
        <w:rPr>
          <w:rFonts w:ascii="Ottawa" w:hAnsi="Ottawa" w:cs="Arial"/>
          <w:b/>
          <w:bCs/>
          <w:szCs w:val="20"/>
          <w:lang w:val="en-IE" w:eastAsia="fr-FR"/>
        </w:rPr>
        <w:t>2.4.7.</w:t>
      </w:r>
      <w:r w:rsidRPr="00223026">
        <w:rPr>
          <w:rFonts w:ascii="Ottawa" w:hAnsi="Ottawa" w:cs="Arial"/>
          <w:b/>
          <w:bCs/>
          <w:szCs w:val="20"/>
          <w:lang w:val="en-IE" w:eastAsia="fr-FR"/>
        </w:rPr>
        <w:tab/>
        <w:t>General husbandry</w:t>
      </w:r>
    </w:p>
    <w:p w14:paraId="38327C71" w14:textId="77777777" w:rsidR="00E65E42" w:rsidRPr="00BD2E1E" w:rsidRDefault="00E65E42" w:rsidP="00457C4E">
      <w:pPr>
        <w:spacing w:line="240" w:lineRule="auto"/>
        <w:ind w:left="709"/>
        <w:jc w:val="both"/>
        <w:rPr>
          <w:rFonts w:ascii="Arial" w:hAnsi="Arial" w:cs="Arial"/>
          <w:bCs/>
          <w:sz w:val="18"/>
          <w:szCs w:val="18"/>
        </w:rPr>
      </w:pPr>
      <w:r w:rsidRPr="00BD2E1E">
        <w:rPr>
          <w:rFonts w:ascii="Arial" w:hAnsi="Arial" w:cs="Arial"/>
          <w:bCs/>
          <w:sz w:val="18"/>
          <w:szCs w:val="18"/>
        </w:rPr>
        <w:t xml:space="preserve">Methods to control </w:t>
      </w:r>
      <w:r w:rsidRPr="00BD2E1E">
        <w:rPr>
          <w:rFonts w:ascii="Arial" w:hAnsi="Arial" w:cs="Arial"/>
          <w:bCs/>
          <w:strike/>
          <w:sz w:val="18"/>
          <w:szCs w:val="18"/>
        </w:rPr>
        <w:t xml:space="preserve">of </w:t>
      </w:r>
      <w:r w:rsidRPr="00BD2E1E">
        <w:rPr>
          <w:rFonts w:ascii="Arial" w:hAnsi="Arial" w:cs="Arial"/>
          <w:bCs/>
          <w:sz w:val="18"/>
          <w:szCs w:val="18"/>
        </w:rPr>
        <w:t xml:space="preserve">infection with SVCV </w:t>
      </w:r>
      <w:r w:rsidRPr="00BD2E1E">
        <w:rPr>
          <w:rFonts w:ascii="Arial" w:hAnsi="Arial" w:cs="Arial"/>
          <w:bCs/>
          <w:sz w:val="18"/>
          <w:szCs w:val="18"/>
          <w:u w:val="double"/>
        </w:rPr>
        <w:t>rely</w:t>
      </w:r>
      <w:r w:rsidRPr="00BD2E1E">
        <w:rPr>
          <w:rFonts w:ascii="Arial" w:hAnsi="Arial" w:cs="Arial"/>
          <w:bCs/>
          <w:sz w:val="18"/>
          <w:szCs w:val="18"/>
        </w:rPr>
        <w:t xml:space="preserve"> </w:t>
      </w:r>
      <w:r w:rsidRPr="00BD2E1E">
        <w:rPr>
          <w:rFonts w:ascii="Arial" w:hAnsi="Arial" w:cs="Arial"/>
          <w:bCs/>
          <w:strike/>
          <w:sz w:val="18"/>
          <w:szCs w:val="18"/>
        </w:rPr>
        <w:t xml:space="preserve">relies </w:t>
      </w:r>
      <w:r w:rsidRPr="00BD2E1E">
        <w:rPr>
          <w:rFonts w:ascii="Arial" w:hAnsi="Arial" w:cs="Arial"/>
          <w:bCs/>
          <w:sz w:val="18"/>
          <w:szCs w:val="18"/>
        </w:rPr>
        <w:t xml:space="preserve">on avoiding exposure to the virus coupled with good hygiene practices. This is feasible on small farms supplied by spring or borehole water and a secure system to prevent fish entering the farm via the discharge water. </w:t>
      </w:r>
      <w:r w:rsidRPr="00BD2E1E">
        <w:rPr>
          <w:rFonts w:ascii="Arial" w:hAnsi="Arial" w:cs="Arial"/>
          <w:bCs/>
          <w:strike/>
          <w:sz w:val="18"/>
          <w:szCs w:val="18"/>
        </w:rPr>
        <w:t xml:space="preserve">Hygiene measures should include disinfection of eggs by iodophor treatment (Ahne &amp; Held, 1980), until it has been confirmed unequivocally that vertical transmission does not occur, regular disinfection of ponds, chemical disinfection of farm equipment, careful handling of fish to avoid stress and safe disposal of dead fish. </w:t>
      </w:r>
      <w:r w:rsidRPr="00BD2E1E">
        <w:rPr>
          <w:rFonts w:ascii="Arial" w:hAnsi="Arial" w:cs="Arial"/>
          <w:bCs/>
          <w:sz w:val="18"/>
          <w:szCs w:val="18"/>
        </w:rPr>
        <w:t xml:space="preserve">Reducing fish stocking density during winter and early spring will reduce the spread of the virus. In rearing facilities with a controlled environment, elevation of water temperature above 19–20°C may stop or prevent outbreaks of infection with SVCV. </w:t>
      </w:r>
    </w:p>
    <w:p w14:paraId="785F54B6" w14:textId="77777777" w:rsidR="00DB0A8D" w:rsidRDefault="00DB0A8D">
      <w:pPr>
        <w:rPr>
          <w:rFonts w:ascii="Ottawa" w:hAnsi="Ottawa" w:cs="Arial"/>
          <w:b/>
          <w:bCs/>
          <w:lang w:val="en-IE" w:bidi="en-US"/>
        </w:rPr>
      </w:pPr>
      <w:bookmarkStart w:id="112" w:name="_Toc38028657"/>
      <w:r>
        <w:rPr>
          <w:rFonts w:ascii="Ottawa" w:hAnsi="Ottawa" w:cs="Arial"/>
          <w:b/>
          <w:bCs/>
          <w:lang w:val="en-IE" w:bidi="en-US"/>
        </w:rPr>
        <w:br w:type="page"/>
      </w:r>
    </w:p>
    <w:p w14:paraId="25062895" w14:textId="77777777" w:rsidR="00DB0A8D" w:rsidRDefault="00DB0A8D" w:rsidP="00DB0A8D">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03DCC589" w14:textId="77224288" w:rsidR="00E65E42" w:rsidRPr="00A175F0" w:rsidRDefault="00E65E42" w:rsidP="00223026">
      <w:pPr>
        <w:spacing w:after="120" w:line="240" w:lineRule="auto"/>
        <w:ind w:left="284" w:hanging="284"/>
        <w:outlineLvl w:val="0"/>
        <w:rPr>
          <w:rFonts w:ascii="Ottawa" w:hAnsi="Ottawa" w:cs="Arial"/>
          <w:b/>
          <w:bCs/>
          <w:sz w:val="22"/>
          <w:lang w:val="en-IE" w:bidi="en-US"/>
        </w:rPr>
      </w:pPr>
      <w:r w:rsidRPr="00A175F0">
        <w:rPr>
          <w:rFonts w:ascii="Ottawa" w:hAnsi="Ottawa" w:cs="Arial"/>
          <w:b/>
          <w:bCs/>
          <w:sz w:val="22"/>
          <w:lang w:val="en-IE" w:bidi="en-US"/>
        </w:rPr>
        <w:t>3.</w:t>
      </w:r>
      <w:r w:rsidRPr="00A175F0">
        <w:rPr>
          <w:rFonts w:ascii="Ottawa" w:hAnsi="Ottawa" w:cs="Arial"/>
          <w:b/>
          <w:bCs/>
          <w:sz w:val="22"/>
          <w:lang w:val="en-IE" w:bidi="en-US"/>
        </w:rPr>
        <w:tab/>
        <w:t>Specimen selection, sample collection, transportation and handling</w:t>
      </w:r>
      <w:bookmarkEnd w:id="112"/>
      <w:r w:rsidRPr="00A175F0">
        <w:rPr>
          <w:rFonts w:ascii="Ottawa" w:hAnsi="Ottawa" w:cs="Arial"/>
          <w:b/>
          <w:bCs/>
          <w:sz w:val="22"/>
          <w:lang w:val="en-IE" w:bidi="en-US"/>
        </w:rPr>
        <w:t xml:space="preserve"> </w:t>
      </w:r>
    </w:p>
    <w:p w14:paraId="4792BB03" w14:textId="77777777" w:rsidR="00E65E42" w:rsidRPr="00BD2E1E" w:rsidRDefault="00E65E42" w:rsidP="00223026">
      <w:pPr>
        <w:spacing w:after="120" w:line="240" w:lineRule="auto"/>
        <w:ind w:left="284"/>
        <w:jc w:val="both"/>
        <w:rPr>
          <w:rFonts w:ascii="Arial" w:hAnsi="Arial" w:cs="Arial"/>
          <w:sz w:val="18"/>
          <w:szCs w:val="18"/>
          <w:lang w:val="en-IE" w:bidi="en-US"/>
        </w:rPr>
      </w:pPr>
      <w:r w:rsidRPr="00BD2E1E">
        <w:rPr>
          <w:rFonts w:ascii="Arial" w:hAnsi="Arial" w:cs="Arial"/>
          <w:sz w:val="18"/>
          <w:szCs w:val="18"/>
          <w:lang w:val="en-IE" w:bidi="en-US"/>
        </w:rPr>
        <w:t>This Section draws on information in Sections 2.2., 2.3. and 2.4. to identify populations, individuals and samples which are most likely to be infected.</w:t>
      </w:r>
    </w:p>
    <w:p w14:paraId="631D3C4D" w14:textId="77777777" w:rsidR="00E65E42" w:rsidRPr="00A175F0" w:rsidRDefault="00E65E42" w:rsidP="00A175F0">
      <w:pPr>
        <w:tabs>
          <w:tab w:val="left" w:pos="1418"/>
        </w:tabs>
        <w:spacing w:after="240" w:line="240" w:lineRule="auto"/>
        <w:ind w:left="709" w:hanging="425"/>
        <w:jc w:val="both"/>
        <w:rPr>
          <w:rFonts w:ascii="Ottawa" w:hAnsi="Ottawa" w:cs="Arial"/>
          <w:b/>
          <w:sz w:val="21"/>
          <w:szCs w:val="21"/>
          <w:lang w:bidi="en-US"/>
        </w:rPr>
      </w:pPr>
      <w:r w:rsidRPr="00A175F0">
        <w:rPr>
          <w:rFonts w:ascii="Ottawa" w:hAnsi="Ottawa" w:cs="Arial"/>
          <w:b/>
          <w:sz w:val="21"/>
          <w:szCs w:val="21"/>
          <w:lang w:bidi="en-US"/>
        </w:rPr>
        <w:t>3.1.</w:t>
      </w:r>
      <w:r w:rsidRPr="00A175F0">
        <w:rPr>
          <w:rFonts w:ascii="Ottawa" w:hAnsi="Ottawa" w:cs="Arial"/>
          <w:b/>
          <w:sz w:val="21"/>
          <w:szCs w:val="21"/>
          <w:lang w:bidi="en-US"/>
        </w:rPr>
        <w:tab/>
      </w:r>
      <w:r w:rsidRPr="00A175F0">
        <w:rPr>
          <w:rFonts w:ascii="Ottawa" w:eastAsia="MS Mincho" w:hAnsi="Ottawa" w:cs="Arial"/>
          <w:b/>
          <w:sz w:val="21"/>
          <w:szCs w:val="21"/>
          <w:lang w:val="da-DK" w:eastAsia="da-DK"/>
        </w:rPr>
        <w:t>Selection</w:t>
      </w:r>
      <w:r w:rsidRPr="00A175F0">
        <w:rPr>
          <w:rFonts w:ascii="Ottawa" w:hAnsi="Ottawa" w:cs="Arial"/>
          <w:b/>
          <w:sz w:val="21"/>
          <w:szCs w:val="21"/>
          <w:lang w:bidi="en-US"/>
        </w:rPr>
        <w:t xml:space="preserve"> of populations and individual specimens </w:t>
      </w:r>
    </w:p>
    <w:p w14:paraId="739F4A7C" w14:textId="77777777" w:rsidR="00E65E42" w:rsidRPr="008700E5" w:rsidRDefault="00E65E42" w:rsidP="00223026">
      <w:pPr>
        <w:spacing w:after="120" w:line="240" w:lineRule="auto"/>
        <w:ind w:left="709"/>
        <w:jc w:val="both"/>
        <w:rPr>
          <w:rFonts w:ascii="Arial" w:hAnsi="Arial" w:cs="Arial"/>
          <w:bCs/>
          <w:strike/>
          <w:sz w:val="18"/>
          <w:szCs w:val="18"/>
          <w:lang w:val="en-IE"/>
        </w:rPr>
      </w:pPr>
      <w:r w:rsidRPr="008700E5">
        <w:rPr>
          <w:rFonts w:ascii="Arial" w:hAnsi="Arial" w:cs="Arial"/>
          <w:bCs/>
          <w:strike/>
          <w:sz w:val="18"/>
          <w:szCs w:val="18"/>
          <w:highlight w:val="yellow"/>
          <w:u w:val="double"/>
          <w:lang w:val="en-IE"/>
        </w:rPr>
        <w:t>Sampling</w:t>
      </w:r>
      <w:r w:rsidRPr="008700E5">
        <w:rPr>
          <w:rFonts w:ascii="Arial" w:hAnsi="Arial" w:cs="Arial"/>
          <w:bCs/>
          <w:strike/>
          <w:sz w:val="18"/>
          <w:szCs w:val="18"/>
          <w:highlight w:val="yellow"/>
          <w:lang w:val="en-IE"/>
        </w:rPr>
        <w:t xml:space="preserve"> samples</w:t>
      </w:r>
      <w:r w:rsidRPr="008700E5">
        <w:rPr>
          <w:rFonts w:ascii="Arial" w:hAnsi="Arial" w:cs="Arial"/>
          <w:bCs/>
          <w:strike/>
          <w:sz w:val="18"/>
          <w:szCs w:val="18"/>
          <w:highlight w:val="yellow"/>
          <w:u w:val="double"/>
          <w:lang w:val="en-IE"/>
        </w:rPr>
        <w:t>,</w:t>
      </w:r>
      <w:r w:rsidRPr="008700E5">
        <w:rPr>
          <w:rFonts w:ascii="Arial" w:hAnsi="Arial" w:cs="Arial"/>
          <w:bCs/>
          <w:strike/>
          <w:sz w:val="18"/>
          <w:szCs w:val="18"/>
          <w:highlight w:val="yellow"/>
          <w:lang w:val="en-IE"/>
        </w:rPr>
        <w:t xml:space="preserve"> </w:t>
      </w:r>
      <w:r w:rsidRPr="008700E5">
        <w:rPr>
          <w:rFonts w:ascii="Arial" w:hAnsi="Arial" w:cs="Arial"/>
          <w:bCs/>
          <w:strike/>
          <w:sz w:val="18"/>
          <w:szCs w:val="18"/>
          <w:highlight w:val="yellow"/>
          <w:u w:val="double"/>
          <w:lang w:val="en-IE"/>
        </w:rPr>
        <w:t>target</w:t>
      </w:r>
      <w:r w:rsidRPr="008700E5">
        <w:rPr>
          <w:rFonts w:ascii="Arial" w:hAnsi="Arial" w:cs="Arial"/>
          <w:bCs/>
          <w:strike/>
          <w:sz w:val="18"/>
          <w:szCs w:val="18"/>
          <w:highlight w:val="yellow"/>
          <w:lang w:val="en-IE"/>
        </w:rPr>
        <w:t xml:space="preserve"> comprise of susceptible species on the site with each group being represented in the sample. A group is defined as a</w:t>
      </w:r>
      <w:r w:rsidRPr="008700E5">
        <w:rPr>
          <w:rFonts w:ascii="Arial" w:hAnsi="Arial" w:cs="Arial"/>
          <w:bCs/>
          <w:strike/>
          <w:sz w:val="18"/>
          <w:szCs w:val="18"/>
          <w:highlight w:val="yellow"/>
          <w:u w:val="double"/>
          <w:lang w:val="en-IE"/>
        </w:rPr>
        <w:t>.</w:t>
      </w:r>
      <w:r w:rsidRPr="008700E5">
        <w:rPr>
          <w:rFonts w:ascii="Arial" w:hAnsi="Arial" w:cs="Arial"/>
          <w:bCs/>
          <w:strike/>
          <w:sz w:val="18"/>
          <w:szCs w:val="18"/>
          <w:highlight w:val="yellow"/>
          <w:lang w:val="en-IE"/>
        </w:rPr>
        <w:t xml:space="preserve"> </w:t>
      </w:r>
      <w:r w:rsidRPr="008700E5">
        <w:rPr>
          <w:rFonts w:ascii="Arial" w:hAnsi="Arial" w:cs="Arial"/>
          <w:bCs/>
          <w:strike/>
          <w:sz w:val="18"/>
          <w:szCs w:val="18"/>
          <w:highlight w:val="yellow"/>
          <w:u w:val="double"/>
          <w:lang w:val="en-IE"/>
        </w:rPr>
        <w:t>The</w:t>
      </w:r>
      <w:r w:rsidRPr="008700E5">
        <w:rPr>
          <w:rFonts w:ascii="Arial" w:hAnsi="Arial" w:cs="Arial"/>
          <w:bCs/>
          <w:strike/>
          <w:sz w:val="18"/>
          <w:szCs w:val="18"/>
          <w:highlight w:val="yellow"/>
          <w:lang w:val="en-IE"/>
        </w:rPr>
        <w:t xml:space="preserve"> population </w:t>
      </w:r>
      <w:r w:rsidRPr="008700E5">
        <w:rPr>
          <w:rFonts w:ascii="Arial" w:hAnsi="Arial" w:cs="Arial"/>
          <w:bCs/>
          <w:strike/>
          <w:sz w:val="18"/>
          <w:szCs w:val="18"/>
          <w:highlight w:val="yellow"/>
          <w:u w:val="double"/>
          <w:lang w:val="en-IE"/>
        </w:rPr>
        <w:t>to be sampled may be stratified into groups</w:t>
      </w:r>
      <w:r w:rsidRPr="008700E5">
        <w:rPr>
          <w:rFonts w:ascii="Arial" w:hAnsi="Arial" w:cs="Arial"/>
          <w:bCs/>
          <w:strike/>
          <w:sz w:val="18"/>
          <w:szCs w:val="18"/>
          <w:highlight w:val="yellow"/>
          <w:lang w:val="en-IE"/>
        </w:rPr>
        <w:t xml:space="preserve"> of the same fish species that shares a common water supply and originate from the same broodfish or spawning population. Generally young </w:t>
      </w:r>
      <w:r w:rsidRPr="008700E5">
        <w:rPr>
          <w:rFonts w:ascii="Arial" w:hAnsi="Arial" w:cs="Arial"/>
          <w:bCs/>
          <w:strike/>
          <w:sz w:val="18"/>
          <w:szCs w:val="18"/>
          <w:highlight w:val="yellow"/>
          <w:u w:val="double"/>
          <w:lang w:val="en-IE"/>
        </w:rPr>
        <w:t>Moribund</w:t>
      </w:r>
      <w:r w:rsidRPr="008700E5">
        <w:rPr>
          <w:rFonts w:ascii="Arial" w:hAnsi="Arial" w:cs="Arial"/>
          <w:bCs/>
          <w:strike/>
          <w:sz w:val="18"/>
          <w:szCs w:val="18"/>
          <w:highlight w:val="yellow"/>
          <w:lang w:val="en-IE"/>
        </w:rPr>
        <w:t xml:space="preserve"> fish up to 1 year old are most susceptible to clinical disease, but all age groups can be affected. Any moribund fish present in the fish population to be sampled should be </w:t>
      </w:r>
      <w:r w:rsidRPr="008700E5">
        <w:rPr>
          <w:rFonts w:ascii="Arial" w:hAnsi="Arial" w:cs="Arial"/>
          <w:bCs/>
          <w:strike/>
          <w:sz w:val="18"/>
          <w:szCs w:val="18"/>
          <w:highlight w:val="yellow"/>
          <w:u w:val="double"/>
          <w:lang w:val="en-IE"/>
        </w:rPr>
        <w:t>sampled</w:t>
      </w:r>
      <w:r w:rsidRPr="008700E5">
        <w:rPr>
          <w:rFonts w:ascii="Arial" w:hAnsi="Arial" w:cs="Arial"/>
          <w:bCs/>
          <w:strike/>
          <w:sz w:val="18"/>
          <w:szCs w:val="18"/>
          <w:highlight w:val="yellow"/>
          <w:lang w:val="en-IE"/>
        </w:rPr>
        <w:t xml:space="preserve"> selected first for sample collection and the remainder of the sample</w:t>
      </w:r>
      <w:r w:rsidRPr="008700E5">
        <w:rPr>
          <w:rFonts w:ascii="Arial" w:hAnsi="Arial" w:cs="Arial"/>
          <w:bCs/>
          <w:strike/>
          <w:sz w:val="18"/>
          <w:szCs w:val="18"/>
          <w:highlight w:val="yellow"/>
          <w:u w:val="double"/>
          <w:lang w:val="en-IE"/>
        </w:rPr>
        <w:t>s</w:t>
      </w:r>
      <w:r w:rsidRPr="008700E5">
        <w:rPr>
          <w:rFonts w:ascii="Arial" w:hAnsi="Arial" w:cs="Arial"/>
          <w:bCs/>
          <w:strike/>
          <w:sz w:val="18"/>
          <w:szCs w:val="18"/>
          <w:highlight w:val="yellow"/>
          <w:lang w:val="en-IE"/>
        </w:rPr>
        <w:t xml:space="preserve"> should comprise randomly selected live fish from all </w:t>
      </w:r>
      <w:r w:rsidRPr="008700E5">
        <w:rPr>
          <w:rFonts w:ascii="Arial" w:hAnsi="Arial" w:cs="Arial"/>
          <w:bCs/>
          <w:strike/>
          <w:sz w:val="18"/>
          <w:szCs w:val="18"/>
          <w:highlight w:val="yellow"/>
          <w:u w:val="double"/>
          <w:lang w:val="en-IE"/>
        </w:rPr>
        <w:t>groups of susceptible species</w:t>
      </w:r>
      <w:r w:rsidRPr="008700E5">
        <w:rPr>
          <w:rFonts w:ascii="Arial" w:hAnsi="Arial" w:cs="Arial"/>
          <w:bCs/>
          <w:strike/>
          <w:sz w:val="18"/>
          <w:szCs w:val="18"/>
          <w:highlight w:val="yellow"/>
          <w:lang w:val="en-IE"/>
        </w:rPr>
        <w:t xml:space="preserve"> rearing units that represent the lot being examined.</w:t>
      </w:r>
      <w:r w:rsidRPr="008700E5">
        <w:rPr>
          <w:rFonts w:ascii="Arial" w:hAnsi="Arial" w:cs="Arial"/>
          <w:bCs/>
          <w:strike/>
          <w:sz w:val="18"/>
          <w:szCs w:val="18"/>
          <w:lang w:val="en-IE"/>
        </w:rPr>
        <w:t xml:space="preserve"> </w:t>
      </w:r>
    </w:p>
    <w:p w14:paraId="40F96232" w14:textId="77777777" w:rsidR="00E65E42" w:rsidRPr="00A124C0" w:rsidRDefault="00E65E42" w:rsidP="00223026">
      <w:pPr>
        <w:pStyle w:val="Para20"/>
        <w:spacing w:after="120"/>
        <w:ind w:left="709"/>
        <w:rPr>
          <w:rFonts w:cs="Arial"/>
          <w:szCs w:val="18"/>
          <w:highlight w:val="yellow"/>
          <w:u w:val="double"/>
          <w:lang w:val="en-GB"/>
        </w:rPr>
      </w:pPr>
      <w:r w:rsidRPr="00A124C0">
        <w:rPr>
          <w:rFonts w:eastAsia="SimSun" w:cs="Arial"/>
          <w:color w:val="000000"/>
          <w:spacing w:val="-2"/>
          <w:szCs w:val="18"/>
          <w:highlight w:val="yellow"/>
          <w:u w:val="double"/>
        </w:rPr>
        <w:t>Clinical inspections should be carried out during a period when the water temperature is between 11°C and 17°C. All production units (ponds, tanks, net-cages, etc.) should be inspected for the presence of dead, weak or abnormally behaving fish. Particular attention should be paid to the water outlet area where weak fish tend to accumulate due to the water current</w:t>
      </w:r>
      <w:r w:rsidRPr="00A124C0">
        <w:rPr>
          <w:rFonts w:cs="Arial"/>
          <w:szCs w:val="18"/>
          <w:highlight w:val="yellow"/>
          <w:u w:val="double"/>
          <w:lang w:val="en-GB"/>
        </w:rPr>
        <w:t>.</w:t>
      </w:r>
    </w:p>
    <w:p w14:paraId="3A38E86A" w14:textId="77777777" w:rsidR="00E65E42" w:rsidRPr="00A124C0" w:rsidRDefault="00E65E42" w:rsidP="00223026">
      <w:pPr>
        <w:pStyle w:val="Para20"/>
        <w:spacing w:after="120"/>
        <w:ind w:left="709"/>
        <w:rPr>
          <w:szCs w:val="18"/>
          <w:highlight w:val="yellow"/>
          <w:u w:val="double"/>
        </w:rPr>
      </w:pPr>
      <w:r w:rsidRPr="00A124C0">
        <w:rPr>
          <w:rFonts w:eastAsia="SimSun" w:cs="Arial"/>
          <w:color w:val="000000"/>
          <w:szCs w:val="18"/>
          <w:highlight w:val="yellow"/>
          <w:u w:val="double"/>
        </w:rPr>
        <w:t>For the purposes of disease surveillance, fish to be sampled are selected as follows:</w:t>
      </w:r>
    </w:p>
    <w:p w14:paraId="3438F297" w14:textId="77777777" w:rsidR="00E65E42" w:rsidRPr="00A124C0" w:rsidRDefault="00E65E42" w:rsidP="00223026">
      <w:pPr>
        <w:pStyle w:val="Parai2"/>
        <w:spacing w:after="120"/>
        <w:ind w:left="1134"/>
        <w:rPr>
          <w:rFonts w:cs="Arial"/>
          <w:szCs w:val="18"/>
          <w:highlight w:val="yellow"/>
          <w:u w:val="double"/>
          <w:lang w:val="en-GB"/>
        </w:rPr>
      </w:pPr>
      <w:r w:rsidRPr="00A124C0">
        <w:rPr>
          <w:rFonts w:cs="Arial"/>
          <w:szCs w:val="18"/>
          <w:highlight w:val="yellow"/>
          <w:u w:val="double"/>
          <w:lang w:val="en-GB"/>
        </w:rPr>
        <w:t>i)</w:t>
      </w:r>
      <w:r w:rsidRPr="00DB0A8D">
        <w:rPr>
          <w:rFonts w:cs="Arial"/>
          <w:szCs w:val="18"/>
          <w:lang w:val="en-GB"/>
        </w:rPr>
        <w:tab/>
      </w:r>
      <w:r w:rsidRPr="00A124C0">
        <w:rPr>
          <w:rFonts w:eastAsia="SimSun" w:cs="Arial"/>
          <w:color w:val="000000"/>
          <w:szCs w:val="18"/>
          <w:highlight w:val="yellow"/>
          <w:u w:val="double"/>
          <w:lang w:eastAsia="fr-FR"/>
        </w:rPr>
        <w:t xml:space="preserve">Common carp or strains such as koi or ghost (koi × common) carp are preferentially selected, followed by carp hybrids (e.g. common carp × crucian carp), then other carp species such as crucian carp, goldfish, grass carp, bighead carp and silver carp. </w:t>
      </w:r>
      <w:r w:rsidRPr="00A124C0">
        <w:rPr>
          <w:rFonts w:eastAsia="SimSun" w:cs="Arial"/>
          <w:color w:val="000000"/>
          <w:szCs w:val="18"/>
          <w:highlight w:val="yellow"/>
          <w:u w:val="double"/>
        </w:rPr>
        <w:t xml:space="preserve">Susceptible species should be sampled proportionally, or following risk-based criteria for targeted selection of lots or populations with a history of abnormal mortality or potential exposure events (e.g. via untreated surface water, wild harvest or replacement with stocks of unknown </w:t>
      </w:r>
      <w:r>
        <w:rPr>
          <w:rFonts w:eastAsia="SimSun" w:cs="Arial"/>
          <w:color w:val="000000"/>
          <w:szCs w:val="18"/>
          <w:highlight w:val="yellow"/>
          <w:u w:val="double"/>
        </w:rPr>
        <w:t>disease</w:t>
      </w:r>
      <w:r w:rsidRPr="00A124C0">
        <w:rPr>
          <w:rFonts w:eastAsia="SimSun" w:cs="Arial"/>
          <w:color w:val="000000"/>
          <w:szCs w:val="18"/>
          <w:highlight w:val="yellow"/>
          <w:u w:val="double"/>
        </w:rPr>
        <w:t xml:space="preserve"> status).</w:t>
      </w:r>
      <w:r w:rsidRPr="00A124C0">
        <w:rPr>
          <w:rFonts w:cs="Arial"/>
          <w:szCs w:val="18"/>
          <w:highlight w:val="yellow"/>
          <w:u w:val="double"/>
          <w:lang w:val="en-GB"/>
        </w:rPr>
        <w:t xml:space="preserve"> </w:t>
      </w:r>
    </w:p>
    <w:p w14:paraId="07BF5AA8" w14:textId="77777777" w:rsidR="00E65E42" w:rsidRPr="00A124C0" w:rsidRDefault="00E65E42" w:rsidP="00223026">
      <w:pPr>
        <w:pStyle w:val="Parai2"/>
        <w:spacing w:after="120"/>
        <w:ind w:left="1134"/>
        <w:rPr>
          <w:rFonts w:cs="Arial"/>
          <w:szCs w:val="18"/>
          <w:highlight w:val="yellow"/>
          <w:u w:val="double"/>
          <w:lang w:val="en-GB"/>
        </w:rPr>
      </w:pPr>
      <w:r w:rsidRPr="00A124C0">
        <w:rPr>
          <w:rFonts w:cs="Arial"/>
          <w:szCs w:val="18"/>
          <w:highlight w:val="yellow"/>
          <w:u w:val="double"/>
          <w:lang w:val="en-GB"/>
        </w:rPr>
        <w:t>ii)</w:t>
      </w:r>
      <w:r w:rsidRPr="00DB0A8D">
        <w:rPr>
          <w:rFonts w:cs="Arial"/>
          <w:szCs w:val="18"/>
          <w:lang w:val="en-GB"/>
        </w:rPr>
        <w:tab/>
      </w:r>
      <w:r w:rsidRPr="00A124C0">
        <w:rPr>
          <w:rFonts w:eastAsia="SimSun" w:cs="Arial"/>
          <w:color w:val="000000"/>
          <w:szCs w:val="18"/>
          <w:highlight w:val="yellow"/>
          <w:u w:val="double"/>
        </w:rPr>
        <w:t>If more than one water source is used for fish production, fish from all water sources should be included in the sample.</w:t>
      </w:r>
    </w:p>
    <w:p w14:paraId="5305A3AA" w14:textId="77777777" w:rsidR="00E65E42" w:rsidRPr="00A124C0" w:rsidRDefault="00E65E42" w:rsidP="00223026">
      <w:pPr>
        <w:pStyle w:val="Parai2"/>
        <w:spacing w:after="120"/>
        <w:ind w:left="1134"/>
        <w:rPr>
          <w:rFonts w:cs="Arial"/>
          <w:szCs w:val="18"/>
          <w:highlight w:val="yellow"/>
          <w:u w:val="double"/>
          <w:lang w:val="en-GB"/>
        </w:rPr>
      </w:pPr>
      <w:r w:rsidRPr="00A124C0">
        <w:rPr>
          <w:rFonts w:cs="Arial"/>
          <w:szCs w:val="18"/>
          <w:highlight w:val="yellow"/>
          <w:u w:val="double"/>
          <w:lang w:val="en-GB"/>
        </w:rPr>
        <w:t>iii)</w:t>
      </w:r>
      <w:r w:rsidRPr="00DB0A8D">
        <w:rPr>
          <w:rFonts w:cs="Arial"/>
          <w:szCs w:val="18"/>
          <w:lang w:val="en-GB"/>
        </w:rPr>
        <w:tab/>
      </w:r>
      <w:r w:rsidRPr="00A124C0">
        <w:rPr>
          <w:rFonts w:eastAsia="SimSun" w:cs="Arial"/>
          <w:color w:val="000000"/>
          <w:szCs w:val="18"/>
          <w:highlight w:val="yellow"/>
          <w:u w:val="double"/>
        </w:rPr>
        <w:t>If weak, abnormally behaving or freshly dead (not decomposed) fish are present, such fish should be selected. If such fish are not present, the fish selected should include normal appearing, healthy fish collected in such a way that all parts of the farm as well as all year classes are proportionally represented in the sample</w:t>
      </w:r>
      <w:r w:rsidRPr="00A124C0">
        <w:rPr>
          <w:rFonts w:cs="Arial"/>
          <w:szCs w:val="18"/>
          <w:highlight w:val="yellow"/>
          <w:u w:val="double"/>
          <w:lang w:val="en-GB"/>
        </w:rPr>
        <w:t>.</w:t>
      </w:r>
    </w:p>
    <w:p w14:paraId="1A649949" w14:textId="77777777" w:rsidR="00E65E42" w:rsidRPr="00A124C0" w:rsidRDefault="00E65E42" w:rsidP="00223026">
      <w:pPr>
        <w:pStyle w:val="Para20"/>
        <w:spacing w:after="120"/>
        <w:ind w:left="709"/>
        <w:rPr>
          <w:rFonts w:eastAsia="SimSun" w:cs="Arial"/>
          <w:color w:val="000000"/>
          <w:szCs w:val="18"/>
          <w:u w:val="double"/>
        </w:rPr>
      </w:pPr>
      <w:r w:rsidRPr="008700E5">
        <w:rPr>
          <w:rFonts w:eastAsia="SimSun" w:cs="Arial"/>
          <w:color w:val="000000"/>
          <w:szCs w:val="18"/>
        </w:rPr>
        <w:t xml:space="preserve">For disease </w:t>
      </w:r>
      <w:r w:rsidRPr="00A124C0">
        <w:rPr>
          <w:rFonts w:eastAsia="SimSun" w:cs="Arial"/>
          <w:color w:val="000000"/>
          <w:szCs w:val="18"/>
          <w:highlight w:val="yellow"/>
          <w:u w:val="double"/>
        </w:rPr>
        <w:t>outbreak</w:t>
      </w:r>
      <w:r w:rsidRPr="008700E5">
        <w:rPr>
          <w:rFonts w:eastAsia="SimSun" w:cs="Arial"/>
          <w:color w:val="000000"/>
          <w:szCs w:val="18"/>
          <w:highlight w:val="yellow"/>
        </w:rPr>
        <w:t xml:space="preserve"> </w:t>
      </w:r>
      <w:r w:rsidRPr="008700E5">
        <w:rPr>
          <w:rFonts w:eastAsia="SimSun" w:cs="Arial"/>
          <w:color w:val="000000"/>
          <w:szCs w:val="18"/>
        </w:rPr>
        <w:t>investigations, moribund fish or fish exhibiting clinical signs of infection with SVC</w:t>
      </w:r>
      <w:r w:rsidRPr="008700E5">
        <w:rPr>
          <w:rFonts w:eastAsia="SimSun" w:cs="Arial"/>
          <w:color w:val="000000"/>
          <w:szCs w:val="18"/>
          <w:u w:val="double"/>
        </w:rPr>
        <w:t>V</w:t>
      </w:r>
      <w:r w:rsidRPr="008700E5">
        <w:rPr>
          <w:rFonts w:eastAsia="SimSun" w:cs="Arial"/>
          <w:color w:val="000000"/>
          <w:szCs w:val="18"/>
        </w:rPr>
        <w:t xml:space="preserve"> should be collected. Ideally fish </w:t>
      </w:r>
      <w:r w:rsidRPr="00A124C0">
        <w:rPr>
          <w:rFonts w:eastAsia="SimSun" w:cs="Arial"/>
          <w:color w:val="000000"/>
          <w:szCs w:val="18"/>
          <w:highlight w:val="yellow"/>
          <w:u w:val="double"/>
        </w:rPr>
        <w:t>should be collected</w:t>
      </w:r>
      <w:r w:rsidRPr="008700E5">
        <w:rPr>
          <w:rFonts w:eastAsia="SimSun" w:cs="Arial"/>
          <w:color w:val="000000"/>
          <w:szCs w:val="18"/>
        </w:rPr>
        <w:t xml:space="preserve"> while alive, however</w:t>
      </w:r>
      <w:r>
        <w:rPr>
          <w:rFonts w:eastAsia="SimSun" w:cs="Arial"/>
          <w:color w:val="000000"/>
          <w:szCs w:val="18"/>
        </w:rPr>
        <w:t>,</w:t>
      </w:r>
      <w:r w:rsidRPr="008700E5">
        <w:rPr>
          <w:rFonts w:eastAsia="SimSun" w:cs="Arial"/>
          <w:color w:val="000000"/>
          <w:szCs w:val="18"/>
        </w:rPr>
        <w:t xml:space="preserve"> recently dead fish can also be selected for diagnostic</w:t>
      </w:r>
      <w:r w:rsidRPr="008700E5">
        <w:rPr>
          <w:rFonts w:eastAsia="SimSun" w:cs="Arial"/>
          <w:color w:val="000000"/>
          <w:szCs w:val="18"/>
          <w:u w:val="double"/>
        </w:rPr>
        <w:t xml:space="preserve"> </w:t>
      </w:r>
      <w:r w:rsidRPr="00A124C0">
        <w:rPr>
          <w:rFonts w:eastAsia="SimSun" w:cs="Arial"/>
          <w:color w:val="000000"/>
          <w:szCs w:val="18"/>
          <w:highlight w:val="yellow"/>
          <w:u w:val="double"/>
        </w:rPr>
        <w:t>testing</w:t>
      </w:r>
      <w:r w:rsidRPr="008700E5">
        <w:rPr>
          <w:rFonts w:eastAsia="SimSun" w:cs="Arial"/>
          <w:strike/>
          <w:color w:val="000000"/>
          <w:szCs w:val="18"/>
          <w:highlight w:val="yellow"/>
        </w:rPr>
        <w:t xml:space="preserve"> </w:t>
      </w:r>
      <w:r w:rsidRPr="008700E5">
        <w:rPr>
          <w:rFonts w:cs="Arial"/>
          <w:bCs/>
          <w:strike/>
          <w:szCs w:val="18"/>
          <w:highlight w:val="yellow"/>
        </w:rPr>
        <w:t>purposes</w:t>
      </w:r>
      <w:r w:rsidRPr="008700E5">
        <w:rPr>
          <w:rFonts w:eastAsia="SimSun" w:cs="Arial"/>
          <w:color w:val="000000"/>
          <w:szCs w:val="18"/>
        </w:rPr>
        <w:t xml:space="preserve">. It should be noted however, that there will be a significant risk of contamination with environmental bacteria if the animals have been dead for some time. </w:t>
      </w:r>
      <w:r w:rsidRPr="00D403F5">
        <w:rPr>
          <w:rFonts w:cs="Arial"/>
          <w:bCs/>
          <w:szCs w:val="18"/>
        </w:rPr>
        <w:t xml:space="preserve">There may be no </w:t>
      </w:r>
      <w:r w:rsidRPr="00D403F5">
        <w:rPr>
          <w:rFonts w:cs="Arial"/>
          <w:bCs/>
          <w:szCs w:val="18"/>
          <w:u w:val="double"/>
        </w:rPr>
        <w:t xml:space="preserve">clinical signs or </w:t>
      </w:r>
      <w:r w:rsidRPr="00E777B4">
        <w:rPr>
          <w:rFonts w:cs="Arial"/>
          <w:bCs/>
          <w:szCs w:val="18"/>
          <w:u w:val="double"/>
        </w:rPr>
        <w:t xml:space="preserve">gross </w:t>
      </w:r>
      <w:r w:rsidRPr="00E777B4">
        <w:rPr>
          <w:rFonts w:eastAsia="SimSun" w:cs="Arial"/>
          <w:color w:val="000000"/>
          <w:szCs w:val="18"/>
          <w:u w:val="double"/>
        </w:rPr>
        <w:t>pathognomonic</w:t>
      </w:r>
      <w:r w:rsidRPr="00D403F5">
        <w:rPr>
          <w:rFonts w:cs="Arial"/>
          <w:bCs/>
          <w:szCs w:val="18"/>
        </w:rPr>
        <w:t xml:space="preserve"> lesions </w:t>
      </w:r>
      <w:r w:rsidRPr="00D403F5">
        <w:rPr>
          <w:rFonts w:cs="Arial"/>
          <w:bCs/>
          <w:strike/>
          <w:szCs w:val="18"/>
        </w:rPr>
        <w:t xml:space="preserve">and no clinical signs </w:t>
      </w:r>
      <w:r w:rsidRPr="00D403F5">
        <w:rPr>
          <w:rFonts w:cs="Arial"/>
          <w:bCs/>
          <w:szCs w:val="18"/>
        </w:rPr>
        <w:t>in cases of sudden mortality</w:t>
      </w:r>
      <w:r w:rsidRPr="002E5995">
        <w:rPr>
          <w:rFonts w:cs="Arial"/>
          <w:bCs/>
          <w:strike/>
          <w:szCs w:val="18"/>
        </w:rPr>
        <w:t xml:space="preserve"> </w:t>
      </w:r>
      <w:r w:rsidRPr="008700E5">
        <w:rPr>
          <w:rFonts w:cs="Arial"/>
          <w:bCs/>
          <w:strike/>
          <w:szCs w:val="18"/>
          <w:highlight w:val="yellow"/>
        </w:rPr>
        <w:t>(see Section 4.1.1.)</w:t>
      </w:r>
      <w:r w:rsidRPr="00D403F5">
        <w:rPr>
          <w:rFonts w:cs="Arial"/>
          <w:bCs/>
          <w:szCs w:val="18"/>
        </w:rPr>
        <w:t>.</w:t>
      </w:r>
    </w:p>
    <w:p w14:paraId="205947E9" w14:textId="0187A2E3" w:rsidR="00E65E42" w:rsidRPr="00A175F0" w:rsidRDefault="00223026" w:rsidP="00223026">
      <w:pPr>
        <w:pStyle w:val="11"/>
        <w:spacing w:after="120"/>
        <w:rPr>
          <w:rFonts w:ascii="Ottawa" w:hAnsi="Ottawa" w:cs="Arial"/>
          <w:sz w:val="21"/>
          <w:szCs w:val="21"/>
          <w:lang w:bidi="en-US"/>
        </w:rPr>
      </w:pPr>
      <w:r w:rsidRPr="00A175F0">
        <w:rPr>
          <w:rFonts w:ascii="Ottawa" w:hAnsi="Ottawa" w:cs="Arial"/>
          <w:sz w:val="21"/>
          <w:szCs w:val="21"/>
          <w:lang w:bidi="en-US"/>
        </w:rPr>
        <w:t>3.2.</w:t>
      </w:r>
      <w:r w:rsidRPr="00A175F0">
        <w:rPr>
          <w:rFonts w:ascii="Ottawa" w:hAnsi="Ottawa" w:cs="Arial"/>
          <w:sz w:val="21"/>
          <w:szCs w:val="21"/>
          <w:lang w:bidi="en-US"/>
        </w:rPr>
        <w:tab/>
      </w:r>
      <w:r w:rsidR="00E65E42" w:rsidRPr="00A175F0">
        <w:rPr>
          <w:rFonts w:ascii="Ottawa" w:hAnsi="Ottawa" w:cs="Arial"/>
          <w:sz w:val="21"/>
          <w:szCs w:val="21"/>
          <w:lang w:bidi="en-US"/>
        </w:rPr>
        <w:t>Selection of organs or tissues</w:t>
      </w:r>
    </w:p>
    <w:p w14:paraId="1C286693" w14:textId="77777777" w:rsidR="00E65E42" w:rsidRPr="00BD2E1E" w:rsidRDefault="00E65E42" w:rsidP="00223026">
      <w:pPr>
        <w:spacing w:after="120" w:line="240" w:lineRule="auto"/>
        <w:ind w:left="709"/>
        <w:jc w:val="both"/>
        <w:rPr>
          <w:rFonts w:ascii="Arial" w:hAnsi="Arial" w:cs="Arial"/>
          <w:sz w:val="18"/>
          <w:szCs w:val="18"/>
          <w:u w:val="double"/>
          <w:lang w:val="en-IE" w:eastAsia="fr-FR"/>
        </w:rPr>
      </w:pPr>
      <w:r w:rsidRPr="00BD2E1E">
        <w:rPr>
          <w:rFonts w:ascii="Arial" w:hAnsi="Arial" w:cs="Arial"/>
          <w:sz w:val="18"/>
          <w:szCs w:val="18"/>
          <w:u w:val="double"/>
          <w:lang w:val="en-IE" w:eastAsia="fr-FR"/>
        </w:rPr>
        <w:t xml:space="preserve">Kidney, spleen, gill and encephalon should be selected from </w:t>
      </w:r>
      <w:r w:rsidRPr="00E777B4">
        <w:rPr>
          <w:rFonts w:ascii="Arial" w:hAnsi="Arial" w:cs="Arial"/>
          <w:strike/>
          <w:sz w:val="18"/>
          <w:szCs w:val="18"/>
          <w:highlight w:val="yellow"/>
          <w:u w:val="double"/>
          <w:lang w:val="en-IE" w:eastAsia="fr-FR"/>
        </w:rPr>
        <w:t>subclinically infected fish (</w:t>
      </w:r>
      <w:r w:rsidRPr="00BD2E1E">
        <w:rPr>
          <w:rFonts w:ascii="Arial" w:hAnsi="Arial" w:cs="Arial"/>
          <w:sz w:val="18"/>
          <w:szCs w:val="18"/>
          <w:u w:val="double"/>
          <w:lang w:val="en-IE" w:eastAsia="fr-FR"/>
        </w:rPr>
        <w:t>apparently healthy fish</w:t>
      </w:r>
      <w:r w:rsidRPr="00E777B4">
        <w:rPr>
          <w:rFonts w:ascii="Arial" w:hAnsi="Arial" w:cs="Arial"/>
          <w:strike/>
          <w:sz w:val="18"/>
          <w:szCs w:val="18"/>
          <w:highlight w:val="yellow"/>
          <w:u w:val="double"/>
          <w:lang w:val="en-IE" w:eastAsia="fr-FR"/>
        </w:rPr>
        <w:t>)</w:t>
      </w:r>
      <w:r w:rsidRPr="00BD2E1E">
        <w:rPr>
          <w:rFonts w:ascii="Arial" w:hAnsi="Arial" w:cs="Arial"/>
          <w:sz w:val="18"/>
          <w:szCs w:val="18"/>
          <w:u w:val="double"/>
          <w:lang w:val="en-IE" w:eastAsia="fr-FR"/>
        </w:rPr>
        <w:t>.</w:t>
      </w:r>
    </w:p>
    <w:p w14:paraId="54F3E054" w14:textId="77777777" w:rsidR="00E65E42" w:rsidRPr="00BD2E1E" w:rsidRDefault="00E65E42" w:rsidP="00223026">
      <w:pPr>
        <w:spacing w:after="120" w:line="240" w:lineRule="auto"/>
        <w:ind w:left="709"/>
        <w:jc w:val="both"/>
        <w:rPr>
          <w:rFonts w:ascii="Arial" w:hAnsi="Arial" w:cs="Arial"/>
          <w:sz w:val="18"/>
          <w:szCs w:val="18"/>
          <w:lang w:val="en-IE" w:eastAsia="fr-FR"/>
        </w:rPr>
      </w:pPr>
      <w:r w:rsidRPr="00BD2E1E">
        <w:rPr>
          <w:rFonts w:ascii="Arial" w:hAnsi="Arial" w:cs="Arial"/>
          <w:sz w:val="18"/>
          <w:szCs w:val="18"/>
          <w:lang w:eastAsia="fr-FR"/>
        </w:rPr>
        <w:t xml:space="preserve">For clinically affected fish: whole </w:t>
      </w:r>
      <w:r w:rsidRPr="00BD2E1E">
        <w:rPr>
          <w:rFonts w:ascii="Arial" w:hAnsi="Arial" w:cs="Arial"/>
          <w:sz w:val="18"/>
          <w:szCs w:val="18"/>
          <w:u w:val="double"/>
          <w:lang w:eastAsia="fr-FR"/>
        </w:rPr>
        <w:t>fry</w:t>
      </w:r>
      <w:r w:rsidRPr="00BD2E1E">
        <w:rPr>
          <w:rFonts w:ascii="Arial" w:hAnsi="Arial" w:cs="Arial"/>
          <w:sz w:val="18"/>
          <w:szCs w:val="18"/>
          <w:lang w:eastAsia="fr-FR"/>
        </w:rPr>
        <w:t xml:space="preserve"> </w:t>
      </w:r>
      <w:r w:rsidRPr="00BD2E1E">
        <w:rPr>
          <w:rFonts w:ascii="Arial" w:hAnsi="Arial" w:cs="Arial"/>
          <w:strike/>
          <w:sz w:val="18"/>
          <w:szCs w:val="18"/>
          <w:lang w:eastAsia="fr-FR"/>
        </w:rPr>
        <w:t xml:space="preserve">alevin </w:t>
      </w:r>
      <w:r w:rsidRPr="00BD2E1E">
        <w:rPr>
          <w:rFonts w:ascii="Arial" w:hAnsi="Arial" w:cs="Arial"/>
          <w:sz w:val="18"/>
          <w:szCs w:val="18"/>
          <w:lang w:eastAsia="fr-FR"/>
        </w:rPr>
        <w:t xml:space="preserve">(body length ≤ 4 cm), entire viscera including kidney and </w:t>
      </w:r>
      <w:r w:rsidRPr="00695BD1">
        <w:rPr>
          <w:rFonts w:ascii="Arial" w:hAnsi="Arial" w:cs="Arial"/>
          <w:strike/>
          <w:sz w:val="18"/>
          <w:szCs w:val="18"/>
          <w:highlight w:val="yellow"/>
          <w:lang w:eastAsia="fr-FR"/>
        </w:rPr>
        <w:t xml:space="preserve">encephalon </w:t>
      </w:r>
      <w:r w:rsidRPr="00695BD1">
        <w:rPr>
          <w:rFonts w:ascii="Arial" w:hAnsi="Arial" w:cs="Arial"/>
          <w:sz w:val="18"/>
          <w:szCs w:val="18"/>
          <w:highlight w:val="yellow"/>
          <w:u w:val="double"/>
          <w:lang w:eastAsia="fr-FR"/>
        </w:rPr>
        <w:t>brain</w:t>
      </w:r>
      <w:r w:rsidRPr="00695BD1">
        <w:rPr>
          <w:rFonts w:ascii="Arial" w:hAnsi="Arial" w:cs="Arial"/>
          <w:sz w:val="18"/>
          <w:szCs w:val="18"/>
          <w:lang w:eastAsia="fr-FR"/>
        </w:rPr>
        <w:t xml:space="preserve"> </w:t>
      </w:r>
      <w:r w:rsidRPr="00BD2E1E">
        <w:rPr>
          <w:rFonts w:ascii="Arial" w:hAnsi="Arial" w:cs="Arial"/>
          <w:sz w:val="18"/>
          <w:szCs w:val="18"/>
          <w:lang w:eastAsia="fr-FR"/>
        </w:rPr>
        <w:t xml:space="preserve">(&gt; 4 cm body length ≤ 6 cm) or, for larger </w:t>
      </w:r>
      <w:r w:rsidRPr="00BD2E1E">
        <w:rPr>
          <w:rFonts w:ascii="Arial" w:hAnsi="Arial" w:cs="Arial"/>
          <w:strike/>
          <w:sz w:val="18"/>
          <w:szCs w:val="18"/>
          <w:lang w:eastAsia="fr-FR"/>
        </w:rPr>
        <w:t xml:space="preserve">sized </w:t>
      </w:r>
      <w:r w:rsidRPr="00BD2E1E">
        <w:rPr>
          <w:rFonts w:ascii="Arial" w:hAnsi="Arial" w:cs="Arial"/>
          <w:sz w:val="18"/>
          <w:szCs w:val="18"/>
          <w:lang w:eastAsia="fr-FR"/>
        </w:rPr>
        <w:t>fish, liver, kidney, spleen and encephalon should be selected.</w:t>
      </w:r>
      <w:r w:rsidRPr="00BD2E1E">
        <w:rPr>
          <w:rFonts w:ascii="Arial" w:hAnsi="Arial" w:cs="Arial"/>
          <w:sz w:val="18"/>
          <w:szCs w:val="18"/>
          <w:lang w:val="en-IE" w:eastAsia="fr-FR"/>
        </w:rPr>
        <w:t xml:space="preserve"> </w:t>
      </w:r>
    </w:p>
    <w:p w14:paraId="2AF1E8EF" w14:textId="77777777" w:rsidR="00E65E42" w:rsidRPr="00A175F0" w:rsidRDefault="00E65E42" w:rsidP="00223026">
      <w:pPr>
        <w:pStyle w:val="11"/>
        <w:spacing w:after="120"/>
        <w:rPr>
          <w:rFonts w:ascii="Ottawa" w:hAnsi="Ottawa" w:cs="Arial"/>
          <w:sz w:val="21"/>
          <w:szCs w:val="21"/>
          <w:lang w:bidi="en-US"/>
        </w:rPr>
      </w:pPr>
      <w:r w:rsidRPr="00A175F0">
        <w:rPr>
          <w:rFonts w:ascii="Ottawa" w:hAnsi="Ottawa" w:cs="Arial"/>
          <w:sz w:val="21"/>
          <w:szCs w:val="21"/>
          <w:lang w:bidi="en-US"/>
        </w:rPr>
        <w:t>3.3.</w:t>
      </w:r>
      <w:r w:rsidRPr="00A175F0">
        <w:rPr>
          <w:rFonts w:ascii="Ottawa" w:hAnsi="Ottawa" w:cs="Arial"/>
          <w:sz w:val="21"/>
          <w:szCs w:val="21"/>
          <w:lang w:bidi="en-US"/>
        </w:rPr>
        <w:tab/>
      </w:r>
      <w:bookmarkStart w:id="113" w:name="_Hlk20832181"/>
      <w:r w:rsidRPr="00A175F0">
        <w:rPr>
          <w:rFonts w:ascii="Ottawa" w:hAnsi="Ottawa" w:cs="Arial"/>
          <w:sz w:val="21"/>
          <w:szCs w:val="21"/>
          <w:lang w:bidi="en-US"/>
        </w:rPr>
        <w:t>Samples or tissues not suitable for pathogen detection</w:t>
      </w:r>
      <w:bookmarkEnd w:id="113"/>
    </w:p>
    <w:p w14:paraId="1D81DA50" w14:textId="77777777" w:rsidR="00E65E42" w:rsidRDefault="00E65E42" w:rsidP="00223026">
      <w:pPr>
        <w:spacing w:after="120" w:line="240" w:lineRule="auto"/>
        <w:ind w:left="709"/>
        <w:jc w:val="both"/>
        <w:rPr>
          <w:rFonts w:ascii="Arial" w:hAnsi="Arial" w:cs="Arial"/>
          <w:sz w:val="18"/>
          <w:szCs w:val="18"/>
          <w:lang w:val="en-IE"/>
        </w:rPr>
      </w:pPr>
      <w:r w:rsidRPr="00BD2E1E">
        <w:rPr>
          <w:rFonts w:ascii="Arial" w:hAnsi="Arial" w:cs="Arial"/>
          <w:strike/>
          <w:sz w:val="18"/>
          <w:szCs w:val="18"/>
        </w:rPr>
        <w:t xml:space="preserve">Virus isolation may also not be possible from </w:t>
      </w:r>
      <w:r w:rsidRPr="00BD2E1E">
        <w:rPr>
          <w:rFonts w:ascii="Arial" w:hAnsi="Arial" w:cs="Arial"/>
          <w:sz w:val="18"/>
          <w:szCs w:val="18"/>
          <w:lang w:val="en-IE"/>
        </w:rPr>
        <w:t xml:space="preserve">Decomposed clinical samples </w:t>
      </w:r>
      <w:r w:rsidRPr="00BD2E1E">
        <w:rPr>
          <w:rFonts w:ascii="Arial" w:hAnsi="Arial" w:cs="Arial"/>
          <w:strike/>
          <w:sz w:val="18"/>
          <w:szCs w:val="18"/>
        </w:rPr>
        <w:t xml:space="preserve">A number of studies in which attempts were made to isolate virus from reproductive fluids were unsuccessful, although </w:t>
      </w:r>
      <w:r w:rsidRPr="00BD2E1E">
        <w:rPr>
          <w:rFonts w:ascii="Arial" w:hAnsi="Arial" w:cs="Arial"/>
          <w:sz w:val="18"/>
          <w:szCs w:val="18"/>
          <w:u w:val="double"/>
          <w:lang w:val="en-IE"/>
        </w:rPr>
        <w:t>and seminal fluid samples are not suitable. While</w:t>
      </w:r>
      <w:r w:rsidRPr="00BD2E1E">
        <w:rPr>
          <w:rFonts w:ascii="Arial" w:hAnsi="Arial" w:cs="Arial"/>
          <w:sz w:val="18"/>
          <w:szCs w:val="18"/>
          <w:lang w:val="en-IE"/>
        </w:rPr>
        <w:t xml:space="preserve"> the virus has been isolated at low frequency from ovarian</w:t>
      </w:r>
      <w:r w:rsidRPr="00BD2E1E">
        <w:rPr>
          <w:rFonts w:ascii="Arial" w:hAnsi="Arial" w:cs="Arial"/>
          <w:strike/>
          <w:sz w:val="18"/>
          <w:szCs w:val="18"/>
          <w:lang w:val="en-IE"/>
        </w:rPr>
        <w:t>, but not seminal,</w:t>
      </w:r>
      <w:r w:rsidRPr="00BD2E1E">
        <w:rPr>
          <w:rFonts w:ascii="Arial" w:hAnsi="Arial" w:cs="Arial"/>
          <w:sz w:val="18"/>
          <w:szCs w:val="18"/>
          <w:lang w:val="en-IE"/>
        </w:rPr>
        <w:t xml:space="preserve"> fluids</w:t>
      </w:r>
      <w:r w:rsidRPr="00BD2E1E">
        <w:rPr>
          <w:rFonts w:ascii="Arial" w:hAnsi="Arial" w:cs="Arial"/>
          <w:sz w:val="18"/>
          <w:szCs w:val="18"/>
          <w:u w:val="double"/>
          <w:lang w:val="en-IE"/>
        </w:rPr>
        <w:t xml:space="preserve">, </w:t>
      </w:r>
      <w:r w:rsidRPr="00D403F5">
        <w:rPr>
          <w:rFonts w:ascii="Arial" w:hAnsi="Arial" w:cs="Arial"/>
          <w:sz w:val="18"/>
          <w:szCs w:val="18"/>
          <w:u w:val="double"/>
          <w:lang w:val="en-IE"/>
        </w:rPr>
        <w:t xml:space="preserve">the suitability of these </w:t>
      </w:r>
      <w:r w:rsidRPr="00CB1364">
        <w:rPr>
          <w:rFonts w:ascii="Arial" w:hAnsi="Arial" w:cs="Arial"/>
          <w:sz w:val="18"/>
          <w:szCs w:val="18"/>
          <w:highlight w:val="yellow"/>
          <w:u w:val="double"/>
          <w:lang w:val="en-IE"/>
        </w:rPr>
        <w:t xml:space="preserve">tissues for detection of SVC </w:t>
      </w:r>
      <w:r w:rsidRPr="00695BD1">
        <w:rPr>
          <w:rFonts w:ascii="Arial" w:hAnsi="Arial" w:cs="Arial"/>
          <w:strike/>
          <w:sz w:val="18"/>
          <w:szCs w:val="18"/>
          <w:highlight w:val="yellow"/>
          <w:lang w:val="en-IE"/>
        </w:rPr>
        <w:t>samples</w:t>
      </w:r>
      <w:r w:rsidRPr="00CB1364">
        <w:rPr>
          <w:rFonts w:ascii="Arial" w:hAnsi="Arial" w:cs="Arial"/>
          <w:sz w:val="18"/>
          <w:szCs w:val="18"/>
          <w:u w:val="double"/>
          <w:lang w:val="en-IE"/>
        </w:rPr>
        <w:t xml:space="preserve"> </w:t>
      </w:r>
      <w:r w:rsidRPr="00D403F5">
        <w:rPr>
          <w:rFonts w:ascii="Arial" w:hAnsi="Arial" w:cs="Arial"/>
          <w:sz w:val="18"/>
          <w:szCs w:val="18"/>
          <w:u w:val="double"/>
          <w:lang w:val="en-IE"/>
        </w:rPr>
        <w:t>has not been substantiated (Bekesi &amp; Csontos, 1985)</w:t>
      </w:r>
      <w:r w:rsidRPr="00D403F5">
        <w:rPr>
          <w:rFonts w:ascii="Arial" w:hAnsi="Arial" w:cs="Arial"/>
          <w:sz w:val="18"/>
          <w:szCs w:val="18"/>
          <w:lang w:val="en-IE"/>
        </w:rPr>
        <w:t>.</w:t>
      </w:r>
    </w:p>
    <w:p w14:paraId="19A0FF77" w14:textId="77777777" w:rsidR="00E65E42" w:rsidRPr="00A175F0" w:rsidRDefault="00E65E42" w:rsidP="00223026">
      <w:pPr>
        <w:pStyle w:val="11"/>
        <w:spacing w:after="120"/>
        <w:rPr>
          <w:rFonts w:ascii="Ottawa" w:hAnsi="Ottawa" w:cs="Arial"/>
          <w:sz w:val="21"/>
          <w:szCs w:val="21"/>
          <w:lang w:bidi="en-US"/>
        </w:rPr>
      </w:pPr>
      <w:r w:rsidRPr="00A175F0">
        <w:rPr>
          <w:rFonts w:ascii="Ottawa" w:hAnsi="Ottawa" w:cs="Arial"/>
          <w:sz w:val="21"/>
          <w:szCs w:val="21"/>
          <w:lang w:bidi="en-US"/>
        </w:rPr>
        <w:t>3.4.</w:t>
      </w:r>
      <w:r w:rsidRPr="00A175F0">
        <w:rPr>
          <w:rFonts w:ascii="Ottawa" w:hAnsi="Ottawa" w:cs="Arial"/>
          <w:sz w:val="21"/>
          <w:szCs w:val="21"/>
          <w:lang w:bidi="en-US"/>
        </w:rPr>
        <w:tab/>
        <w:t>Non-lethal sampling</w:t>
      </w:r>
    </w:p>
    <w:p w14:paraId="507527E2" w14:textId="77777777" w:rsidR="00E65E42" w:rsidRPr="00DA079A" w:rsidRDefault="00E65E42" w:rsidP="00223026">
      <w:pPr>
        <w:spacing w:after="200" w:line="240" w:lineRule="auto"/>
        <w:ind w:left="709"/>
        <w:jc w:val="both"/>
        <w:rPr>
          <w:rFonts w:ascii="Arial" w:hAnsi="Arial" w:cs="Arial"/>
          <w:sz w:val="18"/>
          <w:szCs w:val="18"/>
          <w:lang w:val="en-IE" w:eastAsia="fr-FR"/>
        </w:rPr>
      </w:pPr>
      <w:r w:rsidRPr="00D403F5">
        <w:rPr>
          <w:rFonts w:ascii="Arial" w:hAnsi="Arial" w:cs="Arial"/>
          <w:sz w:val="18"/>
          <w:szCs w:val="18"/>
          <w:lang w:val="en-IE" w:eastAsia="fr-FR"/>
        </w:rPr>
        <w:t>Serological assays for antibodies can be undertaken on blood samples</w:t>
      </w:r>
      <w:r w:rsidRPr="00DA079A">
        <w:rPr>
          <w:rFonts w:ascii="Arial" w:hAnsi="Arial" w:cs="Arial"/>
          <w:strike/>
          <w:sz w:val="18"/>
          <w:szCs w:val="18"/>
          <w:highlight w:val="yellow"/>
          <w:lang w:val="en-IE" w:eastAsia="fr-FR"/>
        </w:rPr>
        <w:t>;</w:t>
      </w:r>
      <w:r w:rsidRPr="00DA079A">
        <w:rPr>
          <w:rFonts w:ascii="Arial" w:hAnsi="Arial" w:cs="Arial"/>
          <w:strike/>
          <w:sz w:val="18"/>
          <w:szCs w:val="18"/>
          <w:lang w:val="en-IE" w:eastAsia="fr-FR"/>
        </w:rPr>
        <w:t xml:space="preserve"> </w:t>
      </w:r>
      <w:r w:rsidRPr="00D403F5">
        <w:rPr>
          <w:rFonts w:ascii="Arial" w:hAnsi="Arial" w:cs="Arial"/>
          <w:strike/>
          <w:sz w:val="18"/>
          <w:szCs w:val="18"/>
          <w:lang w:val="en-IE" w:eastAsia="fr-FR"/>
        </w:rPr>
        <w:t>the</w:t>
      </w:r>
      <w:r w:rsidRPr="00DA079A">
        <w:rPr>
          <w:rFonts w:ascii="Arial" w:hAnsi="Arial" w:cs="Arial"/>
          <w:sz w:val="18"/>
          <w:szCs w:val="18"/>
          <w:lang w:val="en-IE" w:eastAsia="fr-FR"/>
        </w:rPr>
        <w:t xml:space="preserve"> </w:t>
      </w:r>
      <w:r w:rsidRPr="00695BD1">
        <w:rPr>
          <w:rFonts w:ascii="Arial" w:hAnsi="Arial" w:cs="Arial"/>
          <w:sz w:val="18"/>
          <w:szCs w:val="18"/>
          <w:highlight w:val="yellow"/>
          <w:u w:val="double"/>
          <w:lang w:val="en-IE" w:eastAsia="fr-FR"/>
        </w:rPr>
        <w:t>and can indicate possible exposure to SVCV</w:t>
      </w:r>
      <w:r>
        <w:rPr>
          <w:rFonts w:ascii="Arial" w:hAnsi="Arial" w:cs="Arial"/>
          <w:sz w:val="18"/>
          <w:szCs w:val="18"/>
          <w:u w:val="double"/>
          <w:lang w:val="en-IE" w:eastAsia="fr-FR"/>
        </w:rPr>
        <w:t>,</w:t>
      </w:r>
      <w:r w:rsidRPr="00695BD1">
        <w:rPr>
          <w:rFonts w:ascii="Arial" w:hAnsi="Arial" w:cs="Arial"/>
          <w:sz w:val="18"/>
          <w:szCs w:val="18"/>
          <w:u w:val="double"/>
          <w:lang w:val="en-IE" w:eastAsia="fr-FR"/>
        </w:rPr>
        <w:t xml:space="preserve"> </w:t>
      </w:r>
      <w:r w:rsidRPr="00D403F5">
        <w:rPr>
          <w:rFonts w:ascii="Arial" w:hAnsi="Arial" w:cs="Arial"/>
          <w:sz w:val="18"/>
          <w:szCs w:val="18"/>
          <w:u w:val="double"/>
          <w:lang w:val="en-IE" w:eastAsia="fr-FR"/>
        </w:rPr>
        <w:t xml:space="preserve">however, serology </w:t>
      </w:r>
      <w:r>
        <w:rPr>
          <w:rFonts w:ascii="Arial" w:hAnsi="Arial" w:cs="Arial"/>
          <w:sz w:val="18"/>
          <w:szCs w:val="18"/>
          <w:u w:val="double"/>
          <w:lang w:val="en-IE" w:eastAsia="fr-FR"/>
        </w:rPr>
        <w:t>is not a suitable test for making a suspect diagnosis.</w:t>
      </w:r>
      <w:r w:rsidRPr="009D394E">
        <w:rPr>
          <w:rFonts w:ascii="Arial" w:hAnsi="Arial" w:cs="Arial"/>
          <w:sz w:val="18"/>
          <w:szCs w:val="18"/>
          <w:lang w:val="en-IE" w:eastAsia="fr-FR"/>
        </w:rPr>
        <w:t xml:space="preserve"> </w:t>
      </w:r>
      <w:r w:rsidRPr="00B97799">
        <w:rPr>
          <w:rFonts w:ascii="Arial" w:hAnsi="Arial" w:cs="Arial"/>
          <w:strike/>
          <w:sz w:val="18"/>
          <w:szCs w:val="18"/>
          <w:highlight w:val="yellow"/>
          <w:lang w:val="en-IE" w:eastAsia="fr-FR"/>
        </w:rPr>
        <w:t>can only be used for a presumptive diagnosis given</w:t>
      </w:r>
      <w:r w:rsidRPr="00695BD1">
        <w:rPr>
          <w:rFonts w:ascii="Arial" w:hAnsi="Arial" w:cs="Arial"/>
          <w:strike/>
          <w:sz w:val="18"/>
          <w:szCs w:val="18"/>
          <w:highlight w:val="yellow"/>
          <w:lang w:val="en-IE" w:eastAsia="fr-FR"/>
        </w:rPr>
        <w:t xml:space="preserve"> cross reactivity of anti-SVCV antibodies with viruses of the species pike fry sprivivirus allows for a presumptive indication of infection with SVCV.</w:t>
      </w:r>
    </w:p>
    <w:p w14:paraId="2A44219B" w14:textId="77777777" w:rsidR="00223026" w:rsidRDefault="00223026">
      <w:pPr>
        <w:rPr>
          <w:u w:val="single"/>
        </w:rPr>
      </w:pPr>
      <w:r>
        <w:rPr>
          <w:u w:val="single"/>
        </w:rPr>
        <w:br w:type="page"/>
      </w:r>
    </w:p>
    <w:p w14:paraId="1B91C529" w14:textId="453C02CC" w:rsidR="00DB0A8D" w:rsidRDefault="00DB0A8D" w:rsidP="00DB0A8D">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3987F706" w14:textId="77777777" w:rsidR="00E65E42" w:rsidRPr="00A175F0" w:rsidRDefault="00E65E42" w:rsidP="00457C4E">
      <w:pPr>
        <w:pStyle w:val="11"/>
        <w:spacing w:after="120"/>
        <w:rPr>
          <w:rFonts w:ascii="Ottawa" w:hAnsi="Ottawa" w:cs="Arial"/>
          <w:sz w:val="21"/>
          <w:szCs w:val="21"/>
          <w:lang w:bidi="en-US"/>
        </w:rPr>
      </w:pPr>
      <w:r w:rsidRPr="00A175F0">
        <w:rPr>
          <w:rFonts w:ascii="Ottawa" w:hAnsi="Ottawa" w:cs="Arial"/>
          <w:sz w:val="21"/>
          <w:szCs w:val="21"/>
          <w:lang w:bidi="en-US"/>
        </w:rPr>
        <w:t>3.5.</w:t>
      </w:r>
      <w:r w:rsidRPr="00A175F0">
        <w:rPr>
          <w:rFonts w:ascii="Ottawa" w:hAnsi="Ottawa" w:cs="Arial"/>
          <w:sz w:val="21"/>
          <w:szCs w:val="21"/>
          <w:lang w:bidi="en-US"/>
        </w:rPr>
        <w:tab/>
        <w:t>Preservation of samples for submission</w:t>
      </w:r>
    </w:p>
    <w:p w14:paraId="301C6691" w14:textId="77777777" w:rsidR="00E65E42" w:rsidRPr="00BD2E1E" w:rsidRDefault="00E65E42" w:rsidP="00457C4E">
      <w:pPr>
        <w:spacing w:after="200" w:line="240" w:lineRule="auto"/>
        <w:ind w:left="709"/>
        <w:jc w:val="both"/>
        <w:rPr>
          <w:rFonts w:ascii="Arial" w:hAnsi="Arial" w:cs="Arial"/>
          <w:sz w:val="18"/>
          <w:szCs w:val="18"/>
          <w:lang w:val="en-IE"/>
        </w:rPr>
      </w:pPr>
      <w:r w:rsidRPr="00BD2E1E">
        <w:rPr>
          <w:rFonts w:ascii="Arial" w:hAnsi="Arial" w:cs="Arial"/>
          <w:sz w:val="18"/>
          <w:szCs w:val="18"/>
          <w:lang w:val="en-IE"/>
        </w:rPr>
        <w:t xml:space="preserve">For guidance on sample preservation methods for the intended test methods, see Chapter </w:t>
      </w:r>
      <w:r w:rsidRPr="00BD2E1E">
        <w:rPr>
          <w:rFonts w:ascii="Arial" w:hAnsi="Arial" w:cs="Arial"/>
          <w:strike/>
          <w:sz w:val="18"/>
          <w:szCs w:val="18"/>
          <w:lang w:val="en-IE"/>
        </w:rPr>
        <w:t xml:space="preserve">2.2.0 or </w:t>
      </w:r>
      <w:r w:rsidRPr="00BD2E1E">
        <w:rPr>
          <w:rFonts w:ascii="Arial" w:hAnsi="Arial" w:cs="Arial"/>
          <w:sz w:val="18"/>
          <w:szCs w:val="18"/>
          <w:lang w:val="en-IE"/>
        </w:rPr>
        <w:t>2.3.0</w:t>
      </w:r>
      <w:r w:rsidRPr="00BD2E1E">
        <w:rPr>
          <w:rFonts w:ascii="Arial" w:hAnsi="Arial" w:cs="Arial"/>
          <w:strike/>
          <w:sz w:val="18"/>
          <w:szCs w:val="18"/>
          <w:lang w:val="en-IE"/>
        </w:rPr>
        <w:t xml:space="preserve"> or 2.4.0</w:t>
      </w:r>
      <w:r w:rsidRPr="00BD2E1E">
        <w:rPr>
          <w:rFonts w:ascii="Arial" w:hAnsi="Arial" w:cs="Arial"/>
          <w:sz w:val="18"/>
          <w:szCs w:val="18"/>
          <w:lang w:val="en-IE"/>
        </w:rPr>
        <w:t>.</w:t>
      </w:r>
    </w:p>
    <w:p w14:paraId="4C9783CB" w14:textId="77777777" w:rsidR="00E65E42" w:rsidRPr="000151EA" w:rsidRDefault="00E65E42" w:rsidP="00457C4E">
      <w:pPr>
        <w:pStyle w:val="111"/>
        <w:spacing w:after="200"/>
        <w:ind w:left="1276"/>
        <w:rPr>
          <w:rFonts w:cs="Arial"/>
          <w:szCs w:val="20"/>
          <w:lang w:bidi="en-US"/>
        </w:rPr>
      </w:pPr>
      <w:r w:rsidRPr="000151EA">
        <w:rPr>
          <w:rFonts w:cs="Arial"/>
          <w:szCs w:val="20"/>
          <w:lang w:bidi="en-US"/>
        </w:rPr>
        <w:t>3.5.1.</w:t>
      </w:r>
      <w:r w:rsidRPr="000151EA">
        <w:rPr>
          <w:rFonts w:cs="Arial"/>
          <w:szCs w:val="20"/>
          <w:lang w:bidi="en-US"/>
        </w:rPr>
        <w:tab/>
        <w:t xml:space="preserve">Samples for pathogen isolation </w:t>
      </w:r>
    </w:p>
    <w:p w14:paraId="6BA7E8A5" w14:textId="77777777" w:rsidR="00E65E42" w:rsidRPr="00BD2E1E" w:rsidRDefault="00E65E42" w:rsidP="00457C4E">
      <w:pPr>
        <w:spacing w:after="200" w:line="240" w:lineRule="auto"/>
        <w:ind w:left="709"/>
        <w:jc w:val="both"/>
        <w:outlineLvl w:val="2"/>
        <w:rPr>
          <w:rFonts w:ascii="Arial" w:hAnsi="Arial" w:cs="Arial"/>
          <w:sz w:val="18"/>
          <w:szCs w:val="18"/>
        </w:rPr>
      </w:pPr>
      <w:bookmarkStart w:id="114" w:name="_Toc38028658"/>
      <w:r w:rsidRPr="00BD2E1E">
        <w:rPr>
          <w:rFonts w:ascii="Arial" w:hAnsi="Arial" w:cs="Arial"/>
          <w:sz w:val="18"/>
          <w:szCs w:val="18"/>
        </w:rPr>
        <w:t>Samples for virus isolation (Section 3.2.) should be transported to the laboratory at 4°C using refrigerated containers or on ice, preferably in virus transport medium and tested within 24 hours or, in exceptional circumstances, 48 hours. The shipment of organ samples is preferred, but live or whole dead fish can be submitted to the testing laboratory if necessary. If this is not possible, samples can be frozen, but there may be loss of virus viability on thawing the samples. Repeated freeze–thawing of the sample must be avoided.</w:t>
      </w:r>
      <w:bookmarkEnd w:id="114"/>
      <w:r w:rsidRPr="00BD2E1E">
        <w:rPr>
          <w:rFonts w:ascii="Arial" w:hAnsi="Arial" w:cs="Arial"/>
          <w:sz w:val="18"/>
          <w:szCs w:val="18"/>
        </w:rPr>
        <w:t xml:space="preserve"> </w:t>
      </w:r>
    </w:p>
    <w:p w14:paraId="23950358" w14:textId="77777777" w:rsidR="00E65E42" w:rsidRPr="000151EA" w:rsidRDefault="00E65E42" w:rsidP="00457C4E">
      <w:pPr>
        <w:pStyle w:val="111"/>
        <w:spacing w:after="200"/>
        <w:ind w:left="1276"/>
        <w:rPr>
          <w:rFonts w:cs="Arial"/>
          <w:szCs w:val="20"/>
          <w:lang w:bidi="en-US"/>
        </w:rPr>
      </w:pPr>
      <w:r w:rsidRPr="000151EA">
        <w:rPr>
          <w:rFonts w:cs="Arial"/>
          <w:szCs w:val="20"/>
          <w:lang w:bidi="en-US"/>
        </w:rPr>
        <w:t>3.5.2.</w:t>
      </w:r>
      <w:r w:rsidRPr="000151EA">
        <w:rPr>
          <w:rFonts w:cs="Arial"/>
          <w:szCs w:val="20"/>
          <w:lang w:bidi="en-US"/>
        </w:rPr>
        <w:tab/>
      </w:r>
      <w:r w:rsidRPr="00457C4E">
        <w:rPr>
          <w:rFonts w:cs="Arial"/>
          <w:szCs w:val="20"/>
          <w:u w:val="double"/>
          <w:lang w:bidi="en-US"/>
        </w:rPr>
        <w:t>Preservation</w:t>
      </w:r>
      <w:r w:rsidRPr="000151EA">
        <w:rPr>
          <w:rFonts w:cs="Arial"/>
          <w:szCs w:val="20"/>
          <w:u w:val="double"/>
          <w:lang w:val="en-IE"/>
        </w:rPr>
        <w:t xml:space="preserve"> of</w:t>
      </w:r>
      <w:r w:rsidRPr="000151EA">
        <w:rPr>
          <w:rFonts w:cs="Arial"/>
          <w:szCs w:val="20"/>
          <w:lang w:val="en-IE"/>
        </w:rPr>
        <w:t xml:space="preserve"> </w:t>
      </w:r>
      <w:r w:rsidRPr="000151EA">
        <w:rPr>
          <w:rFonts w:cs="Arial"/>
          <w:strike/>
          <w:szCs w:val="20"/>
          <w:lang w:bidi="en-US"/>
        </w:rPr>
        <w:t>Fixed</w:t>
      </w:r>
      <w:r w:rsidRPr="000151EA">
        <w:rPr>
          <w:rFonts w:cs="Arial"/>
          <w:szCs w:val="20"/>
          <w:lang w:bidi="en-US"/>
        </w:rPr>
        <w:t xml:space="preserve"> samples for molecular detection</w:t>
      </w:r>
    </w:p>
    <w:p w14:paraId="26AE151F" w14:textId="77777777" w:rsidR="00E65E42" w:rsidRPr="00BD2E1E" w:rsidRDefault="00E65E42" w:rsidP="00457C4E">
      <w:pPr>
        <w:spacing w:after="200" w:line="240" w:lineRule="auto"/>
        <w:ind w:left="709"/>
        <w:jc w:val="both"/>
        <w:rPr>
          <w:rFonts w:ascii="Arial" w:hAnsi="Arial" w:cs="Arial"/>
          <w:bCs/>
          <w:strike/>
          <w:sz w:val="18"/>
          <w:szCs w:val="18"/>
          <w:lang w:val="en-IE" w:eastAsia="fr-FR"/>
        </w:rPr>
      </w:pPr>
      <w:r w:rsidRPr="00BD2E1E">
        <w:rPr>
          <w:rFonts w:ascii="Arial" w:hAnsi="Arial" w:cs="Arial"/>
          <w:bCs/>
          <w:strike/>
          <w:sz w:val="18"/>
          <w:szCs w:val="18"/>
          <w:lang w:val="en-IE" w:eastAsia="fr-FR"/>
        </w:rPr>
        <w:t xml:space="preserve">Tissue samples for PCR testing should be preserved in 70–90% (v/v) analytical/reagent-grade (absolute) ethanol. The recommended ratio of ethanol to tissue is 10:1 based on studies in terrestrial animal and human health. The use of lower grade (laboratory or industrial grade) ethanol is not recommended. </w:t>
      </w:r>
      <w:r w:rsidRPr="00BD2E1E">
        <w:rPr>
          <w:rFonts w:ascii="Arial" w:hAnsi="Arial" w:cs="Arial"/>
          <w:bCs/>
          <w:strike/>
          <w:sz w:val="18"/>
          <w:szCs w:val="18"/>
          <w:lang w:val="en-IE"/>
        </w:rPr>
        <w:t>[</w:t>
      </w:r>
      <w:r w:rsidRPr="00BD2E1E">
        <w:rPr>
          <w:rFonts w:ascii="Arial" w:hAnsi="Arial" w:cs="Arial"/>
          <w:bCs/>
          <w:strike/>
          <w:sz w:val="18"/>
          <w:szCs w:val="18"/>
          <w:lang w:val="en-IE" w:eastAsia="fr-FR"/>
        </w:rPr>
        <w:t>Alternatives to ethanol can be mentioned if they can be referenced.</w:t>
      </w:r>
      <w:r w:rsidRPr="00BD2E1E">
        <w:rPr>
          <w:rFonts w:ascii="Arial" w:hAnsi="Arial" w:cs="Arial"/>
          <w:bCs/>
          <w:strike/>
          <w:sz w:val="18"/>
          <w:szCs w:val="18"/>
          <w:lang w:val="en-IE"/>
        </w:rPr>
        <w:t>]</w:t>
      </w:r>
    </w:p>
    <w:p w14:paraId="7F6D0B0B" w14:textId="77777777" w:rsidR="00E65E42" w:rsidRPr="00BD2E1E" w:rsidRDefault="00E65E42" w:rsidP="00457C4E">
      <w:pPr>
        <w:spacing w:after="200" w:line="240" w:lineRule="auto"/>
        <w:ind w:left="709"/>
        <w:jc w:val="both"/>
        <w:rPr>
          <w:rFonts w:ascii="Arial" w:hAnsi="Arial" w:cs="Arial"/>
          <w:bCs/>
          <w:sz w:val="18"/>
          <w:szCs w:val="18"/>
          <w:lang w:val="en-IE" w:eastAsia="fr-FR"/>
        </w:rPr>
      </w:pPr>
      <w:r w:rsidRPr="00BD2E1E">
        <w:rPr>
          <w:rFonts w:ascii="Arial" w:hAnsi="Arial" w:cs="Arial"/>
          <w:bCs/>
          <w:sz w:val="18"/>
          <w:szCs w:val="18"/>
          <w:lang w:eastAsia="fr-FR"/>
        </w:rPr>
        <w:t xml:space="preserve">The material collected for virus culture is generally used for the molecular diagnostic assays, but additional tissue samples for RT-PCR can be preserved in commercially available RNA preservation solutions according to the manufacturers’ recommendations, or, alternatively, samples can be preserved in </w:t>
      </w:r>
      <w:r w:rsidRPr="00BD2E1E">
        <w:rPr>
          <w:rFonts w:ascii="Arial" w:hAnsi="Arial" w:cs="Arial"/>
          <w:bCs/>
          <w:sz w:val="18"/>
          <w:szCs w:val="18"/>
          <w:lang w:val="en-IE" w:eastAsia="fr-FR"/>
        </w:rPr>
        <w:t>80–90% (v/v) analytical grade (absolute) ethanol at the recommended ratio of ethanol to tissue of 10:1.</w:t>
      </w:r>
    </w:p>
    <w:p w14:paraId="154D9B76" w14:textId="77777777" w:rsidR="00E65E42" w:rsidRPr="000151EA" w:rsidRDefault="00E65E42" w:rsidP="00457C4E">
      <w:pPr>
        <w:pStyle w:val="111"/>
        <w:spacing w:after="200"/>
        <w:ind w:left="1276"/>
        <w:rPr>
          <w:rFonts w:cs="Arial"/>
          <w:szCs w:val="20"/>
          <w:lang w:bidi="en-US"/>
        </w:rPr>
      </w:pPr>
      <w:r w:rsidRPr="000151EA">
        <w:rPr>
          <w:rFonts w:cs="Arial"/>
          <w:szCs w:val="20"/>
          <w:lang w:bidi="en-US"/>
        </w:rPr>
        <w:t>3.5.3.</w:t>
      </w:r>
      <w:r w:rsidRPr="000151EA">
        <w:rPr>
          <w:rFonts w:cs="Arial"/>
          <w:szCs w:val="20"/>
          <w:lang w:bidi="en-US"/>
        </w:rPr>
        <w:tab/>
        <w:t xml:space="preserve">Fixed samples for histopathology, immunohistochemistry or </w:t>
      </w:r>
      <w:r w:rsidRPr="000151EA">
        <w:rPr>
          <w:rFonts w:cs="Arial"/>
          <w:i/>
          <w:szCs w:val="20"/>
          <w:lang w:bidi="en-US"/>
        </w:rPr>
        <w:t>in-situ</w:t>
      </w:r>
      <w:r w:rsidRPr="000151EA">
        <w:rPr>
          <w:rFonts w:cs="Arial"/>
          <w:szCs w:val="20"/>
          <w:lang w:bidi="en-US"/>
        </w:rPr>
        <w:t xml:space="preserve"> hybridisation</w:t>
      </w:r>
    </w:p>
    <w:p w14:paraId="5D51B816" w14:textId="77777777" w:rsidR="00E65E42" w:rsidRPr="00BD2E1E" w:rsidRDefault="00E65E42" w:rsidP="00457C4E">
      <w:pPr>
        <w:spacing w:before="120" w:after="200" w:line="240" w:lineRule="auto"/>
        <w:ind w:left="709"/>
        <w:jc w:val="both"/>
        <w:rPr>
          <w:rFonts w:ascii="Arial" w:hAnsi="Arial" w:cs="Arial"/>
          <w:bCs/>
          <w:sz w:val="18"/>
          <w:szCs w:val="18"/>
          <w:lang w:eastAsia="fr-FR"/>
        </w:rPr>
      </w:pPr>
      <w:r w:rsidRPr="00BD2E1E">
        <w:rPr>
          <w:rFonts w:ascii="Arial" w:hAnsi="Arial" w:cs="Arial"/>
          <w:bCs/>
          <w:sz w:val="18"/>
          <w:szCs w:val="18"/>
          <w:lang w:eastAsia="fr-FR"/>
        </w:rPr>
        <w:t xml:space="preserve">Histology samples from each individual fish must be </w:t>
      </w:r>
      <w:r w:rsidRPr="00C60BB5">
        <w:rPr>
          <w:rFonts w:ascii="Arial" w:hAnsi="Arial" w:cs="Arial"/>
          <w:bCs/>
          <w:strike/>
          <w:sz w:val="18"/>
          <w:szCs w:val="18"/>
          <w:highlight w:val="yellow"/>
          <w:lang w:eastAsia="fr-FR"/>
        </w:rPr>
        <w:t xml:space="preserve">taken </w:t>
      </w:r>
      <w:r w:rsidRPr="00C60BB5">
        <w:rPr>
          <w:rFonts w:ascii="Arial" w:hAnsi="Arial" w:cs="Arial"/>
          <w:bCs/>
          <w:sz w:val="18"/>
          <w:szCs w:val="18"/>
          <w:highlight w:val="yellow"/>
          <w:u w:val="double"/>
          <w:lang w:eastAsia="fr-FR"/>
        </w:rPr>
        <w:t>placed</w:t>
      </w:r>
      <w:r>
        <w:rPr>
          <w:rFonts w:ascii="Arial" w:hAnsi="Arial" w:cs="Arial"/>
          <w:bCs/>
          <w:sz w:val="18"/>
          <w:szCs w:val="18"/>
          <w:lang w:eastAsia="fr-FR"/>
        </w:rPr>
        <w:t xml:space="preserve"> </w:t>
      </w:r>
      <w:r w:rsidRPr="00BD2E1E">
        <w:rPr>
          <w:rFonts w:ascii="Arial" w:hAnsi="Arial" w:cs="Arial"/>
          <w:bCs/>
          <w:sz w:val="18"/>
          <w:szCs w:val="18"/>
          <w:lang w:eastAsia="fr-FR"/>
        </w:rPr>
        <w:t xml:space="preserve">into 10% neutral buffered formalin </w:t>
      </w:r>
      <w:r w:rsidRPr="00BD2E1E">
        <w:rPr>
          <w:rFonts w:ascii="Arial" w:hAnsi="Arial" w:cs="Arial"/>
          <w:bCs/>
          <w:strike/>
          <w:sz w:val="18"/>
          <w:szCs w:val="18"/>
          <w:lang w:eastAsia="fr-FR"/>
        </w:rPr>
        <w:t>(NBF)</w:t>
      </w:r>
      <w:r w:rsidRPr="00BD2E1E">
        <w:rPr>
          <w:rFonts w:ascii="Arial" w:hAnsi="Arial" w:cs="Arial"/>
          <w:bCs/>
          <w:sz w:val="18"/>
          <w:szCs w:val="18"/>
          <w:lang w:eastAsia="fr-FR"/>
        </w:rPr>
        <w:t xml:space="preserve"> immediately after collection to prevent sample deterioration. </w:t>
      </w:r>
      <w:r w:rsidRPr="00BD2E1E">
        <w:rPr>
          <w:rFonts w:ascii="Arial" w:hAnsi="Arial" w:cs="Arial"/>
          <w:bCs/>
          <w:sz w:val="18"/>
          <w:szCs w:val="18"/>
          <w:lang w:val="en-IE" w:eastAsia="fr-FR"/>
        </w:rPr>
        <w:t xml:space="preserve">The recommended ratio of fixative to tissue is 10:1 and </w:t>
      </w:r>
      <w:r w:rsidRPr="00BD2E1E">
        <w:rPr>
          <w:rFonts w:ascii="Arial" w:hAnsi="Arial" w:cs="Arial"/>
          <w:bCs/>
          <w:sz w:val="18"/>
          <w:szCs w:val="18"/>
          <w:lang w:eastAsia="fr-FR"/>
        </w:rPr>
        <w:t>each sample should be</w:t>
      </w:r>
      <w:r w:rsidRPr="00C60BB5">
        <w:rPr>
          <w:rFonts w:ascii="Arial" w:hAnsi="Arial" w:cs="Arial"/>
          <w:bCs/>
          <w:sz w:val="18"/>
          <w:szCs w:val="18"/>
          <w:lang w:eastAsia="fr-FR"/>
        </w:rPr>
        <w:t xml:space="preserve"> </w:t>
      </w:r>
      <w:r w:rsidRPr="00C60BB5">
        <w:rPr>
          <w:rFonts w:ascii="Arial" w:hAnsi="Arial" w:cs="Arial"/>
          <w:bCs/>
          <w:sz w:val="18"/>
          <w:szCs w:val="18"/>
          <w:highlight w:val="yellow"/>
          <w:u w:val="double"/>
          <w:lang w:eastAsia="fr-FR"/>
        </w:rPr>
        <w:t>cut cleanly and be</w:t>
      </w:r>
      <w:r w:rsidRPr="00BD2E1E">
        <w:rPr>
          <w:rFonts w:ascii="Arial" w:hAnsi="Arial" w:cs="Arial"/>
          <w:bCs/>
          <w:sz w:val="18"/>
          <w:szCs w:val="18"/>
          <w:lang w:eastAsia="fr-FR"/>
        </w:rPr>
        <w:t xml:space="preserve"> no thicker than approximately 4 mm to allow the fixative to penetrate the material</w:t>
      </w:r>
      <w:r w:rsidRPr="00C60BB5">
        <w:rPr>
          <w:rFonts w:ascii="Arial" w:hAnsi="Arial" w:cs="Arial"/>
          <w:bCs/>
          <w:strike/>
          <w:sz w:val="18"/>
          <w:szCs w:val="18"/>
          <w:lang w:eastAsia="fr-FR"/>
        </w:rPr>
        <w:t xml:space="preserve"> </w:t>
      </w:r>
      <w:r w:rsidRPr="00C60BB5">
        <w:rPr>
          <w:rFonts w:ascii="Arial" w:hAnsi="Arial" w:cs="Arial"/>
          <w:bCs/>
          <w:strike/>
          <w:sz w:val="18"/>
          <w:szCs w:val="18"/>
          <w:highlight w:val="yellow"/>
          <w:lang w:eastAsia="fr-FR"/>
        </w:rPr>
        <w:t>and should be cut cleanly</w:t>
      </w:r>
      <w:r w:rsidRPr="00BD2E1E">
        <w:rPr>
          <w:rFonts w:ascii="Arial" w:hAnsi="Arial" w:cs="Arial"/>
          <w:bCs/>
          <w:sz w:val="18"/>
          <w:szCs w:val="18"/>
          <w:lang w:eastAsia="fr-FR"/>
        </w:rPr>
        <w:t>.</w:t>
      </w:r>
    </w:p>
    <w:p w14:paraId="23100301" w14:textId="77777777" w:rsidR="00E65E42" w:rsidRPr="000151EA" w:rsidRDefault="00E65E42" w:rsidP="00457C4E">
      <w:pPr>
        <w:pStyle w:val="111"/>
        <w:spacing w:after="200"/>
        <w:ind w:left="1276"/>
        <w:rPr>
          <w:rFonts w:cs="Arial"/>
          <w:szCs w:val="20"/>
          <w:lang w:bidi="en-US"/>
        </w:rPr>
      </w:pPr>
      <w:r w:rsidRPr="000151EA">
        <w:rPr>
          <w:rFonts w:cs="Arial"/>
          <w:szCs w:val="20"/>
          <w:lang w:bidi="en-US"/>
        </w:rPr>
        <w:t>3.5.4.</w:t>
      </w:r>
      <w:r w:rsidRPr="000151EA">
        <w:rPr>
          <w:rFonts w:cs="Arial"/>
          <w:szCs w:val="20"/>
          <w:lang w:bidi="en-US"/>
        </w:rPr>
        <w:tab/>
        <w:t>Fixed samples for electron microscopy</w:t>
      </w:r>
    </w:p>
    <w:p w14:paraId="384FFD21" w14:textId="77777777" w:rsidR="00E65E42" w:rsidRPr="00BD2E1E" w:rsidRDefault="00E65E42" w:rsidP="00457C4E">
      <w:pPr>
        <w:spacing w:after="200" w:line="240" w:lineRule="auto"/>
        <w:ind w:left="709"/>
        <w:jc w:val="both"/>
        <w:rPr>
          <w:rFonts w:ascii="Arial" w:hAnsi="Arial" w:cs="Arial"/>
          <w:bCs/>
          <w:sz w:val="18"/>
          <w:szCs w:val="18"/>
          <w:lang w:eastAsia="fr-FR"/>
        </w:rPr>
      </w:pPr>
      <w:r w:rsidRPr="00BD2E1E">
        <w:rPr>
          <w:rFonts w:ascii="Arial" w:hAnsi="Arial" w:cs="Arial"/>
          <w:bCs/>
          <w:strike/>
          <w:sz w:val="18"/>
          <w:szCs w:val="18"/>
          <w:lang w:eastAsia="fr-FR"/>
        </w:rPr>
        <w:t xml:space="preserve">EM sampling is </w:t>
      </w:r>
      <w:r w:rsidRPr="00BD2E1E">
        <w:rPr>
          <w:rFonts w:ascii="Arial" w:hAnsi="Arial" w:cs="Arial"/>
          <w:bCs/>
          <w:sz w:val="18"/>
          <w:szCs w:val="18"/>
          <w:u w:val="double"/>
          <w:lang w:eastAsia="fr-FR"/>
        </w:rPr>
        <w:t>Samples for electron microscopy are</w:t>
      </w:r>
      <w:r w:rsidRPr="00BD2E1E">
        <w:rPr>
          <w:rFonts w:ascii="Arial" w:hAnsi="Arial" w:cs="Arial"/>
          <w:bCs/>
          <w:sz w:val="18"/>
          <w:szCs w:val="18"/>
          <w:lang w:eastAsia="fr-FR"/>
        </w:rPr>
        <w:t xml:space="preserve"> not </w:t>
      </w:r>
      <w:r w:rsidRPr="00BD2E1E">
        <w:rPr>
          <w:rFonts w:ascii="Arial" w:hAnsi="Arial" w:cs="Arial"/>
          <w:bCs/>
          <w:sz w:val="18"/>
          <w:szCs w:val="18"/>
          <w:u w:val="double"/>
          <w:lang w:eastAsia="fr-FR"/>
        </w:rPr>
        <w:t>routinely</w:t>
      </w:r>
      <w:r w:rsidRPr="00BD2E1E">
        <w:rPr>
          <w:rFonts w:ascii="Arial" w:hAnsi="Arial" w:cs="Arial"/>
          <w:bCs/>
          <w:sz w:val="18"/>
          <w:szCs w:val="18"/>
          <w:lang w:eastAsia="fr-FR"/>
        </w:rPr>
        <w:t xml:space="preserve"> required </w:t>
      </w:r>
      <w:r w:rsidRPr="00BD2E1E">
        <w:rPr>
          <w:rFonts w:ascii="Arial" w:hAnsi="Arial" w:cs="Arial"/>
          <w:bCs/>
          <w:strike/>
          <w:sz w:val="18"/>
          <w:szCs w:val="18"/>
          <w:lang w:eastAsia="fr-FR"/>
        </w:rPr>
        <w:t xml:space="preserve">as standard, and the material is </w:t>
      </w:r>
      <w:r w:rsidRPr="00BD2E1E">
        <w:rPr>
          <w:rFonts w:ascii="Arial" w:hAnsi="Arial" w:cs="Arial"/>
          <w:bCs/>
          <w:sz w:val="18"/>
          <w:szCs w:val="18"/>
          <w:u w:val="double"/>
          <w:lang w:eastAsia="fr-FR"/>
        </w:rPr>
        <w:t>and are</w:t>
      </w:r>
      <w:r w:rsidRPr="00BD2E1E">
        <w:rPr>
          <w:rFonts w:ascii="Arial" w:hAnsi="Arial" w:cs="Arial"/>
          <w:bCs/>
          <w:sz w:val="18"/>
          <w:szCs w:val="18"/>
          <w:lang w:eastAsia="fr-FR"/>
        </w:rPr>
        <w:t xml:space="preserve"> collected only </w:t>
      </w:r>
      <w:r w:rsidRPr="00BD2E1E">
        <w:rPr>
          <w:rFonts w:ascii="Arial" w:hAnsi="Arial" w:cs="Arial"/>
          <w:bCs/>
          <w:sz w:val="18"/>
          <w:szCs w:val="18"/>
          <w:u w:val="double"/>
          <w:lang w:eastAsia="fr-FR"/>
        </w:rPr>
        <w:t>when</w:t>
      </w:r>
      <w:r w:rsidRPr="00BD2E1E">
        <w:rPr>
          <w:rFonts w:ascii="Arial" w:hAnsi="Arial" w:cs="Arial"/>
          <w:bCs/>
          <w:sz w:val="18"/>
          <w:szCs w:val="18"/>
          <w:lang w:eastAsia="fr-FR"/>
        </w:rPr>
        <w:t xml:space="preserve"> </w:t>
      </w:r>
      <w:r w:rsidRPr="00BD2E1E">
        <w:rPr>
          <w:rFonts w:ascii="Arial" w:hAnsi="Arial" w:cs="Arial"/>
          <w:bCs/>
          <w:strike/>
          <w:sz w:val="18"/>
          <w:szCs w:val="18"/>
          <w:lang w:eastAsia="fr-FR"/>
        </w:rPr>
        <w:t xml:space="preserve">where </w:t>
      </w:r>
      <w:r w:rsidRPr="00BD2E1E">
        <w:rPr>
          <w:rFonts w:ascii="Arial" w:hAnsi="Arial" w:cs="Arial"/>
          <w:bCs/>
          <w:sz w:val="18"/>
          <w:szCs w:val="18"/>
          <w:lang w:eastAsia="fr-FR"/>
        </w:rPr>
        <w:t xml:space="preserve">it is considered beneficial to facilitate </w:t>
      </w:r>
      <w:r w:rsidRPr="00BD2E1E">
        <w:rPr>
          <w:rFonts w:ascii="Arial" w:hAnsi="Arial" w:cs="Arial"/>
          <w:bCs/>
          <w:strike/>
          <w:sz w:val="18"/>
          <w:szCs w:val="18"/>
          <w:lang w:eastAsia="fr-FR"/>
        </w:rPr>
        <w:t xml:space="preserve">potential </w:t>
      </w:r>
      <w:r w:rsidRPr="00BD2E1E">
        <w:rPr>
          <w:rFonts w:ascii="Arial" w:hAnsi="Arial" w:cs="Arial"/>
          <w:bCs/>
          <w:sz w:val="18"/>
          <w:szCs w:val="18"/>
          <w:lang w:eastAsia="fr-FR"/>
        </w:rPr>
        <w:t xml:space="preserve">further diagnostic </w:t>
      </w:r>
      <w:r w:rsidRPr="00BD2E1E">
        <w:rPr>
          <w:rFonts w:ascii="Arial" w:hAnsi="Arial" w:cs="Arial"/>
          <w:bCs/>
          <w:sz w:val="18"/>
          <w:szCs w:val="18"/>
          <w:u w:val="double"/>
          <w:lang w:eastAsia="fr-FR"/>
        </w:rPr>
        <w:t>investigation</w:t>
      </w:r>
      <w:r w:rsidRPr="00BD2E1E">
        <w:rPr>
          <w:rFonts w:ascii="Arial" w:hAnsi="Arial" w:cs="Arial"/>
          <w:bCs/>
          <w:strike/>
          <w:sz w:val="18"/>
          <w:szCs w:val="18"/>
          <w:lang w:eastAsia="fr-FR"/>
        </w:rPr>
        <w:t xml:space="preserve"> work</w:t>
      </w:r>
      <w:r w:rsidRPr="00BD2E1E">
        <w:rPr>
          <w:rFonts w:ascii="Arial" w:hAnsi="Arial" w:cs="Arial"/>
          <w:bCs/>
          <w:sz w:val="18"/>
          <w:szCs w:val="18"/>
          <w:lang w:eastAsia="fr-FR"/>
        </w:rPr>
        <w:t xml:space="preserve">. From each fish sampled, a 2 mm cubed (approximately) </w:t>
      </w:r>
      <w:r w:rsidRPr="00BD2E1E">
        <w:rPr>
          <w:rFonts w:ascii="Arial" w:hAnsi="Arial" w:cs="Arial"/>
          <w:bCs/>
          <w:sz w:val="18"/>
          <w:szCs w:val="18"/>
          <w:u w:val="double"/>
          <w:lang w:eastAsia="fr-FR"/>
        </w:rPr>
        <w:t>sample</w:t>
      </w:r>
      <w:r w:rsidRPr="00BD2E1E">
        <w:rPr>
          <w:rFonts w:ascii="Arial" w:hAnsi="Arial" w:cs="Arial"/>
          <w:bCs/>
          <w:sz w:val="18"/>
          <w:szCs w:val="18"/>
          <w:lang w:eastAsia="fr-FR"/>
        </w:rPr>
        <w:t xml:space="preserve"> </w:t>
      </w:r>
      <w:r w:rsidRPr="00BD2E1E">
        <w:rPr>
          <w:rFonts w:ascii="Arial" w:hAnsi="Arial" w:cs="Arial"/>
          <w:bCs/>
          <w:strike/>
          <w:sz w:val="18"/>
          <w:szCs w:val="18"/>
          <w:lang w:eastAsia="fr-FR"/>
        </w:rPr>
        <w:t xml:space="preserve">section </w:t>
      </w:r>
      <w:r w:rsidRPr="00BD2E1E">
        <w:rPr>
          <w:rFonts w:ascii="Arial" w:hAnsi="Arial" w:cs="Arial"/>
          <w:bCs/>
          <w:sz w:val="18"/>
          <w:szCs w:val="18"/>
          <w:lang w:eastAsia="fr-FR"/>
        </w:rPr>
        <w:t xml:space="preserve">from each of the appropriate organs described in section 3.2 should be fixed in glutaraldehyde; </w:t>
      </w:r>
      <w:r w:rsidRPr="00BD2E1E">
        <w:rPr>
          <w:rFonts w:ascii="Arial" w:hAnsi="Arial" w:cs="Arial"/>
          <w:bCs/>
          <w:sz w:val="18"/>
          <w:szCs w:val="18"/>
          <w:lang w:val="en-IE" w:eastAsia="fr-FR"/>
        </w:rPr>
        <w:t>the recommended ratio of fixative to tissue is 10:1.</w:t>
      </w:r>
    </w:p>
    <w:p w14:paraId="6FAEA491" w14:textId="77777777" w:rsidR="00E65E42" w:rsidRPr="000151EA" w:rsidRDefault="00E65E42" w:rsidP="00457C4E">
      <w:pPr>
        <w:pStyle w:val="111"/>
        <w:spacing w:after="200"/>
        <w:ind w:left="1276"/>
        <w:rPr>
          <w:rFonts w:cs="Arial"/>
          <w:szCs w:val="20"/>
          <w:lang w:bidi="en-US"/>
        </w:rPr>
      </w:pPr>
      <w:r w:rsidRPr="000151EA">
        <w:rPr>
          <w:rFonts w:cs="Arial"/>
          <w:szCs w:val="20"/>
          <w:lang w:bidi="en-US"/>
        </w:rPr>
        <w:t>3.5.5.</w:t>
      </w:r>
      <w:r w:rsidRPr="000151EA">
        <w:rPr>
          <w:rFonts w:cs="Arial"/>
          <w:szCs w:val="20"/>
          <w:lang w:bidi="en-US"/>
        </w:rPr>
        <w:tab/>
        <w:t>Samples for other tests</w:t>
      </w:r>
    </w:p>
    <w:p w14:paraId="19EC36C1" w14:textId="77777777" w:rsidR="00E65E42" w:rsidRDefault="00E65E42" w:rsidP="00457C4E">
      <w:pPr>
        <w:spacing w:after="200" w:line="240" w:lineRule="auto"/>
        <w:ind w:left="709"/>
        <w:outlineLvl w:val="2"/>
        <w:rPr>
          <w:rFonts w:ascii="Arial" w:hAnsi="Arial" w:cs="Arial"/>
          <w:bCs/>
          <w:sz w:val="18"/>
          <w:szCs w:val="18"/>
          <w:lang w:val="en" w:eastAsia="fr-FR"/>
        </w:rPr>
      </w:pPr>
      <w:bookmarkStart w:id="115" w:name="_Toc38028659"/>
      <w:r w:rsidRPr="00BD2E1E">
        <w:rPr>
          <w:rFonts w:ascii="Arial" w:hAnsi="Arial" w:cs="Arial"/>
          <w:bCs/>
          <w:sz w:val="18"/>
          <w:szCs w:val="18"/>
          <w:lang w:val="en" w:eastAsia="fr-FR"/>
        </w:rPr>
        <w:t xml:space="preserve">Tubes for the separation of serum are available commercially. After collection, the blood is allowed to clot by leaving it undisturbed at room temperature. This usually takes 15–30 minutes. Serum is clarified by centrifuging at 1000–2000 </w:t>
      </w:r>
      <w:r w:rsidRPr="00BD2E1E">
        <w:rPr>
          <w:rFonts w:ascii="Arial" w:hAnsi="Arial" w:cs="Arial"/>
          <w:b/>
          <w:bCs/>
          <w:i/>
          <w:sz w:val="18"/>
          <w:szCs w:val="18"/>
          <w:lang w:val="en" w:eastAsia="fr-FR"/>
        </w:rPr>
        <w:t>g</w:t>
      </w:r>
      <w:r w:rsidRPr="00BD2E1E">
        <w:rPr>
          <w:rFonts w:ascii="Arial" w:hAnsi="Arial" w:cs="Arial"/>
          <w:bCs/>
          <w:sz w:val="18"/>
          <w:szCs w:val="18"/>
          <w:lang w:val="en" w:eastAsia="fr-FR"/>
        </w:rPr>
        <w:t xml:space="preserve"> for 10 minutes </w:t>
      </w:r>
      <w:r w:rsidRPr="00DA079A">
        <w:rPr>
          <w:rFonts w:ascii="Arial" w:hAnsi="Arial" w:cs="Arial"/>
          <w:bCs/>
          <w:strike/>
          <w:sz w:val="18"/>
          <w:szCs w:val="18"/>
          <w:highlight w:val="yellow"/>
          <w:lang w:val="en" w:eastAsia="fr-FR"/>
        </w:rPr>
        <w:t xml:space="preserve">in a refrigerated centrifuge </w:t>
      </w:r>
      <w:r w:rsidRPr="00DA079A">
        <w:rPr>
          <w:rFonts w:ascii="Arial" w:hAnsi="Arial" w:cs="Arial"/>
          <w:bCs/>
          <w:sz w:val="18"/>
          <w:szCs w:val="18"/>
          <w:highlight w:val="yellow"/>
          <w:u w:val="double"/>
          <w:lang w:val="en" w:eastAsia="fr-FR"/>
        </w:rPr>
        <w:t>at 4</w:t>
      </w:r>
      <w:r>
        <w:rPr>
          <w:rFonts w:ascii="Arial" w:hAnsi="Arial" w:cs="Arial"/>
          <w:bCs/>
          <w:sz w:val="18"/>
          <w:szCs w:val="18"/>
          <w:highlight w:val="yellow"/>
          <w:u w:val="double"/>
          <w:lang w:val="en" w:eastAsia="fr-FR"/>
        </w:rPr>
        <w:t>–</w:t>
      </w:r>
      <w:r w:rsidRPr="00695BD1">
        <w:rPr>
          <w:rFonts w:ascii="Arial" w:hAnsi="Arial" w:cs="Arial"/>
          <w:bCs/>
          <w:sz w:val="18"/>
          <w:szCs w:val="18"/>
          <w:highlight w:val="yellow"/>
          <w:u w:val="double"/>
          <w:lang w:val="en" w:eastAsia="fr-FR"/>
        </w:rPr>
        <w:t>8°C.</w:t>
      </w:r>
      <w:bookmarkEnd w:id="115"/>
    </w:p>
    <w:p w14:paraId="15FD4922" w14:textId="77777777" w:rsidR="00E65E42" w:rsidRPr="00695BD1" w:rsidRDefault="00E65E42" w:rsidP="00457C4E">
      <w:pPr>
        <w:spacing w:after="240" w:line="240" w:lineRule="auto"/>
        <w:ind w:left="709"/>
        <w:jc w:val="both"/>
        <w:outlineLvl w:val="2"/>
        <w:rPr>
          <w:rFonts w:ascii="Arial" w:hAnsi="Arial" w:cs="Arial"/>
          <w:bCs/>
          <w:strike/>
          <w:sz w:val="18"/>
          <w:szCs w:val="18"/>
          <w:lang w:val="en" w:eastAsia="fr-FR"/>
        </w:rPr>
      </w:pPr>
      <w:bookmarkStart w:id="116" w:name="_Toc38028660"/>
      <w:r w:rsidRPr="00695BD1">
        <w:rPr>
          <w:rFonts w:ascii="Arial" w:hAnsi="Arial" w:cs="Arial"/>
          <w:bCs/>
          <w:strike/>
          <w:sz w:val="18"/>
          <w:szCs w:val="18"/>
          <w:highlight w:val="yellow"/>
          <w:lang w:val="en" w:eastAsia="fr-FR"/>
        </w:rPr>
        <w:t>It is important to immediately transfer the liquid component (serum) into a clean polypropylene tube using a Pasteur pipette and maintain the samples at 2–8°C while handling. If the serum is not analysed immediately, it should be apportioned into 0.5 ml aliquots, stored, and transported at –20°C or lower. It is important to avoid freeze–thaw cycles because this is detrimental to many serum components. Samples that are haemolysed, icteric or lipaemic can invalidate certain tests.</w:t>
      </w:r>
      <w:bookmarkEnd w:id="116"/>
    </w:p>
    <w:p w14:paraId="30EB479D" w14:textId="77777777" w:rsidR="00E65E42" w:rsidRPr="00A175F0" w:rsidRDefault="00E65E42" w:rsidP="00457C4E">
      <w:pPr>
        <w:pStyle w:val="11"/>
        <w:spacing w:after="120"/>
        <w:rPr>
          <w:rFonts w:ascii="Ottawa" w:hAnsi="Ottawa" w:cs="Arial"/>
          <w:sz w:val="21"/>
          <w:szCs w:val="21"/>
          <w:lang w:bidi="en-US"/>
        </w:rPr>
      </w:pPr>
      <w:r w:rsidRPr="00A175F0">
        <w:rPr>
          <w:rFonts w:ascii="Ottawa" w:hAnsi="Ottawa" w:cs="Arial"/>
          <w:sz w:val="21"/>
          <w:szCs w:val="21"/>
          <w:lang w:bidi="en-US"/>
        </w:rPr>
        <w:t>3.6.</w:t>
      </w:r>
      <w:r w:rsidRPr="00A175F0">
        <w:rPr>
          <w:rFonts w:ascii="Ottawa" w:hAnsi="Ottawa" w:cs="Arial"/>
          <w:sz w:val="21"/>
          <w:szCs w:val="21"/>
          <w:lang w:bidi="en-US"/>
        </w:rPr>
        <w:tab/>
        <w:t>Pooling of samples</w:t>
      </w:r>
    </w:p>
    <w:p w14:paraId="4D271698" w14:textId="77777777" w:rsidR="00E65E42" w:rsidRPr="00BD2E1E" w:rsidRDefault="00E65E42" w:rsidP="00457C4E">
      <w:pPr>
        <w:spacing w:after="240" w:line="240" w:lineRule="auto"/>
        <w:ind w:left="709"/>
        <w:jc w:val="both"/>
        <w:rPr>
          <w:rFonts w:ascii="Arial" w:hAnsi="Arial" w:cs="Arial"/>
          <w:strike/>
          <w:sz w:val="18"/>
          <w:szCs w:val="18"/>
          <w:lang w:val="en-IE"/>
        </w:rPr>
      </w:pPr>
      <w:r w:rsidRPr="00BD2E1E">
        <w:rPr>
          <w:rFonts w:ascii="Arial" w:hAnsi="Arial" w:cs="Arial"/>
          <w:strike/>
          <w:sz w:val="18"/>
          <w:szCs w:val="18"/>
          <w:lang w:val="en-IE"/>
        </w:rPr>
        <w:t>Traditionally pools of five animals have been used and more recently this has been increased to pools of ten animals for virus culture. However, no published data on the effect of pooling on test characteristics has been published.</w:t>
      </w:r>
    </w:p>
    <w:p w14:paraId="6F9AA6C6" w14:textId="77777777" w:rsidR="00E65E42" w:rsidRPr="00695BD1" w:rsidRDefault="00E65E42" w:rsidP="00457C4E">
      <w:pPr>
        <w:spacing w:after="240" w:line="240" w:lineRule="auto"/>
        <w:ind w:left="709"/>
        <w:jc w:val="both"/>
        <w:rPr>
          <w:rFonts w:ascii="Arial" w:hAnsi="Arial" w:cs="Arial"/>
          <w:strike/>
          <w:sz w:val="18"/>
          <w:szCs w:val="18"/>
          <w:u w:val="double"/>
          <w:lang w:val="en-IE"/>
        </w:rPr>
      </w:pPr>
      <w:r w:rsidRPr="00BD2E1E">
        <w:rPr>
          <w:rFonts w:ascii="Arial" w:hAnsi="Arial" w:cs="Arial"/>
          <w:sz w:val="18"/>
          <w:szCs w:val="18"/>
          <w:u w:val="double"/>
          <w:lang w:val="en-IE"/>
        </w:rPr>
        <w:t>Pooling of samples from more than one individual animal for a given purpose should only be recommended where supporting data on diagnostic sensitivity and diagnostic specificity are available. However, smaller life stages (e.g. fry) can be pooled to provide a minimum amount of material for testing.</w:t>
      </w:r>
      <w:r>
        <w:rPr>
          <w:rFonts w:ascii="Arial" w:hAnsi="Arial" w:cs="Arial"/>
          <w:sz w:val="18"/>
          <w:szCs w:val="18"/>
          <w:u w:val="double"/>
          <w:lang w:val="en-IE"/>
        </w:rPr>
        <w:t xml:space="preserve"> </w:t>
      </w:r>
    </w:p>
    <w:p w14:paraId="3248EE7D" w14:textId="77777777" w:rsidR="00DB0A8D" w:rsidRDefault="00DB0A8D">
      <w:pPr>
        <w:rPr>
          <w:rFonts w:ascii="Ottawa" w:hAnsi="Ottawa" w:cs="Arial"/>
          <w:b/>
          <w:bCs/>
          <w:lang w:val="en-IE" w:bidi="en-US"/>
        </w:rPr>
      </w:pPr>
      <w:bookmarkStart w:id="117" w:name="_Toc38028661"/>
      <w:r>
        <w:rPr>
          <w:rFonts w:ascii="Ottawa" w:hAnsi="Ottawa" w:cs="Arial"/>
          <w:b/>
          <w:bCs/>
          <w:lang w:val="en-IE" w:bidi="en-US"/>
        </w:rPr>
        <w:br w:type="page"/>
      </w:r>
    </w:p>
    <w:p w14:paraId="2E05C882" w14:textId="77777777" w:rsidR="00DB0A8D" w:rsidRDefault="00DB0A8D" w:rsidP="00754D87">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1AFCE6CE" w14:textId="4D863FC3" w:rsidR="00E65E42" w:rsidRPr="00A175F0" w:rsidRDefault="00E65E42" w:rsidP="00E65E42">
      <w:pPr>
        <w:spacing w:after="240" w:line="240" w:lineRule="auto"/>
        <w:ind w:left="284" w:hanging="284"/>
        <w:outlineLvl w:val="0"/>
        <w:rPr>
          <w:rFonts w:ascii="Ottawa" w:hAnsi="Ottawa" w:cs="Arial"/>
          <w:b/>
          <w:bCs/>
          <w:sz w:val="22"/>
          <w:lang w:val="en-IE" w:bidi="en-US"/>
        </w:rPr>
      </w:pPr>
      <w:r w:rsidRPr="00A175F0">
        <w:rPr>
          <w:rFonts w:ascii="Ottawa" w:hAnsi="Ottawa" w:cs="Arial"/>
          <w:b/>
          <w:bCs/>
          <w:sz w:val="22"/>
          <w:lang w:val="en-IE" w:bidi="en-US"/>
        </w:rPr>
        <w:t>4.</w:t>
      </w:r>
      <w:r w:rsidRPr="00A175F0">
        <w:rPr>
          <w:rFonts w:ascii="Ottawa" w:hAnsi="Ottawa" w:cs="Arial"/>
          <w:b/>
          <w:bCs/>
          <w:sz w:val="22"/>
          <w:lang w:val="en-IE" w:bidi="en-US"/>
        </w:rPr>
        <w:tab/>
        <w:t>Diagnostic methods</w:t>
      </w:r>
      <w:bookmarkEnd w:id="117"/>
    </w:p>
    <w:p w14:paraId="732F1D76" w14:textId="77777777" w:rsidR="00E65E42" w:rsidRPr="00BD2E1E" w:rsidRDefault="00E65E42" w:rsidP="005D2EAA">
      <w:pPr>
        <w:spacing w:after="0" w:line="240" w:lineRule="auto"/>
        <w:ind w:left="284"/>
        <w:jc w:val="both"/>
        <w:rPr>
          <w:rFonts w:ascii="Arial" w:hAnsi="Arial" w:cs="Arial"/>
          <w:sz w:val="18"/>
          <w:szCs w:val="18"/>
          <w:lang w:val="en-IE" w:bidi="en-US"/>
        </w:rPr>
      </w:pPr>
      <w:r w:rsidRPr="00BD2E1E">
        <w:rPr>
          <w:rFonts w:ascii="Arial" w:hAnsi="Arial" w:cs="Arial"/>
          <w:sz w:val="18"/>
          <w:szCs w:val="18"/>
          <w:lang w:val="en-IE" w:bidi="en-US"/>
        </w:rPr>
        <w:t xml:space="preserve">The methods currently available for identifying infection that can be used in i) surveillance of apparently healthy populations), ii) presumptive and iii) confirmatory diagnostic purposes are listed in Table 4.1. by life stage. The designations used in the Table indicate: </w:t>
      </w:r>
    </w:p>
    <w:p w14:paraId="718A33A5" w14:textId="77777777" w:rsidR="00E65E42" w:rsidRDefault="00E65E42" w:rsidP="005D2EAA">
      <w:pPr>
        <w:spacing w:after="0" w:line="240" w:lineRule="auto"/>
        <w:jc w:val="both"/>
        <w:rPr>
          <w:rFonts w:ascii="Arial" w:eastAsia="Calibri" w:hAnsi="Arial" w:cs="Arial"/>
          <w:color w:val="000000"/>
          <w:sz w:val="18"/>
          <w:szCs w:val="18"/>
          <w:lang w:val="en-IE"/>
        </w:rPr>
      </w:pPr>
    </w:p>
    <w:p w14:paraId="5DEC43D7" w14:textId="77777777" w:rsidR="00E65E42" w:rsidRPr="00BD2E1E" w:rsidRDefault="00E65E42" w:rsidP="005D2EAA">
      <w:pPr>
        <w:spacing w:after="0" w:line="240" w:lineRule="auto"/>
        <w:ind w:left="284"/>
        <w:jc w:val="both"/>
        <w:rPr>
          <w:rFonts w:ascii="Arial" w:eastAsia="Calibri" w:hAnsi="Arial" w:cs="Arial"/>
          <w:color w:val="000000"/>
          <w:sz w:val="18"/>
          <w:szCs w:val="18"/>
          <w:lang w:val="en-IE"/>
        </w:rPr>
      </w:pPr>
      <w:r w:rsidRPr="00457C4E">
        <w:rPr>
          <w:rFonts w:ascii="Arial" w:hAnsi="Arial" w:cs="Arial"/>
          <w:sz w:val="18"/>
          <w:szCs w:val="18"/>
          <w:lang w:val="en-IE" w:bidi="en-US"/>
        </w:rPr>
        <w:t>Key</w:t>
      </w:r>
      <w:r w:rsidRPr="00BD2E1E">
        <w:rPr>
          <w:rFonts w:ascii="Arial" w:eastAsia="Calibri" w:hAnsi="Arial" w:cs="Arial"/>
          <w:color w:val="000000"/>
          <w:sz w:val="18"/>
          <w:szCs w:val="18"/>
          <w:lang w:val="en-IE"/>
        </w:rPr>
        <w:t xml:space="preserve">: </w:t>
      </w:r>
    </w:p>
    <w:p w14:paraId="4BF37588" w14:textId="77777777" w:rsidR="00E65E42" w:rsidRPr="00BD2E1E" w:rsidRDefault="00E65E42" w:rsidP="005D2EAA">
      <w:pPr>
        <w:spacing w:after="0" w:line="240" w:lineRule="auto"/>
        <w:ind w:left="1701" w:hanging="1417"/>
        <w:jc w:val="both"/>
        <w:rPr>
          <w:rFonts w:ascii="Arial" w:eastAsia="Calibri" w:hAnsi="Arial" w:cs="Arial"/>
          <w:color w:val="000000"/>
          <w:sz w:val="18"/>
          <w:szCs w:val="18"/>
          <w:lang w:val="en-IE"/>
        </w:rPr>
      </w:pPr>
      <w:r w:rsidRPr="00BD2E1E">
        <w:rPr>
          <w:rFonts w:ascii="Arial" w:eastAsia="Calibri" w:hAnsi="Arial" w:cs="Arial"/>
          <w:color w:val="000000"/>
          <w:sz w:val="18"/>
          <w:szCs w:val="18"/>
          <w:lang w:val="en-IE"/>
        </w:rPr>
        <w:t>+++ =</w:t>
      </w:r>
      <w:r w:rsidRPr="00BD2E1E">
        <w:rPr>
          <w:rFonts w:ascii="Arial" w:eastAsia="Calibri" w:hAnsi="Arial" w:cs="Arial"/>
          <w:color w:val="000000"/>
          <w:sz w:val="18"/>
          <w:szCs w:val="18"/>
          <w:lang w:val="en-IE"/>
        </w:rPr>
        <w:tab/>
        <w:t>Recommended method(s) validated for the purpose shown and usually to stage 3 of the OIE Validation Pathway;</w:t>
      </w:r>
    </w:p>
    <w:p w14:paraId="55F0C7DC" w14:textId="77777777" w:rsidR="00E65E42" w:rsidRPr="00BD2E1E" w:rsidRDefault="00E65E42" w:rsidP="005D2EAA">
      <w:pPr>
        <w:spacing w:after="0" w:line="240" w:lineRule="auto"/>
        <w:ind w:left="1701" w:hanging="1417"/>
        <w:jc w:val="both"/>
        <w:rPr>
          <w:rFonts w:ascii="Arial" w:eastAsia="Calibri" w:hAnsi="Arial" w:cs="Arial"/>
          <w:color w:val="000000"/>
          <w:sz w:val="18"/>
          <w:szCs w:val="18"/>
          <w:lang w:val="en-IE"/>
        </w:rPr>
      </w:pPr>
      <w:r w:rsidRPr="00BD2E1E">
        <w:rPr>
          <w:rFonts w:ascii="Arial" w:eastAsia="Calibri" w:hAnsi="Arial" w:cs="Arial"/>
          <w:color w:val="000000"/>
          <w:sz w:val="18"/>
          <w:szCs w:val="18"/>
          <w:lang w:val="en-IE"/>
        </w:rPr>
        <w:t xml:space="preserve">++ = </w:t>
      </w:r>
      <w:r w:rsidRPr="00BD2E1E">
        <w:rPr>
          <w:rFonts w:ascii="Arial" w:eastAsia="Calibri" w:hAnsi="Arial" w:cs="Arial"/>
          <w:color w:val="000000"/>
          <w:sz w:val="18"/>
          <w:szCs w:val="18"/>
          <w:lang w:val="en-IE"/>
        </w:rPr>
        <w:tab/>
        <w:t xml:space="preserve">Suitable method(s) but may need further validation; </w:t>
      </w:r>
    </w:p>
    <w:p w14:paraId="11301A84" w14:textId="77777777" w:rsidR="00E65E42" w:rsidRPr="00BD2E1E" w:rsidRDefault="00E65E42" w:rsidP="005D2EAA">
      <w:pPr>
        <w:spacing w:after="0" w:line="240" w:lineRule="auto"/>
        <w:ind w:left="1701" w:hanging="1417"/>
        <w:jc w:val="both"/>
        <w:rPr>
          <w:rFonts w:ascii="Arial" w:eastAsia="Calibri" w:hAnsi="Arial" w:cs="Arial"/>
          <w:sz w:val="18"/>
          <w:szCs w:val="18"/>
          <w:lang w:val="en-IE"/>
        </w:rPr>
      </w:pPr>
      <w:r w:rsidRPr="00BD2E1E">
        <w:rPr>
          <w:rFonts w:ascii="Arial" w:eastAsia="Calibri" w:hAnsi="Arial" w:cs="Arial"/>
          <w:color w:val="000000"/>
          <w:sz w:val="18"/>
          <w:szCs w:val="18"/>
          <w:lang w:val="en-IE"/>
        </w:rPr>
        <w:t xml:space="preserve">+ = </w:t>
      </w:r>
      <w:r w:rsidRPr="00BD2E1E">
        <w:rPr>
          <w:rFonts w:ascii="Arial" w:eastAsia="Calibri" w:hAnsi="Arial" w:cs="Arial"/>
          <w:color w:val="000000"/>
          <w:sz w:val="18"/>
          <w:szCs w:val="18"/>
          <w:lang w:val="en-IE"/>
        </w:rPr>
        <w:tab/>
        <w:t xml:space="preserve">May be used </w:t>
      </w:r>
      <w:r w:rsidRPr="00BD2E1E">
        <w:rPr>
          <w:rFonts w:ascii="Arial" w:eastAsia="Calibri" w:hAnsi="Arial" w:cs="Arial"/>
          <w:sz w:val="18"/>
          <w:szCs w:val="18"/>
          <w:lang w:val="en-IE"/>
        </w:rPr>
        <w:t xml:space="preserve">in some situations, but cost, reliability, lack of validation or other factors severely limits its application; </w:t>
      </w:r>
    </w:p>
    <w:p w14:paraId="7D75FA63" w14:textId="77777777" w:rsidR="00E65E42" w:rsidRPr="00BD2E1E" w:rsidRDefault="00E65E42" w:rsidP="005D2EAA">
      <w:pPr>
        <w:spacing w:after="120" w:line="240" w:lineRule="auto"/>
        <w:ind w:left="1701" w:hanging="1417"/>
        <w:jc w:val="both"/>
        <w:rPr>
          <w:rFonts w:ascii="Arial" w:eastAsia="Calibri" w:hAnsi="Arial" w:cs="Arial"/>
          <w:color w:val="000000"/>
          <w:sz w:val="18"/>
          <w:szCs w:val="18"/>
          <w:lang w:val="en-IE"/>
        </w:rPr>
      </w:pPr>
      <w:r w:rsidRPr="00BD2E1E">
        <w:rPr>
          <w:rFonts w:ascii="Arial" w:eastAsia="Calibri" w:hAnsi="Arial" w:cs="Arial"/>
          <w:color w:val="000000"/>
          <w:sz w:val="18"/>
          <w:szCs w:val="18"/>
          <w:lang w:val="en-IE"/>
        </w:rPr>
        <w:t xml:space="preserve">Shaded boxes = </w:t>
      </w:r>
      <w:r w:rsidRPr="00BD2E1E">
        <w:rPr>
          <w:rFonts w:ascii="Arial" w:eastAsia="Calibri" w:hAnsi="Arial" w:cs="Arial"/>
          <w:color w:val="000000"/>
          <w:sz w:val="18"/>
          <w:szCs w:val="18"/>
          <w:lang w:val="en-IE"/>
        </w:rPr>
        <w:tab/>
        <w:t>Not appropriate for this purpose.</w:t>
      </w:r>
    </w:p>
    <w:p w14:paraId="3213B043" w14:textId="77777777" w:rsidR="00E65E42" w:rsidRPr="00BD2E1E" w:rsidRDefault="00E65E42" w:rsidP="005D2EAA">
      <w:pPr>
        <w:spacing w:after="0" w:line="240" w:lineRule="auto"/>
        <w:ind w:left="284"/>
        <w:jc w:val="both"/>
        <w:rPr>
          <w:rFonts w:ascii="Arial" w:hAnsi="Arial" w:cs="Arial"/>
          <w:sz w:val="18"/>
          <w:szCs w:val="18"/>
          <w:lang w:val="en-IE" w:bidi="en-US"/>
        </w:rPr>
      </w:pPr>
      <w:r w:rsidRPr="00BD2E1E">
        <w:rPr>
          <w:rFonts w:ascii="Arial" w:hAnsi="Arial" w:cs="Arial"/>
          <w:sz w:val="18"/>
          <w:szCs w:val="18"/>
          <w:lang w:val="en-IE" w:bidi="en-US"/>
        </w:rPr>
        <w:t>The selection of a test for a given purpose depends on the analytical and diagnostic sensitivities and specificities, repeatability and reproducibility. OIE Reference Laboratories welcome feedback on diagnostic performance for assays, in particular PCR methods, for factors affecting assay analytical sensitivity or analytical specificity, such as tissue components inhibiting amplification, presence of nonspecific or uncertain bands, etc., and any assays that are in the +++ category.</w:t>
      </w:r>
    </w:p>
    <w:p w14:paraId="385DBD67" w14:textId="77777777" w:rsidR="00E65E42" w:rsidRPr="00D403F5" w:rsidRDefault="00E65E42" w:rsidP="00E65E42">
      <w:pPr>
        <w:spacing w:after="0"/>
        <w:jc w:val="both"/>
        <w:rPr>
          <w:rFonts w:ascii="Arial" w:hAnsi="Arial" w:cs="Arial"/>
          <w:sz w:val="18"/>
          <w:szCs w:val="18"/>
          <w:lang w:val="en-IE" w:bidi="en-US"/>
        </w:rPr>
      </w:pPr>
    </w:p>
    <w:p w14:paraId="7F37E1B2" w14:textId="77777777" w:rsidR="00E65E42" w:rsidRPr="00D403F5" w:rsidRDefault="00E65E42" w:rsidP="00E65E42">
      <w:pPr>
        <w:spacing w:after="0"/>
        <w:jc w:val="center"/>
        <w:rPr>
          <w:rFonts w:ascii="Ottawa" w:hAnsi="Ottawa"/>
          <w:b/>
          <w:bCs/>
          <w:i/>
          <w:sz w:val="18"/>
          <w:szCs w:val="18"/>
          <w:lang w:val="en-IE" w:bidi="en-US"/>
        </w:rPr>
        <w:sectPr w:rsidR="00E65E42" w:rsidRPr="00D403F5" w:rsidSect="00796F38">
          <w:type w:val="oddPage"/>
          <w:pgSz w:w="11906" w:h="16838" w:code="9"/>
          <w:pgMar w:top="1304" w:right="1304" w:bottom="1304" w:left="1304" w:header="567" w:footer="567" w:gutter="0"/>
          <w:cols w:space="708"/>
          <w:titlePg/>
          <w:docGrid w:linePitch="360"/>
        </w:sectPr>
      </w:pPr>
    </w:p>
    <w:p w14:paraId="1DDA5C3B" w14:textId="77777777" w:rsidR="00E65E42" w:rsidRDefault="00E65E42" w:rsidP="00E65E42">
      <w:pPr>
        <w:spacing w:after="240"/>
        <w:jc w:val="center"/>
        <w:rPr>
          <w:rFonts w:ascii="Ottawa" w:hAnsi="Ottawa"/>
          <w:bCs/>
          <w:i/>
          <w:sz w:val="18"/>
          <w:szCs w:val="18"/>
          <w:lang w:val="en-IE" w:bidi="en-US"/>
        </w:rPr>
      </w:pPr>
      <w:r w:rsidRPr="00D403F5">
        <w:rPr>
          <w:rFonts w:ascii="Ottawa" w:hAnsi="Ottawa"/>
          <w:b/>
          <w:bCs/>
          <w:i/>
          <w:sz w:val="18"/>
          <w:szCs w:val="18"/>
          <w:lang w:val="en-IE" w:bidi="en-US"/>
        </w:rPr>
        <w:lastRenderedPageBreak/>
        <w:t>Table 4.</w:t>
      </w:r>
      <w:r w:rsidRPr="00D403F5">
        <w:rPr>
          <w:rFonts w:ascii="Ottawa" w:hAnsi="Ottawa"/>
          <w:b/>
          <w:bCs/>
          <w:i/>
          <w:noProof/>
          <w:sz w:val="18"/>
          <w:szCs w:val="18"/>
          <w:lang w:val="en-IE" w:bidi="en-US"/>
        </w:rPr>
        <w:t>1</w:t>
      </w:r>
      <w:r w:rsidRPr="00D403F5">
        <w:rPr>
          <w:rFonts w:ascii="Ottawa" w:hAnsi="Ottawa"/>
          <w:b/>
          <w:bCs/>
          <w:i/>
          <w:sz w:val="18"/>
          <w:szCs w:val="18"/>
          <w:lang w:val="en-IE" w:bidi="en-US"/>
        </w:rPr>
        <w:t xml:space="preserve">. </w:t>
      </w:r>
      <w:r w:rsidRPr="00D403F5">
        <w:rPr>
          <w:rFonts w:ascii="Ottawa" w:hAnsi="Ottawa"/>
          <w:bCs/>
          <w:i/>
          <w:sz w:val="18"/>
          <w:szCs w:val="18"/>
          <w:lang w:val="en-IE" w:bidi="en-US"/>
        </w:rPr>
        <w:t>OIE recommended</w:t>
      </w:r>
      <w:r w:rsidRPr="00D403F5">
        <w:rPr>
          <w:rFonts w:ascii="Ottawa" w:hAnsi="Ottawa"/>
          <w:b/>
          <w:bCs/>
          <w:i/>
          <w:sz w:val="18"/>
          <w:szCs w:val="18"/>
          <w:lang w:val="en-IE" w:bidi="en-US"/>
        </w:rPr>
        <w:t xml:space="preserve"> </w:t>
      </w:r>
      <w:r w:rsidRPr="00D403F5">
        <w:rPr>
          <w:rFonts w:ascii="Ottawa" w:hAnsi="Ottawa"/>
          <w:bCs/>
          <w:i/>
          <w:sz w:val="18"/>
          <w:szCs w:val="18"/>
          <w:lang w:val="en-IE" w:bidi="en-US"/>
        </w:rPr>
        <w:t xml:space="preserve">diagnostic methods and their level of validation for surveillance of </w:t>
      </w:r>
      <w:r w:rsidRPr="00695BD1">
        <w:rPr>
          <w:rFonts w:ascii="Ottawa" w:hAnsi="Ottawa"/>
          <w:bCs/>
          <w:i/>
          <w:sz w:val="18"/>
          <w:szCs w:val="18"/>
          <w:highlight w:val="yellow"/>
          <w:u w:val="double"/>
          <w:lang w:val="en-IE" w:bidi="en-US"/>
        </w:rPr>
        <w:t>apparently</w:t>
      </w:r>
      <w:r>
        <w:rPr>
          <w:rFonts w:ascii="Ottawa" w:hAnsi="Ottawa"/>
          <w:bCs/>
          <w:i/>
          <w:sz w:val="18"/>
          <w:szCs w:val="18"/>
          <w:lang w:val="en-IE" w:bidi="en-US"/>
        </w:rPr>
        <w:t xml:space="preserve"> </w:t>
      </w:r>
      <w:r w:rsidRPr="00D403F5">
        <w:rPr>
          <w:rFonts w:ascii="Ottawa" w:hAnsi="Ottawa"/>
          <w:bCs/>
          <w:i/>
          <w:sz w:val="18"/>
          <w:szCs w:val="18"/>
          <w:lang w:val="en-IE" w:bidi="en-US"/>
        </w:rPr>
        <w:t xml:space="preserve">healthy animals and investigation of clinically affected animals </w:t>
      </w:r>
    </w:p>
    <w:tbl>
      <w:tblPr>
        <w:tblW w:w="12750" w:type="dxa"/>
        <w:jc w:val="center"/>
        <w:tblLayout w:type="fixed"/>
        <w:tblCellMar>
          <w:left w:w="96" w:type="dxa"/>
          <w:right w:w="96" w:type="dxa"/>
        </w:tblCellMar>
        <w:tblLook w:val="0000" w:firstRow="0" w:lastRow="0" w:firstColumn="0" w:lastColumn="0" w:noHBand="0" w:noVBand="0"/>
      </w:tblPr>
      <w:tblGrid>
        <w:gridCol w:w="2399"/>
        <w:gridCol w:w="920"/>
        <w:gridCol w:w="992"/>
        <w:gridCol w:w="709"/>
        <w:gridCol w:w="784"/>
        <w:gridCol w:w="885"/>
        <w:gridCol w:w="958"/>
        <w:gridCol w:w="709"/>
        <w:gridCol w:w="850"/>
        <w:gridCol w:w="885"/>
        <w:gridCol w:w="958"/>
        <w:gridCol w:w="850"/>
        <w:gridCol w:w="851"/>
      </w:tblGrid>
      <w:tr w:rsidR="00E65E42" w:rsidRPr="00D403F5" w14:paraId="472325CC" w14:textId="77777777" w:rsidTr="00E65E42">
        <w:trPr>
          <w:trHeight w:val="402"/>
          <w:tblHeader/>
          <w:jc w:val="center"/>
        </w:trPr>
        <w:tc>
          <w:tcPr>
            <w:tcW w:w="2399" w:type="dxa"/>
            <w:vMerge w:val="restart"/>
            <w:tcBorders>
              <w:top w:val="single" w:sz="6" w:space="0" w:color="auto"/>
              <w:left w:val="single" w:sz="6" w:space="0" w:color="auto"/>
            </w:tcBorders>
            <w:vAlign w:val="center"/>
          </w:tcPr>
          <w:p w14:paraId="5D1112EE"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Method</w:t>
            </w:r>
          </w:p>
        </w:tc>
        <w:tc>
          <w:tcPr>
            <w:tcW w:w="3405" w:type="dxa"/>
            <w:gridSpan w:val="4"/>
            <w:tcBorders>
              <w:top w:val="single" w:sz="6" w:space="0" w:color="auto"/>
              <w:left w:val="single" w:sz="6" w:space="0" w:color="auto"/>
              <w:bottom w:val="single" w:sz="4" w:space="0" w:color="auto"/>
              <w:right w:val="single" w:sz="6" w:space="0" w:color="auto"/>
            </w:tcBorders>
          </w:tcPr>
          <w:p w14:paraId="731029F2" w14:textId="77777777" w:rsidR="00E65E42" w:rsidRPr="00D403F5" w:rsidRDefault="00E65E42" w:rsidP="00562F64">
            <w:pPr>
              <w:numPr>
                <w:ilvl w:val="0"/>
                <w:numId w:val="22"/>
              </w:numPr>
              <w:spacing w:after="0" w:line="240" w:lineRule="auto"/>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Surveillance of apparently healthy animals</w:t>
            </w:r>
          </w:p>
        </w:tc>
        <w:tc>
          <w:tcPr>
            <w:tcW w:w="3402" w:type="dxa"/>
            <w:gridSpan w:val="4"/>
            <w:tcBorders>
              <w:top w:val="single" w:sz="6" w:space="0" w:color="auto"/>
              <w:left w:val="single" w:sz="6" w:space="0" w:color="auto"/>
            </w:tcBorders>
          </w:tcPr>
          <w:p w14:paraId="4E2621EC" w14:textId="77777777" w:rsidR="00E65E42" w:rsidRPr="00D403F5" w:rsidRDefault="00E65E42" w:rsidP="00562F64">
            <w:pPr>
              <w:numPr>
                <w:ilvl w:val="0"/>
                <w:numId w:val="22"/>
              </w:numPr>
              <w:spacing w:after="0" w:line="240" w:lineRule="auto"/>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Presumptive diagnosis of clinically affected animals</w:t>
            </w:r>
          </w:p>
        </w:tc>
        <w:tc>
          <w:tcPr>
            <w:tcW w:w="3544" w:type="dxa"/>
            <w:gridSpan w:val="4"/>
            <w:tcBorders>
              <w:top w:val="single" w:sz="6" w:space="0" w:color="auto"/>
              <w:left w:val="single" w:sz="6" w:space="0" w:color="auto"/>
              <w:right w:val="single" w:sz="6" w:space="0" w:color="auto"/>
            </w:tcBorders>
          </w:tcPr>
          <w:p w14:paraId="27F04210" w14:textId="77777777" w:rsidR="00E65E42" w:rsidRPr="00D403F5" w:rsidRDefault="00E65E42" w:rsidP="00562F64">
            <w:pPr>
              <w:numPr>
                <w:ilvl w:val="0"/>
                <w:numId w:val="22"/>
              </w:numPr>
              <w:spacing w:after="0" w:line="240" w:lineRule="auto"/>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Confirmatory diagnosis</w:t>
            </w:r>
            <w:r w:rsidRPr="00D403F5">
              <w:rPr>
                <w:rFonts w:ascii="Arial Narrow" w:hAnsi="Arial Narrow" w:cs="Arial"/>
                <w:b/>
                <w:bCs/>
                <w:sz w:val="18"/>
                <w:szCs w:val="18"/>
                <w:vertAlign w:val="superscript"/>
                <w:lang w:val="en-IE" w:bidi="en-US"/>
              </w:rPr>
              <w:t>1</w:t>
            </w:r>
            <w:r w:rsidRPr="00D403F5">
              <w:rPr>
                <w:rFonts w:ascii="Arial Narrow" w:hAnsi="Arial Narrow" w:cs="Arial"/>
                <w:b/>
                <w:bCs/>
                <w:sz w:val="18"/>
                <w:szCs w:val="18"/>
                <w:lang w:val="en-IE" w:bidi="en-US"/>
              </w:rPr>
              <w:t xml:space="preserve"> of a suspect result </w:t>
            </w:r>
            <w:r w:rsidRPr="00D403F5">
              <w:rPr>
                <w:rFonts w:ascii="Arial Narrow" w:hAnsi="Arial Narrow"/>
                <w:b/>
                <w:bCs/>
                <w:sz w:val="18"/>
                <w:szCs w:val="18"/>
                <w:lang w:val="en-IE" w:bidi="en-US"/>
              </w:rPr>
              <w:t>from surveillance or presumptive diagnosis</w:t>
            </w:r>
          </w:p>
        </w:tc>
      </w:tr>
      <w:tr w:rsidR="00E65E42" w:rsidRPr="00D403F5" w14:paraId="4BDC1321" w14:textId="77777777" w:rsidTr="00E65E42">
        <w:trPr>
          <w:trHeight w:val="402"/>
          <w:tblHeader/>
          <w:jc w:val="center"/>
        </w:trPr>
        <w:tc>
          <w:tcPr>
            <w:tcW w:w="2399" w:type="dxa"/>
            <w:vMerge/>
            <w:tcBorders>
              <w:left w:val="single" w:sz="6" w:space="0" w:color="auto"/>
            </w:tcBorders>
            <w:vAlign w:val="center"/>
          </w:tcPr>
          <w:p w14:paraId="2A6DCF9D" w14:textId="77777777" w:rsidR="00E65E42" w:rsidRPr="00D403F5" w:rsidRDefault="00E65E42" w:rsidP="00E65E42">
            <w:pPr>
              <w:spacing w:after="0"/>
              <w:jc w:val="center"/>
              <w:rPr>
                <w:rFonts w:ascii="Arial Narrow" w:hAnsi="Arial Narrow" w:cs="Arial"/>
                <w:b/>
                <w:bCs/>
                <w:sz w:val="18"/>
                <w:szCs w:val="18"/>
                <w:lang w:val="en-IE" w:bidi="en-US"/>
              </w:rPr>
            </w:pPr>
          </w:p>
        </w:tc>
        <w:tc>
          <w:tcPr>
            <w:tcW w:w="920" w:type="dxa"/>
            <w:tcBorders>
              <w:top w:val="single" w:sz="4" w:space="0" w:color="auto"/>
              <w:left w:val="single" w:sz="6" w:space="0" w:color="auto"/>
              <w:bottom w:val="single" w:sz="6" w:space="0" w:color="auto"/>
            </w:tcBorders>
            <w:vAlign w:val="center"/>
          </w:tcPr>
          <w:p w14:paraId="51C27EF8"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Early life stages</w:t>
            </w:r>
            <w:r w:rsidRPr="00D403F5">
              <w:rPr>
                <w:rFonts w:ascii="Arial Narrow" w:hAnsi="Arial Narrow" w:cs="Arial"/>
                <w:b/>
                <w:bCs/>
                <w:sz w:val="18"/>
                <w:szCs w:val="18"/>
                <w:vertAlign w:val="superscript"/>
                <w:lang w:val="en-IE" w:bidi="en-US"/>
              </w:rPr>
              <w:t>2</w:t>
            </w:r>
          </w:p>
        </w:tc>
        <w:tc>
          <w:tcPr>
            <w:tcW w:w="992" w:type="dxa"/>
            <w:tcBorders>
              <w:top w:val="single" w:sz="4" w:space="0" w:color="auto"/>
              <w:left w:val="single" w:sz="6" w:space="0" w:color="auto"/>
              <w:bottom w:val="single" w:sz="6" w:space="0" w:color="auto"/>
            </w:tcBorders>
            <w:vAlign w:val="center"/>
          </w:tcPr>
          <w:p w14:paraId="2D8DCE21"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Juveniles</w:t>
            </w:r>
            <w:r w:rsidRPr="00D403F5">
              <w:rPr>
                <w:rFonts w:ascii="Arial Narrow" w:hAnsi="Arial Narrow" w:cs="Arial"/>
                <w:b/>
                <w:bCs/>
                <w:sz w:val="18"/>
                <w:szCs w:val="18"/>
                <w:vertAlign w:val="superscript"/>
                <w:lang w:val="en-IE" w:bidi="en-US"/>
              </w:rPr>
              <w:t>2</w:t>
            </w:r>
          </w:p>
        </w:tc>
        <w:tc>
          <w:tcPr>
            <w:tcW w:w="709" w:type="dxa"/>
            <w:tcBorders>
              <w:top w:val="single" w:sz="4" w:space="0" w:color="auto"/>
              <w:left w:val="single" w:sz="6" w:space="0" w:color="auto"/>
              <w:bottom w:val="single" w:sz="6" w:space="0" w:color="auto"/>
            </w:tcBorders>
            <w:vAlign w:val="center"/>
          </w:tcPr>
          <w:p w14:paraId="3429A041"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Adults</w:t>
            </w:r>
          </w:p>
        </w:tc>
        <w:tc>
          <w:tcPr>
            <w:tcW w:w="784" w:type="dxa"/>
            <w:tcBorders>
              <w:top w:val="single" w:sz="4" w:space="0" w:color="auto"/>
              <w:left w:val="single" w:sz="6" w:space="0" w:color="auto"/>
              <w:bottom w:val="single" w:sz="6" w:space="0" w:color="auto"/>
              <w:right w:val="single" w:sz="6" w:space="0" w:color="auto"/>
            </w:tcBorders>
            <w:vAlign w:val="center"/>
          </w:tcPr>
          <w:p w14:paraId="3BF5B667"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LV</w:t>
            </w:r>
          </w:p>
        </w:tc>
        <w:tc>
          <w:tcPr>
            <w:tcW w:w="885" w:type="dxa"/>
            <w:tcBorders>
              <w:top w:val="single" w:sz="6" w:space="0" w:color="auto"/>
              <w:left w:val="single" w:sz="6" w:space="0" w:color="auto"/>
            </w:tcBorders>
            <w:vAlign w:val="center"/>
          </w:tcPr>
          <w:p w14:paraId="5C63709F"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US" w:bidi="en-US"/>
              </w:rPr>
              <w:t>Early life stages</w:t>
            </w:r>
            <w:r w:rsidRPr="00D403F5">
              <w:rPr>
                <w:rFonts w:ascii="Arial Narrow" w:hAnsi="Arial Narrow" w:cs="Arial"/>
                <w:b/>
                <w:bCs/>
                <w:sz w:val="18"/>
                <w:szCs w:val="18"/>
                <w:vertAlign w:val="superscript"/>
                <w:lang w:val="en-US" w:bidi="en-US"/>
              </w:rPr>
              <w:t>2</w:t>
            </w:r>
          </w:p>
        </w:tc>
        <w:tc>
          <w:tcPr>
            <w:tcW w:w="958" w:type="dxa"/>
            <w:tcBorders>
              <w:top w:val="single" w:sz="6" w:space="0" w:color="auto"/>
              <w:left w:val="single" w:sz="6" w:space="0" w:color="auto"/>
            </w:tcBorders>
            <w:vAlign w:val="center"/>
          </w:tcPr>
          <w:p w14:paraId="6DE4707B"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Juveniles</w:t>
            </w:r>
            <w:r w:rsidRPr="00D403F5">
              <w:rPr>
                <w:rFonts w:ascii="Arial Narrow" w:hAnsi="Arial Narrow" w:cs="Arial"/>
                <w:b/>
                <w:bCs/>
                <w:sz w:val="18"/>
                <w:szCs w:val="18"/>
                <w:vertAlign w:val="superscript"/>
                <w:lang w:val="en-US" w:bidi="en-US"/>
              </w:rPr>
              <w:t>2</w:t>
            </w:r>
          </w:p>
        </w:tc>
        <w:tc>
          <w:tcPr>
            <w:tcW w:w="709" w:type="dxa"/>
            <w:tcBorders>
              <w:top w:val="single" w:sz="6" w:space="0" w:color="auto"/>
              <w:left w:val="single" w:sz="6" w:space="0" w:color="auto"/>
            </w:tcBorders>
            <w:vAlign w:val="center"/>
          </w:tcPr>
          <w:p w14:paraId="6FBC0E06"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Adults</w:t>
            </w:r>
          </w:p>
        </w:tc>
        <w:tc>
          <w:tcPr>
            <w:tcW w:w="850" w:type="dxa"/>
            <w:tcBorders>
              <w:top w:val="single" w:sz="4" w:space="0" w:color="auto"/>
              <w:left w:val="single" w:sz="6" w:space="0" w:color="auto"/>
              <w:right w:val="single" w:sz="6" w:space="0" w:color="auto"/>
            </w:tcBorders>
            <w:vAlign w:val="center"/>
          </w:tcPr>
          <w:p w14:paraId="1C72F963"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LV</w:t>
            </w:r>
          </w:p>
        </w:tc>
        <w:tc>
          <w:tcPr>
            <w:tcW w:w="885" w:type="dxa"/>
            <w:tcBorders>
              <w:top w:val="single" w:sz="4" w:space="0" w:color="auto"/>
              <w:left w:val="single" w:sz="6" w:space="0" w:color="auto"/>
              <w:right w:val="single" w:sz="6" w:space="0" w:color="auto"/>
            </w:tcBorders>
            <w:vAlign w:val="center"/>
          </w:tcPr>
          <w:p w14:paraId="01D61287"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US" w:bidi="en-US"/>
              </w:rPr>
              <w:t>Early life stages</w:t>
            </w:r>
            <w:r w:rsidRPr="00D403F5">
              <w:rPr>
                <w:rFonts w:ascii="Arial Narrow" w:hAnsi="Arial Narrow" w:cs="Arial"/>
                <w:b/>
                <w:bCs/>
                <w:sz w:val="18"/>
                <w:szCs w:val="18"/>
                <w:vertAlign w:val="superscript"/>
                <w:lang w:val="en-US" w:bidi="en-US"/>
              </w:rPr>
              <w:t>2</w:t>
            </w:r>
          </w:p>
        </w:tc>
        <w:tc>
          <w:tcPr>
            <w:tcW w:w="958" w:type="dxa"/>
            <w:tcBorders>
              <w:top w:val="single" w:sz="4" w:space="0" w:color="auto"/>
              <w:left w:val="single" w:sz="6" w:space="0" w:color="auto"/>
              <w:right w:val="single" w:sz="6" w:space="0" w:color="auto"/>
            </w:tcBorders>
            <w:vAlign w:val="center"/>
          </w:tcPr>
          <w:p w14:paraId="0C916411"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Juveniles</w:t>
            </w:r>
            <w:r w:rsidRPr="00D403F5">
              <w:rPr>
                <w:rFonts w:ascii="Arial Narrow" w:hAnsi="Arial Narrow" w:cs="Arial"/>
                <w:b/>
                <w:bCs/>
                <w:sz w:val="18"/>
                <w:szCs w:val="18"/>
                <w:vertAlign w:val="superscript"/>
                <w:lang w:val="en-US" w:bidi="en-US"/>
              </w:rPr>
              <w:t>2</w:t>
            </w:r>
          </w:p>
        </w:tc>
        <w:tc>
          <w:tcPr>
            <w:tcW w:w="850" w:type="dxa"/>
            <w:tcBorders>
              <w:top w:val="single" w:sz="4" w:space="0" w:color="auto"/>
              <w:left w:val="single" w:sz="6" w:space="0" w:color="auto"/>
            </w:tcBorders>
            <w:vAlign w:val="center"/>
          </w:tcPr>
          <w:p w14:paraId="40B89B4C"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Adults</w:t>
            </w:r>
          </w:p>
        </w:tc>
        <w:tc>
          <w:tcPr>
            <w:tcW w:w="851" w:type="dxa"/>
            <w:tcBorders>
              <w:top w:val="single" w:sz="4" w:space="0" w:color="auto"/>
              <w:left w:val="single" w:sz="6" w:space="0" w:color="auto"/>
              <w:right w:val="single" w:sz="6" w:space="0" w:color="auto"/>
            </w:tcBorders>
            <w:vAlign w:val="center"/>
          </w:tcPr>
          <w:p w14:paraId="052A8925"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LV</w:t>
            </w:r>
          </w:p>
        </w:tc>
      </w:tr>
      <w:tr w:rsidR="00E65E42" w:rsidRPr="00D403F5" w14:paraId="479CFB19" w14:textId="77777777" w:rsidTr="00E65E42">
        <w:trPr>
          <w:trHeight w:val="227"/>
          <w:jc w:val="center"/>
        </w:trPr>
        <w:tc>
          <w:tcPr>
            <w:tcW w:w="2399" w:type="dxa"/>
            <w:tcBorders>
              <w:top w:val="single" w:sz="6" w:space="0" w:color="auto"/>
              <w:left w:val="single" w:sz="6" w:space="0" w:color="auto"/>
            </w:tcBorders>
            <w:vAlign w:val="center"/>
          </w:tcPr>
          <w:p w14:paraId="54D6A5CA"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Wet mounts</w:t>
            </w:r>
          </w:p>
        </w:tc>
        <w:tc>
          <w:tcPr>
            <w:tcW w:w="920" w:type="dxa"/>
            <w:tcBorders>
              <w:top w:val="single" w:sz="6" w:space="0" w:color="auto"/>
              <w:left w:val="single" w:sz="6" w:space="0" w:color="auto"/>
            </w:tcBorders>
            <w:shd w:val="clear" w:color="auto" w:fill="D9D9D9"/>
            <w:vAlign w:val="center"/>
          </w:tcPr>
          <w:p w14:paraId="49A31731" w14:textId="77777777" w:rsidR="00E65E42" w:rsidRPr="00D403F5" w:rsidRDefault="00E65E42" w:rsidP="00E65E42">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tcBorders>
            <w:shd w:val="clear" w:color="auto" w:fill="D9D9D9"/>
            <w:vAlign w:val="center"/>
          </w:tcPr>
          <w:p w14:paraId="10BD805B"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tcBorders>
            <w:shd w:val="clear" w:color="auto" w:fill="D9D9D9"/>
            <w:vAlign w:val="center"/>
          </w:tcPr>
          <w:p w14:paraId="50F1D675" w14:textId="77777777" w:rsidR="00E65E42" w:rsidRPr="00D403F5" w:rsidRDefault="00E65E42" w:rsidP="00E65E42">
            <w:pPr>
              <w:spacing w:after="0"/>
              <w:jc w:val="center"/>
              <w:rPr>
                <w:rFonts w:ascii="Arial Narrow" w:hAnsi="Arial Narrow" w:cs="Arial"/>
                <w:bCs/>
                <w:sz w:val="18"/>
                <w:szCs w:val="18"/>
                <w:lang w:val="en-IE" w:bidi="en-US"/>
              </w:rPr>
            </w:pPr>
          </w:p>
        </w:tc>
        <w:tc>
          <w:tcPr>
            <w:tcW w:w="784" w:type="dxa"/>
            <w:tcBorders>
              <w:top w:val="single" w:sz="6" w:space="0" w:color="auto"/>
              <w:left w:val="single" w:sz="6" w:space="0" w:color="auto"/>
              <w:right w:val="single" w:sz="6" w:space="0" w:color="auto"/>
            </w:tcBorders>
            <w:shd w:val="clear" w:color="auto" w:fill="D9D9D9"/>
            <w:vAlign w:val="center"/>
          </w:tcPr>
          <w:p w14:paraId="68BD3792"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6" w:space="0" w:color="auto"/>
              <w:left w:val="single" w:sz="6" w:space="0" w:color="auto"/>
            </w:tcBorders>
            <w:shd w:val="clear" w:color="auto" w:fill="D9D9D9"/>
            <w:vAlign w:val="center"/>
          </w:tcPr>
          <w:p w14:paraId="3E09B98D"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tcBorders>
            <w:shd w:val="clear" w:color="auto" w:fill="D9D9D9"/>
            <w:vAlign w:val="center"/>
          </w:tcPr>
          <w:p w14:paraId="16202413"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tcBorders>
            <w:shd w:val="clear" w:color="auto" w:fill="D9D9D9"/>
            <w:vAlign w:val="center"/>
          </w:tcPr>
          <w:p w14:paraId="6A14BC2D"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6" w:space="0" w:color="auto"/>
              <w:left w:val="single" w:sz="6" w:space="0" w:color="auto"/>
              <w:right w:val="single" w:sz="6" w:space="0" w:color="auto"/>
            </w:tcBorders>
            <w:shd w:val="clear" w:color="auto" w:fill="D9D9D9"/>
            <w:vAlign w:val="center"/>
          </w:tcPr>
          <w:p w14:paraId="3883EAEE"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6" w:space="0" w:color="auto"/>
              <w:left w:val="single" w:sz="6" w:space="0" w:color="auto"/>
              <w:right w:val="single" w:sz="6" w:space="0" w:color="auto"/>
            </w:tcBorders>
            <w:shd w:val="clear" w:color="auto" w:fill="D9D9D9"/>
            <w:vAlign w:val="center"/>
          </w:tcPr>
          <w:p w14:paraId="37D88B79"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right w:val="single" w:sz="6" w:space="0" w:color="auto"/>
            </w:tcBorders>
            <w:shd w:val="clear" w:color="auto" w:fill="D9D9D9"/>
            <w:vAlign w:val="center"/>
          </w:tcPr>
          <w:p w14:paraId="096B60BA"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6" w:space="0" w:color="auto"/>
              <w:left w:val="single" w:sz="6" w:space="0" w:color="auto"/>
            </w:tcBorders>
            <w:shd w:val="clear" w:color="auto" w:fill="D9D9D9"/>
            <w:vAlign w:val="center"/>
          </w:tcPr>
          <w:p w14:paraId="776A62C9" w14:textId="77777777" w:rsidR="00E65E42" w:rsidRPr="00D403F5" w:rsidRDefault="00E65E42" w:rsidP="00E65E42">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right w:val="single" w:sz="6" w:space="0" w:color="auto"/>
            </w:tcBorders>
            <w:shd w:val="clear" w:color="auto" w:fill="D9D9D9"/>
            <w:vAlign w:val="center"/>
          </w:tcPr>
          <w:p w14:paraId="475CA118" w14:textId="77777777" w:rsidR="00E65E42" w:rsidRPr="00D403F5" w:rsidRDefault="00E65E42" w:rsidP="00E65E42">
            <w:pPr>
              <w:spacing w:after="0"/>
              <w:jc w:val="center"/>
              <w:rPr>
                <w:rFonts w:ascii="Arial Narrow" w:hAnsi="Arial Narrow" w:cs="Arial"/>
                <w:bCs/>
                <w:sz w:val="18"/>
                <w:szCs w:val="18"/>
                <w:lang w:val="en-IE" w:bidi="en-US"/>
              </w:rPr>
            </w:pPr>
          </w:p>
        </w:tc>
      </w:tr>
      <w:tr w:rsidR="00E65E42" w:rsidRPr="00D403F5" w14:paraId="0B305B0F" w14:textId="77777777" w:rsidTr="00E65E42">
        <w:trPr>
          <w:trHeight w:val="324"/>
          <w:jc w:val="center"/>
        </w:trPr>
        <w:tc>
          <w:tcPr>
            <w:tcW w:w="2399" w:type="dxa"/>
            <w:tcBorders>
              <w:top w:val="single" w:sz="6" w:space="0" w:color="auto"/>
              <w:left w:val="single" w:sz="6" w:space="0" w:color="auto"/>
            </w:tcBorders>
            <w:vAlign w:val="center"/>
          </w:tcPr>
          <w:p w14:paraId="6C59BEB4"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Histopathology</w:t>
            </w:r>
            <w:r w:rsidRPr="00D403F5">
              <w:rPr>
                <w:rFonts w:ascii="Arial Narrow" w:hAnsi="Arial Narrow" w:cs="Arial"/>
                <w:b/>
                <w:bCs/>
                <w:sz w:val="18"/>
                <w:szCs w:val="18"/>
                <w:vertAlign w:val="superscript"/>
                <w:lang w:val="en-US" w:bidi="en-US"/>
              </w:rPr>
              <w:t>3</w:t>
            </w:r>
          </w:p>
        </w:tc>
        <w:tc>
          <w:tcPr>
            <w:tcW w:w="920" w:type="dxa"/>
            <w:tcBorders>
              <w:top w:val="single" w:sz="6" w:space="0" w:color="auto"/>
              <w:left w:val="single" w:sz="6" w:space="0" w:color="auto"/>
            </w:tcBorders>
            <w:shd w:val="clear" w:color="auto" w:fill="D9D9D9"/>
            <w:vAlign w:val="center"/>
          </w:tcPr>
          <w:p w14:paraId="49F5EA50" w14:textId="77777777" w:rsidR="00E65E42" w:rsidRPr="00D403F5" w:rsidRDefault="00E65E42" w:rsidP="00E65E42">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tcBorders>
            <w:shd w:val="clear" w:color="auto" w:fill="D9D9D9"/>
            <w:vAlign w:val="center"/>
          </w:tcPr>
          <w:p w14:paraId="7A2AE0B1"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tcBorders>
            <w:shd w:val="clear" w:color="auto" w:fill="D9D9D9"/>
            <w:vAlign w:val="center"/>
          </w:tcPr>
          <w:p w14:paraId="59FADA24" w14:textId="77777777" w:rsidR="00E65E42" w:rsidRPr="00D403F5" w:rsidRDefault="00E65E42" w:rsidP="00E65E42">
            <w:pPr>
              <w:spacing w:after="0"/>
              <w:jc w:val="center"/>
              <w:rPr>
                <w:rFonts w:ascii="Arial Narrow" w:hAnsi="Arial Narrow" w:cs="Arial"/>
                <w:bCs/>
                <w:sz w:val="18"/>
                <w:szCs w:val="18"/>
                <w:lang w:val="en-IE" w:bidi="en-US"/>
              </w:rPr>
            </w:pPr>
          </w:p>
        </w:tc>
        <w:tc>
          <w:tcPr>
            <w:tcW w:w="784" w:type="dxa"/>
            <w:tcBorders>
              <w:top w:val="single" w:sz="6" w:space="0" w:color="auto"/>
              <w:left w:val="single" w:sz="6" w:space="0" w:color="auto"/>
              <w:right w:val="single" w:sz="6" w:space="0" w:color="auto"/>
            </w:tcBorders>
            <w:shd w:val="clear" w:color="auto" w:fill="D9D9D9"/>
            <w:vAlign w:val="center"/>
          </w:tcPr>
          <w:p w14:paraId="078F6A07"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6" w:space="0" w:color="auto"/>
              <w:left w:val="single" w:sz="6" w:space="0" w:color="auto"/>
            </w:tcBorders>
            <w:shd w:val="clear" w:color="auto" w:fill="D9D9D9"/>
            <w:vAlign w:val="center"/>
          </w:tcPr>
          <w:p w14:paraId="23E344F1"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tcBorders>
            <w:shd w:val="clear" w:color="auto" w:fill="D9D9D9"/>
            <w:vAlign w:val="center"/>
          </w:tcPr>
          <w:p w14:paraId="60D8A671"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tcBorders>
            <w:shd w:val="clear" w:color="auto" w:fill="D9D9D9"/>
            <w:vAlign w:val="center"/>
          </w:tcPr>
          <w:p w14:paraId="72763588"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6" w:space="0" w:color="auto"/>
              <w:left w:val="single" w:sz="6" w:space="0" w:color="auto"/>
              <w:right w:val="single" w:sz="6" w:space="0" w:color="auto"/>
            </w:tcBorders>
            <w:shd w:val="clear" w:color="auto" w:fill="D9D9D9"/>
            <w:vAlign w:val="center"/>
          </w:tcPr>
          <w:p w14:paraId="3BF0A59B"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6" w:space="0" w:color="auto"/>
              <w:left w:val="single" w:sz="6" w:space="0" w:color="auto"/>
              <w:right w:val="single" w:sz="6" w:space="0" w:color="auto"/>
            </w:tcBorders>
            <w:shd w:val="clear" w:color="auto" w:fill="D9D9D9"/>
            <w:vAlign w:val="center"/>
          </w:tcPr>
          <w:p w14:paraId="1A0E0740"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right w:val="single" w:sz="6" w:space="0" w:color="auto"/>
            </w:tcBorders>
            <w:shd w:val="clear" w:color="auto" w:fill="D9D9D9"/>
            <w:vAlign w:val="center"/>
          </w:tcPr>
          <w:p w14:paraId="2738D0DB"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6" w:space="0" w:color="auto"/>
              <w:left w:val="single" w:sz="6" w:space="0" w:color="auto"/>
            </w:tcBorders>
            <w:shd w:val="clear" w:color="auto" w:fill="D9D9D9"/>
            <w:vAlign w:val="center"/>
          </w:tcPr>
          <w:p w14:paraId="49B13AA6" w14:textId="77777777" w:rsidR="00E65E42" w:rsidRPr="00D403F5" w:rsidRDefault="00E65E42" w:rsidP="00E65E42">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right w:val="single" w:sz="6" w:space="0" w:color="auto"/>
            </w:tcBorders>
            <w:shd w:val="clear" w:color="auto" w:fill="D9D9D9"/>
            <w:vAlign w:val="center"/>
          </w:tcPr>
          <w:p w14:paraId="2F23CB05" w14:textId="77777777" w:rsidR="00E65E42" w:rsidRPr="00D403F5" w:rsidRDefault="00E65E42" w:rsidP="00E65E42">
            <w:pPr>
              <w:spacing w:after="0"/>
              <w:jc w:val="center"/>
              <w:rPr>
                <w:rFonts w:ascii="Arial Narrow" w:hAnsi="Arial Narrow" w:cs="Arial"/>
                <w:bCs/>
                <w:sz w:val="18"/>
                <w:szCs w:val="18"/>
                <w:lang w:val="en-IE" w:bidi="en-US"/>
              </w:rPr>
            </w:pPr>
          </w:p>
        </w:tc>
      </w:tr>
      <w:tr w:rsidR="00E65E42" w:rsidRPr="00D403F5" w14:paraId="431EFA50"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5921F290"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Cytopathology</w:t>
            </w:r>
            <w:r w:rsidRPr="00D403F5">
              <w:rPr>
                <w:rFonts w:ascii="Arial Narrow" w:hAnsi="Arial Narrow" w:cs="Arial"/>
                <w:b/>
                <w:bCs/>
                <w:sz w:val="18"/>
                <w:szCs w:val="18"/>
                <w:vertAlign w:val="superscript"/>
                <w:lang w:val="en-IE" w:bidi="en-US"/>
              </w:rPr>
              <w:t>3</w:t>
            </w:r>
          </w:p>
        </w:tc>
        <w:tc>
          <w:tcPr>
            <w:tcW w:w="920" w:type="dxa"/>
            <w:tcBorders>
              <w:top w:val="single" w:sz="6" w:space="0" w:color="auto"/>
              <w:left w:val="single" w:sz="6" w:space="0" w:color="auto"/>
              <w:bottom w:val="single" w:sz="6" w:space="0" w:color="auto"/>
            </w:tcBorders>
            <w:shd w:val="clear" w:color="auto" w:fill="D9D9D9"/>
            <w:vAlign w:val="center"/>
          </w:tcPr>
          <w:p w14:paraId="06636D49" w14:textId="77777777" w:rsidR="00E65E42" w:rsidRPr="00D403F5" w:rsidRDefault="00E65E42" w:rsidP="00E65E42">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shd w:val="clear" w:color="auto" w:fill="D9D9D9"/>
            <w:vAlign w:val="center"/>
          </w:tcPr>
          <w:p w14:paraId="2F643D5F"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14:paraId="339333AA" w14:textId="77777777" w:rsidR="00E65E42" w:rsidRPr="00D403F5" w:rsidRDefault="00E65E42" w:rsidP="00E65E42">
            <w:pPr>
              <w:spacing w:after="0"/>
              <w:jc w:val="center"/>
              <w:rPr>
                <w:rFonts w:ascii="Arial Narrow" w:hAnsi="Arial Narrow" w:cs="Arial"/>
                <w:bCs/>
                <w:sz w:val="18"/>
                <w:szCs w:val="18"/>
                <w:lang w:val="en-IE" w:bidi="en-US"/>
              </w:rPr>
            </w:pPr>
          </w:p>
        </w:tc>
        <w:tc>
          <w:tcPr>
            <w:tcW w:w="784" w:type="dxa"/>
            <w:tcBorders>
              <w:top w:val="single" w:sz="6" w:space="0" w:color="auto"/>
              <w:left w:val="single" w:sz="6" w:space="0" w:color="auto"/>
              <w:bottom w:val="single" w:sz="6" w:space="0" w:color="auto"/>
              <w:right w:val="single" w:sz="6" w:space="0" w:color="auto"/>
            </w:tcBorders>
            <w:shd w:val="clear" w:color="auto" w:fill="D9D9D9"/>
            <w:vAlign w:val="center"/>
          </w:tcPr>
          <w:p w14:paraId="3131C58B"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6" w:space="0" w:color="auto"/>
              <w:left w:val="single" w:sz="6" w:space="0" w:color="auto"/>
              <w:bottom w:val="single" w:sz="6" w:space="0" w:color="auto"/>
            </w:tcBorders>
            <w:shd w:val="clear" w:color="auto" w:fill="D9D9D9"/>
            <w:vAlign w:val="center"/>
          </w:tcPr>
          <w:p w14:paraId="5D743598"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bottom w:val="single" w:sz="6" w:space="0" w:color="auto"/>
            </w:tcBorders>
            <w:shd w:val="clear" w:color="auto" w:fill="D9D9D9"/>
            <w:vAlign w:val="center"/>
          </w:tcPr>
          <w:p w14:paraId="4E38E8BA"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14:paraId="7844FF9C"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6" w:space="0" w:color="auto"/>
              <w:left w:val="single" w:sz="6" w:space="0" w:color="auto"/>
              <w:bottom w:val="single" w:sz="6" w:space="0" w:color="auto"/>
              <w:right w:val="single" w:sz="6" w:space="0" w:color="auto"/>
            </w:tcBorders>
            <w:shd w:val="clear" w:color="auto" w:fill="D9D9D9"/>
            <w:vAlign w:val="center"/>
          </w:tcPr>
          <w:p w14:paraId="0A0EEDEC"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6" w:space="0" w:color="auto"/>
              <w:left w:val="single" w:sz="6" w:space="0" w:color="auto"/>
              <w:bottom w:val="single" w:sz="6" w:space="0" w:color="auto"/>
              <w:right w:val="single" w:sz="6" w:space="0" w:color="auto"/>
            </w:tcBorders>
            <w:shd w:val="clear" w:color="auto" w:fill="D9D9D9"/>
            <w:vAlign w:val="center"/>
          </w:tcPr>
          <w:p w14:paraId="79CA4016"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bottom w:val="single" w:sz="6" w:space="0" w:color="auto"/>
              <w:right w:val="single" w:sz="6" w:space="0" w:color="auto"/>
            </w:tcBorders>
            <w:shd w:val="clear" w:color="auto" w:fill="D9D9D9"/>
            <w:vAlign w:val="center"/>
          </w:tcPr>
          <w:p w14:paraId="5F098586"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6" w:space="0" w:color="auto"/>
              <w:left w:val="single" w:sz="6" w:space="0" w:color="auto"/>
              <w:bottom w:val="single" w:sz="6" w:space="0" w:color="auto"/>
            </w:tcBorders>
            <w:shd w:val="clear" w:color="auto" w:fill="D9D9D9"/>
            <w:vAlign w:val="center"/>
          </w:tcPr>
          <w:p w14:paraId="0B545780" w14:textId="77777777" w:rsidR="00E65E42" w:rsidRPr="00D403F5" w:rsidRDefault="00E65E42" w:rsidP="00E65E42">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bottom w:val="single" w:sz="6" w:space="0" w:color="auto"/>
              <w:right w:val="single" w:sz="6" w:space="0" w:color="auto"/>
            </w:tcBorders>
            <w:shd w:val="clear" w:color="auto" w:fill="D9D9D9"/>
            <w:vAlign w:val="center"/>
          </w:tcPr>
          <w:p w14:paraId="3DAD799B" w14:textId="77777777" w:rsidR="00E65E42" w:rsidRPr="00D403F5" w:rsidRDefault="00E65E42" w:rsidP="00E65E42">
            <w:pPr>
              <w:spacing w:after="0"/>
              <w:jc w:val="center"/>
              <w:rPr>
                <w:rFonts w:ascii="Arial Narrow" w:hAnsi="Arial Narrow" w:cs="Arial"/>
                <w:bCs/>
                <w:sz w:val="18"/>
                <w:szCs w:val="18"/>
                <w:lang w:val="en-IE" w:bidi="en-US"/>
              </w:rPr>
            </w:pPr>
          </w:p>
        </w:tc>
      </w:tr>
      <w:tr w:rsidR="00E65E42" w:rsidRPr="00D403F5" w14:paraId="580BB8A5"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1675A216"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Cell or artificial media culture</w:t>
            </w:r>
          </w:p>
        </w:tc>
        <w:tc>
          <w:tcPr>
            <w:tcW w:w="920" w:type="dxa"/>
            <w:tcBorders>
              <w:top w:val="single" w:sz="6" w:space="0" w:color="auto"/>
              <w:left w:val="single" w:sz="6" w:space="0" w:color="auto"/>
              <w:bottom w:val="single" w:sz="6" w:space="0" w:color="auto"/>
            </w:tcBorders>
            <w:shd w:val="clear" w:color="auto" w:fill="D9D9D9"/>
            <w:vAlign w:val="center"/>
          </w:tcPr>
          <w:p w14:paraId="39D7E35C" w14:textId="77777777" w:rsidR="00E65E42" w:rsidRPr="00D403F5" w:rsidRDefault="00E65E42" w:rsidP="00E65E42">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vAlign w:val="center"/>
          </w:tcPr>
          <w:p w14:paraId="2A3A1132"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9" w:type="dxa"/>
            <w:tcBorders>
              <w:top w:val="single" w:sz="6" w:space="0" w:color="auto"/>
              <w:left w:val="single" w:sz="6" w:space="0" w:color="auto"/>
              <w:bottom w:val="single" w:sz="6" w:space="0" w:color="auto"/>
            </w:tcBorders>
            <w:vAlign w:val="center"/>
          </w:tcPr>
          <w:p w14:paraId="10B27DAA"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84" w:type="dxa"/>
            <w:tcBorders>
              <w:top w:val="single" w:sz="6" w:space="0" w:color="auto"/>
              <w:left w:val="single" w:sz="6" w:space="0" w:color="auto"/>
              <w:bottom w:val="single" w:sz="6" w:space="0" w:color="auto"/>
              <w:right w:val="single" w:sz="6" w:space="0" w:color="auto"/>
            </w:tcBorders>
            <w:vAlign w:val="center"/>
          </w:tcPr>
          <w:p w14:paraId="2A8B95B6" w14:textId="77777777" w:rsidR="00E65E42" w:rsidRPr="00E777B4" w:rsidRDefault="00E65E42" w:rsidP="00E65E42">
            <w:pPr>
              <w:spacing w:after="0"/>
              <w:jc w:val="center"/>
              <w:rPr>
                <w:rFonts w:ascii="Arial Narrow" w:hAnsi="Arial Narrow" w:cs="Arial"/>
                <w:bCs/>
                <w:strike/>
                <w:sz w:val="18"/>
                <w:szCs w:val="18"/>
                <w:lang w:val="en-IE" w:bidi="en-US"/>
              </w:rPr>
            </w:pPr>
            <w:r w:rsidRPr="00E777B4">
              <w:rPr>
                <w:rFonts w:ascii="Arial Narrow" w:hAnsi="Arial Narrow" w:cs="Arial"/>
                <w:bCs/>
                <w:strike/>
                <w:sz w:val="18"/>
                <w:szCs w:val="18"/>
                <w:highlight w:val="yellow"/>
                <w:lang w:val="en-IE" w:bidi="en-US"/>
              </w:rPr>
              <w:t>1</w:t>
            </w:r>
            <w:r>
              <w:rPr>
                <w:rFonts w:ascii="Arial Narrow" w:hAnsi="Arial Narrow" w:cs="Arial"/>
                <w:bCs/>
                <w:strike/>
                <w:sz w:val="18"/>
                <w:szCs w:val="18"/>
                <w:lang w:val="en-IE" w:bidi="en-US"/>
              </w:rPr>
              <w:t xml:space="preserve"> </w:t>
            </w:r>
            <w:r w:rsidRPr="005B05A3">
              <w:rPr>
                <w:rFonts w:ascii="Arial Narrow" w:hAnsi="Arial Narrow" w:cs="Arial"/>
                <w:bCs/>
                <w:sz w:val="18"/>
                <w:szCs w:val="18"/>
                <w:highlight w:val="yellow"/>
                <w:u w:val="double"/>
                <w:lang w:val="en-IE" w:bidi="en-US"/>
              </w:rPr>
              <w:t>3</w:t>
            </w:r>
          </w:p>
        </w:tc>
        <w:tc>
          <w:tcPr>
            <w:tcW w:w="885" w:type="dxa"/>
            <w:tcBorders>
              <w:top w:val="single" w:sz="6" w:space="0" w:color="auto"/>
              <w:left w:val="single" w:sz="6" w:space="0" w:color="auto"/>
              <w:bottom w:val="single" w:sz="6" w:space="0" w:color="auto"/>
            </w:tcBorders>
            <w:shd w:val="clear" w:color="auto" w:fill="D9D9D9"/>
            <w:vAlign w:val="center"/>
          </w:tcPr>
          <w:p w14:paraId="47FB2E60"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bottom w:val="single" w:sz="6" w:space="0" w:color="auto"/>
            </w:tcBorders>
            <w:shd w:val="clear" w:color="auto" w:fill="FFFFFF"/>
            <w:vAlign w:val="center"/>
          </w:tcPr>
          <w:p w14:paraId="0A2EE8C1"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9" w:type="dxa"/>
            <w:tcBorders>
              <w:top w:val="single" w:sz="6" w:space="0" w:color="auto"/>
              <w:left w:val="single" w:sz="6" w:space="0" w:color="auto"/>
              <w:bottom w:val="single" w:sz="6" w:space="0" w:color="auto"/>
            </w:tcBorders>
            <w:shd w:val="clear" w:color="auto" w:fill="FFFFFF"/>
            <w:vAlign w:val="center"/>
          </w:tcPr>
          <w:p w14:paraId="44A3D95A"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CD63619" w14:textId="77777777" w:rsidR="00E65E42" w:rsidRPr="00D403F5" w:rsidRDefault="00E65E42" w:rsidP="00E65E42">
            <w:pPr>
              <w:spacing w:after="0"/>
              <w:jc w:val="center"/>
              <w:rPr>
                <w:rFonts w:ascii="Arial Narrow" w:hAnsi="Arial Narrow" w:cs="Arial"/>
                <w:bCs/>
                <w:sz w:val="18"/>
                <w:szCs w:val="18"/>
                <w:lang w:val="en-IE" w:bidi="en-US"/>
              </w:rPr>
            </w:pPr>
            <w:r w:rsidRPr="00E777B4">
              <w:rPr>
                <w:rFonts w:ascii="Arial Narrow" w:hAnsi="Arial Narrow" w:cs="Arial"/>
                <w:bCs/>
                <w:strike/>
                <w:sz w:val="18"/>
                <w:szCs w:val="18"/>
                <w:highlight w:val="yellow"/>
                <w:lang w:val="en-IE" w:bidi="en-US"/>
              </w:rPr>
              <w:t>1</w:t>
            </w:r>
            <w:r>
              <w:rPr>
                <w:rFonts w:ascii="Arial Narrow" w:hAnsi="Arial Narrow" w:cs="Arial"/>
                <w:bCs/>
                <w:sz w:val="18"/>
                <w:szCs w:val="18"/>
                <w:lang w:val="en-IE" w:bidi="en-US"/>
              </w:rPr>
              <w:t xml:space="preserve"> </w:t>
            </w:r>
            <w:r w:rsidRPr="005B05A3">
              <w:rPr>
                <w:rFonts w:ascii="Arial Narrow" w:hAnsi="Arial Narrow" w:cs="Arial"/>
                <w:bCs/>
                <w:sz w:val="18"/>
                <w:szCs w:val="18"/>
                <w:highlight w:val="yellow"/>
                <w:u w:val="double"/>
                <w:lang w:val="en-IE" w:bidi="en-US"/>
              </w:rPr>
              <w:t>3</w:t>
            </w:r>
          </w:p>
        </w:tc>
        <w:tc>
          <w:tcPr>
            <w:tcW w:w="885" w:type="dxa"/>
            <w:tcBorders>
              <w:top w:val="single" w:sz="6" w:space="0" w:color="auto"/>
              <w:left w:val="single" w:sz="6" w:space="0" w:color="auto"/>
              <w:bottom w:val="single" w:sz="6" w:space="0" w:color="auto"/>
              <w:right w:val="single" w:sz="6" w:space="0" w:color="auto"/>
            </w:tcBorders>
            <w:shd w:val="clear" w:color="auto" w:fill="D9D9D9"/>
            <w:vAlign w:val="center"/>
          </w:tcPr>
          <w:p w14:paraId="20E64635"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bottom w:val="single" w:sz="6" w:space="0" w:color="auto"/>
              <w:right w:val="single" w:sz="6" w:space="0" w:color="auto"/>
            </w:tcBorders>
            <w:vAlign w:val="center"/>
          </w:tcPr>
          <w:p w14:paraId="3D203306"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50" w:type="dxa"/>
            <w:tcBorders>
              <w:top w:val="single" w:sz="6" w:space="0" w:color="auto"/>
              <w:left w:val="single" w:sz="6" w:space="0" w:color="auto"/>
              <w:bottom w:val="single" w:sz="6" w:space="0" w:color="auto"/>
            </w:tcBorders>
            <w:vAlign w:val="center"/>
          </w:tcPr>
          <w:p w14:paraId="175249DE"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51" w:type="dxa"/>
            <w:tcBorders>
              <w:top w:val="single" w:sz="6" w:space="0" w:color="auto"/>
              <w:left w:val="single" w:sz="6" w:space="0" w:color="auto"/>
              <w:bottom w:val="single" w:sz="6" w:space="0" w:color="auto"/>
              <w:right w:val="single" w:sz="6" w:space="0" w:color="auto"/>
            </w:tcBorders>
            <w:vAlign w:val="center"/>
          </w:tcPr>
          <w:p w14:paraId="4AE89793" w14:textId="77777777" w:rsidR="00E65E42" w:rsidRPr="00D403F5" w:rsidRDefault="00E65E42" w:rsidP="00E65E42">
            <w:pPr>
              <w:spacing w:after="0"/>
              <w:jc w:val="center"/>
              <w:rPr>
                <w:rFonts w:ascii="Arial Narrow" w:hAnsi="Arial Narrow" w:cs="Arial"/>
                <w:bCs/>
                <w:sz w:val="18"/>
                <w:szCs w:val="18"/>
                <w:lang w:val="en-IE" w:bidi="en-US"/>
              </w:rPr>
            </w:pPr>
            <w:r w:rsidRPr="00E777B4">
              <w:rPr>
                <w:rFonts w:ascii="Arial Narrow" w:hAnsi="Arial Narrow" w:cs="Arial"/>
                <w:bCs/>
                <w:strike/>
                <w:sz w:val="18"/>
                <w:szCs w:val="18"/>
                <w:highlight w:val="yellow"/>
                <w:lang w:val="en-IE" w:bidi="en-US"/>
              </w:rPr>
              <w:t>1</w:t>
            </w:r>
            <w:r>
              <w:rPr>
                <w:rFonts w:ascii="Arial Narrow" w:hAnsi="Arial Narrow" w:cs="Arial"/>
                <w:bCs/>
                <w:sz w:val="18"/>
                <w:szCs w:val="18"/>
                <w:lang w:val="en-IE" w:bidi="en-US"/>
              </w:rPr>
              <w:t xml:space="preserve"> </w:t>
            </w:r>
            <w:r w:rsidRPr="00E777B4">
              <w:rPr>
                <w:rFonts w:ascii="Arial Narrow" w:hAnsi="Arial Narrow" w:cs="Arial"/>
                <w:bCs/>
                <w:sz w:val="18"/>
                <w:szCs w:val="18"/>
                <w:highlight w:val="yellow"/>
                <w:u w:val="double"/>
                <w:lang w:val="en-IE" w:bidi="en-US"/>
              </w:rPr>
              <w:t>3</w:t>
            </w:r>
          </w:p>
        </w:tc>
      </w:tr>
      <w:tr w:rsidR="00E65E42" w:rsidRPr="00D403F5" w14:paraId="4E0F51AD"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54B76E67"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Real-time PCR</w:t>
            </w:r>
          </w:p>
        </w:tc>
        <w:tc>
          <w:tcPr>
            <w:tcW w:w="920" w:type="dxa"/>
            <w:tcBorders>
              <w:top w:val="single" w:sz="6" w:space="0" w:color="auto"/>
              <w:left w:val="single" w:sz="6" w:space="0" w:color="auto"/>
              <w:bottom w:val="single" w:sz="6" w:space="0" w:color="auto"/>
            </w:tcBorders>
            <w:shd w:val="clear" w:color="auto" w:fill="D9D9D9"/>
            <w:vAlign w:val="center"/>
          </w:tcPr>
          <w:p w14:paraId="1C1344CE"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992" w:type="dxa"/>
            <w:tcBorders>
              <w:top w:val="single" w:sz="6" w:space="0" w:color="auto"/>
              <w:left w:val="single" w:sz="6" w:space="0" w:color="auto"/>
              <w:bottom w:val="single" w:sz="6" w:space="0" w:color="auto"/>
            </w:tcBorders>
            <w:shd w:val="clear" w:color="auto" w:fill="D9D9D9"/>
            <w:vAlign w:val="center"/>
          </w:tcPr>
          <w:p w14:paraId="2A434F14"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14:paraId="733D8D9A"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784" w:type="dxa"/>
            <w:tcBorders>
              <w:top w:val="single" w:sz="6" w:space="0" w:color="auto"/>
              <w:left w:val="single" w:sz="6" w:space="0" w:color="auto"/>
              <w:bottom w:val="single" w:sz="6" w:space="0" w:color="auto"/>
              <w:right w:val="single" w:sz="6" w:space="0" w:color="auto"/>
            </w:tcBorders>
            <w:shd w:val="clear" w:color="auto" w:fill="D9D9D9"/>
            <w:vAlign w:val="center"/>
          </w:tcPr>
          <w:p w14:paraId="1B6E36E6"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885" w:type="dxa"/>
            <w:tcBorders>
              <w:top w:val="single" w:sz="6" w:space="0" w:color="auto"/>
              <w:left w:val="single" w:sz="6" w:space="0" w:color="auto"/>
              <w:bottom w:val="single" w:sz="6" w:space="0" w:color="auto"/>
            </w:tcBorders>
            <w:shd w:val="clear" w:color="auto" w:fill="D9D9D9"/>
            <w:vAlign w:val="center"/>
          </w:tcPr>
          <w:p w14:paraId="6E3CC309"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958" w:type="dxa"/>
            <w:tcBorders>
              <w:top w:val="single" w:sz="6" w:space="0" w:color="auto"/>
              <w:left w:val="single" w:sz="6" w:space="0" w:color="auto"/>
              <w:bottom w:val="single" w:sz="6" w:space="0" w:color="auto"/>
            </w:tcBorders>
            <w:shd w:val="clear" w:color="auto" w:fill="D9D9D9"/>
            <w:vAlign w:val="center"/>
          </w:tcPr>
          <w:p w14:paraId="2C1313ED"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14:paraId="72F0350D"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850" w:type="dxa"/>
            <w:tcBorders>
              <w:top w:val="single" w:sz="6" w:space="0" w:color="auto"/>
              <w:left w:val="single" w:sz="6" w:space="0" w:color="auto"/>
              <w:bottom w:val="single" w:sz="6" w:space="0" w:color="auto"/>
              <w:right w:val="single" w:sz="6" w:space="0" w:color="auto"/>
            </w:tcBorders>
            <w:shd w:val="clear" w:color="auto" w:fill="D9D9D9"/>
            <w:vAlign w:val="center"/>
          </w:tcPr>
          <w:p w14:paraId="04301848"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885" w:type="dxa"/>
            <w:tcBorders>
              <w:top w:val="single" w:sz="6" w:space="0" w:color="auto"/>
              <w:left w:val="single" w:sz="6" w:space="0" w:color="auto"/>
              <w:bottom w:val="single" w:sz="6" w:space="0" w:color="auto"/>
              <w:right w:val="single" w:sz="6" w:space="0" w:color="auto"/>
            </w:tcBorders>
            <w:shd w:val="clear" w:color="auto" w:fill="D9D9D9"/>
            <w:vAlign w:val="center"/>
          </w:tcPr>
          <w:p w14:paraId="44202CA4"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958" w:type="dxa"/>
            <w:tcBorders>
              <w:top w:val="single" w:sz="6" w:space="0" w:color="auto"/>
              <w:left w:val="single" w:sz="6" w:space="0" w:color="auto"/>
              <w:bottom w:val="single" w:sz="4" w:space="0" w:color="auto"/>
              <w:right w:val="single" w:sz="6" w:space="0" w:color="auto"/>
            </w:tcBorders>
            <w:shd w:val="clear" w:color="auto" w:fill="D9D9D9"/>
            <w:vAlign w:val="center"/>
          </w:tcPr>
          <w:p w14:paraId="215D690B"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850" w:type="dxa"/>
            <w:tcBorders>
              <w:top w:val="single" w:sz="6" w:space="0" w:color="auto"/>
              <w:left w:val="single" w:sz="6" w:space="0" w:color="auto"/>
              <w:bottom w:val="single" w:sz="4" w:space="0" w:color="auto"/>
            </w:tcBorders>
            <w:shd w:val="clear" w:color="auto" w:fill="D9D9D9"/>
            <w:vAlign w:val="center"/>
          </w:tcPr>
          <w:p w14:paraId="1793A031"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851" w:type="dxa"/>
            <w:tcBorders>
              <w:top w:val="single" w:sz="6" w:space="0" w:color="auto"/>
              <w:left w:val="single" w:sz="6" w:space="0" w:color="auto"/>
              <w:bottom w:val="single" w:sz="4" w:space="0" w:color="auto"/>
              <w:right w:val="single" w:sz="6" w:space="0" w:color="auto"/>
            </w:tcBorders>
            <w:shd w:val="clear" w:color="auto" w:fill="D9D9D9"/>
            <w:vAlign w:val="center"/>
          </w:tcPr>
          <w:p w14:paraId="15753F6F" w14:textId="77777777" w:rsidR="00E65E42" w:rsidRPr="00D403F5" w:rsidRDefault="00E65E42" w:rsidP="00E65E42">
            <w:pPr>
              <w:spacing w:after="0"/>
              <w:jc w:val="center"/>
              <w:rPr>
                <w:rFonts w:ascii="Arial Narrow" w:hAnsi="Arial Narrow" w:cs="Arial"/>
                <w:bCs/>
                <w:strike/>
                <w:sz w:val="18"/>
                <w:szCs w:val="18"/>
                <w:lang w:val="en-IE" w:bidi="en-US"/>
              </w:rPr>
            </w:pPr>
          </w:p>
        </w:tc>
      </w:tr>
      <w:tr w:rsidR="00E65E42" w:rsidRPr="00D403F5" w14:paraId="5EDB0618"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3CBD3735"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Conventional PCR</w:t>
            </w:r>
          </w:p>
        </w:tc>
        <w:tc>
          <w:tcPr>
            <w:tcW w:w="920" w:type="dxa"/>
            <w:tcBorders>
              <w:top w:val="single" w:sz="6" w:space="0" w:color="auto"/>
              <w:left w:val="single" w:sz="6" w:space="0" w:color="auto"/>
              <w:bottom w:val="single" w:sz="6" w:space="0" w:color="auto"/>
            </w:tcBorders>
            <w:shd w:val="clear" w:color="auto" w:fill="D9D9D9"/>
            <w:vAlign w:val="center"/>
          </w:tcPr>
          <w:p w14:paraId="41FBD288" w14:textId="77777777" w:rsidR="00E65E42" w:rsidRPr="00D403F5" w:rsidRDefault="00E65E42" w:rsidP="00E65E42">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vAlign w:val="center"/>
          </w:tcPr>
          <w:p w14:paraId="74C882EB"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9" w:type="dxa"/>
            <w:tcBorders>
              <w:top w:val="single" w:sz="6" w:space="0" w:color="auto"/>
              <w:left w:val="single" w:sz="6" w:space="0" w:color="auto"/>
              <w:bottom w:val="single" w:sz="6" w:space="0" w:color="auto"/>
            </w:tcBorders>
            <w:vAlign w:val="center"/>
          </w:tcPr>
          <w:p w14:paraId="4B537791"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84" w:type="dxa"/>
            <w:tcBorders>
              <w:top w:val="single" w:sz="6" w:space="0" w:color="auto"/>
              <w:left w:val="single" w:sz="6" w:space="0" w:color="auto"/>
              <w:bottom w:val="single" w:sz="6" w:space="0" w:color="auto"/>
              <w:right w:val="single" w:sz="6" w:space="0" w:color="auto"/>
            </w:tcBorders>
            <w:vAlign w:val="center"/>
          </w:tcPr>
          <w:p w14:paraId="5C1EDBCD" w14:textId="77777777" w:rsidR="00E65E42" w:rsidRPr="00D403F5" w:rsidRDefault="00E65E42" w:rsidP="00E65E42">
            <w:pPr>
              <w:spacing w:after="0"/>
              <w:jc w:val="center"/>
              <w:rPr>
                <w:rFonts w:ascii="Arial Narrow" w:hAnsi="Arial Narrow" w:cs="Arial"/>
                <w:bCs/>
                <w:sz w:val="18"/>
                <w:szCs w:val="18"/>
                <w:lang w:val="en-IE" w:bidi="en-US"/>
              </w:rPr>
            </w:pPr>
            <w:r w:rsidRPr="00E777B4">
              <w:rPr>
                <w:rFonts w:ascii="Arial Narrow" w:hAnsi="Arial Narrow" w:cs="Arial"/>
                <w:bCs/>
                <w:strike/>
                <w:sz w:val="18"/>
                <w:szCs w:val="18"/>
                <w:highlight w:val="yellow"/>
                <w:lang w:val="en-IE" w:bidi="en-US"/>
              </w:rPr>
              <w:t>1</w:t>
            </w:r>
            <w:r>
              <w:rPr>
                <w:rFonts w:ascii="Arial Narrow" w:hAnsi="Arial Narrow" w:cs="Arial"/>
                <w:bCs/>
                <w:sz w:val="18"/>
                <w:szCs w:val="18"/>
                <w:lang w:val="en-IE" w:bidi="en-US"/>
              </w:rPr>
              <w:t xml:space="preserve"> </w:t>
            </w:r>
            <w:r w:rsidRPr="00E777B4">
              <w:rPr>
                <w:rFonts w:ascii="Arial Narrow" w:hAnsi="Arial Narrow" w:cs="Arial"/>
                <w:bCs/>
                <w:sz w:val="18"/>
                <w:szCs w:val="18"/>
                <w:highlight w:val="yellow"/>
                <w:u w:val="double"/>
                <w:lang w:val="en-IE" w:bidi="en-US"/>
              </w:rPr>
              <w:t>2</w:t>
            </w:r>
          </w:p>
        </w:tc>
        <w:tc>
          <w:tcPr>
            <w:tcW w:w="885" w:type="dxa"/>
            <w:tcBorders>
              <w:top w:val="single" w:sz="6" w:space="0" w:color="auto"/>
              <w:left w:val="single" w:sz="6" w:space="0" w:color="auto"/>
              <w:bottom w:val="single" w:sz="6" w:space="0" w:color="auto"/>
            </w:tcBorders>
            <w:shd w:val="clear" w:color="auto" w:fill="D9D9D9"/>
            <w:vAlign w:val="center"/>
          </w:tcPr>
          <w:p w14:paraId="26E3376B"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bottom w:val="single" w:sz="6" w:space="0" w:color="auto"/>
            </w:tcBorders>
            <w:vAlign w:val="center"/>
          </w:tcPr>
          <w:p w14:paraId="75D1C595"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9" w:type="dxa"/>
            <w:tcBorders>
              <w:top w:val="single" w:sz="6" w:space="0" w:color="auto"/>
              <w:left w:val="single" w:sz="6" w:space="0" w:color="auto"/>
              <w:bottom w:val="single" w:sz="6" w:space="0" w:color="auto"/>
            </w:tcBorders>
            <w:vAlign w:val="center"/>
          </w:tcPr>
          <w:p w14:paraId="0B95CA6F"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50" w:type="dxa"/>
            <w:tcBorders>
              <w:top w:val="single" w:sz="6" w:space="0" w:color="auto"/>
              <w:left w:val="single" w:sz="6" w:space="0" w:color="auto"/>
              <w:bottom w:val="single" w:sz="6" w:space="0" w:color="auto"/>
              <w:right w:val="single" w:sz="6" w:space="0" w:color="auto"/>
            </w:tcBorders>
            <w:vAlign w:val="center"/>
          </w:tcPr>
          <w:p w14:paraId="0C83CDFB" w14:textId="77777777" w:rsidR="00E65E42" w:rsidRPr="00D403F5" w:rsidRDefault="00E65E42" w:rsidP="00E65E42">
            <w:pPr>
              <w:spacing w:after="0"/>
              <w:jc w:val="center"/>
              <w:rPr>
                <w:rFonts w:ascii="Arial Narrow" w:hAnsi="Arial Narrow" w:cs="Arial"/>
                <w:bCs/>
                <w:sz w:val="18"/>
                <w:szCs w:val="18"/>
                <w:lang w:val="en-IE" w:bidi="en-US"/>
              </w:rPr>
            </w:pPr>
            <w:r w:rsidRPr="00E777B4">
              <w:rPr>
                <w:rFonts w:ascii="Arial Narrow" w:hAnsi="Arial Narrow" w:cs="Arial"/>
                <w:bCs/>
                <w:strike/>
                <w:sz w:val="18"/>
                <w:szCs w:val="18"/>
                <w:highlight w:val="yellow"/>
                <w:lang w:val="en-IE" w:bidi="en-US"/>
              </w:rPr>
              <w:t>1</w:t>
            </w:r>
            <w:r w:rsidRPr="00E777B4">
              <w:rPr>
                <w:rFonts w:ascii="Arial Narrow" w:hAnsi="Arial Narrow" w:cs="Arial"/>
                <w:bCs/>
                <w:strike/>
                <w:sz w:val="18"/>
                <w:szCs w:val="18"/>
                <w:lang w:val="en-IE" w:bidi="en-US"/>
              </w:rPr>
              <w:t xml:space="preserve"> </w:t>
            </w:r>
            <w:r w:rsidRPr="00E777B4">
              <w:rPr>
                <w:rFonts w:ascii="Arial Narrow" w:hAnsi="Arial Narrow" w:cs="Arial"/>
                <w:bCs/>
                <w:sz w:val="18"/>
                <w:szCs w:val="18"/>
                <w:highlight w:val="yellow"/>
                <w:u w:val="double"/>
                <w:lang w:val="en-IE" w:bidi="en-US"/>
              </w:rPr>
              <w:t>2</w:t>
            </w:r>
          </w:p>
        </w:tc>
        <w:tc>
          <w:tcPr>
            <w:tcW w:w="885" w:type="dxa"/>
            <w:tcBorders>
              <w:top w:val="single" w:sz="6" w:space="0" w:color="auto"/>
              <w:left w:val="single" w:sz="6" w:space="0" w:color="auto"/>
              <w:bottom w:val="single" w:sz="6" w:space="0" w:color="auto"/>
              <w:right w:val="single" w:sz="6" w:space="0" w:color="auto"/>
            </w:tcBorders>
            <w:shd w:val="pct15" w:color="auto" w:fill="auto"/>
            <w:vAlign w:val="center"/>
          </w:tcPr>
          <w:p w14:paraId="3781DEDD"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4" w:space="0" w:color="auto"/>
              <w:left w:val="single" w:sz="6" w:space="0" w:color="auto"/>
              <w:bottom w:val="single" w:sz="4" w:space="0" w:color="auto"/>
              <w:right w:val="single" w:sz="6" w:space="0" w:color="auto"/>
            </w:tcBorders>
            <w:shd w:val="clear" w:color="auto" w:fill="auto"/>
            <w:vAlign w:val="center"/>
          </w:tcPr>
          <w:p w14:paraId="0C4FA578"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50" w:type="dxa"/>
            <w:tcBorders>
              <w:top w:val="single" w:sz="4" w:space="0" w:color="auto"/>
              <w:left w:val="single" w:sz="6" w:space="0" w:color="auto"/>
              <w:bottom w:val="single" w:sz="4" w:space="0" w:color="auto"/>
            </w:tcBorders>
            <w:shd w:val="clear" w:color="auto" w:fill="auto"/>
            <w:vAlign w:val="center"/>
          </w:tcPr>
          <w:p w14:paraId="668BB69F"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51" w:type="dxa"/>
            <w:tcBorders>
              <w:top w:val="single" w:sz="4" w:space="0" w:color="auto"/>
              <w:left w:val="single" w:sz="6" w:space="0" w:color="auto"/>
              <w:bottom w:val="single" w:sz="4" w:space="0" w:color="auto"/>
              <w:right w:val="single" w:sz="6" w:space="0" w:color="auto"/>
            </w:tcBorders>
            <w:shd w:val="clear" w:color="auto" w:fill="auto"/>
            <w:vAlign w:val="center"/>
          </w:tcPr>
          <w:p w14:paraId="18E9DD49" w14:textId="77777777" w:rsidR="00E65E42" w:rsidRPr="00D403F5" w:rsidRDefault="00E65E42" w:rsidP="00E65E42">
            <w:pPr>
              <w:spacing w:after="0"/>
              <w:jc w:val="center"/>
              <w:rPr>
                <w:rFonts w:ascii="Arial Narrow" w:hAnsi="Arial Narrow" w:cs="Arial"/>
                <w:bCs/>
                <w:sz w:val="18"/>
                <w:szCs w:val="18"/>
                <w:lang w:val="en-IE" w:bidi="en-US"/>
              </w:rPr>
            </w:pPr>
            <w:r w:rsidRPr="00E777B4">
              <w:rPr>
                <w:rFonts w:ascii="Arial Narrow" w:hAnsi="Arial Narrow" w:cs="Arial"/>
                <w:bCs/>
                <w:strike/>
                <w:sz w:val="18"/>
                <w:szCs w:val="18"/>
                <w:highlight w:val="yellow"/>
                <w:lang w:val="en-IE" w:bidi="en-US"/>
              </w:rPr>
              <w:t>1</w:t>
            </w:r>
            <w:r>
              <w:rPr>
                <w:rFonts w:ascii="Arial Narrow" w:hAnsi="Arial Narrow" w:cs="Arial"/>
                <w:bCs/>
                <w:sz w:val="18"/>
                <w:szCs w:val="18"/>
                <w:lang w:val="en-IE" w:bidi="en-US"/>
              </w:rPr>
              <w:t xml:space="preserve"> </w:t>
            </w:r>
            <w:r w:rsidRPr="00E777B4">
              <w:rPr>
                <w:rFonts w:ascii="Arial Narrow" w:hAnsi="Arial Narrow" w:cs="Arial"/>
                <w:bCs/>
                <w:sz w:val="18"/>
                <w:szCs w:val="18"/>
                <w:highlight w:val="yellow"/>
                <w:u w:val="double"/>
                <w:lang w:val="en-IE" w:bidi="en-US"/>
              </w:rPr>
              <w:t>2</w:t>
            </w:r>
          </w:p>
        </w:tc>
      </w:tr>
      <w:tr w:rsidR="00E65E42" w:rsidRPr="00D403F5" w14:paraId="41141BCE"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1385B8FD"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Amplicon sequencing</w:t>
            </w:r>
            <w:r w:rsidRPr="00D403F5">
              <w:rPr>
                <w:rFonts w:ascii="Arial Narrow" w:hAnsi="Arial Narrow" w:cs="Arial"/>
                <w:b/>
                <w:bCs/>
                <w:sz w:val="18"/>
                <w:szCs w:val="18"/>
                <w:vertAlign w:val="superscript"/>
                <w:lang w:val="en-IE" w:bidi="en-US"/>
              </w:rPr>
              <w:t>4</w:t>
            </w:r>
          </w:p>
        </w:tc>
        <w:tc>
          <w:tcPr>
            <w:tcW w:w="920" w:type="dxa"/>
            <w:tcBorders>
              <w:top w:val="single" w:sz="6" w:space="0" w:color="auto"/>
              <w:left w:val="single" w:sz="6" w:space="0" w:color="auto"/>
              <w:bottom w:val="single" w:sz="6" w:space="0" w:color="auto"/>
            </w:tcBorders>
            <w:shd w:val="pct15" w:color="auto" w:fill="auto"/>
            <w:vAlign w:val="center"/>
          </w:tcPr>
          <w:p w14:paraId="0C167577" w14:textId="77777777" w:rsidR="00E65E42" w:rsidRPr="00D403F5" w:rsidRDefault="00E65E42" w:rsidP="00E65E42">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14:paraId="54A50882"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14:paraId="5A44387E" w14:textId="77777777" w:rsidR="00E65E42" w:rsidRPr="00D403F5" w:rsidRDefault="00E65E42" w:rsidP="00E65E42">
            <w:pPr>
              <w:spacing w:after="0"/>
              <w:jc w:val="center"/>
              <w:rPr>
                <w:rFonts w:ascii="Arial Narrow" w:hAnsi="Arial Narrow" w:cs="Arial"/>
                <w:bCs/>
                <w:sz w:val="18"/>
                <w:szCs w:val="18"/>
                <w:lang w:val="en-IE" w:bidi="en-US"/>
              </w:rPr>
            </w:pPr>
          </w:p>
        </w:tc>
        <w:tc>
          <w:tcPr>
            <w:tcW w:w="784" w:type="dxa"/>
            <w:tcBorders>
              <w:top w:val="single" w:sz="6" w:space="0" w:color="auto"/>
              <w:left w:val="single" w:sz="6" w:space="0" w:color="auto"/>
              <w:bottom w:val="single" w:sz="6" w:space="0" w:color="auto"/>
              <w:right w:val="single" w:sz="6" w:space="0" w:color="auto"/>
            </w:tcBorders>
            <w:shd w:val="pct15" w:color="auto" w:fill="auto"/>
            <w:vAlign w:val="center"/>
          </w:tcPr>
          <w:p w14:paraId="06382EBE"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6" w:space="0" w:color="auto"/>
              <w:left w:val="single" w:sz="6" w:space="0" w:color="auto"/>
              <w:bottom w:val="single" w:sz="6" w:space="0" w:color="auto"/>
            </w:tcBorders>
            <w:shd w:val="pct15" w:color="auto" w:fill="auto"/>
            <w:vAlign w:val="center"/>
          </w:tcPr>
          <w:p w14:paraId="3465D0E4"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bottom w:val="single" w:sz="6" w:space="0" w:color="auto"/>
            </w:tcBorders>
            <w:shd w:val="pct15" w:color="auto" w:fill="auto"/>
            <w:vAlign w:val="center"/>
          </w:tcPr>
          <w:p w14:paraId="410B9890"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14:paraId="74E8AF11"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6" w:space="0" w:color="auto"/>
              <w:left w:val="single" w:sz="6" w:space="0" w:color="auto"/>
              <w:bottom w:val="single" w:sz="6" w:space="0" w:color="auto"/>
              <w:right w:val="single" w:sz="6" w:space="0" w:color="auto"/>
            </w:tcBorders>
            <w:shd w:val="pct15" w:color="auto" w:fill="auto"/>
            <w:vAlign w:val="center"/>
          </w:tcPr>
          <w:p w14:paraId="1D910874"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6" w:space="0" w:color="auto"/>
              <w:left w:val="single" w:sz="6" w:space="0" w:color="auto"/>
              <w:bottom w:val="single" w:sz="6" w:space="0" w:color="auto"/>
              <w:right w:val="single" w:sz="6" w:space="0" w:color="auto"/>
            </w:tcBorders>
            <w:shd w:val="clear" w:color="auto" w:fill="D9D9D9"/>
            <w:vAlign w:val="center"/>
          </w:tcPr>
          <w:p w14:paraId="5FFE058F"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4" w:space="0" w:color="auto"/>
              <w:left w:val="single" w:sz="6" w:space="0" w:color="auto"/>
              <w:bottom w:val="single" w:sz="6" w:space="0" w:color="auto"/>
              <w:right w:val="single" w:sz="6" w:space="0" w:color="auto"/>
            </w:tcBorders>
            <w:vAlign w:val="center"/>
          </w:tcPr>
          <w:p w14:paraId="2F281A5D"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50" w:type="dxa"/>
            <w:tcBorders>
              <w:top w:val="single" w:sz="4" w:space="0" w:color="auto"/>
              <w:left w:val="single" w:sz="6" w:space="0" w:color="auto"/>
              <w:bottom w:val="single" w:sz="6" w:space="0" w:color="auto"/>
            </w:tcBorders>
            <w:vAlign w:val="center"/>
          </w:tcPr>
          <w:p w14:paraId="30882C57"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51" w:type="dxa"/>
            <w:tcBorders>
              <w:top w:val="single" w:sz="4" w:space="0" w:color="auto"/>
              <w:left w:val="single" w:sz="6" w:space="0" w:color="auto"/>
              <w:bottom w:val="single" w:sz="6" w:space="0" w:color="auto"/>
              <w:right w:val="single" w:sz="6" w:space="0" w:color="auto"/>
            </w:tcBorders>
            <w:vAlign w:val="center"/>
          </w:tcPr>
          <w:p w14:paraId="7319D52D" w14:textId="77777777" w:rsidR="00E65E42" w:rsidRPr="00D403F5" w:rsidRDefault="00E65E42" w:rsidP="00E65E42">
            <w:pPr>
              <w:spacing w:after="0"/>
              <w:jc w:val="center"/>
              <w:rPr>
                <w:rFonts w:ascii="Arial Narrow" w:hAnsi="Arial Narrow" w:cs="Arial"/>
                <w:bCs/>
                <w:sz w:val="18"/>
                <w:szCs w:val="18"/>
                <w:lang w:val="en-IE" w:bidi="en-US"/>
              </w:rPr>
            </w:pPr>
            <w:r w:rsidRPr="00E777B4">
              <w:rPr>
                <w:rFonts w:ascii="Arial Narrow" w:hAnsi="Arial Narrow" w:cs="Arial"/>
                <w:bCs/>
                <w:strike/>
                <w:sz w:val="18"/>
                <w:szCs w:val="18"/>
                <w:highlight w:val="yellow"/>
                <w:lang w:val="en-IE" w:bidi="en-US"/>
              </w:rPr>
              <w:t>1</w:t>
            </w:r>
            <w:r>
              <w:rPr>
                <w:rFonts w:ascii="Arial Narrow" w:hAnsi="Arial Narrow" w:cs="Arial"/>
                <w:bCs/>
                <w:sz w:val="18"/>
                <w:szCs w:val="18"/>
                <w:lang w:val="en-IE" w:bidi="en-US"/>
              </w:rPr>
              <w:t xml:space="preserve"> </w:t>
            </w:r>
            <w:r w:rsidRPr="00E777B4">
              <w:rPr>
                <w:rFonts w:ascii="Arial Narrow" w:hAnsi="Arial Narrow" w:cs="Arial"/>
                <w:bCs/>
                <w:sz w:val="18"/>
                <w:szCs w:val="18"/>
                <w:highlight w:val="yellow"/>
                <w:u w:val="double"/>
                <w:lang w:val="en-IE" w:bidi="en-US"/>
              </w:rPr>
              <w:t>3</w:t>
            </w:r>
          </w:p>
        </w:tc>
      </w:tr>
      <w:tr w:rsidR="00E65E42" w:rsidRPr="00D403F5" w14:paraId="753EF45F" w14:textId="77777777" w:rsidTr="00E65E42">
        <w:trPr>
          <w:trHeight w:val="402"/>
          <w:jc w:val="center"/>
        </w:trPr>
        <w:tc>
          <w:tcPr>
            <w:tcW w:w="2399" w:type="dxa"/>
            <w:tcBorders>
              <w:top w:val="single" w:sz="6" w:space="0" w:color="auto"/>
              <w:left w:val="single" w:sz="6" w:space="0" w:color="auto"/>
            </w:tcBorders>
            <w:vAlign w:val="center"/>
          </w:tcPr>
          <w:p w14:paraId="3B7B7C70"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i/>
                <w:iCs/>
                <w:sz w:val="18"/>
                <w:szCs w:val="18"/>
                <w:lang w:val="en-IE" w:bidi="en-US"/>
              </w:rPr>
              <w:t>In-situ</w:t>
            </w:r>
            <w:r w:rsidRPr="00D403F5">
              <w:rPr>
                <w:rFonts w:ascii="Arial Narrow" w:hAnsi="Arial Narrow" w:cs="Arial"/>
                <w:b/>
                <w:bCs/>
                <w:sz w:val="18"/>
                <w:szCs w:val="18"/>
                <w:lang w:val="en-IE" w:bidi="en-US"/>
              </w:rPr>
              <w:t xml:space="preserve"> hybridisation</w:t>
            </w:r>
          </w:p>
        </w:tc>
        <w:tc>
          <w:tcPr>
            <w:tcW w:w="920" w:type="dxa"/>
            <w:tcBorders>
              <w:top w:val="single" w:sz="6" w:space="0" w:color="auto"/>
              <w:left w:val="single" w:sz="6" w:space="0" w:color="auto"/>
              <w:bottom w:val="single" w:sz="6" w:space="0" w:color="auto"/>
            </w:tcBorders>
            <w:shd w:val="pct15" w:color="auto" w:fill="auto"/>
            <w:vAlign w:val="center"/>
          </w:tcPr>
          <w:p w14:paraId="0B619CEC" w14:textId="77777777" w:rsidR="00E65E42" w:rsidRPr="00D403F5" w:rsidRDefault="00E65E42" w:rsidP="00E65E42">
            <w:pPr>
              <w:spacing w:after="0"/>
              <w:jc w:val="center"/>
              <w:rPr>
                <w:rFonts w:ascii="Arial Narrow" w:hAnsi="Arial Narrow" w:cs="Arial"/>
                <w:bCs/>
                <w:i/>
                <w:iCs/>
                <w:strike/>
                <w:sz w:val="18"/>
                <w:szCs w:val="18"/>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14:paraId="3ACDC11B" w14:textId="77777777" w:rsidR="00E65E42" w:rsidRPr="00D403F5" w:rsidRDefault="00E65E42" w:rsidP="00E65E42">
            <w:pPr>
              <w:spacing w:after="0"/>
              <w:jc w:val="center"/>
              <w:rPr>
                <w:rFonts w:ascii="Arial Narrow" w:hAnsi="Arial Narrow" w:cs="Arial"/>
                <w:bCs/>
                <w:i/>
                <w:iCs/>
                <w:strike/>
                <w:sz w:val="18"/>
                <w:szCs w:val="18"/>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14:paraId="02760B91"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784" w:type="dxa"/>
            <w:tcBorders>
              <w:top w:val="single" w:sz="6" w:space="0" w:color="auto"/>
              <w:left w:val="single" w:sz="6" w:space="0" w:color="auto"/>
              <w:bottom w:val="single" w:sz="6" w:space="0" w:color="auto"/>
              <w:right w:val="single" w:sz="6" w:space="0" w:color="auto"/>
            </w:tcBorders>
            <w:shd w:val="pct15" w:color="auto" w:fill="auto"/>
            <w:vAlign w:val="center"/>
          </w:tcPr>
          <w:p w14:paraId="05A67C97"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885" w:type="dxa"/>
            <w:tcBorders>
              <w:top w:val="single" w:sz="6" w:space="0" w:color="auto"/>
              <w:left w:val="single" w:sz="6" w:space="0" w:color="auto"/>
              <w:bottom w:val="single" w:sz="6" w:space="0" w:color="auto"/>
            </w:tcBorders>
            <w:shd w:val="clear" w:color="auto" w:fill="D9D9D9"/>
            <w:vAlign w:val="center"/>
          </w:tcPr>
          <w:p w14:paraId="5F066833"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958" w:type="dxa"/>
            <w:tcBorders>
              <w:top w:val="single" w:sz="6" w:space="0" w:color="auto"/>
              <w:left w:val="single" w:sz="6" w:space="0" w:color="auto"/>
              <w:bottom w:val="single" w:sz="6" w:space="0" w:color="auto"/>
            </w:tcBorders>
            <w:shd w:val="pct15" w:color="auto" w:fill="auto"/>
            <w:vAlign w:val="center"/>
          </w:tcPr>
          <w:p w14:paraId="13D857F8"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14:paraId="6DB37B6A"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850" w:type="dxa"/>
            <w:tcBorders>
              <w:top w:val="single" w:sz="6" w:space="0" w:color="auto"/>
              <w:left w:val="single" w:sz="6" w:space="0" w:color="auto"/>
              <w:bottom w:val="single" w:sz="6" w:space="0" w:color="auto"/>
              <w:right w:val="single" w:sz="6" w:space="0" w:color="auto"/>
            </w:tcBorders>
            <w:shd w:val="pct15" w:color="auto" w:fill="auto"/>
            <w:vAlign w:val="center"/>
          </w:tcPr>
          <w:p w14:paraId="199285CD"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885" w:type="dxa"/>
            <w:tcBorders>
              <w:top w:val="single" w:sz="6" w:space="0" w:color="auto"/>
              <w:left w:val="single" w:sz="6" w:space="0" w:color="auto"/>
              <w:bottom w:val="single" w:sz="6" w:space="0" w:color="auto"/>
              <w:right w:val="single" w:sz="6" w:space="0" w:color="auto"/>
            </w:tcBorders>
            <w:shd w:val="pct15" w:color="auto" w:fill="auto"/>
            <w:vAlign w:val="center"/>
          </w:tcPr>
          <w:p w14:paraId="2523B95B"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958" w:type="dxa"/>
            <w:tcBorders>
              <w:top w:val="single" w:sz="6" w:space="0" w:color="auto"/>
              <w:left w:val="single" w:sz="6" w:space="0" w:color="auto"/>
              <w:bottom w:val="single" w:sz="6" w:space="0" w:color="auto"/>
              <w:right w:val="single" w:sz="6" w:space="0" w:color="auto"/>
            </w:tcBorders>
            <w:shd w:val="pct15" w:color="auto" w:fill="auto"/>
            <w:vAlign w:val="center"/>
          </w:tcPr>
          <w:p w14:paraId="668A8E28"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6C7C73EA" w14:textId="77777777" w:rsidR="00E65E42" w:rsidRPr="00D403F5" w:rsidRDefault="00E65E42" w:rsidP="00E65E42">
            <w:pPr>
              <w:spacing w:after="0"/>
              <w:jc w:val="center"/>
              <w:rPr>
                <w:rFonts w:ascii="Arial Narrow" w:hAnsi="Arial Narrow" w:cs="Arial"/>
                <w:bCs/>
                <w:strike/>
                <w:sz w:val="18"/>
                <w:szCs w:val="18"/>
                <w:lang w:val="en-IE" w:bidi="en-US"/>
              </w:rPr>
            </w:pPr>
          </w:p>
        </w:tc>
        <w:tc>
          <w:tcPr>
            <w:tcW w:w="851" w:type="dxa"/>
            <w:tcBorders>
              <w:top w:val="single" w:sz="6" w:space="0" w:color="auto"/>
              <w:left w:val="single" w:sz="6" w:space="0" w:color="auto"/>
              <w:bottom w:val="single" w:sz="6" w:space="0" w:color="auto"/>
              <w:right w:val="single" w:sz="6" w:space="0" w:color="auto"/>
            </w:tcBorders>
            <w:shd w:val="pct15" w:color="auto" w:fill="auto"/>
            <w:vAlign w:val="center"/>
          </w:tcPr>
          <w:p w14:paraId="7D77BA9C" w14:textId="77777777" w:rsidR="00E65E42" w:rsidRPr="00D403F5" w:rsidRDefault="00E65E42" w:rsidP="00E65E42">
            <w:pPr>
              <w:spacing w:after="0"/>
              <w:jc w:val="center"/>
              <w:rPr>
                <w:rFonts w:ascii="Arial Narrow" w:hAnsi="Arial Narrow" w:cs="Arial"/>
                <w:bCs/>
                <w:strike/>
                <w:sz w:val="18"/>
                <w:szCs w:val="18"/>
                <w:lang w:val="en-IE" w:bidi="en-US"/>
              </w:rPr>
            </w:pPr>
          </w:p>
        </w:tc>
      </w:tr>
      <w:tr w:rsidR="00E65E42" w:rsidRPr="00D403F5" w14:paraId="016F7F9F" w14:textId="77777777" w:rsidTr="00E65E42">
        <w:trPr>
          <w:trHeight w:val="269"/>
          <w:jc w:val="center"/>
        </w:trPr>
        <w:tc>
          <w:tcPr>
            <w:tcW w:w="2399" w:type="dxa"/>
            <w:tcBorders>
              <w:top w:val="single" w:sz="4" w:space="0" w:color="auto"/>
              <w:left w:val="single" w:sz="6" w:space="0" w:color="auto"/>
              <w:bottom w:val="single" w:sz="4" w:space="0" w:color="auto"/>
            </w:tcBorders>
            <w:vAlign w:val="center"/>
          </w:tcPr>
          <w:p w14:paraId="0B31CA8A" w14:textId="77777777" w:rsidR="00E65E42" w:rsidRPr="00D403F5" w:rsidRDefault="00E65E42" w:rsidP="00E65E42">
            <w:pPr>
              <w:spacing w:after="0"/>
              <w:jc w:val="center"/>
              <w:rPr>
                <w:rFonts w:ascii="Arial Narrow" w:hAnsi="Arial Narrow" w:cs="Arial"/>
                <w:b/>
                <w:bCs/>
                <w:sz w:val="18"/>
                <w:szCs w:val="18"/>
                <w:u w:val="double"/>
                <w:lang w:val="en-IE" w:bidi="en-US"/>
              </w:rPr>
            </w:pPr>
            <w:r w:rsidRPr="00D403F5">
              <w:rPr>
                <w:rFonts w:ascii="Arial Narrow" w:hAnsi="Arial Narrow" w:cs="Arial"/>
                <w:b/>
                <w:bCs/>
                <w:sz w:val="18"/>
                <w:szCs w:val="18"/>
                <w:u w:val="double"/>
                <w:lang w:val="en-IE" w:bidi="en-US"/>
              </w:rPr>
              <w:t xml:space="preserve">Immunohistochemistry </w:t>
            </w:r>
          </w:p>
        </w:tc>
        <w:tc>
          <w:tcPr>
            <w:tcW w:w="920" w:type="dxa"/>
            <w:tcBorders>
              <w:top w:val="single" w:sz="6" w:space="0" w:color="auto"/>
              <w:left w:val="single" w:sz="6" w:space="0" w:color="auto"/>
              <w:bottom w:val="single" w:sz="4" w:space="0" w:color="auto"/>
            </w:tcBorders>
            <w:shd w:val="clear" w:color="auto" w:fill="D9D9D9"/>
            <w:vAlign w:val="center"/>
          </w:tcPr>
          <w:p w14:paraId="1033C483" w14:textId="77777777" w:rsidR="00E65E42" w:rsidRPr="00D403F5" w:rsidRDefault="00E65E42" w:rsidP="00E65E42">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4" w:space="0" w:color="auto"/>
            </w:tcBorders>
            <w:shd w:val="clear" w:color="auto" w:fill="D9D9D9"/>
            <w:vAlign w:val="center"/>
          </w:tcPr>
          <w:p w14:paraId="2D0687CB"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4" w:space="0" w:color="auto"/>
            </w:tcBorders>
            <w:shd w:val="clear" w:color="auto" w:fill="D9D9D9"/>
            <w:vAlign w:val="center"/>
          </w:tcPr>
          <w:p w14:paraId="6E94450B" w14:textId="77777777" w:rsidR="00E65E42" w:rsidRPr="00D403F5" w:rsidRDefault="00E65E42" w:rsidP="00E65E42">
            <w:pPr>
              <w:spacing w:after="0"/>
              <w:jc w:val="center"/>
              <w:rPr>
                <w:rFonts w:ascii="Arial Narrow" w:hAnsi="Arial Narrow" w:cs="Arial"/>
                <w:bCs/>
                <w:sz w:val="18"/>
                <w:szCs w:val="18"/>
                <w:lang w:val="en-IE" w:bidi="en-US"/>
              </w:rPr>
            </w:pPr>
          </w:p>
        </w:tc>
        <w:tc>
          <w:tcPr>
            <w:tcW w:w="784" w:type="dxa"/>
            <w:tcBorders>
              <w:top w:val="single" w:sz="6" w:space="0" w:color="auto"/>
              <w:left w:val="single" w:sz="6" w:space="0" w:color="auto"/>
              <w:bottom w:val="single" w:sz="4" w:space="0" w:color="auto"/>
              <w:right w:val="single" w:sz="6" w:space="0" w:color="auto"/>
            </w:tcBorders>
            <w:shd w:val="clear" w:color="auto" w:fill="D9D9D9"/>
            <w:vAlign w:val="center"/>
          </w:tcPr>
          <w:p w14:paraId="4929B014"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4" w:space="0" w:color="auto"/>
              <w:left w:val="single" w:sz="6" w:space="0" w:color="auto"/>
              <w:bottom w:val="single" w:sz="4" w:space="0" w:color="auto"/>
            </w:tcBorders>
            <w:shd w:val="clear" w:color="auto" w:fill="D9D9D9"/>
            <w:vAlign w:val="center"/>
          </w:tcPr>
          <w:p w14:paraId="5F54DD7C"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4" w:space="0" w:color="auto"/>
              <w:left w:val="single" w:sz="6" w:space="0" w:color="auto"/>
              <w:bottom w:val="single" w:sz="4" w:space="0" w:color="auto"/>
            </w:tcBorders>
            <w:shd w:val="clear" w:color="auto" w:fill="auto"/>
            <w:vAlign w:val="center"/>
          </w:tcPr>
          <w:p w14:paraId="55C1BF4E"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9" w:type="dxa"/>
            <w:tcBorders>
              <w:top w:val="single" w:sz="4" w:space="0" w:color="auto"/>
              <w:left w:val="single" w:sz="6" w:space="0" w:color="auto"/>
              <w:bottom w:val="single" w:sz="4" w:space="0" w:color="auto"/>
            </w:tcBorders>
            <w:shd w:val="clear" w:color="auto" w:fill="auto"/>
            <w:vAlign w:val="center"/>
          </w:tcPr>
          <w:p w14:paraId="04D4E456"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50" w:type="dxa"/>
            <w:tcBorders>
              <w:top w:val="single" w:sz="4" w:space="0" w:color="auto"/>
              <w:left w:val="single" w:sz="6" w:space="0" w:color="auto"/>
              <w:bottom w:val="single" w:sz="4" w:space="0" w:color="auto"/>
              <w:right w:val="single" w:sz="6" w:space="0" w:color="auto"/>
            </w:tcBorders>
            <w:shd w:val="clear" w:color="auto" w:fill="auto"/>
            <w:vAlign w:val="center"/>
          </w:tcPr>
          <w:p w14:paraId="76487847"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1</w:t>
            </w:r>
          </w:p>
        </w:tc>
        <w:tc>
          <w:tcPr>
            <w:tcW w:w="885" w:type="dxa"/>
            <w:tcBorders>
              <w:top w:val="single" w:sz="4" w:space="0" w:color="auto"/>
              <w:left w:val="single" w:sz="6" w:space="0" w:color="auto"/>
              <w:bottom w:val="single" w:sz="4" w:space="0" w:color="auto"/>
              <w:right w:val="single" w:sz="6" w:space="0" w:color="auto"/>
            </w:tcBorders>
            <w:shd w:val="clear" w:color="auto" w:fill="D9D9D9"/>
            <w:vAlign w:val="center"/>
          </w:tcPr>
          <w:p w14:paraId="553B2F1B"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4" w:space="0" w:color="auto"/>
              <w:left w:val="single" w:sz="6" w:space="0" w:color="auto"/>
              <w:bottom w:val="single" w:sz="4" w:space="0" w:color="auto"/>
              <w:right w:val="single" w:sz="6" w:space="0" w:color="auto"/>
            </w:tcBorders>
            <w:shd w:val="clear" w:color="auto" w:fill="D9D9D9"/>
            <w:vAlign w:val="center"/>
          </w:tcPr>
          <w:p w14:paraId="5A8B0DA0"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4" w:space="0" w:color="auto"/>
              <w:left w:val="single" w:sz="6" w:space="0" w:color="auto"/>
              <w:bottom w:val="single" w:sz="4" w:space="0" w:color="auto"/>
            </w:tcBorders>
            <w:shd w:val="clear" w:color="auto" w:fill="D9D9D9"/>
            <w:vAlign w:val="center"/>
          </w:tcPr>
          <w:p w14:paraId="2396A5C4" w14:textId="77777777" w:rsidR="00E65E42" w:rsidRPr="00D403F5" w:rsidRDefault="00E65E42" w:rsidP="00E65E42">
            <w:pPr>
              <w:spacing w:after="0"/>
              <w:jc w:val="center"/>
              <w:rPr>
                <w:rFonts w:ascii="Arial Narrow" w:hAnsi="Arial Narrow" w:cs="Arial"/>
                <w:bCs/>
                <w:sz w:val="18"/>
                <w:szCs w:val="18"/>
                <w:lang w:val="en-IE" w:bidi="en-US"/>
              </w:rPr>
            </w:pPr>
          </w:p>
        </w:tc>
        <w:tc>
          <w:tcPr>
            <w:tcW w:w="851" w:type="dxa"/>
            <w:tcBorders>
              <w:top w:val="single" w:sz="4" w:space="0" w:color="auto"/>
              <w:left w:val="single" w:sz="6" w:space="0" w:color="auto"/>
              <w:bottom w:val="single" w:sz="4" w:space="0" w:color="auto"/>
              <w:right w:val="single" w:sz="6" w:space="0" w:color="auto"/>
            </w:tcBorders>
            <w:shd w:val="clear" w:color="auto" w:fill="D9D9D9"/>
            <w:vAlign w:val="center"/>
          </w:tcPr>
          <w:p w14:paraId="65622698" w14:textId="77777777" w:rsidR="00E65E42" w:rsidRPr="00D403F5" w:rsidRDefault="00E65E42" w:rsidP="00E65E42">
            <w:pPr>
              <w:spacing w:after="0"/>
              <w:jc w:val="center"/>
              <w:rPr>
                <w:rFonts w:ascii="Arial Narrow" w:hAnsi="Arial Narrow" w:cs="Arial"/>
                <w:bCs/>
                <w:sz w:val="18"/>
                <w:szCs w:val="18"/>
                <w:lang w:val="en-IE" w:bidi="en-US"/>
              </w:rPr>
            </w:pPr>
          </w:p>
        </w:tc>
      </w:tr>
      <w:tr w:rsidR="00E65E42" w:rsidRPr="00D403F5" w14:paraId="119CC88A" w14:textId="77777777" w:rsidTr="00E65E42">
        <w:trPr>
          <w:trHeight w:val="402"/>
          <w:jc w:val="center"/>
        </w:trPr>
        <w:tc>
          <w:tcPr>
            <w:tcW w:w="2399" w:type="dxa"/>
            <w:tcBorders>
              <w:top w:val="single" w:sz="6" w:space="0" w:color="auto"/>
              <w:left w:val="single" w:sz="6" w:space="0" w:color="auto"/>
            </w:tcBorders>
            <w:vAlign w:val="center"/>
          </w:tcPr>
          <w:p w14:paraId="2D7FA78B"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Bioassay</w:t>
            </w:r>
          </w:p>
        </w:tc>
        <w:tc>
          <w:tcPr>
            <w:tcW w:w="920" w:type="dxa"/>
            <w:tcBorders>
              <w:top w:val="single" w:sz="6" w:space="0" w:color="auto"/>
              <w:left w:val="single" w:sz="6" w:space="0" w:color="auto"/>
              <w:bottom w:val="single" w:sz="6" w:space="0" w:color="auto"/>
            </w:tcBorders>
            <w:shd w:val="pct15" w:color="auto" w:fill="auto"/>
            <w:vAlign w:val="center"/>
          </w:tcPr>
          <w:p w14:paraId="154B3C7E" w14:textId="77777777" w:rsidR="00E65E42" w:rsidRPr="00D403F5" w:rsidRDefault="00E65E42" w:rsidP="00E65E42">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14:paraId="025C6736"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14:paraId="2DF02BA4" w14:textId="77777777" w:rsidR="00E65E42" w:rsidRPr="00D403F5" w:rsidRDefault="00E65E42" w:rsidP="00E65E42">
            <w:pPr>
              <w:spacing w:after="0"/>
              <w:jc w:val="center"/>
              <w:rPr>
                <w:rFonts w:ascii="Arial Narrow" w:hAnsi="Arial Narrow" w:cs="Arial"/>
                <w:bCs/>
                <w:sz w:val="18"/>
                <w:szCs w:val="18"/>
                <w:lang w:val="en-IE" w:bidi="en-US"/>
              </w:rPr>
            </w:pPr>
          </w:p>
        </w:tc>
        <w:tc>
          <w:tcPr>
            <w:tcW w:w="784" w:type="dxa"/>
            <w:tcBorders>
              <w:top w:val="single" w:sz="6" w:space="0" w:color="auto"/>
              <w:left w:val="single" w:sz="6" w:space="0" w:color="auto"/>
              <w:bottom w:val="single" w:sz="6" w:space="0" w:color="auto"/>
              <w:right w:val="single" w:sz="6" w:space="0" w:color="auto"/>
            </w:tcBorders>
            <w:shd w:val="pct15" w:color="auto" w:fill="auto"/>
            <w:vAlign w:val="center"/>
          </w:tcPr>
          <w:p w14:paraId="71C70A6E"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6" w:space="0" w:color="auto"/>
              <w:left w:val="single" w:sz="6" w:space="0" w:color="auto"/>
              <w:bottom w:val="single" w:sz="6" w:space="0" w:color="auto"/>
            </w:tcBorders>
            <w:shd w:val="clear" w:color="auto" w:fill="D9D9D9"/>
            <w:vAlign w:val="center"/>
          </w:tcPr>
          <w:p w14:paraId="7BE820F8"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bottom w:val="single" w:sz="6" w:space="0" w:color="auto"/>
            </w:tcBorders>
            <w:shd w:val="clear" w:color="auto" w:fill="D9D9D9"/>
            <w:vAlign w:val="center"/>
          </w:tcPr>
          <w:p w14:paraId="1345CE32"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14:paraId="780410A1"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6" w:space="0" w:color="auto"/>
              <w:left w:val="single" w:sz="6" w:space="0" w:color="auto"/>
              <w:bottom w:val="single" w:sz="6" w:space="0" w:color="auto"/>
              <w:right w:val="single" w:sz="6" w:space="0" w:color="auto"/>
            </w:tcBorders>
            <w:shd w:val="clear" w:color="auto" w:fill="D9D9D9"/>
            <w:vAlign w:val="center"/>
          </w:tcPr>
          <w:p w14:paraId="4EFEE0BB"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6" w:space="0" w:color="auto"/>
              <w:left w:val="single" w:sz="6" w:space="0" w:color="auto"/>
              <w:right w:val="single" w:sz="6" w:space="0" w:color="auto"/>
            </w:tcBorders>
            <w:shd w:val="clear" w:color="auto" w:fill="D9D9D9"/>
            <w:vAlign w:val="center"/>
          </w:tcPr>
          <w:p w14:paraId="230043AC"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right w:val="single" w:sz="6" w:space="0" w:color="auto"/>
            </w:tcBorders>
            <w:shd w:val="clear" w:color="auto" w:fill="D9D9D9"/>
            <w:vAlign w:val="center"/>
          </w:tcPr>
          <w:p w14:paraId="5C30D9E0"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6" w:space="0" w:color="auto"/>
              <w:left w:val="single" w:sz="6" w:space="0" w:color="auto"/>
            </w:tcBorders>
            <w:shd w:val="clear" w:color="auto" w:fill="D9D9D9"/>
            <w:vAlign w:val="center"/>
          </w:tcPr>
          <w:p w14:paraId="59234FA6" w14:textId="77777777" w:rsidR="00E65E42" w:rsidRPr="00D403F5" w:rsidRDefault="00E65E42" w:rsidP="00E65E42">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right w:val="single" w:sz="6" w:space="0" w:color="auto"/>
            </w:tcBorders>
            <w:shd w:val="clear" w:color="auto" w:fill="D9D9D9"/>
            <w:vAlign w:val="center"/>
          </w:tcPr>
          <w:p w14:paraId="3AB37503" w14:textId="77777777" w:rsidR="00E65E42" w:rsidRPr="00D403F5" w:rsidRDefault="00E65E42" w:rsidP="00E65E42">
            <w:pPr>
              <w:spacing w:after="0"/>
              <w:jc w:val="center"/>
              <w:rPr>
                <w:rFonts w:ascii="Arial Narrow" w:hAnsi="Arial Narrow" w:cs="Arial"/>
                <w:bCs/>
                <w:sz w:val="18"/>
                <w:szCs w:val="18"/>
                <w:lang w:val="en-IE" w:bidi="en-US"/>
              </w:rPr>
            </w:pPr>
          </w:p>
        </w:tc>
      </w:tr>
      <w:tr w:rsidR="00E65E42" w:rsidRPr="00D403F5" w14:paraId="32FC49C6" w14:textId="77777777" w:rsidTr="00E65E42">
        <w:trPr>
          <w:trHeight w:val="402"/>
          <w:jc w:val="center"/>
        </w:trPr>
        <w:tc>
          <w:tcPr>
            <w:tcW w:w="2399" w:type="dxa"/>
            <w:tcBorders>
              <w:top w:val="single" w:sz="6" w:space="0" w:color="auto"/>
              <w:left w:val="single" w:sz="6" w:space="0" w:color="auto"/>
              <w:bottom w:val="single" w:sz="4" w:space="0" w:color="auto"/>
            </w:tcBorders>
            <w:vAlign w:val="center"/>
          </w:tcPr>
          <w:p w14:paraId="46C5FE72"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LAMP</w:t>
            </w:r>
          </w:p>
        </w:tc>
        <w:tc>
          <w:tcPr>
            <w:tcW w:w="920" w:type="dxa"/>
            <w:tcBorders>
              <w:top w:val="single" w:sz="6" w:space="0" w:color="auto"/>
              <w:left w:val="single" w:sz="6" w:space="0" w:color="auto"/>
              <w:bottom w:val="single" w:sz="6" w:space="0" w:color="auto"/>
            </w:tcBorders>
            <w:shd w:val="clear" w:color="auto" w:fill="D9D9D9"/>
            <w:vAlign w:val="center"/>
          </w:tcPr>
          <w:p w14:paraId="34BF2A9D" w14:textId="77777777" w:rsidR="00E65E42" w:rsidRPr="00D403F5" w:rsidRDefault="00E65E42" w:rsidP="00E65E42">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14:paraId="24D2A2A7"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14:paraId="3FB69D6F" w14:textId="77777777" w:rsidR="00E65E42" w:rsidRPr="00D403F5" w:rsidRDefault="00E65E42" w:rsidP="00E65E42">
            <w:pPr>
              <w:spacing w:after="0"/>
              <w:jc w:val="center"/>
              <w:rPr>
                <w:rFonts w:ascii="Arial Narrow" w:hAnsi="Arial Narrow" w:cs="Arial"/>
                <w:bCs/>
                <w:sz w:val="18"/>
                <w:szCs w:val="18"/>
                <w:lang w:val="en-IE" w:bidi="en-US"/>
              </w:rPr>
            </w:pPr>
          </w:p>
        </w:tc>
        <w:tc>
          <w:tcPr>
            <w:tcW w:w="784" w:type="dxa"/>
            <w:tcBorders>
              <w:top w:val="single" w:sz="6" w:space="0" w:color="auto"/>
              <w:left w:val="single" w:sz="6" w:space="0" w:color="auto"/>
              <w:bottom w:val="single" w:sz="6" w:space="0" w:color="auto"/>
              <w:right w:val="single" w:sz="6" w:space="0" w:color="auto"/>
            </w:tcBorders>
            <w:shd w:val="pct15" w:color="auto" w:fill="auto"/>
            <w:vAlign w:val="center"/>
          </w:tcPr>
          <w:p w14:paraId="5BC29113"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6" w:space="0" w:color="auto"/>
              <w:left w:val="single" w:sz="6" w:space="0" w:color="auto"/>
              <w:bottom w:val="single" w:sz="6" w:space="0" w:color="auto"/>
            </w:tcBorders>
            <w:shd w:val="pct15" w:color="auto" w:fill="auto"/>
            <w:vAlign w:val="center"/>
          </w:tcPr>
          <w:p w14:paraId="5244795E"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bottom w:val="single" w:sz="6" w:space="0" w:color="auto"/>
            </w:tcBorders>
            <w:shd w:val="pct15" w:color="auto" w:fill="auto"/>
            <w:vAlign w:val="center"/>
          </w:tcPr>
          <w:p w14:paraId="27F0E178"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14:paraId="5F0675A9"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6" w:space="0" w:color="auto"/>
              <w:left w:val="single" w:sz="6" w:space="0" w:color="auto"/>
              <w:bottom w:val="single" w:sz="6" w:space="0" w:color="auto"/>
              <w:right w:val="single" w:sz="6" w:space="0" w:color="auto"/>
            </w:tcBorders>
            <w:shd w:val="pct15" w:color="auto" w:fill="auto"/>
            <w:vAlign w:val="center"/>
          </w:tcPr>
          <w:p w14:paraId="15DCAFA9"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6" w:space="0" w:color="auto"/>
              <w:left w:val="single" w:sz="6" w:space="0" w:color="auto"/>
              <w:bottom w:val="single" w:sz="4" w:space="0" w:color="auto"/>
              <w:right w:val="single" w:sz="6" w:space="0" w:color="auto"/>
            </w:tcBorders>
            <w:shd w:val="clear" w:color="auto" w:fill="D9D9D9"/>
            <w:vAlign w:val="center"/>
          </w:tcPr>
          <w:p w14:paraId="4E4BA303"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bottom w:val="single" w:sz="4" w:space="0" w:color="auto"/>
              <w:right w:val="single" w:sz="6" w:space="0" w:color="auto"/>
            </w:tcBorders>
            <w:shd w:val="clear" w:color="auto" w:fill="D9D9D9"/>
            <w:vAlign w:val="center"/>
          </w:tcPr>
          <w:p w14:paraId="46B981E8"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6" w:space="0" w:color="auto"/>
              <w:left w:val="single" w:sz="6" w:space="0" w:color="auto"/>
              <w:bottom w:val="single" w:sz="4" w:space="0" w:color="auto"/>
            </w:tcBorders>
            <w:shd w:val="clear" w:color="auto" w:fill="D9D9D9"/>
            <w:vAlign w:val="center"/>
          </w:tcPr>
          <w:p w14:paraId="55B976A0" w14:textId="77777777" w:rsidR="00E65E42" w:rsidRPr="00D403F5" w:rsidRDefault="00E65E42" w:rsidP="00E65E42">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bottom w:val="single" w:sz="4" w:space="0" w:color="auto"/>
              <w:right w:val="single" w:sz="6" w:space="0" w:color="auto"/>
            </w:tcBorders>
            <w:shd w:val="clear" w:color="auto" w:fill="D9D9D9"/>
            <w:vAlign w:val="center"/>
          </w:tcPr>
          <w:p w14:paraId="4708ADB1" w14:textId="77777777" w:rsidR="00E65E42" w:rsidRPr="00D403F5" w:rsidRDefault="00E65E42" w:rsidP="00E65E42">
            <w:pPr>
              <w:spacing w:after="0"/>
              <w:jc w:val="center"/>
              <w:rPr>
                <w:rFonts w:ascii="Arial Narrow" w:hAnsi="Arial Narrow" w:cs="Arial"/>
                <w:bCs/>
                <w:sz w:val="18"/>
                <w:szCs w:val="18"/>
                <w:lang w:val="en-IE" w:bidi="en-US"/>
              </w:rPr>
            </w:pPr>
          </w:p>
        </w:tc>
      </w:tr>
      <w:tr w:rsidR="00E65E42" w:rsidRPr="00D403F5" w14:paraId="7ECBA878" w14:textId="77777777" w:rsidTr="00E65E42">
        <w:trPr>
          <w:trHeight w:val="402"/>
          <w:jc w:val="center"/>
        </w:trPr>
        <w:tc>
          <w:tcPr>
            <w:tcW w:w="2399" w:type="dxa"/>
            <w:tcBorders>
              <w:top w:val="single" w:sz="6" w:space="0" w:color="auto"/>
              <w:left w:val="single" w:sz="6" w:space="0" w:color="auto"/>
              <w:bottom w:val="single" w:sz="4" w:space="0" w:color="auto"/>
            </w:tcBorders>
            <w:vAlign w:val="center"/>
          </w:tcPr>
          <w:p w14:paraId="13A70F0B"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Ab</w:t>
            </w:r>
            <w:r>
              <w:rPr>
                <w:rFonts w:ascii="Arial Narrow" w:hAnsi="Arial Narrow" w:cs="Arial"/>
                <w:b/>
                <w:bCs/>
                <w:sz w:val="18"/>
                <w:szCs w:val="18"/>
                <w:lang w:val="en-IE" w:bidi="en-US"/>
              </w:rPr>
              <w:t>-</w:t>
            </w:r>
            <w:r w:rsidRPr="00D403F5">
              <w:rPr>
                <w:rFonts w:ascii="Arial Narrow" w:hAnsi="Arial Narrow" w:cs="Arial"/>
                <w:b/>
                <w:bCs/>
                <w:sz w:val="18"/>
                <w:szCs w:val="18"/>
                <w:lang w:val="en-IE" w:bidi="en-US"/>
              </w:rPr>
              <w:t>ELISA</w:t>
            </w:r>
          </w:p>
        </w:tc>
        <w:tc>
          <w:tcPr>
            <w:tcW w:w="920" w:type="dxa"/>
            <w:tcBorders>
              <w:top w:val="single" w:sz="6" w:space="0" w:color="auto"/>
              <w:left w:val="single" w:sz="6" w:space="0" w:color="auto"/>
              <w:bottom w:val="single" w:sz="6" w:space="0" w:color="auto"/>
            </w:tcBorders>
            <w:shd w:val="clear" w:color="auto" w:fill="D9D9D9"/>
            <w:vAlign w:val="center"/>
          </w:tcPr>
          <w:p w14:paraId="0AF8D1DF" w14:textId="77777777" w:rsidR="00E65E42" w:rsidRPr="00D403F5" w:rsidRDefault="00E65E42" w:rsidP="00E65E42">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shd w:val="clear" w:color="auto" w:fill="D9D9D9"/>
            <w:vAlign w:val="center"/>
          </w:tcPr>
          <w:p w14:paraId="06980652"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14:paraId="11373502" w14:textId="77777777" w:rsidR="00E65E42" w:rsidRPr="00D403F5" w:rsidRDefault="00E65E42" w:rsidP="00E65E42">
            <w:pPr>
              <w:spacing w:after="0"/>
              <w:jc w:val="center"/>
              <w:rPr>
                <w:rFonts w:ascii="Arial Narrow" w:hAnsi="Arial Narrow" w:cs="Arial"/>
                <w:bCs/>
                <w:sz w:val="18"/>
                <w:szCs w:val="18"/>
                <w:lang w:val="en-IE" w:bidi="en-US"/>
              </w:rPr>
            </w:pPr>
          </w:p>
        </w:tc>
        <w:tc>
          <w:tcPr>
            <w:tcW w:w="784" w:type="dxa"/>
            <w:tcBorders>
              <w:top w:val="single" w:sz="6" w:space="0" w:color="auto"/>
              <w:left w:val="single" w:sz="6" w:space="0" w:color="auto"/>
              <w:bottom w:val="single" w:sz="6" w:space="0" w:color="auto"/>
              <w:right w:val="single" w:sz="6" w:space="0" w:color="auto"/>
            </w:tcBorders>
            <w:shd w:val="clear" w:color="auto" w:fill="D9D9D9"/>
            <w:vAlign w:val="center"/>
          </w:tcPr>
          <w:p w14:paraId="0DF95091"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6" w:space="0" w:color="auto"/>
              <w:left w:val="single" w:sz="6" w:space="0" w:color="auto"/>
              <w:bottom w:val="single" w:sz="4" w:space="0" w:color="auto"/>
            </w:tcBorders>
            <w:shd w:val="clear" w:color="auto" w:fill="D9D9D9"/>
            <w:vAlign w:val="center"/>
          </w:tcPr>
          <w:p w14:paraId="30947F0D"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bottom w:val="single" w:sz="4" w:space="0" w:color="auto"/>
            </w:tcBorders>
            <w:shd w:val="clear" w:color="auto" w:fill="D9D9D9"/>
            <w:vAlign w:val="center"/>
          </w:tcPr>
          <w:p w14:paraId="4BDAEE4A"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4" w:space="0" w:color="auto"/>
            </w:tcBorders>
            <w:shd w:val="clear" w:color="auto" w:fill="D9D9D9"/>
            <w:vAlign w:val="center"/>
          </w:tcPr>
          <w:p w14:paraId="28F45B2F"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6" w:space="0" w:color="auto"/>
              <w:left w:val="single" w:sz="6" w:space="0" w:color="auto"/>
              <w:bottom w:val="single" w:sz="4" w:space="0" w:color="auto"/>
              <w:right w:val="single" w:sz="6" w:space="0" w:color="auto"/>
            </w:tcBorders>
            <w:shd w:val="clear" w:color="auto" w:fill="D9D9D9"/>
            <w:vAlign w:val="center"/>
          </w:tcPr>
          <w:p w14:paraId="415AECCC"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6" w:space="0" w:color="auto"/>
              <w:left w:val="single" w:sz="6" w:space="0" w:color="auto"/>
              <w:bottom w:val="single" w:sz="4" w:space="0" w:color="auto"/>
              <w:right w:val="single" w:sz="6" w:space="0" w:color="auto"/>
            </w:tcBorders>
            <w:shd w:val="clear" w:color="auto" w:fill="D9D9D9"/>
            <w:vAlign w:val="center"/>
          </w:tcPr>
          <w:p w14:paraId="583B15F7"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6" w:space="0" w:color="auto"/>
              <w:left w:val="single" w:sz="6" w:space="0" w:color="auto"/>
              <w:bottom w:val="single" w:sz="4" w:space="0" w:color="auto"/>
              <w:right w:val="single" w:sz="6" w:space="0" w:color="auto"/>
            </w:tcBorders>
            <w:shd w:val="clear" w:color="auto" w:fill="D9D9D9"/>
            <w:vAlign w:val="center"/>
          </w:tcPr>
          <w:p w14:paraId="6DC685FC"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6" w:space="0" w:color="auto"/>
              <w:left w:val="single" w:sz="6" w:space="0" w:color="auto"/>
              <w:bottom w:val="single" w:sz="4" w:space="0" w:color="auto"/>
            </w:tcBorders>
            <w:shd w:val="clear" w:color="auto" w:fill="D9D9D9"/>
            <w:vAlign w:val="center"/>
          </w:tcPr>
          <w:p w14:paraId="740F0BE8" w14:textId="77777777" w:rsidR="00E65E42" w:rsidRPr="00D403F5" w:rsidRDefault="00E65E42" w:rsidP="00E65E42">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bottom w:val="single" w:sz="4" w:space="0" w:color="auto"/>
              <w:right w:val="single" w:sz="6" w:space="0" w:color="auto"/>
            </w:tcBorders>
            <w:shd w:val="clear" w:color="auto" w:fill="D9D9D9"/>
            <w:vAlign w:val="center"/>
          </w:tcPr>
          <w:p w14:paraId="0048AAC3" w14:textId="77777777" w:rsidR="00E65E42" w:rsidRPr="00D403F5" w:rsidRDefault="00E65E42" w:rsidP="00E65E42">
            <w:pPr>
              <w:spacing w:after="0"/>
              <w:jc w:val="center"/>
              <w:rPr>
                <w:rFonts w:ascii="Arial Narrow" w:hAnsi="Arial Narrow" w:cs="Arial"/>
                <w:bCs/>
                <w:sz w:val="18"/>
                <w:szCs w:val="18"/>
                <w:lang w:val="en-IE" w:bidi="en-US"/>
              </w:rPr>
            </w:pPr>
          </w:p>
        </w:tc>
      </w:tr>
      <w:tr w:rsidR="00E65E42" w:rsidRPr="00D403F5" w14:paraId="27C14C48" w14:textId="77777777" w:rsidTr="00E65E42">
        <w:trPr>
          <w:trHeight w:val="402"/>
          <w:jc w:val="center"/>
        </w:trPr>
        <w:tc>
          <w:tcPr>
            <w:tcW w:w="2399" w:type="dxa"/>
            <w:tcBorders>
              <w:top w:val="single" w:sz="4" w:space="0" w:color="auto"/>
              <w:left w:val="single" w:sz="6" w:space="0" w:color="auto"/>
              <w:bottom w:val="single" w:sz="4" w:space="0" w:color="auto"/>
            </w:tcBorders>
            <w:vAlign w:val="center"/>
          </w:tcPr>
          <w:p w14:paraId="660AF52F"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Ag</w:t>
            </w:r>
            <w:r>
              <w:rPr>
                <w:rFonts w:ascii="Arial Narrow" w:hAnsi="Arial Narrow" w:cs="Arial"/>
                <w:b/>
                <w:bCs/>
                <w:sz w:val="18"/>
                <w:szCs w:val="18"/>
                <w:lang w:val="en-IE" w:bidi="en-US"/>
              </w:rPr>
              <w:t>-</w:t>
            </w:r>
            <w:r w:rsidRPr="00D403F5">
              <w:rPr>
                <w:rFonts w:ascii="Arial Narrow" w:hAnsi="Arial Narrow" w:cs="Arial"/>
                <w:b/>
                <w:bCs/>
                <w:sz w:val="18"/>
                <w:szCs w:val="18"/>
                <w:lang w:val="en-IE" w:bidi="en-US"/>
              </w:rPr>
              <w:t>ELISA</w:t>
            </w:r>
          </w:p>
        </w:tc>
        <w:tc>
          <w:tcPr>
            <w:tcW w:w="920" w:type="dxa"/>
            <w:tcBorders>
              <w:top w:val="single" w:sz="6" w:space="0" w:color="auto"/>
              <w:left w:val="single" w:sz="6" w:space="0" w:color="auto"/>
              <w:bottom w:val="single" w:sz="4" w:space="0" w:color="auto"/>
            </w:tcBorders>
            <w:shd w:val="clear" w:color="auto" w:fill="D9D9D9"/>
            <w:vAlign w:val="center"/>
          </w:tcPr>
          <w:p w14:paraId="4D6D0263" w14:textId="77777777" w:rsidR="00E65E42" w:rsidRPr="00D403F5" w:rsidRDefault="00E65E42" w:rsidP="00E65E42">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4" w:space="0" w:color="auto"/>
            </w:tcBorders>
            <w:shd w:val="pct12" w:color="auto" w:fill="auto"/>
            <w:vAlign w:val="center"/>
          </w:tcPr>
          <w:p w14:paraId="6A016289"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4" w:space="0" w:color="auto"/>
            </w:tcBorders>
            <w:shd w:val="pct12" w:color="auto" w:fill="auto"/>
            <w:vAlign w:val="center"/>
          </w:tcPr>
          <w:p w14:paraId="522E020D" w14:textId="77777777" w:rsidR="00E65E42" w:rsidRPr="00D403F5" w:rsidRDefault="00E65E42" w:rsidP="00E65E42">
            <w:pPr>
              <w:spacing w:after="0"/>
              <w:jc w:val="center"/>
              <w:rPr>
                <w:rFonts w:ascii="Arial Narrow" w:hAnsi="Arial Narrow" w:cs="Arial"/>
                <w:bCs/>
                <w:sz w:val="18"/>
                <w:szCs w:val="18"/>
                <w:lang w:val="en-IE" w:bidi="en-US"/>
              </w:rPr>
            </w:pPr>
          </w:p>
        </w:tc>
        <w:tc>
          <w:tcPr>
            <w:tcW w:w="784" w:type="dxa"/>
            <w:tcBorders>
              <w:top w:val="single" w:sz="6" w:space="0" w:color="auto"/>
              <w:left w:val="single" w:sz="6" w:space="0" w:color="auto"/>
              <w:bottom w:val="single" w:sz="4" w:space="0" w:color="auto"/>
              <w:right w:val="single" w:sz="6" w:space="0" w:color="auto"/>
            </w:tcBorders>
            <w:shd w:val="pct12" w:color="auto" w:fill="auto"/>
            <w:vAlign w:val="center"/>
          </w:tcPr>
          <w:p w14:paraId="4A119639"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4" w:space="0" w:color="auto"/>
              <w:left w:val="single" w:sz="6" w:space="0" w:color="auto"/>
              <w:bottom w:val="single" w:sz="4" w:space="0" w:color="auto"/>
            </w:tcBorders>
            <w:shd w:val="clear" w:color="auto" w:fill="D9D9D9"/>
            <w:vAlign w:val="center"/>
          </w:tcPr>
          <w:p w14:paraId="1FBCD8F5"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4" w:space="0" w:color="auto"/>
              <w:left w:val="single" w:sz="6" w:space="0" w:color="auto"/>
              <w:bottom w:val="single" w:sz="4" w:space="0" w:color="auto"/>
            </w:tcBorders>
            <w:vAlign w:val="center"/>
          </w:tcPr>
          <w:p w14:paraId="2ADBF716"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9" w:type="dxa"/>
            <w:tcBorders>
              <w:top w:val="single" w:sz="4" w:space="0" w:color="auto"/>
              <w:left w:val="single" w:sz="6" w:space="0" w:color="auto"/>
              <w:bottom w:val="single" w:sz="4" w:space="0" w:color="auto"/>
            </w:tcBorders>
            <w:vAlign w:val="center"/>
          </w:tcPr>
          <w:p w14:paraId="53A2D6CA"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50" w:type="dxa"/>
            <w:tcBorders>
              <w:top w:val="single" w:sz="4" w:space="0" w:color="auto"/>
              <w:left w:val="single" w:sz="6" w:space="0" w:color="auto"/>
              <w:bottom w:val="single" w:sz="4" w:space="0" w:color="auto"/>
              <w:right w:val="single" w:sz="6" w:space="0" w:color="auto"/>
            </w:tcBorders>
            <w:vAlign w:val="center"/>
          </w:tcPr>
          <w:p w14:paraId="2916EE62"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1</w:t>
            </w:r>
          </w:p>
        </w:tc>
        <w:tc>
          <w:tcPr>
            <w:tcW w:w="885" w:type="dxa"/>
            <w:tcBorders>
              <w:top w:val="single" w:sz="4" w:space="0" w:color="auto"/>
              <w:left w:val="single" w:sz="6" w:space="0" w:color="auto"/>
              <w:bottom w:val="single" w:sz="4" w:space="0" w:color="auto"/>
              <w:right w:val="single" w:sz="6" w:space="0" w:color="auto"/>
            </w:tcBorders>
            <w:shd w:val="clear" w:color="auto" w:fill="D9D9D9"/>
            <w:vAlign w:val="center"/>
          </w:tcPr>
          <w:p w14:paraId="6FC3E7C3"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4" w:space="0" w:color="auto"/>
              <w:left w:val="single" w:sz="6" w:space="0" w:color="auto"/>
              <w:bottom w:val="single" w:sz="4" w:space="0" w:color="auto"/>
              <w:right w:val="single" w:sz="6" w:space="0" w:color="auto"/>
            </w:tcBorders>
            <w:shd w:val="clear" w:color="auto" w:fill="D9D9D9"/>
            <w:vAlign w:val="center"/>
          </w:tcPr>
          <w:p w14:paraId="499F0C97"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4" w:space="0" w:color="auto"/>
              <w:left w:val="single" w:sz="6" w:space="0" w:color="auto"/>
              <w:bottom w:val="single" w:sz="4" w:space="0" w:color="auto"/>
            </w:tcBorders>
            <w:shd w:val="clear" w:color="auto" w:fill="D9D9D9"/>
            <w:vAlign w:val="center"/>
          </w:tcPr>
          <w:p w14:paraId="75B2D44B" w14:textId="77777777" w:rsidR="00E65E42" w:rsidRPr="00D403F5" w:rsidRDefault="00E65E42" w:rsidP="00E65E42">
            <w:pPr>
              <w:spacing w:after="0"/>
              <w:jc w:val="center"/>
              <w:rPr>
                <w:rFonts w:ascii="Arial Narrow" w:hAnsi="Arial Narrow" w:cs="Arial"/>
                <w:bCs/>
                <w:sz w:val="18"/>
                <w:szCs w:val="18"/>
                <w:lang w:val="en-IE" w:bidi="en-US"/>
              </w:rPr>
            </w:pPr>
          </w:p>
        </w:tc>
        <w:tc>
          <w:tcPr>
            <w:tcW w:w="851" w:type="dxa"/>
            <w:tcBorders>
              <w:top w:val="single" w:sz="4" w:space="0" w:color="auto"/>
              <w:left w:val="single" w:sz="6" w:space="0" w:color="auto"/>
              <w:bottom w:val="single" w:sz="4" w:space="0" w:color="auto"/>
              <w:right w:val="single" w:sz="6" w:space="0" w:color="auto"/>
            </w:tcBorders>
            <w:shd w:val="clear" w:color="auto" w:fill="D9D9D9"/>
            <w:vAlign w:val="center"/>
          </w:tcPr>
          <w:p w14:paraId="68874079" w14:textId="77777777" w:rsidR="00E65E42" w:rsidRPr="00D403F5" w:rsidRDefault="00E65E42" w:rsidP="00E65E42">
            <w:pPr>
              <w:spacing w:after="0"/>
              <w:jc w:val="center"/>
              <w:rPr>
                <w:rFonts w:ascii="Arial Narrow" w:hAnsi="Arial Narrow" w:cs="Arial"/>
                <w:bCs/>
                <w:sz w:val="18"/>
                <w:szCs w:val="18"/>
                <w:lang w:val="en-IE" w:bidi="en-US"/>
              </w:rPr>
            </w:pPr>
          </w:p>
        </w:tc>
      </w:tr>
      <w:tr w:rsidR="00E65E42" w:rsidRPr="00D403F5" w14:paraId="622663C1" w14:textId="77777777" w:rsidTr="00E65E42">
        <w:trPr>
          <w:trHeight w:val="402"/>
          <w:jc w:val="center"/>
        </w:trPr>
        <w:tc>
          <w:tcPr>
            <w:tcW w:w="2399" w:type="dxa"/>
            <w:tcBorders>
              <w:top w:val="single" w:sz="4" w:space="0" w:color="auto"/>
              <w:left w:val="single" w:sz="6" w:space="0" w:color="auto"/>
              <w:bottom w:val="single" w:sz="6" w:space="0" w:color="auto"/>
            </w:tcBorders>
            <w:vAlign w:val="center"/>
          </w:tcPr>
          <w:p w14:paraId="3D983654" w14:textId="77777777" w:rsidR="00E65E42" w:rsidRPr="00D403F5" w:rsidRDefault="00E65E42" w:rsidP="00E65E42">
            <w:pPr>
              <w:spacing w:after="0"/>
              <w:jc w:val="center"/>
              <w:rPr>
                <w:rFonts w:ascii="Arial Narrow" w:hAnsi="Arial Narrow" w:cs="Arial"/>
                <w:b/>
                <w:bCs/>
                <w:sz w:val="18"/>
                <w:szCs w:val="18"/>
                <w:lang w:val="en-IE" w:bidi="en-US"/>
              </w:rPr>
            </w:pPr>
            <w:r w:rsidRPr="00D403F5">
              <w:rPr>
                <w:rFonts w:ascii="Arial Narrow" w:hAnsi="Arial Narrow" w:cs="Arial"/>
                <w:b/>
                <w:bCs/>
                <w:sz w:val="18"/>
                <w:szCs w:val="18"/>
                <w:u w:val="double"/>
                <w:lang w:val="en-IE" w:bidi="en-US"/>
              </w:rPr>
              <w:t>IFAT</w:t>
            </w:r>
            <w:r w:rsidRPr="00D403F5">
              <w:rPr>
                <w:rFonts w:ascii="Arial Narrow" w:hAnsi="Arial Narrow" w:cs="Arial"/>
                <w:b/>
                <w:bCs/>
                <w:sz w:val="18"/>
                <w:szCs w:val="18"/>
                <w:lang w:val="en-IE" w:bidi="en-US"/>
              </w:rPr>
              <w:t xml:space="preserve"> </w:t>
            </w:r>
            <w:r w:rsidRPr="00D403F5">
              <w:rPr>
                <w:rFonts w:ascii="Arial Narrow" w:hAnsi="Arial Narrow" w:cs="Arial"/>
                <w:b/>
                <w:bCs/>
                <w:strike/>
                <w:sz w:val="18"/>
                <w:szCs w:val="18"/>
                <w:lang w:val="en-IE" w:bidi="en-US"/>
              </w:rPr>
              <w:t>Other antigen detection methods</w:t>
            </w:r>
          </w:p>
        </w:tc>
        <w:tc>
          <w:tcPr>
            <w:tcW w:w="920" w:type="dxa"/>
            <w:tcBorders>
              <w:top w:val="single" w:sz="4" w:space="0" w:color="auto"/>
              <w:left w:val="single" w:sz="6" w:space="0" w:color="auto"/>
              <w:bottom w:val="single" w:sz="6" w:space="0" w:color="auto"/>
            </w:tcBorders>
            <w:shd w:val="clear" w:color="auto" w:fill="D9D9D9"/>
            <w:vAlign w:val="center"/>
          </w:tcPr>
          <w:p w14:paraId="13691BFF" w14:textId="77777777" w:rsidR="00E65E42" w:rsidRPr="00D403F5" w:rsidRDefault="00E65E42" w:rsidP="00E65E42">
            <w:pPr>
              <w:spacing w:after="0"/>
              <w:jc w:val="center"/>
              <w:rPr>
                <w:rFonts w:ascii="Arial Narrow" w:hAnsi="Arial Narrow" w:cs="Arial"/>
                <w:bCs/>
                <w:sz w:val="18"/>
                <w:szCs w:val="18"/>
                <w:lang w:val="en-IE" w:bidi="en-US"/>
              </w:rPr>
            </w:pPr>
          </w:p>
        </w:tc>
        <w:tc>
          <w:tcPr>
            <w:tcW w:w="992" w:type="dxa"/>
            <w:tcBorders>
              <w:top w:val="single" w:sz="4" w:space="0" w:color="auto"/>
              <w:left w:val="single" w:sz="6" w:space="0" w:color="auto"/>
              <w:bottom w:val="single" w:sz="6" w:space="0" w:color="auto"/>
            </w:tcBorders>
            <w:shd w:val="clear" w:color="auto" w:fill="D9D9D9"/>
            <w:vAlign w:val="center"/>
          </w:tcPr>
          <w:p w14:paraId="4263B331" w14:textId="77777777" w:rsidR="00E65E42" w:rsidRPr="00D403F5" w:rsidRDefault="00E65E42" w:rsidP="00E65E42">
            <w:pPr>
              <w:spacing w:after="0"/>
              <w:jc w:val="center"/>
              <w:rPr>
                <w:rFonts w:ascii="Arial Narrow" w:hAnsi="Arial Narrow" w:cs="Arial"/>
                <w:bCs/>
                <w:sz w:val="18"/>
                <w:szCs w:val="18"/>
                <w:lang w:val="en-IE" w:bidi="en-US"/>
              </w:rPr>
            </w:pPr>
          </w:p>
        </w:tc>
        <w:tc>
          <w:tcPr>
            <w:tcW w:w="709" w:type="dxa"/>
            <w:tcBorders>
              <w:top w:val="single" w:sz="4" w:space="0" w:color="auto"/>
              <w:left w:val="single" w:sz="6" w:space="0" w:color="auto"/>
              <w:bottom w:val="single" w:sz="6" w:space="0" w:color="auto"/>
            </w:tcBorders>
            <w:shd w:val="clear" w:color="auto" w:fill="D9D9D9"/>
            <w:vAlign w:val="center"/>
          </w:tcPr>
          <w:p w14:paraId="05DE496D" w14:textId="77777777" w:rsidR="00E65E42" w:rsidRPr="00D403F5" w:rsidRDefault="00E65E42" w:rsidP="00E65E42">
            <w:pPr>
              <w:spacing w:after="0"/>
              <w:jc w:val="center"/>
              <w:rPr>
                <w:rFonts w:ascii="Arial Narrow" w:hAnsi="Arial Narrow" w:cs="Arial"/>
                <w:bCs/>
                <w:sz w:val="18"/>
                <w:szCs w:val="18"/>
                <w:lang w:val="en-IE" w:bidi="en-US"/>
              </w:rPr>
            </w:pPr>
          </w:p>
        </w:tc>
        <w:tc>
          <w:tcPr>
            <w:tcW w:w="784" w:type="dxa"/>
            <w:tcBorders>
              <w:top w:val="single" w:sz="4" w:space="0" w:color="auto"/>
              <w:left w:val="single" w:sz="6" w:space="0" w:color="auto"/>
              <w:bottom w:val="single" w:sz="6" w:space="0" w:color="auto"/>
              <w:right w:val="single" w:sz="6" w:space="0" w:color="auto"/>
            </w:tcBorders>
            <w:shd w:val="clear" w:color="auto" w:fill="D9D9D9"/>
            <w:vAlign w:val="center"/>
          </w:tcPr>
          <w:p w14:paraId="3BB3A048" w14:textId="77777777" w:rsidR="00E65E42" w:rsidRPr="00D403F5" w:rsidRDefault="00E65E42" w:rsidP="00E65E42">
            <w:pPr>
              <w:spacing w:after="0"/>
              <w:jc w:val="center"/>
              <w:rPr>
                <w:rFonts w:ascii="Arial Narrow" w:hAnsi="Arial Narrow" w:cs="Arial"/>
                <w:bCs/>
                <w:sz w:val="18"/>
                <w:szCs w:val="18"/>
                <w:lang w:val="en-IE" w:bidi="en-US"/>
              </w:rPr>
            </w:pPr>
          </w:p>
        </w:tc>
        <w:tc>
          <w:tcPr>
            <w:tcW w:w="885" w:type="dxa"/>
            <w:tcBorders>
              <w:top w:val="single" w:sz="4" w:space="0" w:color="auto"/>
              <w:left w:val="single" w:sz="6" w:space="0" w:color="auto"/>
              <w:bottom w:val="single" w:sz="6" w:space="0" w:color="auto"/>
            </w:tcBorders>
            <w:shd w:val="clear" w:color="auto" w:fill="D9D9D9"/>
            <w:vAlign w:val="center"/>
          </w:tcPr>
          <w:p w14:paraId="7518C125"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4" w:space="0" w:color="auto"/>
              <w:left w:val="single" w:sz="6" w:space="0" w:color="auto"/>
              <w:bottom w:val="single" w:sz="6" w:space="0" w:color="auto"/>
            </w:tcBorders>
            <w:shd w:val="clear" w:color="auto" w:fill="auto"/>
            <w:vAlign w:val="center"/>
          </w:tcPr>
          <w:p w14:paraId="51B6A439"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9" w:type="dxa"/>
            <w:tcBorders>
              <w:top w:val="single" w:sz="4" w:space="0" w:color="auto"/>
              <w:left w:val="single" w:sz="6" w:space="0" w:color="auto"/>
              <w:bottom w:val="single" w:sz="6" w:space="0" w:color="auto"/>
            </w:tcBorders>
            <w:shd w:val="clear" w:color="auto" w:fill="auto"/>
            <w:vAlign w:val="center"/>
          </w:tcPr>
          <w:p w14:paraId="66C6FB3E"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50" w:type="dxa"/>
            <w:tcBorders>
              <w:top w:val="single" w:sz="4" w:space="0" w:color="auto"/>
              <w:left w:val="single" w:sz="6" w:space="0" w:color="auto"/>
              <w:bottom w:val="single" w:sz="6" w:space="0" w:color="auto"/>
              <w:right w:val="single" w:sz="6" w:space="0" w:color="auto"/>
            </w:tcBorders>
            <w:shd w:val="clear" w:color="auto" w:fill="auto"/>
            <w:vAlign w:val="center"/>
          </w:tcPr>
          <w:p w14:paraId="7AA15FDF" w14:textId="77777777" w:rsidR="00E65E42" w:rsidRPr="00D403F5" w:rsidRDefault="00E65E42" w:rsidP="00E65E42">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1</w:t>
            </w:r>
          </w:p>
        </w:tc>
        <w:tc>
          <w:tcPr>
            <w:tcW w:w="885" w:type="dxa"/>
            <w:tcBorders>
              <w:top w:val="single" w:sz="4" w:space="0" w:color="auto"/>
              <w:left w:val="single" w:sz="6" w:space="0" w:color="auto"/>
              <w:bottom w:val="single" w:sz="6" w:space="0" w:color="auto"/>
              <w:right w:val="single" w:sz="6" w:space="0" w:color="auto"/>
            </w:tcBorders>
            <w:shd w:val="clear" w:color="auto" w:fill="D9D9D9"/>
            <w:vAlign w:val="center"/>
          </w:tcPr>
          <w:p w14:paraId="1BE7F2DD" w14:textId="77777777" w:rsidR="00E65E42" w:rsidRPr="00D403F5" w:rsidRDefault="00E65E42" w:rsidP="00E65E42">
            <w:pPr>
              <w:spacing w:after="0"/>
              <w:jc w:val="center"/>
              <w:rPr>
                <w:rFonts w:ascii="Arial Narrow" w:hAnsi="Arial Narrow" w:cs="Arial"/>
                <w:bCs/>
                <w:sz w:val="18"/>
                <w:szCs w:val="18"/>
                <w:lang w:val="en-IE" w:bidi="en-US"/>
              </w:rPr>
            </w:pPr>
          </w:p>
        </w:tc>
        <w:tc>
          <w:tcPr>
            <w:tcW w:w="958" w:type="dxa"/>
            <w:tcBorders>
              <w:top w:val="single" w:sz="4" w:space="0" w:color="auto"/>
              <w:left w:val="single" w:sz="6" w:space="0" w:color="auto"/>
              <w:bottom w:val="single" w:sz="6" w:space="0" w:color="auto"/>
              <w:right w:val="single" w:sz="6" w:space="0" w:color="auto"/>
            </w:tcBorders>
            <w:shd w:val="clear" w:color="auto" w:fill="D9D9D9"/>
            <w:vAlign w:val="center"/>
          </w:tcPr>
          <w:p w14:paraId="2C5CBDB6" w14:textId="77777777" w:rsidR="00E65E42" w:rsidRPr="00D403F5" w:rsidRDefault="00E65E42" w:rsidP="00E65E42">
            <w:pPr>
              <w:spacing w:after="0"/>
              <w:jc w:val="center"/>
              <w:rPr>
                <w:rFonts w:ascii="Arial Narrow" w:hAnsi="Arial Narrow" w:cs="Arial"/>
                <w:bCs/>
                <w:sz w:val="18"/>
                <w:szCs w:val="18"/>
                <w:lang w:val="en-IE" w:bidi="en-US"/>
              </w:rPr>
            </w:pPr>
          </w:p>
        </w:tc>
        <w:tc>
          <w:tcPr>
            <w:tcW w:w="850" w:type="dxa"/>
            <w:tcBorders>
              <w:top w:val="single" w:sz="4" w:space="0" w:color="auto"/>
              <w:left w:val="single" w:sz="6" w:space="0" w:color="auto"/>
              <w:bottom w:val="single" w:sz="6" w:space="0" w:color="auto"/>
            </w:tcBorders>
            <w:shd w:val="clear" w:color="auto" w:fill="D9D9D9"/>
            <w:vAlign w:val="center"/>
          </w:tcPr>
          <w:p w14:paraId="7CE6B625" w14:textId="77777777" w:rsidR="00E65E42" w:rsidRPr="00D403F5" w:rsidRDefault="00E65E42" w:rsidP="00E65E42">
            <w:pPr>
              <w:spacing w:after="0"/>
              <w:jc w:val="center"/>
              <w:rPr>
                <w:rFonts w:ascii="Arial Narrow" w:hAnsi="Arial Narrow" w:cs="Arial"/>
                <w:bCs/>
                <w:sz w:val="18"/>
                <w:szCs w:val="18"/>
                <w:lang w:val="en-IE" w:bidi="en-US"/>
              </w:rPr>
            </w:pPr>
          </w:p>
        </w:tc>
        <w:tc>
          <w:tcPr>
            <w:tcW w:w="851" w:type="dxa"/>
            <w:tcBorders>
              <w:top w:val="single" w:sz="4" w:space="0" w:color="auto"/>
              <w:left w:val="single" w:sz="6" w:space="0" w:color="auto"/>
              <w:bottom w:val="single" w:sz="6" w:space="0" w:color="auto"/>
              <w:right w:val="single" w:sz="6" w:space="0" w:color="auto"/>
            </w:tcBorders>
            <w:shd w:val="clear" w:color="auto" w:fill="D9D9D9"/>
            <w:vAlign w:val="center"/>
          </w:tcPr>
          <w:p w14:paraId="39E6B123" w14:textId="77777777" w:rsidR="00E65E42" w:rsidRPr="00D403F5" w:rsidRDefault="00E65E42" w:rsidP="00E65E42">
            <w:pPr>
              <w:spacing w:after="0"/>
              <w:jc w:val="center"/>
              <w:rPr>
                <w:rFonts w:ascii="Arial Narrow" w:hAnsi="Arial Narrow" w:cs="Arial"/>
                <w:bCs/>
                <w:sz w:val="18"/>
                <w:szCs w:val="18"/>
                <w:lang w:val="en-IE" w:bidi="en-US"/>
              </w:rPr>
            </w:pPr>
          </w:p>
        </w:tc>
      </w:tr>
    </w:tbl>
    <w:p w14:paraId="75CDCD5C" w14:textId="77777777" w:rsidR="00E65E42" w:rsidRDefault="00E65E42" w:rsidP="00E65E42">
      <w:pPr>
        <w:tabs>
          <w:tab w:val="left" w:pos="-720"/>
        </w:tabs>
        <w:spacing w:before="120" w:after="0"/>
        <w:jc w:val="center"/>
        <w:rPr>
          <w:rFonts w:ascii="Arial" w:eastAsia="Calibri" w:hAnsi="Arial" w:cs="Arial"/>
          <w:sz w:val="18"/>
          <w:szCs w:val="18"/>
        </w:rPr>
      </w:pPr>
      <w:r w:rsidRPr="00D403F5">
        <w:rPr>
          <w:rFonts w:ascii="Arial" w:hAnsi="Arial" w:cs="Arial"/>
          <w:sz w:val="18"/>
          <w:szCs w:val="18"/>
          <w:lang w:eastAsia="fr-FR"/>
        </w:rPr>
        <w:t>LV = level of validation, refers to the stage of validation in the OIE Pathway (chapter 1.1.2)</w:t>
      </w:r>
      <w:r w:rsidRPr="00D403F5">
        <w:rPr>
          <w:rFonts w:ascii="Arial" w:hAnsi="Arial" w:cs="Arial"/>
          <w:sz w:val="18"/>
          <w:szCs w:val="18"/>
          <w:lang w:val="en-US" w:bidi="en-US"/>
        </w:rPr>
        <w:t xml:space="preserve">; </w:t>
      </w:r>
      <w:r w:rsidRPr="00D403F5">
        <w:rPr>
          <w:rFonts w:ascii="Arial" w:hAnsi="Arial" w:cs="Arial"/>
          <w:sz w:val="18"/>
          <w:szCs w:val="18"/>
          <w:lang w:eastAsia="fr-FR"/>
        </w:rPr>
        <w:t xml:space="preserve">PCR = polymerase chain reaction; </w:t>
      </w:r>
      <w:bookmarkStart w:id="118" w:name="_Hlk33796998"/>
      <w:r w:rsidRPr="00D403F5">
        <w:rPr>
          <w:rFonts w:ascii="Arial" w:hAnsi="Arial" w:cs="Arial"/>
          <w:sz w:val="18"/>
          <w:szCs w:val="18"/>
          <w:lang w:val="en-IE" w:bidi="en-US"/>
        </w:rPr>
        <w:t xml:space="preserve">LAMP = </w:t>
      </w:r>
      <w:bookmarkStart w:id="119" w:name="_Hlk20833797"/>
      <w:r w:rsidRPr="00D403F5">
        <w:rPr>
          <w:rFonts w:ascii="Arial" w:eastAsia="Calibri" w:hAnsi="Arial" w:cs="Arial"/>
          <w:sz w:val="18"/>
          <w:szCs w:val="18"/>
        </w:rPr>
        <w:t>loop-mediated isothermal amplification</w:t>
      </w:r>
      <w:bookmarkEnd w:id="119"/>
      <w:r>
        <w:rPr>
          <w:rFonts w:ascii="Arial" w:eastAsia="Calibri" w:hAnsi="Arial" w:cs="Arial"/>
          <w:sz w:val="18"/>
          <w:szCs w:val="18"/>
        </w:rPr>
        <w:t>;</w:t>
      </w:r>
      <w:r w:rsidRPr="00414F96">
        <w:rPr>
          <w:rFonts w:ascii="Arial" w:hAnsi="Arial" w:cs="Arial"/>
          <w:sz w:val="18"/>
          <w:szCs w:val="18"/>
          <w:lang w:eastAsia="fr-FR"/>
        </w:rPr>
        <w:t xml:space="preserve"> </w:t>
      </w:r>
      <w:bookmarkEnd w:id="118"/>
      <w:r>
        <w:rPr>
          <w:rFonts w:ascii="Arial" w:hAnsi="Arial" w:cs="Arial"/>
          <w:sz w:val="18"/>
          <w:szCs w:val="18"/>
          <w:lang w:eastAsia="fr-FR"/>
        </w:rPr>
        <w:br/>
        <w:t>Ab- or Ag-</w:t>
      </w:r>
      <w:r w:rsidRPr="00D403F5">
        <w:rPr>
          <w:rFonts w:ascii="Arial" w:hAnsi="Arial" w:cs="Arial"/>
          <w:sz w:val="18"/>
          <w:szCs w:val="18"/>
          <w:lang w:eastAsia="fr-FR"/>
        </w:rPr>
        <w:t xml:space="preserve">ELISA = </w:t>
      </w:r>
      <w:r>
        <w:rPr>
          <w:rFonts w:ascii="Arial" w:hAnsi="Arial" w:cs="Arial"/>
          <w:sz w:val="18"/>
          <w:szCs w:val="18"/>
          <w:lang w:eastAsia="fr-FR"/>
        </w:rPr>
        <w:t xml:space="preserve">antibody or antigen </w:t>
      </w:r>
      <w:r w:rsidRPr="00D403F5">
        <w:rPr>
          <w:rFonts w:ascii="Arial" w:hAnsi="Arial" w:cs="Arial"/>
          <w:sz w:val="18"/>
          <w:szCs w:val="18"/>
          <w:lang w:val="en-IE" w:bidi="en-US"/>
        </w:rPr>
        <w:t>enzyme-linked immunosorbent assay</w:t>
      </w:r>
      <w:r w:rsidRPr="00D403F5">
        <w:rPr>
          <w:rFonts w:ascii="Arial" w:eastAsia="Calibri" w:hAnsi="Arial" w:cs="Arial"/>
          <w:sz w:val="18"/>
          <w:szCs w:val="18"/>
        </w:rPr>
        <w:t>.</w:t>
      </w:r>
    </w:p>
    <w:p w14:paraId="734C31FD" w14:textId="77777777" w:rsidR="00E65E42" w:rsidRDefault="00E65E42" w:rsidP="00E65E42">
      <w:pPr>
        <w:tabs>
          <w:tab w:val="left" w:pos="-720"/>
        </w:tabs>
        <w:spacing w:after="0"/>
        <w:jc w:val="center"/>
        <w:rPr>
          <w:rFonts w:ascii="Arial" w:hAnsi="Arial" w:cs="Arial"/>
          <w:sz w:val="18"/>
          <w:szCs w:val="18"/>
          <w:lang w:val="en-IE" w:eastAsia="fr-FR"/>
        </w:rPr>
      </w:pPr>
      <w:r w:rsidRPr="00D403F5">
        <w:rPr>
          <w:rFonts w:ascii="Arial" w:hAnsi="Arial" w:cs="Arial"/>
          <w:sz w:val="18"/>
          <w:szCs w:val="18"/>
          <w:vertAlign w:val="superscript"/>
          <w:lang w:val="en-IE" w:eastAsia="fr-FR" w:bidi="en-US"/>
        </w:rPr>
        <w:t>1</w:t>
      </w:r>
      <w:r w:rsidRPr="00D403F5">
        <w:rPr>
          <w:rFonts w:ascii="Arial" w:hAnsi="Arial" w:cs="Arial"/>
          <w:sz w:val="18"/>
          <w:szCs w:val="18"/>
          <w:lang w:val="en-IE" w:eastAsia="fr-FR"/>
        </w:rPr>
        <w:t xml:space="preserve">For confirmatory diagnoses, methods need to be carried out in combination (see Section 6). </w:t>
      </w:r>
      <w:r>
        <w:rPr>
          <w:rFonts w:ascii="Arial" w:hAnsi="Arial" w:cs="Arial"/>
          <w:sz w:val="18"/>
          <w:szCs w:val="18"/>
          <w:lang w:val="en-IE" w:eastAsia="fr-FR"/>
        </w:rPr>
        <w:br/>
      </w:r>
      <w:r w:rsidRPr="00D403F5">
        <w:rPr>
          <w:rFonts w:ascii="Arial" w:hAnsi="Arial" w:cs="Arial"/>
          <w:sz w:val="18"/>
          <w:szCs w:val="18"/>
          <w:vertAlign w:val="superscript"/>
          <w:lang w:val="en-IE" w:eastAsia="fr-FR" w:bidi="en-US"/>
        </w:rPr>
        <w:t>2</w:t>
      </w:r>
      <w:r w:rsidRPr="00D403F5">
        <w:rPr>
          <w:rFonts w:ascii="Arial" w:hAnsi="Arial" w:cs="Arial"/>
          <w:sz w:val="18"/>
          <w:szCs w:val="18"/>
          <w:lang w:val="en-IE" w:eastAsia="fr-FR"/>
        </w:rPr>
        <w:t xml:space="preserve">Early and juvenile life stages have been defined in Section 2.2.4. </w:t>
      </w:r>
      <w:r w:rsidRPr="00D403F5">
        <w:rPr>
          <w:rFonts w:ascii="Arial" w:hAnsi="Arial" w:cs="Arial"/>
          <w:sz w:val="18"/>
          <w:szCs w:val="18"/>
          <w:lang w:val="en-IE" w:eastAsia="fr-FR"/>
        </w:rPr>
        <w:br/>
      </w:r>
      <w:r w:rsidRPr="00D403F5">
        <w:rPr>
          <w:rFonts w:ascii="Arial" w:hAnsi="Arial" w:cs="Arial"/>
          <w:sz w:val="18"/>
          <w:szCs w:val="18"/>
          <w:vertAlign w:val="superscript"/>
          <w:lang w:val="en-IE" w:eastAsia="fr-FR" w:bidi="en-US"/>
        </w:rPr>
        <w:t>3</w:t>
      </w:r>
      <w:r w:rsidRPr="00D403F5">
        <w:rPr>
          <w:rFonts w:ascii="Arial" w:hAnsi="Arial" w:cs="Arial"/>
          <w:sz w:val="18"/>
          <w:szCs w:val="18"/>
          <w:lang w:val="en-IE" w:eastAsia="fr-FR"/>
        </w:rPr>
        <w:t>Histopathology and cytopathology can be validated if the results from different operators have been statistically compared.</w:t>
      </w:r>
      <w:r w:rsidRPr="00D403F5">
        <w:rPr>
          <w:rFonts w:ascii="Arial" w:hAnsi="Arial" w:cs="Arial"/>
          <w:sz w:val="18"/>
          <w:szCs w:val="18"/>
          <w:vertAlign w:val="superscript"/>
          <w:lang w:eastAsia="fr-FR"/>
        </w:rPr>
        <w:t xml:space="preserve"> </w:t>
      </w:r>
      <w:r>
        <w:rPr>
          <w:rFonts w:ascii="Arial" w:hAnsi="Arial" w:cs="Arial"/>
          <w:sz w:val="18"/>
          <w:szCs w:val="18"/>
          <w:vertAlign w:val="superscript"/>
          <w:lang w:eastAsia="fr-FR"/>
        </w:rPr>
        <w:br/>
      </w:r>
      <w:r w:rsidRPr="00D403F5">
        <w:rPr>
          <w:rFonts w:ascii="Arial" w:hAnsi="Arial" w:cs="Arial"/>
          <w:sz w:val="18"/>
          <w:szCs w:val="18"/>
          <w:vertAlign w:val="superscript"/>
          <w:lang w:eastAsia="fr-FR"/>
        </w:rPr>
        <w:t>4</w:t>
      </w:r>
      <w:r w:rsidRPr="00D403F5">
        <w:rPr>
          <w:rFonts w:ascii="Arial" w:hAnsi="Arial" w:cs="Arial"/>
          <w:sz w:val="18"/>
          <w:szCs w:val="18"/>
          <w:lang w:val="en-IE" w:eastAsia="fr-FR"/>
        </w:rPr>
        <w:t>Sequencing of the PCR product.</w:t>
      </w:r>
      <w:r w:rsidRPr="00D403F5">
        <w:rPr>
          <w:rFonts w:ascii="Arial" w:hAnsi="Arial" w:cs="Arial"/>
          <w:sz w:val="18"/>
          <w:szCs w:val="18"/>
          <w:lang w:val="en-IE" w:eastAsia="fr-FR"/>
        </w:rPr>
        <w:br/>
        <w:t>Shading indicates the test is inappropriate or should not be used for this purpose.</w:t>
      </w:r>
    </w:p>
    <w:p w14:paraId="4D26A295" w14:textId="77777777" w:rsidR="00E65E42" w:rsidRPr="00D403F5" w:rsidRDefault="00E65E42" w:rsidP="00E65E42">
      <w:pPr>
        <w:tabs>
          <w:tab w:val="left" w:pos="-720"/>
        </w:tabs>
        <w:spacing w:after="0"/>
        <w:jc w:val="center"/>
        <w:rPr>
          <w:rFonts w:ascii="Arial" w:hAnsi="Arial" w:cs="Arial"/>
          <w:sz w:val="18"/>
          <w:szCs w:val="18"/>
          <w:lang w:val="en-IE" w:bidi="en-US"/>
        </w:rPr>
      </w:pPr>
    </w:p>
    <w:p w14:paraId="5E3808B7" w14:textId="77777777" w:rsidR="00E65E42" w:rsidRPr="00D403F5" w:rsidRDefault="00E65E42" w:rsidP="00E65E42">
      <w:pPr>
        <w:spacing w:after="0"/>
        <w:jc w:val="both"/>
        <w:rPr>
          <w:rFonts w:ascii="Arial" w:hAnsi="Arial" w:cs="Arial"/>
          <w:sz w:val="18"/>
          <w:szCs w:val="18"/>
          <w:lang w:val="en-IE" w:bidi="en-US"/>
        </w:rPr>
        <w:sectPr w:rsidR="00E65E42" w:rsidRPr="00D403F5" w:rsidSect="00E65E42">
          <w:headerReference w:type="even" r:id="rId155"/>
          <w:headerReference w:type="default" r:id="rId156"/>
          <w:headerReference w:type="first" r:id="rId157"/>
          <w:footerReference w:type="first" r:id="rId158"/>
          <w:pgSz w:w="16838" w:h="11906" w:orient="landscape" w:code="9"/>
          <w:pgMar w:top="1304" w:right="1304" w:bottom="1304" w:left="1304" w:header="567" w:footer="567" w:gutter="0"/>
          <w:cols w:space="708"/>
          <w:titlePg/>
          <w:docGrid w:linePitch="360"/>
        </w:sectPr>
      </w:pPr>
    </w:p>
    <w:p w14:paraId="030A69E4" w14:textId="77777777" w:rsidR="00754D87" w:rsidRDefault="00754D87" w:rsidP="00754D87">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26B34579" w14:textId="77777777" w:rsidR="00E65E42" w:rsidRPr="00BD2E1E" w:rsidRDefault="00E65E42" w:rsidP="00B6151C">
      <w:pPr>
        <w:pStyle w:val="11"/>
        <w:spacing w:after="160"/>
        <w:rPr>
          <w:rFonts w:ascii="Ottawa" w:hAnsi="Ottawa" w:cs="Arial"/>
          <w:sz w:val="21"/>
          <w:szCs w:val="21"/>
          <w:lang w:bidi="en-US"/>
        </w:rPr>
      </w:pPr>
      <w:r w:rsidRPr="00BD2E1E">
        <w:rPr>
          <w:rFonts w:ascii="Ottawa" w:hAnsi="Ottawa" w:cs="Arial"/>
          <w:sz w:val="21"/>
          <w:szCs w:val="21"/>
          <w:lang w:bidi="en-US"/>
        </w:rPr>
        <w:t>4.1.</w:t>
      </w:r>
      <w:r w:rsidRPr="00BD2E1E">
        <w:rPr>
          <w:rFonts w:ascii="Ottawa" w:hAnsi="Ottawa" w:cs="Arial"/>
          <w:sz w:val="21"/>
          <w:szCs w:val="21"/>
          <w:lang w:bidi="en-US"/>
        </w:rPr>
        <w:tab/>
        <w:t xml:space="preserve">Wet mounts </w:t>
      </w:r>
    </w:p>
    <w:p w14:paraId="467D0980" w14:textId="77777777" w:rsidR="00E65E42" w:rsidRPr="00D403F5" w:rsidRDefault="00E65E42" w:rsidP="00B6151C">
      <w:pPr>
        <w:spacing w:line="240" w:lineRule="auto"/>
        <w:ind w:left="709"/>
        <w:jc w:val="both"/>
        <w:rPr>
          <w:rFonts w:ascii="Arial" w:hAnsi="Arial" w:cs="Arial"/>
          <w:sz w:val="18"/>
          <w:szCs w:val="18"/>
          <w:lang w:val="en-IE" w:eastAsia="fr-FR" w:bidi="en-US"/>
        </w:rPr>
      </w:pPr>
      <w:r w:rsidRPr="00D403F5">
        <w:rPr>
          <w:rFonts w:ascii="Arial" w:hAnsi="Arial" w:cs="Arial"/>
          <w:sz w:val="18"/>
          <w:szCs w:val="18"/>
          <w:lang w:val="en-IE" w:eastAsia="fr-FR" w:bidi="en-US"/>
        </w:rPr>
        <w:t>Not applicable.</w:t>
      </w:r>
    </w:p>
    <w:p w14:paraId="45E24579" w14:textId="77777777" w:rsidR="00E65E42" w:rsidRPr="00BD2E1E" w:rsidRDefault="00E65E42" w:rsidP="00B6151C">
      <w:pPr>
        <w:pStyle w:val="11"/>
        <w:spacing w:after="160"/>
        <w:rPr>
          <w:rFonts w:ascii="Ottawa" w:hAnsi="Ottawa"/>
          <w:sz w:val="21"/>
          <w:szCs w:val="21"/>
        </w:rPr>
      </w:pPr>
      <w:r w:rsidRPr="00BD2E1E">
        <w:rPr>
          <w:rFonts w:ascii="Ottawa" w:hAnsi="Ottawa"/>
          <w:sz w:val="21"/>
          <w:szCs w:val="21"/>
        </w:rPr>
        <w:t>4.2.</w:t>
      </w:r>
      <w:r w:rsidRPr="00BD2E1E">
        <w:rPr>
          <w:rFonts w:ascii="Ottawa" w:hAnsi="Ottawa"/>
          <w:sz w:val="21"/>
          <w:szCs w:val="21"/>
        </w:rPr>
        <w:tab/>
        <w:t>Histo</w:t>
      </w:r>
      <w:r w:rsidRPr="00E777B4">
        <w:rPr>
          <w:rFonts w:ascii="Ottawa" w:hAnsi="Ottawa"/>
          <w:strike/>
          <w:sz w:val="21"/>
          <w:szCs w:val="21"/>
          <w:highlight w:val="yellow"/>
        </w:rPr>
        <w:t>-</w:t>
      </w:r>
      <w:r w:rsidRPr="00E777B4">
        <w:rPr>
          <w:rFonts w:ascii="Ottawa" w:hAnsi="Ottawa"/>
          <w:strike/>
          <w:sz w:val="21"/>
          <w:szCs w:val="21"/>
        </w:rPr>
        <w:t xml:space="preserve"> </w:t>
      </w:r>
      <w:r w:rsidRPr="00E777B4">
        <w:rPr>
          <w:rFonts w:ascii="Ottawa" w:hAnsi="Ottawa"/>
          <w:sz w:val="21"/>
          <w:szCs w:val="21"/>
          <w:highlight w:val="yellow"/>
          <w:u w:val="double"/>
        </w:rPr>
        <w:t>pathology</w:t>
      </w:r>
      <w:r w:rsidRPr="00BD2E1E">
        <w:rPr>
          <w:rFonts w:ascii="Ottawa" w:hAnsi="Ottawa"/>
          <w:sz w:val="21"/>
          <w:szCs w:val="21"/>
        </w:rPr>
        <w:t xml:space="preserve"> and cytopathology</w:t>
      </w:r>
    </w:p>
    <w:p w14:paraId="149001DC" w14:textId="77777777" w:rsidR="00E65E42" w:rsidRPr="00D403F5" w:rsidRDefault="00E65E42" w:rsidP="00B6151C">
      <w:pPr>
        <w:spacing w:line="240" w:lineRule="auto"/>
        <w:ind w:left="709"/>
        <w:jc w:val="both"/>
        <w:rPr>
          <w:rFonts w:ascii="Arial" w:hAnsi="Arial"/>
          <w:bCs/>
          <w:sz w:val="18"/>
          <w:szCs w:val="18"/>
          <w:lang w:val="en-IE" w:eastAsia="fr-FR"/>
        </w:rPr>
      </w:pPr>
      <w:r w:rsidRPr="00D403F5">
        <w:rPr>
          <w:rFonts w:ascii="Arial" w:hAnsi="Arial"/>
          <w:bCs/>
          <w:sz w:val="18"/>
          <w:szCs w:val="18"/>
          <w:lang w:val="en-IE" w:eastAsia="fr-FR"/>
        </w:rPr>
        <w:t>Histopathological changes can be observed in all major organs. In the liver, blood vessels show oedematous perivasculitis progressing to necrosis. Liver parenchyma shows hyperaemia with multiple focal necrosis and degeneration. The heart shows pericarditis and infiltration of the myocardium progressing to focal degeneration and necrosis. The spleen shows hyperaemia with hyperplasia of the reticuloendothelium and enlarged melanomacrophage centres, and the pancreas is inflamed with multifocal necrosis. In the kidney, damage is seen to excretory and haematopoietic tissue. Renal tubules are clogged with casts and the cells undergo hyaline degeneration and vacuolation. The intestine shows perivascular inflammation, desquamation of the epithelium and atrophy of the villi. The peritoneum is inflamed, and lymph vessels are filled with detritus and macrophages. In the swim bladder, the epithelial lamina changes from a monolayer to a discontinuous multi-layer and vessels in the submucosa are dilated with nearby lymphocyte infiltration.</w:t>
      </w:r>
    </w:p>
    <w:p w14:paraId="73A412A9" w14:textId="77777777" w:rsidR="00E65E42" w:rsidRPr="00D403F5" w:rsidRDefault="00E65E42" w:rsidP="00B6151C">
      <w:pPr>
        <w:spacing w:line="240" w:lineRule="auto"/>
        <w:ind w:left="709"/>
        <w:jc w:val="both"/>
        <w:rPr>
          <w:rFonts w:ascii="Arial" w:hAnsi="Arial" w:cs="Arial"/>
          <w:bCs/>
          <w:sz w:val="18"/>
          <w:szCs w:val="18"/>
          <w:lang w:val="en-IE" w:eastAsia="fr-FR"/>
        </w:rPr>
      </w:pPr>
      <w:r w:rsidRPr="00D403F5">
        <w:rPr>
          <w:rFonts w:ascii="Arial" w:hAnsi="Arial" w:cs="Arial"/>
          <w:bCs/>
          <w:sz w:val="18"/>
          <w:szCs w:val="18"/>
          <w:lang w:val="en-IE" w:eastAsia="fr-FR"/>
        </w:rPr>
        <w:t xml:space="preserve">As the histopathological </w:t>
      </w:r>
      <w:r w:rsidRPr="00D403F5">
        <w:rPr>
          <w:rFonts w:ascii="Arial" w:hAnsi="Arial" w:cs="Arial"/>
          <w:bCs/>
          <w:sz w:val="18"/>
          <w:szCs w:val="18"/>
          <w:u w:val="double"/>
          <w:lang w:val="en-IE" w:eastAsia="fr-FR"/>
        </w:rPr>
        <w:t>presentation</w:t>
      </w:r>
      <w:r w:rsidRPr="00D403F5">
        <w:rPr>
          <w:rFonts w:ascii="Arial" w:hAnsi="Arial" w:cs="Arial"/>
          <w:bCs/>
          <w:sz w:val="18"/>
          <w:szCs w:val="18"/>
          <w:lang w:val="en-IE" w:eastAsia="fr-FR"/>
        </w:rPr>
        <w:t xml:space="preserve"> </w:t>
      </w:r>
      <w:r w:rsidRPr="00D403F5">
        <w:rPr>
          <w:rFonts w:ascii="Arial" w:hAnsi="Arial" w:cs="Arial"/>
          <w:bCs/>
          <w:strike/>
          <w:sz w:val="18"/>
          <w:szCs w:val="18"/>
          <w:lang w:val="en-IE" w:eastAsia="fr-FR"/>
        </w:rPr>
        <w:t xml:space="preserve">picture </w:t>
      </w:r>
      <w:r w:rsidRPr="00D403F5">
        <w:rPr>
          <w:rFonts w:ascii="Arial" w:hAnsi="Arial" w:cs="Arial"/>
          <w:bCs/>
          <w:sz w:val="18"/>
          <w:szCs w:val="18"/>
          <w:lang w:val="en-IE" w:eastAsia="fr-FR"/>
        </w:rPr>
        <w:t xml:space="preserve">is not specific for the disease, and not all fish will exhibit each feature (Misk </w:t>
      </w:r>
      <w:r w:rsidRPr="00D403F5">
        <w:rPr>
          <w:rFonts w:ascii="Arial" w:hAnsi="Arial" w:cs="Arial"/>
          <w:bCs/>
          <w:i/>
          <w:sz w:val="18"/>
          <w:szCs w:val="18"/>
          <w:lang w:val="en-IE" w:eastAsia="fr-FR"/>
        </w:rPr>
        <w:t>et al.,</w:t>
      </w:r>
      <w:r w:rsidRPr="00D403F5">
        <w:rPr>
          <w:rFonts w:ascii="Arial" w:hAnsi="Arial" w:cs="Arial"/>
          <w:bCs/>
          <w:sz w:val="18"/>
          <w:szCs w:val="18"/>
          <w:lang w:val="en-IE" w:eastAsia="fr-FR"/>
        </w:rPr>
        <w:t xml:space="preserve"> 2016), microscopic methods by themselves are not recommended for diagnosis of SVC</w:t>
      </w:r>
      <w:r w:rsidRPr="00D403F5">
        <w:rPr>
          <w:rFonts w:ascii="Arial" w:hAnsi="Arial" w:cs="Arial"/>
          <w:bCs/>
          <w:strike/>
          <w:sz w:val="18"/>
          <w:szCs w:val="18"/>
          <w:lang w:val="en-IE" w:eastAsia="fr-FR"/>
        </w:rPr>
        <w:t xml:space="preserve"> as the histopathological picture is not specific for the disease</w:t>
      </w:r>
      <w:r w:rsidRPr="00D403F5">
        <w:rPr>
          <w:rFonts w:ascii="Arial" w:hAnsi="Arial" w:cs="Arial"/>
          <w:bCs/>
          <w:sz w:val="18"/>
          <w:szCs w:val="18"/>
          <w:lang w:val="en-IE" w:eastAsia="fr-FR"/>
        </w:rPr>
        <w:t xml:space="preserve">. They may, however, provide supporting evidence, particularly, when </w:t>
      </w:r>
      <w:r w:rsidRPr="00D403F5">
        <w:rPr>
          <w:rFonts w:ascii="Arial" w:hAnsi="Arial" w:cs="Arial"/>
          <w:bCs/>
          <w:sz w:val="18"/>
          <w:szCs w:val="18"/>
          <w:u w:val="double"/>
          <w:lang w:val="en-IE" w:eastAsia="fr-FR"/>
        </w:rPr>
        <w:t>immunohistochemistry</w:t>
      </w:r>
      <w:r w:rsidRPr="00D403F5">
        <w:rPr>
          <w:rFonts w:ascii="Arial" w:hAnsi="Arial" w:cs="Arial"/>
          <w:bCs/>
          <w:sz w:val="18"/>
          <w:szCs w:val="18"/>
          <w:lang w:val="en-IE" w:eastAsia="fr-FR"/>
        </w:rPr>
        <w:t xml:space="preserve"> </w:t>
      </w:r>
      <w:r w:rsidRPr="00D403F5">
        <w:rPr>
          <w:rFonts w:ascii="Arial" w:hAnsi="Arial" w:cs="Arial"/>
          <w:bCs/>
          <w:strike/>
          <w:sz w:val="18"/>
          <w:szCs w:val="18"/>
          <w:lang w:val="en-IE" w:eastAsia="fr-FR"/>
        </w:rPr>
        <w:t xml:space="preserve">immunohistological (IHC) </w:t>
      </w:r>
      <w:r w:rsidRPr="00D403F5">
        <w:rPr>
          <w:rFonts w:ascii="Arial" w:hAnsi="Arial" w:cs="Arial"/>
          <w:bCs/>
          <w:sz w:val="18"/>
          <w:szCs w:val="18"/>
          <w:lang w:val="en-IE" w:eastAsia="fr-FR"/>
        </w:rPr>
        <w:t xml:space="preserve">or </w:t>
      </w:r>
      <w:r w:rsidRPr="00D403F5">
        <w:rPr>
          <w:rFonts w:ascii="Arial" w:hAnsi="Arial" w:cs="Arial"/>
          <w:bCs/>
          <w:sz w:val="18"/>
          <w:szCs w:val="18"/>
          <w:u w:val="double"/>
          <w:lang w:val="en-IE" w:eastAsia="fr-FR"/>
        </w:rPr>
        <w:t>nucleic acid</w:t>
      </w:r>
      <w:r w:rsidRPr="00D403F5">
        <w:rPr>
          <w:rFonts w:ascii="Arial" w:hAnsi="Arial" w:cs="Arial"/>
          <w:bCs/>
          <w:sz w:val="18"/>
          <w:szCs w:val="18"/>
          <w:lang w:val="en-IE" w:eastAsia="fr-FR"/>
        </w:rPr>
        <w:t xml:space="preserve"> </w:t>
      </w:r>
      <w:r w:rsidRPr="00D403F5">
        <w:rPr>
          <w:rFonts w:ascii="Arial" w:hAnsi="Arial" w:cs="Arial"/>
          <w:bCs/>
          <w:strike/>
          <w:sz w:val="18"/>
          <w:szCs w:val="18"/>
          <w:lang w:val="en-IE" w:eastAsia="fr-FR"/>
        </w:rPr>
        <w:t xml:space="preserve">DNA </w:t>
      </w:r>
      <w:r w:rsidRPr="00D403F5">
        <w:rPr>
          <w:rFonts w:ascii="Arial" w:hAnsi="Arial" w:cs="Arial"/>
          <w:bCs/>
          <w:sz w:val="18"/>
          <w:szCs w:val="18"/>
          <w:lang w:val="en-IE" w:eastAsia="fr-FR"/>
        </w:rPr>
        <w:t xml:space="preserve">based </w:t>
      </w:r>
      <w:r w:rsidRPr="00D403F5">
        <w:rPr>
          <w:rFonts w:ascii="Arial" w:hAnsi="Arial" w:cs="Arial"/>
          <w:bCs/>
          <w:i/>
          <w:sz w:val="18"/>
          <w:szCs w:val="18"/>
          <w:lang w:val="en-IE" w:eastAsia="fr-FR"/>
        </w:rPr>
        <w:t>in-situ</w:t>
      </w:r>
      <w:r w:rsidRPr="00D403F5">
        <w:rPr>
          <w:rFonts w:ascii="Arial" w:hAnsi="Arial" w:cs="Arial"/>
          <w:bCs/>
          <w:sz w:val="18"/>
          <w:szCs w:val="18"/>
          <w:lang w:val="en-IE" w:eastAsia="fr-FR"/>
        </w:rPr>
        <w:t xml:space="preserve"> hybridisation methods are used (see the relevant Sections below).</w:t>
      </w:r>
    </w:p>
    <w:p w14:paraId="786CD101" w14:textId="77777777" w:rsidR="00E65E42" w:rsidRPr="00D403F5" w:rsidRDefault="00E65E42" w:rsidP="00B6151C">
      <w:pPr>
        <w:spacing w:line="240" w:lineRule="auto"/>
        <w:ind w:left="709"/>
        <w:jc w:val="both"/>
        <w:rPr>
          <w:rFonts w:ascii="Arial" w:hAnsi="Arial" w:cs="Arial"/>
          <w:strike/>
          <w:sz w:val="18"/>
          <w:szCs w:val="18"/>
          <w:lang w:val="en-IE"/>
        </w:rPr>
      </w:pPr>
      <w:r w:rsidRPr="00D403F5">
        <w:rPr>
          <w:rFonts w:ascii="Arial" w:hAnsi="Arial" w:cs="Arial"/>
          <w:strike/>
          <w:sz w:val="18"/>
          <w:szCs w:val="18"/>
          <w:lang w:val="en-IE"/>
        </w:rPr>
        <w:t>Fixed sections can also be used for histoimmunochemistry (but see caveats in Section 4.6.).</w:t>
      </w:r>
    </w:p>
    <w:p w14:paraId="019B1E0F" w14:textId="77777777" w:rsidR="00E65E42" w:rsidRPr="00BD2E1E" w:rsidRDefault="00E65E42" w:rsidP="00B6151C">
      <w:pPr>
        <w:pStyle w:val="11"/>
        <w:spacing w:after="160"/>
        <w:rPr>
          <w:rFonts w:ascii="Ottawa" w:hAnsi="Ottawa"/>
          <w:sz w:val="21"/>
          <w:szCs w:val="21"/>
          <w:lang w:bidi="en-US"/>
        </w:rPr>
      </w:pPr>
      <w:r w:rsidRPr="00BD2E1E">
        <w:rPr>
          <w:rFonts w:ascii="Ottawa" w:hAnsi="Ottawa"/>
          <w:sz w:val="21"/>
          <w:szCs w:val="21"/>
          <w:lang w:bidi="en-US"/>
        </w:rPr>
        <w:t>4.3.</w:t>
      </w:r>
      <w:r w:rsidRPr="00BD2E1E">
        <w:rPr>
          <w:rFonts w:ascii="Ottawa" w:hAnsi="Ottawa"/>
          <w:sz w:val="21"/>
          <w:szCs w:val="21"/>
          <w:lang w:bidi="en-US"/>
        </w:rPr>
        <w:tab/>
        <w:t xml:space="preserve">Cell or </w:t>
      </w:r>
      <w:r w:rsidRPr="00BD2E1E">
        <w:rPr>
          <w:rFonts w:ascii="Ottawa" w:hAnsi="Ottawa"/>
          <w:sz w:val="21"/>
          <w:szCs w:val="21"/>
        </w:rPr>
        <w:t>artificial</w:t>
      </w:r>
      <w:r w:rsidRPr="00BD2E1E">
        <w:rPr>
          <w:rFonts w:ascii="Ottawa" w:hAnsi="Ottawa"/>
          <w:sz w:val="21"/>
          <w:szCs w:val="21"/>
          <w:lang w:bidi="en-US"/>
        </w:rPr>
        <w:t xml:space="preserve"> media culture for isolation</w:t>
      </w:r>
    </w:p>
    <w:p w14:paraId="36DCE151" w14:textId="77777777" w:rsidR="00E65E42" w:rsidRPr="00E777B4" w:rsidRDefault="00E65E42" w:rsidP="00B6151C">
      <w:pPr>
        <w:pStyle w:val="111"/>
        <w:spacing w:after="160"/>
        <w:ind w:left="1276"/>
        <w:rPr>
          <w:rFonts w:cs="Arial"/>
          <w:szCs w:val="20"/>
          <w:u w:val="double"/>
          <w:lang w:val="en-IE"/>
        </w:rPr>
      </w:pPr>
      <w:r w:rsidRPr="00E777B4">
        <w:rPr>
          <w:rFonts w:cs="Arial"/>
          <w:szCs w:val="20"/>
          <w:highlight w:val="yellow"/>
          <w:u w:val="double"/>
          <w:lang w:val="en-IE"/>
        </w:rPr>
        <w:t>4.3.1.</w:t>
      </w:r>
      <w:r w:rsidRPr="00E777B4">
        <w:rPr>
          <w:rFonts w:cs="Arial"/>
          <w:szCs w:val="20"/>
          <w:highlight w:val="yellow"/>
          <w:u w:val="double"/>
          <w:lang w:val="en-IE"/>
        </w:rPr>
        <w:tab/>
        <w:t>Cell lines</w:t>
      </w:r>
    </w:p>
    <w:p w14:paraId="52BCBF49" w14:textId="77777777" w:rsidR="00E65E42" w:rsidRPr="00D403F5" w:rsidRDefault="00E65E42" w:rsidP="00B6151C">
      <w:pPr>
        <w:spacing w:line="240" w:lineRule="auto"/>
        <w:ind w:left="709"/>
        <w:jc w:val="both"/>
        <w:rPr>
          <w:rFonts w:ascii="Arial" w:hAnsi="Arial"/>
          <w:sz w:val="18"/>
          <w:szCs w:val="18"/>
          <w:lang w:val="en-IE"/>
        </w:rPr>
      </w:pPr>
      <w:r w:rsidRPr="00D403F5">
        <w:rPr>
          <w:rFonts w:ascii="Arial" w:hAnsi="Arial"/>
          <w:strike/>
          <w:sz w:val="18"/>
          <w:szCs w:val="18"/>
          <w:lang w:val="en-IE"/>
        </w:rPr>
        <w:t xml:space="preserve">If culturing viruses </w:t>
      </w:r>
      <w:r w:rsidRPr="00E777B4">
        <w:rPr>
          <w:rFonts w:ascii="Arial" w:hAnsi="Arial"/>
          <w:sz w:val="18"/>
          <w:szCs w:val="18"/>
          <w:highlight w:val="yellow"/>
          <w:u w:val="double"/>
          <w:lang w:val="en-IE"/>
        </w:rPr>
        <w:t>The recommended cell lines for SVCV detection are EPC, FHM or GCO.</w:t>
      </w:r>
      <w:r>
        <w:rPr>
          <w:rFonts w:ascii="Arial" w:hAnsi="Arial"/>
          <w:sz w:val="18"/>
          <w:szCs w:val="18"/>
          <w:lang w:val="en-IE"/>
        </w:rPr>
        <w:t xml:space="preserve"> </w:t>
      </w:r>
      <w:r w:rsidRPr="00D403F5">
        <w:rPr>
          <w:rFonts w:ascii="Arial" w:hAnsi="Arial"/>
          <w:sz w:val="18"/>
          <w:szCs w:val="18"/>
          <w:lang w:val="en-IE"/>
        </w:rPr>
        <w:t>Cell lines should be monitored to ensure that susceptibility to targeted pathogens has not changed.</w:t>
      </w:r>
    </w:p>
    <w:p w14:paraId="2E03372D" w14:textId="77777777" w:rsidR="00E65E42" w:rsidRPr="00E777B4" w:rsidRDefault="00E65E42" w:rsidP="00B6151C">
      <w:pPr>
        <w:pStyle w:val="111"/>
        <w:spacing w:after="160"/>
        <w:ind w:left="1276"/>
        <w:rPr>
          <w:rFonts w:cs="Arial"/>
          <w:szCs w:val="20"/>
          <w:u w:val="double"/>
          <w:lang w:val="en-IE"/>
        </w:rPr>
      </w:pPr>
      <w:r w:rsidRPr="00E777B4">
        <w:rPr>
          <w:rFonts w:cs="Arial"/>
          <w:szCs w:val="20"/>
          <w:highlight w:val="yellow"/>
          <w:u w:val="double"/>
          <w:lang w:val="en-IE"/>
        </w:rPr>
        <w:t>4.3.2.</w:t>
      </w:r>
      <w:r w:rsidRPr="00E777B4">
        <w:rPr>
          <w:rFonts w:cs="Arial"/>
          <w:szCs w:val="20"/>
          <w:highlight w:val="yellow"/>
          <w:u w:val="double"/>
          <w:lang w:val="en-IE"/>
        </w:rPr>
        <w:tab/>
        <w:t>Sample preparation and inoculation</w:t>
      </w:r>
    </w:p>
    <w:p w14:paraId="4C688327" w14:textId="77777777" w:rsidR="00E65E42" w:rsidRPr="00E777B4" w:rsidRDefault="00E65E42" w:rsidP="00B6151C">
      <w:pPr>
        <w:spacing w:line="240" w:lineRule="auto"/>
        <w:ind w:left="709"/>
        <w:jc w:val="both"/>
        <w:rPr>
          <w:rFonts w:ascii="Arial" w:hAnsi="Arial"/>
          <w:i/>
          <w:strike/>
          <w:sz w:val="18"/>
          <w:szCs w:val="18"/>
          <w:highlight w:val="yellow"/>
          <w:lang w:val="en-IE"/>
        </w:rPr>
      </w:pPr>
      <w:r w:rsidRPr="00E777B4">
        <w:rPr>
          <w:rFonts w:ascii="Arial" w:hAnsi="Arial"/>
          <w:i/>
          <w:strike/>
          <w:sz w:val="18"/>
          <w:szCs w:val="18"/>
          <w:highlight w:val="yellow"/>
          <w:lang w:val="en-IE"/>
        </w:rPr>
        <w:t>Cell culture</w:t>
      </w:r>
    </w:p>
    <w:p w14:paraId="607C45C9" w14:textId="77777777" w:rsidR="00E65E42" w:rsidRPr="00E777B4" w:rsidRDefault="00E65E42" w:rsidP="00B6151C">
      <w:pPr>
        <w:spacing w:line="240" w:lineRule="auto"/>
        <w:ind w:left="709"/>
        <w:jc w:val="both"/>
        <w:rPr>
          <w:rFonts w:ascii="Arial" w:hAnsi="Arial"/>
          <w:strike/>
          <w:sz w:val="18"/>
          <w:szCs w:val="18"/>
          <w:lang w:val="en-IE"/>
        </w:rPr>
      </w:pPr>
      <w:r w:rsidRPr="00E777B4">
        <w:rPr>
          <w:rFonts w:ascii="Arial" w:hAnsi="Arial"/>
          <w:strike/>
          <w:sz w:val="18"/>
          <w:szCs w:val="18"/>
          <w:highlight w:val="yellow"/>
          <w:lang w:val="en-IE"/>
        </w:rPr>
        <w:t>Cell line to be used: EPC, FHM or GCO.</w:t>
      </w:r>
    </w:p>
    <w:p w14:paraId="1A8E08F6" w14:textId="77777777" w:rsidR="00E65E42" w:rsidRPr="00D403F5" w:rsidRDefault="00E65E42" w:rsidP="00B6151C">
      <w:pPr>
        <w:spacing w:line="240" w:lineRule="auto"/>
        <w:ind w:left="709"/>
        <w:jc w:val="both"/>
        <w:rPr>
          <w:rFonts w:ascii="Arial" w:hAnsi="Arial"/>
          <w:sz w:val="18"/>
          <w:szCs w:val="18"/>
          <w:lang w:val="en-IE"/>
        </w:rPr>
      </w:pPr>
      <w:r w:rsidRPr="00D403F5">
        <w:rPr>
          <w:rFonts w:ascii="Arial" w:hAnsi="Arial"/>
          <w:sz w:val="18"/>
          <w:szCs w:val="18"/>
          <w:lang w:val="en-IE"/>
        </w:rPr>
        <w:t xml:space="preserve">Virus extraction: Use the procedure described in Section </w:t>
      </w:r>
      <w:r w:rsidRPr="00D403F5">
        <w:rPr>
          <w:rFonts w:ascii="Arial" w:hAnsi="Arial"/>
          <w:strike/>
          <w:sz w:val="18"/>
          <w:szCs w:val="18"/>
          <w:lang w:val="en-IE"/>
        </w:rPr>
        <w:t>A.</w:t>
      </w:r>
      <w:r w:rsidRPr="00D403F5">
        <w:rPr>
          <w:rFonts w:ascii="Arial" w:hAnsi="Arial"/>
          <w:sz w:val="18"/>
          <w:szCs w:val="18"/>
          <w:lang w:val="en-IE"/>
        </w:rPr>
        <w:t>2.2.2 of Chapter 2.3.0.</w:t>
      </w:r>
    </w:p>
    <w:p w14:paraId="55FA9025" w14:textId="77777777" w:rsidR="00E65E42" w:rsidRPr="00D403F5" w:rsidRDefault="00E65E42" w:rsidP="00B6151C">
      <w:pPr>
        <w:spacing w:line="240" w:lineRule="auto"/>
        <w:ind w:left="709"/>
        <w:jc w:val="both"/>
        <w:rPr>
          <w:rFonts w:ascii="Arial" w:hAnsi="Arial"/>
          <w:sz w:val="18"/>
          <w:szCs w:val="18"/>
          <w:lang w:val="en-IE"/>
        </w:rPr>
      </w:pPr>
      <w:r w:rsidRPr="00D403F5">
        <w:rPr>
          <w:rFonts w:ascii="Arial" w:hAnsi="Arial"/>
          <w:sz w:val="18"/>
          <w:szCs w:val="18"/>
          <w:lang w:val="en-IE"/>
        </w:rPr>
        <w:t>Inoculation of cell monolayers: make two serial tenfold dilutions of the 1/10 organ homogenate supernatants in cell culture medium (i.e. the homogenate supernatants will be 1/100 and 1/1000 dilutions of the original organ material) and transfer an appropriate volume of each of these two dilutions on to 24-hour-old cell monolayers drained of their culture medium. Alternatively, make a single tenfold dilution of the 1/10 organ homogenate (i.e. a 1/100 dilution of the original organ material) and add an appropriate volume of both the 1/10 and 1/100 dilutions directly to undrained 24 hour-old cell monolayers, to effect 1/100 and 1/1000 final dilutions of the organ homogenate. Should toxicity of the sample be a problem, make two serial tenfold dilutions of the 1/10 organ homogenate supernatants in cell culture medium as described above and inoculate at least 2 cm</w:t>
      </w:r>
      <w:r w:rsidRPr="00D403F5">
        <w:rPr>
          <w:rFonts w:ascii="Arial" w:hAnsi="Arial"/>
          <w:sz w:val="18"/>
          <w:szCs w:val="18"/>
          <w:vertAlign w:val="superscript"/>
          <w:lang w:val="en-IE"/>
        </w:rPr>
        <w:t>2</w:t>
      </w:r>
      <w:r w:rsidRPr="00D403F5">
        <w:rPr>
          <w:rFonts w:ascii="Arial" w:hAnsi="Arial"/>
          <w:sz w:val="18"/>
          <w:szCs w:val="18"/>
          <w:lang w:val="en-IE"/>
        </w:rPr>
        <w:t xml:space="preserve"> of drained cell monolayer with 100 µl of each dilution. Allow to adsorb for 0.5–1 hour at 10–15°C, withdraw the inoculum and add cell culture medium buffered at pH 7.6 and supplemented with 2% fetal calf serum (FCS) (1 ml well</w:t>
      </w:r>
      <w:r w:rsidRPr="00D403F5">
        <w:rPr>
          <w:rFonts w:ascii="Arial" w:hAnsi="Arial"/>
          <w:sz w:val="18"/>
          <w:szCs w:val="18"/>
          <w:vertAlign w:val="superscript"/>
          <w:lang w:val="en-IE"/>
        </w:rPr>
        <w:t>–1</w:t>
      </w:r>
      <w:r w:rsidRPr="00D403F5">
        <w:rPr>
          <w:rFonts w:ascii="Arial" w:hAnsi="Arial"/>
          <w:sz w:val="18"/>
          <w:szCs w:val="18"/>
          <w:lang w:val="en-IE"/>
        </w:rPr>
        <w:t xml:space="preserve"> for 24-well cell culture plates). Incubate at 20°C.</w:t>
      </w:r>
    </w:p>
    <w:p w14:paraId="0878BFED" w14:textId="77777777" w:rsidR="00E65E42" w:rsidRPr="00D403F5" w:rsidRDefault="00E65E42" w:rsidP="00B6151C">
      <w:pPr>
        <w:spacing w:line="240" w:lineRule="auto"/>
        <w:ind w:left="709"/>
        <w:jc w:val="both"/>
        <w:rPr>
          <w:rFonts w:ascii="Arial" w:hAnsi="Arial"/>
          <w:sz w:val="18"/>
          <w:szCs w:val="18"/>
          <w:lang w:val="en-IE"/>
        </w:rPr>
      </w:pPr>
      <w:r w:rsidRPr="00D403F5">
        <w:rPr>
          <w:rFonts w:ascii="Arial" w:hAnsi="Arial"/>
          <w:sz w:val="18"/>
          <w:szCs w:val="18"/>
          <w:lang w:val="en-IE"/>
        </w:rPr>
        <w:t>Monitoring incubation: Follow the course of infection in positive controls and other inoculated cell cultures by microscopic examination at ×40–100 magnification for 7 days. The use of a phase-contrast microscope is recommended.</w:t>
      </w:r>
    </w:p>
    <w:p w14:paraId="1B678A77" w14:textId="77777777" w:rsidR="00E65E42" w:rsidRPr="00D403F5" w:rsidRDefault="00E65E42" w:rsidP="00457C4E">
      <w:pPr>
        <w:spacing w:after="240" w:line="240" w:lineRule="auto"/>
        <w:ind w:left="709"/>
        <w:jc w:val="both"/>
        <w:rPr>
          <w:rFonts w:ascii="Arial" w:hAnsi="Arial"/>
          <w:sz w:val="18"/>
          <w:szCs w:val="18"/>
          <w:lang w:val="en-IE"/>
        </w:rPr>
      </w:pPr>
      <w:r w:rsidRPr="00D403F5">
        <w:rPr>
          <w:rFonts w:ascii="Arial" w:hAnsi="Arial"/>
          <w:sz w:val="18"/>
          <w:szCs w:val="18"/>
          <w:lang w:val="en-IE"/>
        </w:rPr>
        <w:t xml:space="preserve">Maintain the pH of the cell culture medium at between 7.3. and 7.6. during incubation. This can be achieved by the addition to the inoculated medium of sterile bicarbonate buffer (for tightly closed cell culture flasks) or HEPES-buffered medium (HEPES = N-2-hydroxyethyl-piperazine-N-2-ethanesulfonic acid) or 2 M Tris (Tris [hydroxymethy]) aminomethane)/HCl buffer solution (for cell culture plates). </w:t>
      </w:r>
    </w:p>
    <w:p w14:paraId="300D25FF" w14:textId="77777777" w:rsidR="00B6151C" w:rsidRDefault="00B6151C" w:rsidP="00754D87">
      <w:pPr>
        <w:spacing w:after="480" w:line="240" w:lineRule="auto"/>
        <w:jc w:val="right"/>
        <w:rPr>
          <w:u w:val="single"/>
        </w:rPr>
      </w:pPr>
      <w:r>
        <w:rPr>
          <w:u w:val="single"/>
        </w:rPr>
        <w:br w:type="page"/>
      </w:r>
    </w:p>
    <w:p w14:paraId="57A43479" w14:textId="0B394B5F" w:rsidR="00754D87" w:rsidRDefault="00754D87" w:rsidP="00754D87">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6E37C6E0" w14:textId="77777777" w:rsidR="00E65E42" w:rsidRPr="00D403F5" w:rsidRDefault="00E65E42" w:rsidP="00457C4E">
      <w:pPr>
        <w:spacing w:line="240" w:lineRule="auto"/>
        <w:ind w:left="709"/>
        <w:jc w:val="both"/>
        <w:rPr>
          <w:rFonts w:ascii="Arial" w:hAnsi="Arial"/>
          <w:sz w:val="18"/>
          <w:szCs w:val="18"/>
          <w:lang w:val="en-IE"/>
        </w:rPr>
      </w:pPr>
      <w:r w:rsidRPr="00D403F5">
        <w:rPr>
          <w:rFonts w:ascii="Arial" w:hAnsi="Arial"/>
          <w:sz w:val="18"/>
          <w:szCs w:val="18"/>
          <w:lang w:val="en-IE"/>
        </w:rPr>
        <w:t>If a cytopathic effect (CPE) appears in those cell cultures inoculated with the dilutions of the tested homogenate supernatants, identification procedures must be undertaken immediately</w:t>
      </w:r>
      <w:r w:rsidRPr="00D403F5">
        <w:rPr>
          <w:rFonts w:ascii="Arial" w:hAnsi="Arial"/>
          <w:strike/>
          <w:sz w:val="18"/>
          <w:szCs w:val="18"/>
          <w:lang w:val="en-IE"/>
        </w:rPr>
        <w:t xml:space="preserve"> (see Section 4.6.2.)</w:t>
      </w:r>
      <w:r w:rsidRPr="00D403F5">
        <w:rPr>
          <w:rFonts w:ascii="Arial" w:hAnsi="Arial"/>
          <w:sz w:val="18"/>
          <w:szCs w:val="18"/>
          <w:lang w:val="en-IE"/>
        </w:rPr>
        <w:t xml:space="preserve">. </w:t>
      </w:r>
    </w:p>
    <w:p w14:paraId="6CD582CC" w14:textId="77777777" w:rsidR="00E65E42" w:rsidRPr="00D403F5" w:rsidRDefault="00E65E42" w:rsidP="00457C4E">
      <w:pPr>
        <w:spacing w:line="240" w:lineRule="auto"/>
        <w:ind w:left="709"/>
        <w:jc w:val="both"/>
        <w:rPr>
          <w:rFonts w:ascii="Arial" w:hAnsi="Arial"/>
          <w:sz w:val="18"/>
          <w:szCs w:val="18"/>
          <w:lang w:val="en-IE"/>
        </w:rPr>
      </w:pPr>
      <w:r w:rsidRPr="00D403F5">
        <w:rPr>
          <w:rFonts w:ascii="Arial" w:hAnsi="Arial"/>
          <w:sz w:val="18"/>
          <w:szCs w:val="18"/>
          <w:lang w:val="en-IE"/>
        </w:rPr>
        <w:t xml:space="preserve">Subcultivation procedures: Using a pipette, try to dislodge cells from the cell culture vessels and collect aliquots of cell culture medium plus cells from all inoculated monolayers, keeping different groups separate. The aliquots of the 1/100 and 1/000 dilutions are pooled and inoculated on to fresh 24 hour-old cell cultures to effect 1/10 and 1/100 final dilutions of the pooled aliquots. Incubate and monitor as described above. </w:t>
      </w:r>
      <w:r w:rsidRPr="00D403F5">
        <w:rPr>
          <w:rFonts w:ascii="Arial" w:hAnsi="Arial"/>
          <w:strike/>
          <w:sz w:val="18"/>
          <w:szCs w:val="18"/>
          <w:lang w:val="en-IE"/>
        </w:rPr>
        <w:t>If no CPE occurs, the test may be declared negative.</w:t>
      </w:r>
    </w:p>
    <w:p w14:paraId="5607BD06" w14:textId="77777777" w:rsidR="00E65E42" w:rsidRPr="00D403F5" w:rsidRDefault="00E65E42" w:rsidP="00457C4E">
      <w:pPr>
        <w:spacing w:line="240" w:lineRule="auto"/>
        <w:ind w:left="709"/>
        <w:jc w:val="both"/>
        <w:rPr>
          <w:rFonts w:ascii="Arial" w:hAnsi="Arial"/>
          <w:sz w:val="18"/>
          <w:szCs w:val="18"/>
          <w:lang w:val="en-IE"/>
        </w:rPr>
      </w:pPr>
      <w:r w:rsidRPr="00D403F5">
        <w:rPr>
          <w:rFonts w:ascii="Arial" w:hAnsi="Arial"/>
          <w:sz w:val="18"/>
          <w:szCs w:val="18"/>
          <w:lang w:val="en-IE"/>
        </w:rPr>
        <w:t xml:space="preserve">If no CPE occurs the test may be declared negative. However, if undertaking surveillance to demonstrate freedom from SVCV it would be advisable to screen the cells at the end of the 14 days using an SVCV-specific RT-PCR </w:t>
      </w:r>
      <w:r w:rsidRPr="00D403F5">
        <w:rPr>
          <w:rFonts w:ascii="Arial" w:hAnsi="Arial"/>
          <w:strike/>
          <w:sz w:val="18"/>
          <w:szCs w:val="18"/>
          <w:lang w:val="en-IE"/>
        </w:rPr>
        <w:t xml:space="preserve">or real-time RT-PCR </w:t>
      </w:r>
      <w:r w:rsidRPr="00D403F5">
        <w:rPr>
          <w:rFonts w:ascii="Arial" w:hAnsi="Arial"/>
          <w:sz w:val="18"/>
          <w:szCs w:val="18"/>
          <w:lang w:val="en-IE"/>
        </w:rPr>
        <w:t>(Section 4.4.). Following a positive result culture should be re-attempted.</w:t>
      </w:r>
    </w:p>
    <w:p w14:paraId="01EB8532" w14:textId="77777777" w:rsidR="00E65E42" w:rsidRPr="00D403F5" w:rsidRDefault="00E65E42" w:rsidP="00457C4E">
      <w:pPr>
        <w:spacing w:line="240" w:lineRule="auto"/>
        <w:ind w:left="709"/>
        <w:jc w:val="both"/>
        <w:rPr>
          <w:rFonts w:ascii="Arial" w:hAnsi="Arial"/>
          <w:sz w:val="18"/>
          <w:szCs w:val="18"/>
        </w:rPr>
      </w:pPr>
      <w:r w:rsidRPr="00D403F5">
        <w:rPr>
          <w:rFonts w:ascii="Arial" w:hAnsi="Arial"/>
          <w:sz w:val="18"/>
          <w:szCs w:val="18"/>
        </w:rPr>
        <w:t xml:space="preserve">Following isolation, the virus must be identified, and this can be achieved by antigen detection methods, virus neutralisation or nucleic acid identification methods. The former two methods are generally regarded as presumptive unless fully validated monoclonal or polyclonal antibodies are used, as cross reactions with other viruses occur. Commercially available kits using polyclonal antibodies may also lack specificity, and those using monoclonal antibodies may not detect all subgenogroups of SVCV (Dixon &amp; Longshaw, 2005). Nucleic acid detection methods must always be followed up by sequencing or use of a method such as reverse hybridisation (Sheppard </w:t>
      </w:r>
      <w:r w:rsidRPr="00D403F5">
        <w:rPr>
          <w:rFonts w:ascii="Arial" w:hAnsi="Arial"/>
          <w:i/>
          <w:sz w:val="18"/>
          <w:szCs w:val="18"/>
        </w:rPr>
        <w:t>et al</w:t>
      </w:r>
      <w:r w:rsidRPr="00D403F5">
        <w:rPr>
          <w:rFonts w:ascii="Arial" w:hAnsi="Arial"/>
          <w:sz w:val="18"/>
          <w:szCs w:val="18"/>
        </w:rPr>
        <w:t>., 2007) to confirm the identity of the virus.</w:t>
      </w:r>
    </w:p>
    <w:p w14:paraId="436185DD" w14:textId="77777777" w:rsidR="00E65E42" w:rsidRPr="00BD2E1E" w:rsidRDefault="00E65E42" w:rsidP="00A175F0">
      <w:pPr>
        <w:pStyle w:val="11"/>
        <w:rPr>
          <w:rFonts w:ascii="Ottawa" w:hAnsi="Ottawa"/>
          <w:sz w:val="21"/>
          <w:szCs w:val="21"/>
          <w:lang w:bidi="en-US"/>
        </w:rPr>
      </w:pPr>
      <w:r w:rsidRPr="00BD2E1E">
        <w:rPr>
          <w:rFonts w:ascii="Ottawa" w:hAnsi="Ottawa"/>
          <w:sz w:val="21"/>
          <w:szCs w:val="21"/>
          <w:lang w:bidi="en-US"/>
        </w:rPr>
        <w:t>4.4.</w:t>
      </w:r>
      <w:r w:rsidRPr="00BD2E1E">
        <w:rPr>
          <w:rFonts w:ascii="Ottawa" w:hAnsi="Ottawa"/>
          <w:sz w:val="21"/>
          <w:szCs w:val="21"/>
          <w:lang w:bidi="en-US"/>
        </w:rPr>
        <w:tab/>
        <w:t>Nucleic acid amplification</w:t>
      </w:r>
    </w:p>
    <w:p w14:paraId="0F5939B2" w14:textId="77777777" w:rsidR="00E65E42" w:rsidRPr="00457C4E" w:rsidRDefault="00E65E42" w:rsidP="00457C4E">
      <w:pPr>
        <w:pStyle w:val="111"/>
        <w:spacing w:after="240"/>
        <w:ind w:left="1276"/>
        <w:rPr>
          <w:szCs w:val="20"/>
          <w:lang w:bidi="en-US"/>
        </w:rPr>
      </w:pPr>
      <w:r w:rsidRPr="00457C4E">
        <w:rPr>
          <w:szCs w:val="20"/>
          <w:lang w:bidi="en-US"/>
        </w:rPr>
        <w:t>4.4.1.</w:t>
      </w:r>
      <w:r w:rsidRPr="00457C4E">
        <w:rPr>
          <w:szCs w:val="20"/>
          <w:lang w:bidi="en-US"/>
        </w:rPr>
        <w:tab/>
        <w:t>Real-</w:t>
      </w:r>
      <w:r w:rsidRPr="00457C4E">
        <w:rPr>
          <w:rFonts w:cs="Arial"/>
          <w:szCs w:val="20"/>
          <w:lang w:val="en-IE"/>
        </w:rPr>
        <w:t>time</w:t>
      </w:r>
      <w:r w:rsidRPr="00457C4E">
        <w:rPr>
          <w:szCs w:val="20"/>
          <w:lang w:bidi="en-US"/>
        </w:rPr>
        <w:t xml:space="preserve"> PCR</w:t>
      </w:r>
    </w:p>
    <w:p w14:paraId="6D0713F0" w14:textId="77777777" w:rsidR="00E65E42" w:rsidRPr="00740A30" w:rsidRDefault="00E65E42" w:rsidP="00457C4E">
      <w:pPr>
        <w:spacing w:line="240" w:lineRule="auto"/>
        <w:ind w:left="709"/>
        <w:jc w:val="both"/>
        <w:rPr>
          <w:rFonts w:ascii="Arial" w:hAnsi="Arial"/>
          <w:bCs/>
          <w:sz w:val="18"/>
          <w:szCs w:val="18"/>
          <w:lang w:val="en-IE"/>
        </w:rPr>
      </w:pPr>
      <w:r w:rsidRPr="00740A30">
        <w:rPr>
          <w:rFonts w:ascii="Arial" w:hAnsi="Arial"/>
          <w:bCs/>
          <w:sz w:val="18"/>
          <w:szCs w:val="18"/>
          <w:lang w:val="en-IE"/>
        </w:rPr>
        <w:t xml:space="preserve">The following controls should be run with each assay: negative extraction control; positive control; no template control; internal PCR control </w:t>
      </w:r>
      <w:r w:rsidRPr="00695BD1">
        <w:rPr>
          <w:rFonts w:ascii="Arial" w:hAnsi="Arial" w:cs="Arial"/>
          <w:bCs/>
          <w:kern w:val="24"/>
          <w:sz w:val="18"/>
          <w:szCs w:val="18"/>
          <w:highlight w:val="yellow"/>
          <w:u w:val="double"/>
          <w:lang w:val="en-IE"/>
        </w:rPr>
        <w:t>if available and validated</w:t>
      </w:r>
      <w:r w:rsidRPr="00695BD1">
        <w:rPr>
          <w:rFonts w:ascii="Arial" w:hAnsi="Arial"/>
          <w:bCs/>
          <w:sz w:val="18"/>
          <w:szCs w:val="18"/>
          <w:highlight w:val="yellow"/>
          <w:lang w:val="en-IE"/>
        </w:rPr>
        <w:t>.</w:t>
      </w:r>
    </w:p>
    <w:p w14:paraId="4394D9D2" w14:textId="77777777" w:rsidR="00E65E42" w:rsidRPr="00D403F5" w:rsidRDefault="00E65E42" w:rsidP="00457C4E">
      <w:pPr>
        <w:spacing w:line="240" w:lineRule="auto"/>
        <w:ind w:left="709"/>
        <w:jc w:val="both"/>
        <w:rPr>
          <w:rFonts w:ascii="Arial" w:hAnsi="Arial"/>
          <w:bCs/>
          <w:sz w:val="18"/>
          <w:szCs w:val="18"/>
          <w:lang w:val="en-IE"/>
        </w:rPr>
      </w:pPr>
      <w:r w:rsidRPr="00D403F5">
        <w:rPr>
          <w:rFonts w:ascii="Arial" w:hAnsi="Arial"/>
          <w:bCs/>
          <w:sz w:val="18"/>
          <w:szCs w:val="18"/>
          <w:lang w:val="en"/>
        </w:rPr>
        <w:t xml:space="preserve">Real-time RT-PCR assays are available to detect and confirm </w:t>
      </w:r>
      <w:r w:rsidRPr="00695BD1">
        <w:rPr>
          <w:rFonts w:ascii="Arial" w:hAnsi="Arial"/>
          <w:bCs/>
          <w:strike/>
          <w:sz w:val="18"/>
          <w:szCs w:val="18"/>
          <w:highlight w:val="yellow"/>
          <w:lang w:val="en"/>
        </w:rPr>
        <w:t>infection with</w:t>
      </w:r>
      <w:r w:rsidRPr="005E1A88">
        <w:rPr>
          <w:rFonts w:ascii="Arial" w:hAnsi="Arial"/>
          <w:bCs/>
          <w:strike/>
          <w:sz w:val="18"/>
          <w:szCs w:val="18"/>
          <w:lang w:val="en"/>
        </w:rPr>
        <w:t xml:space="preserve"> </w:t>
      </w:r>
      <w:r w:rsidRPr="00D403F5">
        <w:rPr>
          <w:rFonts w:ascii="Arial" w:hAnsi="Arial"/>
          <w:bCs/>
          <w:sz w:val="18"/>
          <w:szCs w:val="18"/>
          <w:lang w:val="en"/>
        </w:rPr>
        <w:t xml:space="preserve">SVCV (Yue </w:t>
      </w:r>
      <w:r w:rsidRPr="00D403F5">
        <w:rPr>
          <w:rFonts w:ascii="Arial" w:hAnsi="Arial"/>
          <w:bCs/>
          <w:i/>
          <w:iCs/>
          <w:sz w:val="18"/>
          <w:szCs w:val="18"/>
          <w:lang w:val="en"/>
        </w:rPr>
        <w:t>et al</w:t>
      </w:r>
      <w:r w:rsidRPr="00D403F5">
        <w:rPr>
          <w:rFonts w:ascii="Arial" w:hAnsi="Arial"/>
          <w:bCs/>
          <w:sz w:val="18"/>
          <w:szCs w:val="18"/>
          <w:lang w:val="en"/>
        </w:rPr>
        <w:t xml:space="preserve">., 2008; Zhang </w:t>
      </w:r>
      <w:r w:rsidRPr="00D403F5">
        <w:rPr>
          <w:rFonts w:ascii="Arial" w:hAnsi="Arial"/>
          <w:bCs/>
          <w:i/>
          <w:iCs/>
          <w:sz w:val="18"/>
          <w:szCs w:val="18"/>
          <w:lang w:val="en"/>
        </w:rPr>
        <w:t>et al</w:t>
      </w:r>
      <w:r w:rsidRPr="00D403F5">
        <w:rPr>
          <w:rFonts w:ascii="Arial" w:hAnsi="Arial"/>
          <w:bCs/>
          <w:sz w:val="18"/>
          <w:szCs w:val="18"/>
          <w:lang w:val="en"/>
        </w:rPr>
        <w:t>., 2009), however, they are not currently recommended as they have not been sufficiently validated.</w:t>
      </w:r>
    </w:p>
    <w:p w14:paraId="40751C0A" w14:textId="77777777" w:rsidR="00E65E42" w:rsidRPr="00135A49" w:rsidRDefault="00E65E42" w:rsidP="00457C4E">
      <w:pPr>
        <w:pStyle w:val="111"/>
        <w:spacing w:after="240"/>
        <w:ind w:left="1276"/>
        <w:rPr>
          <w:szCs w:val="20"/>
          <w:lang w:val="en-IE" w:bidi="en-US"/>
        </w:rPr>
      </w:pPr>
      <w:r w:rsidRPr="00135A49">
        <w:rPr>
          <w:szCs w:val="20"/>
          <w:lang w:val="en-IE" w:bidi="en-US"/>
        </w:rPr>
        <w:t>4.4.2.</w:t>
      </w:r>
      <w:r w:rsidRPr="00135A49">
        <w:rPr>
          <w:szCs w:val="20"/>
          <w:lang w:val="en-IE" w:bidi="en-US"/>
        </w:rPr>
        <w:tab/>
        <w:t xml:space="preserve">Conventional </w:t>
      </w:r>
      <w:r w:rsidRPr="00457C4E">
        <w:rPr>
          <w:szCs w:val="20"/>
          <w:lang w:bidi="en-US"/>
        </w:rPr>
        <w:t>PCR</w:t>
      </w:r>
      <w:r w:rsidRPr="00135A49">
        <w:rPr>
          <w:szCs w:val="20"/>
          <w:lang w:val="en-IE" w:bidi="en-US"/>
        </w:rPr>
        <w:t xml:space="preserve"> </w:t>
      </w:r>
    </w:p>
    <w:p w14:paraId="67C181CC" w14:textId="77777777" w:rsidR="00E65E42" w:rsidRPr="00695BD1" w:rsidRDefault="00E65E42" w:rsidP="00457C4E">
      <w:pPr>
        <w:spacing w:line="240" w:lineRule="auto"/>
        <w:ind w:left="709"/>
        <w:jc w:val="both"/>
        <w:rPr>
          <w:rFonts w:ascii="Arial" w:hAnsi="Arial"/>
          <w:bCs/>
          <w:strike/>
          <w:sz w:val="18"/>
          <w:szCs w:val="18"/>
          <w:u w:val="double"/>
        </w:rPr>
      </w:pPr>
      <w:r w:rsidRPr="00695BD1">
        <w:rPr>
          <w:rFonts w:ascii="Arial" w:hAnsi="Arial"/>
          <w:bCs/>
          <w:strike/>
          <w:sz w:val="18"/>
          <w:szCs w:val="18"/>
          <w:lang w:val="en-IE"/>
        </w:rPr>
        <w:t>The following controls should be run with each assay: negative extraction control; positive control; no template control; internal PCR control</w:t>
      </w:r>
      <w:r w:rsidRPr="00695BD1">
        <w:rPr>
          <w:rFonts w:ascii="Arial" w:hAnsi="Arial" w:cs="Arial"/>
          <w:bCs/>
          <w:strike/>
          <w:kern w:val="24"/>
          <w:sz w:val="18"/>
          <w:szCs w:val="18"/>
          <w:lang w:val="en-IE"/>
        </w:rPr>
        <w:t>.</w:t>
      </w:r>
      <w:r>
        <w:rPr>
          <w:rFonts w:ascii="Arial" w:hAnsi="Arial" w:cs="Arial"/>
          <w:bCs/>
          <w:strike/>
          <w:kern w:val="24"/>
          <w:sz w:val="18"/>
          <w:szCs w:val="18"/>
          <w:lang w:val="en-IE"/>
        </w:rPr>
        <w:t xml:space="preserve"> </w:t>
      </w:r>
      <w:r w:rsidRPr="00695BD1">
        <w:rPr>
          <w:rFonts w:ascii="Arial" w:hAnsi="Arial" w:cs="Arial"/>
          <w:sz w:val="18"/>
          <w:szCs w:val="18"/>
          <w:highlight w:val="yellow"/>
          <w:u w:val="double"/>
        </w:rPr>
        <w:t>Positive and negative controls should be run with each stage of the assay</w:t>
      </w:r>
      <w:r>
        <w:rPr>
          <w:rFonts w:ascii="Arial" w:hAnsi="Arial" w:cs="Arial"/>
          <w:sz w:val="18"/>
          <w:szCs w:val="18"/>
          <w:highlight w:val="yellow"/>
          <w:u w:val="double"/>
        </w:rPr>
        <w:t>s</w:t>
      </w:r>
      <w:r w:rsidRPr="00695BD1">
        <w:rPr>
          <w:rFonts w:ascii="Arial" w:hAnsi="Arial" w:cs="Arial"/>
          <w:sz w:val="18"/>
          <w:szCs w:val="18"/>
          <w:highlight w:val="yellow"/>
          <w:u w:val="double"/>
        </w:rPr>
        <w:t>: extraction, RT-PCR and second round PCR. Due to the sensitive nature of PCR-based</w:t>
      </w:r>
      <w:r w:rsidRPr="00695BD1">
        <w:rPr>
          <w:rFonts w:ascii="Arial" w:hAnsi="Arial" w:cs="Arial"/>
          <w:sz w:val="18"/>
          <w:szCs w:val="18"/>
          <w:highlight w:val="yellow"/>
          <w:u w:val="double"/>
          <w:lang w:eastAsia="zh-CN"/>
        </w:rPr>
        <w:t xml:space="preserve"> </w:t>
      </w:r>
      <w:r w:rsidRPr="00695BD1">
        <w:rPr>
          <w:rFonts w:ascii="Arial" w:hAnsi="Arial" w:cs="Arial"/>
          <w:sz w:val="18"/>
          <w:szCs w:val="18"/>
          <w:highlight w:val="yellow"/>
          <w:u w:val="double"/>
        </w:rPr>
        <w:t>assays it is highly recommended that master mix, template addition and PCR amplification occur in designated hoods or spatially separated areas.</w:t>
      </w:r>
    </w:p>
    <w:p w14:paraId="059D6AF8" w14:textId="77777777" w:rsidR="00E65E42" w:rsidRPr="00D403F5" w:rsidRDefault="00E65E42" w:rsidP="00457C4E">
      <w:pPr>
        <w:spacing w:line="240" w:lineRule="auto"/>
        <w:ind w:left="709"/>
        <w:jc w:val="both"/>
        <w:rPr>
          <w:rFonts w:ascii="Arial" w:hAnsi="Arial"/>
          <w:bCs/>
          <w:sz w:val="18"/>
          <w:szCs w:val="18"/>
          <w:lang w:val="en-IE"/>
        </w:rPr>
      </w:pPr>
      <w:r w:rsidRPr="00D403F5">
        <w:rPr>
          <w:rFonts w:ascii="Arial" w:hAnsi="Arial"/>
          <w:bCs/>
          <w:i/>
          <w:sz w:val="18"/>
          <w:szCs w:val="18"/>
          <w:u w:val="double"/>
          <w:lang w:val="en-IE"/>
        </w:rPr>
        <w:t>Nested</w:t>
      </w:r>
      <w:r w:rsidRPr="00D403F5">
        <w:rPr>
          <w:rFonts w:ascii="Arial" w:hAnsi="Arial"/>
          <w:bCs/>
          <w:i/>
          <w:sz w:val="18"/>
          <w:szCs w:val="18"/>
          <w:lang w:val="en-IE"/>
        </w:rPr>
        <w:t xml:space="preserve"> reverse-transcription polymerase chain reaction </w:t>
      </w:r>
      <w:r w:rsidRPr="00D403F5">
        <w:rPr>
          <w:rFonts w:ascii="Arial" w:hAnsi="Arial"/>
          <w:bCs/>
          <w:sz w:val="18"/>
          <w:szCs w:val="18"/>
          <w:lang w:val="en-IE"/>
        </w:rPr>
        <w:t>(</w:t>
      </w:r>
      <w:r w:rsidRPr="00D403F5">
        <w:rPr>
          <w:rFonts w:ascii="Arial" w:hAnsi="Arial"/>
          <w:bCs/>
          <w:i/>
          <w:sz w:val="18"/>
          <w:szCs w:val="18"/>
          <w:lang w:val="en-IE"/>
        </w:rPr>
        <w:t>RT-PCR</w:t>
      </w:r>
      <w:r w:rsidRPr="00D403F5">
        <w:rPr>
          <w:rFonts w:ascii="Arial" w:hAnsi="Arial"/>
          <w:bCs/>
          <w:sz w:val="18"/>
          <w:szCs w:val="18"/>
          <w:lang w:val="en-IE"/>
        </w:rPr>
        <w:t>)</w:t>
      </w:r>
      <w:r w:rsidRPr="00D403F5">
        <w:rPr>
          <w:rFonts w:ascii="Arial" w:hAnsi="Arial"/>
          <w:bCs/>
          <w:i/>
          <w:sz w:val="18"/>
          <w:szCs w:val="18"/>
          <w:lang w:val="en-IE"/>
        </w:rPr>
        <w:t xml:space="preserve"> </w:t>
      </w:r>
      <w:r w:rsidRPr="00D403F5">
        <w:rPr>
          <w:rFonts w:ascii="Arial" w:hAnsi="Arial"/>
          <w:bCs/>
          <w:sz w:val="18"/>
          <w:szCs w:val="18"/>
          <w:lang w:val="en-IE"/>
        </w:rPr>
        <w:t>(</w:t>
      </w:r>
      <w:r w:rsidRPr="00D403F5">
        <w:rPr>
          <w:rFonts w:ascii="Arial" w:hAnsi="Arial"/>
          <w:bCs/>
          <w:i/>
          <w:sz w:val="18"/>
          <w:szCs w:val="18"/>
          <w:lang w:val="en-IE"/>
        </w:rPr>
        <w:t xml:space="preserve">confirmation of virus identity </w:t>
      </w:r>
      <w:r w:rsidRPr="00D403F5">
        <w:rPr>
          <w:rFonts w:ascii="Arial" w:hAnsi="Arial"/>
          <w:bCs/>
          <w:i/>
          <w:sz w:val="18"/>
          <w:szCs w:val="18"/>
          <w:u w:val="double"/>
          <w:lang w:val="en-IE"/>
        </w:rPr>
        <w:t>from cell culture isolation</w:t>
      </w:r>
      <w:r w:rsidRPr="00D403F5">
        <w:rPr>
          <w:rFonts w:ascii="Arial" w:hAnsi="Arial"/>
          <w:bCs/>
          <w:i/>
          <w:sz w:val="18"/>
          <w:szCs w:val="18"/>
          <w:lang w:val="en-IE"/>
        </w:rPr>
        <w:t xml:space="preserve"> or directly from fish tissue extracts</w:t>
      </w:r>
      <w:r w:rsidRPr="00D403F5">
        <w:rPr>
          <w:rFonts w:ascii="Arial" w:hAnsi="Arial"/>
          <w:bCs/>
          <w:sz w:val="18"/>
          <w:szCs w:val="18"/>
          <w:lang w:val="en-IE"/>
        </w:rPr>
        <w:t>)</w:t>
      </w:r>
    </w:p>
    <w:p w14:paraId="031D693D" w14:textId="77777777" w:rsidR="00E65E42" w:rsidRPr="00D403F5" w:rsidRDefault="00E65E42" w:rsidP="00457C4E">
      <w:pPr>
        <w:spacing w:line="240" w:lineRule="auto"/>
        <w:ind w:left="709"/>
        <w:jc w:val="both"/>
        <w:rPr>
          <w:rFonts w:ascii="Arial" w:hAnsi="Arial"/>
          <w:bCs/>
          <w:sz w:val="18"/>
          <w:szCs w:val="18"/>
          <w:lang w:val="en-IE"/>
        </w:rPr>
      </w:pPr>
      <w:r w:rsidRPr="00D403F5">
        <w:rPr>
          <w:rFonts w:ascii="Arial" w:hAnsi="Arial"/>
          <w:bCs/>
          <w:sz w:val="18"/>
          <w:szCs w:val="18"/>
          <w:lang w:val="en-IE"/>
        </w:rPr>
        <w:t xml:space="preserve">The genome of SVCV consists of a single strand of RNA of approximately 11 kb, with negative polarity. Amplification of a 714 bp fragment of SVCV cDNA is performed using primers derived from sequences of the region coding for the glycoprotein gene: 5’-TCT-TGG-AGC-CAA-ATA-GCT-CAR*-R*TC-3’ (SVCV F1) and 5’-AGA-TGG-TAT-GGA-CCC-CAA-TAC-ATH*-ACN*-CAY*-3’ SVCV R2), using a modification of the method of Stone </w:t>
      </w:r>
      <w:r w:rsidRPr="00D403F5">
        <w:rPr>
          <w:rFonts w:ascii="Arial" w:hAnsi="Arial"/>
          <w:bCs/>
          <w:i/>
          <w:sz w:val="18"/>
          <w:szCs w:val="18"/>
          <w:lang w:val="en-IE"/>
        </w:rPr>
        <w:t>et al.</w:t>
      </w:r>
      <w:r w:rsidRPr="00D403F5">
        <w:rPr>
          <w:rFonts w:ascii="Arial" w:hAnsi="Arial"/>
          <w:bCs/>
          <w:sz w:val="18"/>
          <w:szCs w:val="18"/>
          <w:lang w:val="en-IE"/>
        </w:rPr>
        <w:t xml:space="preserve"> (2003).</w:t>
      </w:r>
    </w:p>
    <w:p w14:paraId="1A5B0508" w14:textId="77777777" w:rsidR="00E65E42" w:rsidRPr="00D403F5" w:rsidRDefault="00E65E42" w:rsidP="00457C4E">
      <w:pPr>
        <w:spacing w:line="240" w:lineRule="auto"/>
        <w:ind w:left="1134" w:hanging="425"/>
        <w:jc w:val="both"/>
        <w:rPr>
          <w:rFonts w:ascii="Arial" w:hAnsi="Arial"/>
          <w:bCs/>
          <w:sz w:val="18"/>
          <w:szCs w:val="18"/>
          <w:lang w:val="en-IE"/>
        </w:rPr>
      </w:pPr>
      <w:r w:rsidRPr="00D403F5">
        <w:rPr>
          <w:rFonts w:ascii="Arial" w:hAnsi="Arial"/>
          <w:bCs/>
          <w:sz w:val="18"/>
          <w:szCs w:val="18"/>
          <w:lang w:val="en-IE"/>
        </w:rPr>
        <w:t>i)</w:t>
      </w:r>
      <w:r w:rsidRPr="00D403F5">
        <w:rPr>
          <w:rFonts w:ascii="Arial" w:hAnsi="Arial"/>
          <w:bCs/>
          <w:sz w:val="18"/>
          <w:szCs w:val="18"/>
          <w:lang w:val="en-IE"/>
        </w:rPr>
        <w:tab/>
        <w:t xml:space="preserve">Total RNA is extracted from 100 µl of supernatant from cell cultures exhibiting CPE or 50 µl of fish tissue extract and dissolved in 40 µl molecular biology grade DNase- and RNase-free water. </w:t>
      </w:r>
    </w:p>
    <w:p w14:paraId="30DCBC68" w14:textId="77777777" w:rsidR="00E65E42" w:rsidRPr="00D403F5" w:rsidRDefault="00E65E42" w:rsidP="00457C4E">
      <w:pPr>
        <w:spacing w:line="240" w:lineRule="auto"/>
        <w:ind w:left="1134"/>
        <w:jc w:val="both"/>
        <w:rPr>
          <w:rFonts w:ascii="Arial" w:hAnsi="Arial"/>
          <w:bCs/>
          <w:sz w:val="18"/>
          <w:szCs w:val="18"/>
          <w:lang w:val="en-IE"/>
        </w:rPr>
      </w:pPr>
      <w:r w:rsidRPr="00D403F5">
        <w:rPr>
          <w:rFonts w:ascii="Arial" w:hAnsi="Arial"/>
          <w:bCs/>
          <w:sz w:val="18"/>
          <w:szCs w:val="18"/>
          <w:lang w:val="en-IE"/>
        </w:rPr>
        <w:t xml:space="preserve">A number of total RNA extraction kits are available commercially that will produce high quality RNA suitable for RT-PCR. </w:t>
      </w:r>
      <w:r w:rsidRPr="00D403F5">
        <w:rPr>
          <w:rFonts w:ascii="Arial" w:hAnsi="Arial"/>
          <w:bCs/>
          <w:strike/>
          <w:sz w:val="18"/>
          <w:szCs w:val="18"/>
          <w:lang w:val="en-IE"/>
        </w:rPr>
        <w:t>Examples are Trizol ReagentT (RL, Life Technologies, Paisley, UK), SV Total RNA isolation system (Promega) and Nucleospin® RNA (AB gene), EZ virus mini kit, Ez RNA tissue mini kit (Qiagen).</w:t>
      </w:r>
    </w:p>
    <w:p w14:paraId="1F34AA9D" w14:textId="77777777" w:rsidR="00E65E42" w:rsidRPr="00D403F5" w:rsidRDefault="00E65E42" w:rsidP="00457C4E">
      <w:pPr>
        <w:spacing w:after="360" w:line="240" w:lineRule="auto"/>
        <w:ind w:left="1134" w:hanging="425"/>
        <w:jc w:val="both"/>
        <w:rPr>
          <w:rFonts w:ascii="Arial" w:hAnsi="Arial"/>
          <w:bCs/>
          <w:sz w:val="18"/>
          <w:szCs w:val="18"/>
          <w:lang w:val="en-IE"/>
        </w:rPr>
      </w:pPr>
      <w:r w:rsidRPr="00D403F5">
        <w:rPr>
          <w:rFonts w:ascii="Arial" w:hAnsi="Arial"/>
          <w:bCs/>
          <w:sz w:val="18"/>
          <w:szCs w:val="18"/>
          <w:lang w:val="en-IE"/>
        </w:rPr>
        <w:t>ii)</w:t>
      </w:r>
      <w:r w:rsidRPr="00D403F5">
        <w:rPr>
          <w:rFonts w:ascii="Arial" w:hAnsi="Arial"/>
          <w:bCs/>
          <w:sz w:val="18"/>
          <w:szCs w:val="18"/>
          <w:lang w:val="en-IE"/>
        </w:rPr>
        <w:tab/>
        <w:t>For cDNA synthesis, a reverse transcription reaction is performed at 37°C for 1 hour in a 20 µl volume consisting of 1 × M-MLV RT reaction buffer (50 mM Tris, pH 8.3, 75 mM KCl, 10 mM DTT, 3 mM MgCl</w:t>
      </w:r>
      <w:r w:rsidRPr="00D403F5">
        <w:rPr>
          <w:rFonts w:ascii="Arial" w:hAnsi="Arial"/>
          <w:bCs/>
          <w:sz w:val="18"/>
          <w:szCs w:val="18"/>
          <w:vertAlign w:val="subscript"/>
          <w:lang w:val="en-IE"/>
        </w:rPr>
        <w:t>2</w:t>
      </w:r>
      <w:r w:rsidRPr="00D403F5">
        <w:rPr>
          <w:rFonts w:ascii="Arial" w:hAnsi="Arial"/>
          <w:bCs/>
          <w:sz w:val="18"/>
          <w:szCs w:val="18"/>
          <w:lang w:val="en-IE"/>
        </w:rPr>
        <w:t>) containing 1 mM dNTP, 100 pmol SVCV R2 primer, 20 units M-MLV reverse transcriptase (Promega, Southampton, UK) or an equivalent reverse transcriptase system and 1/10 of the total RNA extracted above.</w:t>
      </w:r>
    </w:p>
    <w:p w14:paraId="384C67A3" w14:textId="77777777" w:rsidR="00754D87" w:rsidRDefault="00754D87">
      <w:pPr>
        <w:rPr>
          <w:rFonts w:ascii="Arial" w:hAnsi="Arial"/>
          <w:bCs/>
          <w:sz w:val="18"/>
          <w:szCs w:val="18"/>
          <w:lang w:val="en-IE"/>
        </w:rPr>
      </w:pPr>
      <w:r>
        <w:rPr>
          <w:rFonts w:ascii="Arial" w:hAnsi="Arial"/>
          <w:bCs/>
          <w:sz w:val="18"/>
          <w:szCs w:val="18"/>
          <w:lang w:val="en-IE"/>
        </w:rPr>
        <w:br w:type="page"/>
      </w:r>
    </w:p>
    <w:p w14:paraId="303346EA" w14:textId="77777777" w:rsidR="00754D87" w:rsidRDefault="00754D87" w:rsidP="00754D87">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428211CA" w14:textId="3353FE38" w:rsidR="00E65E42" w:rsidRPr="00D403F5" w:rsidRDefault="00E65E42" w:rsidP="00457C4E">
      <w:pPr>
        <w:spacing w:after="360" w:line="240" w:lineRule="auto"/>
        <w:ind w:left="1134" w:hanging="425"/>
        <w:jc w:val="both"/>
        <w:rPr>
          <w:rFonts w:ascii="Arial" w:hAnsi="Arial"/>
          <w:bCs/>
          <w:sz w:val="18"/>
          <w:szCs w:val="18"/>
          <w:lang w:val="en-IE"/>
        </w:rPr>
      </w:pPr>
      <w:r w:rsidRPr="00D403F5">
        <w:rPr>
          <w:rFonts w:ascii="Arial" w:hAnsi="Arial"/>
          <w:bCs/>
          <w:sz w:val="18"/>
          <w:szCs w:val="18"/>
          <w:lang w:val="en-IE"/>
        </w:rPr>
        <w:t>iii)</w:t>
      </w:r>
      <w:r w:rsidRPr="00D403F5">
        <w:rPr>
          <w:rFonts w:ascii="Arial" w:hAnsi="Arial"/>
          <w:bCs/>
          <w:sz w:val="18"/>
          <w:szCs w:val="18"/>
          <w:lang w:val="en-IE"/>
        </w:rPr>
        <w:tab/>
        <w:t>PCR is performed in a 50 µl reaction volume 1 × PCR buffer (50 mM KCl, 10 mM Tris/HCl, pH 9.0, and 0.1% Triton X-100) containing 2.5 mM MgCl</w:t>
      </w:r>
      <w:r w:rsidRPr="00D403F5">
        <w:rPr>
          <w:rFonts w:ascii="Arial" w:hAnsi="Arial"/>
          <w:bCs/>
          <w:sz w:val="18"/>
          <w:szCs w:val="18"/>
          <w:vertAlign w:val="subscript"/>
          <w:lang w:val="en-IE"/>
        </w:rPr>
        <w:t>2</w:t>
      </w:r>
      <w:r w:rsidRPr="00D403F5">
        <w:rPr>
          <w:rFonts w:ascii="Arial" w:hAnsi="Arial"/>
          <w:bCs/>
          <w:sz w:val="18"/>
          <w:szCs w:val="18"/>
          <w:lang w:val="en-IE"/>
        </w:rPr>
        <w:t>, 200 µM dNTPs, 50 pmol each of the SVCV R2 and SVCV F1 primers, 1.25 units of Taq DNA polymerase, and 2.5 µl reverse transcription reaction mix. The reaction mix is subjected to 35 temperature cycles of: 1 minute at 95°C, 1 minute at 55°C and 1 minute at 72°C followed by a final extension step of 10 minutes at 72°C. Amplified DNA (714 bp) is analysed by agarose gel electrophoresis.</w:t>
      </w:r>
    </w:p>
    <w:p w14:paraId="12F15A89" w14:textId="77777777" w:rsidR="00E65E42" w:rsidRPr="00D403F5" w:rsidRDefault="00E65E42" w:rsidP="00457C4E">
      <w:pPr>
        <w:spacing w:after="360" w:line="240" w:lineRule="auto"/>
        <w:ind w:left="1134" w:hanging="425"/>
        <w:jc w:val="both"/>
        <w:rPr>
          <w:rFonts w:ascii="Arial" w:hAnsi="Arial"/>
          <w:bCs/>
          <w:sz w:val="18"/>
          <w:szCs w:val="18"/>
          <w:lang w:val="en-IE"/>
        </w:rPr>
      </w:pPr>
      <w:r w:rsidRPr="00D403F5">
        <w:rPr>
          <w:rFonts w:ascii="Arial" w:hAnsi="Arial"/>
          <w:bCs/>
          <w:sz w:val="18"/>
          <w:szCs w:val="18"/>
          <w:lang w:val="en-IE"/>
        </w:rPr>
        <w:t>iv)</w:t>
      </w:r>
      <w:r w:rsidRPr="00D403F5">
        <w:rPr>
          <w:rFonts w:ascii="Arial" w:hAnsi="Arial"/>
          <w:bCs/>
          <w:sz w:val="18"/>
          <w:szCs w:val="18"/>
          <w:lang w:val="en-IE"/>
        </w:rPr>
        <w:tab/>
        <w:t xml:space="preserve">If the CPE in culture is not extensive it is possible that a visible product will not be generated using a single round of amplification. To avoid such problems, use the semi-nested assay using primers: 5’-TCT-TGG-AGC-CAA-ATA-GCT-CAR*-R*TC-3’ (SVCV F1) and 5’-CTG-GGG-TTT-CCN*-CCT-CAA-AGY*-TGY*-3’ (SVC R4) according to Stone </w:t>
      </w:r>
      <w:r w:rsidRPr="00D403F5">
        <w:rPr>
          <w:rFonts w:ascii="Arial" w:hAnsi="Arial"/>
          <w:bCs/>
          <w:i/>
          <w:sz w:val="18"/>
          <w:szCs w:val="18"/>
          <w:lang w:val="en-IE"/>
        </w:rPr>
        <w:t xml:space="preserve">et al. </w:t>
      </w:r>
      <w:r w:rsidRPr="00D403F5">
        <w:rPr>
          <w:rFonts w:ascii="Arial" w:hAnsi="Arial"/>
          <w:bCs/>
          <w:sz w:val="18"/>
          <w:szCs w:val="18"/>
          <w:lang w:val="en-IE"/>
        </w:rPr>
        <w:t>(2003).</w:t>
      </w:r>
    </w:p>
    <w:p w14:paraId="502AFFAD" w14:textId="77777777" w:rsidR="00E65E42" w:rsidRPr="00D403F5" w:rsidRDefault="00E65E42" w:rsidP="00457C4E">
      <w:pPr>
        <w:spacing w:after="360" w:line="240" w:lineRule="auto"/>
        <w:ind w:left="1134" w:hanging="425"/>
        <w:jc w:val="both"/>
        <w:rPr>
          <w:rFonts w:ascii="Arial" w:hAnsi="Arial"/>
          <w:bCs/>
          <w:sz w:val="18"/>
          <w:szCs w:val="18"/>
          <w:lang w:val="en-IE"/>
        </w:rPr>
      </w:pPr>
      <w:r w:rsidRPr="00D403F5">
        <w:rPr>
          <w:rFonts w:ascii="Arial" w:hAnsi="Arial"/>
          <w:bCs/>
          <w:sz w:val="18"/>
          <w:szCs w:val="18"/>
          <w:lang w:val="en-IE"/>
        </w:rPr>
        <w:t>v)</w:t>
      </w:r>
      <w:r w:rsidRPr="00D403F5">
        <w:rPr>
          <w:rFonts w:ascii="Arial" w:hAnsi="Arial"/>
          <w:bCs/>
          <w:sz w:val="18"/>
          <w:szCs w:val="18"/>
          <w:lang w:val="en-IE"/>
        </w:rPr>
        <w:tab/>
        <w:t>The second round of PCR is performed in a 50 µl reaction volume 1 × PCR buffer (50 mM KCl, 10 mM Tris/HCl, pH 9.0, and 0.1% Triton X-100) containing 2.5 mM MgCl</w:t>
      </w:r>
      <w:r w:rsidRPr="00D403F5">
        <w:rPr>
          <w:rFonts w:ascii="Arial" w:hAnsi="Arial"/>
          <w:bCs/>
          <w:sz w:val="18"/>
          <w:szCs w:val="18"/>
          <w:vertAlign w:val="subscript"/>
          <w:lang w:val="en-IE"/>
        </w:rPr>
        <w:t>2</w:t>
      </w:r>
      <w:r w:rsidRPr="00D403F5">
        <w:rPr>
          <w:rFonts w:ascii="Arial" w:hAnsi="Arial"/>
          <w:bCs/>
          <w:sz w:val="18"/>
          <w:szCs w:val="18"/>
          <w:lang w:val="en-IE"/>
        </w:rPr>
        <w:t>, 200 µM dNTPs, 50 pmol each of the SVCV R4 and SVCV F1 primers, 1.25 units Taq DNA polymerase, and 2.5 µl of the first round product. The reaction mix is subjected to 35 temperature cycles of: 1 minute at 95°C, 1 minute at 55°C and 1 minute at 72°C followed by a final extension step of 10 minutes at 72°C. Amplified DNA (606 bp) is analysed by agarose gel electrophoresis.</w:t>
      </w:r>
    </w:p>
    <w:p w14:paraId="1C9F7BBF" w14:textId="77777777" w:rsidR="00E65E42" w:rsidRPr="00D403F5" w:rsidRDefault="00E65E42" w:rsidP="00457C4E">
      <w:pPr>
        <w:spacing w:after="360" w:line="240" w:lineRule="auto"/>
        <w:ind w:left="1134" w:hanging="425"/>
        <w:jc w:val="both"/>
        <w:rPr>
          <w:rFonts w:ascii="Arial" w:hAnsi="Arial"/>
          <w:bCs/>
          <w:sz w:val="18"/>
          <w:szCs w:val="18"/>
          <w:lang w:val="en-IE"/>
        </w:rPr>
      </w:pPr>
      <w:r w:rsidRPr="00D403F5">
        <w:rPr>
          <w:rFonts w:ascii="Arial" w:hAnsi="Arial"/>
          <w:bCs/>
          <w:sz w:val="18"/>
          <w:szCs w:val="18"/>
          <w:lang w:val="en-IE"/>
        </w:rPr>
        <w:t>vi)</w:t>
      </w:r>
      <w:r w:rsidRPr="00D403F5">
        <w:rPr>
          <w:rFonts w:ascii="Arial" w:hAnsi="Arial"/>
          <w:bCs/>
          <w:sz w:val="18"/>
          <w:szCs w:val="18"/>
          <w:lang w:val="en-IE"/>
        </w:rPr>
        <w:tab/>
        <w:t>All amplified products are confirmed as SVCV in origin by sequencing, and the SVCV subtype (Ia-Id) is identified using a BLAST search (</w:t>
      </w:r>
      <w:hyperlink r:id="rId159" w:history="1">
        <w:r w:rsidRPr="00E47078">
          <w:rPr>
            <w:rFonts w:ascii="Arial" w:hAnsi="Arial"/>
            <w:bCs/>
            <w:color w:val="0000FF"/>
            <w:sz w:val="18"/>
            <w:szCs w:val="18"/>
            <w:u w:val="single"/>
            <w:lang w:val="en-IE"/>
          </w:rPr>
          <w:t>http://www.ebi.ac.uk/blastall/index.html</w:t>
        </w:r>
      </w:hyperlink>
      <w:r w:rsidRPr="00D403F5">
        <w:rPr>
          <w:rFonts w:ascii="Arial" w:hAnsi="Arial"/>
          <w:bCs/>
          <w:sz w:val="18"/>
          <w:szCs w:val="18"/>
          <w:lang w:val="en-IE"/>
        </w:rPr>
        <w:t>) or by phylogenetic analysis using the SVCV sequences available in public sequence databases. Phylogenetic analysis is undertaken using a 426 bp region corresponding to nucleotides 429–855 of the glycoprotein gene.</w:t>
      </w:r>
    </w:p>
    <w:p w14:paraId="2D5B1771" w14:textId="77777777" w:rsidR="00E65E42" w:rsidRPr="00D403F5" w:rsidRDefault="00E65E42" w:rsidP="00457C4E">
      <w:pPr>
        <w:spacing w:after="360" w:line="240" w:lineRule="auto"/>
        <w:ind w:left="1134" w:hanging="425"/>
        <w:jc w:val="both"/>
        <w:rPr>
          <w:rFonts w:ascii="Arial" w:hAnsi="Arial"/>
          <w:bCs/>
          <w:sz w:val="18"/>
          <w:szCs w:val="18"/>
          <w:lang w:val="en-IE"/>
        </w:rPr>
      </w:pPr>
      <w:r w:rsidRPr="00D403F5">
        <w:rPr>
          <w:rFonts w:ascii="Arial" w:hAnsi="Arial"/>
          <w:bCs/>
          <w:sz w:val="18"/>
          <w:szCs w:val="18"/>
          <w:lang w:val="en-IE"/>
        </w:rPr>
        <w:t>vii)</w:t>
      </w:r>
      <w:r w:rsidRPr="00D403F5">
        <w:rPr>
          <w:rFonts w:ascii="Arial" w:hAnsi="Arial"/>
          <w:bCs/>
          <w:sz w:val="18"/>
          <w:szCs w:val="18"/>
          <w:lang w:val="en-IE"/>
        </w:rPr>
        <w:tab/>
        <w:t>In cases where the CPE is extensive and the virus replicates to a high titre, or where a semi-nested RT-PCR assay was used, sufficient PCR amplicon will be available for direct sequencing. Where the amplified product is weak it is recommended that the product be inserted into an appropriate sequencing vector (e.g. pGEM-T, pCR® 4-TOPO®) prior to undertaking the sequencing. At least two independent amplification and sequencing events should be undertaken to eliminate potential sequence errors introduced by the Taq polymerase.</w:t>
      </w:r>
    </w:p>
    <w:p w14:paraId="1A9F27B7" w14:textId="77777777" w:rsidR="00E65E42" w:rsidRPr="00D403F5" w:rsidRDefault="00E65E42" w:rsidP="00457C4E">
      <w:pPr>
        <w:spacing w:after="360" w:line="240" w:lineRule="auto"/>
        <w:ind w:left="709"/>
        <w:jc w:val="both"/>
        <w:rPr>
          <w:rFonts w:ascii="Arial" w:hAnsi="Arial"/>
          <w:bCs/>
          <w:strike/>
          <w:sz w:val="18"/>
          <w:szCs w:val="18"/>
          <w:lang w:val="en-IE"/>
        </w:rPr>
      </w:pPr>
      <w:r w:rsidRPr="00D403F5">
        <w:rPr>
          <w:rFonts w:ascii="Arial" w:hAnsi="Arial"/>
          <w:bCs/>
          <w:strike/>
          <w:sz w:val="18"/>
          <w:szCs w:val="18"/>
          <w:lang w:val="en-IE"/>
        </w:rPr>
        <w:t>The following controls should be run with each assay: negative extraction control; positive control; no template control; internal PCR control.</w:t>
      </w:r>
    </w:p>
    <w:p w14:paraId="66C34CE7" w14:textId="77777777" w:rsidR="00E65E42" w:rsidRPr="00D403F5" w:rsidRDefault="00E65E42" w:rsidP="00457C4E">
      <w:pPr>
        <w:spacing w:after="360" w:line="240" w:lineRule="auto"/>
        <w:ind w:left="709"/>
        <w:jc w:val="both"/>
        <w:rPr>
          <w:rFonts w:ascii="Arial" w:hAnsi="Arial"/>
          <w:bCs/>
          <w:strike/>
          <w:sz w:val="18"/>
          <w:szCs w:val="18"/>
          <w:lang w:val="en-IE"/>
        </w:rPr>
      </w:pPr>
      <w:r w:rsidRPr="00D403F5">
        <w:rPr>
          <w:rFonts w:ascii="Arial" w:hAnsi="Arial"/>
          <w:b/>
          <w:bCs/>
          <w:strike/>
          <w:sz w:val="18"/>
          <w:szCs w:val="18"/>
          <w:lang w:val="en-IE"/>
        </w:rPr>
        <w:t>NOTE:</w:t>
      </w:r>
      <w:r w:rsidRPr="00D403F5">
        <w:rPr>
          <w:rFonts w:ascii="Arial" w:hAnsi="Arial"/>
          <w:bCs/>
          <w:strike/>
          <w:sz w:val="18"/>
          <w:szCs w:val="18"/>
          <w:lang w:val="en-IE"/>
        </w:rPr>
        <w:t xml:space="preserve"> The appropriate IUB codes have been used where appropriate and are indicated by an asterisk (*).</w:t>
      </w:r>
    </w:p>
    <w:p w14:paraId="6D6A2750" w14:textId="77777777" w:rsidR="00E65E42" w:rsidRPr="00D403F5" w:rsidRDefault="00E65E42" w:rsidP="00457C4E">
      <w:pPr>
        <w:spacing w:after="240" w:line="240" w:lineRule="auto"/>
        <w:ind w:left="709"/>
        <w:jc w:val="both"/>
        <w:rPr>
          <w:rFonts w:ascii="Arial" w:hAnsi="Arial"/>
          <w:bCs/>
          <w:sz w:val="18"/>
          <w:szCs w:val="18"/>
          <w:u w:val="double"/>
          <w:lang w:val="en-IE"/>
        </w:rPr>
      </w:pPr>
      <w:r w:rsidRPr="00D403F5">
        <w:rPr>
          <w:rFonts w:ascii="Arial" w:hAnsi="Arial"/>
          <w:bCs/>
          <w:i/>
          <w:sz w:val="18"/>
          <w:szCs w:val="18"/>
          <w:u w:val="double"/>
          <w:lang w:val="en-IE"/>
        </w:rPr>
        <w:t xml:space="preserve">Reverse-transcription polymerase chain reaction </w:t>
      </w:r>
      <w:r w:rsidRPr="00D403F5">
        <w:rPr>
          <w:rFonts w:ascii="Arial" w:hAnsi="Arial"/>
          <w:bCs/>
          <w:sz w:val="18"/>
          <w:szCs w:val="18"/>
          <w:u w:val="double"/>
          <w:lang w:val="en-IE"/>
        </w:rPr>
        <w:t>(</w:t>
      </w:r>
      <w:r w:rsidRPr="00D403F5">
        <w:rPr>
          <w:rFonts w:ascii="Arial" w:hAnsi="Arial"/>
          <w:bCs/>
          <w:i/>
          <w:sz w:val="18"/>
          <w:szCs w:val="18"/>
          <w:u w:val="double"/>
          <w:lang w:val="en-IE"/>
        </w:rPr>
        <w:t>RT-PCR</w:t>
      </w:r>
      <w:r w:rsidRPr="00D403F5">
        <w:rPr>
          <w:rFonts w:ascii="Arial" w:hAnsi="Arial"/>
          <w:bCs/>
          <w:sz w:val="18"/>
          <w:szCs w:val="18"/>
          <w:u w:val="double"/>
          <w:lang w:val="en-IE"/>
        </w:rPr>
        <w:t>)</w:t>
      </w:r>
      <w:r w:rsidRPr="00D403F5">
        <w:rPr>
          <w:rFonts w:ascii="Arial" w:hAnsi="Arial"/>
          <w:bCs/>
          <w:i/>
          <w:sz w:val="18"/>
          <w:szCs w:val="18"/>
          <w:u w:val="double"/>
          <w:lang w:val="en-IE"/>
        </w:rPr>
        <w:t xml:space="preserve"> </w:t>
      </w:r>
      <w:r w:rsidRPr="00D403F5">
        <w:rPr>
          <w:rFonts w:ascii="Arial" w:hAnsi="Arial"/>
          <w:bCs/>
          <w:sz w:val="18"/>
          <w:szCs w:val="18"/>
          <w:u w:val="double"/>
          <w:lang w:val="en-IE"/>
        </w:rPr>
        <w:t>(</w:t>
      </w:r>
      <w:r w:rsidRPr="00D403F5">
        <w:rPr>
          <w:rFonts w:ascii="Arial" w:hAnsi="Arial"/>
          <w:bCs/>
          <w:i/>
          <w:sz w:val="18"/>
          <w:szCs w:val="18"/>
          <w:u w:val="double"/>
          <w:lang w:val="en-IE"/>
        </w:rPr>
        <w:t>confirmation of virus identity</w:t>
      </w:r>
      <w:r w:rsidRPr="00D403F5">
        <w:rPr>
          <w:rFonts w:ascii="Arial" w:hAnsi="Arial"/>
          <w:bCs/>
          <w:sz w:val="18"/>
          <w:szCs w:val="18"/>
          <w:u w:val="double"/>
          <w:lang w:val="en-IE"/>
        </w:rPr>
        <w:t>)</w:t>
      </w:r>
    </w:p>
    <w:p w14:paraId="1C730966" w14:textId="77777777" w:rsidR="00E65E42" w:rsidRPr="00D403F5" w:rsidRDefault="00E65E42" w:rsidP="00457C4E">
      <w:pPr>
        <w:spacing w:after="240" w:line="240" w:lineRule="auto"/>
        <w:ind w:left="709"/>
        <w:jc w:val="both"/>
        <w:rPr>
          <w:rFonts w:ascii="Arial" w:hAnsi="Arial"/>
          <w:bCs/>
          <w:sz w:val="18"/>
          <w:szCs w:val="18"/>
          <w:lang w:val="en"/>
        </w:rPr>
      </w:pPr>
      <w:r w:rsidRPr="00D403F5">
        <w:rPr>
          <w:rFonts w:ascii="Arial" w:hAnsi="Arial"/>
          <w:bCs/>
          <w:sz w:val="18"/>
          <w:szCs w:val="18"/>
          <w:lang w:val="en"/>
        </w:rPr>
        <w:t xml:space="preserve">Additional conventional RT-PCR assays are available to detect and confirm SVCV infections (Koutna </w:t>
      </w:r>
      <w:r w:rsidRPr="00D403F5">
        <w:rPr>
          <w:rFonts w:ascii="Arial" w:hAnsi="Arial"/>
          <w:bCs/>
          <w:i/>
          <w:iCs/>
          <w:sz w:val="18"/>
          <w:szCs w:val="18"/>
          <w:lang w:val="en"/>
        </w:rPr>
        <w:t>et al</w:t>
      </w:r>
      <w:r w:rsidRPr="00D403F5">
        <w:rPr>
          <w:rFonts w:ascii="Arial" w:hAnsi="Arial"/>
          <w:bCs/>
          <w:sz w:val="18"/>
          <w:szCs w:val="18"/>
          <w:lang w:val="en"/>
        </w:rPr>
        <w:t xml:space="preserve">., 2003; Shimahara </w:t>
      </w:r>
      <w:r w:rsidRPr="00D403F5">
        <w:rPr>
          <w:rFonts w:ascii="Arial" w:hAnsi="Arial"/>
          <w:bCs/>
          <w:i/>
          <w:iCs/>
          <w:sz w:val="18"/>
          <w:szCs w:val="18"/>
          <w:lang w:val="en"/>
        </w:rPr>
        <w:t>et al</w:t>
      </w:r>
      <w:r w:rsidRPr="00D403F5">
        <w:rPr>
          <w:rFonts w:ascii="Arial" w:hAnsi="Arial"/>
          <w:bCs/>
          <w:sz w:val="18"/>
          <w:szCs w:val="18"/>
          <w:lang w:val="en"/>
        </w:rPr>
        <w:t xml:space="preserve">., 2016). A generic primer set based on the polymerase gene also identifies viruses from both the </w:t>
      </w:r>
      <w:r w:rsidRPr="00D403F5">
        <w:rPr>
          <w:rFonts w:ascii="Arial" w:hAnsi="Arial"/>
          <w:bCs/>
          <w:i/>
          <w:iCs/>
          <w:sz w:val="18"/>
          <w:szCs w:val="18"/>
          <w:lang w:val="en"/>
        </w:rPr>
        <w:t>Sprivivirus</w:t>
      </w:r>
      <w:r w:rsidRPr="00D403F5">
        <w:rPr>
          <w:rFonts w:ascii="Arial" w:hAnsi="Arial"/>
          <w:bCs/>
          <w:sz w:val="18"/>
          <w:szCs w:val="18"/>
          <w:lang w:val="en"/>
        </w:rPr>
        <w:t xml:space="preserve"> and </w:t>
      </w:r>
      <w:r w:rsidRPr="00D403F5">
        <w:rPr>
          <w:rFonts w:ascii="Arial" w:hAnsi="Arial"/>
          <w:bCs/>
          <w:i/>
          <w:iCs/>
          <w:sz w:val="18"/>
          <w:szCs w:val="18"/>
          <w:lang w:val="en"/>
        </w:rPr>
        <w:t xml:space="preserve">Perhabdovirus </w:t>
      </w:r>
      <w:r w:rsidRPr="00D403F5">
        <w:rPr>
          <w:rFonts w:ascii="Arial" w:hAnsi="Arial"/>
          <w:bCs/>
          <w:sz w:val="18"/>
          <w:szCs w:val="18"/>
          <w:lang w:val="en"/>
        </w:rPr>
        <w:t xml:space="preserve">genera and can be used to screen a virus culture (Ruane </w:t>
      </w:r>
      <w:r w:rsidRPr="00D403F5">
        <w:rPr>
          <w:rFonts w:ascii="Arial" w:hAnsi="Arial"/>
          <w:bCs/>
          <w:i/>
          <w:iCs/>
          <w:sz w:val="18"/>
          <w:szCs w:val="18"/>
          <w:lang w:val="en"/>
        </w:rPr>
        <w:t>et al</w:t>
      </w:r>
      <w:r w:rsidRPr="00D403F5">
        <w:rPr>
          <w:rFonts w:ascii="Arial" w:hAnsi="Arial"/>
          <w:bCs/>
          <w:sz w:val="18"/>
          <w:szCs w:val="18"/>
          <w:lang w:val="en"/>
        </w:rPr>
        <w:t xml:space="preserve">., 2014). With the exception of the conventional PCR assay developed by Shimahara </w:t>
      </w:r>
      <w:r w:rsidRPr="00D403F5">
        <w:rPr>
          <w:rFonts w:ascii="Arial" w:hAnsi="Arial"/>
          <w:bCs/>
          <w:i/>
          <w:iCs/>
          <w:sz w:val="18"/>
          <w:szCs w:val="18"/>
          <w:lang w:val="en"/>
        </w:rPr>
        <w:t>et al</w:t>
      </w:r>
      <w:r w:rsidRPr="00D403F5">
        <w:rPr>
          <w:rFonts w:ascii="Arial" w:hAnsi="Arial"/>
          <w:bCs/>
          <w:sz w:val="18"/>
          <w:szCs w:val="18"/>
          <w:lang w:val="en"/>
        </w:rPr>
        <w:t xml:space="preserve">. (2016) the other assays were not </w:t>
      </w:r>
      <w:r w:rsidRPr="00D403F5">
        <w:rPr>
          <w:rFonts w:ascii="Arial" w:hAnsi="Arial"/>
          <w:bCs/>
          <w:sz w:val="18"/>
          <w:szCs w:val="18"/>
          <w:u w:val="double"/>
          <w:lang w:val="en"/>
        </w:rPr>
        <w:t>sufficiently</w:t>
      </w:r>
      <w:r w:rsidRPr="00D403F5">
        <w:rPr>
          <w:rFonts w:ascii="Arial" w:hAnsi="Arial"/>
          <w:bCs/>
          <w:sz w:val="18"/>
          <w:szCs w:val="18"/>
          <w:lang w:val="en"/>
        </w:rPr>
        <w:t xml:space="preserve"> </w:t>
      </w:r>
      <w:r w:rsidRPr="00D403F5">
        <w:rPr>
          <w:rFonts w:ascii="Arial" w:hAnsi="Arial"/>
          <w:bCs/>
          <w:strike/>
          <w:sz w:val="18"/>
          <w:szCs w:val="18"/>
          <w:lang w:val="en"/>
        </w:rPr>
        <w:t xml:space="preserve">fully </w:t>
      </w:r>
      <w:r w:rsidRPr="00D403F5">
        <w:rPr>
          <w:rFonts w:ascii="Arial" w:hAnsi="Arial"/>
          <w:bCs/>
          <w:sz w:val="18"/>
          <w:szCs w:val="18"/>
          <w:lang w:val="en"/>
        </w:rPr>
        <w:t xml:space="preserve">validated against representatives from each of the recognised SVCV genogroups and they may fail to detect the full range of SVCV genotypes. </w:t>
      </w:r>
    </w:p>
    <w:p w14:paraId="043C3FBC" w14:textId="77777777" w:rsidR="00E65E42" w:rsidRPr="00D403F5" w:rsidRDefault="00E65E42" w:rsidP="00457C4E">
      <w:pPr>
        <w:spacing w:after="240" w:line="240" w:lineRule="auto"/>
        <w:ind w:left="709"/>
        <w:jc w:val="both"/>
        <w:rPr>
          <w:rFonts w:ascii="Arial" w:hAnsi="Arial"/>
          <w:bCs/>
          <w:iCs/>
          <w:sz w:val="18"/>
          <w:szCs w:val="18"/>
          <w:u w:val="double"/>
          <w:lang w:val="en-IE"/>
        </w:rPr>
      </w:pPr>
      <w:r w:rsidRPr="00D403F5">
        <w:rPr>
          <w:rFonts w:ascii="Arial" w:hAnsi="Arial"/>
          <w:bCs/>
          <w:sz w:val="18"/>
          <w:szCs w:val="18"/>
          <w:u w:val="double"/>
          <w:lang w:val="en-IE"/>
        </w:rPr>
        <w:t xml:space="preserve">A summary of the Shimahara </w:t>
      </w:r>
      <w:r w:rsidRPr="00D403F5">
        <w:rPr>
          <w:rFonts w:ascii="Arial" w:hAnsi="Arial"/>
          <w:bCs/>
          <w:i/>
          <w:sz w:val="18"/>
          <w:szCs w:val="18"/>
          <w:u w:val="double"/>
          <w:lang w:val="en-IE"/>
        </w:rPr>
        <w:t>et al.</w:t>
      </w:r>
      <w:r w:rsidRPr="00D403F5">
        <w:rPr>
          <w:rFonts w:ascii="Arial" w:hAnsi="Arial"/>
          <w:bCs/>
          <w:sz w:val="18"/>
          <w:szCs w:val="18"/>
          <w:u w:val="double"/>
          <w:lang w:val="en-IE"/>
        </w:rPr>
        <w:t xml:space="preserve"> (2016) RT-PCR method follows. Amplification of a 369 bp fragment of SVCV glycoprotein gene is performed using primers as follows:</w:t>
      </w:r>
      <w:r w:rsidRPr="00D403F5">
        <w:rPr>
          <w:rFonts w:ascii="Arial" w:hAnsi="Arial"/>
          <w:bCs/>
          <w:iCs/>
          <w:sz w:val="18"/>
          <w:szCs w:val="18"/>
          <w:u w:val="double"/>
          <w:lang w:val="en-IE"/>
        </w:rPr>
        <w:t xml:space="preserve"> SVCV-G1: 5’-TGA-AGA-YTG-TGT-CAA-TCA-AGTC-3’ and SVCV-G2: 5’-GCG-ART-GCA-GAG-AAA-AAG-TG-3’. Preparation of RNA template is the same as nested RT-PCR above. Reverse transcription of SVCV RNA and amplification of cDNA are carried out using SuperScript III one-step RT-PCR with PlatinumR Taq (Invitrogen) according to the manufacturer’s instructions. The RT</w:t>
      </w:r>
      <w:r w:rsidRPr="00D403F5">
        <w:rPr>
          <w:rFonts w:ascii="Arial" w:hAnsi="Arial" w:hint="eastAsia"/>
          <w:bCs/>
          <w:iCs/>
          <w:sz w:val="18"/>
          <w:szCs w:val="18"/>
          <w:u w:val="double"/>
          <w:lang w:val="en-IE" w:eastAsia="zh-CN"/>
        </w:rPr>
        <w:t>-PCR</w:t>
      </w:r>
      <w:r w:rsidRPr="00D403F5">
        <w:rPr>
          <w:rFonts w:ascii="Arial" w:hAnsi="Arial"/>
          <w:bCs/>
          <w:iCs/>
          <w:sz w:val="18"/>
          <w:szCs w:val="18"/>
          <w:u w:val="double"/>
          <w:lang w:val="en-IE"/>
        </w:rPr>
        <w:t xml:space="preserve"> reaction mixture contained 10 pmol of each primer, 12.5 </w:t>
      </w:r>
      <w:r w:rsidRPr="00D403F5">
        <w:rPr>
          <w:rFonts w:ascii="Arial" w:hAnsi="Arial"/>
          <w:bCs/>
          <w:sz w:val="18"/>
          <w:szCs w:val="18"/>
          <w:u w:val="double"/>
          <w:lang w:val="en-IE"/>
        </w:rPr>
        <w:t>µl of 2</w:t>
      </w:r>
      <w:r w:rsidRPr="00D403F5">
        <w:rPr>
          <w:rFonts w:ascii="Arial" w:hAnsi="Arial" w:cs="Arial"/>
          <w:bCs/>
          <w:sz w:val="18"/>
          <w:szCs w:val="18"/>
          <w:u w:val="double"/>
          <w:lang w:val="en-IE"/>
        </w:rPr>
        <w:t>×</w:t>
      </w:r>
      <w:r w:rsidRPr="00D403F5">
        <w:rPr>
          <w:rFonts w:ascii="Arial" w:hAnsi="Arial"/>
          <w:bCs/>
          <w:sz w:val="18"/>
          <w:szCs w:val="18"/>
          <w:u w:val="double"/>
          <w:lang w:val="en-IE"/>
        </w:rPr>
        <w:t xml:space="preserve"> reaction mix, 1 µl of SuperScript III RT/</w:t>
      </w:r>
      <w:r w:rsidRPr="00D403F5">
        <w:rPr>
          <w:rFonts w:ascii="Arial" w:hAnsi="Arial" w:hint="eastAsia"/>
          <w:bCs/>
          <w:sz w:val="18"/>
          <w:szCs w:val="18"/>
          <w:u w:val="double"/>
          <w:lang w:val="en-IE" w:eastAsia="zh-CN"/>
        </w:rPr>
        <w:t>P</w:t>
      </w:r>
      <w:r w:rsidRPr="00D403F5">
        <w:rPr>
          <w:rFonts w:ascii="Arial" w:hAnsi="Arial"/>
          <w:bCs/>
          <w:sz w:val="18"/>
          <w:szCs w:val="18"/>
          <w:u w:val="double"/>
          <w:lang w:val="en-IE"/>
        </w:rPr>
        <w:t xml:space="preserve">latinum </w:t>
      </w:r>
      <w:r w:rsidRPr="00D403F5">
        <w:rPr>
          <w:rFonts w:ascii="Arial" w:hAnsi="Arial"/>
          <w:bCs/>
          <w:i/>
          <w:iCs/>
          <w:sz w:val="18"/>
          <w:szCs w:val="18"/>
          <w:u w:val="double"/>
          <w:lang w:val="en-IE"/>
        </w:rPr>
        <w:t>Taq</w:t>
      </w:r>
      <w:r w:rsidRPr="00D403F5">
        <w:rPr>
          <w:rFonts w:ascii="Arial" w:hAnsi="Arial"/>
          <w:bCs/>
          <w:sz w:val="18"/>
          <w:szCs w:val="18"/>
          <w:u w:val="double"/>
          <w:lang w:val="en-IE"/>
        </w:rPr>
        <w:t xml:space="preserve"> Mix and 2.5 µl template. After reverse transcription at 50°C for 30 minutes and 94°C for 2 minutes, 40 amplification cycles of 94°C for 15 seconds, 56°C for 30 seconds and 68°C for 1 minute followed by a final extension step at 68°C for 7 minutes is performed. </w:t>
      </w:r>
      <w:r w:rsidRPr="00D403F5">
        <w:rPr>
          <w:rFonts w:ascii="Arial" w:hAnsi="Arial"/>
          <w:bCs/>
          <w:iCs/>
          <w:sz w:val="18"/>
          <w:szCs w:val="18"/>
          <w:u w:val="double"/>
          <w:lang w:val="en-IE"/>
        </w:rPr>
        <w:t>All amplified products are confirmed as SVCV in origin by sequencing</w:t>
      </w:r>
      <w:r w:rsidRPr="00D403F5">
        <w:rPr>
          <w:rFonts w:ascii="Arial" w:hAnsi="Arial"/>
          <w:bCs/>
          <w:sz w:val="18"/>
          <w:szCs w:val="18"/>
          <w:u w:val="double"/>
          <w:lang w:val="en"/>
        </w:rPr>
        <w:t>.</w:t>
      </w:r>
    </w:p>
    <w:p w14:paraId="2056AB29" w14:textId="77777777" w:rsidR="00754D87" w:rsidRDefault="00754D87">
      <w:pPr>
        <w:rPr>
          <w:u w:val="single"/>
        </w:rPr>
      </w:pPr>
      <w:r>
        <w:rPr>
          <w:u w:val="single"/>
        </w:rPr>
        <w:br w:type="page"/>
      </w:r>
    </w:p>
    <w:p w14:paraId="35330E02" w14:textId="0CAB3D2D" w:rsidR="00754D87" w:rsidRDefault="00754D87" w:rsidP="00754D87">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1665D32F" w14:textId="77777777" w:rsidR="00E65E42" w:rsidRPr="000151EA" w:rsidRDefault="00E65E42" w:rsidP="00457C4E">
      <w:pPr>
        <w:pStyle w:val="111"/>
        <w:spacing w:after="240"/>
        <w:ind w:left="1276"/>
        <w:rPr>
          <w:szCs w:val="20"/>
          <w:lang w:bidi="en-US"/>
        </w:rPr>
      </w:pPr>
      <w:r w:rsidRPr="000151EA">
        <w:rPr>
          <w:szCs w:val="20"/>
          <w:lang w:bidi="en-US"/>
        </w:rPr>
        <w:t>4.4.3.</w:t>
      </w:r>
      <w:r w:rsidRPr="000151EA">
        <w:rPr>
          <w:szCs w:val="20"/>
          <w:lang w:bidi="en-US"/>
        </w:rPr>
        <w:tab/>
        <w:t>Other nucleic acid amplification methods</w:t>
      </w:r>
    </w:p>
    <w:p w14:paraId="5B637B47" w14:textId="77777777" w:rsidR="00E65E42" w:rsidRPr="00D403F5" w:rsidRDefault="00E65E42" w:rsidP="00457C4E">
      <w:pPr>
        <w:spacing w:after="240" w:line="240" w:lineRule="auto"/>
        <w:ind w:left="709"/>
        <w:jc w:val="both"/>
        <w:rPr>
          <w:rFonts w:ascii="Arial" w:hAnsi="Arial"/>
          <w:bCs/>
          <w:sz w:val="18"/>
          <w:szCs w:val="18"/>
          <w:lang w:val="en"/>
        </w:rPr>
      </w:pPr>
      <w:r w:rsidRPr="00D403F5">
        <w:rPr>
          <w:rFonts w:ascii="Arial" w:hAnsi="Arial"/>
          <w:bCs/>
          <w:sz w:val="18"/>
          <w:szCs w:val="18"/>
          <w:lang w:val="en"/>
        </w:rPr>
        <w:t>Loop-mediated isothermal amplification assays are available to detect and confirm SVCV infections (</w:t>
      </w:r>
      <w:r w:rsidRPr="00D403F5">
        <w:rPr>
          <w:rFonts w:ascii="Arial" w:hAnsi="Arial"/>
          <w:bCs/>
          <w:sz w:val="18"/>
          <w:szCs w:val="18"/>
          <w:lang w:val="en-IE"/>
        </w:rPr>
        <w:t xml:space="preserve">Shivappa </w:t>
      </w:r>
      <w:r w:rsidRPr="00D403F5">
        <w:rPr>
          <w:rFonts w:ascii="Arial" w:hAnsi="Arial"/>
          <w:bCs/>
          <w:i/>
          <w:sz w:val="18"/>
          <w:szCs w:val="18"/>
          <w:lang w:val="en-IE"/>
        </w:rPr>
        <w:t>et al.,</w:t>
      </w:r>
      <w:r w:rsidRPr="00D403F5">
        <w:rPr>
          <w:rFonts w:ascii="Arial" w:hAnsi="Arial"/>
          <w:bCs/>
          <w:sz w:val="18"/>
          <w:szCs w:val="18"/>
          <w:lang w:val="en-IE"/>
        </w:rPr>
        <w:t xml:space="preserve"> 2008</w:t>
      </w:r>
      <w:r w:rsidRPr="00D403F5">
        <w:rPr>
          <w:rFonts w:ascii="Arial" w:hAnsi="Arial"/>
          <w:bCs/>
          <w:sz w:val="18"/>
          <w:szCs w:val="18"/>
          <w:lang w:val="en"/>
        </w:rPr>
        <w:t xml:space="preserve">), however, they are currently not recommended as they are not sufficiently validated. </w:t>
      </w:r>
    </w:p>
    <w:p w14:paraId="127D3E65" w14:textId="77777777" w:rsidR="00E65E42" w:rsidRDefault="00E65E42" w:rsidP="00457C4E">
      <w:pPr>
        <w:spacing w:after="240" w:line="240" w:lineRule="auto"/>
        <w:ind w:left="709"/>
        <w:jc w:val="both"/>
        <w:rPr>
          <w:rFonts w:ascii="Arial" w:hAnsi="Arial"/>
          <w:bCs/>
          <w:sz w:val="18"/>
          <w:szCs w:val="18"/>
        </w:rPr>
      </w:pPr>
      <w:r w:rsidRPr="00D403F5">
        <w:rPr>
          <w:rFonts w:ascii="Arial" w:hAnsi="Arial"/>
          <w:bCs/>
          <w:sz w:val="18"/>
          <w:szCs w:val="18"/>
          <w:lang w:val="en"/>
        </w:rPr>
        <w:t xml:space="preserve">Infection with SVCV has also been </w:t>
      </w:r>
      <w:r w:rsidRPr="00695BD1">
        <w:rPr>
          <w:rFonts w:ascii="Arial" w:hAnsi="Arial"/>
          <w:bCs/>
          <w:strike/>
          <w:sz w:val="18"/>
          <w:szCs w:val="18"/>
          <w:highlight w:val="yellow"/>
          <w:lang w:val="en"/>
        </w:rPr>
        <w:t>confir</w:t>
      </w:r>
      <w:r>
        <w:rPr>
          <w:rFonts w:ascii="Arial" w:hAnsi="Arial"/>
          <w:bCs/>
          <w:strike/>
          <w:sz w:val="18"/>
          <w:szCs w:val="18"/>
          <w:highlight w:val="yellow"/>
          <w:lang w:val="en"/>
        </w:rPr>
        <w:t>med</w:t>
      </w:r>
      <w:r w:rsidRPr="00695BD1">
        <w:rPr>
          <w:rFonts w:ascii="Arial" w:hAnsi="Arial"/>
          <w:bCs/>
          <w:strike/>
          <w:sz w:val="18"/>
          <w:szCs w:val="18"/>
          <w:highlight w:val="yellow"/>
          <w:lang w:val="en"/>
        </w:rPr>
        <w:t xml:space="preserve"> </w:t>
      </w:r>
      <w:r w:rsidRPr="00695BD1">
        <w:rPr>
          <w:rFonts w:ascii="Arial" w:hAnsi="Arial"/>
          <w:bCs/>
          <w:sz w:val="18"/>
          <w:szCs w:val="18"/>
          <w:highlight w:val="yellow"/>
          <w:u w:val="double"/>
          <w:lang w:val="en"/>
        </w:rPr>
        <w:t>dete</w:t>
      </w:r>
      <w:r>
        <w:rPr>
          <w:rFonts w:ascii="Arial" w:hAnsi="Arial"/>
          <w:bCs/>
          <w:sz w:val="18"/>
          <w:szCs w:val="18"/>
          <w:highlight w:val="yellow"/>
          <w:u w:val="double"/>
          <w:lang w:val="en"/>
        </w:rPr>
        <w:t>cted</w:t>
      </w:r>
      <w:r w:rsidRPr="00D403F5">
        <w:rPr>
          <w:rFonts w:ascii="Arial" w:hAnsi="Arial"/>
          <w:bCs/>
          <w:sz w:val="18"/>
          <w:szCs w:val="18"/>
          <w:lang w:val="en"/>
        </w:rPr>
        <w:t xml:space="preserve"> using RT-PCR and hybridisation with </w:t>
      </w:r>
      <w:r w:rsidRPr="00D403F5">
        <w:rPr>
          <w:rFonts w:ascii="Arial" w:hAnsi="Arial"/>
          <w:bCs/>
          <w:sz w:val="18"/>
          <w:szCs w:val="18"/>
        </w:rPr>
        <w:t>non-radioactive probes</w:t>
      </w:r>
      <w:r>
        <w:rPr>
          <w:rFonts w:ascii="Arial" w:hAnsi="Arial"/>
          <w:bCs/>
          <w:sz w:val="18"/>
          <w:szCs w:val="18"/>
        </w:rPr>
        <w:t xml:space="preserve"> </w:t>
      </w:r>
      <w:r w:rsidRPr="00695BD1">
        <w:rPr>
          <w:rFonts w:ascii="Arial" w:hAnsi="Arial"/>
          <w:bCs/>
          <w:sz w:val="18"/>
          <w:szCs w:val="18"/>
          <w:highlight w:val="yellow"/>
          <w:u w:val="double"/>
        </w:rPr>
        <w:t>to determine the genotype</w:t>
      </w:r>
      <w:r w:rsidRPr="00695BD1">
        <w:rPr>
          <w:rFonts w:ascii="Arial" w:hAnsi="Arial"/>
          <w:bCs/>
          <w:sz w:val="18"/>
          <w:szCs w:val="18"/>
          <w:highlight w:val="yellow"/>
        </w:rPr>
        <w:t xml:space="preserve"> (</w:t>
      </w:r>
      <w:r w:rsidRPr="00695BD1">
        <w:rPr>
          <w:rFonts w:ascii="Arial" w:hAnsi="Arial"/>
          <w:bCs/>
          <w:strike/>
          <w:sz w:val="18"/>
          <w:szCs w:val="18"/>
          <w:highlight w:val="yellow"/>
        </w:rPr>
        <w:t xml:space="preserve">Oreshkova </w:t>
      </w:r>
      <w:r w:rsidRPr="00695BD1">
        <w:rPr>
          <w:rFonts w:ascii="Arial" w:hAnsi="Arial"/>
          <w:bCs/>
          <w:i/>
          <w:strike/>
          <w:sz w:val="18"/>
          <w:szCs w:val="18"/>
          <w:highlight w:val="yellow"/>
        </w:rPr>
        <w:t>et al.,</w:t>
      </w:r>
      <w:r w:rsidRPr="00695BD1">
        <w:rPr>
          <w:rFonts w:ascii="Arial" w:hAnsi="Arial"/>
          <w:bCs/>
          <w:strike/>
          <w:sz w:val="18"/>
          <w:szCs w:val="18"/>
          <w:highlight w:val="yellow"/>
        </w:rPr>
        <w:t xml:space="preserve"> 1999</w:t>
      </w:r>
      <w:r w:rsidRPr="005E1A88">
        <w:rPr>
          <w:rFonts w:ascii="Arial" w:hAnsi="Arial"/>
          <w:bCs/>
          <w:strike/>
          <w:sz w:val="18"/>
          <w:szCs w:val="18"/>
        </w:rPr>
        <w:t xml:space="preserve">; </w:t>
      </w:r>
      <w:r w:rsidRPr="00D403F5">
        <w:rPr>
          <w:rFonts w:ascii="Arial" w:hAnsi="Arial"/>
          <w:bCs/>
          <w:sz w:val="18"/>
          <w:szCs w:val="18"/>
        </w:rPr>
        <w:t xml:space="preserve">Sheppard </w:t>
      </w:r>
      <w:r w:rsidRPr="00D403F5">
        <w:rPr>
          <w:rFonts w:ascii="Arial" w:hAnsi="Arial"/>
          <w:bCs/>
          <w:i/>
          <w:sz w:val="18"/>
          <w:szCs w:val="18"/>
        </w:rPr>
        <w:t>et al</w:t>
      </w:r>
      <w:r w:rsidRPr="00D403F5">
        <w:rPr>
          <w:rFonts w:ascii="Arial" w:hAnsi="Arial"/>
          <w:bCs/>
          <w:sz w:val="18"/>
          <w:szCs w:val="18"/>
        </w:rPr>
        <w:t>., 2007)</w:t>
      </w:r>
      <w:r>
        <w:rPr>
          <w:rFonts w:ascii="Arial" w:hAnsi="Arial"/>
          <w:bCs/>
          <w:sz w:val="18"/>
          <w:szCs w:val="18"/>
        </w:rPr>
        <w:t xml:space="preserve">, </w:t>
      </w:r>
      <w:r w:rsidRPr="00695BD1">
        <w:rPr>
          <w:rFonts w:ascii="Arial" w:hAnsi="Arial"/>
          <w:bCs/>
          <w:sz w:val="18"/>
          <w:szCs w:val="18"/>
          <w:highlight w:val="yellow"/>
          <w:u w:val="double"/>
        </w:rPr>
        <w:t>however, it is currently not recommended as it is not sufficiently validated.</w:t>
      </w:r>
    </w:p>
    <w:p w14:paraId="69CF55DF" w14:textId="77777777" w:rsidR="00E65E42" w:rsidRPr="00BD2E1E" w:rsidRDefault="00E65E42" w:rsidP="00A175F0">
      <w:pPr>
        <w:pStyle w:val="11"/>
        <w:rPr>
          <w:rFonts w:ascii="Ottawa" w:hAnsi="Ottawa"/>
          <w:sz w:val="21"/>
          <w:szCs w:val="21"/>
          <w:lang w:bidi="en-US"/>
        </w:rPr>
      </w:pPr>
      <w:r w:rsidRPr="00BD2E1E">
        <w:rPr>
          <w:rFonts w:ascii="Ottawa" w:hAnsi="Ottawa"/>
          <w:sz w:val="21"/>
          <w:szCs w:val="21"/>
          <w:lang w:bidi="en-US"/>
        </w:rPr>
        <w:t>4.5.</w:t>
      </w:r>
      <w:r w:rsidRPr="00BD2E1E">
        <w:rPr>
          <w:rFonts w:ascii="Ottawa" w:hAnsi="Ottawa"/>
          <w:sz w:val="21"/>
          <w:szCs w:val="21"/>
          <w:lang w:bidi="en-US"/>
        </w:rPr>
        <w:tab/>
        <w:t xml:space="preserve">Amplicon sequencing </w:t>
      </w:r>
    </w:p>
    <w:p w14:paraId="521E3A28" w14:textId="77777777" w:rsidR="00E65E42" w:rsidRPr="00D403F5" w:rsidRDefault="00E65E42" w:rsidP="00457C4E">
      <w:pPr>
        <w:spacing w:after="240" w:line="240" w:lineRule="auto"/>
        <w:ind w:left="709"/>
        <w:jc w:val="both"/>
        <w:rPr>
          <w:rFonts w:ascii="Arial" w:eastAsia="SimSun" w:hAnsi="Arial" w:cs="Arial"/>
          <w:sz w:val="18"/>
          <w:szCs w:val="18"/>
          <w:lang w:val="en-AU" w:eastAsia="zh-CN"/>
        </w:rPr>
      </w:pPr>
      <w:r w:rsidRPr="00D403F5">
        <w:rPr>
          <w:rFonts w:ascii="Arial" w:eastAsia="SimSun" w:hAnsi="Arial" w:cs="Arial"/>
          <w:strike/>
          <w:sz w:val="18"/>
          <w:szCs w:val="18"/>
          <w:lang w:val="en-IE" w:eastAsia="zh-CN"/>
        </w:rPr>
        <w:t xml:space="preserve">See above (Section 4.4.2). </w:t>
      </w:r>
      <w:r w:rsidRPr="00D403F5">
        <w:rPr>
          <w:rFonts w:ascii="Arial" w:eastAsia="SimSun" w:hAnsi="Arial" w:cs="Arial"/>
          <w:strike/>
          <w:sz w:val="18"/>
          <w:szCs w:val="18"/>
          <w:lang w:val="en-AU" w:eastAsia="zh-CN"/>
        </w:rPr>
        <w:t xml:space="preserve">All </w:t>
      </w:r>
      <w:r w:rsidRPr="00D403F5">
        <w:rPr>
          <w:rFonts w:ascii="Arial" w:eastAsia="SimSun" w:hAnsi="Arial" w:cs="Arial"/>
          <w:sz w:val="18"/>
          <w:szCs w:val="18"/>
          <w:u w:val="double"/>
          <w:lang w:val="en-IE" w:eastAsia="zh-CN"/>
        </w:rPr>
        <w:t>Nucleotide sequencing of all</w:t>
      </w:r>
      <w:r w:rsidRPr="00D403F5">
        <w:rPr>
          <w:rFonts w:ascii="Arial" w:eastAsia="SimSun" w:hAnsi="Arial" w:cs="Arial"/>
          <w:sz w:val="18"/>
          <w:szCs w:val="18"/>
          <w:lang w:val="en-AU" w:eastAsia="zh-CN"/>
        </w:rPr>
        <w:t xml:space="preserve"> RT-PCR amplicons </w:t>
      </w:r>
      <w:r w:rsidRPr="00D403F5">
        <w:rPr>
          <w:rFonts w:ascii="Arial" w:eastAsia="SimSun" w:hAnsi="Arial" w:cs="Arial"/>
          <w:strike/>
          <w:sz w:val="18"/>
          <w:szCs w:val="18"/>
          <w:lang w:val="en-AU" w:eastAsia="zh-CN"/>
        </w:rPr>
        <w:t xml:space="preserve">should be sequenced to confirm that they are SVCV in origin </w:t>
      </w:r>
      <w:r w:rsidRPr="00D403F5">
        <w:rPr>
          <w:rFonts w:ascii="Arial" w:eastAsia="SimSun" w:hAnsi="Arial" w:cs="Arial"/>
          <w:sz w:val="18"/>
          <w:szCs w:val="18"/>
          <w:u w:val="double"/>
          <w:lang w:val="en-AU" w:eastAsia="zh-CN"/>
        </w:rPr>
        <w:t>(Section 4.4.2) is recommended as one of the final steps for confirmatory diagnosis</w:t>
      </w:r>
      <w:r w:rsidRPr="00D403F5">
        <w:rPr>
          <w:rFonts w:ascii="Arial" w:eastAsia="SimSun" w:hAnsi="Arial" w:cs="Arial"/>
          <w:sz w:val="18"/>
          <w:szCs w:val="18"/>
          <w:lang w:val="en-AU" w:eastAsia="zh-CN"/>
        </w:rPr>
        <w:t xml:space="preserve">. SVCV-specific </w:t>
      </w:r>
      <w:r w:rsidRPr="00D403F5">
        <w:rPr>
          <w:rFonts w:ascii="Arial" w:eastAsia="SimSun" w:hAnsi="Arial" w:cs="Arial"/>
          <w:strike/>
          <w:sz w:val="18"/>
          <w:szCs w:val="18"/>
          <w:lang w:val="en-AU" w:eastAsia="zh-CN"/>
        </w:rPr>
        <w:t xml:space="preserve">products </w:t>
      </w:r>
      <w:r w:rsidRPr="00D403F5">
        <w:rPr>
          <w:rFonts w:ascii="Arial" w:eastAsia="SimSun" w:hAnsi="Arial" w:cs="Arial"/>
          <w:sz w:val="18"/>
          <w:szCs w:val="18"/>
          <w:u w:val="double"/>
          <w:lang w:val="en-AU" w:eastAsia="zh-CN"/>
        </w:rPr>
        <w:t>sequences</w:t>
      </w:r>
      <w:r w:rsidRPr="00D403F5">
        <w:rPr>
          <w:rFonts w:ascii="Arial" w:eastAsia="SimSun" w:hAnsi="Arial" w:cs="Arial"/>
          <w:sz w:val="18"/>
          <w:szCs w:val="18"/>
          <w:lang w:val="en-AU" w:eastAsia="zh-CN"/>
        </w:rPr>
        <w:t xml:space="preserve"> will share </w:t>
      </w:r>
      <w:r w:rsidRPr="00D403F5">
        <w:rPr>
          <w:rFonts w:ascii="Arial" w:eastAsia="SimSun" w:hAnsi="Arial" w:cs="Arial"/>
          <w:sz w:val="18"/>
          <w:szCs w:val="18"/>
          <w:u w:val="double"/>
          <w:lang w:val="en-AU" w:eastAsia="zh-CN"/>
        </w:rPr>
        <w:t>a</w:t>
      </w:r>
      <w:r w:rsidRPr="00D403F5">
        <w:rPr>
          <w:rFonts w:ascii="Arial" w:eastAsia="SimSun" w:hAnsi="Arial" w:cs="Arial"/>
          <w:sz w:val="18"/>
          <w:szCs w:val="18"/>
          <w:lang w:val="en-AU" w:eastAsia="zh-CN"/>
        </w:rPr>
        <w:t xml:space="preserve"> higher degree of nucleotide </w:t>
      </w:r>
      <w:r w:rsidRPr="00D403F5">
        <w:rPr>
          <w:rFonts w:ascii="Arial" w:eastAsia="SimSun" w:hAnsi="Arial" w:cs="Arial"/>
          <w:strike/>
          <w:sz w:val="18"/>
          <w:szCs w:val="18"/>
          <w:lang w:val="en-AU" w:eastAsia="zh-CN"/>
        </w:rPr>
        <w:t xml:space="preserve">identity </w:t>
      </w:r>
      <w:r w:rsidRPr="00D403F5">
        <w:rPr>
          <w:rFonts w:ascii="Arial" w:eastAsia="SimSun" w:hAnsi="Arial" w:cs="Arial"/>
          <w:sz w:val="18"/>
          <w:szCs w:val="18"/>
          <w:u w:val="double"/>
          <w:lang w:val="en-AU" w:eastAsia="zh-CN"/>
        </w:rPr>
        <w:t>similarity</w:t>
      </w:r>
      <w:r w:rsidRPr="00D403F5">
        <w:rPr>
          <w:rFonts w:ascii="Arial" w:eastAsia="SimSun" w:hAnsi="Arial" w:cs="Arial"/>
          <w:sz w:val="18"/>
          <w:szCs w:val="18"/>
          <w:lang w:val="en-AU" w:eastAsia="zh-CN"/>
        </w:rPr>
        <w:t xml:space="preserve"> to one of the published </w:t>
      </w:r>
      <w:r w:rsidRPr="00D403F5">
        <w:rPr>
          <w:rFonts w:ascii="Arial" w:eastAsia="SimSun" w:hAnsi="Arial" w:cs="Arial"/>
          <w:sz w:val="18"/>
          <w:szCs w:val="18"/>
          <w:u w:val="double"/>
          <w:lang w:val="en-AU" w:eastAsia="zh-CN"/>
        </w:rPr>
        <w:t>reference</w:t>
      </w:r>
      <w:r w:rsidRPr="00D403F5">
        <w:rPr>
          <w:rFonts w:ascii="Arial" w:eastAsia="SimSun" w:hAnsi="Arial" w:cs="Arial"/>
          <w:sz w:val="18"/>
          <w:szCs w:val="18"/>
          <w:lang w:val="en-AU" w:eastAsia="zh-CN"/>
        </w:rPr>
        <w:t xml:space="preserve"> sequences for SVCV (Genbank accession U18101, AJ318079, DQ097384 and EU177782) compared to the published </w:t>
      </w:r>
      <w:r w:rsidRPr="00D403F5">
        <w:rPr>
          <w:rFonts w:ascii="Arial" w:eastAsia="SimSun" w:hAnsi="Arial" w:cs="Arial"/>
          <w:sz w:val="18"/>
          <w:szCs w:val="18"/>
          <w:u w:val="double"/>
          <w:lang w:val="en-AU" w:eastAsia="zh-CN"/>
        </w:rPr>
        <w:t>reference</w:t>
      </w:r>
      <w:r w:rsidRPr="00D403F5">
        <w:rPr>
          <w:rFonts w:ascii="Arial" w:eastAsia="SimSun" w:hAnsi="Arial" w:cs="Arial"/>
          <w:sz w:val="18"/>
          <w:szCs w:val="18"/>
          <w:lang w:val="en-AU" w:eastAsia="zh-CN"/>
        </w:rPr>
        <w:t xml:space="preserve"> sequences for the </w:t>
      </w:r>
      <w:r w:rsidRPr="00D403F5">
        <w:rPr>
          <w:rFonts w:ascii="Arial" w:eastAsia="SimSun" w:hAnsi="Arial" w:cs="Arial"/>
          <w:i/>
          <w:sz w:val="18"/>
          <w:szCs w:val="18"/>
          <w:lang w:val="en-AU" w:eastAsia="zh-CN"/>
        </w:rPr>
        <w:t>Pike sprivivirus</w:t>
      </w:r>
      <w:r w:rsidRPr="00D403F5">
        <w:rPr>
          <w:rFonts w:ascii="Arial" w:eastAsia="SimSun" w:hAnsi="Arial" w:cs="Arial"/>
          <w:sz w:val="18"/>
          <w:szCs w:val="18"/>
          <w:lang w:val="en-AU" w:eastAsia="zh-CN"/>
        </w:rPr>
        <w:t xml:space="preserve">es (GenBank FJ872827, KC113518 and KC113517). </w:t>
      </w:r>
    </w:p>
    <w:p w14:paraId="6CA9EAD1" w14:textId="77777777" w:rsidR="00E65E42" w:rsidRPr="00BD2E1E" w:rsidRDefault="00E65E42" w:rsidP="00A175F0">
      <w:pPr>
        <w:pStyle w:val="11"/>
        <w:rPr>
          <w:rFonts w:ascii="Ottawa" w:hAnsi="Ottawa"/>
          <w:sz w:val="21"/>
          <w:szCs w:val="21"/>
          <w:lang w:bidi="en-US"/>
        </w:rPr>
      </w:pPr>
      <w:r w:rsidRPr="00BD2E1E">
        <w:rPr>
          <w:rFonts w:ascii="Ottawa" w:hAnsi="Ottawa"/>
          <w:sz w:val="21"/>
          <w:szCs w:val="21"/>
          <w:lang w:bidi="en-US"/>
        </w:rPr>
        <w:t>4.6.</w:t>
      </w:r>
      <w:r w:rsidRPr="00BD2E1E">
        <w:rPr>
          <w:rFonts w:ascii="Ottawa" w:hAnsi="Ottawa"/>
          <w:sz w:val="21"/>
          <w:szCs w:val="21"/>
          <w:lang w:bidi="en-US"/>
        </w:rPr>
        <w:tab/>
      </w:r>
      <w:r w:rsidRPr="00BD2E1E">
        <w:rPr>
          <w:rFonts w:ascii="Ottawa" w:hAnsi="Ottawa"/>
          <w:i/>
          <w:sz w:val="21"/>
          <w:szCs w:val="21"/>
          <w:lang w:bidi="en-US"/>
        </w:rPr>
        <w:t>In-situ</w:t>
      </w:r>
      <w:r w:rsidRPr="00BD2E1E">
        <w:rPr>
          <w:rFonts w:ascii="Ottawa" w:hAnsi="Ottawa"/>
          <w:sz w:val="21"/>
          <w:szCs w:val="21"/>
          <w:lang w:bidi="en-US"/>
        </w:rPr>
        <w:t xml:space="preserve"> hybridisation </w:t>
      </w:r>
      <w:r w:rsidRPr="00BD2E1E">
        <w:rPr>
          <w:rFonts w:ascii="Ottawa" w:hAnsi="Ottawa"/>
          <w:strike/>
          <w:sz w:val="21"/>
          <w:szCs w:val="21"/>
          <w:lang w:bidi="en-US"/>
        </w:rPr>
        <w:t>(and histoimmunochemistry)</w:t>
      </w:r>
    </w:p>
    <w:p w14:paraId="4DA24F68" w14:textId="77777777" w:rsidR="00E65E42" w:rsidRPr="00D403F5" w:rsidRDefault="00E65E42" w:rsidP="00457C4E">
      <w:pPr>
        <w:spacing w:after="240"/>
        <w:ind w:left="709"/>
        <w:jc w:val="both"/>
        <w:rPr>
          <w:rFonts w:ascii="Arial" w:eastAsia="SimSun" w:hAnsi="Arial" w:cs="Arial"/>
          <w:sz w:val="18"/>
          <w:szCs w:val="18"/>
          <w:lang w:val="en-IE" w:eastAsia="zh-CN"/>
        </w:rPr>
      </w:pPr>
      <w:bookmarkStart w:id="120" w:name="_Hlk20618115"/>
      <w:r w:rsidRPr="00D403F5">
        <w:rPr>
          <w:rFonts w:ascii="Arial" w:hAnsi="Arial"/>
          <w:sz w:val="18"/>
          <w:szCs w:val="18"/>
          <w:u w:val="double"/>
          <w:lang w:val="en-IE"/>
        </w:rPr>
        <w:t>Although</w:t>
      </w:r>
      <w:r w:rsidRPr="00D403F5">
        <w:rPr>
          <w:rFonts w:ascii="Arial" w:hAnsi="Arial"/>
          <w:sz w:val="18"/>
          <w:szCs w:val="18"/>
          <w:lang w:val="en-IE"/>
        </w:rPr>
        <w:t xml:space="preserve"> </w:t>
      </w:r>
      <w:r w:rsidRPr="00E777B4">
        <w:rPr>
          <w:rFonts w:ascii="Arial" w:hAnsi="Arial"/>
          <w:i/>
          <w:strike/>
          <w:sz w:val="18"/>
          <w:szCs w:val="18"/>
          <w:highlight w:val="yellow"/>
          <w:lang w:val="en-IE"/>
        </w:rPr>
        <w:t>In</w:t>
      </w:r>
      <w:r w:rsidRPr="00E777B4">
        <w:rPr>
          <w:rFonts w:ascii="Arial" w:hAnsi="Arial"/>
          <w:i/>
          <w:sz w:val="18"/>
          <w:szCs w:val="18"/>
          <w:highlight w:val="yellow"/>
          <w:u w:val="double"/>
          <w:lang w:val="en-IE"/>
        </w:rPr>
        <w:t>in</w:t>
      </w:r>
      <w:r w:rsidRPr="00D403F5">
        <w:rPr>
          <w:rFonts w:ascii="Arial" w:hAnsi="Arial"/>
          <w:i/>
          <w:sz w:val="18"/>
          <w:szCs w:val="18"/>
          <w:lang w:val="en-IE"/>
        </w:rPr>
        <w:t>-situ</w:t>
      </w:r>
      <w:r w:rsidRPr="00D403F5">
        <w:rPr>
          <w:rFonts w:ascii="Arial" w:hAnsi="Arial"/>
          <w:sz w:val="18"/>
          <w:szCs w:val="18"/>
          <w:lang w:val="en-IE"/>
        </w:rPr>
        <w:t xml:space="preserve"> hybridisation can be used to locate </w:t>
      </w:r>
      <w:r w:rsidRPr="00D403F5">
        <w:rPr>
          <w:rFonts w:ascii="Arial" w:hAnsi="Arial"/>
          <w:sz w:val="18"/>
          <w:szCs w:val="18"/>
          <w:u w:val="double"/>
          <w:lang w:val="en-IE"/>
        </w:rPr>
        <w:t>SVCV</w:t>
      </w:r>
      <w:r w:rsidRPr="00D403F5">
        <w:rPr>
          <w:rFonts w:ascii="Arial" w:hAnsi="Arial"/>
          <w:sz w:val="18"/>
          <w:szCs w:val="18"/>
          <w:lang w:val="en-IE"/>
        </w:rPr>
        <w:t xml:space="preserve"> </w:t>
      </w:r>
      <w:r w:rsidRPr="00D403F5">
        <w:rPr>
          <w:rFonts w:ascii="Arial" w:hAnsi="Arial"/>
          <w:strike/>
          <w:sz w:val="18"/>
          <w:szCs w:val="18"/>
          <w:lang w:val="en-IE"/>
        </w:rPr>
        <w:t>the virus</w:t>
      </w:r>
      <w:r w:rsidRPr="00D403F5">
        <w:rPr>
          <w:rFonts w:ascii="Arial" w:hAnsi="Arial"/>
          <w:sz w:val="18"/>
          <w:szCs w:val="18"/>
          <w:lang w:val="en-IE"/>
        </w:rPr>
        <w:t xml:space="preserve"> in different tissues </w:t>
      </w:r>
      <w:r w:rsidRPr="00695BD1">
        <w:rPr>
          <w:rFonts w:ascii="Arial" w:hAnsi="Arial"/>
          <w:strike/>
          <w:sz w:val="18"/>
          <w:szCs w:val="18"/>
          <w:highlight w:val="yellow"/>
          <w:lang w:val="en-IE"/>
        </w:rPr>
        <w:t>on</w:t>
      </w:r>
      <w:r>
        <w:rPr>
          <w:rFonts w:ascii="Arial" w:hAnsi="Arial"/>
          <w:strike/>
          <w:sz w:val="18"/>
          <w:szCs w:val="18"/>
          <w:highlight w:val="yellow"/>
          <w:lang w:val="en-IE"/>
        </w:rPr>
        <w:t xml:space="preserve"> </w:t>
      </w:r>
      <w:r w:rsidRPr="00695BD1">
        <w:rPr>
          <w:rFonts w:ascii="Arial" w:hAnsi="Arial"/>
          <w:sz w:val="18"/>
          <w:szCs w:val="18"/>
          <w:highlight w:val="yellow"/>
          <w:u w:val="double"/>
          <w:lang w:val="en-IE"/>
        </w:rPr>
        <w:t>in</w:t>
      </w:r>
      <w:r>
        <w:rPr>
          <w:rFonts w:ascii="Arial" w:hAnsi="Arial"/>
          <w:sz w:val="18"/>
          <w:szCs w:val="18"/>
          <w:lang w:val="en-IE"/>
        </w:rPr>
        <w:t xml:space="preserve"> </w:t>
      </w:r>
      <w:r w:rsidRPr="00D403F5">
        <w:rPr>
          <w:rFonts w:ascii="Arial" w:hAnsi="Arial"/>
          <w:sz w:val="18"/>
          <w:szCs w:val="18"/>
          <w:lang w:val="en-IE"/>
        </w:rPr>
        <w:t xml:space="preserve">known positive animals, </w:t>
      </w:r>
      <w:r w:rsidRPr="00E777B4">
        <w:rPr>
          <w:rFonts w:ascii="Arial" w:hAnsi="Arial"/>
          <w:strike/>
          <w:sz w:val="18"/>
          <w:szCs w:val="18"/>
          <w:highlight w:val="yellow"/>
          <w:lang w:val="en-IE"/>
        </w:rPr>
        <w:t>but</w:t>
      </w:r>
      <w:r w:rsidRPr="00E777B4">
        <w:rPr>
          <w:rFonts w:ascii="Arial" w:hAnsi="Arial"/>
          <w:strike/>
          <w:sz w:val="18"/>
          <w:szCs w:val="18"/>
          <w:lang w:val="en-IE"/>
        </w:rPr>
        <w:t xml:space="preserve"> </w:t>
      </w:r>
      <w:r w:rsidRPr="00D403F5">
        <w:rPr>
          <w:rFonts w:ascii="Arial" w:hAnsi="Arial"/>
          <w:sz w:val="18"/>
          <w:szCs w:val="18"/>
          <w:u w:val="double"/>
          <w:lang w:val="en-IE"/>
        </w:rPr>
        <w:t>this assay is currently not recommended as</w:t>
      </w:r>
      <w:r w:rsidRPr="00D403F5">
        <w:rPr>
          <w:rFonts w:ascii="Arial" w:hAnsi="Arial"/>
          <w:sz w:val="18"/>
          <w:szCs w:val="18"/>
          <w:lang w:val="en-IE"/>
        </w:rPr>
        <w:t xml:space="preserve"> it has not been </w:t>
      </w:r>
      <w:r w:rsidRPr="00695BD1">
        <w:rPr>
          <w:rFonts w:ascii="Arial" w:hAnsi="Arial"/>
          <w:strike/>
          <w:sz w:val="18"/>
          <w:szCs w:val="18"/>
          <w:highlight w:val="yellow"/>
          <w:lang w:val="en-IE"/>
        </w:rPr>
        <w:t>well</w:t>
      </w:r>
      <w:r w:rsidRPr="006A1CA6">
        <w:rPr>
          <w:rFonts w:ascii="Arial" w:hAnsi="Arial"/>
          <w:strike/>
          <w:sz w:val="18"/>
          <w:szCs w:val="18"/>
          <w:lang w:val="en-IE"/>
        </w:rPr>
        <w:t xml:space="preserve"> </w:t>
      </w:r>
      <w:r w:rsidRPr="00D403F5">
        <w:rPr>
          <w:rFonts w:ascii="Arial" w:hAnsi="Arial"/>
          <w:sz w:val="18"/>
          <w:szCs w:val="18"/>
          <w:lang w:val="en-IE"/>
        </w:rPr>
        <w:t>validated</w:t>
      </w:r>
      <w:r>
        <w:rPr>
          <w:rFonts w:ascii="Arial" w:hAnsi="Arial"/>
          <w:sz w:val="18"/>
          <w:szCs w:val="18"/>
          <w:lang w:val="en-IE"/>
        </w:rPr>
        <w:t xml:space="preserve"> </w:t>
      </w:r>
      <w:r w:rsidRPr="00695BD1">
        <w:rPr>
          <w:rFonts w:ascii="Arial" w:hAnsi="Arial"/>
          <w:sz w:val="18"/>
          <w:szCs w:val="18"/>
          <w:highlight w:val="yellow"/>
          <w:u w:val="double"/>
          <w:lang w:val="en-IE"/>
        </w:rPr>
        <w:t>as a diagnostic tool</w:t>
      </w:r>
      <w:r w:rsidRPr="00420209">
        <w:rPr>
          <w:rFonts w:ascii="Arial" w:hAnsi="Arial"/>
          <w:sz w:val="18"/>
          <w:szCs w:val="18"/>
          <w:lang w:val="en-IE"/>
        </w:rPr>
        <w:t xml:space="preserve"> </w:t>
      </w:r>
      <w:r w:rsidRPr="00D403F5">
        <w:rPr>
          <w:rFonts w:ascii="Arial" w:hAnsi="Arial"/>
          <w:sz w:val="18"/>
          <w:szCs w:val="18"/>
          <w:lang w:val="en-IE"/>
        </w:rPr>
        <w:t xml:space="preserve">for </w:t>
      </w:r>
      <w:r w:rsidRPr="00695BD1">
        <w:rPr>
          <w:rFonts w:ascii="Arial" w:hAnsi="Arial"/>
          <w:sz w:val="18"/>
          <w:szCs w:val="18"/>
          <w:highlight w:val="yellow"/>
          <w:lang w:val="en-IE"/>
        </w:rPr>
        <w:t xml:space="preserve">the </w:t>
      </w:r>
      <w:r w:rsidRPr="00695BD1">
        <w:rPr>
          <w:rFonts w:ascii="Arial" w:hAnsi="Arial"/>
          <w:sz w:val="18"/>
          <w:szCs w:val="18"/>
          <w:highlight w:val="yellow"/>
          <w:u w:val="double"/>
          <w:lang w:val="en-IE"/>
        </w:rPr>
        <w:t>detection of</w:t>
      </w:r>
      <w:r w:rsidRPr="006A1CA6">
        <w:rPr>
          <w:rFonts w:ascii="Arial" w:hAnsi="Arial"/>
          <w:sz w:val="18"/>
          <w:szCs w:val="18"/>
          <w:lang w:val="en-IE"/>
        </w:rPr>
        <w:t xml:space="preserve"> </w:t>
      </w:r>
      <w:r w:rsidRPr="00D403F5">
        <w:rPr>
          <w:rFonts w:ascii="Arial" w:hAnsi="Arial"/>
          <w:sz w:val="18"/>
          <w:szCs w:val="18"/>
          <w:lang w:val="en-IE"/>
        </w:rPr>
        <w:t>SVCV</w:t>
      </w:r>
      <w:r w:rsidRPr="006A1CA6">
        <w:rPr>
          <w:rFonts w:ascii="Arial" w:hAnsi="Arial"/>
          <w:strike/>
          <w:sz w:val="18"/>
          <w:szCs w:val="18"/>
          <w:highlight w:val="yellow"/>
          <w:lang w:val="en-IE"/>
        </w:rPr>
        <w:t xml:space="preserve"> </w:t>
      </w:r>
      <w:r w:rsidRPr="00695BD1">
        <w:rPr>
          <w:rFonts w:ascii="Arial" w:hAnsi="Arial"/>
          <w:strike/>
          <w:sz w:val="18"/>
          <w:szCs w:val="18"/>
          <w:highlight w:val="yellow"/>
          <w:lang w:val="en-IE"/>
        </w:rPr>
        <w:t>as a diagnostic tool</w:t>
      </w:r>
      <w:r w:rsidRPr="006A1CA6">
        <w:rPr>
          <w:rFonts w:ascii="Arial" w:hAnsi="Arial"/>
          <w:sz w:val="18"/>
          <w:szCs w:val="18"/>
          <w:lang w:val="en-IE"/>
        </w:rPr>
        <w:t>.</w:t>
      </w:r>
    </w:p>
    <w:bookmarkEnd w:id="120"/>
    <w:p w14:paraId="66CD2FCE" w14:textId="77777777" w:rsidR="00E65E42" w:rsidRPr="00BD2E1E" w:rsidRDefault="00E65E42" w:rsidP="00A175F0">
      <w:pPr>
        <w:pStyle w:val="Para20"/>
        <w:ind w:left="709" w:hanging="425"/>
        <w:rPr>
          <w:rFonts w:ascii="Ottawa" w:hAnsi="Ottawa"/>
          <w:b/>
          <w:bCs/>
          <w:sz w:val="21"/>
          <w:szCs w:val="21"/>
          <w:u w:val="double"/>
          <w:lang w:val="en-GB" w:eastAsia="fr-FR"/>
        </w:rPr>
      </w:pPr>
      <w:r w:rsidRPr="00BD2E1E">
        <w:rPr>
          <w:rFonts w:ascii="Ottawa" w:hAnsi="Ottawa"/>
          <w:b/>
          <w:sz w:val="21"/>
          <w:szCs w:val="21"/>
          <w:u w:val="double"/>
          <w:lang w:val="en-GB" w:eastAsia="fr-FR"/>
        </w:rPr>
        <w:t>4.7.</w:t>
      </w:r>
      <w:r w:rsidRPr="00223026">
        <w:rPr>
          <w:rFonts w:ascii="Ottawa" w:hAnsi="Ottawa"/>
          <w:b/>
          <w:sz w:val="21"/>
          <w:szCs w:val="21"/>
          <w:lang w:val="en-GB" w:eastAsia="fr-FR"/>
        </w:rPr>
        <w:tab/>
      </w:r>
      <w:r w:rsidRPr="00BD2E1E">
        <w:rPr>
          <w:rFonts w:ascii="Ottawa" w:hAnsi="Ottawa"/>
          <w:b/>
          <w:bCs/>
          <w:sz w:val="21"/>
          <w:szCs w:val="21"/>
          <w:u w:val="double"/>
          <w:lang w:val="en-GB" w:eastAsia="fr-FR"/>
        </w:rPr>
        <w:t xml:space="preserve">Immunohistochemistry </w:t>
      </w:r>
    </w:p>
    <w:p w14:paraId="68AFE8AC" w14:textId="77777777" w:rsidR="00E65E42" w:rsidRPr="00D403F5" w:rsidRDefault="00E65E42" w:rsidP="00457C4E">
      <w:pPr>
        <w:spacing w:after="240" w:line="240" w:lineRule="auto"/>
        <w:ind w:left="709"/>
        <w:jc w:val="both"/>
        <w:rPr>
          <w:rFonts w:ascii="Arial" w:hAnsi="Arial"/>
          <w:bCs/>
          <w:sz w:val="18"/>
          <w:szCs w:val="18"/>
          <w:lang w:val="en-IE"/>
        </w:rPr>
      </w:pPr>
      <w:r w:rsidRPr="00D403F5">
        <w:rPr>
          <w:rFonts w:ascii="Arial" w:eastAsia="SimSun" w:hAnsi="Arial" w:cs="Arial"/>
          <w:sz w:val="18"/>
          <w:szCs w:val="18"/>
          <w:lang w:val="en-IE" w:eastAsia="zh-CN"/>
        </w:rPr>
        <w:t xml:space="preserve">SVCV can be detected by immunohistochemistry, however, care must be taken with interpreting the results of </w:t>
      </w:r>
      <w:r w:rsidRPr="00695BD1">
        <w:rPr>
          <w:rFonts w:ascii="Arial" w:eastAsia="SimSun" w:hAnsi="Arial" w:cs="Arial"/>
          <w:strike/>
          <w:sz w:val="18"/>
          <w:szCs w:val="18"/>
          <w:highlight w:val="yellow"/>
          <w:lang w:val="en-IE" w:eastAsia="zh-CN"/>
        </w:rPr>
        <w:t xml:space="preserve">serological </w:t>
      </w:r>
      <w:r w:rsidRPr="006A1CA6">
        <w:rPr>
          <w:rFonts w:ascii="Arial" w:eastAsia="SimSun" w:hAnsi="Arial" w:cs="Arial"/>
          <w:sz w:val="18"/>
          <w:szCs w:val="18"/>
          <w:highlight w:val="yellow"/>
          <w:u w:val="double"/>
          <w:lang w:val="en-IE" w:eastAsia="zh-CN"/>
        </w:rPr>
        <w:t>these</w:t>
      </w:r>
      <w:r w:rsidRPr="006A1CA6">
        <w:rPr>
          <w:rFonts w:ascii="Arial" w:eastAsia="SimSun" w:hAnsi="Arial" w:cs="Arial"/>
          <w:sz w:val="18"/>
          <w:szCs w:val="18"/>
          <w:lang w:val="en-IE" w:eastAsia="zh-CN"/>
        </w:rPr>
        <w:t xml:space="preserve"> tests for SVCV, and positive results </w:t>
      </w:r>
      <w:r w:rsidRPr="006A1CA6">
        <w:rPr>
          <w:rFonts w:ascii="Arial" w:eastAsia="SimSun" w:hAnsi="Arial" w:cs="Arial"/>
          <w:strike/>
          <w:sz w:val="18"/>
          <w:szCs w:val="18"/>
          <w:lang w:val="en-IE" w:eastAsia="zh-CN"/>
        </w:rPr>
        <w:t>from antibody-based assays</w:t>
      </w:r>
      <w:r w:rsidRPr="006A1CA6">
        <w:rPr>
          <w:rFonts w:ascii="Arial" w:eastAsia="SimSun" w:hAnsi="Arial" w:cs="Arial"/>
          <w:sz w:val="18"/>
          <w:szCs w:val="18"/>
          <w:lang w:val="en-IE" w:eastAsia="zh-CN"/>
        </w:rPr>
        <w:t xml:space="preserve"> should be confirmed by RT-PCR and sequencing</w:t>
      </w:r>
      <w:r w:rsidRPr="006A1CA6">
        <w:rPr>
          <w:rFonts w:ascii="Arial" w:eastAsia="SimSun" w:hAnsi="Arial" w:cs="Arial"/>
          <w:strike/>
          <w:sz w:val="18"/>
          <w:szCs w:val="18"/>
          <w:lang w:val="en-IE" w:eastAsia="zh-CN"/>
        </w:rPr>
        <w:t xml:space="preserve"> </w:t>
      </w:r>
      <w:r w:rsidRPr="00D403F5">
        <w:rPr>
          <w:rFonts w:ascii="Arial" w:eastAsia="SimSun" w:hAnsi="Arial" w:cs="Arial"/>
          <w:strike/>
          <w:sz w:val="18"/>
          <w:szCs w:val="18"/>
          <w:lang w:val="en-IE" w:eastAsia="zh-CN"/>
        </w:rPr>
        <w:t>(see Section 4.8.)</w:t>
      </w:r>
      <w:r w:rsidRPr="00D403F5">
        <w:rPr>
          <w:rFonts w:ascii="Arial" w:eastAsia="SimSun" w:hAnsi="Arial" w:cs="Arial"/>
          <w:sz w:val="18"/>
          <w:szCs w:val="18"/>
          <w:lang w:val="en-IE" w:eastAsia="zh-CN"/>
        </w:rPr>
        <w:t>.</w:t>
      </w:r>
    </w:p>
    <w:p w14:paraId="3F7DEB79" w14:textId="77777777" w:rsidR="00E65E42" w:rsidRPr="00D403F5" w:rsidRDefault="00E65E42" w:rsidP="00457C4E">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i)</w:t>
      </w:r>
      <w:r w:rsidRPr="00D403F5">
        <w:rPr>
          <w:rFonts w:ascii="Arial" w:hAnsi="Arial"/>
          <w:bCs/>
          <w:sz w:val="18"/>
          <w:szCs w:val="18"/>
          <w:lang w:val="en-IE"/>
        </w:rPr>
        <w:tab/>
        <w:t>Bleed the fish thoroughly.</w:t>
      </w:r>
    </w:p>
    <w:p w14:paraId="5CBF4464" w14:textId="77777777" w:rsidR="00E65E42" w:rsidRPr="00D403F5" w:rsidRDefault="00E65E42" w:rsidP="00457C4E">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ii)</w:t>
      </w:r>
      <w:r w:rsidRPr="00D403F5">
        <w:rPr>
          <w:rFonts w:ascii="Arial" w:hAnsi="Arial"/>
          <w:bCs/>
          <w:sz w:val="18"/>
          <w:szCs w:val="18"/>
          <w:lang w:val="en-IE"/>
        </w:rPr>
        <w:tab/>
        <w:t>Make kidney imprints on cleaned glass slides or at the bottom of the wells of a plastic cell culture plate.</w:t>
      </w:r>
    </w:p>
    <w:p w14:paraId="30AF9C73" w14:textId="77777777" w:rsidR="00E65E42" w:rsidRPr="00D403F5" w:rsidRDefault="00E65E42" w:rsidP="00457C4E">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iii)</w:t>
      </w:r>
      <w:r w:rsidRPr="00D403F5">
        <w:rPr>
          <w:rFonts w:ascii="Arial" w:hAnsi="Arial"/>
          <w:bCs/>
          <w:sz w:val="18"/>
          <w:szCs w:val="18"/>
          <w:lang w:val="en-IE"/>
        </w:rPr>
        <w:tab/>
        <w:t>Store and transport the kidney pieces as indicated in Section 2.2.1. of Chapter 2.3.0. together with the other organs required for virus isolation.</w:t>
      </w:r>
    </w:p>
    <w:p w14:paraId="5C11C5BC" w14:textId="77777777" w:rsidR="00E65E42" w:rsidRPr="00D403F5" w:rsidRDefault="00E65E42" w:rsidP="00457C4E">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iv)</w:t>
      </w:r>
      <w:r w:rsidRPr="00D403F5">
        <w:rPr>
          <w:rFonts w:ascii="Arial" w:hAnsi="Arial"/>
          <w:bCs/>
          <w:sz w:val="18"/>
          <w:szCs w:val="18"/>
          <w:lang w:val="en-IE"/>
        </w:rPr>
        <w:tab/>
        <w:t>Allow the imprint to air-dry for 20 minutes.</w:t>
      </w:r>
    </w:p>
    <w:p w14:paraId="30DBB4F5" w14:textId="77777777" w:rsidR="00E65E42" w:rsidRPr="00D403F5" w:rsidRDefault="00E65E42" w:rsidP="00457C4E">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v)</w:t>
      </w:r>
      <w:r w:rsidRPr="00D403F5">
        <w:rPr>
          <w:rFonts w:ascii="Arial" w:hAnsi="Arial"/>
          <w:bCs/>
          <w:sz w:val="18"/>
          <w:szCs w:val="18"/>
          <w:lang w:val="en-IE"/>
        </w:rPr>
        <w:tab/>
        <w:t xml:space="preserve">Fix with </w:t>
      </w:r>
      <w:r w:rsidRPr="00D403F5">
        <w:rPr>
          <w:rFonts w:ascii="Arial" w:hAnsi="Arial"/>
          <w:bCs/>
          <w:sz w:val="18"/>
          <w:szCs w:val="18"/>
        </w:rPr>
        <w:t>cold acetone (stored at –20°C) for glass slides or 80% acetone in water or 30% acetone in ethanol, also at –20°C, for plastic wells. Let the fixative act for 15 minutes. Allow the imprints to air-dry for at least 30 minutes and process immediately or freeze at –20°C.</w:t>
      </w:r>
    </w:p>
    <w:p w14:paraId="77B9F7E9" w14:textId="77777777" w:rsidR="00E65E42" w:rsidRPr="00D403F5" w:rsidRDefault="00E65E42" w:rsidP="00457C4E">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vi)</w:t>
      </w:r>
      <w:r w:rsidRPr="00D403F5">
        <w:rPr>
          <w:rFonts w:ascii="Arial" w:hAnsi="Arial"/>
          <w:bCs/>
          <w:sz w:val="18"/>
          <w:szCs w:val="18"/>
          <w:lang w:val="en-IE"/>
        </w:rPr>
        <w:tab/>
        <w:t xml:space="preserve">Rehydrate the imprints if they have been stored frozen </w:t>
      </w:r>
      <w:r w:rsidRPr="00D403F5">
        <w:rPr>
          <w:rFonts w:ascii="Arial" w:hAnsi="Arial"/>
          <w:bCs/>
          <w:sz w:val="18"/>
          <w:szCs w:val="18"/>
        </w:rPr>
        <w:t xml:space="preserve">by four rinsing steps with </w:t>
      </w:r>
      <w:r w:rsidRPr="00D403F5">
        <w:rPr>
          <w:rFonts w:ascii="Arial" w:hAnsi="Arial"/>
          <w:bCs/>
          <w:sz w:val="18"/>
          <w:szCs w:val="18"/>
          <w:lang w:val="en-IE"/>
        </w:rPr>
        <w:t xml:space="preserve">PBS </w:t>
      </w:r>
      <w:r w:rsidRPr="00D403F5">
        <w:rPr>
          <w:rFonts w:ascii="Arial" w:hAnsi="Arial"/>
          <w:bCs/>
          <w:sz w:val="18"/>
          <w:szCs w:val="18"/>
          <w:u w:val="double"/>
          <w:lang w:val="en-IE"/>
        </w:rPr>
        <w:t>containing 0.05% Tween 20</w:t>
      </w:r>
      <w:r w:rsidRPr="00D403F5">
        <w:rPr>
          <w:rFonts w:ascii="Arial" w:hAnsi="Arial"/>
          <w:bCs/>
          <w:sz w:val="18"/>
          <w:szCs w:val="18"/>
          <w:lang w:val="en-IE"/>
        </w:rPr>
        <w:t xml:space="preserve"> </w:t>
      </w:r>
      <w:r w:rsidRPr="00D403F5">
        <w:rPr>
          <w:rFonts w:ascii="Arial" w:hAnsi="Arial"/>
          <w:bCs/>
          <w:sz w:val="18"/>
          <w:szCs w:val="18"/>
        </w:rPr>
        <w:t>(PBST), and remove this buffer completely after the last rinse. B</w:t>
      </w:r>
      <w:r w:rsidRPr="00D403F5">
        <w:rPr>
          <w:rFonts w:ascii="Arial" w:hAnsi="Arial"/>
          <w:bCs/>
          <w:sz w:val="18"/>
          <w:szCs w:val="18"/>
          <w:lang w:val="en-IE"/>
        </w:rPr>
        <w:t>lock with 5% skim milk or 1% bovine serum albumin, in PBST for 30 minutes at 37°C.</w:t>
      </w:r>
    </w:p>
    <w:p w14:paraId="3468AED7" w14:textId="77777777" w:rsidR="00E65E42" w:rsidRPr="00D403F5" w:rsidRDefault="00E65E42" w:rsidP="00457C4E">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vii)</w:t>
      </w:r>
      <w:r w:rsidRPr="00D403F5">
        <w:rPr>
          <w:rFonts w:ascii="Arial" w:hAnsi="Arial"/>
          <w:bCs/>
          <w:sz w:val="18"/>
          <w:szCs w:val="18"/>
          <w:lang w:val="en-IE"/>
        </w:rPr>
        <w:tab/>
        <w:t>Rinse four times with PBST, 5 minutes for each rinse. The slides or plastic culture plates can be gently agitated during the rinses.</w:t>
      </w:r>
    </w:p>
    <w:p w14:paraId="2F083810" w14:textId="77777777" w:rsidR="00E65E42" w:rsidRPr="00D403F5" w:rsidRDefault="00E65E42" w:rsidP="00457C4E">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viii)</w:t>
      </w:r>
      <w:r w:rsidRPr="00D403F5">
        <w:rPr>
          <w:rFonts w:ascii="Arial" w:hAnsi="Arial"/>
          <w:bCs/>
          <w:sz w:val="18"/>
          <w:szCs w:val="18"/>
          <w:lang w:val="en-IE"/>
        </w:rPr>
        <w:tab/>
        <w:t>Prepare a solution of purified antibody or serum to SVCV in PBST, at the appropriate dilution (which has been established previously or as given by the reagent supplier).</w:t>
      </w:r>
    </w:p>
    <w:p w14:paraId="695B7C00" w14:textId="77777777" w:rsidR="00E65E42" w:rsidRPr="00D403F5" w:rsidRDefault="00E65E42" w:rsidP="00457C4E">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ix)</w:t>
      </w:r>
      <w:r w:rsidRPr="00D403F5">
        <w:rPr>
          <w:rFonts w:ascii="Arial" w:hAnsi="Arial"/>
          <w:bCs/>
          <w:sz w:val="18"/>
          <w:szCs w:val="18"/>
          <w:lang w:val="en-IE"/>
        </w:rPr>
        <w:tab/>
        <w:t>Incubate the imprints with the antibody solution for 1 hour at 37°C in a humid chamber and do not allow evaporation to occur.</w:t>
      </w:r>
    </w:p>
    <w:p w14:paraId="75B1030F" w14:textId="77777777" w:rsidR="00E65E42" w:rsidRPr="00D403F5" w:rsidRDefault="00E65E42" w:rsidP="00457C4E">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x)</w:t>
      </w:r>
      <w:r w:rsidRPr="00D403F5">
        <w:rPr>
          <w:rFonts w:ascii="Arial" w:hAnsi="Arial"/>
          <w:bCs/>
          <w:sz w:val="18"/>
          <w:szCs w:val="18"/>
          <w:lang w:val="en-IE"/>
        </w:rPr>
        <w:tab/>
        <w:t>Rinse four times with PBST.</w:t>
      </w:r>
    </w:p>
    <w:p w14:paraId="7A23FFC4" w14:textId="2501661D" w:rsidR="00754D87" w:rsidRDefault="00754D87" w:rsidP="00754D87">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22CF4858" w14:textId="77777777" w:rsidR="00E65E42" w:rsidRPr="00D403F5" w:rsidRDefault="00E65E42" w:rsidP="00B6151C">
      <w:pPr>
        <w:spacing w:after="120" w:line="240" w:lineRule="auto"/>
        <w:ind w:left="1134" w:hanging="425"/>
        <w:jc w:val="both"/>
        <w:rPr>
          <w:rFonts w:ascii="Arial" w:hAnsi="Arial"/>
          <w:bCs/>
          <w:sz w:val="18"/>
          <w:szCs w:val="18"/>
          <w:lang w:val="en-IE"/>
        </w:rPr>
      </w:pPr>
      <w:r w:rsidRPr="00D403F5">
        <w:rPr>
          <w:rFonts w:ascii="Arial" w:hAnsi="Arial"/>
          <w:bCs/>
          <w:sz w:val="18"/>
          <w:szCs w:val="18"/>
          <w:lang w:val="en-IE"/>
        </w:rPr>
        <w:t>xi)</w:t>
      </w:r>
      <w:r w:rsidRPr="00D403F5">
        <w:rPr>
          <w:rFonts w:ascii="Arial" w:hAnsi="Arial"/>
          <w:bCs/>
          <w:sz w:val="18"/>
          <w:szCs w:val="18"/>
          <w:lang w:val="en-IE"/>
        </w:rPr>
        <w:tab/>
        <w:t xml:space="preserve">Incubate the imprints with a solution of </w:t>
      </w:r>
      <w:r w:rsidRPr="00D403F5">
        <w:rPr>
          <w:rFonts w:ascii="Arial" w:hAnsi="Arial"/>
          <w:bCs/>
          <w:sz w:val="18"/>
          <w:szCs w:val="18"/>
          <w:u w:val="double"/>
          <w:lang w:val="en-IE"/>
        </w:rPr>
        <w:t>fluorescein isothiocyanate</w:t>
      </w:r>
      <w:r w:rsidRPr="00D403F5">
        <w:rPr>
          <w:rFonts w:ascii="Arial" w:hAnsi="Arial"/>
          <w:bCs/>
          <w:sz w:val="18"/>
          <w:szCs w:val="18"/>
          <w:lang w:val="en-IE"/>
        </w:rPr>
        <w:t xml:space="preserve"> (FITC)-conjugated antibody to the immunoglobulin used in the first layer and prepared according to the instructions of the supplier. These FITC antibodies are most often rabbit or goat antibodies.</w:t>
      </w:r>
    </w:p>
    <w:p w14:paraId="05170F0C" w14:textId="77777777" w:rsidR="00E65E42" w:rsidRPr="00D403F5" w:rsidRDefault="00E65E42" w:rsidP="00B6151C">
      <w:pPr>
        <w:spacing w:after="120" w:line="240" w:lineRule="auto"/>
        <w:ind w:left="1134" w:hanging="425"/>
        <w:jc w:val="both"/>
        <w:rPr>
          <w:rFonts w:ascii="Arial" w:hAnsi="Arial"/>
          <w:bCs/>
          <w:sz w:val="18"/>
          <w:szCs w:val="18"/>
          <w:lang w:val="en-IE"/>
        </w:rPr>
      </w:pPr>
      <w:r w:rsidRPr="00D403F5">
        <w:rPr>
          <w:rFonts w:ascii="Arial" w:hAnsi="Arial"/>
          <w:bCs/>
          <w:sz w:val="18"/>
          <w:szCs w:val="18"/>
          <w:lang w:val="en-IE"/>
        </w:rPr>
        <w:t>xii)</w:t>
      </w:r>
      <w:r w:rsidRPr="00D403F5">
        <w:rPr>
          <w:rFonts w:ascii="Arial" w:hAnsi="Arial"/>
          <w:bCs/>
          <w:sz w:val="18"/>
          <w:szCs w:val="18"/>
          <w:lang w:val="en-IE"/>
        </w:rPr>
        <w:tab/>
        <w:t>Rinse four times with PBST.</w:t>
      </w:r>
    </w:p>
    <w:p w14:paraId="60A8DFE0" w14:textId="77777777" w:rsidR="00E65E42" w:rsidRPr="00D403F5" w:rsidRDefault="00E65E42" w:rsidP="00B6151C">
      <w:pPr>
        <w:spacing w:after="120" w:line="240" w:lineRule="auto"/>
        <w:ind w:left="1134" w:hanging="425"/>
        <w:jc w:val="both"/>
        <w:rPr>
          <w:rFonts w:ascii="Arial" w:hAnsi="Arial"/>
          <w:bCs/>
          <w:sz w:val="18"/>
          <w:szCs w:val="18"/>
          <w:lang w:val="en-IE"/>
        </w:rPr>
      </w:pPr>
      <w:r w:rsidRPr="00D403F5">
        <w:rPr>
          <w:rFonts w:ascii="Arial" w:hAnsi="Arial"/>
          <w:bCs/>
          <w:sz w:val="18"/>
          <w:szCs w:val="18"/>
          <w:lang w:val="en-IE"/>
        </w:rPr>
        <w:t>xiii)</w:t>
      </w:r>
      <w:r w:rsidRPr="00D403F5">
        <w:rPr>
          <w:rFonts w:ascii="Arial" w:hAnsi="Arial"/>
          <w:bCs/>
          <w:sz w:val="18"/>
          <w:szCs w:val="18"/>
          <w:lang w:val="en-IE"/>
        </w:rPr>
        <w:tab/>
        <w:t xml:space="preserve">View the treated imprints on plastic plates immediately, or mount the slides with cover-slips using glycerol saline at pH 8.5, or a commercially-available mountant. </w:t>
      </w:r>
    </w:p>
    <w:p w14:paraId="49A18E22" w14:textId="77777777" w:rsidR="00E65E42" w:rsidRPr="00D403F5" w:rsidRDefault="00E65E42" w:rsidP="00B6151C">
      <w:pPr>
        <w:spacing w:after="120" w:line="240" w:lineRule="auto"/>
        <w:ind w:left="1134" w:hanging="425"/>
        <w:jc w:val="both"/>
        <w:rPr>
          <w:rFonts w:ascii="Arial" w:hAnsi="Arial"/>
          <w:bCs/>
          <w:sz w:val="18"/>
          <w:szCs w:val="18"/>
          <w:lang w:val="en-IE"/>
        </w:rPr>
      </w:pPr>
      <w:r w:rsidRPr="00D403F5">
        <w:rPr>
          <w:rFonts w:ascii="Arial" w:hAnsi="Arial"/>
          <w:bCs/>
          <w:sz w:val="18"/>
          <w:szCs w:val="18"/>
          <w:lang w:val="en-IE"/>
        </w:rPr>
        <w:t>xiv)</w:t>
      </w:r>
      <w:r w:rsidRPr="00D403F5">
        <w:rPr>
          <w:rFonts w:ascii="Arial" w:hAnsi="Arial"/>
          <w:bCs/>
          <w:sz w:val="18"/>
          <w:szCs w:val="18"/>
          <w:lang w:val="en-IE"/>
        </w:rPr>
        <w:tab/>
        <w:t>Examine under incident ultraviolet (UV) light using a microscope with ×10 eye pieces and ×20 or ×40 objective lenses having numerical aperture of &gt;0.65 and &gt;1.3, respectively. Positive and negative controls must be found to give the expected results prior to any other observation.</w:t>
      </w:r>
    </w:p>
    <w:p w14:paraId="55D68E8F" w14:textId="77777777" w:rsidR="00E65E42" w:rsidRPr="00BD2E1E" w:rsidRDefault="00E65E42" w:rsidP="00B6151C">
      <w:pPr>
        <w:pStyle w:val="11"/>
        <w:spacing w:after="120"/>
        <w:rPr>
          <w:rFonts w:ascii="Ottawa" w:hAnsi="Ottawa"/>
          <w:sz w:val="21"/>
          <w:szCs w:val="21"/>
          <w:lang w:bidi="en-US"/>
        </w:rPr>
      </w:pPr>
      <w:r w:rsidRPr="00BD2E1E">
        <w:rPr>
          <w:rFonts w:ascii="Ottawa" w:hAnsi="Ottawa"/>
          <w:sz w:val="21"/>
          <w:szCs w:val="21"/>
          <w:lang w:bidi="en-US"/>
        </w:rPr>
        <w:t>4.8.</w:t>
      </w:r>
      <w:r w:rsidRPr="00BD2E1E">
        <w:rPr>
          <w:rFonts w:ascii="Ottawa" w:hAnsi="Ottawa"/>
          <w:sz w:val="21"/>
          <w:szCs w:val="21"/>
          <w:lang w:bidi="en-US"/>
        </w:rPr>
        <w:tab/>
        <w:t>Bioassay</w:t>
      </w:r>
    </w:p>
    <w:p w14:paraId="2327E67B" w14:textId="77777777" w:rsidR="00E65E42" w:rsidRPr="00D403F5" w:rsidRDefault="00E65E42" w:rsidP="00B6151C">
      <w:pPr>
        <w:spacing w:after="120" w:line="240" w:lineRule="auto"/>
        <w:ind w:left="709"/>
        <w:jc w:val="both"/>
        <w:rPr>
          <w:rFonts w:ascii="Arial" w:hAnsi="Arial"/>
          <w:sz w:val="18"/>
          <w:szCs w:val="18"/>
          <w:lang w:val="en-IE"/>
        </w:rPr>
      </w:pPr>
      <w:r w:rsidRPr="00D403F5">
        <w:rPr>
          <w:rFonts w:ascii="Arial" w:hAnsi="Arial" w:cs="Arial"/>
          <w:sz w:val="18"/>
          <w:szCs w:val="18"/>
          <w:lang w:val="en-IE"/>
        </w:rPr>
        <w:t>Not available.</w:t>
      </w:r>
    </w:p>
    <w:p w14:paraId="4CC1D10D" w14:textId="77777777" w:rsidR="00E65E42" w:rsidRPr="00BD2E1E" w:rsidRDefault="00E65E42" w:rsidP="00B6151C">
      <w:pPr>
        <w:pStyle w:val="11"/>
        <w:spacing w:after="120"/>
        <w:rPr>
          <w:rFonts w:ascii="Ottawa" w:hAnsi="Ottawa"/>
          <w:sz w:val="21"/>
          <w:szCs w:val="21"/>
          <w:lang w:bidi="en-US"/>
        </w:rPr>
      </w:pPr>
      <w:bookmarkStart w:id="121" w:name="_Hlk33787824"/>
      <w:r w:rsidRPr="00BD2E1E">
        <w:rPr>
          <w:rFonts w:ascii="Ottawa" w:hAnsi="Ottawa"/>
          <w:sz w:val="21"/>
          <w:szCs w:val="21"/>
          <w:lang w:bidi="en-US"/>
        </w:rPr>
        <w:t>4.9.</w:t>
      </w:r>
      <w:r w:rsidRPr="00BD2E1E">
        <w:rPr>
          <w:rFonts w:ascii="Ottawa" w:hAnsi="Ottawa"/>
          <w:sz w:val="21"/>
          <w:szCs w:val="21"/>
          <w:lang w:bidi="en-US"/>
        </w:rPr>
        <w:tab/>
        <w:t>Antibody</w:t>
      </w:r>
      <w:r w:rsidRPr="00876AA3">
        <w:rPr>
          <w:rFonts w:ascii="Ottawa" w:hAnsi="Ottawa"/>
          <w:strike/>
          <w:sz w:val="21"/>
          <w:szCs w:val="21"/>
          <w:highlight w:val="yellow"/>
          <w:lang w:bidi="en-US"/>
        </w:rPr>
        <w:t>-based</w:t>
      </w:r>
      <w:r w:rsidRPr="00BD2E1E">
        <w:rPr>
          <w:rFonts w:ascii="Ottawa" w:hAnsi="Ottawa"/>
          <w:sz w:val="21"/>
          <w:szCs w:val="21"/>
          <w:lang w:bidi="en-US"/>
        </w:rPr>
        <w:t xml:space="preserve"> or antigen</w:t>
      </w:r>
      <w:r w:rsidRPr="00876AA3">
        <w:rPr>
          <w:rFonts w:ascii="Ottawa" w:hAnsi="Ottawa"/>
          <w:sz w:val="21"/>
          <w:szCs w:val="21"/>
          <w:u w:val="double"/>
          <w:lang w:bidi="en-US"/>
        </w:rPr>
        <w:t>-based</w:t>
      </w:r>
      <w:r w:rsidRPr="00BD2E1E">
        <w:rPr>
          <w:rFonts w:ascii="Ottawa" w:hAnsi="Ottawa"/>
          <w:sz w:val="21"/>
          <w:szCs w:val="21"/>
          <w:lang w:bidi="en-US"/>
        </w:rPr>
        <w:t xml:space="preserve"> detection methods </w:t>
      </w:r>
      <w:r w:rsidRPr="00E777B4">
        <w:rPr>
          <w:rFonts w:ascii="Ottawa" w:hAnsi="Ottawa"/>
          <w:strike/>
          <w:sz w:val="21"/>
          <w:szCs w:val="21"/>
          <w:highlight w:val="yellow"/>
          <w:lang w:bidi="en-US"/>
        </w:rPr>
        <w:t>(ELISA, etc.)</w:t>
      </w:r>
    </w:p>
    <w:bookmarkEnd w:id="121"/>
    <w:p w14:paraId="427DCDCB" w14:textId="77777777" w:rsidR="00E65E42" w:rsidRPr="00827497" w:rsidRDefault="00E65E42" w:rsidP="00B6151C">
      <w:pPr>
        <w:spacing w:after="120" w:line="240" w:lineRule="auto"/>
        <w:ind w:left="851"/>
        <w:jc w:val="both"/>
        <w:rPr>
          <w:rFonts w:ascii="Arial" w:hAnsi="Arial" w:cs="Arial"/>
          <w:sz w:val="18"/>
          <w:szCs w:val="18"/>
          <w:u w:val="double"/>
          <w:lang w:val="en-IE"/>
        </w:rPr>
      </w:pPr>
      <w:r w:rsidRPr="00695BD1">
        <w:rPr>
          <w:rFonts w:ascii="Arial" w:hAnsi="Arial"/>
          <w:strike/>
          <w:sz w:val="18"/>
          <w:szCs w:val="18"/>
          <w:highlight w:val="yellow"/>
          <w:lang w:val="en-IE"/>
        </w:rPr>
        <w:t xml:space="preserve">Serological </w:t>
      </w:r>
      <w:r w:rsidRPr="00695BD1">
        <w:rPr>
          <w:rFonts w:ascii="Arial" w:hAnsi="Arial"/>
          <w:sz w:val="18"/>
          <w:szCs w:val="18"/>
          <w:highlight w:val="yellow"/>
          <w:u w:val="double"/>
          <w:lang w:val="en-IE"/>
        </w:rPr>
        <w:t>Antibody- or antigen-based</w:t>
      </w:r>
      <w:r w:rsidRPr="006A1CA6">
        <w:rPr>
          <w:rFonts w:ascii="Arial" w:hAnsi="Arial"/>
          <w:sz w:val="18"/>
          <w:szCs w:val="18"/>
          <w:lang w:val="en-IE"/>
        </w:rPr>
        <w:t xml:space="preserve"> </w:t>
      </w:r>
      <w:r w:rsidRPr="00695BD1">
        <w:rPr>
          <w:rFonts w:ascii="Arial" w:hAnsi="Arial"/>
          <w:sz w:val="18"/>
          <w:szCs w:val="18"/>
          <w:lang w:val="en-IE"/>
        </w:rPr>
        <w:t xml:space="preserve">methods that detect SVCV </w:t>
      </w:r>
      <w:r w:rsidRPr="00D403F5">
        <w:rPr>
          <w:rFonts w:ascii="Arial" w:hAnsi="Arial"/>
          <w:sz w:val="18"/>
          <w:szCs w:val="18"/>
          <w:lang w:val="en-IE"/>
        </w:rPr>
        <w:t xml:space="preserve">must be regarded as presumptive unless fully validated monoclonal or polyclonal antibodies are used, as cross reactions with other </w:t>
      </w:r>
      <w:r w:rsidRPr="00E777B4">
        <w:rPr>
          <w:rFonts w:ascii="Arial" w:hAnsi="Arial"/>
          <w:strike/>
          <w:sz w:val="18"/>
          <w:szCs w:val="18"/>
          <w:highlight w:val="yellow"/>
          <w:lang w:val="en-IE"/>
        </w:rPr>
        <w:t>viruses</w:t>
      </w:r>
      <w:r w:rsidRPr="00E777B4">
        <w:rPr>
          <w:rFonts w:ascii="Arial" w:hAnsi="Arial"/>
          <w:strike/>
          <w:sz w:val="18"/>
          <w:szCs w:val="18"/>
          <w:lang w:val="en-IE"/>
        </w:rPr>
        <w:t xml:space="preserve"> </w:t>
      </w:r>
      <w:r w:rsidRPr="00D403F5">
        <w:rPr>
          <w:rFonts w:ascii="Arial" w:hAnsi="Arial"/>
          <w:sz w:val="18"/>
          <w:szCs w:val="18"/>
          <w:lang w:val="en-IE"/>
        </w:rPr>
        <w:t xml:space="preserve">closely related spriviviruses (PFRV, GrCRV and TenRV) may occur. Commercially available kits using polyclonal antibodies may lack specificity, and those using monoclonal antibodies may not detect all subgenogroups of </w:t>
      </w:r>
      <w:r w:rsidRPr="00D403F5">
        <w:rPr>
          <w:rFonts w:ascii="Arial" w:hAnsi="Arial" w:cs="Arial"/>
          <w:sz w:val="18"/>
          <w:szCs w:val="18"/>
          <w:lang w:val="en-IE"/>
        </w:rPr>
        <w:t>SVCV (Dixon &amp; Longshaw, 2005).</w:t>
      </w:r>
      <w:r>
        <w:rPr>
          <w:rFonts w:ascii="Arial" w:hAnsi="Arial" w:cs="Arial"/>
          <w:sz w:val="18"/>
          <w:szCs w:val="18"/>
          <w:lang w:val="en-IE"/>
        </w:rPr>
        <w:t xml:space="preserve"> </w:t>
      </w:r>
      <w:r w:rsidRPr="00827497">
        <w:rPr>
          <w:rFonts w:ascii="Arial" w:hAnsi="Arial" w:cs="Arial"/>
          <w:sz w:val="18"/>
          <w:szCs w:val="18"/>
          <w:highlight w:val="yellow"/>
          <w:u w:val="double"/>
        </w:rPr>
        <w:t>These techniques should not be used as a screening method.</w:t>
      </w:r>
    </w:p>
    <w:p w14:paraId="6F4CB810" w14:textId="77777777" w:rsidR="00E65E42" w:rsidRPr="00E777B4" w:rsidRDefault="00E65E42" w:rsidP="00B6151C">
      <w:pPr>
        <w:pStyle w:val="111"/>
        <w:rPr>
          <w:rFonts w:cs="Arial"/>
          <w:szCs w:val="20"/>
          <w:u w:val="double"/>
          <w:lang w:val="en-IE"/>
        </w:rPr>
      </w:pPr>
      <w:bookmarkStart w:id="122" w:name="_Hlk37074200"/>
      <w:r w:rsidRPr="00E777B4">
        <w:rPr>
          <w:rFonts w:cs="Arial"/>
          <w:szCs w:val="20"/>
          <w:highlight w:val="yellow"/>
          <w:u w:val="double"/>
          <w:lang w:val="en-IE"/>
        </w:rPr>
        <w:t>4.9.1.</w:t>
      </w:r>
      <w:r w:rsidRPr="00E777B4">
        <w:rPr>
          <w:rFonts w:cs="Arial"/>
          <w:szCs w:val="20"/>
          <w:highlight w:val="yellow"/>
          <w:u w:val="double"/>
          <w:lang w:val="en-IE"/>
        </w:rPr>
        <w:tab/>
        <w:t>Antigen enzyme-linked immunosorbent assay (ELISA)</w:t>
      </w:r>
    </w:p>
    <w:bookmarkEnd w:id="122"/>
    <w:p w14:paraId="6D3E3D6A" w14:textId="77777777" w:rsidR="00E65E42" w:rsidRPr="00E777B4" w:rsidRDefault="00E65E42" w:rsidP="00B6151C">
      <w:pPr>
        <w:spacing w:after="120" w:line="240" w:lineRule="auto"/>
        <w:ind w:left="851"/>
        <w:jc w:val="both"/>
        <w:rPr>
          <w:rFonts w:ascii="Arial" w:hAnsi="Arial"/>
          <w:i/>
          <w:strike/>
          <w:sz w:val="18"/>
          <w:szCs w:val="18"/>
          <w:lang w:val="en-IE"/>
        </w:rPr>
      </w:pPr>
      <w:r w:rsidRPr="00E777B4">
        <w:rPr>
          <w:rFonts w:ascii="Arial" w:hAnsi="Arial"/>
          <w:i/>
          <w:strike/>
          <w:sz w:val="18"/>
          <w:szCs w:val="18"/>
          <w:highlight w:val="yellow"/>
          <w:lang w:val="en-IE"/>
        </w:rPr>
        <w:t xml:space="preserve">Virus identification by enzyme-linked immunosorbent assay </w:t>
      </w:r>
      <w:r w:rsidRPr="00E777B4">
        <w:rPr>
          <w:rFonts w:ascii="Arial" w:hAnsi="Arial"/>
          <w:bCs/>
          <w:strike/>
          <w:sz w:val="18"/>
          <w:szCs w:val="18"/>
          <w:highlight w:val="yellow"/>
          <w:lang w:val="en-IE"/>
        </w:rPr>
        <w:t>(</w:t>
      </w:r>
      <w:r w:rsidRPr="00E777B4">
        <w:rPr>
          <w:rFonts w:ascii="Arial" w:hAnsi="Arial"/>
          <w:i/>
          <w:strike/>
          <w:sz w:val="18"/>
          <w:szCs w:val="18"/>
          <w:highlight w:val="yellow"/>
          <w:lang w:val="en-IE"/>
        </w:rPr>
        <w:t>ELISA</w:t>
      </w:r>
      <w:r w:rsidRPr="00E777B4">
        <w:rPr>
          <w:rFonts w:ascii="Arial" w:hAnsi="Arial"/>
          <w:bCs/>
          <w:strike/>
          <w:sz w:val="18"/>
          <w:szCs w:val="18"/>
          <w:highlight w:val="yellow"/>
          <w:lang w:val="en-IE"/>
        </w:rPr>
        <w:t>)</w:t>
      </w:r>
    </w:p>
    <w:p w14:paraId="07C6F23D" w14:textId="77777777" w:rsidR="00E65E42" w:rsidRPr="00D403F5" w:rsidRDefault="00E65E42" w:rsidP="00B6151C">
      <w:pPr>
        <w:spacing w:after="120" w:line="240" w:lineRule="auto"/>
        <w:ind w:left="1134" w:hanging="425"/>
        <w:jc w:val="both"/>
        <w:rPr>
          <w:rFonts w:ascii="Arial" w:hAnsi="Arial"/>
          <w:bCs/>
          <w:sz w:val="18"/>
          <w:szCs w:val="18"/>
          <w:lang w:val="en-IE"/>
        </w:rPr>
      </w:pPr>
      <w:r w:rsidRPr="00D403F5">
        <w:rPr>
          <w:rFonts w:ascii="Arial" w:hAnsi="Arial"/>
          <w:bCs/>
          <w:sz w:val="18"/>
          <w:szCs w:val="18"/>
          <w:lang w:val="en-IE"/>
        </w:rPr>
        <w:t>i)</w:t>
      </w:r>
      <w:r w:rsidRPr="00D403F5">
        <w:rPr>
          <w:rFonts w:ascii="Arial" w:hAnsi="Arial"/>
          <w:bCs/>
          <w:sz w:val="18"/>
          <w:szCs w:val="18"/>
          <w:lang w:val="en-IE"/>
        </w:rPr>
        <w:tab/>
        <w:t>Coat the wells of microplates designed for ELISAs with appropriate dilutions of purified immunoglobulins (Ig) specific for SVCV, in 0.02 M carbonate buffer, pH 9.5 (200 µl well</w:t>
      </w:r>
      <w:r w:rsidRPr="00D403F5">
        <w:rPr>
          <w:rFonts w:ascii="Arial" w:hAnsi="Arial"/>
          <w:bCs/>
          <w:sz w:val="18"/>
          <w:szCs w:val="18"/>
          <w:vertAlign w:val="superscript"/>
          <w:lang w:val="en-IE"/>
        </w:rPr>
        <w:t>–1</w:t>
      </w:r>
      <w:r w:rsidRPr="00D403F5">
        <w:rPr>
          <w:rFonts w:ascii="Arial" w:hAnsi="Arial"/>
          <w:bCs/>
          <w:sz w:val="18"/>
          <w:szCs w:val="18"/>
          <w:lang w:val="en-IE"/>
        </w:rPr>
        <w:t>). Ig may be polyclonal or monoclonal Ig originating most often from rabbit or mouse, respectively. For the identification of SVCV, monoclonal antibodies (MAbs) specific for certain domains of the nucleocapsid (N) protein are suitable.</w:t>
      </w:r>
    </w:p>
    <w:p w14:paraId="7647C2D5" w14:textId="77777777" w:rsidR="00E65E42" w:rsidRPr="00D403F5" w:rsidRDefault="00E65E42" w:rsidP="00B6151C">
      <w:pPr>
        <w:spacing w:after="120" w:line="240" w:lineRule="auto"/>
        <w:ind w:left="1134" w:hanging="425"/>
        <w:jc w:val="both"/>
        <w:rPr>
          <w:rFonts w:ascii="Arial" w:hAnsi="Arial"/>
          <w:bCs/>
          <w:sz w:val="18"/>
          <w:szCs w:val="18"/>
          <w:lang w:val="en-IE"/>
        </w:rPr>
      </w:pPr>
      <w:r w:rsidRPr="00D403F5">
        <w:rPr>
          <w:rFonts w:ascii="Arial" w:hAnsi="Arial"/>
          <w:bCs/>
          <w:sz w:val="18"/>
          <w:szCs w:val="18"/>
          <w:lang w:val="en-IE"/>
        </w:rPr>
        <w:t>ii)</w:t>
      </w:r>
      <w:r w:rsidRPr="00D403F5">
        <w:rPr>
          <w:rFonts w:ascii="Arial" w:hAnsi="Arial"/>
          <w:bCs/>
          <w:sz w:val="18"/>
          <w:szCs w:val="18"/>
          <w:lang w:val="en-IE"/>
        </w:rPr>
        <w:tab/>
        <w:t>Incubate overnight at 4°C.</w:t>
      </w:r>
    </w:p>
    <w:p w14:paraId="3A0A59D1" w14:textId="77777777" w:rsidR="00E65E42" w:rsidRPr="00D403F5" w:rsidRDefault="00E65E42" w:rsidP="00B6151C">
      <w:pPr>
        <w:spacing w:after="120" w:line="240" w:lineRule="auto"/>
        <w:ind w:left="1134" w:hanging="425"/>
        <w:jc w:val="both"/>
        <w:rPr>
          <w:rFonts w:ascii="Arial" w:hAnsi="Arial"/>
          <w:bCs/>
          <w:sz w:val="18"/>
          <w:szCs w:val="18"/>
          <w:lang w:val="en-IE"/>
        </w:rPr>
      </w:pPr>
      <w:r w:rsidRPr="00D403F5">
        <w:rPr>
          <w:rFonts w:ascii="Arial" w:hAnsi="Arial"/>
          <w:bCs/>
          <w:sz w:val="18"/>
          <w:szCs w:val="18"/>
          <w:lang w:val="en-IE"/>
        </w:rPr>
        <w:t>iii)</w:t>
      </w:r>
      <w:r w:rsidRPr="00D403F5">
        <w:rPr>
          <w:rFonts w:ascii="Arial" w:hAnsi="Arial"/>
          <w:bCs/>
          <w:sz w:val="18"/>
          <w:szCs w:val="18"/>
          <w:lang w:val="en-IE"/>
        </w:rPr>
        <w:tab/>
        <w:t>Rinse four times with PBST.</w:t>
      </w:r>
    </w:p>
    <w:p w14:paraId="3A248B41" w14:textId="77777777" w:rsidR="00E65E42" w:rsidRPr="00D403F5" w:rsidRDefault="00E65E42" w:rsidP="00B6151C">
      <w:pPr>
        <w:spacing w:after="120" w:line="240" w:lineRule="auto"/>
        <w:ind w:left="1134" w:hanging="425"/>
        <w:jc w:val="both"/>
        <w:rPr>
          <w:rFonts w:ascii="Arial" w:hAnsi="Arial"/>
          <w:bCs/>
          <w:sz w:val="18"/>
          <w:szCs w:val="18"/>
          <w:lang w:val="en-IE"/>
        </w:rPr>
      </w:pPr>
      <w:r w:rsidRPr="00D403F5">
        <w:rPr>
          <w:rFonts w:ascii="Arial" w:hAnsi="Arial"/>
          <w:bCs/>
          <w:sz w:val="18"/>
          <w:szCs w:val="18"/>
          <w:lang w:val="en-IE"/>
        </w:rPr>
        <w:t>iv)</w:t>
      </w:r>
      <w:r w:rsidRPr="00D403F5">
        <w:rPr>
          <w:rFonts w:ascii="Arial" w:hAnsi="Arial"/>
          <w:bCs/>
          <w:sz w:val="18"/>
          <w:szCs w:val="18"/>
          <w:lang w:val="en-IE"/>
        </w:rPr>
        <w:tab/>
        <w:t>Block with skim milk (5% in carbonate buffer) or other blocking solution for 1 hour at 37°C (300 µl well</w:t>
      </w:r>
      <w:r w:rsidRPr="00D403F5">
        <w:rPr>
          <w:rFonts w:ascii="Arial" w:hAnsi="Arial"/>
          <w:bCs/>
          <w:sz w:val="18"/>
          <w:szCs w:val="18"/>
          <w:vertAlign w:val="superscript"/>
          <w:lang w:val="en-IE"/>
        </w:rPr>
        <w:t>–1</w:t>
      </w:r>
      <w:r w:rsidRPr="00D403F5">
        <w:rPr>
          <w:rFonts w:ascii="Arial" w:hAnsi="Arial"/>
          <w:bCs/>
          <w:sz w:val="18"/>
          <w:szCs w:val="18"/>
          <w:lang w:val="en-IE"/>
        </w:rPr>
        <w:t xml:space="preserve">). </w:t>
      </w:r>
    </w:p>
    <w:p w14:paraId="26FF1EC5" w14:textId="77777777" w:rsidR="00E65E42" w:rsidRPr="00D403F5" w:rsidRDefault="00E65E42" w:rsidP="00B6151C">
      <w:pPr>
        <w:spacing w:after="120" w:line="240" w:lineRule="auto"/>
        <w:ind w:left="1134" w:hanging="425"/>
        <w:jc w:val="both"/>
        <w:rPr>
          <w:rFonts w:ascii="Arial" w:hAnsi="Arial"/>
          <w:bCs/>
          <w:sz w:val="18"/>
          <w:szCs w:val="18"/>
          <w:lang w:val="en-IE"/>
        </w:rPr>
      </w:pPr>
      <w:r w:rsidRPr="00D403F5">
        <w:rPr>
          <w:rFonts w:ascii="Arial" w:hAnsi="Arial"/>
          <w:bCs/>
          <w:sz w:val="18"/>
          <w:szCs w:val="18"/>
        </w:rPr>
        <w:t>v)</w:t>
      </w:r>
      <w:r w:rsidRPr="00D403F5">
        <w:rPr>
          <w:rFonts w:ascii="Arial" w:hAnsi="Arial"/>
          <w:bCs/>
          <w:sz w:val="18"/>
          <w:szCs w:val="18"/>
        </w:rPr>
        <w:tab/>
        <w:t>Rinse four times with PBST.</w:t>
      </w:r>
    </w:p>
    <w:p w14:paraId="244C4376" w14:textId="77777777" w:rsidR="00E65E42" w:rsidRPr="00D403F5" w:rsidRDefault="00E65E42" w:rsidP="00B6151C">
      <w:pPr>
        <w:spacing w:after="120" w:line="240" w:lineRule="auto"/>
        <w:ind w:left="1134" w:hanging="425"/>
        <w:jc w:val="both"/>
        <w:rPr>
          <w:rFonts w:ascii="Arial" w:hAnsi="Arial"/>
          <w:bCs/>
          <w:sz w:val="18"/>
          <w:szCs w:val="18"/>
          <w:lang w:val="en-IE"/>
        </w:rPr>
      </w:pPr>
      <w:r w:rsidRPr="00D403F5">
        <w:rPr>
          <w:rFonts w:ascii="Arial" w:hAnsi="Arial"/>
          <w:bCs/>
          <w:sz w:val="18"/>
          <w:szCs w:val="18"/>
        </w:rPr>
        <w:t>vi)</w:t>
      </w:r>
      <w:r w:rsidRPr="00D403F5">
        <w:rPr>
          <w:rFonts w:ascii="Arial" w:hAnsi="Arial"/>
          <w:bCs/>
          <w:sz w:val="18"/>
          <w:szCs w:val="18"/>
        </w:rPr>
        <w:tab/>
        <w:t>Add 2% non-ionic detergent (Triton X-100 or Nonidet P-40) to the virus suspension to be identified</w:t>
      </w:r>
      <w:r w:rsidRPr="00D403F5">
        <w:rPr>
          <w:rFonts w:ascii="Arial" w:hAnsi="Arial"/>
          <w:bCs/>
          <w:sz w:val="18"/>
          <w:szCs w:val="18"/>
          <w:lang w:val="en-IE"/>
        </w:rPr>
        <w:t>.</w:t>
      </w:r>
    </w:p>
    <w:p w14:paraId="1CC4BBD1" w14:textId="77777777" w:rsidR="00E65E42" w:rsidRPr="00D403F5" w:rsidRDefault="00E65E42" w:rsidP="00B6151C">
      <w:pPr>
        <w:spacing w:after="120" w:line="240" w:lineRule="auto"/>
        <w:ind w:left="1134" w:hanging="425"/>
        <w:jc w:val="both"/>
        <w:rPr>
          <w:rFonts w:ascii="Arial" w:hAnsi="Arial"/>
          <w:bCs/>
          <w:sz w:val="18"/>
          <w:szCs w:val="18"/>
          <w:lang w:val="en-IE"/>
        </w:rPr>
      </w:pPr>
      <w:r w:rsidRPr="00D403F5">
        <w:rPr>
          <w:rFonts w:ascii="Arial" w:hAnsi="Arial"/>
          <w:bCs/>
          <w:sz w:val="18"/>
          <w:szCs w:val="18"/>
          <w:lang w:val="en-IE"/>
        </w:rPr>
        <w:t>vii)</w:t>
      </w:r>
      <w:r w:rsidRPr="00D403F5">
        <w:rPr>
          <w:rFonts w:ascii="Arial" w:hAnsi="Arial"/>
          <w:bCs/>
          <w:sz w:val="18"/>
          <w:szCs w:val="18"/>
          <w:lang w:val="en-IE"/>
        </w:rPr>
        <w:tab/>
      </w:r>
      <w:r w:rsidRPr="00D403F5">
        <w:rPr>
          <w:rFonts w:ascii="Arial" w:hAnsi="Arial"/>
          <w:bCs/>
          <w:sz w:val="18"/>
          <w:szCs w:val="18"/>
        </w:rPr>
        <w:t>Dispense 100 µl well</w:t>
      </w:r>
      <w:r w:rsidRPr="00D403F5">
        <w:rPr>
          <w:rFonts w:ascii="Arial" w:hAnsi="Arial"/>
          <w:bCs/>
          <w:sz w:val="18"/>
          <w:szCs w:val="18"/>
          <w:vertAlign w:val="superscript"/>
          <w:lang w:val="en-IE"/>
        </w:rPr>
        <w:t>–1</w:t>
      </w:r>
      <w:r w:rsidRPr="00D403F5">
        <w:rPr>
          <w:rFonts w:ascii="Arial" w:hAnsi="Arial"/>
          <w:bCs/>
          <w:sz w:val="18"/>
          <w:szCs w:val="18"/>
        </w:rPr>
        <w:t xml:space="preserve"> of two- or four-step dilutions of the virus to be identified, and of the non-infected cell culture harvest (negative control). </w:t>
      </w:r>
      <w:r w:rsidRPr="00D403F5">
        <w:rPr>
          <w:rFonts w:ascii="Arial" w:hAnsi="Arial"/>
          <w:bCs/>
          <w:sz w:val="18"/>
          <w:szCs w:val="18"/>
          <w:lang w:val="en-IE"/>
        </w:rPr>
        <w:t>Also include SVCV positive control virus. Incubate for 1 hour at 37°C.</w:t>
      </w:r>
    </w:p>
    <w:p w14:paraId="4266125F" w14:textId="77777777" w:rsidR="00E65E42" w:rsidRPr="00D403F5" w:rsidRDefault="00E65E42" w:rsidP="00B6151C">
      <w:pPr>
        <w:spacing w:after="120" w:line="240" w:lineRule="auto"/>
        <w:ind w:left="1134" w:hanging="425"/>
        <w:jc w:val="both"/>
        <w:rPr>
          <w:rFonts w:ascii="Arial" w:hAnsi="Arial"/>
          <w:bCs/>
          <w:sz w:val="18"/>
          <w:szCs w:val="18"/>
          <w:lang w:val="en-IE"/>
        </w:rPr>
      </w:pPr>
      <w:r w:rsidRPr="00D403F5">
        <w:rPr>
          <w:rFonts w:ascii="Arial" w:hAnsi="Arial"/>
          <w:bCs/>
          <w:sz w:val="18"/>
          <w:szCs w:val="18"/>
          <w:lang w:val="en-IE"/>
        </w:rPr>
        <w:t>viii)</w:t>
      </w:r>
      <w:r w:rsidRPr="00D403F5">
        <w:rPr>
          <w:rFonts w:ascii="Arial" w:hAnsi="Arial"/>
          <w:bCs/>
          <w:sz w:val="18"/>
          <w:szCs w:val="18"/>
          <w:lang w:val="en-IE"/>
        </w:rPr>
        <w:tab/>
        <w:t>Rinse four times with PBST.</w:t>
      </w:r>
    </w:p>
    <w:p w14:paraId="60DBB15C" w14:textId="77777777" w:rsidR="00E65E42" w:rsidRPr="00D403F5" w:rsidRDefault="00E65E42" w:rsidP="00B6151C">
      <w:pPr>
        <w:spacing w:after="120" w:line="240" w:lineRule="auto"/>
        <w:ind w:left="1134" w:hanging="425"/>
        <w:jc w:val="both"/>
        <w:rPr>
          <w:rFonts w:ascii="Arial" w:hAnsi="Arial"/>
          <w:bCs/>
          <w:sz w:val="18"/>
          <w:szCs w:val="18"/>
          <w:lang w:val="en-IE"/>
        </w:rPr>
      </w:pPr>
      <w:r w:rsidRPr="00D403F5">
        <w:rPr>
          <w:rFonts w:ascii="Arial" w:hAnsi="Arial"/>
          <w:bCs/>
          <w:sz w:val="18"/>
          <w:szCs w:val="18"/>
          <w:lang w:val="en-IE"/>
        </w:rPr>
        <w:t>ix)</w:t>
      </w:r>
      <w:r w:rsidRPr="00D403F5">
        <w:rPr>
          <w:rFonts w:ascii="Arial" w:hAnsi="Arial"/>
          <w:bCs/>
          <w:sz w:val="18"/>
          <w:szCs w:val="18"/>
          <w:lang w:val="en-IE"/>
        </w:rPr>
        <w:tab/>
        <w:t>Add to the wells, 200 µl of horseradish peroxidase (HRPO)-conjugated MAb or polyclonal antibody to SVCV; or polyclonal IgG to SVCV. An MAb to N protein specific for a domain different from the one of the coating MAb and previously conjugated with biotin can also be used. Incubate for 1 hour at 37°C.</w:t>
      </w:r>
    </w:p>
    <w:p w14:paraId="672FF102" w14:textId="77777777" w:rsidR="00E65E42" w:rsidRPr="00D403F5" w:rsidRDefault="00E65E42" w:rsidP="00B6151C">
      <w:pPr>
        <w:spacing w:after="120" w:line="240" w:lineRule="auto"/>
        <w:ind w:left="1134" w:hanging="425"/>
        <w:jc w:val="both"/>
        <w:rPr>
          <w:rFonts w:ascii="Arial" w:hAnsi="Arial"/>
          <w:bCs/>
          <w:sz w:val="18"/>
          <w:szCs w:val="18"/>
          <w:lang w:val="en-IE"/>
        </w:rPr>
      </w:pPr>
      <w:r w:rsidRPr="00D403F5">
        <w:rPr>
          <w:rFonts w:ascii="Arial" w:hAnsi="Arial"/>
          <w:bCs/>
          <w:sz w:val="18"/>
          <w:szCs w:val="18"/>
          <w:lang w:val="en-IE"/>
        </w:rPr>
        <w:t>x)</w:t>
      </w:r>
      <w:r w:rsidRPr="00D403F5">
        <w:rPr>
          <w:rFonts w:ascii="Arial" w:hAnsi="Arial"/>
          <w:bCs/>
          <w:sz w:val="18"/>
          <w:szCs w:val="18"/>
          <w:lang w:val="en-IE"/>
        </w:rPr>
        <w:tab/>
        <w:t>Rinse four times with PBST.</w:t>
      </w:r>
    </w:p>
    <w:p w14:paraId="353DCAB8" w14:textId="77777777" w:rsidR="00E65E42" w:rsidRPr="00D403F5" w:rsidRDefault="00E65E42" w:rsidP="00685B5C">
      <w:pPr>
        <w:spacing w:after="200" w:line="240" w:lineRule="auto"/>
        <w:ind w:left="1134" w:hanging="425"/>
        <w:jc w:val="both"/>
        <w:rPr>
          <w:rFonts w:ascii="Arial" w:hAnsi="Arial"/>
          <w:bCs/>
          <w:sz w:val="18"/>
          <w:szCs w:val="18"/>
          <w:lang w:val="en-IE"/>
        </w:rPr>
      </w:pPr>
      <w:r w:rsidRPr="00D403F5">
        <w:rPr>
          <w:rFonts w:ascii="Arial" w:hAnsi="Arial"/>
          <w:bCs/>
          <w:sz w:val="18"/>
          <w:szCs w:val="18"/>
          <w:lang w:val="en-IE"/>
        </w:rPr>
        <w:t>xi)</w:t>
      </w:r>
      <w:r w:rsidRPr="00D403F5">
        <w:rPr>
          <w:rFonts w:ascii="Arial" w:hAnsi="Arial"/>
          <w:bCs/>
          <w:sz w:val="18"/>
          <w:szCs w:val="18"/>
          <w:lang w:val="en-IE"/>
        </w:rPr>
        <w:tab/>
        <w:t>If HRPO-conjugated antibody has been used, go to step xiii. Otherwise, add 200 µl of HRPO-conjugated streptavidin or ExtrAvidin (Sigma) to those wells that have received the biotin-conjugated antibody and incubate for 1 hour at 37°C.</w:t>
      </w:r>
    </w:p>
    <w:p w14:paraId="1B259E5C" w14:textId="64A7FCB6" w:rsidR="00754D87" w:rsidRDefault="00754D87" w:rsidP="00685B5C">
      <w:pPr>
        <w:spacing w:after="480" w:line="240" w:lineRule="auto"/>
        <w:ind w:hanging="425"/>
        <w:jc w:val="right"/>
      </w:pPr>
      <w:r>
        <w:rPr>
          <w:u w:val="single"/>
        </w:rPr>
        <w:br w:type="page"/>
      </w: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1E96CB63"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xii)</w:t>
      </w:r>
      <w:r w:rsidRPr="00D403F5">
        <w:rPr>
          <w:rFonts w:ascii="Arial" w:hAnsi="Arial"/>
          <w:bCs/>
          <w:sz w:val="18"/>
          <w:szCs w:val="18"/>
          <w:lang w:val="en-IE"/>
        </w:rPr>
        <w:tab/>
        <w:t>Rinse four times with PBST.</w:t>
      </w:r>
    </w:p>
    <w:p w14:paraId="1A0566F0"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xiii)</w:t>
      </w:r>
      <w:r w:rsidRPr="00D403F5">
        <w:rPr>
          <w:rFonts w:ascii="Arial" w:hAnsi="Arial"/>
          <w:bCs/>
          <w:sz w:val="18"/>
          <w:szCs w:val="18"/>
          <w:lang w:val="en-IE"/>
        </w:rPr>
        <w:tab/>
        <w:t>Add 200 µl of a suitable substrate and chromogen, such as tetramethylbenzidine dihydrochloride. Stop the course of the test when positive controls react, and read the results.</w:t>
      </w:r>
    </w:p>
    <w:p w14:paraId="5C4AD416" w14:textId="77777777" w:rsidR="00E65E42" w:rsidRPr="00D403F5" w:rsidRDefault="00E65E42" w:rsidP="00B6151C">
      <w:pPr>
        <w:ind w:left="851"/>
        <w:jc w:val="both"/>
        <w:rPr>
          <w:rFonts w:ascii="Arial" w:hAnsi="Arial"/>
          <w:bCs/>
          <w:i/>
          <w:sz w:val="18"/>
          <w:szCs w:val="18"/>
          <w:lang w:val="en-IE"/>
        </w:rPr>
      </w:pPr>
      <w:r w:rsidRPr="00D403F5">
        <w:rPr>
          <w:rFonts w:ascii="Arial" w:hAnsi="Arial"/>
          <w:bCs/>
          <w:i/>
          <w:sz w:val="18"/>
          <w:szCs w:val="18"/>
          <w:lang w:val="en-IE"/>
        </w:rPr>
        <w:t xml:space="preserve">Enzyme-linked immunosorbent assay </w:t>
      </w:r>
      <w:r w:rsidRPr="00D403F5">
        <w:rPr>
          <w:rFonts w:ascii="Arial" w:hAnsi="Arial"/>
          <w:bCs/>
          <w:sz w:val="18"/>
          <w:szCs w:val="18"/>
          <w:lang w:val="en-IE"/>
        </w:rPr>
        <w:t>(</w:t>
      </w:r>
      <w:r w:rsidRPr="00D403F5">
        <w:rPr>
          <w:rFonts w:ascii="Arial" w:hAnsi="Arial"/>
          <w:bCs/>
          <w:i/>
          <w:sz w:val="18"/>
          <w:szCs w:val="18"/>
          <w:lang w:val="en-IE"/>
        </w:rPr>
        <w:t>ELISA</w:t>
      </w:r>
      <w:r w:rsidRPr="00D403F5">
        <w:rPr>
          <w:rFonts w:ascii="Arial" w:hAnsi="Arial"/>
          <w:bCs/>
          <w:sz w:val="18"/>
          <w:szCs w:val="18"/>
          <w:lang w:val="en-IE"/>
        </w:rPr>
        <w:t xml:space="preserve">) </w:t>
      </w:r>
      <w:r w:rsidRPr="00D403F5">
        <w:rPr>
          <w:rFonts w:ascii="Arial" w:hAnsi="Arial"/>
          <w:bCs/>
          <w:i/>
          <w:sz w:val="18"/>
          <w:szCs w:val="18"/>
          <w:lang w:val="en-IE"/>
        </w:rPr>
        <w:t>using tissue homogenates</w:t>
      </w:r>
    </w:p>
    <w:p w14:paraId="3DB73419" w14:textId="77777777" w:rsidR="00E65E42" w:rsidRPr="00D403F5" w:rsidRDefault="00E65E42" w:rsidP="00B6151C">
      <w:pPr>
        <w:ind w:left="851"/>
        <w:jc w:val="both"/>
        <w:rPr>
          <w:rFonts w:ascii="Arial" w:hAnsi="Arial"/>
          <w:bCs/>
          <w:sz w:val="18"/>
          <w:szCs w:val="18"/>
          <w:lang w:val="en-IE"/>
        </w:rPr>
      </w:pPr>
      <w:r w:rsidRPr="00D403F5">
        <w:rPr>
          <w:rFonts w:ascii="Arial" w:hAnsi="Arial"/>
          <w:bCs/>
          <w:sz w:val="18"/>
          <w:szCs w:val="18"/>
          <w:lang w:val="en-IE"/>
        </w:rPr>
        <w:t xml:space="preserve">See Section </w:t>
      </w:r>
      <w:r w:rsidRPr="00D403F5">
        <w:rPr>
          <w:rFonts w:ascii="Arial" w:hAnsi="Arial"/>
          <w:bCs/>
          <w:strike/>
          <w:sz w:val="18"/>
          <w:szCs w:val="18"/>
          <w:lang w:val="en-IE"/>
        </w:rPr>
        <w:t>A.</w:t>
      </w:r>
      <w:r w:rsidRPr="00D403F5">
        <w:rPr>
          <w:rFonts w:ascii="Arial" w:hAnsi="Arial"/>
          <w:bCs/>
          <w:sz w:val="18"/>
          <w:szCs w:val="18"/>
          <w:lang w:val="en-IE"/>
        </w:rPr>
        <w:t>2.2.2 of Chapter 2.3.0, for obtaining organ homogenates.</w:t>
      </w:r>
    </w:p>
    <w:p w14:paraId="38567055"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i)</w:t>
      </w:r>
      <w:r w:rsidRPr="00D403F5">
        <w:rPr>
          <w:rFonts w:ascii="Arial" w:hAnsi="Arial"/>
          <w:bCs/>
          <w:sz w:val="18"/>
          <w:szCs w:val="18"/>
          <w:lang w:val="en-IE"/>
        </w:rPr>
        <w:tab/>
        <w:t>Coat the wells of microplates designed for ELISAs with appropriate dilutions of purified immunoglobulins (Ig) specific for SVCV, in 0.02 M carbonate buffer, pH 9.5 (200 µl well</w:t>
      </w:r>
      <w:r w:rsidRPr="00D403F5">
        <w:rPr>
          <w:rFonts w:ascii="Arial" w:hAnsi="Arial"/>
          <w:bCs/>
          <w:sz w:val="18"/>
          <w:szCs w:val="18"/>
          <w:vertAlign w:val="superscript"/>
          <w:lang w:val="en-IE"/>
        </w:rPr>
        <w:t>–1</w:t>
      </w:r>
      <w:r w:rsidRPr="00D403F5">
        <w:rPr>
          <w:rFonts w:ascii="Arial" w:hAnsi="Arial"/>
          <w:bCs/>
          <w:sz w:val="18"/>
          <w:szCs w:val="18"/>
          <w:lang w:val="en-IE"/>
        </w:rPr>
        <w:t>). Ig may be polyclonal or monoclonal Ig originating most often from rabbit or mouse, respectively. For the identification of SVCV, monoclonal antibodies (MAbs) specific for certain domains of the nucleocapsid (N) protein are suitable.</w:t>
      </w:r>
    </w:p>
    <w:p w14:paraId="67205122"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ii)</w:t>
      </w:r>
      <w:r w:rsidRPr="00D403F5">
        <w:rPr>
          <w:rFonts w:ascii="Arial" w:hAnsi="Arial"/>
          <w:bCs/>
          <w:sz w:val="18"/>
          <w:szCs w:val="18"/>
          <w:lang w:val="en-IE"/>
        </w:rPr>
        <w:tab/>
        <w:t>Incubate overnight at 4°C.</w:t>
      </w:r>
    </w:p>
    <w:p w14:paraId="5DD5608A"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iii)</w:t>
      </w:r>
      <w:r w:rsidRPr="00D403F5">
        <w:rPr>
          <w:rFonts w:ascii="Arial" w:hAnsi="Arial"/>
          <w:bCs/>
          <w:sz w:val="18"/>
          <w:szCs w:val="18"/>
          <w:lang w:val="en-IE"/>
        </w:rPr>
        <w:tab/>
        <w:t>Rinse four times with PBST.</w:t>
      </w:r>
    </w:p>
    <w:p w14:paraId="5DE56A25"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iv)</w:t>
      </w:r>
      <w:r w:rsidRPr="00D403F5">
        <w:rPr>
          <w:rFonts w:ascii="Arial" w:hAnsi="Arial"/>
          <w:bCs/>
          <w:sz w:val="18"/>
          <w:szCs w:val="18"/>
          <w:lang w:val="en-IE"/>
        </w:rPr>
        <w:tab/>
        <w:t>Block with skim milk (5% in carbonate buffer) or other blocking solution for 1 hour at 37°C (300 µl well</w:t>
      </w:r>
      <w:r w:rsidRPr="00D403F5">
        <w:rPr>
          <w:rFonts w:ascii="Arial" w:hAnsi="Arial"/>
          <w:bCs/>
          <w:sz w:val="18"/>
          <w:szCs w:val="18"/>
          <w:vertAlign w:val="superscript"/>
          <w:lang w:val="en-IE"/>
        </w:rPr>
        <w:t>–1</w:t>
      </w:r>
      <w:r w:rsidRPr="00D403F5">
        <w:rPr>
          <w:rFonts w:ascii="Arial" w:hAnsi="Arial"/>
          <w:bCs/>
          <w:sz w:val="18"/>
          <w:szCs w:val="18"/>
          <w:lang w:val="en-IE"/>
        </w:rPr>
        <w:t>).</w:t>
      </w:r>
      <w:r w:rsidRPr="00D403F5">
        <w:rPr>
          <w:rFonts w:ascii="Arial" w:hAnsi="Arial"/>
          <w:bCs/>
          <w:sz w:val="18"/>
          <w:szCs w:val="18"/>
        </w:rPr>
        <w:t xml:space="preserve"> </w:t>
      </w:r>
    </w:p>
    <w:p w14:paraId="4525E961"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v)</w:t>
      </w:r>
      <w:r w:rsidRPr="00D403F5">
        <w:rPr>
          <w:rFonts w:ascii="Arial" w:hAnsi="Arial"/>
          <w:bCs/>
          <w:sz w:val="18"/>
          <w:szCs w:val="18"/>
          <w:lang w:val="en-IE"/>
        </w:rPr>
        <w:tab/>
      </w:r>
      <w:r w:rsidRPr="00D403F5">
        <w:rPr>
          <w:rFonts w:ascii="Arial" w:hAnsi="Arial"/>
          <w:bCs/>
          <w:sz w:val="18"/>
          <w:szCs w:val="18"/>
        </w:rPr>
        <w:t>Rinse four times with PBST.</w:t>
      </w:r>
    </w:p>
    <w:p w14:paraId="5A770335"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vi)</w:t>
      </w:r>
      <w:r w:rsidRPr="00D403F5">
        <w:rPr>
          <w:rFonts w:ascii="Arial" w:hAnsi="Arial"/>
          <w:bCs/>
          <w:sz w:val="18"/>
          <w:szCs w:val="18"/>
          <w:lang w:val="en-IE"/>
        </w:rPr>
        <w:tab/>
        <w:t>Store a 1/4 aliquot of each homogenate at 4°C, in case the test is negative and virus isolation in cell culture is required.</w:t>
      </w:r>
    </w:p>
    <w:p w14:paraId="22C2E159"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vii)</w:t>
      </w:r>
      <w:r w:rsidRPr="00D403F5">
        <w:rPr>
          <w:rFonts w:ascii="Arial" w:hAnsi="Arial"/>
          <w:bCs/>
          <w:sz w:val="18"/>
          <w:szCs w:val="18"/>
          <w:lang w:val="en-IE"/>
        </w:rPr>
        <w:tab/>
        <w:t>Treat the remaining part of the homogenate with 2% Triton X-100 or Nonidet P-40 and 2 mM of phenyl methyl sulphonide fluoride; mix gently.</w:t>
      </w:r>
    </w:p>
    <w:p w14:paraId="294BC5B0"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viii)</w:t>
      </w:r>
      <w:r w:rsidRPr="00D403F5">
        <w:rPr>
          <w:rFonts w:ascii="Arial" w:hAnsi="Arial"/>
          <w:bCs/>
          <w:sz w:val="18"/>
          <w:szCs w:val="18"/>
          <w:lang w:val="en-IE"/>
        </w:rPr>
        <w:tab/>
        <w:t>Dispense 100 µl well–1 of two- or four-step dilutions of the sample to be identified, and of negative control tissues. Also include an SVCV positive control virus. Incubate for 1 hour at 37°C.</w:t>
      </w:r>
    </w:p>
    <w:p w14:paraId="5AEBA6CF"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ix)</w:t>
      </w:r>
      <w:r w:rsidRPr="00D403F5">
        <w:rPr>
          <w:rFonts w:ascii="Arial" w:hAnsi="Arial"/>
          <w:bCs/>
          <w:sz w:val="18"/>
          <w:szCs w:val="18"/>
          <w:lang w:val="en-IE"/>
        </w:rPr>
        <w:tab/>
        <w:t>Rinse four times with PBST.</w:t>
      </w:r>
    </w:p>
    <w:p w14:paraId="1D6B440B"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x)</w:t>
      </w:r>
      <w:r w:rsidRPr="00D403F5">
        <w:rPr>
          <w:rFonts w:ascii="Arial" w:hAnsi="Arial"/>
          <w:bCs/>
          <w:sz w:val="18"/>
          <w:szCs w:val="18"/>
          <w:lang w:val="en-IE"/>
        </w:rPr>
        <w:tab/>
        <w:t>Add to the wells, 200 µl of horseradish peroxidase (HRPO)-conjugated MAb or polyclonal antibody to SVCV; or polyclonal IgG to SVCV. A MAb to N protein specific for a domain different from the one of the coating MAb and previously conjugated with biotin can also be used. Incubate for 1 hour at 37°C.</w:t>
      </w:r>
    </w:p>
    <w:p w14:paraId="371E229A"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xi)</w:t>
      </w:r>
      <w:r w:rsidRPr="00D403F5">
        <w:rPr>
          <w:rFonts w:ascii="Arial" w:hAnsi="Arial"/>
          <w:bCs/>
          <w:sz w:val="18"/>
          <w:szCs w:val="18"/>
          <w:lang w:val="en-IE"/>
        </w:rPr>
        <w:tab/>
        <w:t>Rinse four times with PBST.</w:t>
      </w:r>
    </w:p>
    <w:p w14:paraId="1A224829"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xii)</w:t>
      </w:r>
      <w:r w:rsidRPr="00D403F5">
        <w:rPr>
          <w:rFonts w:ascii="Arial" w:hAnsi="Arial"/>
          <w:bCs/>
          <w:sz w:val="18"/>
          <w:szCs w:val="18"/>
          <w:lang w:val="en-IE"/>
        </w:rPr>
        <w:tab/>
        <w:t>If HRPO-conjugated antibody has been used, go to step xiv. Otherwise, add 200 µl of HRPO-conjugated streptavidin or ExtrAvidin (Sigma) to those wells that have received the biotin-conjugated antibody and incubate for 1 hour at 37°C.</w:t>
      </w:r>
    </w:p>
    <w:p w14:paraId="30371B0C"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xiii)</w:t>
      </w:r>
      <w:r w:rsidRPr="00D403F5">
        <w:rPr>
          <w:rFonts w:ascii="Arial" w:hAnsi="Arial"/>
          <w:bCs/>
          <w:sz w:val="18"/>
          <w:szCs w:val="18"/>
          <w:lang w:val="en-IE"/>
        </w:rPr>
        <w:tab/>
        <w:t>Rinse four times with PBST.</w:t>
      </w:r>
    </w:p>
    <w:p w14:paraId="4D156025" w14:textId="77777777" w:rsidR="00E65E42" w:rsidRPr="00D403F5" w:rsidRDefault="00E65E42" w:rsidP="00B6151C">
      <w:pPr>
        <w:spacing w:line="240" w:lineRule="auto"/>
        <w:ind w:left="1134" w:hanging="425"/>
        <w:jc w:val="both"/>
        <w:rPr>
          <w:rFonts w:ascii="Arial" w:hAnsi="Arial"/>
          <w:bCs/>
          <w:sz w:val="18"/>
          <w:szCs w:val="18"/>
          <w:lang w:val="en-IE"/>
        </w:rPr>
      </w:pPr>
      <w:r w:rsidRPr="00D403F5">
        <w:rPr>
          <w:rFonts w:ascii="Arial" w:hAnsi="Arial"/>
          <w:bCs/>
          <w:sz w:val="18"/>
          <w:szCs w:val="18"/>
          <w:lang w:val="en-IE"/>
        </w:rPr>
        <w:t>xiv)</w:t>
      </w:r>
      <w:r w:rsidRPr="00D403F5">
        <w:rPr>
          <w:rFonts w:ascii="Arial" w:hAnsi="Arial"/>
          <w:bCs/>
          <w:sz w:val="18"/>
          <w:szCs w:val="18"/>
          <w:lang w:val="en-IE"/>
        </w:rPr>
        <w:tab/>
        <w:t>Add 200 µl of a suitable substrate and chromogen, such as tetramethylbenzidine dihydrochloride. Stop the course of the test when positive controls react, and read the results.</w:t>
      </w:r>
    </w:p>
    <w:p w14:paraId="48163B8A" w14:textId="77777777" w:rsidR="00E65E42" w:rsidRPr="00D403F5" w:rsidRDefault="00E65E42" w:rsidP="00B6151C">
      <w:pPr>
        <w:spacing w:line="240" w:lineRule="auto"/>
        <w:ind w:left="1134" w:hanging="425"/>
        <w:jc w:val="both"/>
        <w:rPr>
          <w:rFonts w:ascii="Arial" w:hAnsi="Arial"/>
          <w:sz w:val="18"/>
          <w:szCs w:val="18"/>
          <w:lang w:val="en-IE"/>
        </w:rPr>
      </w:pPr>
      <w:r w:rsidRPr="00D403F5">
        <w:rPr>
          <w:rFonts w:ascii="Arial" w:hAnsi="Arial"/>
          <w:sz w:val="18"/>
          <w:szCs w:val="18"/>
          <w:lang w:val="en-IE"/>
        </w:rPr>
        <w:t>xv)</w:t>
      </w:r>
      <w:r w:rsidRPr="00D403F5">
        <w:rPr>
          <w:rFonts w:ascii="Arial" w:hAnsi="Arial"/>
          <w:sz w:val="18"/>
          <w:szCs w:val="18"/>
          <w:lang w:val="en-IE"/>
        </w:rPr>
        <w:tab/>
        <w:t>If the test is negative, process the organ samples stored at 4°C, for virus isolation in cell culture as described in Section 4.3.</w:t>
      </w:r>
    </w:p>
    <w:p w14:paraId="17F6FDA5" w14:textId="77777777" w:rsidR="00E65E42" w:rsidRPr="00E777B4" w:rsidRDefault="00E65E42" w:rsidP="00B6151C">
      <w:pPr>
        <w:pStyle w:val="111"/>
        <w:spacing w:after="160"/>
        <w:ind w:left="993"/>
        <w:rPr>
          <w:rFonts w:cs="Arial"/>
          <w:szCs w:val="20"/>
          <w:highlight w:val="yellow"/>
          <w:u w:val="double"/>
          <w:lang w:val="en-IE"/>
        </w:rPr>
      </w:pPr>
      <w:r w:rsidRPr="00E777B4">
        <w:rPr>
          <w:rFonts w:cs="Arial"/>
          <w:szCs w:val="20"/>
          <w:highlight w:val="yellow"/>
          <w:u w:val="double"/>
          <w:lang w:val="en-IE"/>
        </w:rPr>
        <w:t>4.9.</w:t>
      </w:r>
      <w:r>
        <w:rPr>
          <w:rFonts w:cs="Arial"/>
          <w:szCs w:val="20"/>
          <w:highlight w:val="yellow"/>
          <w:u w:val="double"/>
          <w:lang w:val="en-IE"/>
        </w:rPr>
        <w:t>2</w:t>
      </w:r>
      <w:r w:rsidRPr="00E777B4">
        <w:rPr>
          <w:rFonts w:cs="Arial"/>
          <w:szCs w:val="20"/>
          <w:highlight w:val="yellow"/>
          <w:u w:val="double"/>
          <w:lang w:val="en-IE"/>
        </w:rPr>
        <w:t>.</w:t>
      </w:r>
      <w:r w:rsidRPr="00E777B4">
        <w:rPr>
          <w:rFonts w:cs="Arial"/>
          <w:szCs w:val="20"/>
          <w:highlight w:val="yellow"/>
          <w:u w:val="double"/>
          <w:lang w:val="en-IE"/>
        </w:rPr>
        <w:tab/>
      </w:r>
      <w:r>
        <w:rPr>
          <w:rFonts w:cs="Arial"/>
          <w:szCs w:val="20"/>
          <w:highlight w:val="yellow"/>
          <w:u w:val="double"/>
          <w:lang w:val="en-IE"/>
        </w:rPr>
        <w:t>Indirect fluorescent antibody test</w:t>
      </w:r>
      <w:r w:rsidRPr="00E777B4">
        <w:rPr>
          <w:rFonts w:cs="Arial"/>
          <w:szCs w:val="20"/>
          <w:highlight w:val="yellow"/>
          <w:u w:val="double"/>
          <w:lang w:val="en-IE"/>
        </w:rPr>
        <w:t xml:space="preserve"> (</w:t>
      </w:r>
      <w:r>
        <w:rPr>
          <w:rFonts w:cs="Arial"/>
          <w:szCs w:val="20"/>
          <w:highlight w:val="yellow"/>
          <w:u w:val="double"/>
          <w:lang w:val="en-IE"/>
        </w:rPr>
        <w:t>IFAT</w:t>
      </w:r>
      <w:r w:rsidRPr="00E777B4">
        <w:rPr>
          <w:rFonts w:cs="Arial"/>
          <w:szCs w:val="20"/>
          <w:highlight w:val="yellow"/>
          <w:u w:val="double"/>
          <w:lang w:val="en-IE"/>
        </w:rPr>
        <w:t>)</w:t>
      </w:r>
    </w:p>
    <w:p w14:paraId="796D549E" w14:textId="77777777" w:rsidR="00E65E42" w:rsidRPr="00E777B4" w:rsidRDefault="00E65E42" w:rsidP="00B6151C">
      <w:pPr>
        <w:spacing w:line="240" w:lineRule="auto"/>
        <w:ind w:left="993"/>
        <w:jc w:val="both"/>
        <w:rPr>
          <w:rFonts w:ascii="Arial" w:hAnsi="Arial"/>
          <w:bCs/>
          <w:i/>
          <w:strike/>
          <w:sz w:val="18"/>
          <w:szCs w:val="18"/>
          <w:lang w:val="en-IE"/>
        </w:rPr>
      </w:pPr>
      <w:r w:rsidRPr="00E777B4">
        <w:rPr>
          <w:rFonts w:ascii="Arial" w:hAnsi="Arial"/>
          <w:i/>
          <w:strike/>
          <w:sz w:val="18"/>
          <w:szCs w:val="18"/>
          <w:highlight w:val="yellow"/>
          <w:u w:val="double"/>
          <w:lang w:val="en-IE"/>
        </w:rPr>
        <w:t>Virus identification</w:t>
      </w:r>
      <w:r w:rsidRPr="00E777B4">
        <w:rPr>
          <w:rFonts w:ascii="Arial" w:hAnsi="Arial"/>
          <w:i/>
          <w:strike/>
          <w:sz w:val="18"/>
          <w:szCs w:val="18"/>
          <w:highlight w:val="yellow"/>
          <w:lang w:val="en-IE"/>
        </w:rPr>
        <w:t xml:space="preserve"> Confirmation of virus identity by the indirect fluorescent antibody test </w:t>
      </w:r>
      <w:r w:rsidRPr="00E777B4">
        <w:rPr>
          <w:rFonts w:ascii="Arial" w:hAnsi="Arial"/>
          <w:bCs/>
          <w:strike/>
          <w:sz w:val="18"/>
          <w:szCs w:val="18"/>
          <w:highlight w:val="yellow"/>
          <w:lang w:val="en-IE"/>
        </w:rPr>
        <w:t>(</w:t>
      </w:r>
      <w:r w:rsidRPr="00E777B4">
        <w:rPr>
          <w:rFonts w:ascii="Arial" w:hAnsi="Arial"/>
          <w:i/>
          <w:strike/>
          <w:sz w:val="18"/>
          <w:szCs w:val="18"/>
          <w:highlight w:val="yellow"/>
          <w:lang w:val="en-IE"/>
        </w:rPr>
        <w:t>IFAT</w:t>
      </w:r>
      <w:r w:rsidRPr="00E777B4">
        <w:rPr>
          <w:rFonts w:ascii="Arial" w:hAnsi="Arial"/>
          <w:bCs/>
          <w:strike/>
          <w:sz w:val="18"/>
          <w:szCs w:val="18"/>
          <w:highlight w:val="yellow"/>
          <w:lang w:val="en-IE"/>
        </w:rPr>
        <w:t>)</w:t>
      </w:r>
    </w:p>
    <w:p w14:paraId="72541BA5" w14:textId="77777777" w:rsidR="00E65E42" w:rsidRPr="00D403F5" w:rsidRDefault="00E65E42" w:rsidP="00457C4E">
      <w:pPr>
        <w:spacing w:after="240" w:line="240" w:lineRule="auto"/>
        <w:ind w:left="1418" w:hanging="425"/>
        <w:jc w:val="both"/>
        <w:rPr>
          <w:rFonts w:ascii="Arial" w:hAnsi="Arial"/>
          <w:bCs/>
          <w:sz w:val="18"/>
          <w:szCs w:val="18"/>
          <w:lang w:val="en-IE"/>
        </w:rPr>
      </w:pPr>
      <w:r w:rsidRPr="00D403F5">
        <w:rPr>
          <w:rFonts w:ascii="Arial" w:hAnsi="Arial"/>
          <w:bCs/>
          <w:sz w:val="18"/>
          <w:szCs w:val="18"/>
          <w:lang w:val="en-IE"/>
        </w:rPr>
        <w:t>i)</w:t>
      </w:r>
      <w:r w:rsidRPr="00D403F5">
        <w:rPr>
          <w:rFonts w:ascii="Arial" w:hAnsi="Arial"/>
          <w:bCs/>
          <w:sz w:val="18"/>
          <w:szCs w:val="18"/>
          <w:lang w:val="en-IE"/>
        </w:rPr>
        <w:tab/>
        <w:t>Prepare monolayers of cells in 2 cm</w:t>
      </w:r>
      <w:r w:rsidRPr="00D403F5">
        <w:rPr>
          <w:rFonts w:ascii="Arial" w:hAnsi="Arial"/>
          <w:bCs/>
          <w:sz w:val="18"/>
          <w:szCs w:val="18"/>
          <w:vertAlign w:val="superscript"/>
          <w:lang w:val="en-IE"/>
        </w:rPr>
        <w:t>2</w:t>
      </w:r>
      <w:r w:rsidRPr="00D403F5">
        <w:rPr>
          <w:rFonts w:ascii="Arial" w:hAnsi="Arial"/>
          <w:bCs/>
          <w:sz w:val="18"/>
          <w:szCs w:val="18"/>
          <w:lang w:val="en-IE"/>
        </w:rPr>
        <w:t xml:space="preserve"> wells of plastic cell culture plates, flasks or on cover-slips or glass slides in order to reach approximately 80% confluency within 24 hours of incubation at 25°C (seed six cell monolayers per virus isolate to be identified, plus two for positive and two for negative controls). The FCS content of the cell culture medium can be reduced to 2–4%. If numerous virus isolates have to be identified, the use of Terasaki plates is strongly recommended.</w:t>
      </w:r>
    </w:p>
    <w:p w14:paraId="00799A05" w14:textId="20F2EFEC" w:rsidR="00754D87" w:rsidRDefault="00754D87" w:rsidP="00223026">
      <w:pPr>
        <w:spacing w:after="480"/>
      </w:pPr>
      <w:r>
        <w:rPr>
          <w:u w:val="single"/>
        </w:rPr>
        <w:br w:type="page"/>
      </w: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1FB578A9" w14:textId="77777777" w:rsidR="00E65E42" w:rsidRPr="00D403F5" w:rsidRDefault="00E65E42" w:rsidP="00685B5C">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ii)</w:t>
      </w:r>
      <w:r w:rsidRPr="00D403F5">
        <w:rPr>
          <w:rFonts w:ascii="Arial" w:hAnsi="Arial"/>
          <w:bCs/>
          <w:sz w:val="18"/>
          <w:szCs w:val="18"/>
          <w:lang w:val="en-IE"/>
        </w:rPr>
        <w:tab/>
        <w:t xml:space="preserve">When the cell monolayers are ready for infection, i.e. on the same day or on the day after seeding, inoculate the virus suspensions to be identified by making tenfold dilution steps directly in the cell culture wells or flasks. For tests using cells cultured on glass cover-slips or slides, the dilutions are made in sterile containers and then used to inoculate the cells. </w:t>
      </w:r>
    </w:p>
    <w:p w14:paraId="0FE2BEA5" w14:textId="77777777" w:rsidR="00E65E42" w:rsidRPr="00D403F5" w:rsidRDefault="00E65E42" w:rsidP="00685B5C">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iii)</w:t>
      </w:r>
      <w:r w:rsidRPr="00D403F5">
        <w:rPr>
          <w:rFonts w:ascii="Arial" w:hAnsi="Arial"/>
          <w:bCs/>
          <w:sz w:val="18"/>
          <w:szCs w:val="18"/>
          <w:lang w:val="en-IE"/>
        </w:rPr>
        <w:tab/>
        <w:t>Dilute the control virus suspension of SVCV in a similar way, in order to obtain a virus titre of about 5000–10,000 PFU ml</w:t>
      </w:r>
      <w:r w:rsidRPr="00D403F5">
        <w:rPr>
          <w:rFonts w:ascii="Arial" w:hAnsi="Arial"/>
          <w:bCs/>
          <w:sz w:val="18"/>
          <w:szCs w:val="18"/>
          <w:vertAlign w:val="superscript"/>
          <w:lang w:val="en-IE"/>
        </w:rPr>
        <w:t>–1</w:t>
      </w:r>
      <w:r w:rsidRPr="00D403F5">
        <w:rPr>
          <w:rFonts w:ascii="Arial" w:hAnsi="Arial"/>
          <w:bCs/>
          <w:sz w:val="18"/>
          <w:szCs w:val="18"/>
          <w:lang w:val="en-IE"/>
        </w:rPr>
        <w:t xml:space="preserve"> in the cell culture medium.</w:t>
      </w:r>
    </w:p>
    <w:p w14:paraId="08B86BDA" w14:textId="77777777" w:rsidR="00E65E42" w:rsidRPr="00D403F5" w:rsidRDefault="00E65E42" w:rsidP="00685B5C">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iv)</w:t>
      </w:r>
      <w:r w:rsidRPr="00D403F5">
        <w:rPr>
          <w:rFonts w:ascii="Arial" w:hAnsi="Arial"/>
          <w:bCs/>
          <w:sz w:val="18"/>
          <w:szCs w:val="18"/>
          <w:lang w:val="en-IE"/>
        </w:rPr>
        <w:tab/>
        <w:t>Incubate at 20°C for 24 hours.</w:t>
      </w:r>
    </w:p>
    <w:p w14:paraId="260E4E9B" w14:textId="77777777" w:rsidR="00E65E42" w:rsidRPr="00D403F5" w:rsidRDefault="00E65E42" w:rsidP="00685B5C">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v)</w:t>
      </w:r>
      <w:r w:rsidRPr="00D403F5">
        <w:rPr>
          <w:rFonts w:ascii="Arial" w:hAnsi="Arial"/>
          <w:bCs/>
          <w:sz w:val="18"/>
          <w:szCs w:val="18"/>
          <w:lang w:val="en-IE"/>
        </w:rPr>
        <w:tab/>
        <w:t>Remove the cell culture medium, rinse once with 0.01 M phosphate-buffered saline (PBS), pH 7.2, then three times briefly with cold acetone (stored at –20°C) for slides or cover-slips or 80% acetone in water or 30% acetone in ethanol, also at –20°C, for cells on plastic substrates. Let the fixative act for 15 minutes. A volume of 0.5 ml is adequate for 2 cm</w:t>
      </w:r>
      <w:r w:rsidRPr="00D403F5">
        <w:rPr>
          <w:rFonts w:ascii="Arial" w:hAnsi="Arial"/>
          <w:bCs/>
          <w:sz w:val="18"/>
          <w:szCs w:val="18"/>
          <w:vertAlign w:val="superscript"/>
          <w:lang w:val="en-IE"/>
        </w:rPr>
        <w:t>2</w:t>
      </w:r>
      <w:r w:rsidRPr="00D403F5">
        <w:rPr>
          <w:rFonts w:ascii="Arial" w:hAnsi="Arial"/>
          <w:bCs/>
          <w:sz w:val="18"/>
          <w:szCs w:val="18"/>
          <w:lang w:val="en-IE"/>
        </w:rPr>
        <w:t xml:space="preserve"> of cell monolayer.</w:t>
      </w:r>
    </w:p>
    <w:p w14:paraId="0DEA63EF" w14:textId="77777777" w:rsidR="00E65E42" w:rsidRPr="00D403F5" w:rsidRDefault="00E65E42" w:rsidP="00685B5C">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vi)</w:t>
      </w:r>
      <w:r w:rsidRPr="00D403F5">
        <w:rPr>
          <w:rFonts w:ascii="Arial" w:hAnsi="Arial"/>
          <w:bCs/>
          <w:sz w:val="18"/>
          <w:szCs w:val="18"/>
          <w:lang w:val="en-IE"/>
        </w:rPr>
        <w:tab/>
        <w:t>Allow the cell monolayers to air-dry for at least 30 minutes and process immediately or freeze at –20°C.</w:t>
      </w:r>
    </w:p>
    <w:p w14:paraId="74087035" w14:textId="77777777" w:rsidR="00E65E42" w:rsidRPr="00D403F5" w:rsidRDefault="00E65E42" w:rsidP="00685B5C">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vii)</w:t>
      </w:r>
      <w:r w:rsidRPr="00D403F5">
        <w:rPr>
          <w:rFonts w:ascii="Arial" w:hAnsi="Arial"/>
          <w:bCs/>
          <w:sz w:val="18"/>
          <w:szCs w:val="18"/>
          <w:lang w:val="en-IE"/>
        </w:rPr>
        <w:tab/>
        <w:t xml:space="preserve">Rehydrate the dried cell monolayers, if they have been stored frozen, by four rinsing steps with </w:t>
      </w:r>
      <w:r w:rsidRPr="00D403F5">
        <w:rPr>
          <w:rFonts w:ascii="Arial" w:hAnsi="Arial"/>
          <w:bCs/>
          <w:strike/>
          <w:sz w:val="18"/>
          <w:szCs w:val="18"/>
          <w:lang w:val="en-IE"/>
        </w:rPr>
        <w:t xml:space="preserve">PBS containing 0.05% Tween 20 </w:t>
      </w:r>
      <w:r w:rsidRPr="00D403F5">
        <w:rPr>
          <w:rFonts w:ascii="Arial" w:hAnsi="Arial"/>
          <w:bCs/>
          <w:sz w:val="18"/>
          <w:szCs w:val="18"/>
          <w:lang w:val="en-IE"/>
        </w:rPr>
        <w:t>PBST and remove this buffer completely after the last rinse. Block with 5% skim milk or 1% bovine serum albumin, in PBST for 30 minutes at 37°C.</w:t>
      </w:r>
    </w:p>
    <w:p w14:paraId="02C59DCA" w14:textId="77777777" w:rsidR="00E65E42" w:rsidRPr="00D403F5" w:rsidRDefault="00E65E42" w:rsidP="00685B5C">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viii)</w:t>
      </w:r>
      <w:r w:rsidRPr="00D403F5">
        <w:rPr>
          <w:rFonts w:ascii="Arial" w:hAnsi="Arial"/>
          <w:bCs/>
          <w:sz w:val="18"/>
          <w:szCs w:val="18"/>
          <w:lang w:val="en-IE"/>
        </w:rPr>
        <w:tab/>
        <w:t>Rinse four times with PBST, 5 minutes for each rinse. The slides or plastic culture plates can be gently agitated during the rinses.</w:t>
      </w:r>
    </w:p>
    <w:p w14:paraId="7242FDA9" w14:textId="77777777" w:rsidR="00E65E42" w:rsidRPr="00D403F5" w:rsidRDefault="00E65E42" w:rsidP="00685B5C">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ix)</w:t>
      </w:r>
      <w:r w:rsidRPr="00D403F5">
        <w:rPr>
          <w:rFonts w:ascii="Arial" w:hAnsi="Arial"/>
          <w:bCs/>
          <w:sz w:val="18"/>
          <w:szCs w:val="18"/>
          <w:lang w:val="en-IE"/>
        </w:rPr>
        <w:tab/>
        <w:t>Prepare a solution of purified antibody or serum to SVCV in PBST, at the appropriate dilution (which has been established previously or as given by the reagent supplier).</w:t>
      </w:r>
    </w:p>
    <w:p w14:paraId="0F0A2DD7" w14:textId="77777777" w:rsidR="00E65E42" w:rsidRPr="00D403F5" w:rsidRDefault="00E65E42" w:rsidP="00685B5C">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x)</w:t>
      </w:r>
      <w:r w:rsidRPr="00D403F5">
        <w:rPr>
          <w:rFonts w:ascii="Arial" w:hAnsi="Arial"/>
          <w:bCs/>
          <w:sz w:val="18"/>
          <w:szCs w:val="18"/>
          <w:lang w:val="en-IE"/>
        </w:rPr>
        <w:tab/>
        <w:t>Incubate the cell monolayers with the antibody solution for 1 hour at 37°C in a humid chamber and do not allow evaporation to occur.</w:t>
      </w:r>
    </w:p>
    <w:p w14:paraId="148D5BD0" w14:textId="77777777" w:rsidR="00E65E42" w:rsidRPr="00D403F5" w:rsidRDefault="00E65E42" w:rsidP="00685B5C">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xi)</w:t>
      </w:r>
      <w:r w:rsidRPr="00D403F5">
        <w:rPr>
          <w:rFonts w:ascii="Arial" w:hAnsi="Arial"/>
          <w:bCs/>
          <w:sz w:val="18"/>
          <w:szCs w:val="18"/>
          <w:lang w:val="en-IE"/>
        </w:rPr>
        <w:tab/>
        <w:t>Rinse four times with PBST.</w:t>
      </w:r>
    </w:p>
    <w:p w14:paraId="0E07F1B7" w14:textId="77777777" w:rsidR="00E65E42" w:rsidRPr="00D403F5" w:rsidRDefault="00E65E42" w:rsidP="00685B5C">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xii)</w:t>
      </w:r>
      <w:r w:rsidRPr="00D403F5">
        <w:rPr>
          <w:rFonts w:ascii="Arial" w:hAnsi="Arial"/>
          <w:bCs/>
          <w:sz w:val="18"/>
          <w:szCs w:val="18"/>
          <w:lang w:val="en-IE"/>
        </w:rPr>
        <w:tab/>
        <w:t>Incubate the cell monolayers with a solution of fluorescein isothiocyanate (FITC)-conjugated antibody to the immunoglobulin used in the first layer and prepared according to the instructions of the supplier. These FITC antibodies are most often rabbit or goat antibodies.</w:t>
      </w:r>
    </w:p>
    <w:p w14:paraId="61D0A0F7" w14:textId="77777777" w:rsidR="00E65E42" w:rsidRPr="00D403F5" w:rsidRDefault="00E65E42" w:rsidP="00685B5C">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xiii)</w:t>
      </w:r>
      <w:r w:rsidRPr="00D403F5">
        <w:rPr>
          <w:rFonts w:ascii="Arial" w:hAnsi="Arial"/>
          <w:bCs/>
          <w:sz w:val="18"/>
          <w:szCs w:val="18"/>
          <w:lang w:val="en-IE"/>
        </w:rPr>
        <w:tab/>
        <w:t>Rinse four times with PBST.</w:t>
      </w:r>
    </w:p>
    <w:p w14:paraId="1BBC195F" w14:textId="77777777" w:rsidR="00E65E42" w:rsidRPr="00D403F5" w:rsidRDefault="00E65E42" w:rsidP="00685B5C">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xiv)</w:t>
      </w:r>
      <w:r w:rsidRPr="00D403F5">
        <w:rPr>
          <w:rFonts w:ascii="Arial" w:hAnsi="Arial"/>
          <w:bCs/>
          <w:sz w:val="18"/>
          <w:szCs w:val="18"/>
          <w:lang w:val="en-IE"/>
        </w:rPr>
        <w:tab/>
        <w:t xml:space="preserve">View the treated cell monolayers on plastic substrates immediately, or mount the slides or cover-slips using glycerol saline at pH 8.5, or a commercially available mountant. </w:t>
      </w:r>
    </w:p>
    <w:p w14:paraId="1A260BBC" w14:textId="77777777" w:rsidR="00E65E42" w:rsidRPr="00D403F5" w:rsidRDefault="00E65E42" w:rsidP="00685B5C">
      <w:pPr>
        <w:spacing w:after="240" w:line="240" w:lineRule="auto"/>
        <w:ind w:left="1134" w:hanging="425"/>
        <w:jc w:val="both"/>
        <w:rPr>
          <w:rFonts w:ascii="Arial" w:hAnsi="Arial"/>
          <w:bCs/>
          <w:sz w:val="18"/>
          <w:szCs w:val="18"/>
          <w:lang w:val="en-IE"/>
        </w:rPr>
      </w:pPr>
      <w:r w:rsidRPr="00D403F5">
        <w:rPr>
          <w:rFonts w:ascii="Arial" w:hAnsi="Arial"/>
          <w:bCs/>
          <w:sz w:val="18"/>
          <w:szCs w:val="18"/>
          <w:lang w:val="en-IE"/>
        </w:rPr>
        <w:t>xv)</w:t>
      </w:r>
      <w:r w:rsidRPr="00D403F5">
        <w:rPr>
          <w:rFonts w:ascii="Arial" w:hAnsi="Arial"/>
          <w:bCs/>
          <w:sz w:val="18"/>
          <w:szCs w:val="18"/>
          <w:lang w:val="en-IE"/>
        </w:rPr>
        <w:tab/>
        <w:t>Examine under incident ultraviolet (UV) light using a microscope with ×10 eye pieces and ×20 or ×40 objective lenses having numerical apertures of &gt;0.65 and &gt;1.3, respectively. Positive and negative controls must be found to give the expected results prior to any other observation.</w:t>
      </w:r>
    </w:p>
    <w:p w14:paraId="409CE3F1" w14:textId="0EFAE8A7" w:rsidR="00E65E42" w:rsidRPr="00BD2E1E" w:rsidRDefault="00223026" w:rsidP="00457C4E">
      <w:pPr>
        <w:pStyle w:val="11"/>
        <w:ind w:left="851" w:hanging="567"/>
        <w:rPr>
          <w:rFonts w:ascii="Ottawa" w:hAnsi="Ottawa"/>
          <w:sz w:val="21"/>
          <w:szCs w:val="21"/>
          <w:lang w:bidi="en-US"/>
        </w:rPr>
      </w:pPr>
      <w:r>
        <w:rPr>
          <w:rFonts w:ascii="Ottawa" w:hAnsi="Ottawa"/>
          <w:sz w:val="21"/>
          <w:szCs w:val="21"/>
          <w:lang w:bidi="en-US"/>
        </w:rPr>
        <w:t>4.10.</w:t>
      </w:r>
      <w:r>
        <w:rPr>
          <w:rFonts w:ascii="Ottawa" w:hAnsi="Ottawa"/>
          <w:sz w:val="21"/>
          <w:szCs w:val="21"/>
          <w:lang w:bidi="en-US"/>
        </w:rPr>
        <w:tab/>
      </w:r>
      <w:r w:rsidR="00E65E42" w:rsidRPr="00BD2E1E">
        <w:rPr>
          <w:rFonts w:ascii="Ottawa" w:hAnsi="Ottawa"/>
          <w:sz w:val="21"/>
          <w:szCs w:val="21"/>
          <w:lang w:bidi="en-US"/>
        </w:rPr>
        <w:t xml:space="preserve">Other </w:t>
      </w:r>
      <w:r w:rsidR="00E65E42" w:rsidRPr="00695BD1">
        <w:rPr>
          <w:rFonts w:ascii="Ottawa" w:hAnsi="Ottawa"/>
          <w:strike/>
          <w:sz w:val="21"/>
          <w:szCs w:val="21"/>
          <w:highlight w:val="yellow"/>
          <w:lang w:bidi="en-US"/>
        </w:rPr>
        <w:t>serological</w:t>
      </w:r>
      <w:r w:rsidR="00E65E42" w:rsidRPr="00695BD1">
        <w:rPr>
          <w:rFonts w:ascii="Ottawa" w:hAnsi="Ottawa"/>
          <w:sz w:val="21"/>
          <w:szCs w:val="21"/>
          <w:lang w:bidi="en-US"/>
        </w:rPr>
        <w:t xml:space="preserve"> </w:t>
      </w:r>
      <w:r w:rsidR="00E65E42" w:rsidRPr="00BD2E1E">
        <w:rPr>
          <w:rFonts w:ascii="Ottawa" w:hAnsi="Ottawa"/>
          <w:sz w:val="21"/>
          <w:szCs w:val="21"/>
          <w:lang w:bidi="en-US"/>
        </w:rPr>
        <w:t>methods</w:t>
      </w:r>
    </w:p>
    <w:p w14:paraId="5DE17AAD" w14:textId="77777777" w:rsidR="00E65E42" w:rsidRDefault="00E65E42" w:rsidP="00457C4E">
      <w:pPr>
        <w:spacing w:after="240"/>
        <w:ind w:left="851"/>
        <w:jc w:val="both"/>
        <w:rPr>
          <w:rFonts w:ascii="Arial" w:hAnsi="Arial"/>
          <w:bCs/>
          <w:sz w:val="18"/>
          <w:szCs w:val="18"/>
          <w:lang w:val="en-IE" w:bidi="en-US"/>
        </w:rPr>
      </w:pPr>
      <w:r w:rsidRPr="00D403F5">
        <w:rPr>
          <w:rFonts w:ascii="Arial" w:hAnsi="Arial"/>
          <w:bCs/>
          <w:sz w:val="18"/>
          <w:szCs w:val="18"/>
          <w:lang w:val="en-IE" w:bidi="en-US"/>
        </w:rPr>
        <w:t>Not applicable</w:t>
      </w:r>
    </w:p>
    <w:p w14:paraId="2E2C2ECB" w14:textId="77777777" w:rsidR="00E65E42" w:rsidRPr="00BD2E1E" w:rsidRDefault="00E65E42" w:rsidP="00E65E42">
      <w:pPr>
        <w:pStyle w:val="10"/>
        <w:rPr>
          <w:rFonts w:ascii="Ottawa" w:hAnsi="Ottawa"/>
          <w:sz w:val="22"/>
          <w:szCs w:val="22"/>
        </w:rPr>
      </w:pPr>
      <w:r w:rsidRPr="00BD2E1E">
        <w:rPr>
          <w:rFonts w:ascii="Ottawa" w:hAnsi="Ottawa"/>
          <w:sz w:val="22"/>
          <w:szCs w:val="22"/>
        </w:rPr>
        <w:t>5.</w:t>
      </w:r>
      <w:r w:rsidRPr="00BD2E1E">
        <w:rPr>
          <w:rFonts w:ascii="Ottawa" w:hAnsi="Ottawa"/>
          <w:sz w:val="22"/>
          <w:szCs w:val="22"/>
        </w:rPr>
        <w:tab/>
        <w:t>Test(s) recommended for surveillance to demonstrate freedom in apparently healthy populations</w:t>
      </w:r>
    </w:p>
    <w:p w14:paraId="700BE375" w14:textId="77777777" w:rsidR="00E65E42" w:rsidRDefault="00E65E42" w:rsidP="00457C4E">
      <w:pPr>
        <w:spacing w:after="240"/>
        <w:ind w:left="284"/>
        <w:jc w:val="both"/>
        <w:rPr>
          <w:rFonts w:ascii="Arial" w:hAnsi="Arial" w:cs="Arial"/>
          <w:sz w:val="18"/>
          <w:szCs w:val="18"/>
          <w:lang w:val="en-IE" w:bidi="en-US"/>
        </w:rPr>
      </w:pPr>
      <w:r w:rsidRPr="00D403F5">
        <w:rPr>
          <w:rFonts w:ascii="Arial" w:hAnsi="Arial" w:cs="Arial"/>
          <w:sz w:val="18"/>
          <w:szCs w:val="18"/>
          <w:lang w:val="en-IE" w:bidi="en-US"/>
        </w:rPr>
        <w:t xml:space="preserve">The method for surveillance </w:t>
      </w:r>
      <w:r w:rsidRPr="00695BD1">
        <w:rPr>
          <w:rFonts w:ascii="Arial" w:hAnsi="Arial" w:cs="Arial"/>
          <w:sz w:val="18"/>
          <w:szCs w:val="18"/>
          <w:highlight w:val="yellow"/>
          <w:u w:val="double"/>
          <w:lang w:val="en-IE" w:bidi="en-US"/>
        </w:rPr>
        <w:t>of apparently healthy populations</w:t>
      </w:r>
      <w:r w:rsidRPr="00695BD1">
        <w:rPr>
          <w:rFonts w:ascii="Arial" w:hAnsi="Arial" w:cs="Arial"/>
          <w:sz w:val="18"/>
          <w:szCs w:val="18"/>
          <w:highlight w:val="yellow"/>
          <w:lang w:val="en-IE" w:bidi="en-US"/>
        </w:rPr>
        <w:t xml:space="preserve"> </w:t>
      </w:r>
      <w:r w:rsidRPr="00695BD1">
        <w:rPr>
          <w:rFonts w:ascii="Arial" w:hAnsi="Arial" w:cs="Arial"/>
          <w:strike/>
          <w:sz w:val="18"/>
          <w:szCs w:val="18"/>
          <w:highlight w:val="yellow"/>
          <w:lang w:val="en-IE" w:bidi="en-US"/>
        </w:rPr>
        <w:t>susceptible fish</w:t>
      </w:r>
      <w:r w:rsidRPr="00695BD1">
        <w:rPr>
          <w:rFonts w:ascii="Arial" w:hAnsi="Arial" w:cs="Arial"/>
          <w:sz w:val="18"/>
          <w:szCs w:val="18"/>
          <w:highlight w:val="yellow"/>
          <w:lang w:val="en-IE" w:bidi="en-US"/>
        </w:rPr>
        <w:t xml:space="preserve"> </w:t>
      </w:r>
      <w:r w:rsidRPr="00695BD1">
        <w:rPr>
          <w:rFonts w:ascii="Arial" w:hAnsi="Arial" w:cs="Arial"/>
          <w:strike/>
          <w:sz w:val="18"/>
          <w:szCs w:val="18"/>
          <w:highlight w:val="yellow"/>
          <w:lang w:val="en-IE" w:bidi="en-US"/>
        </w:rPr>
        <w:t>populations</w:t>
      </w:r>
      <w:r w:rsidRPr="00876AA3">
        <w:rPr>
          <w:rFonts w:ascii="Arial" w:hAnsi="Arial" w:cs="Arial"/>
          <w:strike/>
          <w:sz w:val="18"/>
          <w:szCs w:val="18"/>
          <w:lang w:val="en-IE" w:bidi="en-US"/>
        </w:rPr>
        <w:t xml:space="preserve"> </w:t>
      </w:r>
      <w:r w:rsidRPr="00D403F5">
        <w:rPr>
          <w:rFonts w:ascii="Arial" w:hAnsi="Arial" w:cs="Arial"/>
          <w:sz w:val="18"/>
          <w:szCs w:val="18"/>
          <w:lang w:val="en-IE" w:bidi="en-US"/>
        </w:rPr>
        <w:t xml:space="preserve">for declaration of freedom from infection with SVCV is inoculation of cell culture with tissue </w:t>
      </w:r>
      <w:r w:rsidRPr="00D403F5">
        <w:rPr>
          <w:rFonts w:ascii="Arial" w:hAnsi="Arial" w:cs="Arial"/>
          <w:sz w:val="18"/>
          <w:szCs w:val="18"/>
          <w:u w:val="double"/>
          <w:lang w:val="en-IE" w:bidi="en-US"/>
        </w:rPr>
        <w:t>homogenates</w:t>
      </w:r>
      <w:r w:rsidRPr="00D403F5">
        <w:rPr>
          <w:rFonts w:ascii="Arial" w:hAnsi="Arial" w:cs="Arial"/>
          <w:sz w:val="18"/>
          <w:szCs w:val="18"/>
          <w:lang w:val="en-IE" w:bidi="en-US"/>
        </w:rPr>
        <w:t xml:space="preserve"> </w:t>
      </w:r>
      <w:r w:rsidRPr="00D403F5">
        <w:rPr>
          <w:rFonts w:ascii="Arial" w:hAnsi="Arial" w:cs="Arial"/>
          <w:strike/>
          <w:sz w:val="18"/>
          <w:szCs w:val="18"/>
          <w:lang w:val="en-IE" w:bidi="en-US"/>
        </w:rPr>
        <w:t xml:space="preserve">extracts </w:t>
      </w:r>
      <w:r w:rsidRPr="00D403F5">
        <w:rPr>
          <w:rFonts w:ascii="Arial" w:hAnsi="Arial" w:cs="Arial"/>
          <w:sz w:val="18"/>
          <w:szCs w:val="18"/>
          <w:lang w:val="en-IE" w:bidi="en-US"/>
        </w:rPr>
        <w:t xml:space="preserve">(as described in Section </w:t>
      </w:r>
      <w:r w:rsidRPr="00D403F5">
        <w:rPr>
          <w:rFonts w:ascii="Arial" w:hAnsi="Arial" w:cs="Arial"/>
          <w:sz w:val="18"/>
          <w:szCs w:val="18"/>
          <w:u w:val="double"/>
          <w:lang w:val="en-IE" w:bidi="en-US"/>
        </w:rPr>
        <w:t>4.3</w:t>
      </w:r>
      <w:r w:rsidRPr="00D403F5">
        <w:rPr>
          <w:rFonts w:ascii="Arial" w:hAnsi="Arial" w:cs="Arial"/>
          <w:sz w:val="18"/>
          <w:szCs w:val="18"/>
          <w:lang w:val="en-IE" w:bidi="en-US"/>
        </w:rPr>
        <w:t>.</w:t>
      </w:r>
      <w:r w:rsidRPr="00D403F5">
        <w:rPr>
          <w:rFonts w:ascii="Arial" w:hAnsi="Arial" w:cs="Arial"/>
          <w:strike/>
          <w:sz w:val="18"/>
          <w:szCs w:val="18"/>
          <w:lang w:val="en-IE" w:bidi="en-US"/>
        </w:rPr>
        <w:t xml:space="preserve"> 4.5</w:t>
      </w:r>
      <w:r w:rsidRPr="00D403F5">
        <w:rPr>
          <w:rFonts w:ascii="Arial" w:hAnsi="Arial" w:cs="Arial"/>
          <w:sz w:val="18"/>
          <w:szCs w:val="18"/>
          <w:lang w:val="en-IE" w:bidi="en-US"/>
        </w:rPr>
        <w:t xml:space="preserve">) </w:t>
      </w:r>
      <w:r w:rsidRPr="00D403F5">
        <w:rPr>
          <w:rFonts w:ascii="Arial" w:hAnsi="Arial" w:cs="Arial"/>
          <w:strike/>
          <w:sz w:val="18"/>
          <w:szCs w:val="18"/>
          <w:lang w:val="en-IE" w:bidi="en-US"/>
        </w:rPr>
        <w:t>to demonstrate absence of the virus</w:t>
      </w:r>
      <w:r w:rsidRPr="00D403F5">
        <w:rPr>
          <w:rFonts w:ascii="Arial" w:hAnsi="Arial" w:cs="Arial"/>
          <w:sz w:val="18"/>
          <w:szCs w:val="18"/>
          <w:lang w:val="en-IE" w:bidi="en-US"/>
        </w:rPr>
        <w:t>.</w:t>
      </w:r>
    </w:p>
    <w:p w14:paraId="7E238746" w14:textId="77777777" w:rsidR="00754D87" w:rsidRDefault="00754D87">
      <w:pPr>
        <w:rPr>
          <w:rFonts w:ascii="Ottawa" w:eastAsia="MS Mincho" w:hAnsi="Ottawa" w:cs="Arial"/>
          <w:b/>
          <w:bCs/>
          <w:sz w:val="22"/>
          <w:lang w:eastAsia="fr-FR"/>
        </w:rPr>
      </w:pPr>
      <w:r>
        <w:rPr>
          <w:rFonts w:ascii="Ottawa" w:hAnsi="Ottawa"/>
          <w:sz w:val="22"/>
        </w:rPr>
        <w:br w:type="page"/>
      </w:r>
    </w:p>
    <w:p w14:paraId="0D65B07A" w14:textId="77777777" w:rsidR="00754D87" w:rsidRDefault="00754D87" w:rsidP="00754D87">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1321E4CF" w14:textId="429F8E51" w:rsidR="00E65E42" w:rsidRPr="00BD2E1E" w:rsidRDefault="00E65E42" w:rsidP="00E65E42">
      <w:pPr>
        <w:pStyle w:val="10"/>
        <w:rPr>
          <w:rFonts w:ascii="Ottawa" w:hAnsi="Ottawa"/>
          <w:sz w:val="22"/>
          <w:szCs w:val="22"/>
        </w:rPr>
      </w:pPr>
      <w:r w:rsidRPr="00BD2E1E">
        <w:rPr>
          <w:rFonts w:ascii="Ottawa" w:hAnsi="Ottawa"/>
          <w:sz w:val="22"/>
          <w:szCs w:val="22"/>
        </w:rPr>
        <w:t>6.</w:t>
      </w:r>
      <w:r w:rsidRPr="00BD2E1E">
        <w:rPr>
          <w:rFonts w:ascii="Ottawa" w:hAnsi="Ottawa"/>
          <w:sz w:val="22"/>
          <w:szCs w:val="22"/>
        </w:rPr>
        <w:tab/>
        <w:t>Corroborative diagnostic criteria</w:t>
      </w:r>
    </w:p>
    <w:p w14:paraId="1653A2DB" w14:textId="77777777" w:rsidR="00E65E42" w:rsidRPr="00D403F5" w:rsidRDefault="00E65E42" w:rsidP="00457C4E">
      <w:pPr>
        <w:spacing w:after="240"/>
        <w:ind w:left="284"/>
        <w:jc w:val="both"/>
        <w:rPr>
          <w:rFonts w:ascii="Arial" w:hAnsi="Arial" w:cs="Arial"/>
          <w:sz w:val="18"/>
          <w:szCs w:val="18"/>
          <w:lang w:val="en-IE" w:bidi="en-US"/>
        </w:rPr>
      </w:pPr>
      <w:bookmarkStart w:id="123" w:name="_Hlk20931792"/>
      <w:r w:rsidRPr="00D403F5">
        <w:rPr>
          <w:rFonts w:ascii="Arial" w:hAnsi="Arial" w:cs="Arial"/>
          <w:sz w:val="18"/>
          <w:szCs w:val="18"/>
          <w:lang w:val="en-IE" w:bidi="en-US"/>
        </w:rPr>
        <w:t xml:space="preserve">This Section only addresses the diagnostic test results for detection of infection in the </w:t>
      </w:r>
      <w:r w:rsidRPr="00D403F5">
        <w:rPr>
          <w:rFonts w:ascii="Arial" w:hAnsi="Arial" w:cs="Arial"/>
          <w:strike/>
          <w:sz w:val="18"/>
          <w:szCs w:val="18"/>
          <w:lang w:val="en-IE" w:bidi="en-US"/>
        </w:rPr>
        <w:t>presence</w:t>
      </w:r>
      <w:r w:rsidRPr="00D403F5">
        <w:rPr>
          <w:rFonts w:ascii="Arial" w:hAnsi="Arial" w:cs="Arial"/>
          <w:sz w:val="18"/>
          <w:szCs w:val="18"/>
          <w:lang w:val="en-IE" w:bidi="en-US"/>
        </w:rPr>
        <w:t xml:space="preserve"> </w:t>
      </w:r>
      <w:r w:rsidRPr="00D403F5">
        <w:rPr>
          <w:rFonts w:ascii="Arial" w:hAnsi="Arial" w:cs="Arial"/>
          <w:sz w:val="18"/>
          <w:szCs w:val="18"/>
          <w:u w:val="double"/>
          <w:lang w:val="en-IE" w:bidi="en-US"/>
        </w:rPr>
        <w:t>absence</w:t>
      </w:r>
      <w:r w:rsidRPr="00D403F5">
        <w:rPr>
          <w:rFonts w:ascii="Arial" w:hAnsi="Arial" w:cs="Arial"/>
          <w:sz w:val="18"/>
          <w:szCs w:val="18"/>
          <w:lang w:val="en-IE" w:bidi="en-US"/>
        </w:rPr>
        <w:t xml:space="preserve"> (Section 6.1.) or in the </w:t>
      </w:r>
      <w:r w:rsidRPr="00D403F5">
        <w:rPr>
          <w:rFonts w:ascii="Arial" w:hAnsi="Arial" w:cs="Arial"/>
          <w:sz w:val="18"/>
          <w:szCs w:val="18"/>
          <w:u w:val="double"/>
          <w:lang w:val="en-IE" w:bidi="en-US"/>
        </w:rPr>
        <w:t>presence</w:t>
      </w:r>
      <w:r w:rsidRPr="00D403F5">
        <w:rPr>
          <w:rFonts w:ascii="Arial" w:hAnsi="Arial" w:cs="Arial"/>
          <w:sz w:val="18"/>
          <w:szCs w:val="18"/>
          <w:lang w:val="en-IE" w:bidi="en-US"/>
        </w:rPr>
        <w:t xml:space="preserve"> </w:t>
      </w:r>
      <w:r w:rsidRPr="00D403F5">
        <w:rPr>
          <w:rFonts w:ascii="Arial" w:hAnsi="Arial" w:cs="Arial"/>
          <w:strike/>
          <w:sz w:val="18"/>
          <w:szCs w:val="18"/>
          <w:lang w:val="en-IE" w:bidi="en-US"/>
        </w:rPr>
        <w:t>absence</w:t>
      </w:r>
      <w:r w:rsidRPr="00D403F5">
        <w:rPr>
          <w:rFonts w:ascii="Arial" w:hAnsi="Arial" w:cs="Arial"/>
          <w:sz w:val="18"/>
          <w:szCs w:val="18"/>
          <w:lang w:val="en-IE" w:bidi="en-US"/>
        </w:rPr>
        <w:t xml:space="preserve"> of clinical signs (Section 6.2.) but does not evaluate whether the infectious agent is the cause of the clinical event</w:t>
      </w:r>
      <w:bookmarkEnd w:id="123"/>
      <w:r w:rsidRPr="00D403F5">
        <w:rPr>
          <w:rFonts w:ascii="Arial" w:hAnsi="Arial" w:cs="Arial"/>
          <w:sz w:val="18"/>
          <w:szCs w:val="18"/>
          <w:lang w:val="en-IE" w:bidi="en-US"/>
        </w:rPr>
        <w:t>.</w:t>
      </w:r>
    </w:p>
    <w:p w14:paraId="219B743E" w14:textId="77777777" w:rsidR="00E65E42" w:rsidRPr="00D403F5" w:rsidRDefault="00E65E42" w:rsidP="00457C4E">
      <w:pPr>
        <w:spacing w:after="240"/>
        <w:ind w:left="284"/>
        <w:jc w:val="both"/>
        <w:rPr>
          <w:rFonts w:ascii="Arial" w:hAnsi="Arial" w:cs="Arial"/>
          <w:sz w:val="18"/>
          <w:szCs w:val="18"/>
          <w:lang w:val="en-IE" w:bidi="en-US"/>
        </w:rPr>
      </w:pPr>
      <w:r w:rsidRPr="00D403F5">
        <w:rPr>
          <w:rFonts w:ascii="Arial" w:hAnsi="Arial" w:cs="Arial"/>
          <w:sz w:val="18"/>
          <w:szCs w:val="18"/>
          <w:lang w:val="en-IE" w:bidi="en-US"/>
        </w:rPr>
        <w:t>The case definitions for a suspect and confirmed case have been developed to support decision making related to trade and confirmation of disease status at the country, zone or compartment level. Case definitions for disease confirmation in endemically affected areas may be less stringent. It is recommended that all samples that yield suspect positive test results in an otherwise pathogen-free country or zone or compartment should be referred immediately to the OIE Reference Laboratory for confirmation, whether or not clinical signs are associated with the case. If a laboratory does not have the capacity to undertake the necessary diagnostic tests it should seek advice from the appropriate OIE Reference Laboratory.</w:t>
      </w:r>
    </w:p>
    <w:p w14:paraId="63C72957" w14:textId="77777777" w:rsidR="00E65E42" w:rsidRPr="00BD2E1E" w:rsidRDefault="00E65E42" w:rsidP="00457C4E">
      <w:pPr>
        <w:pStyle w:val="11"/>
        <w:ind w:left="851" w:hanging="567"/>
        <w:rPr>
          <w:rFonts w:ascii="Ottawa" w:hAnsi="Ottawa"/>
          <w:sz w:val="21"/>
          <w:szCs w:val="21"/>
        </w:rPr>
      </w:pPr>
      <w:r w:rsidRPr="00BD2E1E">
        <w:rPr>
          <w:rFonts w:ascii="Ottawa" w:hAnsi="Ottawa"/>
          <w:sz w:val="21"/>
          <w:szCs w:val="21"/>
          <w:lang w:val="en-IE"/>
        </w:rPr>
        <w:t>6</w:t>
      </w:r>
      <w:r w:rsidRPr="00BD2E1E">
        <w:rPr>
          <w:rFonts w:ascii="Ottawa" w:hAnsi="Ottawa"/>
          <w:sz w:val="21"/>
          <w:szCs w:val="21"/>
        </w:rPr>
        <w:t>.1.</w:t>
      </w:r>
      <w:r w:rsidRPr="00BD2E1E">
        <w:rPr>
          <w:rFonts w:ascii="Ottawa" w:hAnsi="Ottawa"/>
          <w:sz w:val="21"/>
          <w:szCs w:val="21"/>
        </w:rPr>
        <w:tab/>
        <w:t>Apparently healthy animals or animals of unknown health</w:t>
      </w:r>
      <w:r w:rsidRPr="00BD2E1E">
        <w:rPr>
          <w:rFonts w:ascii="Ottawa" w:hAnsi="Ottawa"/>
          <w:sz w:val="21"/>
          <w:szCs w:val="21"/>
          <w:lang w:val="en-IE"/>
        </w:rPr>
        <w:t xml:space="preserve"> status</w:t>
      </w:r>
      <w:r w:rsidRPr="00BD2E1E">
        <w:rPr>
          <w:rFonts w:ascii="Ottawa" w:hAnsi="Ottawa"/>
          <w:sz w:val="21"/>
          <w:szCs w:val="21"/>
          <w:vertAlign w:val="superscript"/>
        </w:rPr>
        <w:footnoteReference w:id="1"/>
      </w:r>
    </w:p>
    <w:p w14:paraId="6A89DEFF" w14:textId="77777777" w:rsidR="00E65E42" w:rsidRPr="00D403F5" w:rsidRDefault="00E65E42" w:rsidP="00457C4E">
      <w:pPr>
        <w:spacing w:after="240"/>
        <w:ind w:left="851"/>
        <w:jc w:val="both"/>
        <w:rPr>
          <w:rFonts w:ascii="Arial" w:hAnsi="Arial" w:cs="Arial"/>
          <w:sz w:val="18"/>
          <w:szCs w:val="18"/>
          <w:lang w:val="en-IE"/>
        </w:rPr>
      </w:pPr>
      <w:r w:rsidRPr="00D403F5">
        <w:rPr>
          <w:rFonts w:ascii="Arial" w:hAnsi="Arial" w:cs="Arial"/>
          <w:sz w:val="18"/>
          <w:szCs w:val="18"/>
          <w:lang w:val="en-IE"/>
        </w:rPr>
        <w:t>Apparently healthy populations may fall under suspicion, and therefore be sampled</w:t>
      </w:r>
      <w:r w:rsidRPr="00695BD1">
        <w:rPr>
          <w:rFonts w:ascii="Arial" w:hAnsi="Arial" w:cs="Arial"/>
          <w:sz w:val="18"/>
          <w:szCs w:val="18"/>
          <w:lang w:val="en-IE"/>
        </w:rPr>
        <w:t>, if there is an epidemiological link</w:t>
      </w:r>
      <w:r w:rsidRPr="00E777B4">
        <w:rPr>
          <w:rFonts w:ascii="Arial" w:hAnsi="Arial" w:cs="Arial"/>
          <w:strike/>
          <w:sz w:val="18"/>
          <w:szCs w:val="18"/>
          <w:highlight w:val="yellow"/>
          <w:lang w:val="en-IE"/>
        </w:rPr>
        <w:t>(s)</w:t>
      </w:r>
      <w:r w:rsidRPr="00695BD1">
        <w:rPr>
          <w:rFonts w:ascii="Arial" w:hAnsi="Arial" w:cs="Arial"/>
          <w:sz w:val="18"/>
          <w:szCs w:val="18"/>
          <w:lang w:val="en-IE"/>
        </w:rPr>
        <w:t xml:space="preserve"> to an infected population</w:t>
      </w:r>
      <w:r w:rsidRPr="000F6725">
        <w:rPr>
          <w:rFonts w:ascii="Arial" w:hAnsi="Arial" w:cs="Arial"/>
          <w:sz w:val="18"/>
          <w:szCs w:val="18"/>
          <w:lang w:val="en-IE"/>
        </w:rPr>
        <w:t xml:space="preserve">. </w:t>
      </w:r>
      <w:r w:rsidRPr="00D403F5">
        <w:rPr>
          <w:rFonts w:ascii="Arial" w:hAnsi="Arial"/>
          <w:sz w:val="18"/>
          <w:szCs w:val="18"/>
          <w:lang w:val="en-IE"/>
        </w:rPr>
        <w:t>Geographical proximity to, or movement of animals or animal products or equipment</w:t>
      </w:r>
      <w:r w:rsidRPr="00E777B4">
        <w:rPr>
          <w:rFonts w:ascii="Arial" w:hAnsi="Arial"/>
          <w:strike/>
          <w:sz w:val="18"/>
          <w:szCs w:val="18"/>
          <w:highlight w:val="yellow"/>
          <w:lang w:val="en-IE"/>
        </w:rPr>
        <w:t>, etc.,</w:t>
      </w:r>
      <w:r w:rsidRPr="00D403F5">
        <w:rPr>
          <w:rFonts w:ascii="Arial" w:hAnsi="Arial"/>
          <w:sz w:val="18"/>
          <w:szCs w:val="18"/>
          <w:lang w:val="en-IE"/>
        </w:rPr>
        <w:t xml:space="preserve"> from a known infected population equate to an epidemiological link. Alternatively, healthy populations are sampled in surveys to demonstrate disease freedom. </w:t>
      </w:r>
    </w:p>
    <w:p w14:paraId="463CC829" w14:textId="77777777" w:rsidR="00E65E42" w:rsidRPr="000151EA" w:rsidRDefault="00E65E42" w:rsidP="00457C4E">
      <w:pPr>
        <w:pStyle w:val="111"/>
        <w:spacing w:after="240"/>
        <w:ind w:left="1276" w:hanging="425"/>
        <w:rPr>
          <w:szCs w:val="20"/>
        </w:rPr>
      </w:pPr>
      <w:r w:rsidRPr="000151EA">
        <w:rPr>
          <w:szCs w:val="20"/>
        </w:rPr>
        <w:t>6.1.1.</w:t>
      </w:r>
      <w:r w:rsidRPr="000151EA">
        <w:rPr>
          <w:szCs w:val="20"/>
        </w:rPr>
        <w:tab/>
        <w:t>Definition of suspect case in apparently healthy animals</w:t>
      </w:r>
    </w:p>
    <w:p w14:paraId="24D79979" w14:textId="77777777" w:rsidR="00E65E42" w:rsidRPr="00D403F5" w:rsidRDefault="00E65E42" w:rsidP="00457C4E">
      <w:pPr>
        <w:spacing w:after="240" w:line="240" w:lineRule="auto"/>
        <w:ind w:left="851"/>
        <w:jc w:val="both"/>
        <w:rPr>
          <w:rFonts w:ascii="Arial" w:hAnsi="Arial"/>
          <w:bCs/>
          <w:sz w:val="18"/>
          <w:szCs w:val="18"/>
          <w:lang w:val="en-IE"/>
        </w:rPr>
      </w:pPr>
      <w:r w:rsidRPr="00D403F5">
        <w:rPr>
          <w:rFonts w:ascii="Arial" w:hAnsi="Arial"/>
          <w:bCs/>
          <w:sz w:val="18"/>
          <w:szCs w:val="18"/>
          <w:lang w:val="en-IE"/>
        </w:rPr>
        <w:t xml:space="preserve">The presence of infection </w:t>
      </w:r>
      <w:r w:rsidRPr="00356540">
        <w:rPr>
          <w:rFonts w:ascii="Arial" w:hAnsi="Arial"/>
          <w:bCs/>
          <w:sz w:val="18"/>
          <w:szCs w:val="18"/>
          <w:highlight w:val="yellow"/>
          <w:u w:val="double"/>
          <w:lang w:val="en-IE"/>
        </w:rPr>
        <w:t>with SVCV</w:t>
      </w:r>
      <w:r>
        <w:rPr>
          <w:rFonts w:ascii="Arial" w:hAnsi="Arial"/>
          <w:bCs/>
          <w:sz w:val="18"/>
          <w:szCs w:val="18"/>
          <w:lang w:val="en-IE"/>
        </w:rPr>
        <w:t xml:space="preserve"> </w:t>
      </w:r>
      <w:r w:rsidRPr="00D403F5">
        <w:rPr>
          <w:rFonts w:ascii="Arial" w:hAnsi="Arial"/>
          <w:bCs/>
          <w:sz w:val="18"/>
          <w:szCs w:val="18"/>
          <w:lang w:val="en-IE"/>
        </w:rPr>
        <w:t>shall be suspected if</w:t>
      </w:r>
      <w:r w:rsidRPr="00D403F5">
        <w:rPr>
          <w:rFonts w:ascii="Arial" w:hAnsi="Arial"/>
          <w:bCs/>
          <w:strike/>
          <w:sz w:val="18"/>
          <w:szCs w:val="18"/>
          <w:lang w:val="en-IE"/>
        </w:rPr>
        <w:t>: a positive result has been obtained on at least one animal from</w:t>
      </w:r>
      <w:r w:rsidRPr="00D403F5">
        <w:rPr>
          <w:rFonts w:ascii="Arial" w:hAnsi="Arial"/>
          <w:bCs/>
          <w:sz w:val="18"/>
          <w:szCs w:val="18"/>
          <w:lang w:val="en-IE"/>
        </w:rPr>
        <w:t xml:space="preserve"> at least one of the following </w:t>
      </w:r>
      <w:r w:rsidRPr="00D403F5">
        <w:rPr>
          <w:rFonts w:ascii="Arial" w:hAnsi="Arial"/>
          <w:bCs/>
          <w:strike/>
          <w:sz w:val="18"/>
          <w:szCs w:val="18"/>
          <w:lang w:val="en-IE"/>
        </w:rPr>
        <w:t>diagnostic tests</w:t>
      </w:r>
      <w:r w:rsidRPr="00D403F5">
        <w:rPr>
          <w:rFonts w:ascii="Arial" w:hAnsi="Arial"/>
          <w:bCs/>
          <w:sz w:val="18"/>
          <w:szCs w:val="18"/>
          <w:lang w:val="en-IE"/>
        </w:rPr>
        <w:t xml:space="preserve"> </w:t>
      </w:r>
      <w:r w:rsidRPr="00D403F5">
        <w:rPr>
          <w:rFonts w:ascii="Arial" w:hAnsi="Arial"/>
          <w:bCs/>
          <w:sz w:val="18"/>
          <w:szCs w:val="18"/>
          <w:u w:val="double"/>
          <w:lang w:val="en-IE"/>
        </w:rPr>
        <w:t>criteria is met</w:t>
      </w:r>
      <w:r w:rsidRPr="00D403F5">
        <w:rPr>
          <w:rFonts w:ascii="Arial" w:hAnsi="Arial"/>
          <w:bCs/>
          <w:sz w:val="18"/>
          <w:szCs w:val="18"/>
          <w:lang w:val="en-IE"/>
        </w:rPr>
        <w:t>:</w:t>
      </w:r>
    </w:p>
    <w:p w14:paraId="7E2782DB" w14:textId="77777777" w:rsidR="00E65E42" w:rsidRPr="00D403F5" w:rsidRDefault="00E65E42" w:rsidP="00457C4E">
      <w:pPr>
        <w:spacing w:after="24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 xml:space="preserve">Positive result by </w:t>
      </w:r>
      <w:r w:rsidRPr="00D403F5">
        <w:rPr>
          <w:rFonts w:ascii="Arial" w:eastAsia="MS Mincho" w:hAnsi="Arial" w:cs="Arial"/>
          <w:sz w:val="18"/>
          <w:szCs w:val="18"/>
          <w:u w:val="double"/>
          <w:lang w:val="en-IE"/>
        </w:rPr>
        <w:t>conventional RT-PCR</w:t>
      </w:r>
      <w:r w:rsidRPr="00D403F5">
        <w:rPr>
          <w:rFonts w:ascii="Arial" w:eastAsia="MS Mincho" w:hAnsi="Arial" w:cs="Arial"/>
          <w:sz w:val="18"/>
          <w:szCs w:val="18"/>
          <w:lang w:val="en-IE"/>
        </w:rPr>
        <w:t xml:space="preserve"> </w:t>
      </w:r>
      <w:r w:rsidRPr="00D403F5">
        <w:rPr>
          <w:rFonts w:ascii="Arial" w:eastAsia="MS Mincho" w:hAnsi="Arial" w:cs="Arial"/>
          <w:strike/>
          <w:sz w:val="18"/>
          <w:szCs w:val="18"/>
          <w:lang w:val="en-IE"/>
        </w:rPr>
        <w:t>a recommended molecular or antigen or antibody detection test</w:t>
      </w:r>
    </w:p>
    <w:p w14:paraId="4CD40BD6" w14:textId="77777777" w:rsidR="00E65E42" w:rsidRPr="00D403F5" w:rsidRDefault="00E65E42" w:rsidP="00457C4E">
      <w:pPr>
        <w:spacing w:after="24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r>
      <w:r w:rsidRPr="00695BD1">
        <w:rPr>
          <w:rFonts w:ascii="Arial" w:eastAsia="MS Mincho" w:hAnsi="Arial" w:cs="Arial"/>
          <w:sz w:val="18"/>
          <w:szCs w:val="18"/>
          <w:highlight w:val="yellow"/>
          <w:u w:val="double"/>
          <w:lang w:val="en-IE"/>
        </w:rPr>
        <w:t>SVCV-typical CPE</w:t>
      </w:r>
      <w:r>
        <w:rPr>
          <w:rFonts w:ascii="Arial" w:eastAsia="MS Mincho" w:hAnsi="Arial" w:cs="Arial"/>
          <w:sz w:val="18"/>
          <w:szCs w:val="18"/>
          <w:highlight w:val="yellow"/>
          <w:u w:val="double"/>
          <w:lang w:val="en-IE"/>
        </w:rPr>
        <w:t>.</w:t>
      </w:r>
      <w:r w:rsidRPr="00876AA3">
        <w:rPr>
          <w:rFonts w:ascii="Arial" w:eastAsia="MS Mincho" w:hAnsi="Arial" w:cs="Arial"/>
          <w:sz w:val="18"/>
          <w:szCs w:val="18"/>
          <w:highlight w:val="yellow"/>
          <w:lang w:val="en-IE"/>
        </w:rPr>
        <w:t xml:space="preserve"> </w:t>
      </w:r>
      <w:r w:rsidRPr="00695BD1">
        <w:rPr>
          <w:rFonts w:ascii="Arial" w:eastAsia="MS Mincho" w:hAnsi="Arial" w:cs="Arial"/>
          <w:strike/>
          <w:sz w:val="18"/>
          <w:szCs w:val="18"/>
          <w:highlight w:val="yellow"/>
          <w:lang w:val="en-IE"/>
        </w:rPr>
        <w:t>Cytopathic effect</w:t>
      </w:r>
      <w:r w:rsidRPr="00695BD1">
        <w:rPr>
          <w:rFonts w:ascii="Arial" w:eastAsia="MS Mincho" w:hAnsi="Arial" w:cs="Arial"/>
          <w:strike/>
          <w:sz w:val="18"/>
          <w:szCs w:val="18"/>
          <w:lang w:val="en-IE"/>
        </w:rPr>
        <w:t xml:space="preserve"> </w:t>
      </w:r>
      <w:r w:rsidRPr="00D403F5">
        <w:rPr>
          <w:rFonts w:ascii="Arial" w:eastAsia="MS Mincho" w:hAnsi="Arial" w:cs="Arial"/>
          <w:sz w:val="18"/>
          <w:szCs w:val="18"/>
          <w:lang w:val="en-IE"/>
        </w:rPr>
        <w:t xml:space="preserve">in cell culture </w:t>
      </w:r>
      <w:r w:rsidRPr="00D403F5">
        <w:rPr>
          <w:rFonts w:ascii="Arial" w:eastAsia="MS Mincho" w:hAnsi="Arial" w:cs="Arial"/>
          <w:strike/>
          <w:sz w:val="18"/>
          <w:szCs w:val="18"/>
          <w:lang w:val="en-IE"/>
        </w:rPr>
        <w:t>(viruses)</w:t>
      </w:r>
    </w:p>
    <w:p w14:paraId="7DD6E961" w14:textId="77777777" w:rsidR="00E65E42" w:rsidRPr="000151EA" w:rsidRDefault="00E65E42" w:rsidP="00457C4E">
      <w:pPr>
        <w:pStyle w:val="111"/>
        <w:spacing w:after="240"/>
        <w:ind w:left="1276" w:hanging="425"/>
        <w:rPr>
          <w:szCs w:val="20"/>
        </w:rPr>
      </w:pPr>
      <w:r w:rsidRPr="000151EA">
        <w:rPr>
          <w:szCs w:val="20"/>
        </w:rPr>
        <w:t>6.1.2.</w:t>
      </w:r>
      <w:r w:rsidRPr="000151EA">
        <w:rPr>
          <w:szCs w:val="20"/>
        </w:rPr>
        <w:tab/>
        <w:t>Definition of confirmed case in apparently healthy animals</w:t>
      </w:r>
    </w:p>
    <w:p w14:paraId="38C429DF" w14:textId="77777777" w:rsidR="00E65E42" w:rsidRPr="00D403F5" w:rsidRDefault="00E65E42" w:rsidP="00457C4E">
      <w:pPr>
        <w:spacing w:after="240"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 xml:space="preserve">The presence of infection </w:t>
      </w:r>
      <w:r w:rsidRPr="00876AA3">
        <w:rPr>
          <w:rFonts w:ascii="Arial" w:eastAsia="Times New Roman" w:hAnsi="Arial" w:cs="Times New Roman"/>
          <w:bCs/>
          <w:sz w:val="18"/>
          <w:szCs w:val="18"/>
          <w:highlight w:val="yellow"/>
          <w:u w:val="double"/>
          <w:lang w:val="en-IE"/>
        </w:rPr>
        <w:t>with SVCV is considered to</w:t>
      </w:r>
      <w:r w:rsidRPr="00876AA3">
        <w:rPr>
          <w:rFonts w:ascii="Arial" w:eastAsia="Times New Roman" w:hAnsi="Arial" w:cs="Times New Roman"/>
          <w:bCs/>
          <w:sz w:val="18"/>
          <w:szCs w:val="18"/>
          <w:highlight w:val="yellow"/>
          <w:lang w:val="en-IE"/>
        </w:rPr>
        <w:t xml:space="preserve"> </w:t>
      </w:r>
      <w:r w:rsidRPr="00876AA3">
        <w:rPr>
          <w:rFonts w:ascii="Arial" w:eastAsia="Times New Roman" w:hAnsi="Arial" w:cs="Times New Roman"/>
          <w:bCs/>
          <w:strike/>
          <w:sz w:val="18"/>
          <w:szCs w:val="18"/>
          <w:highlight w:val="yellow"/>
          <w:lang w:val="en-IE"/>
        </w:rPr>
        <w:t>shall</w:t>
      </w:r>
      <w:r w:rsidRPr="00876AA3">
        <w:rPr>
          <w:rFonts w:ascii="Arial" w:eastAsia="Times New Roman" w:hAnsi="Arial" w:cs="Times New Roman"/>
          <w:bCs/>
          <w:strike/>
          <w:sz w:val="18"/>
          <w:szCs w:val="18"/>
          <w:lang w:val="en-IE"/>
        </w:rPr>
        <w:t xml:space="preserve"> </w:t>
      </w:r>
      <w:r w:rsidRPr="00D403F5">
        <w:rPr>
          <w:rFonts w:ascii="Arial" w:eastAsia="Times New Roman" w:hAnsi="Arial" w:cs="Times New Roman"/>
          <w:bCs/>
          <w:sz w:val="18"/>
          <w:szCs w:val="18"/>
          <w:lang w:val="en-IE"/>
        </w:rPr>
        <w:t>be confirmed if</w:t>
      </w:r>
      <w:r w:rsidRPr="00876AA3">
        <w:rPr>
          <w:rFonts w:ascii="Arial" w:eastAsia="Times New Roman" w:hAnsi="Arial" w:cs="Times New Roman"/>
          <w:bCs/>
          <w:sz w:val="18"/>
          <w:szCs w:val="18"/>
          <w:highlight w:val="yellow"/>
          <w:u w:val="double"/>
          <w:lang w:val="en-IE"/>
        </w:rPr>
        <w:t>,</w:t>
      </w:r>
      <w:r w:rsidRPr="00D403F5">
        <w:rPr>
          <w:rFonts w:ascii="Arial" w:eastAsia="Times New Roman" w:hAnsi="Arial" w:cs="Times New Roman"/>
          <w:bCs/>
          <w:sz w:val="18"/>
          <w:szCs w:val="18"/>
          <w:lang w:val="en-IE"/>
        </w:rPr>
        <w:t xml:space="preserve"> </w:t>
      </w:r>
      <w:r w:rsidRPr="00876AA3">
        <w:rPr>
          <w:rFonts w:ascii="Arial" w:eastAsia="Times New Roman" w:hAnsi="Arial" w:cs="Times New Roman"/>
          <w:bCs/>
          <w:sz w:val="18"/>
          <w:szCs w:val="18"/>
          <w:highlight w:val="yellow"/>
          <w:u w:val="double"/>
          <w:lang w:val="en-IE"/>
        </w:rPr>
        <w:t xml:space="preserve">in addition to the criteria in </w:t>
      </w:r>
      <w:r w:rsidRPr="00876AA3">
        <w:rPr>
          <w:rFonts w:ascii="Arial" w:eastAsia="Times New Roman" w:hAnsi="Arial" w:cs="Times New Roman"/>
          <w:bCs/>
          <w:spacing w:val="-2"/>
          <w:sz w:val="18"/>
          <w:szCs w:val="18"/>
          <w:highlight w:val="yellow"/>
          <w:u w:val="double"/>
          <w:lang w:val="en-IE"/>
        </w:rPr>
        <w:t>Section 6.1.1.</w:t>
      </w:r>
      <w:r w:rsidRPr="00876AA3">
        <w:rPr>
          <w:rFonts w:ascii="Arial" w:eastAsia="Times New Roman" w:hAnsi="Arial" w:cs="Times New Roman"/>
          <w:bCs/>
          <w:sz w:val="18"/>
          <w:szCs w:val="18"/>
          <w:highlight w:val="yellow"/>
          <w:u w:val="double"/>
          <w:lang w:val="en-IE"/>
        </w:rPr>
        <w:t>,</w:t>
      </w:r>
      <w:r w:rsidRPr="004253F3">
        <w:rPr>
          <w:rFonts w:ascii="Arial" w:eastAsia="Times New Roman" w:hAnsi="Arial" w:cs="Times New Roman"/>
          <w:bCs/>
          <w:sz w:val="18"/>
          <w:szCs w:val="18"/>
          <w:lang w:val="en-IE"/>
        </w:rPr>
        <w:t xml:space="preserve"> </w:t>
      </w:r>
      <w:r w:rsidRPr="00D403F5">
        <w:rPr>
          <w:rFonts w:ascii="Arial" w:hAnsi="Arial"/>
          <w:bCs/>
          <w:strike/>
          <w:sz w:val="18"/>
          <w:szCs w:val="18"/>
          <w:lang w:val="en-IE"/>
        </w:rPr>
        <w:t>positive results has been obtained on at least one animal from two test used in the following combination</w:t>
      </w:r>
      <w:r w:rsidRPr="00D403F5">
        <w:rPr>
          <w:rFonts w:ascii="Arial" w:hAnsi="Arial"/>
          <w:bCs/>
          <w:sz w:val="18"/>
          <w:szCs w:val="18"/>
          <w:lang w:val="en-IE"/>
        </w:rPr>
        <w:t xml:space="preserve"> </w:t>
      </w:r>
      <w:r w:rsidRPr="00D403F5">
        <w:rPr>
          <w:rFonts w:ascii="Arial" w:hAnsi="Arial"/>
          <w:bCs/>
          <w:sz w:val="18"/>
          <w:szCs w:val="18"/>
          <w:u w:val="double"/>
          <w:lang w:val="en-IE"/>
        </w:rPr>
        <w:t>the following criterion is met</w:t>
      </w:r>
      <w:r w:rsidRPr="00D403F5">
        <w:rPr>
          <w:rFonts w:ascii="Arial" w:eastAsia="Times New Roman" w:hAnsi="Arial" w:cs="Times New Roman"/>
          <w:bCs/>
          <w:sz w:val="18"/>
          <w:szCs w:val="18"/>
          <w:lang w:val="en-IE"/>
        </w:rPr>
        <w:t>:</w:t>
      </w:r>
    </w:p>
    <w:p w14:paraId="58871EC3" w14:textId="77777777" w:rsidR="00E65E42" w:rsidRPr="00D403F5" w:rsidRDefault="00E65E42" w:rsidP="00457C4E">
      <w:pPr>
        <w:spacing w:after="240" w:line="240" w:lineRule="auto"/>
        <w:ind w:left="1134" w:hanging="283"/>
        <w:jc w:val="both"/>
        <w:rPr>
          <w:rFonts w:ascii="Arial" w:hAnsi="Arial"/>
          <w:bCs/>
          <w:sz w:val="18"/>
          <w:szCs w:val="18"/>
          <w:lang w:val="en-IE"/>
        </w:rPr>
      </w:pPr>
      <w:r w:rsidRPr="00D403F5">
        <w:rPr>
          <w:rFonts w:ascii="Arial" w:hAnsi="Arial"/>
          <w:bCs/>
          <w:sz w:val="18"/>
          <w:szCs w:val="18"/>
          <w:lang w:val="en-IE"/>
        </w:rPr>
        <w:t>i)</w:t>
      </w:r>
      <w:r w:rsidRPr="00D403F5">
        <w:rPr>
          <w:rFonts w:ascii="Arial" w:hAnsi="Arial"/>
          <w:bCs/>
          <w:sz w:val="18"/>
          <w:szCs w:val="18"/>
          <w:lang w:val="en-IE"/>
        </w:rPr>
        <w:tab/>
      </w:r>
      <w:bookmarkStart w:id="124" w:name="_Hlk20729784"/>
      <w:r w:rsidRPr="00876AA3">
        <w:rPr>
          <w:rFonts w:ascii="Arial" w:hAnsi="Arial"/>
          <w:bCs/>
          <w:strike/>
          <w:sz w:val="18"/>
          <w:szCs w:val="18"/>
          <w:highlight w:val="yellow"/>
          <w:lang w:val="en-IE"/>
        </w:rPr>
        <w:t>Pathogen isolation</w:t>
      </w:r>
      <w:r w:rsidRPr="00876AA3">
        <w:rPr>
          <w:rFonts w:ascii="Arial" w:hAnsi="Arial"/>
          <w:bCs/>
          <w:strike/>
          <w:sz w:val="18"/>
          <w:szCs w:val="18"/>
          <w:lang w:val="en-IE"/>
        </w:rPr>
        <w:t xml:space="preserve"> AND Conventional </w:t>
      </w:r>
      <w:r w:rsidRPr="00876AA3">
        <w:rPr>
          <w:rFonts w:ascii="Arial" w:hAnsi="Arial"/>
          <w:bCs/>
          <w:sz w:val="18"/>
          <w:szCs w:val="18"/>
          <w:highlight w:val="yellow"/>
          <w:u w:val="double"/>
          <w:lang w:val="en-IE"/>
        </w:rPr>
        <w:t>SVCV-typical CPE</w:t>
      </w:r>
      <w:r w:rsidRPr="00876AA3">
        <w:rPr>
          <w:rFonts w:ascii="Arial" w:hAnsi="Arial"/>
          <w:bCs/>
          <w:sz w:val="18"/>
          <w:szCs w:val="18"/>
          <w:u w:val="double"/>
          <w:lang w:val="en-IE"/>
        </w:rPr>
        <w:t xml:space="preserve"> in cell culture </w:t>
      </w:r>
      <w:r w:rsidRPr="00876AA3">
        <w:rPr>
          <w:rFonts w:ascii="Arial" w:hAnsi="Arial"/>
          <w:bCs/>
          <w:sz w:val="18"/>
          <w:szCs w:val="18"/>
          <w:highlight w:val="yellow"/>
          <w:u w:val="double"/>
          <w:lang w:val="en-IE"/>
        </w:rPr>
        <w:t>followed by</w:t>
      </w:r>
      <w:r w:rsidRPr="00876AA3">
        <w:rPr>
          <w:rFonts w:ascii="Arial" w:hAnsi="Arial"/>
          <w:bCs/>
          <w:sz w:val="18"/>
          <w:szCs w:val="18"/>
          <w:u w:val="double"/>
          <w:lang w:val="en-IE"/>
        </w:rPr>
        <w:t xml:space="preserve"> virus identification by conventional RT-</w:t>
      </w:r>
      <w:r w:rsidRPr="00876AA3">
        <w:rPr>
          <w:rFonts w:ascii="Arial" w:hAnsi="Arial"/>
          <w:bCs/>
          <w:sz w:val="18"/>
          <w:szCs w:val="18"/>
          <w:lang w:val="en-IE"/>
        </w:rPr>
        <w:t xml:space="preserve">PCR test </w:t>
      </w:r>
      <w:r w:rsidRPr="00876AA3">
        <w:rPr>
          <w:rFonts w:ascii="Arial" w:hAnsi="Arial"/>
          <w:bCs/>
          <w:strike/>
          <w:sz w:val="18"/>
          <w:szCs w:val="18"/>
          <w:highlight w:val="yellow"/>
          <w:lang w:val="en-IE"/>
        </w:rPr>
        <w:t>followed by</w:t>
      </w:r>
      <w:r w:rsidRPr="006675C5">
        <w:rPr>
          <w:rFonts w:ascii="Arial" w:hAnsi="Arial"/>
          <w:bCs/>
          <w:strike/>
          <w:sz w:val="18"/>
          <w:szCs w:val="18"/>
          <w:highlight w:val="yellow"/>
          <w:lang w:val="en-IE"/>
        </w:rPr>
        <w:t xml:space="preserve"> </w:t>
      </w:r>
      <w:r w:rsidRPr="00E777B4">
        <w:rPr>
          <w:rFonts w:ascii="Arial" w:hAnsi="Arial"/>
          <w:bCs/>
          <w:sz w:val="18"/>
          <w:szCs w:val="18"/>
          <w:lang w:val="en-IE"/>
        </w:rPr>
        <w:t xml:space="preserve">and </w:t>
      </w:r>
      <w:r w:rsidRPr="00876AA3">
        <w:rPr>
          <w:rFonts w:ascii="Arial" w:hAnsi="Arial"/>
          <w:bCs/>
          <w:sz w:val="18"/>
          <w:szCs w:val="18"/>
          <w:lang w:val="en-IE"/>
        </w:rPr>
        <w:t>amplicon sequencing</w:t>
      </w:r>
      <w:bookmarkEnd w:id="124"/>
      <w:r>
        <w:rPr>
          <w:rFonts w:ascii="Arial" w:hAnsi="Arial"/>
          <w:bCs/>
          <w:sz w:val="18"/>
          <w:szCs w:val="18"/>
          <w:lang w:val="en-IE"/>
        </w:rPr>
        <w:t>.</w:t>
      </w:r>
    </w:p>
    <w:p w14:paraId="52B3F502" w14:textId="77777777" w:rsidR="00E65E42" w:rsidRPr="00D403F5" w:rsidRDefault="00E65E42" w:rsidP="00457C4E">
      <w:pPr>
        <w:spacing w:after="240"/>
        <w:ind w:left="851"/>
        <w:jc w:val="both"/>
        <w:rPr>
          <w:rFonts w:ascii="Arial" w:hAnsi="Arial"/>
          <w:bCs/>
          <w:sz w:val="18"/>
          <w:szCs w:val="18"/>
          <w:lang w:val="en-IE"/>
        </w:rPr>
      </w:pPr>
      <w:r w:rsidRPr="00D403F5">
        <w:rPr>
          <w:rFonts w:ascii="Arial" w:hAnsi="Arial"/>
          <w:bCs/>
          <w:sz w:val="18"/>
          <w:szCs w:val="18"/>
          <w:lang w:val="en-IE"/>
        </w:rPr>
        <w:t xml:space="preserve">Reference Laboratories should be contacted for specimen referral when testing laboratories cannot undertake any of the </w:t>
      </w:r>
      <w:r w:rsidRPr="00457C4E">
        <w:rPr>
          <w:rFonts w:ascii="Arial" w:hAnsi="Arial"/>
          <w:sz w:val="18"/>
          <w:szCs w:val="18"/>
          <w:lang w:val="en-IE"/>
        </w:rPr>
        <w:t>recommended</w:t>
      </w:r>
      <w:r w:rsidRPr="00D403F5">
        <w:rPr>
          <w:rFonts w:ascii="Arial" w:hAnsi="Arial"/>
          <w:bCs/>
          <w:sz w:val="18"/>
          <w:szCs w:val="18"/>
          <w:lang w:val="en-IE"/>
        </w:rPr>
        <w:t xml:space="preserve"> test methods and testing is being undertaken that will result in notification to the OIE.</w:t>
      </w:r>
    </w:p>
    <w:p w14:paraId="5CCB2338" w14:textId="77777777" w:rsidR="00E65E42" w:rsidRPr="00BD2E1E" w:rsidRDefault="00E65E42" w:rsidP="00457C4E">
      <w:pPr>
        <w:pStyle w:val="11"/>
        <w:ind w:left="851" w:hanging="567"/>
        <w:rPr>
          <w:rFonts w:ascii="Ottawa" w:hAnsi="Ottawa"/>
          <w:sz w:val="21"/>
          <w:szCs w:val="21"/>
        </w:rPr>
      </w:pPr>
      <w:r w:rsidRPr="00BD2E1E">
        <w:rPr>
          <w:rFonts w:ascii="Ottawa" w:hAnsi="Ottawa"/>
          <w:sz w:val="21"/>
          <w:szCs w:val="21"/>
        </w:rPr>
        <w:t>6.2.</w:t>
      </w:r>
      <w:r w:rsidRPr="00BD2E1E">
        <w:rPr>
          <w:rFonts w:ascii="Ottawa" w:hAnsi="Ottawa"/>
          <w:sz w:val="21"/>
          <w:szCs w:val="21"/>
        </w:rPr>
        <w:tab/>
        <w:t>Clinically affected animals</w:t>
      </w:r>
    </w:p>
    <w:p w14:paraId="7812FED8" w14:textId="77777777" w:rsidR="00E65E42" w:rsidRPr="00D403F5" w:rsidRDefault="00E65E42" w:rsidP="00457C4E">
      <w:pPr>
        <w:spacing w:after="240" w:line="240" w:lineRule="auto"/>
        <w:ind w:left="851"/>
        <w:jc w:val="both"/>
        <w:rPr>
          <w:rFonts w:ascii="Arial" w:hAnsi="Arial"/>
          <w:sz w:val="18"/>
          <w:szCs w:val="18"/>
          <w:lang w:val="en-IE"/>
        </w:rPr>
      </w:pPr>
      <w:r w:rsidRPr="00D403F5">
        <w:rPr>
          <w:rFonts w:ascii="Arial" w:hAnsi="Arial"/>
          <w:sz w:val="18"/>
          <w:szCs w:val="18"/>
          <w:lang w:val="en-IE"/>
        </w:rPr>
        <w:t xml:space="preserve">Clinical signs are not pathognomonic for </w:t>
      </w:r>
      <w:r w:rsidRPr="00D403F5">
        <w:rPr>
          <w:rFonts w:ascii="Arial" w:hAnsi="Arial"/>
          <w:sz w:val="18"/>
          <w:szCs w:val="18"/>
          <w:u w:val="double"/>
          <w:lang w:val="en-IE"/>
        </w:rPr>
        <w:t>infection with SVCV</w:t>
      </w:r>
      <w:r w:rsidRPr="00D403F5">
        <w:rPr>
          <w:rFonts w:ascii="Arial" w:hAnsi="Arial"/>
          <w:strike/>
          <w:sz w:val="18"/>
          <w:szCs w:val="18"/>
          <w:lang w:val="en-IE"/>
        </w:rPr>
        <w:t xml:space="preserve"> a single disease</w:t>
      </w:r>
      <w:r w:rsidRPr="00D403F5">
        <w:rPr>
          <w:rFonts w:ascii="Arial" w:hAnsi="Arial"/>
          <w:sz w:val="18"/>
          <w:szCs w:val="18"/>
          <w:lang w:val="en-IE"/>
        </w:rPr>
        <w:t xml:space="preserve">; however they may narrow the range of possible diagnoses. </w:t>
      </w:r>
      <w:r w:rsidRPr="00D403F5">
        <w:rPr>
          <w:rFonts w:ascii="Arial" w:hAnsi="Arial"/>
          <w:strike/>
          <w:sz w:val="18"/>
          <w:szCs w:val="18"/>
          <w:lang w:val="en-IE"/>
        </w:rPr>
        <w:t>[For many diseases, especially those affecting mollusc, ‘clinical signs’ are extremely limited and mortality may be the only or most dominant observation.]</w:t>
      </w:r>
    </w:p>
    <w:p w14:paraId="0BC7AD11" w14:textId="77777777" w:rsidR="00E65E42" w:rsidRPr="000151EA" w:rsidRDefault="00E65E42" w:rsidP="00457C4E">
      <w:pPr>
        <w:pStyle w:val="111"/>
        <w:spacing w:after="240"/>
        <w:ind w:left="1276" w:hanging="425"/>
        <w:rPr>
          <w:szCs w:val="20"/>
        </w:rPr>
      </w:pPr>
      <w:r w:rsidRPr="000151EA">
        <w:rPr>
          <w:szCs w:val="20"/>
        </w:rPr>
        <w:t>6.2.1.</w:t>
      </w:r>
      <w:r w:rsidRPr="000151EA">
        <w:rPr>
          <w:szCs w:val="20"/>
        </w:rPr>
        <w:tab/>
        <w:t>Definition of suspect case in clinically affected animals</w:t>
      </w:r>
    </w:p>
    <w:p w14:paraId="06471DC0" w14:textId="77777777" w:rsidR="00E65E42" w:rsidRPr="00D403F5" w:rsidRDefault="00E65E42" w:rsidP="00457C4E">
      <w:pPr>
        <w:spacing w:after="240" w:line="240" w:lineRule="auto"/>
        <w:ind w:left="851"/>
        <w:jc w:val="both"/>
        <w:rPr>
          <w:rFonts w:ascii="Arial" w:hAnsi="Arial"/>
          <w:bCs/>
          <w:sz w:val="18"/>
          <w:szCs w:val="18"/>
          <w:lang w:val="en-IE"/>
        </w:rPr>
      </w:pPr>
      <w:r w:rsidRPr="00D403F5">
        <w:rPr>
          <w:rFonts w:ascii="Arial" w:hAnsi="Arial"/>
          <w:bCs/>
          <w:sz w:val="18"/>
          <w:szCs w:val="18"/>
          <w:lang w:val="en-IE"/>
        </w:rPr>
        <w:t xml:space="preserve">The presence of infection </w:t>
      </w:r>
      <w:r w:rsidRPr="00356540">
        <w:rPr>
          <w:rFonts w:ascii="Arial" w:hAnsi="Arial"/>
          <w:bCs/>
          <w:sz w:val="18"/>
          <w:szCs w:val="18"/>
          <w:highlight w:val="yellow"/>
          <w:u w:val="double"/>
          <w:lang w:val="en-IE"/>
        </w:rPr>
        <w:t>with SVCV</w:t>
      </w:r>
      <w:r>
        <w:rPr>
          <w:rFonts w:ascii="Arial" w:hAnsi="Arial"/>
          <w:bCs/>
          <w:sz w:val="18"/>
          <w:szCs w:val="18"/>
          <w:lang w:val="en-IE"/>
        </w:rPr>
        <w:t xml:space="preserve"> </w:t>
      </w:r>
      <w:r w:rsidRPr="00D403F5">
        <w:rPr>
          <w:rFonts w:ascii="Arial" w:hAnsi="Arial"/>
          <w:bCs/>
          <w:sz w:val="18"/>
          <w:szCs w:val="18"/>
          <w:lang w:val="en-IE"/>
        </w:rPr>
        <w:t xml:space="preserve">shall be suspected if at least one of the following criteria </w:t>
      </w:r>
      <w:r w:rsidRPr="00D403F5">
        <w:rPr>
          <w:rFonts w:ascii="Arial" w:hAnsi="Arial"/>
          <w:bCs/>
          <w:sz w:val="18"/>
          <w:szCs w:val="18"/>
          <w:u w:val="double"/>
          <w:lang w:val="en-IE"/>
        </w:rPr>
        <w:t>is</w:t>
      </w:r>
      <w:r w:rsidRPr="00D403F5">
        <w:rPr>
          <w:rFonts w:ascii="Arial" w:hAnsi="Arial"/>
          <w:bCs/>
          <w:sz w:val="18"/>
          <w:szCs w:val="18"/>
          <w:lang w:val="en-IE"/>
        </w:rPr>
        <w:t xml:space="preserve"> </w:t>
      </w:r>
      <w:r w:rsidRPr="00D403F5">
        <w:rPr>
          <w:rFonts w:ascii="Arial" w:hAnsi="Arial"/>
          <w:bCs/>
          <w:strike/>
          <w:sz w:val="18"/>
          <w:szCs w:val="18"/>
          <w:lang w:val="en-IE"/>
        </w:rPr>
        <w:t>are</w:t>
      </w:r>
      <w:r w:rsidRPr="00356540">
        <w:rPr>
          <w:rFonts w:ascii="Arial" w:hAnsi="Arial"/>
          <w:bCs/>
          <w:strike/>
          <w:sz w:val="18"/>
          <w:szCs w:val="18"/>
          <w:lang w:val="en-IE"/>
        </w:rPr>
        <w:t xml:space="preserve"> </w:t>
      </w:r>
      <w:r w:rsidRPr="00D403F5">
        <w:rPr>
          <w:rFonts w:ascii="Arial" w:hAnsi="Arial"/>
          <w:bCs/>
          <w:sz w:val="18"/>
          <w:szCs w:val="18"/>
          <w:lang w:val="en-IE"/>
        </w:rPr>
        <w:t>met:</w:t>
      </w:r>
    </w:p>
    <w:p w14:paraId="32A0643D" w14:textId="77777777" w:rsidR="00754D87" w:rsidRDefault="00754D87">
      <w:pPr>
        <w:rPr>
          <w:u w:val="single"/>
        </w:rPr>
      </w:pPr>
      <w:r>
        <w:rPr>
          <w:u w:val="single"/>
        </w:rPr>
        <w:br w:type="page"/>
      </w:r>
    </w:p>
    <w:p w14:paraId="7B2BEBD5" w14:textId="4ED092E6" w:rsidR="00754D87" w:rsidRDefault="00754D87" w:rsidP="00754D87">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714D078B" w14:textId="77777777" w:rsidR="00E65E42" w:rsidRPr="00D403F5" w:rsidRDefault="00E65E42" w:rsidP="00D4382C">
      <w:pPr>
        <w:spacing w:after="24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r>
      <w:r w:rsidRPr="00D403F5">
        <w:rPr>
          <w:rFonts w:ascii="Arial" w:eastAsia="MS Mincho" w:hAnsi="Arial" w:cs="Arial"/>
          <w:sz w:val="18"/>
          <w:szCs w:val="18"/>
          <w:lang w:val="en-IE" w:bidi="en-US"/>
        </w:rPr>
        <w:t>Gross pathology or clinical signs associated with the disease as described in this chapter, with or without elevated mortality</w:t>
      </w:r>
    </w:p>
    <w:p w14:paraId="33275390" w14:textId="77777777" w:rsidR="00E65E42" w:rsidRPr="00D403F5" w:rsidRDefault="00E65E42" w:rsidP="00D4382C">
      <w:pPr>
        <w:spacing w:after="24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r>
      <w:r w:rsidRPr="00E015D1">
        <w:rPr>
          <w:rFonts w:ascii="Arial" w:eastAsia="MS Mincho" w:hAnsi="Arial" w:cs="Arial"/>
          <w:sz w:val="18"/>
          <w:szCs w:val="18"/>
          <w:lang w:val="en-IE"/>
        </w:rPr>
        <w:t xml:space="preserve">Positive result by </w:t>
      </w:r>
      <w:r w:rsidRPr="00E015D1">
        <w:rPr>
          <w:rFonts w:ascii="Arial" w:eastAsia="MS Mincho" w:hAnsi="Arial" w:cs="Arial"/>
          <w:sz w:val="18"/>
          <w:szCs w:val="18"/>
          <w:u w:val="double"/>
          <w:lang w:val="en-IE"/>
        </w:rPr>
        <w:t xml:space="preserve">conventional </w:t>
      </w:r>
      <w:r w:rsidRPr="00E777B4">
        <w:rPr>
          <w:rFonts w:ascii="Arial" w:eastAsia="MS Mincho" w:hAnsi="Arial" w:cs="Arial"/>
          <w:sz w:val="18"/>
          <w:szCs w:val="18"/>
          <w:highlight w:val="yellow"/>
          <w:u w:val="double"/>
          <w:lang w:val="en-IE"/>
        </w:rPr>
        <w:t>RT-</w:t>
      </w:r>
      <w:r w:rsidRPr="00E015D1">
        <w:rPr>
          <w:rFonts w:ascii="Arial" w:eastAsia="MS Mincho" w:hAnsi="Arial" w:cs="Arial"/>
          <w:sz w:val="18"/>
          <w:szCs w:val="18"/>
          <w:u w:val="double"/>
          <w:lang w:val="en-IE"/>
        </w:rPr>
        <w:t>PCR</w:t>
      </w:r>
      <w:r w:rsidRPr="00E015D1">
        <w:rPr>
          <w:rFonts w:ascii="Arial" w:eastAsia="MS Mincho" w:hAnsi="Arial" w:cs="Arial"/>
          <w:sz w:val="18"/>
          <w:szCs w:val="18"/>
          <w:lang w:val="en-IE"/>
        </w:rPr>
        <w:t xml:space="preserve"> </w:t>
      </w:r>
      <w:r w:rsidRPr="00E015D1">
        <w:rPr>
          <w:rFonts w:ascii="Arial" w:eastAsia="MS Mincho" w:hAnsi="Arial" w:cs="Arial"/>
          <w:strike/>
          <w:sz w:val="18"/>
          <w:szCs w:val="18"/>
          <w:lang w:val="en-IE"/>
        </w:rPr>
        <w:t>a recommended molecular or antigen or antibody detection test on at least one animal</w:t>
      </w:r>
    </w:p>
    <w:p w14:paraId="06BD7CBB" w14:textId="77777777" w:rsidR="00E65E42" w:rsidRDefault="00E65E42" w:rsidP="00D4382C">
      <w:pPr>
        <w:spacing w:after="240" w:line="240" w:lineRule="auto"/>
        <w:ind w:left="1276" w:hanging="425"/>
        <w:jc w:val="both"/>
        <w:rPr>
          <w:rFonts w:ascii="Arial" w:eastAsia="MS Mincho" w:hAnsi="Arial" w:cs="Arial"/>
          <w:sz w:val="18"/>
          <w:szCs w:val="18"/>
          <w:u w:val="double"/>
          <w:lang w:val="en-IE"/>
        </w:rPr>
      </w:pPr>
      <w:r w:rsidRPr="00D403F5">
        <w:rPr>
          <w:rFonts w:ascii="Arial" w:eastAsia="MS Mincho" w:hAnsi="Arial" w:cs="Arial"/>
          <w:sz w:val="18"/>
          <w:szCs w:val="18"/>
          <w:u w:val="double"/>
          <w:lang w:val="en-IE"/>
        </w:rPr>
        <w:t>iii)</w:t>
      </w:r>
      <w:r w:rsidRPr="00223026">
        <w:rPr>
          <w:rFonts w:ascii="Arial" w:eastAsia="MS Mincho" w:hAnsi="Arial" w:cs="Arial"/>
          <w:sz w:val="18"/>
          <w:szCs w:val="18"/>
          <w:lang w:val="en-IE"/>
        </w:rPr>
        <w:tab/>
      </w:r>
      <w:r w:rsidRPr="00D403F5">
        <w:rPr>
          <w:rFonts w:ascii="Arial" w:eastAsia="MS Mincho" w:hAnsi="Arial" w:cs="Arial"/>
          <w:sz w:val="18"/>
          <w:szCs w:val="18"/>
          <w:u w:val="double"/>
          <w:lang w:val="en-IE"/>
        </w:rPr>
        <w:t>Positive</w:t>
      </w:r>
      <w:r w:rsidRPr="00E777B4">
        <w:rPr>
          <w:rFonts w:ascii="Arial" w:eastAsia="MS Mincho" w:hAnsi="Arial" w:cs="Arial"/>
          <w:strike/>
          <w:sz w:val="18"/>
          <w:szCs w:val="18"/>
          <w:highlight w:val="yellow"/>
          <w:u w:val="double"/>
          <w:lang w:val="en-IE"/>
        </w:rPr>
        <w:t>s</w:t>
      </w:r>
      <w:r w:rsidRPr="00D403F5">
        <w:rPr>
          <w:rFonts w:ascii="Arial" w:eastAsia="MS Mincho" w:hAnsi="Arial" w:cs="Arial"/>
          <w:sz w:val="18"/>
          <w:szCs w:val="18"/>
          <w:u w:val="double"/>
          <w:lang w:val="en-IE"/>
        </w:rPr>
        <w:t xml:space="preserve"> result by antigen ELISA </w:t>
      </w:r>
      <w:r w:rsidRPr="00E777B4">
        <w:rPr>
          <w:rFonts w:ascii="Arial" w:eastAsia="MS Mincho" w:hAnsi="Arial" w:cs="Arial"/>
          <w:strike/>
          <w:sz w:val="18"/>
          <w:szCs w:val="18"/>
          <w:highlight w:val="yellow"/>
          <w:u w:val="double"/>
          <w:lang w:val="en-IE"/>
        </w:rPr>
        <w:t>or IFAT or immunohistochemistry</w:t>
      </w:r>
    </w:p>
    <w:p w14:paraId="2E66B500" w14:textId="77777777" w:rsidR="00E65E42" w:rsidRPr="00D403F5" w:rsidRDefault="00E65E42" w:rsidP="00D4382C">
      <w:pPr>
        <w:spacing w:after="240" w:line="240" w:lineRule="auto"/>
        <w:ind w:left="1276" w:hanging="425"/>
        <w:jc w:val="both"/>
        <w:rPr>
          <w:rFonts w:ascii="Arial" w:eastAsia="MS Mincho" w:hAnsi="Arial" w:cs="Arial"/>
          <w:sz w:val="18"/>
          <w:szCs w:val="18"/>
          <w:u w:val="double"/>
          <w:lang w:val="en-IE"/>
        </w:rPr>
      </w:pPr>
      <w:r w:rsidRPr="00E777B4">
        <w:rPr>
          <w:rFonts w:ascii="Arial" w:eastAsia="MS Mincho" w:hAnsi="Arial" w:cs="Arial"/>
          <w:sz w:val="18"/>
          <w:szCs w:val="18"/>
          <w:highlight w:val="yellow"/>
          <w:u w:val="double"/>
          <w:lang w:val="en-IE"/>
        </w:rPr>
        <w:t>iv)</w:t>
      </w:r>
      <w:r w:rsidRPr="00223026">
        <w:rPr>
          <w:rFonts w:ascii="Arial" w:eastAsia="MS Mincho" w:hAnsi="Arial" w:cs="Arial"/>
          <w:sz w:val="18"/>
          <w:szCs w:val="18"/>
          <w:lang w:val="en-IE"/>
        </w:rPr>
        <w:tab/>
      </w:r>
      <w:r w:rsidRPr="00E777B4">
        <w:rPr>
          <w:rFonts w:ascii="Arial" w:eastAsia="MS Mincho" w:hAnsi="Arial" w:cs="Arial"/>
          <w:sz w:val="18"/>
          <w:szCs w:val="18"/>
          <w:highlight w:val="yellow"/>
          <w:u w:val="double"/>
          <w:lang w:val="en-IE"/>
        </w:rPr>
        <w:t>Positive result by IFAT</w:t>
      </w:r>
      <w:r w:rsidRPr="00D403F5">
        <w:rPr>
          <w:rFonts w:ascii="Arial" w:eastAsia="MS Mincho" w:hAnsi="Arial" w:cs="Arial"/>
          <w:sz w:val="18"/>
          <w:szCs w:val="18"/>
          <w:u w:val="double"/>
          <w:lang w:val="en-IE"/>
        </w:rPr>
        <w:t xml:space="preserve"> </w:t>
      </w:r>
    </w:p>
    <w:p w14:paraId="353A9B24" w14:textId="77777777" w:rsidR="00E65E42" w:rsidRPr="00D403F5" w:rsidRDefault="00E65E42" w:rsidP="00D4382C">
      <w:pPr>
        <w:spacing w:after="240" w:line="240" w:lineRule="auto"/>
        <w:ind w:left="1276" w:hanging="425"/>
        <w:jc w:val="both"/>
        <w:rPr>
          <w:rFonts w:ascii="Arial" w:eastAsia="MS Mincho" w:hAnsi="Arial" w:cs="Arial"/>
          <w:sz w:val="18"/>
          <w:szCs w:val="18"/>
          <w:u w:val="double"/>
          <w:lang w:val="en-IE"/>
        </w:rPr>
      </w:pPr>
      <w:r w:rsidRPr="00E777B4">
        <w:rPr>
          <w:rFonts w:ascii="Arial" w:eastAsia="MS Mincho" w:hAnsi="Arial" w:cs="Arial"/>
          <w:sz w:val="18"/>
          <w:szCs w:val="18"/>
          <w:highlight w:val="yellow"/>
          <w:u w:val="double"/>
          <w:lang w:val="en-IE"/>
        </w:rPr>
        <w:t>v)</w:t>
      </w:r>
      <w:r w:rsidRPr="00223026">
        <w:rPr>
          <w:rFonts w:ascii="Arial" w:eastAsia="MS Mincho" w:hAnsi="Arial" w:cs="Arial"/>
          <w:sz w:val="18"/>
          <w:szCs w:val="18"/>
          <w:lang w:val="en-IE"/>
        </w:rPr>
        <w:tab/>
      </w:r>
      <w:r w:rsidRPr="00E777B4">
        <w:rPr>
          <w:rFonts w:ascii="Arial" w:eastAsia="MS Mincho" w:hAnsi="Arial" w:cs="Arial"/>
          <w:sz w:val="18"/>
          <w:szCs w:val="18"/>
          <w:highlight w:val="yellow"/>
          <w:u w:val="double"/>
          <w:lang w:val="en-IE"/>
        </w:rPr>
        <w:t>Positive result by immunohistochemistry</w:t>
      </w:r>
    </w:p>
    <w:p w14:paraId="245E7B43" w14:textId="77777777" w:rsidR="00E65E42" w:rsidRPr="00D403F5" w:rsidRDefault="00E65E42" w:rsidP="00D4382C">
      <w:pPr>
        <w:spacing w:after="240" w:line="240" w:lineRule="auto"/>
        <w:ind w:left="1276" w:hanging="425"/>
        <w:jc w:val="both"/>
        <w:rPr>
          <w:rFonts w:ascii="Arial" w:eastAsia="MS Mincho" w:hAnsi="Arial" w:cs="Arial"/>
          <w:sz w:val="18"/>
          <w:szCs w:val="18"/>
          <w:lang w:val="en-IE"/>
        </w:rPr>
      </w:pPr>
      <w:r w:rsidRPr="00E777B4">
        <w:rPr>
          <w:rFonts w:ascii="Arial" w:eastAsia="MS Mincho" w:hAnsi="Arial" w:cs="Arial"/>
          <w:sz w:val="18"/>
          <w:szCs w:val="18"/>
          <w:highlight w:val="yellow"/>
          <w:u w:val="double"/>
          <w:lang w:val="en-IE"/>
        </w:rPr>
        <w:t>vi)</w:t>
      </w:r>
      <w:r w:rsidRPr="00D403F5">
        <w:rPr>
          <w:rFonts w:ascii="Arial" w:eastAsia="MS Mincho" w:hAnsi="Arial" w:cs="Arial"/>
          <w:sz w:val="18"/>
          <w:szCs w:val="18"/>
          <w:lang w:val="en-IE"/>
        </w:rPr>
        <w:tab/>
      </w:r>
      <w:r w:rsidRPr="00695BD1">
        <w:rPr>
          <w:rFonts w:ascii="Arial" w:eastAsia="MS Mincho" w:hAnsi="Arial" w:cs="Arial"/>
          <w:sz w:val="18"/>
          <w:szCs w:val="18"/>
          <w:highlight w:val="yellow"/>
          <w:u w:val="double"/>
          <w:lang w:val="en-IE"/>
        </w:rPr>
        <w:t>SVCV-typical CPE</w:t>
      </w:r>
      <w:r w:rsidRPr="00876AA3">
        <w:rPr>
          <w:rFonts w:ascii="Arial" w:eastAsia="MS Mincho" w:hAnsi="Arial" w:cs="Arial"/>
          <w:sz w:val="18"/>
          <w:szCs w:val="18"/>
          <w:highlight w:val="yellow"/>
          <w:lang w:val="en-IE"/>
        </w:rPr>
        <w:t xml:space="preserve"> </w:t>
      </w:r>
      <w:r w:rsidRPr="00E777B4">
        <w:rPr>
          <w:rFonts w:ascii="Arial" w:eastAsia="MS Mincho" w:hAnsi="Arial" w:cs="Arial"/>
          <w:strike/>
          <w:sz w:val="18"/>
          <w:szCs w:val="18"/>
          <w:highlight w:val="yellow"/>
          <w:lang w:val="en-IE"/>
        </w:rPr>
        <w:t>Cytopathic effect</w:t>
      </w:r>
      <w:r w:rsidRPr="00D403F5">
        <w:rPr>
          <w:rFonts w:ascii="Arial" w:eastAsia="MS Mincho" w:hAnsi="Arial" w:cs="Arial"/>
          <w:sz w:val="18"/>
          <w:szCs w:val="18"/>
          <w:lang w:val="en-IE"/>
        </w:rPr>
        <w:t xml:space="preserve"> in cell culture.</w:t>
      </w:r>
    </w:p>
    <w:p w14:paraId="57AB823E" w14:textId="77777777" w:rsidR="00E65E42" w:rsidRPr="00223026" w:rsidRDefault="00E65E42" w:rsidP="00D4382C">
      <w:pPr>
        <w:pStyle w:val="111"/>
        <w:spacing w:after="240"/>
        <w:ind w:left="1276" w:hanging="425"/>
        <w:rPr>
          <w:bCs w:val="0"/>
          <w:szCs w:val="20"/>
        </w:rPr>
      </w:pPr>
      <w:r w:rsidRPr="00223026">
        <w:rPr>
          <w:bCs w:val="0"/>
          <w:szCs w:val="20"/>
        </w:rPr>
        <w:t>6.2.2.</w:t>
      </w:r>
      <w:r w:rsidRPr="00223026">
        <w:rPr>
          <w:bCs w:val="0"/>
          <w:szCs w:val="20"/>
        </w:rPr>
        <w:tab/>
      </w:r>
      <w:r w:rsidRPr="00223026">
        <w:rPr>
          <w:szCs w:val="20"/>
        </w:rPr>
        <w:t>Definition</w:t>
      </w:r>
      <w:r w:rsidRPr="00223026">
        <w:rPr>
          <w:bCs w:val="0"/>
          <w:szCs w:val="20"/>
        </w:rPr>
        <w:t xml:space="preserve"> of confirmed case in clinically affected animals</w:t>
      </w:r>
    </w:p>
    <w:p w14:paraId="69B07A9C" w14:textId="77777777" w:rsidR="00E65E42" w:rsidRPr="00D403F5" w:rsidRDefault="00E65E42" w:rsidP="00D4382C">
      <w:pPr>
        <w:spacing w:after="240"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 xml:space="preserve">The presence of infection </w:t>
      </w:r>
      <w:r w:rsidRPr="00876AA3">
        <w:rPr>
          <w:rFonts w:ascii="Arial" w:eastAsia="Times New Roman" w:hAnsi="Arial" w:cs="Times New Roman"/>
          <w:bCs/>
          <w:sz w:val="18"/>
          <w:szCs w:val="18"/>
          <w:highlight w:val="yellow"/>
          <w:u w:val="double"/>
          <w:lang w:val="en-IE"/>
        </w:rPr>
        <w:t>with SVCV is considered to</w:t>
      </w:r>
      <w:r w:rsidRPr="00876AA3">
        <w:rPr>
          <w:rFonts w:ascii="Arial" w:eastAsia="Times New Roman" w:hAnsi="Arial" w:cs="Times New Roman"/>
          <w:bCs/>
          <w:sz w:val="18"/>
          <w:szCs w:val="18"/>
          <w:highlight w:val="yellow"/>
          <w:lang w:val="en-IE"/>
        </w:rPr>
        <w:t xml:space="preserve"> </w:t>
      </w:r>
      <w:r w:rsidRPr="00876AA3">
        <w:rPr>
          <w:rFonts w:ascii="Arial" w:eastAsia="Times New Roman" w:hAnsi="Arial" w:cs="Times New Roman"/>
          <w:bCs/>
          <w:strike/>
          <w:sz w:val="18"/>
          <w:szCs w:val="18"/>
          <w:highlight w:val="yellow"/>
          <w:lang w:val="en-IE"/>
        </w:rPr>
        <w:t>shall</w:t>
      </w:r>
      <w:r w:rsidRPr="00876AA3">
        <w:rPr>
          <w:rFonts w:ascii="Arial" w:eastAsia="Times New Roman" w:hAnsi="Arial" w:cs="Times New Roman"/>
          <w:bCs/>
          <w:strike/>
          <w:sz w:val="18"/>
          <w:szCs w:val="18"/>
          <w:lang w:val="en-IE"/>
        </w:rPr>
        <w:t xml:space="preserve"> </w:t>
      </w:r>
      <w:r w:rsidRPr="00D403F5">
        <w:rPr>
          <w:rFonts w:ascii="Arial" w:eastAsia="Times New Roman" w:hAnsi="Arial" w:cs="Times New Roman"/>
          <w:bCs/>
          <w:sz w:val="18"/>
          <w:szCs w:val="18"/>
          <w:lang w:val="en-IE"/>
        </w:rPr>
        <w:t>be confirmed if</w:t>
      </w:r>
      <w:r w:rsidRPr="00876AA3">
        <w:rPr>
          <w:rFonts w:ascii="Arial" w:eastAsia="Times New Roman" w:hAnsi="Arial" w:cs="Times New Roman"/>
          <w:bCs/>
          <w:sz w:val="18"/>
          <w:szCs w:val="18"/>
          <w:highlight w:val="yellow"/>
          <w:u w:val="double"/>
          <w:lang w:val="en-IE"/>
        </w:rPr>
        <w:t>,</w:t>
      </w:r>
      <w:r w:rsidRPr="00D403F5">
        <w:rPr>
          <w:rFonts w:ascii="Arial" w:eastAsia="Times New Roman" w:hAnsi="Arial" w:cs="Times New Roman"/>
          <w:bCs/>
          <w:sz w:val="18"/>
          <w:szCs w:val="18"/>
          <w:lang w:val="en-IE"/>
        </w:rPr>
        <w:t xml:space="preserve"> </w:t>
      </w:r>
      <w:r w:rsidRPr="00876AA3">
        <w:rPr>
          <w:rFonts w:ascii="Arial" w:eastAsia="Times New Roman" w:hAnsi="Arial" w:cs="Times New Roman"/>
          <w:bCs/>
          <w:sz w:val="18"/>
          <w:szCs w:val="18"/>
          <w:highlight w:val="yellow"/>
          <w:u w:val="double"/>
          <w:lang w:val="en-IE"/>
        </w:rPr>
        <w:t xml:space="preserve">in addition to the criteria in </w:t>
      </w:r>
      <w:r w:rsidRPr="00876AA3">
        <w:rPr>
          <w:rFonts w:ascii="Arial" w:eastAsia="Times New Roman" w:hAnsi="Arial" w:cs="Times New Roman"/>
          <w:bCs/>
          <w:spacing w:val="-2"/>
          <w:sz w:val="18"/>
          <w:szCs w:val="18"/>
          <w:highlight w:val="yellow"/>
          <w:u w:val="double"/>
          <w:lang w:val="en-IE"/>
        </w:rPr>
        <w:t>Section 6.</w:t>
      </w:r>
      <w:r>
        <w:rPr>
          <w:rFonts w:ascii="Arial" w:eastAsia="Times New Roman" w:hAnsi="Arial" w:cs="Times New Roman"/>
          <w:bCs/>
          <w:spacing w:val="-2"/>
          <w:sz w:val="18"/>
          <w:szCs w:val="18"/>
          <w:highlight w:val="yellow"/>
          <w:u w:val="double"/>
          <w:lang w:val="en-IE"/>
        </w:rPr>
        <w:t>2</w:t>
      </w:r>
      <w:r w:rsidRPr="00876AA3">
        <w:rPr>
          <w:rFonts w:ascii="Arial" w:eastAsia="Times New Roman" w:hAnsi="Arial" w:cs="Times New Roman"/>
          <w:bCs/>
          <w:spacing w:val="-2"/>
          <w:sz w:val="18"/>
          <w:szCs w:val="18"/>
          <w:highlight w:val="yellow"/>
          <w:u w:val="double"/>
          <w:lang w:val="en-IE"/>
        </w:rPr>
        <w:t>.1.</w:t>
      </w:r>
      <w:r w:rsidRPr="00876AA3">
        <w:rPr>
          <w:rFonts w:ascii="Arial" w:eastAsia="Times New Roman" w:hAnsi="Arial" w:cs="Times New Roman"/>
          <w:bCs/>
          <w:sz w:val="18"/>
          <w:szCs w:val="18"/>
          <w:highlight w:val="yellow"/>
          <w:u w:val="double"/>
          <w:lang w:val="en-IE"/>
        </w:rPr>
        <w:t>,</w:t>
      </w:r>
      <w:r w:rsidRPr="004253F3">
        <w:rPr>
          <w:rFonts w:ascii="Arial" w:eastAsia="Times New Roman" w:hAnsi="Arial" w:cs="Times New Roman"/>
          <w:bCs/>
          <w:sz w:val="18"/>
          <w:szCs w:val="18"/>
          <w:lang w:val="en-IE"/>
        </w:rPr>
        <w:t xml:space="preserve"> </w:t>
      </w:r>
      <w:r w:rsidRPr="00D403F5">
        <w:rPr>
          <w:rFonts w:ascii="Arial" w:hAnsi="Arial"/>
          <w:bCs/>
          <w:strike/>
          <w:sz w:val="18"/>
          <w:szCs w:val="18"/>
          <w:lang w:val="en-IE"/>
        </w:rPr>
        <w:t>positive results has been obtained on at least one animal from two test used in the following combination</w:t>
      </w:r>
      <w:r w:rsidRPr="00D403F5">
        <w:rPr>
          <w:rFonts w:ascii="Arial" w:hAnsi="Arial"/>
          <w:bCs/>
          <w:sz w:val="18"/>
          <w:szCs w:val="18"/>
          <w:lang w:val="en-IE"/>
        </w:rPr>
        <w:t xml:space="preserve"> </w:t>
      </w:r>
      <w:r w:rsidRPr="00D403F5">
        <w:rPr>
          <w:rFonts w:ascii="Arial" w:hAnsi="Arial"/>
          <w:bCs/>
          <w:sz w:val="18"/>
          <w:szCs w:val="18"/>
          <w:u w:val="double"/>
          <w:lang w:val="en-IE"/>
        </w:rPr>
        <w:t>the following criterion is met</w:t>
      </w:r>
      <w:r w:rsidRPr="00D403F5">
        <w:rPr>
          <w:rFonts w:ascii="Arial" w:eastAsia="Times New Roman" w:hAnsi="Arial" w:cs="Times New Roman"/>
          <w:bCs/>
          <w:sz w:val="18"/>
          <w:szCs w:val="18"/>
          <w:lang w:val="en-IE"/>
        </w:rPr>
        <w:t>:</w:t>
      </w:r>
    </w:p>
    <w:p w14:paraId="325C96B4" w14:textId="77777777" w:rsidR="00E65E42" w:rsidRPr="00D403F5" w:rsidRDefault="00E65E42" w:rsidP="00D4382C">
      <w:pPr>
        <w:spacing w:after="240" w:line="240" w:lineRule="auto"/>
        <w:ind w:left="1276" w:hanging="425"/>
        <w:jc w:val="both"/>
        <w:rPr>
          <w:rFonts w:ascii="Arial" w:hAnsi="Arial"/>
          <w:bCs/>
          <w:sz w:val="18"/>
          <w:szCs w:val="18"/>
          <w:lang w:val="en-IE"/>
        </w:rPr>
      </w:pPr>
      <w:r w:rsidRPr="00D403F5">
        <w:rPr>
          <w:rFonts w:ascii="Arial" w:hAnsi="Arial"/>
          <w:bCs/>
          <w:sz w:val="18"/>
          <w:szCs w:val="18"/>
          <w:lang w:val="en-IE"/>
        </w:rPr>
        <w:t>i)</w:t>
      </w:r>
      <w:r w:rsidRPr="00D403F5">
        <w:rPr>
          <w:rFonts w:ascii="Arial" w:hAnsi="Arial"/>
          <w:bCs/>
          <w:sz w:val="18"/>
          <w:szCs w:val="18"/>
          <w:lang w:val="en-IE"/>
        </w:rPr>
        <w:tab/>
      </w:r>
      <w:r w:rsidRPr="00695BD1">
        <w:rPr>
          <w:rFonts w:ascii="Arial" w:hAnsi="Arial"/>
          <w:bCs/>
          <w:strike/>
          <w:sz w:val="18"/>
          <w:szCs w:val="18"/>
          <w:highlight w:val="yellow"/>
          <w:lang w:val="en-IE"/>
        </w:rPr>
        <w:t>Pathogen isolation</w:t>
      </w:r>
      <w:r w:rsidRPr="00695BD1">
        <w:rPr>
          <w:rFonts w:ascii="Arial" w:hAnsi="Arial"/>
          <w:bCs/>
          <w:strike/>
          <w:sz w:val="18"/>
          <w:szCs w:val="18"/>
          <w:lang w:val="en-IE"/>
        </w:rPr>
        <w:t xml:space="preserve"> </w:t>
      </w:r>
      <w:r w:rsidRPr="007D68A9">
        <w:rPr>
          <w:rFonts w:ascii="Arial" w:hAnsi="Arial"/>
          <w:bCs/>
          <w:strike/>
          <w:sz w:val="18"/>
          <w:szCs w:val="18"/>
          <w:lang w:val="en-IE"/>
        </w:rPr>
        <w:t>A</w:t>
      </w:r>
      <w:r w:rsidRPr="00D403F5">
        <w:rPr>
          <w:rFonts w:ascii="Arial" w:hAnsi="Arial"/>
          <w:bCs/>
          <w:strike/>
          <w:sz w:val="18"/>
          <w:szCs w:val="18"/>
          <w:lang w:val="en-IE"/>
        </w:rPr>
        <w:t>ND Conventional</w:t>
      </w:r>
      <w:r w:rsidRPr="000712D1">
        <w:rPr>
          <w:rFonts w:ascii="Arial" w:hAnsi="Arial"/>
          <w:bCs/>
          <w:strike/>
          <w:sz w:val="18"/>
          <w:szCs w:val="18"/>
          <w:lang w:val="en-IE"/>
        </w:rPr>
        <w:t xml:space="preserve"> </w:t>
      </w:r>
      <w:r w:rsidRPr="00695BD1">
        <w:rPr>
          <w:rFonts w:ascii="Arial" w:hAnsi="Arial"/>
          <w:bCs/>
          <w:sz w:val="18"/>
          <w:szCs w:val="18"/>
          <w:highlight w:val="yellow"/>
          <w:u w:val="double"/>
          <w:lang w:val="en-IE"/>
        </w:rPr>
        <w:t xml:space="preserve">SVCV-typical </w:t>
      </w:r>
      <w:r w:rsidRPr="000712D1">
        <w:rPr>
          <w:rFonts w:ascii="Arial" w:hAnsi="Arial"/>
          <w:bCs/>
          <w:sz w:val="18"/>
          <w:szCs w:val="18"/>
          <w:highlight w:val="yellow"/>
          <w:u w:val="double"/>
          <w:lang w:val="en-IE"/>
        </w:rPr>
        <w:t>CPE</w:t>
      </w:r>
      <w:r w:rsidRPr="000712D1">
        <w:rPr>
          <w:rFonts w:ascii="Arial" w:hAnsi="Arial"/>
          <w:bCs/>
          <w:sz w:val="18"/>
          <w:szCs w:val="18"/>
          <w:u w:val="double"/>
          <w:lang w:val="en-IE"/>
        </w:rPr>
        <w:t xml:space="preserve"> in cell </w:t>
      </w:r>
      <w:r w:rsidRPr="00D403F5">
        <w:rPr>
          <w:rFonts w:ascii="Arial" w:hAnsi="Arial"/>
          <w:bCs/>
          <w:sz w:val="18"/>
          <w:szCs w:val="18"/>
          <w:u w:val="double"/>
          <w:lang w:val="en-IE"/>
        </w:rPr>
        <w:t>culture</w:t>
      </w:r>
      <w:r>
        <w:rPr>
          <w:rFonts w:ascii="Arial" w:hAnsi="Arial"/>
          <w:bCs/>
          <w:sz w:val="18"/>
          <w:szCs w:val="18"/>
          <w:u w:val="double"/>
          <w:lang w:val="en-IE"/>
        </w:rPr>
        <w:t xml:space="preserve"> </w:t>
      </w:r>
      <w:r w:rsidRPr="00695BD1">
        <w:rPr>
          <w:rFonts w:ascii="Arial" w:hAnsi="Arial"/>
          <w:bCs/>
          <w:sz w:val="18"/>
          <w:szCs w:val="18"/>
          <w:highlight w:val="yellow"/>
          <w:u w:val="double"/>
          <w:lang w:val="en-IE"/>
        </w:rPr>
        <w:t>followed by</w:t>
      </w:r>
      <w:r w:rsidRPr="00FD0A99">
        <w:rPr>
          <w:rFonts w:ascii="Arial" w:hAnsi="Arial"/>
          <w:bCs/>
          <w:sz w:val="18"/>
          <w:szCs w:val="18"/>
          <w:u w:val="double"/>
          <w:lang w:val="en-IE"/>
        </w:rPr>
        <w:t xml:space="preserve"> </w:t>
      </w:r>
      <w:r w:rsidRPr="00D403F5">
        <w:rPr>
          <w:rFonts w:ascii="Arial" w:hAnsi="Arial"/>
          <w:bCs/>
          <w:sz w:val="18"/>
          <w:szCs w:val="18"/>
          <w:u w:val="double"/>
          <w:lang w:val="en-IE"/>
        </w:rPr>
        <w:t>virus identification by conventional RT-</w:t>
      </w:r>
      <w:r w:rsidRPr="00D403F5">
        <w:rPr>
          <w:rFonts w:ascii="Arial" w:hAnsi="Arial"/>
          <w:bCs/>
          <w:sz w:val="18"/>
          <w:szCs w:val="18"/>
          <w:lang w:val="en-IE"/>
        </w:rPr>
        <w:t xml:space="preserve">PCR test </w:t>
      </w:r>
      <w:r w:rsidRPr="000712D1">
        <w:rPr>
          <w:rFonts w:ascii="Arial" w:hAnsi="Arial"/>
          <w:bCs/>
          <w:strike/>
          <w:sz w:val="18"/>
          <w:szCs w:val="18"/>
          <w:highlight w:val="yellow"/>
          <w:lang w:val="en-IE"/>
        </w:rPr>
        <w:t xml:space="preserve">followed by </w:t>
      </w:r>
      <w:r w:rsidRPr="000712D1">
        <w:rPr>
          <w:rFonts w:ascii="Arial" w:hAnsi="Arial"/>
          <w:bCs/>
          <w:sz w:val="18"/>
          <w:szCs w:val="18"/>
          <w:highlight w:val="yellow"/>
          <w:u w:val="double"/>
          <w:lang w:val="en-IE"/>
        </w:rPr>
        <w:t>and</w:t>
      </w:r>
      <w:r w:rsidRPr="00D403F5">
        <w:rPr>
          <w:rFonts w:ascii="Arial" w:hAnsi="Arial"/>
          <w:bCs/>
          <w:sz w:val="18"/>
          <w:szCs w:val="18"/>
          <w:lang w:val="en-IE"/>
        </w:rPr>
        <w:t xml:space="preserve"> amplicon sequencing</w:t>
      </w:r>
      <w:r>
        <w:rPr>
          <w:rFonts w:ascii="Arial" w:hAnsi="Arial"/>
          <w:bCs/>
          <w:sz w:val="18"/>
          <w:szCs w:val="18"/>
          <w:lang w:val="en-IE"/>
        </w:rPr>
        <w:t>.</w:t>
      </w:r>
    </w:p>
    <w:p w14:paraId="250E3DAD" w14:textId="77777777" w:rsidR="00E65E42" w:rsidRPr="00D403F5" w:rsidRDefault="00E65E42" w:rsidP="00D4382C">
      <w:pPr>
        <w:spacing w:after="240" w:line="240" w:lineRule="auto"/>
        <w:ind w:left="851"/>
        <w:jc w:val="both"/>
        <w:rPr>
          <w:rFonts w:ascii="Arial" w:hAnsi="Arial"/>
          <w:bCs/>
          <w:sz w:val="18"/>
          <w:szCs w:val="18"/>
          <w:lang w:val="en-IE"/>
        </w:rPr>
      </w:pPr>
      <w:r w:rsidRPr="00D403F5">
        <w:rPr>
          <w:rFonts w:ascii="Arial" w:hAnsi="Arial"/>
          <w:bCs/>
          <w:sz w:val="18"/>
          <w:szCs w:val="18"/>
          <w:lang w:val="en-IE"/>
        </w:rPr>
        <w:t>Reference Laboratories should be contacted for specimen referral when testing laboratories cannot undertake any of the recommended test methods and testing is being undertaken that will result in notification to the OIE.</w:t>
      </w:r>
    </w:p>
    <w:p w14:paraId="2E60D7DC" w14:textId="77777777" w:rsidR="00E65E42" w:rsidRDefault="00E65E42" w:rsidP="00E65E42">
      <w:pPr>
        <w:keepNext/>
        <w:keepLines/>
        <w:spacing w:after="120"/>
        <w:ind w:left="425" w:hanging="425"/>
        <w:jc w:val="both"/>
        <w:rPr>
          <w:rFonts w:ascii="Ottawa" w:hAnsi="Ottawa"/>
          <w:b/>
          <w:bCs/>
          <w:sz w:val="21"/>
          <w:szCs w:val="21"/>
          <w:lang w:eastAsia="fr-FR"/>
        </w:rPr>
      </w:pPr>
      <w:r w:rsidRPr="00BD2E1E">
        <w:rPr>
          <w:rFonts w:ascii="Ottawa" w:hAnsi="Ottawa"/>
          <w:b/>
          <w:bCs/>
          <w:sz w:val="21"/>
          <w:szCs w:val="21"/>
          <w:lang w:eastAsia="fr-FR"/>
        </w:rPr>
        <w:t>6.3.</w:t>
      </w:r>
      <w:r w:rsidRPr="00BD2E1E">
        <w:rPr>
          <w:rFonts w:ascii="Ottawa" w:hAnsi="Ottawa"/>
          <w:b/>
          <w:bCs/>
          <w:sz w:val="21"/>
          <w:szCs w:val="21"/>
          <w:lang w:eastAsia="fr-FR"/>
        </w:rPr>
        <w:tab/>
        <w:t xml:space="preserve">Diagnostic sensitivity and specificity for diagnostic tests </w:t>
      </w:r>
    </w:p>
    <w:p w14:paraId="5445EDBC" w14:textId="77777777" w:rsidR="00E65E42" w:rsidRPr="00E777B4" w:rsidRDefault="00E65E42" w:rsidP="00557B45">
      <w:pPr>
        <w:keepNext/>
        <w:keepLines/>
        <w:spacing w:after="120"/>
        <w:ind w:left="426" w:firstLine="1"/>
        <w:jc w:val="both"/>
        <w:rPr>
          <w:rFonts w:ascii="Arial" w:hAnsi="Arial"/>
          <w:bCs/>
          <w:sz w:val="18"/>
          <w:szCs w:val="18"/>
          <w:u w:val="double"/>
          <w:lang w:val="en-IE"/>
        </w:rPr>
      </w:pPr>
      <w:r w:rsidRPr="00E777B4">
        <w:rPr>
          <w:rFonts w:ascii="Arial" w:hAnsi="Arial"/>
          <w:bCs/>
          <w:sz w:val="18"/>
          <w:szCs w:val="18"/>
          <w:highlight w:val="yellow"/>
          <w:u w:val="double"/>
          <w:lang w:val="en-IE"/>
        </w:rPr>
        <w:t>The diagnostic performance of tests recommended for surveillance or diagnosis of infection with SVCV are provided in Table 6.3. (note: no data are currently available). This information can be used for the design of surveys for infection with SVCV, however, it should be noted that diagnostic performance is specific to the circumstances of each diagnostic accuracy study (including the test purpose, source population, tissue sample types and host species) and diagnostic performance may vary under different conditions. Data is only presented where tests are validated to atleast level two of the validation pathway described in Chapter 1.1.2. and the information is available within published diagnostic accuracy studies.</w:t>
      </w:r>
    </w:p>
    <w:p w14:paraId="19BE24D5" w14:textId="77777777" w:rsidR="00E65E42" w:rsidRDefault="00E65E42" w:rsidP="00E65E42">
      <w:pPr>
        <w:keepNext/>
        <w:keepLines/>
        <w:spacing w:after="120"/>
        <w:ind w:firstLine="1"/>
        <w:rPr>
          <w:rFonts w:ascii="Arial" w:hAnsi="Arial"/>
          <w:bCs/>
          <w:sz w:val="18"/>
          <w:szCs w:val="18"/>
          <w:lang w:val="en-IE"/>
        </w:rPr>
      </w:pPr>
    </w:p>
    <w:p w14:paraId="2E97C98F" w14:textId="77777777" w:rsidR="00E65E42" w:rsidRPr="00E777B4" w:rsidRDefault="00E65E42" w:rsidP="00E65E42">
      <w:pPr>
        <w:keepNext/>
        <w:keepLines/>
        <w:spacing w:after="120"/>
        <w:ind w:firstLine="1"/>
        <w:jc w:val="center"/>
        <w:rPr>
          <w:rFonts w:ascii="Ottawa" w:hAnsi="Ottawa"/>
          <w:bCs/>
          <w:i/>
          <w:sz w:val="18"/>
          <w:szCs w:val="18"/>
          <w:u w:val="double"/>
          <w:lang w:val="en-IE" w:bidi="en-US"/>
        </w:rPr>
      </w:pPr>
      <w:r w:rsidRPr="00E777B4">
        <w:rPr>
          <w:rFonts w:ascii="Ottawa" w:hAnsi="Ottawa"/>
          <w:b/>
          <w:bCs/>
          <w:i/>
          <w:sz w:val="18"/>
          <w:szCs w:val="18"/>
          <w:highlight w:val="yellow"/>
          <w:u w:val="double"/>
          <w:lang w:val="en-IE" w:bidi="en-US"/>
        </w:rPr>
        <w:t>Table 6.</w:t>
      </w:r>
      <w:r>
        <w:rPr>
          <w:rFonts w:ascii="Ottawa" w:hAnsi="Ottawa"/>
          <w:b/>
          <w:bCs/>
          <w:i/>
          <w:sz w:val="18"/>
          <w:szCs w:val="18"/>
          <w:highlight w:val="yellow"/>
          <w:u w:val="double"/>
          <w:lang w:val="en-IE" w:bidi="en-US"/>
        </w:rPr>
        <w:t>1</w:t>
      </w:r>
      <w:r w:rsidRPr="00E777B4">
        <w:rPr>
          <w:rFonts w:ascii="Ottawa" w:hAnsi="Ottawa"/>
          <w:b/>
          <w:bCs/>
          <w:i/>
          <w:sz w:val="18"/>
          <w:szCs w:val="18"/>
          <w:highlight w:val="yellow"/>
          <w:u w:val="double"/>
          <w:lang w:val="en-IE" w:bidi="en-US"/>
        </w:rPr>
        <w:t>.</w:t>
      </w:r>
      <w:r w:rsidRPr="00E777B4">
        <w:rPr>
          <w:rFonts w:ascii="Ottawa" w:hAnsi="Ottawa"/>
          <w:bCs/>
          <w:i/>
          <w:sz w:val="18"/>
          <w:szCs w:val="18"/>
          <w:highlight w:val="yellow"/>
          <w:u w:val="double"/>
          <w:lang w:val="en-IE" w:bidi="en-US"/>
        </w:rPr>
        <w:t xml:space="preserve"> Diagnostic performance of tests recommended for surveillance or diagnosis</w:t>
      </w:r>
    </w:p>
    <w:tbl>
      <w:tblPr>
        <w:tblW w:w="91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1134"/>
        <w:gridCol w:w="1134"/>
        <w:gridCol w:w="1276"/>
        <w:gridCol w:w="850"/>
        <w:gridCol w:w="993"/>
        <w:gridCol w:w="1020"/>
        <w:gridCol w:w="850"/>
      </w:tblGrid>
      <w:tr w:rsidR="00E65E42" w:rsidRPr="00D403F5" w14:paraId="1C6FE086" w14:textId="77777777" w:rsidTr="00E65E42">
        <w:tc>
          <w:tcPr>
            <w:tcW w:w="709" w:type="dxa"/>
            <w:shd w:val="clear" w:color="auto" w:fill="auto"/>
          </w:tcPr>
          <w:p w14:paraId="101C460C" w14:textId="77777777" w:rsidR="00E65E42" w:rsidRPr="00D403F5" w:rsidRDefault="00E65E42" w:rsidP="00E65E42">
            <w:pPr>
              <w:spacing w:after="0"/>
              <w:rPr>
                <w:rFonts w:ascii="Arial Narrow" w:hAnsi="Arial Narrow" w:cs="Arial"/>
                <w:b/>
                <w:sz w:val="18"/>
                <w:szCs w:val="18"/>
              </w:rPr>
            </w:pPr>
            <w:r w:rsidRPr="00D403F5">
              <w:rPr>
                <w:rFonts w:ascii="Arial Narrow" w:hAnsi="Arial Narrow" w:cs="Arial"/>
                <w:b/>
                <w:sz w:val="18"/>
                <w:szCs w:val="18"/>
              </w:rPr>
              <w:t>Test type</w:t>
            </w:r>
          </w:p>
        </w:tc>
        <w:tc>
          <w:tcPr>
            <w:tcW w:w="1134" w:type="dxa"/>
            <w:shd w:val="clear" w:color="auto" w:fill="auto"/>
          </w:tcPr>
          <w:p w14:paraId="27B7FEB2" w14:textId="77777777" w:rsidR="00E65E42" w:rsidRPr="00D403F5" w:rsidRDefault="00E65E42" w:rsidP="00E65E42">
            <w:pPr>
              <w:spacing w:after="0"/>
              <w:rPr>
                <w:rFonts w:ascii="Arial Narrow" w:hAnsi="Arial Narrow" w:cs="Arial"/>
                <w:b/>
                <w:sz w:val="18"/>
                <w:szCs w:val="18"/>
              </w:rPr>
            </w:pPr>
            <w:r w:rsidRPr="00D403F5">
              <w:rPr>
                <w:rFonts w:ascii="Arial Narrow" w:hAnsi="Arial Narrow" w:cs="Arial"/>
                <w:b/>
                <w:sz w:val="18"/>
                <w:szCs w:val="18"/>
              </w:rPr>
              <w:t>Test purpose</w:t>
            </w:r>
          </w:p>
        </w:tc>
        <w:tc>
          <w:tcPr>
            <w:tcW w:w="1134" w:type="dxa"/>
            <w:shd w:val="clear" w:color="auto" w:fill="auto"/>
          </w:tcPr>
          <w:p w14:paraId="58B2BF51" w14:textId="77777777" w:rsidR="00E65E42" w:rsidRPr="00D403F5" w:rsidRDefault="00E65E42" w:rsidP="00E65E42">
            <w:pPr>
              <w:spacing w:after="0"/>
              <w:rPr>
                <w:rFonts w:ascii="Arial Narrow" w:hAnsi="Arial Narrow" w:cs="Arial"/>
                <w:b/>
                <w:sz w:val="18"/>
                <w:szCs w:val="18"/>
              </w:rPr>
            </w:pPr>
            <w:r w:rsidRPr="00D403F5">
              <w:rPr>
                <w:rFonts w:ascii="Arial Narrow" w:hAnsi="Arial Narrow" w:cs="Arial"/>
                <w:b/>
                <w:sz w:val="18"/>
                <w:szCs w:val="18"/>
              </w:rPr>
              <w:t>Source population</w:t>
            </w:r>
          </w:p>
        </w:tc>
        <w:tc>
          <w:tcPr>
            <w:tcW w:w="1134" w:type="dxa"/>
            <w:shd w:val="clear" w:color="auto" w:fill="auto"/>
          </w:tcPr>
          <w:p w14:paraId="5C62594C" w14:textId="77777777" w:rsidR="00E65E42" w:rsidRPr="00D403F5" w:rsidRDefault="00E65E42" w:rsidP="00E65E42">
            <w:pPr>
              <w:spacing w:after="0"/>
              <w:rPr>
                <w:rFonts w:ascii="Arial Narrow" w:hAnsi="Arial Narrow" w:cs="Arial"/>
                <w:b/>
                <w:sz w:val="18"/>
                <w:szCs w:val="18"/>
              </w:rPr>
            </w:pPr>
            <w:r w:rsidRPr="00D403F5">
              <w:rPr>
                <w:rFonts w:ascii="Arial Narrow" w:hAnsi="Arial Narrow" w:cs="Arial"/>
                <w:b/>
                <w:sz w:val="18"/>
                <w:szCs w:val="18"/>
              </w:rPr>
              <w:t>Tissue/ sample type</w:t>
            </w:r>
          </w:p>
        </w:tc>
        <w:tc>
          <w:tcPr>
            <w:tcW w:w="1276" w:type="dxa"/>
            <w:shd w:val="clear" w:color="auto" w:fill="auto"/>
          </w:tcPr>
          <w:p w14:paraId="44088E67" w14:textId="77777777" w:rsidR="00E65E42" w:rsidRPr="00D403F5" w:rsidRDefault="00E65E42" w:rsidP="00E65E42">
            <w:pPr>
              <w:spacing w:after="0"/>
              <w:rPr>
                <w:rFonts w:ascii="Arial Narrow" w:hAnsi="Arial Narrow" w:cs="Arial"/>
                <w:b/>
                <w:sz w:val="18"/>
                <w:szCs w:val="18"/>
              </w:rPr>
            </w:pPr>
            <w:r w:rsidRPr="00D403F5">
              <w:rPr>
                <w:rFonts w:ascii="Arial Narrow" w:hAnsi="Arial Narrow" w:cs="Arial"/>
                <w:b/>
                <w:sz w:val="18"/>
                <w:szCs w:val="18"/>
              </w:rPr>
              <w:t>Species</w:t>
            </w:r>
          </w:p>
        </w:tc>
        <w:tc>
          <w:tcPr>
            <w:tcW w:w="850" w:type="dxa"/>
            <w:shd w:val="clear" w:color="auto" w:fill="auto"/>
          </w:tcPr>
          <w:p w14:paraId="174BDE70" w14:textId="77777777" w:rsidR="00E65E42" w:rsidRPr="00D403F5" w:rsidRDefault="00E65E42" w:rsidP="00E65E42">
            <w:pPr>
              <w:spacing w:after="0"/>
              <w:rPr>
                <w:rFonts w:ascii="Arial Narrow" w:hAnsi="Arial Narrow" w:cs="Arial"/>
                <w:b/>
                <w:sz w:val="18"/>
                <w:szCs w:val="18"/>
              </w:rPr>
            </w:pPr>
            <w:r w:rsidRPr="00D403F5">
              <w:rPr>
                <w:rFonts w:ascii="Arial Narrow" w:hAnsi="Arial Narrow" w:cs="Arial"/>
                <w:b/>
                <w:sz w:val="18"/>
                <w:szCs w:val="18"/>
              </w:rPr>
              <w:t>DSe (</w:t>
            </w:r>
            <w:r w:rsidRPr="00D403F5">
              <w:rPr>
                <w:rFonts w:ascii="Arial Narrow" w:hAnsi="Arial Narrow" w:cs="Arial"/>
                <w:b/>
                <w:i/>
                <w:sz w:val="18"/>
                <w:szCs w:val="18"/>
              </w:rPr>
              <w:t>n</w:t>
            </w:r>
            <w:r w:rsidRPr="00D403F5">
              <w:rPr>
                <w:rFonts w:ascii="Arial Narrow" w:hAnsi="Arial Narrow" w:cs="Arial"/>
                <w:b/>
                <w:sz w:val="18"/>
                <w:szCs w:val="18"/>
              </w:rPr>
              <w:t>)</w:t>
            </w:r>
          </w:p>
        </w:tc>
        <w:tc>
          <w:tcPr>
            <w:tcW w:w="993" w:type="dxa"/>
            <w:shd w:val="clear" w:color="auto" w:fill="auto"/>
          </w:tcPr>
          <w:p w14:paraId="54A11A12" w14:textId="77777777" w:rsidR="00E65E42" w:rsidRPr="00D403F5" w:rsidRDefault="00E65E42" w:rsidP="00E65E42">
            <w:pPr>
              <w:spacing w:after="0"/>
              <w:rPr>
                <w:rFonts w:ascii="Arial Narrow" w:hAnsi="Arial Narrow" w:cs="Arial"/>
                <w:b/>
                <w:sz w:val="18"/>
                <w:szCs w:val="18"/>
              </w:rPr>
            </w:pPr>
            <w:r w:rsidRPr="00D403F5">
              <w:rPr>
                <w:rFonts w:ascii="Arial Narrow" w:hAnsi="Arial Narrow" w:cs="Arial"/>
                <w:b/>
                <w:sz w:val="18"/>
                <w:szCs w:val="18"/>
              </w:rPr>
              <w:t>DSp (</w:t>
            </w:r>
            <w:r w:rsidRPr="00D403F5">
              <w:rPr>
                <w:rFonts w:ascii="Arial Narrow" w:hAnsi="Arial Narrow" w:cs="Arial"/>
                <w:b/>
                <w:i/>
                <w:sz w:val="18"/>
                <w:szCs w:val="18"/>
              </w:rPr>
              <w:t>n</w:t>
            </w:r>
            <w:r w:rsidRPr="00D403F5">
              <w:rPr>
                <w:rFonts w:ascii="Arial Narrow" w:hAnsi="Arial Narrow" w:cs="Arial"/>
                <w:b/>
                <w:sz w:val="18"/>
                <w:szCs w:val="18"/>
              </w:rPr>
              <w:t>)</w:t>
            </w:r>
          </w:p>
        </w:tc>
        <w:tc>
          <w:tcPr>
            <w:tcW w:w="1020" w:type="dxa"/>
            <w:shd w:val="clear" w:color="auto" w:fill="auto"/>
          </w:tcPr>
          <w:p w14:paraId="437204E6" w14:textId="77777777" w:rsidR="00E65E42" w:rsidRPr="00D403F5" w:rsidRDefault="00E65E42" w:rsidP="00E65E42">
            <w:pPr>
              <w:spacing w:after="0"/>
              <w:rPr>
                <w:rFonts w:ascii="Arial Narrow" w:hAnsi="Arial Narrow" w:cs="Arial"/>
                <w:b/>
                <w:sz w:val="18"/>
                <w:szCs w:val="18"/>
              </w:rPr>
            </w:pPr>
            <w:r w:rsidRPr="00D403F5">
              <w:rPr>
                <w:rFonts w:ascii="Arial Narrow" w:hAnsi="Arial Narrow" w:cs="Arial"/>
                <w:b/>
                <w:sz w:val="18"/>
                <w:szCs w:val="18"/>
              </w:rPr>
              <w:t>Reference test</w:t>
            </w:r>
          </w:p>
        </w:tc>
        <w:tc>
          <w:tcPr>
            <w:tcW w:w="850" w:type="dxa"/>
            <w:shd w:val="clear" w:color="auto" w:fill="auto"/>
          </w:tcPr>
          <w:p w14:paraId="0832B5AA" w14:textId="77777777" w:rsidR="00E65E42" w:rsidRPr="00D403F5" w:rsidRDefault="00E65E42" w:rsidP="00E65E42">
            <w:pPr>
              <w:spacing w:after="0"/>
              <w:rPr>
                <w:rFonts w:ascii="Arial Narrow" w:hAnsi="Arial Narrow" w:cs="Arial"/>
                <w:b/>
                <w:sz w:val="18"/>
                <w:szCs w:val="18"/>
              </w:rPr>
            </w:pPr>
            <w:r w:rsidRPr="00D403F5">
              <w:rPr>
                <w:rFonts w:ascii="Arial Narrow" w:hAnsi="Arial Narrow" w:cs="Arial"/>
                <w:b/>
                <w:sz w:val="18"/>
                <w:szCs w:val="18"/>
              </w:rPr>
              <w:t>Citation</w:t>
            </w:r>
          </w:p>
        </w:tc>
      </w:tr>
      <w:tr w:rsidR="00E65E42" w:rsidRPr="00D403F5" w14:paraId="05E0BF37" w14:textId="77777777" w:rsidTr="00E65E42">
        <w:tc>
          <w:tcPr>
            <w:tcW w:w="709" w:type="dxa"/>
            <w:shd w:val="clear" w:color="auto" w:fill="auto"/>
          </w:tcPr>
          <w:p w14:paraId="0B053D24"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Cell culture</w:t>
            </w:r>
          </w:p>
        </w:tc>
        <w:tc>
          <w:tcPr>
            <w:tcW w:w="1134" w:type="dxa"/>
            <w:shd w:val="clear" w:color="auto" w:fill="auto"/>
          </w:tcPr>
          <w:p w14:paraId="630733FD"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Surveillance, diagnosis</w:t>
            </w:r>
          </w:p>
        </w:tc>
        <w:tc>
          <w:tcPr>
            <w:tcW w:w="1134" w:type="dxa"/>
            <w:shd w:val="clear" w:color="auto" w:fill="auto"/>
          </w:tcPr>
          <w:p w14:paraId="26626DAB"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1134" w:type="dxa"/>
            <w:shd w:val="clear" w:color="auto" w:fill="auto"/>
          </w:tcPr>
          <w:p w14:paraId="2915FD28"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Tissue homogenates</w:t>
            </w:r>
          </w:p>
        </w:tc>
        <w:tc>
          <w:tcPr>
            <w:tcW w:w="1276" w:type="dxa"/>
            <w:shd w:val="clear" w:color="auto" w:fill="auto"/>
          </w:tcPr>
          <w:p w14:paraId="4B9DBEAC"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850" w:type="dxa"/>
            <w:shd w:val="clear" w:color="auto" w:fill="auto"/>
          </w:tcPr>
          <w:p w14:paraId="7DA8AFD6"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 xml:space="preserve">Not </w:t>
            </w:r>
            <w:r w:rsidRPr="00695BD1">
              <w:rPr>
                <w:rFonts w:ascii="Arial Narrow" w:hAnsi="Arial Narrow" w:cs="Arial"/>
                <w:sz w:val="18"/>
                <w:szCs w:val="18"/>
                <w:highlight w:val="yellow"/>
                <w:u w:val="double"/>
              </w:rPr>
              <w:t>yet</w:t>
            </w:r>
            <w:r>
              <w:rPr>
                <w:rFonts w:ascii="Arial Narrow" w:hAnsi="Arial Narrow" w:cs="Arial"/>
                <w:sz w:val="18"/>
                <w:szCs w:val="18"/>
                <w:u w:val="double"/>
              </w:rPr>
              <w:t xml:space="preserve"> </w:t>
            </w:r>
            <w:r w:rsidRPr="00D403F5">
              <w:rPr>
                <w:rFonts w:ascii="Arial Narrow" w:hAnsi="Arial Narrow" w:cs="Arial"/>
                <w:sz w:val="18"/>
                <w:szCs w:val="18"/>
                <w:u w:val="double"/>
              </w:rPr>
              <w:t>available</w:t>
            </w:r>
          </w:p>
        </w:tc>
        <w:tc>
          <w:tcPr>
            <w:tcW w:w="993" w:type="dxa"/>
            <w:shd w:val="clear" w:color="auto" w:fill="auto"/>
          </w:tcPr>
          <w:p w14:paraId="4B6E9F66"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 xml:space="preserve">Not </w:t>
            </w:r>
            <w:r w:rsidRPr="00695BD1">
              <w:rPr>
                <w:rFonts w:ascii="Arial Narrow" w:hAnsi="Arial Narrow" w:cs="Arial"/>
                <w:sz w:val="18"/>
                <w:szCs w:val="18"/>
                <w:highlight w:val="yellow"/>
                <w:u w:val="double"/>
              </w:rPr>
              <w:t>yet</w:t>
            </w:r>
            <w:r w:rsidRPr="007D68A9">
              <w:rPr>
                <w:rFonts w:ascii="Arial Narrow" w:hAnsi="Arial Narrow" w:cs="Arial"/>
                <w:sz w:val="18"/>
                <w:szCs w:val="18"/>
                <w:u w:val="double"/>
              </w:rPr>
              <w:t xml:space="preserve"> </w:t>
            </w:r>
            <w:r w:rsidRPr="00D403F5">
              <w:rPr>
                <w:rFonts w:ascii="Arial Narrow" w:hAnsi="Arial Narrow" w:cs="Arial"/>
                <w:sz w:val="18"/>
                <w:szCs w:val="18"/>
                <w:u w:val="double"/>
              </w:rPr>
              <w:t>available</w:t>
            </w:r>
          </w:p>
        </w:tc>
        <w:tc>
          <w:tcPr>
            <w:tcW w:w="1020" w:type="dxa"/>
            <w:shd w:val="clear" w:color="auto" w:fill="auto"/>
          </w:tcPr>
          <w:p w14:paraId="6DE5F33A"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850" w:type="dxa"/>
            <w:shd w:val="clear" w:color="auto" w:fill="auto"/>
          </w:tcPr>
          <w:p w14:paraId="29B0FCD8"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w:t>
            </w:r>
          </w:p>
        </w:tc>
      </w:tr>
      <w:tr w:rsidR="00E65E42" w:rsidRPr="00D403F5" w14:paraId="3E6F27D2" w14:textId="77777777" w:rsidTr="00E65E42">
        <w:trPr>
          <w:trHeight w:val="493"/>
        </w:trPr>
        <w:tc>
          <w:tcPr>
            <w:tcW w:w="709" w:type="dxa"/>
            <w:shd w:val="clear" w:color="auto" w:fill="auto"/>
          </w:tcPr>
          <w:p w14:paraId="1A14652B"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RT-PCR</w:t>
            </w:r>
          </w:p>
        </w:tc>
        <w:tc>
          <w:tcPr>
            <w:tcW w:w="1134" w:type="dxa"/>
            <w:shd w:val="clear" w:color="auto" w:fill="auto"/>
          </w:tcPr>
          <w:p w14:paraId="1B79E157"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Surveillance, diagnosis</w:t>
            </w:r>
          </w:p>
        </w:tc>
        <w:tc>
          <w:tcPr>
            <w:tcW w:w="1134" w:type="dxa"/>
            <w:shd w:val="clear" w:color="auto" w:fill="auto"/>
          </w:tcPr>
          <w:p w14:paraId="2DC67B5B"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1134" w:type="dxa"/>
            <w:shd w:val="clear" w:color="auto" w:fill="auto"/>
          </w:tcPr>
          <w:p w14:paraId="3277271A"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Tissue homogenates</w:t>
            </w:r>
          </w:p>
        </w:tc>
        <w:tc>
          <w:tcPr>
            <w:tcW w:w="1276" w:type="dxa"/>
            <w:shd w:val="clear" w:color="auto" w:fill="auto"/>
          </w:tcPr>
          <w:p w14:paraId="2023F081"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850" w:type="dxa"/>
            <w:shd w:val="clear" w:color="auto" w:fill="auto"/>
          </w:tcPr>
          <w:p w14:paraId="1DCE5976"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 xml:space="preserve">Not </w:t>
            </w:r>
            <w:r w:rsidRPr="00695BD1">
              <w:rPr>
                <w:rFonts w:ascii="Arial Narrow" w:hAnsi="Arial Narrow" w:cs="Arial"/>
                <w:sz w:val="18"/>
                <w:szCs w:val="18"/>
                <w:highlight w:val="yellow"/>
                <w:u w:val="double"/>
              </w:rPr>
              <w:t>yet</w:t>
            </w:r>
            <w:r>
              <w:rPr>
                <w:rFonts w:ascii="Arial Narrow" w:hAnsi="Arial Narrow" w:cs="Arial"/>
                <w:sz w:val="18"/>
                <w:szCs w:val="18"/>
                <w:u w:val="double"/>
              </w:rPr>
              <w:t xml:space="preserve"> </w:t>
            </w:r>
            <w:r w:rsidRPr="00D403F5">
              <w:rPr>
                <w:rFonts w:ascii="Arial Narrow" w:hAnsi="Arial Narrow" w:cs="Arial"/>
                <w:sz w:val="18"/>
                <w:szCs w:val="18"/>
                <w:u w:val="double"/>
              </w:rPr>
              <w:t>available</w:t>
            </w:r>
          </w:p>
        </w:tc>
        <w:tc>
          <w:tcPr>
            <w:tcW w:w="993" w:type="dxa"/>
            <w:shd w:val="clear" w:color="auto" w:fill="auto"/>
          </w:tcPr>
          <w:p w14:paraId="104ABA1E"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 xml:space="preserve">Not </w:t>
            </w:r>
            <w:r w:rsidRPr="00695BD1">
              <w:rPr>
                <w:rFonts w:ascii="Arial Narrow" w:hAnsi="Arial Narrow" w:cs="Arial"/>
                <w:sz w:val="18"/>
                <w:szCs w:val="18"/>
                <w:highlight w:val="yellow"/>
                <w:u w:val="double"/>
              </w:rPr>
              <w:t>yet</w:t>
            </w:r>
            <w:r>
              <w:rPr>
                <w:rFonts w:ascii="Arial Narrow" w:hAnsi="Arial Narrow" w:cs="Arial"/>
                <w:sz w:val="18"/>
                <w:szCs w:val="18"/>
                <w:u w:val="double"/>
              </w:rPr>
              <w:t xml:space="preserve"> </w:t>
            </w:r>
            <w:r w:rsidRPr="00D403F5">
              <w:rPr>
                <w:rFonts w:ascii="Arial Narrow" w:hAnsi="Arial Narrow" w:cs="Arial"/>
                <w:sz w:val="18"/>
                <w:szCs w:val="18"/>
                <w:u w:val="double"/>
              </w:rPr>
              <w:t>available</w:t>
            </w:r>
          </w:p>
        </w:tc>
        <w:tc>
          <w:tcPr>
            <w:tcW w:w="1020" w:type="dxa"/>
            <w:shd w:val="clear" w:color="auto" w:fill="auto"/>
          </w:tcPr>
          <w:p w14:paraId="1DD2D7DC"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850" w:type="dxa"/>
            <w:shd w:val="clear" w:color="auto" w:fill="auto"/>
          </w:tcPr>
          <w:p w14:paraId="3CAFC6EC"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w:t>
            </w:r>
          </w:p>
        </w:tc>
      </w:tr>
      <w:tr w:rsidR="00E65E42" w:rsidRPr="00D403F5" w14:paraId="7530AB50" w14:textId="77777777" w:rsidTr="00E65E42">
        <w:tc>
          <w:tcPr>
            <w:tcW w:w="709" w:type="dxa"/>
            <w:shd w:val="clear" w:color="auto" w:fill="auto"/>
          </w:tcPr>
          <w:p w14:paraId="49578632"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RT-PCR</w:t>
            </w:r>
          </w:p>
        </w:tc>
        <w:tc>
          <w:tcPr>
            <w:tcW w:w="1134" w:type="dxa"/>
            <w:shd w:val="clear" w:color="auto" w:fill="auto"/>
          </w:tcPr>
          <w:p w14:paraId="3DC3FD03"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Surveillance, diagnosis</w:t>
            </w:r>
          </w:p>
        </w:tc>
        <w:tc>
          <w:tcPr>
            <w:tcW w:w="1134" w:type="dxa"/>
            <w:shd w:val="clear" w:color="auto" w:fill="auto"/>
          </w:tcPr>
          <w:p w14:paraId="22CE358E"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1134" w:type="dxa"/>
            <w:shd w:val="clear" w:color="auto" w:fill="auto"/>
          </w:tcPr>
          <w:p w14:paraId="5BE95DC7"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 xml:space="preserve">Cell culture </w:t>
            </w:r>
          </w:p>
        </w:tc>
        <w:tc>
          <w:tcPr>
            <w:tcW w:w="1276" w:type="dxa"/>
            <w:shd w:val="clear" w:color="auto" w:fill="auto"/>
          </w:tcPr>
          <w:p w14:paraId="22BF894A"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850" w:type="dxa"/>
            <w:shd w:val="clear" w:color="auto" w:fill="auto"/>
          </w:tcPr>
          <w:p w14:paraId="2902A83D"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 xml:space="preserve">Not </w:t>
            </w:r>
            <w:r w:rsidRPr="00695BD1">
              <w:rPr>
                <w:rFonts w:ascii="Arial Narrow" w:hAnsi="Arial Narrow" w:cs="Arial"/>
                <w:sz w:val="18"/>
                <w:szCs w:val="18"/>
                <w:highlight w:val="yellow"/>
                <w:u w:val="double"/>
              </w:rPr>
              <w:t>yet</w:t>
            </w:r>
            <w:r>
              <w:rPr>
                <w:rFonts w:ascii="Arial Narrow" w:hAnsi="Arial Narrow" w:cs="Arial"/>
                <w:sz w:val="18"/>
                <w:szCs w:val="18"/>
                <w:u w:val="double"/>
              </w:rPr>
              <w:t xml:space="preserve"> </w:t>
            </w:r>
            <w:r w:rsidRPr="00D403F5">
              <w:rPr>
                <w:rFonts w:ascii="Arial Narrow" w:hAnsi="Arial Narrow" w:cs="Arial"/>
                <w:sz w:val="18"/>
                <w:szCs w:val="18"/>
                <w:u w:val="double"/>
              </w:rPr>
              <w:t>available</w:t>
            </w:r>
          </w:p>
        </w:tc>
        <w:tc>
          <w:tcPr>
            <w:tcW w:w="993" w:type="dxa"/>
            <w:shd w:val="clear" w:color="auto" w:fill="auto"/>
          </w:tcPr>
          <w:p w14:paraId="65FCE328"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 xml:space="preserve">Not </w:t>
            </w:r>
            <w:r w:rsidRPr="00695BD1">
              <w:rPr>
                <w:rFonts w:ascii="Arial Narrow" w:hAnsi="Arial Narrow" w:cs="Arial"/>
                <w:sz w:val="18"/>
                <w:szCs w:val="18"/>
                <w:highlight w:val="yellow"/>
                <w:u w:val="double"/>
              </w:rPr>
              <w:t>yet</w:t>
            </w:r>
            <w:r>
              <w:rPr>
                <w:rFonts w:ascii="Arial Narrow" w:hAnsi="Arial Narrow" w:cs="Arial"/>
                <w:sz w:val="18"/>
                <w:szCs w:val="18"/>
                <w:u w:val="double"/>
              </w:rPr>
              <w:t xml:space="preserve"> </w:t>
            </w:r>
            <w:r w:rsidRPr="00D403F5">
              <w:rPr>
                <w:rFonts w:ascii="Arial Narrow" w:hAnsi="Arial Narrow" w:cs="Arial"/>
                <w:sz w:val="18"/>
                <w:szCs w:val="18"/>
                <w:u w:val="double"/>
              </w:rPr>
              <w:t>available</w:t>
            </w:r>
          </w:p>
        </w:tc>
        <w:tc>
          <w:tcPr>
            <w:tcW w:w="1020" w:type="dxa"/>
            <w:shd w:val="clear" w:color="auto" w:fill="auto"/>
          </w:tcPr>
          <w:p w14:paraId="31A35BCF"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850" w:type="dxa"/>
            <w:shd w:val="clear" w:color="auto" w:fill="auto"/>
          </w:tcPr>
          <w:p w14:paraId="6305EBB7" w14:textId="77777777" w:rsidR="00E65E42" w:rsidRPr="00D403F5" w:rsidRDefault="00E65E42" w:rsidP="00E65E42">
            <w:pPr>
              <w:spacing w:after="0"/>
              <w:rPr>
                <w:rFonts w:ascii="Arial Narrow" w:hAnsi="Arial Narrow" w:cs="Arial"/>
                <w:sz w:val="18"/>
                <w:szCs w:val="18"/>
                <w:u w:val="double"/>
              </w:rPr>
            </w:pPr>
            <w:r w:rsidRPr="00D403F5">
              <w:rPr>
                <w:rFonts w:ascii="Arial Narrow" w:hAnsi="Arial Narrow" w:cs="Arial"/>
                <w:sz w:val="18"/>
                <w:szCs w:val="18"/>
                <w:u w:val="double"/>
              </w:rPr>
              <w:t>–</w:t>
            </w:r>
          </w:p>
        </w:tc>
      </w:tr>
      <w:tr w:rsidR="00E65E42" w:rsidRPr="00D403F5" w14:paraId="5545DBC2" w14:textId="77777777" w:rsidTr="00E65E42">
        <w:tc>
          <w:tcPr>
            <w:tcW w:w="709" w:type="dxa"/>
            <w:shd w:val="clear" w:color="auto" w:fill="auto"/>
          </w:tcPr>
          <w:p w14:paraId="6729021D" w14:textId="77777777" w:rsidR="00E65E42" w:rsidRPr="00D403F5" w:rsidRDefault="00E65E42" w:rsidP="00E65E42">
            <w:pPr>
              <w:spacing w:after="0"/>
              <w:rPr>
                <w:rFonts w:ascii="Arial Narrow" w:hAnsi="Arial Narrow" w:cs="Arial"/>
                <w:strike/>
                <w:sz w:val="18"/>
                <w:szCs w:val="18"/>
              </w:rPr>
            </w:pPr>
            <w:r w:rsidRPr="00D403F5">
              <w:rPr>
                <w:rFonts w:ascii="Arial Narrow" w:hAnsi="Arial Narrow" w:cs="Arial"/>
                <w:strike/>
                <w:sz w:val="18"/>
                <w:szCs w:val="18"/>
              </w:rPr>
              <w:t>RT-LAMP*</w:t>
            </w:r>
          </w:p>
        </w:tc>
        <w:tc>
          <w:tcPr>
            <w:tcW w:w="1134" w:type="dxa"/>
            <w:shd w:val="clear" w:color="auto" w:fill="auto"/>
          </w:tcPr>
          <w:p w14:paraId="2B42FBA9" w14:textId="77777777" w:rsidR="00E65E42" w:rsidRPr="00D403F5" w:rsidRDefault="00E65E42" w:rsidP="00E65E42">
            <w:pPr>
              <w:spacing w:after="0"/>
              <w:rPr>
                <w:rFonts w:ascii="Arial Narrow" w:hAnsi="Arial Narrow" w:cs="Arial"/>
                <w:strike/>
                <w:sz w:val="18"/>
                <w:szCs w:val="18"/>
              </w:rPr>
            </w:pPr>
            <w:r w:rsidRPr="00D403F5">
              <w:rPr>
                <w:rFonts w:ascii="Arial Narrow" w:hAnsi="Arial Narrow" w:cs="Arial"/>
                <w:strike/>
                <w:sz w:val="18"/>
                <w:szCs w:val="18"/>
              </w:rPr>
              <w:t>Surveillance</w:t>
            </w:r>
          </w:p>
        </w:tc>
        <w:tc>
          <w:tcPr>
            <w:tcW w:w="1134" w:type="dxa"/>
            <w:shd w:val="clear" w:color="auto" w:fill="auto"/>
          </w:tcPr>
          <w:p w14:paraId="43BD562A" w14:textId="77777777" w:rsidR="00E65E42" w:rsidRPr="00D403F5" w:rsidRDefault="00E65E42" w:rsidP="00E65E42">
            <w:pPr>
              <w:spacing w:after="0"/>
              <w:rPr>
                <w:rFonts w:ascii="Arial Narrow" w:hAnsi="Arial Narrow" w:cs="Arial"/>
                <w:strike/>
                <w:sz w:val="18"/>
                <w:szCs w:val="18"/>
              </w:rPr>
            </w:pPr>
            <w:r w:rsidRPr="00D403F5">
              <w:rPr>
                <w:rFonts w:ascii="Arial Narrow" w:hAnsi="Arial Narrow" w:cs="Arial"/>
                <w:strike/>
                <w:sz w:val="18"/>
                <w:szCs w:val="18"/>
              </w:rPr>
              <w:t>Live imported fish</w:t>
            </w:r>
          </w:p>
        </w:tc>
        <w:tc>
          <w:tcPr>
            <w:tcW w:w="1134" w:type="dxa"/>
            <w:shd w:val="clear" w:color="auto" w:fill="auto"/>
          </w:tcPr>
          <w:p w14:paraId="519F65F2" w14:textId="77777777" w:rsidR="00E65E42" w:rsidRPr="00D403F5" w:rsidRDefault="00E65E42" w:rsidP="00E65E42">
            <w:pPr>
              <w:spacing w:after="0"/>
              <w:rPr>
                <w:rFonts w:ascii="Arial Narrow" w:hAnsi="Arial Narrow" w:cs="Arial"/>
                <w:strike/>
                <w:sz w:val="18"/>
                <w:szCs w:val="18"/>
              </w:rPr>
            </w:pPr>
            <w:r w:rsidRPr="00D403F5">
              <w:rPr>
                <w:rFonts w:ascii="Arial Narrow" w:hAnsi="Arial Narrow" w:cs="Arial"/>
                <w:strike/>
                <w:sz w:val="18"/>
                <w:szCs w:val="18"/>
              </w:rPr>
              <w:t>Spleen, kidney and brain homogenate</w:t>
            </w:r>
          </w:p>
        </w:tc>
        <w:tc>
          <w:tcPr>
            <w:tcW w:w="1276" w:type="dxa"/>
            <w:shd w:val="clear" w:color="auto" w:fill="auto"/>
          </w:tcPr>
          <w:p w14:paraId="6B16C2D6" w14:textId="77777777" w:rsidR="00E65E42" w:rsidRPr="00D403F5" w:rsidRDefault="00E65E42" w:rsidP="00E65E42">
            <w:pPr>
              <w:spacing w:after="0"/>
              <w:rPr>
                <w:rFonts w:ascii="Arial Narrow" w:hAnsi="Arial Narrow" w:cs="Arial"/>
                <w:strike/>
                <w:sz w:val="18"/>
                <w:szCs w:val="18"/>
              </w:rPr>
            </w:pPr>
            <w:r w:rsidRPr="00D403F5">
              <w:rPr>
                <w:rFonts w:ascii="Arial Narrow" w:hAnsi="Arial Narrow" w:cs="Arial"/>
                <w:strike/>
                <w:sz w:val="18"/>
                <w:szCs w:val="18"/>
              </w:rPr>
              <w:t>Common carp, koi, goldfish</w:t>
            </w:r>
          </w:p>
        </w:tc>
        <w:tc>
          <w:tcPr>
            <w:tcW w:w="850" w:type="dxa"/>
            <w:shd w:val="clear" w:color="auto" w:fill="auto"/>
          </w:tcPr>
          <w:p w14:paraId="633D8859" w14:textId="77777777" w:rsidR="00E65E42" w:rsidRPr="00D403F5" w:rsidRDefault="00E65E42" w:rsidP="00E65E42">
            <w:pPr>
              <w:spacing w:after="0"/>
              <w:rPr>
                <w:rFonts w:ascii="Arial Narrow" w:hAnsi="Arial Narrow" w:cs="Arial"/>
                <w:strike/>
                <w:sz w:val="18"/>
                <w:szCs w:val="18"/>
              </w:rPr>
            </w:pPr>
            <w:r w:rsidRPr="00D403F5">
              <w:rPr>
                <w:rFonts w:ascii="Arial Narrow" w:hAnsi="Arial Narrow" w:cs="Arial"/>
                <w:strike/>
                <w:sz w:val="18"/>
                <w:szCs w:val="18"/>
              </w:rPr>
              <w:t>92.6 (27)</w:t>
            </w:r>
          </w:p>
        </w:tc>
        <w:tc>
          <w:tcPr>
            <w:tcW w:w="993" w:type="dxa"/>
            <w:shd w:val="clear" w:color="auto" w:fill="auto"/>
          </w:tcPr>
          <w:p w14:paraId="4AA49ADE" w14:textId="77777777" w:rsidR="00E65E42" w:rsidRPr="00D403F5" w:rsidRDefault="00E65E42" w:rsidP="00E65E42">
            <w:pPr>
              <w:spacing w:after="0"/>
              <w:rPr>
                <w:rFonts w:ascii="Arial Narrow" w:hAnsi="Arial Narrow" w:cs="Arial"/>
                <w:strike/>
                <w:sz w:val="18"/>
                <w:szCs w:val="18"/>
              </w:rPr>
            </w:pPr>
            <w:r w:rsidRPr="00D403F5">
              <w:rPr>
                <w:rFonts w:ascii="Arial Narrow" w:hAnsi="Arial Narrow" w:cs="Arial"/>
                <w:strike/>
                <w:sz w:val="18"/>
                <w:szCs w:val="18"/>
              </w:rPr>
              <w:t>98.2 (445)</w:t>
            </w:r>
          </w:p>
        </w:tc>
        <w:tc>
          <w:tcPr>
            <w:tcW w:w="1020" w:type="dxa"/>
            <w:shd w:val="clear" w:color="auto" w:fill="auto"/>
          </w:tcPr>
          <w:p w14:paraId="27D61D01" w14:textId="77777777" w:rsidR="00E65E42" w:rsidRPr="00D403F5" w:rsidRDefault="00E65E42" w:rsidP="00E65E42">
            <w:pPr>
              <w:spacing w:after="0"/>
              <w:rPr>
                <w:rFonts w:ascii="Arial Narrow" w:hAnsi="Arial Narrow" w:cs="Arial"/>
                <w:strike/>
                <w:sz w:val="18"/>
                <w:szCs w:val="18"/>
              </w:rPr>
            </w:pPr>
            <w:r w:rsidRPr="00D403F5">
              <w:rPr>
                <w:rFonts w:ascii="Arial Narrow" w:hAnsi="Arial Narrow" w:cs="Arial"/>
                <w:strike/>
                <w:sz w:val="18"/>
                <w:szCs w:val="18"/>
              </w:rPr>
              <w:t>Virus isolation</w:t>
            </w:r>
          </w:p>
        </w:tc>
        <w:tc>
          <w:tcPr>
            <w:tcW w:w="850" w:type="dxa"/>
            <w:shd w:val="clear" w:color="auto" w:fill="auto"/>
          </w:tcPr>
          <w:p w14:paraId="5C23677C" w14:textId="77777777" w:rsidR="00E65E42" w:rsidRPr="00D403F5" w:rsidRDefault="00E65E42" w:rsidP="00E65E42">
            <w:pPr>
              <w:spacing w:after="0"/>
              <w:rPr>
                <w:rFonts w:ascii="Arial Narrow" w:hAnsi="Arial Narrow" w:cs="Arial"/>
                <w:strike/>
                <w:sz w:val="18"/>
                <w:szCs w:val="18"/>
              </w:rPr>
            </w:pPr>
            <w:r w:rsidRPr="00D403F5">
              <w:rPr>
                <w:rFonts w:ascii="Arial Narrow" w:hAnsi="Arial Narrow" w:cs="Arial"/>
                <w:strike/>
                <w:sz w:val="18"/>
                <w:szCs w:val="18"/>
              </w:rPr>
              <w:t xml:space="preserve">Liu </w:t>
            </w:r>
            <w:r w:rsidRPr="00D403F5">
              <w:rPr>
                <w:rFonts w:ascii="Arial Narrow" w:hAnsi="Arial Narrow" w:cs="Arial"/>
                <w:i/>
                <w:strike/>
                <w:sz w:val="18"/>
                <w:szCs w:val="18"/>
              </w:rPr>
              <w:t>et al.,</w:t>
            </w:r>
            <w:r w:rsidRPr="00D403F5">
              <w:rPr>
                <w:rFonts w:ascii="Arial Narrow" w:hAnsi="Arial Narrow" w:cs="Arial"/>
                <w:strike/>
                <w:sz w:val="18"/>
                <w:szCs w:val="18"/>
              </w:rPr>
              <w:t xml:space="preserve"> 2008</w:t>
            </w:r>
          </w:p>
        </w:tc>
      </w:tr>
    </w:tbl>
    <w:p w14:paraId="740C87E7" w14:textId="77777777" w:rsidR="00E65E42" w:rsidRPr="00E777B4" w:rsidRDefault="00E65E42" w:rsidP="00E65E42">
      <w:pPr>
        <w:spacing w:before="120" w:after="240" w:line="240" w:lineRule="auto"/>
        <w:jc w:val="center"/>
        <w:rPr>
          <w:rFonts w:ascii="Arial" w:hAnsi="Arial" w:cs="Arial"/>
          <w:b/>
          <w:strike/>
          <w:sz w:val="16"/>
          <w:szCs w:val="16"/>
        </w:rPr>
      </w:pPr>
      <w:bookmarkStart w:id="125" w:name="_Hlk33797349"/>
      <w:r w:rsidRPr="000712D1">
        <w:rPr>
          <w:rFonts w:ascii="Arial" w:hAnsi="Arial" w:cs="Arial"/>
          <w:sz w:val="16"/>
          <w:szCs w:val="16"/>
        </w:rPr>
        <w:t>DSe = diagnostic sensitivity</w:t>
      </w:r>
      <w:r>
        <w:rPr>
          <w:rFonts w:ascii="Arial" w:hAnsi="Arial" w:cs="Arial"/>
          <w:sz w:val="16"/>
          <w:szCs w:val="16"/>
        </w:rPr>
        <w:t>;</w:t>
      </w:r>
      <w:r w:rsidRPr="000712D1">
        <w:rPr>
          <w:rFonts w:ascii="Arial" w:hAnsi="Arial" w:cs="Arial"/>
          <w:sz w:val="16"/>
          <w:szCs w:val="16"/>
        </w:rPr>
        <w:t xml:space="preserve"> DSp = diagnostic specificity</w:t>
      </w:r>
      <w:r>
        <w:rPr>
          <w:rFonts w:ascii="Arial" w:hAnsi="Arial" w:cs="Arial"/>
          <w:sz w:val="16"/>
          <w:szCs w:val="16"/>
        </w:rPr>
        <w:t>;</w:t>
      </w:r>
      <w:r w:rsidRPr="000712D1">
        <w:rPr>
          <w:rFonts w:ascii="Arial" w:hAnsi="Arial" w:cs="Arial"/>
          <w:sz w:val="16"/>
          <w:szCs w:val="16"/>
        </w:rPr>
        <w:t xml:space="preserve"> </w:t>
      </w:r>
      <w:r w:rsidRPr="00C734E2">
        <w:rPr>
          <w:rFonts w:ascii="Arial" w:hAnsi="Arial"/>
          <w:i/>
          <w:iCs/>
          <w:sz w:val="16"/>
          <w:szCs w:val="16"/>
          <w:highlight w:val="yellow"/>
          <w:u w:val="double"/>
        </w:rPr>
        <w:t>n</w:t>
      </w:r>
      <w:r w:rsidRPr="00C734E2">
        <w:rPr>
          <w:rFonts w:ascii="Arial" w:hAnsi="Arial"/>
          <w:sz w:val="16"/>
          <w:szCs w:val="16"/>
          <w:highlight w:val="yellow"/>
          <w:u w:val="double"/>
        </w:rPr>
        <w:t xml:space="preserve"> = number of samples used in the study</w:t>
      </w:r>
      <w:r>
        <w:rPr>
          <w:rFonts w:ascii="Arial" w:hAnsi="Arial"/>
          <w:sz w:val="16"/>
          <w:szCs w:val="16"/>
          <w:u w:val="double"/>
        </w:rPr>
        <w:t>;</w:t>
      </w:r>
      <w:r w:rsidRPr="000712D1">
        <w:rPr>
          <w:rFonts w:ascii="Arial" w:hAnsi="Arial" w:cs="Arial"/>
          <w:sz w:val="16"/>
          <w:szCs w:val="16"/>
        </w:rPr>
        <w:br/>
      </w:r>
      <w:r w:rsidRPr="00E777B4">
        <w:rPr>
          <w:rFonts w:ascii="Arial" w:hAnsi="Arial" w:cs="Arial"/>
          <w:strike/>
          <w:sz w:val="16"/>
          <w:szCs w:val="16"/>
          <w:highlight w:val="yellow"/>
        </w:rPr>
        <w:t xml:space="preserve">RT-LAMP: = real-time </w:t>
      </w:r>
      <w:r w:rsidRPr="00E777B4">
        <w:rPr>
          <w:rFonts w:ascii="Arial" w:hAnsi="Arial" w:cs="Arial"/>
          <w:strike/>
          <w:sz w:val="16"/>
          <w:szCs w:val="16"/>
          <w:highlight w:val="yellow"/>
          <w:lang w:val="en-IE"/>
        </w:rPr>
        <w:t>loop mediated isothermal amplification</w:t>
      </w:r>
      <w:r w:rsidRPr="00E777B4">
        <w:rPr>
          <w:rFonts w:ascii="Arial" w:hAnsi="Arial" w:cs="Arial"/>
          <w:strike/>
          <w:sz w:val="16"/>
          <w:szCs w:val="16"/>
          <w:highlight w:val="yellow"/>
        </w:rPr>
        <w:t>. *Listed as suitable test</w:t>
      </w:r>
    </w:p>
    <w:bookmarkEnd w:id="125"/>
    <w:p w14:paraId="1FC68E60" w14:textId="77777777" w:rsidR="00E65E42" w:rsidRPr="00BD2E1E" w:rsidRDefault="00E65E42" w:rsidP="00E65E42">
      <w:pPr>
        <w:pStyle w:val="10"/>
        <w:rPr>
          <w:rFonts w:ascii="Ottawa" w:hAnsi="Ottawa"/>
          <w:sz w:val="22"/>
          <w:szCs w:val="22"/>
          <w:lang w:bidi="en-US"/>
        </w:rPr>
      </w:pPr>
      <w:r w:rsidRPr="00BD2E1E">
        <w:rPr>
          <w:rFonts w:ascii="Ottawa" w:hAnsi="Ottawa"/>
          <w:sz w:val="22"/>
          <w:szCs w:val="22"/>
          <w:lang w:bidi="en-US"/>
        </w:rPr>
        <w:t>7.</w:t>
      </w:r>
      <w:r w:rsidRPr="00BD2E1E">
        <w:rPr>
          <w:rFonts w:ascii="Ottawa" w:hAnsi="Ottawa"/>
          <w:sz w:val="22"/>
          <w:szCs w:val="22"/>
          <w:lang w:bidi="en-US"/>
        </w:rPr>
        <w:tab/>
        <w:t>References</w:t>
      </w:r>
    </w:p>
    <w:p w14:paraId="1F50AA41" w14:textId="77777777" w:rsidR="00E65E42" w:rsidRPr="00D403F5" w:rsidRDefault="00E65E42" w:rsidP="00557B45">
      <w:pPr>
        <w:spacing w:after="240" w:line="240" w:lineRule="auto"/>
        <w:ind w:left="284"/>
        <w:jc w:val="both"/>
        <w:rPr>
          <w:rFonts w:ascii="Arial" w:hAnsi="Arial"/>
          <w:sz w:val="18"/>
          <w:szCs w:val="18"/>
          <w:lang w:val="en-US" w:eastAsia="en-GB"/>
        </w:rPr>
      </w:pPr>
      <w:r w:rsidRPr="00D403F5">
        <w:rPr>
          <w:rFonts w:ascii="Arial" w:hAnsi="Arial"/>
          <w:smallCaps/>
          <w:sz w:val="18"/>
          <w:szCs w:val="18"/>
          <w:lang w:val="en-US" w:eastAsia="en-GB"/>
        </w:rPr>
        <w:t>Ahne</w:t>
      </w:r>
      <w:r w:rsidRPr="00D403F5">
        <w:rPr>
          <w:rFonts w:ascii="Arial" w:hAnsi="Arial"/>
          <w:sz w:val="18"/>
          <w:szCs w:val="18"/>
          <w:lang w:val="en-US" w:eastAsia="en-GB"/>
        </w:rPr>
        <w:t xml:space="preserve"> W. (1976). Untersuchungen über die Stabilität des karpfenpathogenen Virusstammes 10/3. </w:t>
      </w:r>
      <w:r w:rsidRPr="00D403F5">
        <w:rPr>
          <w:rFonts w:ascii="Arial" w:hAnsi="Arial"/>
          <w:i/>
          <w:iCs/>
          <w:sz w:val="18"/>
          <w:szCs w:val="18"/>
          <w:lang w:val="en-US" w:eastAsia="en-GB"/>
        </w:rPr>
        <w:t>Fisch und Umwelt</w:t>
      </w:r>
      <w:r w:rsidRPr="00D403F5">
        <w:rPr>
          <w:rFonts w:ascii="Arial" w:hAnsi="Arial"/>
          <w:sz w:val="18"/>
          <w:szCs w:val="18"/>
          <w:lang w:val="en-US" w:eastAsia="en-GB"/>
        </w:rPr>
        <w:t>,</w:t>
      </w:r>
      <w:r w:rsidRPr="00D403F5">
        <w:rPr>
          <w:rFonts w:ascii="Arial" w:hAnsi="Arial"/>
          <w:i/>
          <w:iCs/>
          <w:sz w:val="18"/>
          <w:szCs w:val="18"/>
          <w:lang w:val="en-US" w:eastAsia="en-GB"/>
        </w:rPr>
        <w:t xml:space="preserve"> </w:t>
      </w:r>
      <w:r w:rsidRPr="00D403F5">
        <w:rPr>
          <w:rFonts w:ascii="Arial" w:hAnsi="Arial"/>
          <w:b/>
          <w:bCs/>
          <w:sz w:val="18"/>
          <w:szCs w:val="18"/>
          <w:lang w:val="en-US" w:eastAsia="en-GB"/>
        </w:rPr>
        <w:t>2</w:t>
      </w:r>
      <w:r w:rsidRPr="00D403F5">
        <w:rPr>
          <w:rFonts w:ascii="Arial" w:hAnsi="Arial"/>
          <w:bCs/>
          <w:sz w:val="18"/>
          <w:szCs w:val="18"/>
          <w:lang w:val="en-US" w:eastAsia="en-GB"/>
        </w:rPr>
        <w:t>,</w:t>
      </w:r>
      <w:r w:rsidRPr="00D403F5">
        <w:rPr>
          <w:rFonts w:ascii="Arial" w:hAnsi="Arial"/>
          <w:i/>
          <w:iCs/>
          <w:sz w:val="18"/>
          <w:szCs w:val="18"/>
          <w:lang w:val="en-US" w:eastAsia="en-GB"/>
        </w:rPr>
        <w:t xml:space="preserve"> </w:t>
      </w:r>
      <w:r w:rsidRPr="00D403F5">
        <w:rPr>
          <w:rFonts w:ascii="Arial" w:hAnsi="Arial"/>
          <w:sz w:val="18"/>
          <w:szCs w:val="18"/>
          <w:lang w:val="en-US" w:eastAsia="en-GB"/>
        </w:rPr>
        <w:t>121–127.</w:t>
      </w:r>
    </w:p>
    <w:p w14:paraId="564CAA6B" w14:textId="77777777" w:rsidR="00754D87" w:rsidRDefault="00754D87" w:rsidP="00754D87">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74A04DFC" w14:textId="77777777" w:rsidR="00E65E42" w:rsidRPr="00D403F5" w:rsidRDefault="00E65E42" w:rsidP="00557B45">
      <w:pPr>
        <w:spacing w:after="240" w:line="240" w:lineRule="auto"/>
        <w:ind w:left="284"/>
        <w:jc w:val="both"/>
        <w:rPr>
          <w:rFonts w:ascii="Arial" w:hAnsi="Arial" w:cs="Arial"/>
          <w:noProof/>
          <w:sz w:val="18"/>
          <w:szCs w:val="18"/>
          <w:lang w:val="en-US" w:bidi="en-US"/>
        </w:rPr>
      </w:pPr>
      <w:r w:rsidRPr="00D403F5">
        <w:rPr>
          <w:rFonts w:ascii="Arial" w:hAnsi="Arial"/>
          <w:smallCaps/>
          <w:sz w:val="18"/>
          <w:szCs w:val="18"/>
          <w:lang w:val="en-US" w:bidi="en-US"/>
        </w:rPr>
        <w:t>Ahne</w:t>
      </w:r>
      <w:r w:rsidRPr="00D403F5">
        <w:rPr>
          <w:rFonts w:ascii="Arial" w:hAnsi="Arial"/>
          <w:sz w:val="18"/>
          <w:szCs w:val="18"/>
          <w:lang w:val="en-US" w:bidi="en-US"/>
        </w:rPr>
        <w:t xml:space="preserve"> W. (1982). Vergleichende Untersuchungen über die Stabilität von vier fischpathogenen Viren (VHSV, PFR, SVCV, IPNV). </w:t>
      </w:r>
      <w:r w:rsidRPr="00D403F5">
        <w:rPr>
          <w:rFonts w:ascii="Arial" w:hAnsi="Arial"/>
          <w:i/>
          <w:iCs/>
          <w:sz w:val="18"/>
          <w:szCs w:val="18"/>
          <w:lang w:val="en-US" w:bidi="en-US"/>
        </w:rPr>
        <w:t>Zbl. Vet. Med. B</w:t>
      </w:r>
      <w:r w:rsidRPr="00D403F5">
        <w:rPr>
          <w:rFonts w:ascii="Arial" w:hAnsi="Arial"/>
          <w:sz w:val="18"/>
          <w:szCs w:val="18"/>
          <w:lang w:val="en-US" w:bidi="en-US"/>
        </w:rPr>
        <w:t xml:space="preserve">, </w:t>
      </w:r>
      <w:r w:rsidRPr="00D403F5">
        <w:rPr>
          <w:rFonts w:ascii="Arial" w:hAnsi="Arial"/>
          <w:b/>
          <w:bCs/>
          <w:sz w:val="18"/>
          <w:szCs w:val="18"/>
          <w:lang w:val="en-US" w:bidi="en-US"/>
        </w:rPr>
        <w:t>29</w:t>
      </w:r>
      <w:r w:rsidRPr="00D403F5">
        <w:rPr>
          <w:rFonts w:ascii="Arial" w:hAnsi="Arial"/>
          <w:sz w:val="18"/>
          <w:szCs w:val="18"/>
          <w:lang w:val="en-US" w:bidi="en-US"/>
        </w:rPr>
        <w:t>, 457–476.</w:t>
      </w:r>
    </w:p>
    <w:p w14:paraId="44DCBC99" w14:textId="77777777" w:rsidR="00E65E42" w:rsidRPr="00D403F5" w:rsidRDefault="00E65E42" w:rsidP="00557B45">
      <w:pPr>
        <w:spacing w:after="240" w:line="240" w:lineRule="auto"/>
        <w:ind w:left="284"/>
        <w:jc w:val="both"/>
        <w:rPr>
          <w:rFonts w:ascii="Arial" w:hAnsi="Arial" w:cs="Arial"/>
          <w:noProof/>
          <w:sz w:val="18"/>
          <w:szCs w:val="18"/>
          <w:lang w:val="en-US" w:bidi="en-US"/>
        </w:rPr>
      </w:pPr>
      <w:r w:rsidRPr="00D403F5">
        <w:rPr>
          <w:rFonts w:ascii="Arial" w:hAnsi="Arial"/>
          <w:smallCaps/>
          <w:sz w:val="18"/>
          <w:szCs w:val="18"/>
          <w:lang w:val="en-US" w:bidi="en-US"/>
        </w:rPr>
        <w:t>Ahne</w:t>
      </w:r>
      <w:r w:rsidRPr="00D403F5">
        <w:rPr>
          <w:rFonts w:ascii="Arial" w:hAnsi="Arial"/>
          <w:sz w:val="18"/>
          <w:szCs w:val="18"/>
          <w:lang w:val="en-US" w:bidi="en-US"/>
        </w:rPr>
        <w:t xml:space="preserve"> </w:t>
      </w:r>
      <w:r w:rsidRPr="00D403F5">
        <w:rPr>
          <w:rFonts w:ascii="Arial" w:hAnsi="Arial" w:cs="Arial"/>
          <w:noProof/>
          <w:sz w:val="18"/>
          <w:szCs w:val="18"/>
          <w:lang w:val="en-US" w:bidi="en-US"/>
        </w:rPr>
        <w:t xml:space="preserve">W. (1986). Unterschiedliche biologische Eigenschaften 4 cyprinidenpathogener Rhabdovirusisolate. </w:t>
      </w:r>
      <w:r w:rsidRPr="00D403F5">
        <w:rPr>
          <w:rFonts w:ascii="Arial" w:hAnsi="Arial" w:cs="Arial"/>
          <w:i/>
          <w:noProof/>
          <w:sz w:val="18"/>
          <w:szCs w:val="18"/>
          <w:lang w:val="en-US" w:bidi="en-US"/>
        </w:rPr>
        <w:t>J. Vet. Med. B</w:t>
      </w:r>
      <w:r w:rsidRPr="00D403F5">
        <w:rPr>
          <w:rFonts w:ascii="Arial" w:hAnsi="Arial" w:cs="Arial"/>
          <w:noProof/>
          <w:sz w:val="18"/>
          <w:szCs w:val="18"/>
          <w:lang w:val="en-US" w:bidi="en-US"/>
        </w:rPr>
        <w:t>,</w:t>
      </w:r>
      <w:r w:rsidRPr="00D403F5">
        <w:rPr>
          <w:rFonts w:ascii="Arial" w:hAnsi="Arial" w:cs="Arial"/>
          <w:i/>
          <w:noProof/>
          <w:sz w:val="18"/>
          <w:szCs w:val="18"/>
          <w:lang w:val="en-US" w:bidi="en-US"/>
        </w:rPr>
        <w:t xml:space="preserve"> </w:t>
      </w:r>
      <w:r w:rsidRPr="00D403F5">
        <w:rPr>
          <w:rFonts w:ascii="Arial" w:hAnsi="Arial" w:cs="Arial"/>
          <w:b/>
          <w:noProof/>
          <w:sz w:val="18"/>
          <w:szCs w:val="18"/>
          <w:lang w:val="en-US" w:bidi="en-US"/>
        </w:rPr>
        <w:t>33</w:t>
      </w:r>
      <w:r w:rsidRPr="00D403F5">
        <w:rPr>
          <w:rFonts w:ascii="Arial" w:hAnsi="Arial" w:cs="Arial"/>
          <w:noProof/>
          <w:sz w:val="18"/>
          <w:szCs w:val="18"/>
          <w:lang w:val="en-US" w:bidi="en-US"/>
        </w:rPr>
        <w:t>,</w:t>
      </w:r>
      <w:r w:rsidRPr="00D403F5">
        <w:rPr>
          <w:rFonts w:ascii="Arial" w:hAnsi="Arial" w:cs="Arial"/>
          <w:i/>
          <w:noProof/>
          <w:sz w:val="18"/>
          <w:szCs w:val="18"/>
          <w:lang w:val="en-US" w:bidi="en-US"/>
        </w:rPr>
        <w:t xml:space="preserve"> </w:t>
      </w:r>
      <w:r w:rsidRPr="00D403F5">
        <w:rPr>
          <w:rFonts w:ascii="Arial" w:hAnsi="Arial" w:cs="Arial"/>
          <w:noProof/>
          <w:sz w:val="18"/>
          <w:szCs w:val="18"/>
          <w:lang w:val="en-US" w:bidi="en-US"/>
        </w:rPr>
        <w:t xml:space="preserve">253–259. </w:t>
      </w:r>
    </w:p>
    <w:p w14:paraId="633C23C1" w14:textId="77777777" w:rsidR="00E65E42" w:rsidRPr="00D403F5" w:rsidRDefault="00E65E42" w:rsidP="00557B45">
      <w:pPr>
        <w:spacing w:after="240" w:line="240" w:lineRule="auto"/>
        <w:ind w:left="284"/>
        <w:jc w:val="both"/>
        <w:rPr>
          <w:rFonts w:ascii="Arial" w:hAnsi="Arial" w:cs="Arial"/>
          <w:noProof/>
          <w:sz w:val="18"/>
          <w:szCs w:val="18"/>
          <w:lang w:bidi="en-US"/>
        </w:rPr>
      </w:pPr>
      <w:r w:rsidRPr="00D403F5">
        <w:rPr>
          <w:rFonts w:ascii="Arial" w:hAnsi="Arial"/>
          <w:sz w:val="18"/>
          <w:szCs w:val="18"/>
          <w:lang w:val="en-US" w:bidi="en-US"/>
        </w:rPr>
        <w:t>A</w:t>
      </w:r>
      <w:r w:rsidRPr="00D403F5">
        <w:rPr>
          <w:rFonts w:ascii="Arial" w:hAnsi="Arial"/>
          <w:smallCaps/>
          <w:sz w:val="18"/>
          <w:szCs w:val="18"/>
          <w:lang w:val="en-US" w:bidi="en-US"/>
        </w:rPr>
        <w:t>hne W., Bjorklund H.V., Essbauer S., Fijan N., Kurath G. &amp; Winton J.R.</w:t>
      </w:r>
      <w:r w:rsidRPr="00D403F5">
        <w:rPr>
          <w:rFonts w:ascii="Arial" w:hAnsi="Arial"/>
          <w:sz w:val="18"/>
          <w:szCs w:val="18"/>
          <w:lang w:val="en-US" w:bidi="en-US"/>
        </w:rPr>
        <w:t xml:space="preserve"> (2002). </w:t>
      </w:r>
      <w:r w:rsidRPr="00D403F5">
        <w:rPr>
          <w:rFonts w:ascii="Arial" w:hAnsi="Arial"/>
          <w:sz w:val="18"/>
          <w:szCs w:val="18"/>
          <w:lang w:val="en-IE" w:bidi="en-US"/>
        </w:rPr>
        <w:t xml:space="preserve">Spring viremia of carp (SVC). </w:t>
      </w:r>
      <w:r w:rsidRPr="00D403F5">
        <w:rPr>
          <w:rFonts w:ascii="Arial" w:hAnsi="Arial"/>
          <w:i/>
          <w:iCs/>
          <w:sz w:val="18"/>
          <w:szCs w:val="18"/>
          <w:lang w:val="en-IE" w:bidi="en-US"/>
        </w:rPr>
        <w:t>Dis. aquat. Org.</w:t>
      </w:r>
      <w:r w:rsidRPr="00D403F5">
        <w:rPr>
          <w:rFonts w:ascii="Arial" w:hAnsi="Arial"/>
          <w:sz w:val="18"/>
          <w:szCs w:val="18"/>
          <w:lang w:val="en-IE" w:bidi="en-US"/>
        </w:rPr>
        <w:t xml:space="preserve">, </w:t>
      </w:r>
      <w:r w:rsidRPr="00D403F5">
        <w:rPr>
          <w:rFonts w:ascii="Arial" w:hAnsi="Arial"/>
          <w:b/>
          <w:bCs/>
          <w:sz w:val="18"/>
          <w:szCs w:val="18"/>
          <w:lang w:val="en-IE" w:bidi="en-US"/>
        </w:rPr>
        <w:t>52</w:t>
      </w:r>
      <w:r w:rsidRPr="00D403F5">
        <w:rPr>
          <w:rFonts w:ascii="Arial" w:hAnsi="Arial"/>
          <w:sz w:val="18"/>
          <w:szCs w:val="18"/>
          <w:lang w:val="en-IE" w:bidi="en-US"/>
        </w:rPr>
        <w:t>, 261–272.</w:t>
      </w:r>
    </w:p>
    <w:p w14:paraId="15348BB7" w14:textId="77777777" w:rsidR="00E65E42" w:rsidRPr="00D403F5" w:rsidRDefault="00E65E42" w:rsidP="00557B45">
      <w:pPr>
        <w:spacing w:after="240" w:line="240" w:lineRule="auto"/>
        <w:ind w:left="284"/>
        <w:jc w:val="both"/>
        <w:rPr>
          <w:rFonts w:ascii="Arial" w:hAnsi="Arial" w:cs="Arial"/>
          <w:noProof/>
          <w:sz w:val="18"/>
          <w:szCs w:val="18"/>
          <w:lang w:val="de-DE" w:bidi="en-US"/>
        </w:rPr>
      </w:pPr>
      <w:r w:rsidRPr="00D403F5">
        <w:rPr>
          <w:rFonts w:ascii="Arial" w:hAnsi="Arial"/>
          <w:smallCaps/>
          <w:sz w:val="18"/>
          <w:szCs w:val="18"/>
          <w:lang w:val="de-DE" w:bidi="en-US"/>
        </w:rPr>
        <w:t xml:space="preserve">Ahne W. &amp; Held C. </w:t>
      </w:r>
      <w:r w:rsidRPr="00D403F5">
        <w:rPr>
          <w:rFonts w:ascii="Arial" w:hAnsi="Arial"/>
          <w:sz w:val="18"/>
          <w:szCs w:val="18"/>
          <w:lang w:val="de-DE" w:bidi="en-US"/>
        </w:rPr>
        <w:t>(1980). Untersuchungen über die viruzide Wirkung von Actomar</w:t>
      </w:r>
      <w:r w:rsidRPr="00D403F5">
        <w:rPr>
          <w:rFonts w:ascii="Arial" w:hAnsi="Arial"/>
          <w:bCs/>
          <w:position w:val="6"/>
          <w:sz w:val="18"/>
          <w:szCs w:val="18"/>
          <w:lang w:val="de-DE" w:bidi="en-US"/>
        </w:rPr>
        <w:t>®</w:t>
      </w:r>
      <w:r w:rsidRPr="00D403F5">
        <w:rPr>
          <w:rFonts w:ascii="Arial" w:hAnsi="Arial"/>
          <w:sz w:val="18"/>
          <w:szCs w:val="18"/>
          <w:lang w:val="de-DE" w:bidi="en-US"/>
        </w:rPr>
        <w:t xml:space="preserve"> K</w:t>
      </w:r>
      <w:r w:rsidRPr="00D403F5">
        <w:rPr>
          <w:rFonts w:ascii="Arial" w:hAnsi="Arial"/>
          <w:position w:val="-6"/>
          <w:sz w:val="18"/>
          <w:szCs w:val="18"/>
          <w:lang w:val="de-DE" w:bidi="en-US"/>
        </w:rPr>
        <w:t>30</w:t>
      </w:r>
      <w:r w:rsidRPr="00D403F5">
        <w:rPr>
          <w:rFonts w:ascii="Arial" w:hAnsi="Arial"/>
          <w:sz w:val="18"/>
          <w:szCs w:val="18"/>
          <w:lang w:val="de-DE" w:bidi="en-US"/>
        </w:rPr>
        <w:t xml:space="preserve"> auf fischpathogene Viren. </w:t>
      </w:r>
      <w:r w:rsidRPr="00D403F5">
        <w:rPr>
          <w:rFonts w:ascii="Arial" w:hAnsi="Arial"/>
          <w:i/>
          <w:iCs/>
          <w:sz w:val="18"/>
          <w:szCs w:val="18"/>
          <w:lang w:val="de-DE" w:bidi="en-US"/>
        </w:rPr>
        <w:t>Tierärztl. Umsch.</w:t>
      </w:r>
      <w:r w:rsidRPr="00D403F5">
        <w:rPr>
          <w:rFonts w:ascii="Arial" w:hAnsi="Arial"/>
          <w:sz w:val="18"/>
          <w:szCs w:val="18"/>
          <w:lang w:val="de-DE" w:bidi="en-US"/>
        </w:rPr>
        <w:t xml:space="preserve">, </w:t>
      </w:r>
      <w:r w:rsidRPr="00D403F5">
        <w:rPr>
          <w:rFonts w:ascii="Arial" w:hAnsi="Arial"/>
          <w:b/>
          <w:bCs/>
          <w:sz w:val="18"/>
          <w:szCs w:val="18"/>
          <w:lang w:val="de-DE" w:bidi="en-US"/>
        </w:rPr>
        <w:t>35</w:t>
      </w:r>
      <w:r w:rsidRPr="00D403F5">
        <w:rPr>
          <w:rFonts w:ascii="Arial" w:hAnsi="Arial"/>
          <w:sz w:val="18"/>
          <w:szCs w:val="18"/>
          <w:lang w:val="de-DE" w:bidi="en-US"/>
        </w:rPr>
        <w:t>, 308–318.</w:t>
      </w:r>
    </w:p>
    <w:p w14:paraId="1BE0B4D6" w14:textId="77777777" w:rsidR="00E65E42" w:rsidRPr="00D403F5" w:rsidRDefault="00E65E42" w:rsidP="00557B45">
      <w:pPr>
        <w:spacing w:after="240" w:line="240" w:lineRule="auto"/>
        <w:ind w:left="284"/>
        <w:jc w:val="both"/>
        <w:rPr>
          <w:rFonts w:ascii="Arial" w:hAnsi="Arial"/>
          <w:smallCaps/>
          <w:sz w:val="18"/>
          <w:szCs w:val="18"/>
          <w:lang w:val="en-US" w:eastAsia="en-GB"/>
        </w:rPr>
      </w:pPr>
      <w:r w:rsidRPr="00D403F5">
        <w:rPr>
          <w:rFonts w:ascii="Arial" w:hAnsi="Arial"/>
          <w:smallCaps/>
          <w:sz w:val="18"/>
          <w:szCs w:val="18"/>
          <w:lang w:val="de-DE" w:eastAsia="en-GB"/>
        </w:rPr>
        <w:t xml:space="preserve">Alikin Y.S., Shchelkunov I.S., Shchelkunova T.I., Kupinskaya O.A., Masycheva V.I., Klimenko V.P. &amp; Fadina V.A. (1996). </w:t>
      </w:r>
      <w:r w:rsidRPr="00D403F5">
        <w:rPr>
          <w:rFonts w:ascii="Arial" w:hAnsi="Arial"/>
          <w:smallCaps/>
          <w:sz w:val="18"/>
          <w:szCs w:val="18"/>
          <w:lang w:val="en-US" w:eastAsia="en-GB"/>
        </w:rPr>
        <w:t>P</w:t>
      </w:r>
      <w:r w:rsidRPr="00D403F5">
        <w:rPr>
          <w:rFonts w:ascii="Arial" w:hAnsi="Arial"/>
          <w:sz w:val="18"/>
          <w:szCs w:val="18"/>
          <w:lang w:val="en-IE" w:bidi="en-US"/>
        </w:rPr>
        <w:t xml:space="preserve">rophylactic treatment of viral diseases in fish using native RNA linked to soluble and corpuscular carriers. </w:t>
      </w:r>
      <w:r w:rsidRPr="00D403F5">
        <w:rPr>
          <w:rFonts w:ascii="Arial" w:hAnsi="Arial"/>
          <w:i/>
          <w:sz w:val="18"/>
          <w:szCs w:val="18"/>
          <w:lang w:val="en-IE" w:bidi="en-US"/>
        </w:rPr>
        <w:t>J. Fish Biol</w:t>
      </w:r>
      <w:r w:rsidRPr="00D403F5">
        <w:rPr>
          <w:rFonts w:ascii="Arial" w:hAnsi="Arial"/>
          <w:sz w:val="18"/>
          <w:szCs w:val="18"/>
          <w:lang w:val="en-IE" w:bidi="en-US"/>
        </w:rPr>
        <w:t xml:space="preserve">., </w:t>
      </w:r>
      <w:r w:rsidRPr="00D403F5">
        <w:rPr>
          <w:rFonts w:ascii="Arial" w:hAnsi="Arial"/>
          <w:b/>
          <w:sz w:val="18"/>
          <w:szCs w:val="18"/>
          <w:lang w:val="en-IE" w:bidi="en-US"/>
        </w:rPr>
        <w:t>49</w:t>
      </w:r>
      <w:r w:rsidRPr="00D403F5">
        <w:rPr>
          <w:rFonts w:ascii="Arial" w:hAnsi="Arial"/>
          <w:smallCaps/>
          <w:sz w:val="18"/>
          <w:szCs w:val="18"/>
          <w:lang w:val="en-US" w:eastAsia="en-GB"/>
        </w:rPr>
        <w:t xml:space="preserve">, 195–205. </w:t>
      </w:r>
    </w:p>
    <w:p w14:paraId="168648EA" w14:textId="77777777" w:rsidR="00E65E42" w:rsidRPr="00D403F5" w:rsidRDefault="00E65E42" w:rsidP="00557B45">
      <w:pPr>
        <w:spacing w:after="240" w:line="240" w:lineRule="auto"/>
        <w:ind w:left="284"/>
        <w:jc w:val="both"/>
        <w:rPr>
          <w:rFonts w:ascii="Arial" w:hAnsi="Arial"/>
          <w:smallCaps/>
          <w:sz w:val="18"/>
          <w:szCs w:val="18"/>
          <w:lang w:val="en-IE" w:bidi="en-US"/>
        </w:rPr>
      </w:pPr>
      <w:r w:rsidRPr="00D403F5">
        <w:rPr>
          <w:rFonts w:ascii="Arial" w:hAnsi="Arial"/>
          <w:smallCaps/>
          <w:sz w:val="18"/>
          <w:szCs w:val="18"/>
          <w:lang w:val="en-IE" w:bidi="en-US"/>
        </w:rPr>
        <w:t xml:space="preserve">Bekesi L. &amp; Csontos L. (1985). </w:t>
      </w:r>
      <w:r w:rsidRPr="00D403F5">
        <w:rPr>
          <w:rFonts w:ascii="Arial" w:hAnsi="Arial"/>
          <w:sz w:val="18"/>
          <w:szCs w:val="18"/>
          <w:lang w:val="de-DE" w:bidi="en-US"/>
        </w:rPr>
        <w:t>Isolation of spring viraemia of carp virus from asymptomatic broodstock carp, cyprinus carpio l. J. Fish Dis.,</w:t>
      </w:r>
      <w:r w:rsidRPr="00D403F5">
        <w:rPr>
          <w:rFonts w:ascii="Arial" w:hAnsi="Arial"/>
          <w:smallCaps/>
          <w:sz w:val="18"/>
          <w:szCs w:val="18"/>
          <w:lang w:val="en-IE" w:bidi="en-US"/>
        </w:rPr>
        <w:t xml:space="preserve"> </w:t>
      </w:r>
      <w:r w:rsidRPr="00D403F5">
        <w:rPr>
          <w:rFonts w:ascii="Arial" w:hAnsi="Arial"/>
          <w:b/>
          <w:smallCaps/>
          <w:sz w:val="18"/>
          <w:szCs w:val="18"/>
          <w:lang w:val="en-IE" w:bidi="en-US"/>
        </w:rPr>
        <w:t>8</w:t>
      </w:r>
      <w:r w:rsidRPr="00D403F5">
        <w:rPr>
          <w:rFonts w:ascii="Arial" w:hAnsi="Arial"/>
          <w:smallCaps/>
          <w:sz w:val="18"/>
          <w:szCs w:val="18"/>
          <w:lang w:val="en-IE" w:bidi="en-US"/>
        </w:rPr>
        <w:t>, 471–472.</w:t>
      </w:r>
    </w:p>
    <w:p w14:paraId="38A80450" w14:textId="77777777" w:rsidR="00E65E42" w:rsidRPr="00943A6E" w:rsidRDefault="00E65E42" w:rsidP="00557B45">
      <w:pPr>
        <w:spacing w:after="240" w:line="240" w:lineRule="auto"/>
        <w:ind w:left="284"/>
        <w:jc w:val="both"/>
        <w:rPr>
          <w:rFonts w:ascii="Arial" w:hAnsi="Arial"/>
          <w:strike/>
          <w:sz w:val="18"/>
          <w:szCs w:val="18"/>
          <w:lang w:val="en-IE" w:bidi="en-US"/>
        </w:rPr>
      </w:pPr>
      <w:r w:rsidRPr="00943A6E">
        <w:rPr>
          <w:rFonts w:ascii="Arial" w:hAnsi="Arial"/>
          <w:smallCaps/>
          <w:strike/>
          <w:sz w:val="18"/>
          <w:szCs w:val="18"/>
          <w:highlight w:val="yellow"/>
          <w:lang w:val="en-IE" w:bidi="en-US"/>
        </w:rPr>
        <w:t xml:space="preserve">Billard R. &amp; Berni P. (2004). </w:t>
      </w:r>
      <w:r w:rsidRPr="00943A6E">
        <w:rPr>
          <w:rFonts w:ascii="Arial" w:hAnsi="Arial"/>
          <w:strike/>
          <w:sz w:val="18"/>
          <w:szCs w:val="18"/>
          <w:highlight w:val="yellow"/>
          <w:lang w:val="en-IE" w:bidi="en-US"/>
        </w:rPr>
        <w:t xml:space="preserve">Trends in cyprinid polyculture. </w:t>
      </w:r>
      <w:r w:rsidRPr="00943A6E">
        <w:rPr>
          <w:rFonts w:ascii="Arial" w:hAnsi="Arial"/>
          <w:i/>
          <w:strike/>
          <w:sz w:val="18"/>
          <w:szCs w:val="18"/>
          <w:highlight w:val="yellow"/>
          <w:lang w:val="en-IE" w:bidi="en-US"/>
        </w:rPr>
        <w:t>Cybium</w:t>
      </w:r>
      <w:r w:rsidRPr="00943A6E">
        <w:rPr>
          <w:rFonts w:ascii="Arial" w:hAnsi="Arial"/>
          <w:strike/>
          <w:sz w:val="18"/>
          <w:szCs w:val="18"/>
          <w:highlight w:val="yellow"/>
          <w:lang w:val="en-IE" w:bidi="en-US"/>
        </w:rPr>
        <w:t xml:space="preserve">, </w:t>
      </w:r>
      <w:r w:rsidRPr="00943A6E">
        <w:rPr>
          <w:rFonts w:ascii="Arial" w:hAnsi="Arial"/>
          <w:b/>
          <w:strike/>
          <w:sz w:val="18"/>
          <w:szCs w:val="18"/>
          <w:highlight w:val="yellow"/>
          <w:lang w:val="en-IE" w:bidi="en-US"/>
        </w:rPr>
        <w:t>28</w:t>
      </w:r>
      <w:r w:rsidRPr="00943A6E">
        <w:rPr>
          <w:rFonts w:ascii="Arial" w:hAnsi="Arial"/>
          <w:strike/>
          <w:sz w:val="18"/>
          <w:szCs w:val="18"/>
          <w:highlight w:val="yellow"/>
          <w:lang w:val="en-IE" w:bidi="en-US"/>
        </w:rPr>
        <w:t>, 255–261.</w:t>
      </w:r>
    </w:p>
    <w:p w14:paraId="20BA3998" w14:textId="77777777" w:rsidR="00E65E42" w:rsidRPr="00B97799" w:rsidRDefault="00E65E42" w:rsidP="00557B45">
      <w:pPr>
        <w:spacing w:after="240" w:line="240" w:lineRule="auto"/>
        <w:ind w:left="284"/>
        <w:jc w:val="both"/>
        <w:rPr>
          <w:rFonts w:ascii="Arial" w:hAnsi="Arial" w:cs="Arial"/>
          <w:noProof/>
          <w:sz w:val="18"/>
          <w:szCs w:val="18"/>
          <w:lang w:val="fr-FR" w:bidi="en-US"/>
        </w:rPr>
      </w:pPr>
      <w:r w:rsidRPr="00D403F5">
        <w:rPr>
          <w:rFonts w:ascii="Arial" w:hAnsi="Arial"/>
          <w:smallCaps/>
          <w:sz w:val="18"/>
          <w:szCs w:val="18"/>
          <w:lang w:val="en-IE" w:bidi="en-US"/>
        </w:rPr>
        <w:t>Bjorklund H.V., Higman K.H. &amp; Kurath G.</w:t>
      </w:r>
      <w:r w:rsidRPr="00D403F5">
        <w:rPr>
          <w:rFonts w:ascii="Arial" w:hAnsi="Arial"/>
          <w:sz w:val="18"/>
          <w:szCs w:val="18"/>
          <w:lang w:val="en-IE" w:bidi="en-US"/>
        </w:rPr>
        <w:t xml:space="preserve"> (1996). The glycoprotein genes and gene junctions of the fish rhabdoviruses spring viremia of carp virus and hirame rhabdovirus – analysis of relationships with other rhabdoviruses. </w:t>
      </w:r>
      <w:r w:rsidRPr="00B97799">
        <w:rPr>
          <w:rFonts w:ascii="Arial" w:hAnsi="Arial"/>
          <w:i/>
          <w:iCs/>
          <w:sz w:val="18"/>
          <w:szCs w:val="18"/>
          <w:lang w:val="fr-FR" w:bidi="en-US"/>
        </w:rPr>
        <w:t>Virus Res.</w:t>
      </w:r>
      <w:r w:rsidRPr="00B97799">
        <w:rPr>
          <w:rFonts w:ascii="Arial" w:hAnsi="Arial"/>
          <w:sz w:val="18"/>
          <w:szCs w:val="18"/>
          <w:lang w:val="fr-FR" w:bidi="en-US"/>
        </w:rPr>
        <w:t xml:space="preserve">, </w:t>
      </w:r>
      <w:r w:rsidRPr="00B97799">
        <w:rPr>
          <w:rFonts w:ascii="Arial" w:hAnsi="Arial"/>
          <w:b/>
          <w:bCs/>
          <w:sz w:val="18"/>
          <w:szCs w:val="18"/>
          <w:lang w:val="fr-FR" w:bidi="en-US"/>
        </w:rPr>
        <w:t>42</w:t>
      </w:r>
      <w:r w:rsidRPr="00B97799">
        <w:rPr>
          <w:rFonts w:ascii="Arial" w:hAnsi="Arial"/>
          <w:sz w:val="18"/>
          <w:szCs w:val="18"/>
          <w:lang w:val="fr-FR" w:bidi="en-US"/>
        </w:rPr>
        <w:t>, 65–80.</w:t>
      </w:r>
    </w:p>
    <w:p w14:paraId="23404F77" w14:textId="77777777" w:rsidR="00E65E42" w:rsidRPr="00943A6E" w:rsidRDefault="00E65E42" w:rsidP="00557B45">
      <w:pPr>
        <w:spacing w:after="240" w:line="240" w:lineRule="auto"/>
        <w:ind w:left="284"/>
        <w:jc w:val="both"/>
        <w:rPr>
          <w:rFonts w:ascii="Arial" w:hAnsi="Arial"/>
          <w:sz w:val="18"/>
          <w:szCs w:val="18"/>
          <w:lang w:val="en-IE" w:eastAsia="en-GB"/>
        </w:rPr>
      </w:pPr>
      <w:r w:rsidRPr="00D403F5">
        <w:rPr>
          <w:rFonts w:ascii="Arial" w:hAnsi="Arial"/>
          <w:smallCaps/>
          <w:sz w:val="18"/>
          <w:szCs w:val="18"/>
          <w:lang w:val="fr-FR" w:eastAsia="en-GB"/>
        </w:rPr>
        <w:t>de Kinkelin P.</w:t>
      </w:r>
      <w:r>
        <w:rPr>
          <w:rFonts w:ascii="Arial" w:hAnsi="Arial"/>
          <w:smallCaps/>
          <w:sz w:val="18"/>
          <w:szCs w:val="18"/>
          <w:lang w:val="fr-FR" w:eastAsia="en-GB"/>
        </w:rPr>
        <w:t xml:space="preserve"> </w:t>
      </w:r>
      <w:r w:rsidRPr="00D403F5">
        <w:rPr>
          <w:rFonts w:ascii="Arial" w:hAnsi="Arial"/>
          <w:smallCaps/>
          <w:sz w:val="18"/>
          <w:szCs w:val="18"/>
          <w:lang w:val="fr-FR" w:eastAsia="en-GB"/>
        </w:rPr>
        <w:t>&amp; Le Berre M</w:t>
      </w:r>
      <w:r w:rsidRPr="00D403F5">
        <w:rPr>
          <w:rFonts w:ascii="Arial" w:hAnsi="Arial"/>
          <w:sz w:val="18"/>
          <w:szCs w:val="18"/>
          <w:lang w:val="fr-FR" w:eastAsia="en-GB"/>
        </w:rPr>
        <w:t xml:space="preserve">. (1974). Rhabdovirus des poissons II. Propriétés </w:t>
      </w:r>
      <w:r w:rsidRPr="00D403F5">
        <w:rPr>
          <w:rFonts w:ascii="Arial" w:hAnsi="Arial"/>
          <w:i/>
          <w:iCs/>
          <w:sz w:val="18"/>
          <w:szCs w:val="18"/>
          <w:lang w:val="fr-FR" w:eastAsia="en-GB"/>
        </w:rPr>
        <w:t>in vitro</w:t>
      </w:r>
      <w:r w:rsidRPr="00D403F5">
        <w:rPr>
          <w:rFonts w:ascii="Arial" w:hAnsi="Arial"/>
          <w:sz w:val="18"/>
          <w:szCs w:val="18"/>
          <w:lang w:val="fr-FR" w:eastAsia="en-GB"/>
        </w:rPr>
        <w:t xml:space="preserve"> du virus de la virémie printanière de la carpe. </w:t>
      </w:r>
      <w:r w:rsidRPr="00943A6E">
        <w:rPr>
          <w:rFonts w:ascii="Arial" w:hAnsi="Arial"/>
          <w:i/>
          <w:iCs/>
          <w:sz w:val="18"/>
          <w:szCs w:val="18"/>
          <w:lang w:val="en-IE" w:eastAsia="en-GB"/>
        </w:rPr>
        <w:t xml:space="preserve">Ann. Microbiol. </w:t>
      </w:r>
      <w:r w:rsidRPr="00943A6E">
        <w:rPr>
          <w:rFonts w:ascii="Arial" w:hAnsi="Arial"/>
          <w:iCs/>
          <w:sz w:val="18"/>
          <w:szCs w:val="18"/>
          <w:lang w:val="en-IE" w:eastAsia="en-GB"/>
        </w:rPr>
        <w:t>(</w:t>
      </w:r>
      <w:r w:rsidRPr="00943A6E">
        <w:rPr>
          <w:rFonts w:ascii="Arial" w:hAnsi="Arial"/>
          <w:i/>
          <w:iCs/>
          <w:sz w:val="18"/>
          <w:szCs w:val="18"/>
          <w:lang w:val="en-IE" w:eastAsia="en-GB"/>
        </w:rPr>
        <w:t>Inst. Pasteur</w:t>
      </w:r>
      <w:r w:rsidRPr="00943A6E">
        <w:rPr>
          <w:rFonts w:ascii="Arial" w:hAnsi="Arial"/>
          <w:iCs/>
          <w:sz w:val="18"/>
          <w:szCs w:val="18"/>
          <w:lang w:val="en-IE" w:eastAsia="en-GB"/>
        </w:rPr>
        <w:t>)</w:t>
      </w:r>
      <w:r w:rsidRPr="00943A6E">
        <w:rPr>
          <w:rFonts w:ascii="Arial" w:hAnsi="Arial"/>
          <w:sz w:val="18"/>
          <w:szCs w:val="18"/>
          <w:lang w:val="en-IE" w:eastAsia="en-GB"/>
        </w:rPr>
        <w:t>,</w:t>
      </w:r>
      <w:r w:rsidRPr="00943A6E">
        <w:rPr>
          <w:rFonts w:ascii="Arial" w:hAnsi="Arial"/>
          <w:i/>
          <w:iCs/>
          <w:sz w:val="18"/>
          <w:szCs w:val="18"/>
          <w:lang w:val="en-IE" w:eastAsia="en-GB"/>
        </w:rPr>
        <w:t xml:space="preserve"> </w:t>
      </w:r>
      <w:r w:rsidRPr="00943A6E">
        <w:rPr>
          <w:rFonts w:ascii="Arial" w:hAnsi="Arial"/>
          <w:b/>
          <w:bCs/>
          <w:sz w:val="18"/>
          <w:szCs w:val="18"/>
          <w:lang w:val="en-IE" w:eastAsia="en-GB"/>
        </w:rPr>
        <w:t>125</w:t>
      </w:r>
      <w:r w:rsidRPr="00943A6E">
        <w:rPr>
          <w:rFonts w:ascii="Arial" w:hAnsi="Arial"/>
          <w:bCs/>
          <w:sz w:val="18"/>
          <w:szCs w:val="18"/>
          <w:lang w:val="en-IE" w:eastAsia="en-GB"/>
        </w:rPr>
        <w:t xml:space="preserve"> </w:t>
      </w:r>
      <w:r w:rsidRPr="00943A6E">
        <w:rPr>
          <w:rFonts w:ascii="Arial" w:hAnsi="Arial"/>
          <w:b/>
          <w:bCs/>
          <w:sz w:val="18"/>
          <w:szCs w:val="18"/>
          <w:lang w:val="en-IE" w:eastAsia="en-GB"/>
        </w:rPr>
        <w:t>A</w:t>
      </w:r>
      <w:r w:rsidRPr="00943A6E">
        <w:rPr>
          <w:rFonts w:ascii="Arial" w:hAnsi="Arial"/>
          <w:bCs/>
          <w:sz w:val="18"/>
          <w:szCs w:val="18"/>
          <w:lang w:val="en-IE" w:eastAsia="en-GB"/>
        </w:rPr>
        <w:t>,</w:t>
      </w:r>
      <w:r w:rsidRPr="00943A6E">
        <w:rPr>
          <w:rFonts w:ascii="Arial" w:hAnsi="Arial"/>
          <w:i/>
          <w:iCs/>
          <w:sz w:val="18"/>
          <w:szCs w:val="18"/>
          <w:lang w:val="en-IE" w:eastAsia="en-GB"/>
        </w:rPr>
        <w:t xml:space="preserve"> </w:t>
      </w:r>
      <w:r w:rsidRPr="00943A6E">
        <w:rPr>
          <w:rFonts w:ascii="Arial" w:hAnsi="Arial"/>
          <w:sz w:val="18"/>
          <w:szCs w:val="18"/>
          <w:lang w:val="en-IE" w:eastAsia="en-GB"/>
        </w:rPr>
        <w:t>113–124.</w:t>
      </w:r>
    </w:p>
    <w:p w14:paraId="75355A80" w14:textId="77777777" w:rsidR="00E65E42" w:rsidRPr="00D403F5" w:rsidRDefault="00E65E42" w:rsidP="00557B45">
      <w:pPr>
        <w:spacing w:after="240" w:line="240" w:lineRule="auto"/>
        <w:ind w:left="284"/>
        <w:jc w:val="both"/>
        <w:rPr>
          <w:rFonts w:ascii="Arial" w:hAnsi="Arial"/>
          <w:smallCaps/>
          <w:sz w:val="18"/>
          <w:szCs w:val="18"/>
          <w:lang w:val="en-IE" w:bidi="en-US"/>
        </w:rPr>
      </w:pPr>
      <w:r w:rsidRPr="00D403F5">
        <w:rPr>
          <w:rFonts w:ascii="Arial" w:hAnsi="Arial"/>
          <w:smallCaps/>
          <w:sz w:val="18"/>
          <w:szCs w:val="18"/>
          <w:lang w:val="en-IE" w:bidi="en-US"/>
        </w:rPr>
        <w:t xml:space="preserve">Dikkeboom A.L., Radi C., Toohey-Kurth K., Marcquenski S., Engel M., Goodwin A.E., Way K., Stone D.M. &amp; Longshaw C. (2004). </w:t>
      </w:r>
      <w:r w:rsidRPr="00D403F5">
        <w:rPr>
          <w:rFonts w:ascii="Arial" w:hAnsi="Arial"/>
          <w:sz w:val="18"/>
          <w:szCs w:val="18"/>
          <w:lang w:val="en-IE" w:bidi="en-US"/>
        </w:rPr>
        <w:t xml:space="preserve">First Report of Spring Viremia of Carp Virus (SVCV) in Wild Common Carp in North America. </w:t>
      </w:r>
      <w:r w:rsidRPr="00D403F5">
        <w:rPr>
          <w:rFonts w:ascii="Arial" w:hAnsi="Arial"/>
          <w:i/>
          <w:sz w:val="18"/>
          <w:szCs w:val="18"/>
          <w:lang w:val="en-IE" w:bidi="en-US"/>
        </w:rPr>
        <w:t>J. Aquat. Anim. Health</w:t>
      </w:r>
      <w:r w:rsidRPr="00D403F5">
        <w:rPr>
          <w:rFonts w:ascii="Arial" w:hAnsi="Arial"/>
          <w:sz w:val="18"/>
          <w:szCs w:val="18"/>
          <w:lang w:val="en-IE" w:bidi="en-US"/>
        </w:rPr>
        <w:t xml:space="preserve">, </w:t>
      </w:r>
      <w:r w:rsidRPr="00D403F5">
        <w:rPr>
          <w:rFonts w:ascii="Arial" w:hAnsi="Arial"/>
          <w:b/>
          <w:sz w:val="18"/>
          <w:szCs w:val="18"/>
          <w:lang w:val="en-IE" w:bidi="en-US"/>
        </w:rPr>
        <w:t>16</w:t>
      </w:r>
      <w:r w:rsidRPr="00D403F5">
        <w:rPr>
          <w:rFonts w:ascii="Arial" w:hAnsi="Arial"/>
          <w:smallCaps/>
          <w:sz w:val="18"/>
          <w:szCs w:val="18"/>
          <w:lang w:val="en-IE" w:bidi="en-US"/>
        </w:rPr>
        <w:t xml:space="preserve">, 169–178. </w:t>
      </w:r>
    </w:p>
    <w:p w14:paraId="1ADDCB47" w14:textId="77777777" w:rsidR="00E65E42" w:rsidRPr="00D403F5" w:rsidRDefault="00E65E42" w:rsidP="00557B45">
      <w:pPr>
        <w:spacing w:after="240" w:line="240" w:lineRule="auto"/>
        <w:ind w:left="284"/>
        <w:jc w:val="both"/>
        <w:rPr>
          <w:rFonts w:ascii="Arial" w:hAnsi="Arial" w:cs="Arial"/>
          <w:noProof/>
          <w:sz w:val="18"/>
          <w:szCs w:val="18"/>
          <w:lang w:bidi="en-US"/>
        </w:rPr>
      </w:pPr>
      <w:r w:rsidRPr="00D403F5">
        <w:rPr>
          <w:rFonts w:ascii="Arial" w:hAnsi="Arial"/>
          <w:smallCaps/>
          <w:sz w:val="18"/>
          <w:szCs w:val="18"/>
          <w:lang w:val="en-US" w:bidi="en-US"/>
        </w:rPr>
        <w:t>Dixon</w:t>
      </w:r>
      <w:r w:rsidRPr="00D403F5">
        <w:rPr>
          <w:rFonts w:ascii="Arial" w:hAnsi="Arial"/>
          <w:sz w:val="18"/>
          <w:szCs w:val="18"/>
          <w:lang w:val="en-US" w:bidi="en-US"/>
        </w:rPr>
        <w:t xml:space="preserve"> P.F.</w:t>
      </w:r>
      <w:r w:rsidRPr="00D403F5">
        <w:rPr>
          <w:rFonts w:ascii="Arial" w:hAnsi="Arial" w:cs="Arial"/>
          <w:sz w:val="18"/>
          <w:szCs w:val="18"/>
          <w:lang w:val="en-US" w:bidi="en-US"/>
        </w:rPr>
        <w:t xml:space="preserve"> (2008). </w:t>
      </w:r>
      <w:r w:rsidRPr="00D403F5">
        <w:rPr>
          <w:rFonts w:ascii="Arial" w:hAnsi="Arial"/>
          <w:sz w:val="18"/>
          <w:szCs w:val="18"/>
          <w:lang w:val="en-IE" w:bidi="en-US"/>
        </w:rPr>
        <w:t>Virus diseases of cyprinids</w:t>
      </w:r>
      <w:r w:rsidRPr="00D403F5">
        <w:rPr>
          <w:rFonts w:ascii="Arial" w:hAnsi="Arial" w:cs="Arial"/>
          <w:sz w:val="18"/>
          <w:szCs w:val="18"/>
          <w:lang w:val="en-IE" w:bidi="en-US"/>
        </w:rPr>
        <w:t xml:space="preserve">. </w:t>
      </w:r>
      <w:r w:rsidRPr="00D403F5">
        <w:rPr>
          <w:rFonts w:ascii="Arial" w:hAnsi="Arial" w:cs="Arial"/>
          <w:i/>
          <w:iCs/>
          <w:sz w:val="18"/>
          <w:szCs w:val="18"/>
          <w:lang w:val="en-IE" w:bidi="en-US"/>
        </w:rPr>
        <w:t>In</w:t>
      </w:r>
      <w:r w:rsidRPr="00D403F5">
        <w:rPr>
          <w:rFonts w:ascii="Arial" w:hAnsi="Arial" w:cs="Arial"/>
          <w:sz w:val="18"/>
          <w:szCs w:val="18"/>
          <w:lang w:val="en-IE" w:bidi="en-US"/>
        </w:rPr>
        <w:t xml:space="preserve">: </w:t>
      </w:r>
      <w:r w:rsidRPr="00D403F5">
        <w:rPr>
          <w:rFonts w:ascii="Arial" w:hAnsi="Arial"/>
          <w:sz w:val="18"/>
          <w:szCs w:val="18"/>
          <w:lang w:val="en-IE" w:bidi="en-US"/>
        </w:rPr>
        <w:t>Fish Diseases</w:t>
      </w:r>
      <w:r w:rsidRPr="00D403F5">
        <w:rPr>
          <w:rFonts w:ascii="Arial" w:hAnsi="Arial" w:cs="Arial"/>
          <w:sz w:val="18"/>
          <w:szCs w:val="18"/>
          <w:lang w:val="en-IE" w:bidi="en-US"/>
        </w:rPr>
        <w:t xml:space="preserve">, Vol. 1. </w:t>
      </w:r>
      <w:r w:rsidRPr="00D403F5">
        <w:rPr>
          <w:rFonts w:ascii="Arial" w:hAnsi="Arial"/>
          <w:sz w:val="18"/>
          <w:szCs w:val="18"/>
          <w:lang w:val="en-IE" w:bidi="en-US"/>
        </w:rPr>
        <w:t>Eiras J.C.</w:t>
      </w:r>
      <w:r w:rsidRPr="00D403F5">
        <w:rPr>
          <w:rFonts w:ascii="Arial" w:hAnsi="Arial" w:cs="Arial"/>
          <w:sz w:val="18"/>
          <w:szCs w:val="18"/>
          <w:lang w:val="en-IE" w:bidi="en-US"/>
        </w:rPr>
        <w:t>, Segner H., Wahli, T. &amp; Kapoor, B.G. eds. Science Publishers, Enfield, New Hampshire, USA, 87–184.</w:t>
      </w:r>
    </w:p>
    <w:p w14:paraId="49CC1020" w14:textId="77777777" w:rsidR="00E65E42" w:rsidRPr="00D403F5" w:rsidRDefault="00E65E42" w:rsidP="00557B45">
      <w:pPr>
        <w:spacing w:after="240" w:line="240" w:lineRule="auto"/>
        <w:ind w:left="284"/>
        <w:jc w:val="both"/>
        <w:rPr>
          <w:rFonts w:ascii="Arial" w:hAnsi="Arial"/>
          <w:sz w:val="18"/>
          <w:szCs w:val="18"/>
          <w:lang w:val="en-US" w:bidi="en-US"/>
        </w:rPr>
      </w:pPr>
      <w:r w:rsidRPr="00D403F5">
        <w:rPr>
          <w:rFonts w:ascii="Arial" w:hAnsi="Arial"/>
          <w:smallCaps/>
          <w:sz w:val="18"/>
          <w:szCs w:val="18"/>
          <w:lang w:val="en-IE" w:bidi="en-US"/>
        </w:rPr>
        <w:t>Dixon P.F. &amp; Longshaw C.B.</w:t>
      </w:r>
      <w:r w:rsidRPr="00D403F5">
        <w:rPr>
          <w:rFonts w:ascii="Arial" w:hAnsi="Arial"/>
          <w:sz w:val="18"/>
          <w:szCs w:val="18"/>
          <w:lang w:val="en-IE" w:bidi="en-US"/>
        </w:rPr>
        <w:t xml:space="preserve"> (2005). Assessment of commercial test kits for identification of spring viraemia of carp virus. </w:t>
      </w:r>
      <w:r w:rsidRPr="00D403F5">
        <w:rPr>
          <w:rFonts w:ascii="Arial" w:hAnsi="Arial"/>
          <w:i/>
          <w:iCs/>
          <w:sz w:val="18"/>
          <w:szCs w:val="18"/>
          <w:lang w:val="en-US" w:bidi="en-US"/>
        </w:rPr>
        <w:t>Dis. Aquat. Org.</w:t>
      </w:r>
      <w:r w:rsidRPr="00D403F5">
        <w:rPr>
          <w:rFonts w:ascii="Arial" w:hAnsi="Arial"/>
          <w:sz w:val="18"/>
          <w:szCs w:val="18"/>
          <w:lang w:val="en-US" w:bidi="en-US"/>
        </w:rPr>
        <w:t xml:space="preserve">, </w:t>
      </w:r>
      <w:r w:rsidRPr="00D403F5">
        <w:rPr>
          <w:rFonts w:ascii="Arial" w:hAnsi="Arial"/>
          <w:b/>
          <w:bCs/>
          <w:sz w:val="18"/>
          <w:szCs w:val="18"/>
          <w:lang w:val="en-US" w:bidi="en-US"/>
        </w:rPr>
        <w:t>67</w:t>
      </w:r>
      <w:r w:rsidRPr="00D403F5">
        <w:rPr>
          <w:rFonts w:ascii="Arial" w:hAnsi="Arial"/>
          <w:sz w:val="18"/>
          <w:szCs w:val="18"/>
          <w:lang w:val="en-US" w:bidi="en-US"/>
        </w:rPr>
        <w:t>, 25–29.</w:t>
      </w:r>
    </w:p>
    <w:p w14:paraId="34937158" w14:textId="77777777" w:rsidR="00E65E42" w:rsidRPr="00D403F5" w:rsidRDefault="00E65E42" w:rsidP="00557B45">
      <w:pPr>
        <w:spacing w:after="240" w:line="240" w:lineRule="auto"/>
        <w:ind w:left="284"/>
        <w:jc w:val="both"/>
        <w:rPr>
          <w:rFonts w:ascii="Arial" w:hAnsi="Arial" w:cs="Arial"/>
          <w:noProof/>
          <w:sz w:val="18"/>
          <w:szCs w:val="18"/>
          <w:lang w:bidi="en-US"/>
        </w:rPr>
      </w:pPr>
      <w:r w:rsidRPr="00D403F5">
        <w:rPr>
          <w:rFonts w:ascii="Arial" w:hAnsi="Arial"/>
          <w:smallCaps/>
          <w:sz w:val="18"/>
          <w:szCs w:val="18"/>
          <w:lang w:val="en-US" w:eastAsia="en-GB"/>
        </w:rPr>
        <w:t>Emmenegger E.J. &amp; Kurath</w:t>
      </w:r>
      <w:r w:rsidRPr="00D403F5">
        <w:rPr>
          <w:rFonts w:ascii="Arial" w:hAnsi="Arial"/>
          <w:sz w:val="18"/>
          <w:szCs w:val="18"/>
          <w:lang w:val="en-US" w:eastAsia="en-GB"/>
        </w:rPr>
        <w:t xml:space="preserve"> G. (2008). </w:t>
      </w:r>
      <w:r w:rsidRPr="00D403F5">
        <w:rPr>
          <w:rFonts w:ascii="Arial" w:hAnsi="Arial"/>
          <w:sz w:val="18"/>
          <w:szCs w:val="18"/>
          <w:lang w:val="en-IE" w:eastAsia="en-GB"/>
        </w:rPr>
        <w:t>DNA vaccine protects ornamental koi (</w:t>
      </w:r>
      <w:r w:rsidRPr="00D403F5">
        <w:rPr>
          <w:rFonts w:ascii="Arial" w:hAnsi="Arial"/>
          <w:i/>
          <w:sz w:val="18"/>
          <w:szCs w:val="18"/>
          <w:lang w:val="en-IE" w:eastAsia="en-GB"/>
        </w:rPr>
        <w:t>Cyprinus carpio koi</w:t>
      </w:r>
      <w:r w:rsidRPr="00D403F5">
        <w:rPr>
          <w:rFonts w:ascii="Arial" w:hAnsi="Arial"/>
          <w:sz w:val="18"/>
          <w:szCs w:val="18"/>
          <w:lang w:val="en-IE" w:eastAsia="en-GB"/>
        </w:rPr>
        <w:t xml:space="preserve">) against North American spring viremia of carp virus. </w:t>
      </w:r>
      <w:r w:rsidRPr="00D403F5">
        <w:rPr>
          <w:rFonts w:ascii="Arial" w:hAnsi="Arial"/>
          <w:i/>
          <w:iCs/>
          <w:sz w:val="18"/>
          <w:szCs w:val="18"/>
          <w:lang w:val="en-IE" w:eastAsia="en-GB"/>
        </w:rPr>
        <w:t>Vaccine</w:t>
      </w:r>
      <w:r w:rsidRPr="00D403F5">
        <w:rPr>
          <w:rFonts w:ascii="Arial" w:hAnsi="Arial"/>
          <w:sz w:val="18"/>
          <w:szCs w:val="18"/>
          <w:lang w:val="en-IE" w:eastAsia="en-GB"/>
        </w:rPr>
        <w:t>,</w:t>
      </w:r>
      <w:r w:rsidRPr="00D403F5">
        <w:rPr>
          <w:rFonts w:ascii="Arial" w:hAnsi="Arial"/>
          <w:i/>
          <w:iCs/>
          <w:sz w:val="18"/>
          <w:szCs w:val="18"/>
          <w:lang w:val="en-IE" w:eastAsia="en-GB"/>
        </w:rPr>
        <w:t xml:space="preserve"> </w:t>
      </w:r>
      <w:r w:rsidRPr="00D403F5">
        <w:rPr>
          <w:rFonts w:ascii="Arial" w:hAnsi="Arial"/>
          <w:b/>
          <w:bCs/>
          <w:sz w:val="18"/>
          <w:szCs w:val="18"/>
          <w:lang w:val="en-IE" w:eastAsia="en-GB"/>
        </w:rPr>
        <w:t>26</w:t>
      </w:r>
      <w:r w:rsidRPr="00D403F5">
        <w:rPr>
          <w:rFonts w:ascii="Arial" w:hAnsi="Arial"/>
          <w:bCs/>
          <w:sz w:val="18"/>
          <w:szCs w:val="18"/>
          <w:lang w:val="en-IE" w:eastAsia="en-GB"/>
        </w:rPr>
        <w:t>,</w:t>
      </w:r>
      <w:r w:rsidRPr="00D403F5">
        <w:rPr>
          <w:rFonts w:ascii="Arial" w:hAnsi="Arial"/>
          <w:i/>
          <w:iCs/>
          <w:sz w:val="18"/>
          <w:szCs w:val="18"/>
          <w:lang w:val="en-IE" w:eastAsia="en-GB"/>
        </w:rPr>
        <w:t xml:space="preserve"> </w:t>
      </w:r>
      <w:r w:rsidRPr="00D403F5">
        <w:rPr>
          <w:rFonts w:ascii="Arial" w:hAnsi="Arial"/>
          <w:sz w:val="18"/>
          <w:szCs w:val="18"/>
          <w:lang w:val="en-IE" w:eastAsia="en-GB"/>
        </w:rPr>
        <w:t>6415–6421.</w:t>
      </w:r>
      <w:r w:rsidRPr="00D403F5">
        <w:rPr>
          <w:rFonts w:ascii="Arial" w:hAnsi="Arial" w:cs="Arial"/>
          <w:noProof/>
          <w:sz w:val="18"/>
          <w:szCs w:val="18"/>
          <w:lang w:bidi="en-US"/>
        </w:rPr>
        <w:t xml:space="preserve"> </w:t>
      </w:r>
    </w:p>
    <w:p w14:paraId="17700F05" w14:textId="77777777" w:rsidR="00E65E42" w:rsidRPr="00D403F5" w:rsidRDefault="00E65E42" w:rsidP="00557B45">
      <w:pPr>
        <w:spacing w:after="240" w:line="240" w:lineRule="auto"/>
        <w:ind w:left="284"/>
        <w:jc w:val="both"/>
        <w:rPr>
          <w:rFonts w:ascii="Arial" w:hAnsi="Arial" w:cs="Arial"/>
          <w:sz w:val="18"/>
          <w:szCs w:val="18"/>
          <w:lang w:val="en-IE" w:bidi="en-US"/>
        </w:rPr>
      </w:pPr>
      <w:r w:rsidRPr="00D403F5">
        <w:rPr>
          <w:rFonts w:ascii="Arial" w:hAnsi="Arial"/>
          <w:smallCaps/>
          <w:sz w:val="18"/>
          <w:szCs w:val="18"/>
          <w:lang w:val="en-IE" w:bidi="en-US"/>
        </w:rPr>
        <w:t>Fijan</w:t>
      </w:r>
      <w:r w:rsidRPr="00D403F5">
        <w:rPr>
          <w:rFonts w:ascii="Arial" w:hAnsi="Arial"/>
          <w:sz w:val="18"/>
          <w:szCs w:val="18"/>
          <w:lang w:val="en-IE" w:bidi="en-US"/>
        </w:rPr>
        <w:t xml:space="preserve"> N.</w:t>
      </w:r>
      <w:r w:rsidRPr="00D403F5">
        <w:rPr>
          <w:rFonts w:ascii="Arial" w:hAnsi="Arial" w:cs="Arial"/>
          <w:sz w:val="18"/>
          <w:szCs w:val="18"/>
          <w:lang w:val="en-IE" w:bidi="en-US"/>
        </w:rPr>
        <w:t xml:space="preserve"> (1988). </w:t>
      </w:r>
      <w:r w:rsidRPr="00D403F5">
        <w:rPr>
          <w:rFonts w:ascii="Arial" w:hAnsi="Arial"/>
          <w:sz w:val="18"/>
          <w:szCs w:val="18"/>
          <w:lang w:val="en-IE" w:bidi="en-US"/>
        </w:rPr>
        <w:t>Vaccination against spring viraemia of carp</w:t>
      </w:r>
      <w:r w:rsidRPr="00D403F5">
        <w:rPr>
          <w:rFonts w:ascii="Arial" w:hAnsi="Arial" w:cs="Arial"/>
          <w:sz w:val="18"/>
          <w:szCs w:val="18"/>
          <w:lang w:val="en-IE" w:bidi="en-US"/>
        </w:rPr>
        <w:t xml:space="preserve">. </w:t>
      </w:r>
      <w:r w:rsidRPr="00D403F5">
        <w:rPr>
          <w:rFonts w:ascii="Arial" w:hAnsi="Arial" w:cs="Arial"/>
          <w:i/>
          <w:iCs/>
          <w:sz w:val="18"/>
          <w:szCs w:val="18"/>
          <w:lang w:val="en-IE" w:bidi="en-US"/>
        </w:rPr>
        <w:t>In</w:t>
      </w:r>
      <w:r w:rsidRPr="00D403F5">
        <w:rPr>
          <w:rFonts w:ascii="Arial" w:hAnsi="Arial" w:cs="Arial"/>
          <w:sz w:val="18"/>
          <w:szCs w:val="18"/>
          <w:lang w:val="en-IE" w:bidi="en-US"/>
        </w:rPr>
        <w:t xml:space="preserve">: </w:t>
      </w:r>
      <w:r w:rsidRPr="00D403F5">
        <w:rPr>
          <w:rFonts w:ascii="Arial" w:hAnsi="Arial"/>
          <w:sz w:val="18"/>
          <w:szCs w:val="18"/>
          <w:lang w:val="en-IE" w:bidi="en-US"/>
        </w:rPr>
        <w:t>Fish Vaccination</w:t>
      </w:r>
      <w:r w:rsidRPr="00D403F5">
        <w:rPr>
          <w:rFonts w:ascii="Arial" w:hAnsi="Arial" w:cs="Arial"/>
          <w:sz w:val="18"/>
          <w:szCs w:val="18"/>
          <w:lang w:val="en-IE" w:bidi="en-US"/>
        </w:rPr>
        <w:t xml:space="preserve">, </w:t>
      </w:r>
      <w:r w:rsidRPr="00D403F5">
        <w:rPr>
          <w:rFonts w:ascii="Arial" w:hAnsi="Arial"/>
          <w:sz w:val="18"/>
          <w:szCs w:val="18"/>
          <w:lang w:val="en-IE" w:bidi="en-US"/>
        </w:rPr>
        <w:t>Ellis A.E.</w:t>
      </w:r>
      <w:r w:rsidRPr="00D403F5">
        <w:rPr>
          <w:rFonts w:ascii="Arial" w:hAnsi="Arial" w:cs="Arial"/>
          <w:sz w:val="18"/>
          <w:szCs w:val="18"/>
          <w:lang w:val="en-IE" w:bidi="en-US"/>
        </w:rPr>
        <w:t xml:space="preserve">, ed. </w:t>
      </w:r>
      <w:r w:rsidRPr="00D403F5">
        <w:rPr>
          <w:rFonts w:ascii="Arial" w:hAnsi="Arial"/>
          <w:sz w:val="18"/>
          <w:szCs w:val="18"/>
          <w:lang w:val="en-IE" w:bidi="en-US"/>
        </w:rPr>
        <w:t>Academic Press</w:t>
      </w:r>
      <w:r w:rsidRPr="00D403F5">
        <w:rPr>
          <w:rFonts w:ascii="Arial" w:hAnsi="Arial" w:cs="Arial"/>
          <w:sz w:val="18"/>
          <w:szCs w:val="18"/>
          <w:lang w:val="en-IE" w:bidi="en-US"/>
        </w:rPr>
        <w:t xml:space="preserve">, </w:t>
      </w:r>
      <w:r w:rsidRPr="00D403F5">
        <w:rPr>
          <w:rFonts w:ascii="Arial" w:hAnsi="Arial"/>
          <w:sz w:val="18"/>
          <w:szCs w:val="18"/>
          <w:lang w:val="en-IE" w:bidi="en-US"/>
        </w:rPr>
        <w:t>London</w:t>
      </w:r>
      <w:r w:rsidRPr="00D403F5">
        <w:rPr>
          <w:rFonts w:ascii="Arial" w:hAnsi="Arial" w:cs="Arial"/>
          <w:sz w:val="18"/>
          <w:szCs w:val="18"/>
          <w:lang w:val="en-IE" w:bidi="en-US"/>
        </w:rPr>
        <w:t xml:space="preserve">, UK, </w:t>
      </w:r>
      <w:r w:rsidRPr="00D403F5">
        <w:rPr>
          <w:rFonts w:ascii="Arial" w:hAnsi="Arial"/>
          <w:sz w:val="18"/>
          <w:szCs w:val="18"/>
          <w:lang w:val="en-IE" w:bidi="en-US"/>
        </w:rPr>
        <w:t>204</w:t>
      </w:r>
      <w:r w:rsidRPr="00D403F5">
        <w:rPr>
          <w:rFonts w:ascii="Arial" w:hAnsi="Arial" w:cs="Arial"/>
          <w:sz w:val="18"/>
          <w:szCs w:val="18"/>
          <w:lang w:val="en-IE" w:bidi="en-US"/>
        </w:rPr>
        <w:t>–</w:t>
      </w:r>
      <w:r w:rsidRPr="00D403F5">
        <w:rPr>
          <w:rFonts w:ascii="Arial" w:hAnsi="Arial"/>
          <w:sz w:val="18"/>
          <w:szCs w:val="18"/>
          <w:lang w:val="en-IE" w:bidi="en-US"/>
        </w:rPr>
        <w:t>215</w:t>
      </w:r>
      <w:r w:rsidRPr="00D403F5">
        <w:rPr>
          <w:rFonts w:ascii="Arial" w:hAnsi="Arial" w:cs="Arial"/>
          <w:sz w:val="18"/>
          <w:szCs w:val="18"/>
          <w:lang w:val="en-IE" w:bidi="en-US"/>
        </w:rPr>
        <w:t>.</w:t>
      </w:r>
    </w:p>
    <w:p w14:paraId="40FCE252" w14:textId="77777777" w:rsidR="00E65E42" w:rsidRPr="00D403F5" w:rsidRDefault="00E65E42" w:rsidP="00557B45">
      <w:pPr>
        <w:spacing w:after="240" w:line="240" w:lineRule="auto"/>
        <w:ind w:left="284"/>
        <w:jc w:val="both"/>
        <w:rPr>
          <w:rFonts w:ascii="Arial" w:hAnsi="Arial"/>
          <w:sz w:val="18"/>
          <w:szCs w:val="18"/>
          <w:lang w:val="en" w:bidi="en-US"/>
        </w:rPr>
      </w:pPr>
      <w:r w:rsidRPr="00D403F5">
        <w:rPr>
          <w:rFonts w:ascii="Arial" w:hAnsi="Arial"/>
          <w:smallCaps/>
          <w:sz w:val="18"/>
          <w:szCs w:val="18"/>
          <w:lang w:val="en-IE" w:bidi="en-US"/>
        </w:rPr>
        <w:t>Fijan</w:t>
      </w:r>
      <w:r w:rsidRPr="00D403F5" w:rsidDel="006E7BDE">
        <w:rPr>
          <w:rFonts w:ascii="Arial" w:hAnsi="Arial"/>
          <w:sz w:val="18"/>
          <w:szCs w:val="18"/>
          <w:lang w:val="en" w:bidi="en-US"/>
        </w:rPr>
        <w:t xml:space="preserve"> </w:t>
      </w:r>
      <w:r w:rsidRPr="00D403F5">
        <w:rPr>
          <w:rFonts w:ascii="Arial" w:hAnsi="Arial"/>
          <w:sz w:val="18"/>
          <w:szCs w:val="18"/>
          <w:lang w:val="en" w:bidi="en-US"/>
        </w:rPr>
        <w:t>N. (1999) Spring viraemia of carp and other viral diseases and agents of warm</w:t>
      </w:r>
      <w:r w:rsidRPr="00D403F5">
        <w:rPr>
          <w:rFonts w:ascii="Cambria Math" w:hAnsi="Cambria Math" w:cs="Cambria Math"/>
          <w:sz w:val="18"/>
          <w:szCs w:val="18"/>
          <w:lang w:val="en" w:bidi="en-US"/>
        </w:rPr>
        <w:t>‐</w:t>
      </w:r>
      <w:r w:rsidRPr="00D403F5">
        <w:rPr>
          <w:rFonts w:ascii="Arial" w:hAnsi="Arial"/>
          <w:sz w:val="18"/>
          <w:szCs w:val="18"/>
          <w:lang w:val="en" w:bidi="en-US"/>
        </w:rPr>
        <w:t xml:space="preserve">water fish. </w:t>
      </w:r>
      <w:r w:rsidRPr="00D403F5">
        <w:rPr>
          <w:rFonts w:ascii="Arial" w:hAnsi="Arial"/>
          <w:i/>
          <w:sz w:val="18"/>
          <w:szCs w:val="18"/>
          <w:lang w:val="en" w:bidi="en-US"/>
        </w:rPr>
        <w:t>In:</w:t>
      </w:r>
      <w:r w:rsidRPr="00D403F5">
        <w:rPr>
          <w:rFonts w:ascii="Arial" w:hAnsi="Arial"/>
          <w:sz w:val="18"/>
          <w:szCs w:val="18"/>
          <w:lang w:val="en" w:bidi="en-US"/>
        </w:rPr>
        <w:t xml:space="preserve"> Fish Diseases and Disorders Vol. 3: Viral, Bacterial, and Fungal Infections, Woo P.T.K. &amp; Bruno D.W., eds. CAB International, London, UK, pp. 177–244.</w:t>
      </w:r>
    </w:p>
    <w:p w14:paraId="408343C6" w14:textId="77777777" w:rsidR="00E65E42" w:rsidRPr="00D403F5" w:rsidRDefault="00E65E42" w:rsidP="00557B45">
      <w:pPr>
        <w:spacing w:after="240" w:line="240" w:lineRule="auto"/>
        <w:ind w:left="284"/>
        <w:jc w:val="both"/>
        <w:rPr>
          <w:rFonts w:ascii="Arial" w:hAnsi="Arial" w:cs="Arial"/>
          <w:sz w:val="18"/>
          <w:szCs w:val="18"/>
        </w:rPr>
      </w:pPr>
      <w:r w:rsidRPr="00D403F5">
        <w:rPr>
          <w:rFonts w:ascii="Arial" w:hAnsi="Arial" w:cs="Arial"/>
          <w:smallCaps/>
          <w:sz w:val="18"/>
          <w:szCs w:val="18"/>
          <w:lang w:val="en"/>
        </w:rPr>
        <w:t>Garver K.A., Dwilow A.G., Richard J., Booth T.F., Beniac D.R. &amp; Souter B.W.</w:t>
      </w:r>
      <w:r w:rsidRPr="00D403F5">
        <w:rPr>
          <w:rFonts w:ascii="Arial" w:hAnsi="Arial" w:cs="Arial"/>
          <w:sz w:val="18"/>
          <w:szCs w:val="18"/>
          <w:lang w:val="en"/>
        </w:rPr>
        <w:t xml:space="preserve"> (2007). First detection and confirmation of spring viraemia of carp virus in common carp, </w:t>
      </w:r>
      <w:r w:rsidRPr="00D403F5">
        <w:rPr>
          <w:rFonts w:ascii="Arial" w:hAnsi="Arial" w:cs="Arial"/>
          <w:i/>
          <w:sz w:val="18"/>
          <w:szCs w:val="18"/>
          <w:lang w:val="en"/>
        </w:rPr>
        <w:t>Cyprinus carpio</w:t>
      </w:r>
      <w:r w:rsidRPr="00D403F5">
        <w:rPr>
          <w:rFonts w:ascii="Arial" w:hAnsi="Arial" w:cs="Arial"/>
          <w:sz w:val="18"/>
          <w:szCs w:val="18"/>
          <w:lang w:val="en"/>
        </w:rPr>
        <w:t xml:space="preserve"> L., from Hamilton Harbour, Lake Ontario, Canada. </w:t>
      </w:r>
      <w:r w:rsidRPr="00D403F5">
        <w:rPr>
          <w:rFonts w:ascii="Arial" w:hAnsi="Arial" w:cs="Arial"/>
          <w:i/>
          <w:sz w:val="18"/>
          <w:szCs w:val="18"/>
          <w:lang w:val="en"/>
        </w:rPr>
        <w:t>J. Fish Dis.,</w:t>
      </w:r>
      <w:r w:rsidRPr="00D403F5">
        <w:rPr>
          <w:rFonts w:ascii="Arial" w:hAnsi="Arial" w:cs="Arial"/>
          <w:sz w:val="18"/>
          <w:szCs w:val="18"/>
          <w:lang w:val="en"/>
        </w:rPr>
        <w:t xml:space="preserve"> </w:t>
      </w:r>
      <w:r w:rsidRPr="00D403F5">
        <w:rPr>
          <w:rFonts w:ascii="Arial" w:hAnsi="Arial" w:cs="Arial"/>
          <w:b/>
          <w:sz w:val="18"/>
          <w:szCs w:val="18"/>
          <w:lang w:val="en"/>
        </w:rPr>
        <w:t>30</w:t>
      </w:r>
      <w:r w:rsidRPr="00D403F5">
        <w:rPr>
          <w:rFonts w:ascii="Arial" w:hAnsi="Arial" w:cs="Arial"/>
          <w:sz w:val="18"/>
          <w:szCs w:val="18"/>
          <w:lang w:val="en"/>
        </w:rPr>
        <w:t>, 665–671.</w:t>
      </w:r>
    </w:p>
    <w:p w14:paraId="06CBD08F" w14:textId="77777777" w:rsidR="00E65E42" w:rsidRPr="00B97799" w:rsidRDefault="00E65E42" w:rsidP="00557B45">
      <w:pPr>
        <w:spacing w:after="240" w:line="240" w:lineRule="auto"/>
        <w:ind w:left="284"/>
        <w:jc w:val="both"/>
        <w:rPr>
          <w:rFonts w:ascii="Arial" w:hAnsi="Arial" w:cs="Arial"/>
          <w:noProof/>
          <w:sz w:val="18"/>
          <w:szCs w:val="18"/>
          <w:lang w:val="en-IE" w:bidi="en-US"/>
        </w:rPr>
      </w:pPr>
      <w:r w:rsidRPr="00D403F5">
        <w:rPr>
          <w:rFonts w:ascii="Arial" w:hAnsi="Arial"/>
          <w:smallCaps/>
          <w:sz w:val="18"/>
          <w:szCs w:val="18"/>
          <w:lang w:val="de-DE" w:bidi="en-US"/>
        </w:rPr>
        <w:t>Hoffmann B., Schütze H. &amp; Mettenleiter T.C.</w:t>
      </w:r>
      <w:r w:rsidRPr="00D403F5">
        <w:rPr>
          <w:rFonts w:ascii="Arial" w:hAnsi="Arial"/>
          <w:sz w:val="18"/>
          <w:szCs w:val="18"/>
          <w:lang w:val="de-DE" w:bidi="en-US"/>
        </w:rPr>
        <w:t xml:space="preserve"> (2002). </w:t>
      </w:r>
      <w:r w:rsidRPr="00D403F5">
        <w:rPr>
          <w:rFonts w:ascii="Arial" w:hAnsi="Arial"/>
          <w:sz w:val="18"/>
          <w:szCs w:val="18"/>
          <w:lang w:val="en-IE" w:bidi="en-US"/>
        </w:rPr>
        <w:t xml:space="preserve">Determination of the complete genomic sequence and analysis of the gene products of the virus of Spring Viremia of Carp, a fish rhabdovirus. </w:t>
      </w:r>
      <w:r w:rsidRPr="00B97799">
        <w:rPr>
          <w:rFonts w:ascii="Arial" w:hAnsi="Arial"/>
          <w:i/>
          <w:iCs/>
          <w:sz w:val="18"/>
          <w:szCs w:val="18"/>
          <w:lang w:val="en-IE" w:bidi="en-US"/>
        </w:rPr>
        <w:t>Virus Res.</w:t>
      </w:r>
      <w:r w:rsidRPr="00B97799">
        <w:rPr>
          <w:rFonts w:ascii="Arial" w:hAnsi="Arial"/>
          <w:sz w:val="18"/>
          <w:szCs w:val="18"/>
          <w:lang w:val="en-IE" w:bidi="en-US"/>
        </w:rPr>
        <w:t xml:space="preserve">, </w:t>
      </w:r>
      <w:r w:rsidRPr="00B97799">
        <w:rPr>
          <w:rFonts w:ascii="Arial" w:hAnsi="Arial"/>
          <w:b/>
          <w:bCs/>
          <w:sz w:val="18"/>
          <w:szCs w:val="18"/>
          <w:lang w:val="en-IE" w:bidi="en-US"/>
        </w:rPr>
        <w:t>84</w:t>
      </w:r>
      <w:r w:rsidRPr="00B97799">
        <w:rPr>
          <w:rFonts w:ascii="Arial" w:hAnsi="Arial"/>
          <w:sz w:val="18"/>
          <w:szCs w:val="18"/>
          <w:lang w:val="en-IE" w:bidi="en-US"/>
        </w:rPr>
        <w:t>, 89–100</w:t>
      </w:r>
      <w:r w:rsidRPr="00B97799">
        <w:rPr>
          <w:rFonts w:ascii="Arial" w:hAnsi="Arial" w:cs="Arial"/>
          <w:noProof/>
          <w:sz w:val="18"/>
          <w:szCs w:val="18"/>
          <w:lang w:val="en-IE" w:bidi="en-US"/>
        </w:rPr>
        <w:t xml:space="preserve">. </w:t>
      </w:r>
    </w:p>
    <w:p w14:paraId="540CB851" w14:textId="77777777" w:rsidR="00E65E42" w:rsidRPr="00BC5907" w:rsidRDefault="00E65E42" w:rsidP="00557B45">
      <w:pPr>
        <w:spacing w:after="240" w:line="240" w:lineRule="auto"/>
        <w:ind w:left="284"/>
        <w:jc w:val="both"/>
        <w:rPr>
          <w:rFonts w:ascii="Arial" w:hAnsi="Arial"/>
          <w:sz w:val="18"/>
          <w:szCs w:val="18"/>
          <w:lang w:val="en-US" w:eastAsia="en-GB"/>
        </w:rPr>
      </w:pPr>
      <w:r w:rsidRPr="00B97799">
        <w:rPr>
          <w:rFonts w:ascii="Arial" w:hAnsi="Arial"/>
          <w:smallCaps/>
          <w:sz w:val="18"/>
          <w:szCs w:val="18"/>
          <w:lang w:val="en-IE" w:eastAsia="en-GB"/>
        </w:rPr>
        <w:t xml:space="preserve">Kirpichnikov V.S., Ilyasov I., Shart L.A., Vikhman A.A., Ganchenko M.V, Ostashevsky A.L., Simonov V.M., Tikhonov G.F. &amp; Tjurin V.V. (1993). </w:t>
      </w:r>
      <w:r w:rsidRPr="00D403F5">
        <w:rPr>
          <w:rFonts w:ascii="Arial" w:hAnsi="Arial"/>
          <w:sz w:val="18"/>
          <w:szCs w:val="18"/>
          <w:lang w:eastAsia="en-GB"/>
        </w:rPr>
        <w:t>Selection of Krasnodar common carp (</w:t>
      </w:r>
      <w:r w:rsidRPr="00D403F5">
        <w:rPr>
          <w:rFonts w:ascii="Arial" w:hAnsi="Arial"/>
          <w:i/>
          <w:sz w:val="18"/>
          <w:szCs w:val="18"/>
          <w:lang w:eastAsia="en-GB"/>
        </w:rPr>
        <w:t>Cyprinus carpio</w:t>
      </w:r>
      <w:r w:rsidRPr="00D403F5">
        <w:rPr>
          <w:rFonts w:ascii="Arial" w:hAnsi="Arial"/>
          <w:sz w:val="18"/>
          <w:szCs w:val="18"/>
          <w:lang w:eastAsia="en-GB"/>
        </w:rPr>
        <w:t xml:space="preserve"> L.) for resistance to dropsy: principal results and prospect. </w:t>
      </w:r>
      <w:r w:rsidRPr="00D403F5">
        <w:rPr>
          <w:rFonts w:ascii="Arial" w:hAnsi="Arial"/>
          <w:i/>
          <w:sz w:val="18"/>
          <w:szCs w:val="18"/>
          <w:lang w:eastAsia="en-GB"/>
        </w:rPr>
        <w:t>In:</w:t>
      </w:r>
      <w:r w:rsidRPr="00D403F5">
        <w:rPr>
          <w:rFonts w:ascii="Arial" w:hAnsi="Arial"/>
          <w:sz w:val="18"/>
          <w:szCs w:val="18"/>
          <w:lang w:eastAsia="en-GB"/>
        </w:rPr>
        <w:t xml:space="preserve"> Genetics in Aquatculture, </w:t>
      </w:r>
      <w:r w:rsidRPr="00D403F5">
        <w:rPr>
          <w:rFonts w:ascii="Arial" w:hAnsi="Arial" w:cs="Arial"/>
          <w:color w:val="2E2E2E"/>
          <w:sz w:val="18"/>
          <w:szCs w:val="18"/>
          <w:lang w:val="en-IE"/>
        </w:rPr>
        <w:t>Proceedings of the Fourth International Symposium on Genetics in Aquaculture,</w:t>
      </w:r>
      <w:r w:rsidRPr="00D403F5">
        <w:rPr>
          <w:rFonts w:ascii="Arial" w:hAnsi="Arial"/>
          <w:sz w:val="18"/>
          <w:szCs w:val="18"/>
          <w:lang w:eastAsia="en-GB"/>
        </w:rPr>
        <w:t xml:space="preserve"> Graham A.E. &amp; Gall G.A.E., eds. </w:t>
      </w:r>
      <w:r w:rsidRPr="00BC5907">
        <w:rPr>
          <w:rFonts w:ascii="Arial" w:hAnsi="Arial"/>
          <w:sz w:val="18"/>
          <w:szCs w:val="18"/>
          <w:lang w:val="en-US" w:eastAsia="en-GB"/>
        </w:rPr>
        <w:t>Elsevier, Amsterdam, Netherlands, 7–20.</w:t>
      </w:r>
    </w:p>
    <w:p w14:paraId="5C886FCB" w14:textId="0B1E130E" w:rsidR="00754D87" w:rsidRPr="00BE5986" w:rsidRDefault="00754D87" w:rsidP="00557B45">
      <w:pPr>
        <w:spacing w:after="480" w:line="240" w:lineRule="auto"/>
      </w:pPr>
      <w:r w:rsidRPr="000D7670">
        <w:rPr>
          <w:u w:val="single"/>
        </w:rPr>
        <w:br w:type="page"/>
      </w:r>
      <w:r w:rsidRPr="00BE5986">
        <w:rPr>
          <w:u w:val="single"/>
        </w:rPr>
        <w:lastRenderedPageBreak/>
        <w:t>A</w:t>
      </w:r>
      <w:r w:rsidRPr="00BE5986">
        <w:rPr>
          <w:rFonts w:cs="Times New Roman"/>
          <w:bCs/>
          <w:iCs/>
          <w:szCs w:val="20"/>
          <w:u w:val="single"/>
        </w:rPr>
        <w:t>nnex 11</w:t>
      </w:r>
      <w:r w:rsidRPr="00BE5986">
        <w:rPr>
          <w:rFonts w:cs="Times New Roman"/>
          <w:bCs/>
          <w:iCs/>
          <w:szCs w:val="20"/>
        </w:rPr>
        <w:t xml:space="preserve"> (contd)</w:t>
      </w:r>
    </w:p>
    <w:p w14:paraId="0707E860" w14:textId="77777777" w:rsidR="00E65E42" w:rsidRPr="00D403F5" w:rsidRDefault="00E65E42" w:rsidP="00557B45">
      <w:pPr>
        <w:spacing w:after="240" w:line="240" w:lineRule="auto"/>
        <w:ind w:left="284"/>
        <w:jc w:val="both"/>
        <w:rPr>
          <w:rFonts w:ascii="Arial" w:hAnsi="Arial"/>
          <w:sz w:val="18"/>
          <w:szCs w:val="18"/>
          <w:lang w:val="en-IE" w:bidi="en-US"/>
        </w:rPr>
      </w:pPr>
      <w:r w:rsidRPr="00BC5907">
        <w:rPr>
          <w:rFonts w:ascii="Arial" w:hAnsi="Arial"/>
          <w:smallCaps/>
          <w:sz w:val="18"/>
          <w:szCs w:val="18"/>
          <w:lang w:val="en-US" w:bidi="en-US"/>
        </w:rPr>
        <w:t>Kiryu I., Sakai T., Kurita J. &amp; Iida T.</w:t>
      </w:r>
      <w:r w:rsidRPr="00BC5907">
        <w:rPr>
          <w:rFonts w:ascii="Arial" w:hAnsi="Arial"/>
          <w:sz w:val="18"/>
          <w:szCs w:val="18"/>
          <w:lang w:val="en-US" w:bidi="en-US"/>
        </w:rPr>
        <w:t xml:space="preserve"> (2007). </w:t>
      </w:r>
      <w:r w:rsidRPr="00D403F5">
        <w:rPr>
          <w:rFonts w:ascii="Arial" w:hAnsi="Arial"/>
          <w:sz w:val="18"/>
          <w:szCs w:val="18"/>
          <w:lang w:val="en-IE" w:bidi="en-US"/>
        </w:rPr>
        <w:t xml:space="preserve">Virucidal effect of disinfectants on spring viremia of carp virus. </w:t>
      </w:r>
      <w:r w:rsidRPr="00D403F5">
        <w:rPr>
          <w:rFonts w:ascii="Arial" w:hAnsi="Arial"/>
          <w:i/>
          <w:iCs/>
          <w:sz w:val="18"/>
          <w:szCs w:val="18"/>
          <w:lang w:val="en-IE" w:bidi="en-US"/>
        </w:rPr>
        <w:t>Fish Pathol.</w:t>
      </w:r>
      <w:r w:rsidRPr="00D403F5">
        <w:rPr>
          <w:rFonts w:ascii="Arial" w:hAnsi="Arial"/>
          <w:sz w:val="18"/>
          <w:szCs w:val="18"/>
          <w:lang w:val="en-IE" w:bidi="en-US"/>
        </w:rPr>
        <w:t xml:space="preserve">, </w:t>
      </w:r>
      <w:r w:rsidRPr="00D403F5">
        <w:rPr>
          <w:rFonts w:ascii="Arial" w:hAnsi="Arial"/>
          <w:b/>
          <w:bCs/>
          <w:sz w:val="18"/>
          <w:szCs w:val="18"/>
          <w:lang w:val="en-IE" w:bidi="en-US"/>
        </w:rPr>
        <w:t>42</w:t>
      </w:r>
      <w:r w:rsidRPr="00D403F5">
        <w:rPr>
          <w:rFonts w:ascii="Arial" w:hAnsi="Arial"/>
          <w:sz w:val="18"/>
          <w:szCs w:val="18"/>
          <w:lang w:val="en-IE" w:bidi="en-US"/>
        </w:rPr>
        <w:t>, 111–113.</w:t>
      </w:r>
    </w:p>
    <w:p w14:paraId="556A6265" w14:textId="77777777" w:rsidR="00E65E42" w:rsidRPr="00D403F5" w:rsidRDefault="00E65E42" w:rsidP="00557B45">
      <w:pPr>
        <w:spacing w:after="240" w:line="240" w:lineRule="auto"/>
        <w:ind w:left="284"/>
        <w:jc w:val="both"/>
        <w:rPr>
          <w:rFonts w:ascii="Arial" w:hAnsi="Arial"/>
          <w:sz w:val="18"/>
          <w:szCs w:val="18"/>
          <w:lang w:val="en-IE" w:bidi="en-US"/>
        </w:rPr>
      </w:pPr>
      <w:r w:rsidRPr="00D403F5">
        <w:rPr>
          <w:rFonts w:ascii="Arial" w:hAnsi="Arial"/>
          <w:smallCaps/>
          <w:sz w:val="18"/>
          <w:szCs w:val="18"/>
          <w:lang w:val="en-IE" w:bidi="en-US"/>
        </w:rPr>
        <w:t xml:space="preserve">Koutna M., Vesely T., Psikal I. &amp; Hulová J. </w:t>
      </w:r>
      <w:r w:rsidRPr="00D403F5">
        <w:rPr>
          <w:rFonts w:ascii="Arial" w:hAnsi="Arial"/>
          <w:sz w:val="18"/>
          <w:szCs w:val="18"/>
          <w:lang w:val="en-IE" w:bidi="en-US"/>
        </w:rPr>
        <w:t xml:space="preserve">(2003). Identification of spring viraemia of carp virus (SVCV) by combined RT-PCR and nested PCR. </w:t>
      </w:r>
      <w:r w:rsidRPr="00D403F5">
        <w:rPr>
          <w:rFonts w:ascii="Arial" w:hAnsi="Arial"/>
          <w:i/>
          <w:iCs/>
          <w:sz w:val="18"/>
          <w:szCs w:val="18"/>
          <w:lang w:val="en-IE" w:bidi="en-US"/>
        </w:rPr>
        <w:t>Dis. Aquat. Org.</w:t>
      </w:r>
      <w:r w:rsidRPr="00D403F5">
        <w:rPr>
          <w:rFonts w:ascii="Arial" w:hAnsi="Arial"/>
          <w:sz w:val="18"/>
          <w:szCs w:val="18"/>
          <w:lang w:val="en-IE" w:bidi="en-US"/>
        </w:rPr>
        <w:t xml:space="preserve">, </w:t>
      </w:r>
      <w:r w:rsidRPr="00D403F5">
        <w:rPr>
          <w:rFonts w:ascii="Arial" w:hAnsi="Arial"/>
          <w:b/>
          <w:bCs/>
          <w:sz w:val="18"/>
          <w:szCs w:val="18"/>
          <w:lang w:val="en-IE" w:bidi="en-US"/>
        </w:rPr>
        <w:t>55</w:t>
      </w:r>
      <w:r w:rsidRPr="00D403F5">
        <w:rPr>
          <w:rFonts w:ascii="Arial" w:hAnsi="Arial"/>
          <w:sz w:val="18"/>
          <w:szCs w:val="18"/>
          <w:lang w:val="en-IE" w:bidi="en-US"/>
        </w:rPr>
        <w:t>, 229–235.</w:t>
      </w:r>
    </w:p>
    <w:p w14:paraId="6D4DAD62" w14:textId="77777777" w:rsidR="00E65E42" w:rsidRPr="00D403F5" w:rsidRDefault="00E65E42" w:rsidP="00557B45">
      <w:pPr>
        <w:spacing w:after="240" w:line="240" w:lineRule="auto"/>
        <w:ind w:left="284"/>
        <w:jc w:val="both"/>
        <w:rPr>
          <w:rFonts w:ascii="Arial" w:hAnsi="Arial"/>
          <w:sz w:val="18"/>
          <w:szCs w:val="18"/>
          <w:lang w:val="en" w:bidi="en-US"/>
        </w:rPr>
      </w:pPr>
      <w:r w:rsidRPr="00D403F5">
        <w:rPr>
          <w:rFonts w:ascii="Arial" w:hAnsi="Arial"/>
          <w:smallCaps/>
          <w:sz w:val="18"/>
          <w:szCs w:val="18"/>
          <w:lang w:val="en" w:bidi="en-US"/>
        </w:rPr>
        <w:t>Liu H., Gao L., Shi X., Gu T., Jiang Y. &amp; Chen H</w:t>
      </w:r>
      <w:r w:rsidRPr="00D403F5">
        <w:rPr>
          <w:rFonts w:ascii="Arial" w:hAnsi="Arial"/>
          <w:sz w:val="18"/>
          <w:szCs w:val="18"/>
          <w:lang w:val="en" w:bidi="en-US"/>
        </w:rPr>
        <w:t>. (2004). Isolation of spring viraemia of carp virus (SVCV) from cultured koi (</w:t>
      </w:r>
      <w:r w:rsidRPr="00D403F5">
        <w:rPr>
          <w:rFonts w:ascii="Arial" w:hAnsi="Arial"/>
          <w:i/>
          <w:iCs/>
          <w:sz w:val="18"/>
          <w:szCs w:val="18"/>
          <w:lang w:val="en" w:bidi="en-US"/>
        </w:rPr>
        <w:t>Cyprinus carpio koi</w:t>
      </w:r>
      <w:r w:rsidRPr="00D403F5">
        <w:rPr>
          <w:rFonts w:ascii="Arial" w:hAnsi="Arial"/>
          <w:sz w:val="18"/>
          <w:szCs w:val="18"/>
          <w:lang w:val="en" w:bidi="en-US"/>
        </w:rPr>
        <w:t>) and common carp (</w:t>
      </w:r>
      <w:r w:rsidRPr="00D403F5">
        <w:rPr>
          <w:rFonts w:ascii="Arial" w:hAnsi="Arial"/>
          <w:i/>
          <w:iCs/>
          <w:sz w:val="18"/>
          <w:szCs w:val="18"/>
          <w:lang w:val="en" w:bidi="en-US"/>
        </w:rPr>
        <w:t>C. carpio carpio</w:t>
      </w:r>
      <w:r w:rsidRPr="00D403F5">
        <w:rPr>
          <w:rFonts w:ascii="Arial" w:hAnsi="Arial"/>
          <w:sz w:val="18"/>
          <w:szCs w:val="18"/>
          <w:lang w:val="en" w:bidi="en-US"/>
        </w:rPr>
        <w:t xml:space="preserve">) in PR </w:t>
      </w:r>
      <w:r w:rsidRPr="00D403F5">
        <w:rPr>
          <w:rFonts w:ascii="Arial" w:hAnsi="Arial"/>
          <w:i/>
          <w:iCs/>
          <w:sz w:val="18"/>
          <w:szCs w:val="18"/>
          <w:lang w:val="en" w:bidi="en-US"/>
        </w:rPr>
        <w:t>China</w:t>
      </w:r>
      <w:r w:rsidRPr="00D403F5">
        <w:rPr>
          <w:rFonts w:ascii="Arial" w:hAnsi="Arial"/>
          <w:sz w:val="18"/>
          <w:szCs w:val="18"/>
          <w:lang w:val="en" w:bidi="en-US"/>
        </w:rPr>
        <w:t xml:space="preserve">. </w:t>
      </w:r>
      <w:r w:rsidRPr="00D403F5">
        <w:rPr>
          <w:rFonts w:ascii="Arial" w:hAnsi="Arial"/>
          <w:i/>
          <w:iCs/>
          <w:sz w:val="18"/>
          <w:szCs w:val="18"/>
          <w:lang w:val="en" w:bidi="en-US"/>
        </w:rPr>
        <w:t>Bull. Eur. Assoc. Fish Pathol.,</w:t>
      </w:r>
      <w:r w:rsidRPr="00D403F5">
        <w:rPr>
          <w:rFonts w:ascii="Arial" w:hAnsi="Arial"/>
          <w:sz w:val="18"/>
          <w:szCs w:val="18"/>
          <w:lang w:val="en" w:bidi="en-US"/>
        </w:rPr>
        <w:t xml:space="preserve"> </w:t>
      </w:r>
      <w:r w:rsidRPr="00D403F5">
        <w:rPr>
          <w:rFonts w:ascii="Arial" w:hAnsi="Arial"/>
          <w:b/>
          <w:sz w:val="18"/>
          <w:szCs w:val="18"/>
          <w:lang w:val="en" w:bidi="en-US"/>
        </w:rPr>
        <w:t>24</w:t>
      </w:r>
      <w:r w:rsidRPr="00D403F5">
        <w:rPr>
          <w:rFonts w:ascii="Arial" w:hAnsi="Arial"/>
          <w:sz w:val="18"/>
          <w:szCs w:val="18"/>
          <w:lang w:val="en" w:bidi="en-US"/>
        </w:rPr>
        <w:t xml:space="preserve">, 194–202. </w:t>
      </w:r>
    </w:p>
    <w:p w14:paraId="580169A2" w14:textId="77777777" w:rsidR="00E65E42" w:rsidRPr="00943A6E" w:rsidRDefault="00E65E42" w:rsidP="00557B45">
      <w:pPr>
        <w:spacing w:after="240" w:line="240" w:lineRule="auto"/>
        <w:ind w:left="284"/>
        <w:jc w:val="both"/>
        <w:rPr>
          <w:rFonts w:ascii="Arial" w:hAnsi="Arial"/>
          <w:smallCaps/>
          <w:strike/>
          <w:sz w:val="18"/>
          <w:szCs w:val="18"/>
          <w:lang w:val="en-IE" w:eastAsia="en-GB"/>
        </w:rPr>
      </w:pPr>
      <w:r w:rsidRPr="00BE5986">
        <w:rPr>
          <w:rFonts w:ascii="Arial" w:hAnsi="Arial"/>
          <w:smallCaps/>
          <w:strike/>
          <w:sz w:val="18"/>
          <w:szCs w:val="18"/>
          <w:highlight w:val="yellow"/>
          <w:lang w:val="en" w:eastAsia="en-GB"/>
        </w:rPr>
        <w:t xml:space="preserve">Liu Z., Teng Y., Xie X., Li H., Lv J., Gao L., Tian F., Jiang Y., Chu Z., Xie C. &amp; Liu H. (2008). </w:t>
      </w:r>
      <w:r w:rsidRPr="00943A6E">
        <w:rPr>
          <w:rFonts w:ascii="Arial" w:hAnsi="Arial"/>
          <w:strike/>
          <w:sz w:val="18"/>
          <w:szCs w:val="18"/>
          <w:highlight w:val="yellow"/>
          <w:lang w:val="en-IE" w:bidi="en-US"/>
        </w:rPr>
        <w:t>Development and evaluation of a one-step loop-mediated isothermal amplification for detection of spring viraemia of carp virus</w:t>
      </w:r>
      <w:r w:rsidRPr="00943A6E">
        <w:rPr>
          <w:rFonts w:ascii="Arial" w:hAnsi="Arial"/>
          <w:i/>
          <w:strike/>
          <w:sz w:val="18"/>
          <w:szCs w:val="18"/>
          <w:highlight w:val="yellow"/>
          <w:lang w:val="en-IE" w:bidi="en-US"/>
        </w:rPr>
        <w:t>. J. Appl. Microbiol</w:t>
      </w:r>
      <w:r w:rsidRPr="00943A6E">
        <w:rPr>
          <w:rFonts w:ascii="Arial" w:hAnsi="Arial"/>
          <w:strike/>
          <w:sz w:val="18"/>
          <w:szCs w:val="18"/>
          <w:highlight w:val="yellow"/>
          <w:lang w:val="en-IE" w:bidi="en-US"/>
        </w:rPr>
        <w:t xml:space="preserve">., </w:t>
      </w:r>
      <w:r w:rsidRPr="00943A6E">
        <w:rPr>
          <w:rFonts w:ascii="Arial" w:hAnsi="Arial"/>
          <w:b/>
          <w:strike/>
          <w:sz w:val="18"/>
          <w:szCs w:val="18"/>
          <w:highlight w:val="yellow"/>
          <w:lang w:val="en-IE" w:bidi="en-US"/>
        </w:rPr>
        <w:t>105</w:t>
      </w:r>
      <w:r w:rsidRPr="00943A6E">
        <w:rPr>
          <w:rFonts w:ascii="Arial" w:hAnsi="Arial"/>
          <w:strike/>
          <w:sz w:val="18"/>
          <w:szCs w:val="18"/>
          <w:highlight w:val="yellow"/>
          <w:lang w:val="en-IE" w:bidi="en-US"/>
        </w:rPr>
        <w:t>, 1220–1226.</w:t>
      </w:r>
      <w:r w:rsidRPr="00943A6E">
        <w:rPr>
          <w:rFonts w:ascii="Arial" w:hAnsi="Arial"/>
          <w:smallCaps/>
          <w:strike/>
          <w:sz w:val="18"/>
          <w:szCs w:val="18"/>
          <w:lang w:val="en-IE" w:eastAsia="en-GB"/>
        </w:rPr>
        <w:t xml:space="preserve"> </w:t>
      </w:r>
    </w:p>
    <w:p w14:paraId="493E4E62" w14:textId="77777777" w:rsidR="00E65E42" w:rsidRPr="00D403F5" w:rsidRDefault="00E65E42" w:rsidP="00557B45">
      <w:pPr>
        <w:spacing w:after="240" w:line="240" w:lineRule="auto"/>
        <w:ind w:left="284"/>
        <w:jc w:val="both"/>
        <w:rPr>
          <w:rFonts w:ascii="Arial" w:hAnsi="Arial"/>
          <w:smallCaps/>
          <w:sz w:val="18"/>
          <w:szCs w:val="18"/>
          <w:lang w:val="en-IE" w:bidi="en-US"/>
        </w:rPr>
      </w:pPr>
      <w:r w:rsidRPr="00D403F5">
        <w:rPr>
          <w:rFonts w:ascii="Arial" w:hAnsi="Arial"/>
          <w:smallCaps/>
          <w:sz w:val="18"/>
          <w:szCs w:val="18"/>
          <w:lang w:val="en-IE" w:bidi="en-US"/>
        </w:rPr>
        <w:t xml:space="preserve">Misk E., Garver K., Nagy E., Isaac S., Tubbs L., Huber P., Al-Hussinee L. &amp; Lumsden J.S. (2016). </w:t>
      </w:r>
      <w:r w:rsidRPr="00D403F5">
        <w:rPr>
          <w:rFonts w:ascii="Arial" w:hAnsi="Arial"/>
          <w:sz w:val="18"/>
          <w:szCs w:val="18"/>
          <w:lang w:val="en-IE" w:bidi="en-US"/>
        </w:rPr>
        <w:t xml:space="preserve">Pathogenesis of spring viremia of carp virus in emerald shiner </w:t>
      </w:r>
      <w:r w:rsidRPr="00D403F5">
        <w:rPr>
          <w:rFonts w:ascii="Arial" w:hAnsi="Arial"/>
          <w:i/>
          <w:sz w:val="18"/>
          <w:szCs w:val="18"/>
          <w:lang w:val="en-IE" w:bidi="en-US"/>
        </w:rPr>
        <w:t>Notropis atherinoides</w:t>
      </w:r>
      <w:r w:rsidRPr="00D403F5">
        <w:rPr>
          <w:rFonts w:ascii="Arial" w:hAnsi="Arial"/>
          <w:sz w:val="18"/>
          <w:szCs w:val="18"/>
          <w:lang w:val="en-IE" w:bidi="en-US"/>
        </w:rPr>
        <w:t xml:space="preserve"> Rafinesque, fathead minnow </w:t>
      </w:r>
      <w:r w:rsidRPr="00D403F5">
        <w:rPr>
          <w:rFonts w:ascii="Arial" w:hAnsi="Arial"/>
          <w:i/>
          <w:sz w:val="18"/>
          <w:szCs w:val="18"/>
          <w:lang w:val="en-IE" w:bidi="en-US"/>
        </w:rPr>
        <w:t>Pimephales</w:t>
      </w:r>
      <w:r w:rsidRPr="00D403F5">
        <w:rPr>
          <w:rFonts w:ascii="Arial" w:hAnsi="Arial"/>
          <w:sz w:val="18"/>
          <w:szCs w:val="18"/>
          <w:lang w:val="en-IE" w:bidi="en-US"/>
        </w:rPr>
        <w:t xml:space="preserve"> </w:t>
      </w:r>
      <w:r w:rsidRPr="00D403F5">
        <w:rPr>
          <w:rFonts w:ascii="Arial" w:hAnsi="Arial"/>
          <w:i/>
          <w:sz w:val="18"/>
          <w:szCs w:val="18"/>
          <w:lang w:val="en-IE" w:bidi="en-US"/>
        </w:rPr>
        <w:t>promelas</w:t>
      </w:r>
      <w:r w:rsidRPr="00D403F5">
        <w:rPr>
          <w:rFonts w:ascii="Arial" w:hAnsi="Arial"/>
          <w:sz w:val="18"/>
          <w:szCs w:val="18"/>
          <w:lang w:val="en-IE" w:bidi="en-US"/>
        </w:rPr>
        <w:t xml:space="preserve"> Rafinesque and white sucker </w:t>
      </w:r>
      <w:r w:rsidRPr="00D403F5">
        <w:rPr>
          <w:rFonts w:ascii="Arial" w:hAnsi="Arial"/>
          <w:i/>
          <w:sz w:val="18"/>
          <w:szCs w:val="18"/>
          <w:lang w:val="en-IE" w:bidi="en-US"/>
        </w:rPr>
        <w:t>Catostomus commersonii</w:t>
      </w:r>
      <w:r w:rsidRPr="00D403F5">
        <w:rPr>
          <w:rFonts w:ascii="Arial" w:hAnsi="Arial"/>
          <w:sz w:val="18"/>
          <w:szCs w:val="18"/>
          <w:lang w:val="en-IE" w:bidi="en-US"/>
        </w:rPr>
        <w:t xml:space="preserve"> (Lacepede). </w:t>
      </w:r>
      <w:r w:rsidRPr="00D403F5">
        <w:rPr>
          <w:rFonts w:ascii="Arial" w:hAnsi="Arial"/>
          <w:i/>
          <w:sz w:val="18"/>
          <w:szCs w:val="18"/>
          <w:lang w:val="en-IE" w:bidi="en-US"/>
        </w:rPr>
        <w:t>J. Fish Di</w:t>
      </w:r>
      <w:r w:rsidRPr="00D403F5">
        <w:rPr>
          <w:rFonts w:ascii="Arial" w:hAnsi="Arial"/>
          <w:sz w:val="18"/>
          <w:szCs w:val="18"/>
          <w:lang w:val="en-IE" w:bidi="en-US"/>
        </w:rPr>
        <w:t xml:space="preserve">s., </w:t>
      </w:r>
      <w:r w:rsidRPr="00D403F5">
        <w:rPr>
          <w:rFonts w:ascii="Arial" w:hAnsi="Arial"/>
          <w:b/>
          <w:sz w:val="18"/>
          <w:szCs w:val="18"/>
          <w:lang w:val="en-IE" w:bidi="en-US"/>
        </w:rPr>
        <w:t>39</w:t>
      </w:r>
      <w:r w:rsidRPr="00D403F5">
        <w:rPr>
          <w:rFonts w:ascii="Arial" w:hAnsi="Arial"/>
          <w:sz w:val="18"/>
          <w:szCs w:val="18"/>
          <w:lang w:val="en-IE" w:bidi="en-US"/>
        </w:rPr>
        <w:t>, 729–739.</w:t>
      </w:r>
    </w:p>
    <w:p w14:paraId="7651D9F8" w14:textId="77777777" w:rsidR="00E65E42" w:rsidRPr="005E1A88" w:rsidRDefault="00E65E42" w:rsidP="00557B45">
      <w:pPr>
        <w:tabs>
          <w:tab w:val="left" w:pos="0"/>
        </w:tabs>
        <w:spacing w:after="240" w:line="240" w:lineRule="auto"/>
        <w:ind w:left="284"/>
        <w:jc w:val="both"/>
        <w:rPr>
          <w:rFonts w:ascii="Arial" w:hAnsi="Arial"/>
          <w:smallCaps/>
          <w:strike/>
          <w:sz w:val="18"/>
          <w:szCs w:val="18"/>
          <w:lang w:val="en-IE" w:bidi="en-US"/>
        </w:rPr>
      </w:pPr>
      <w:r w:rsidRPr="005E1A88">
        <w:rPr>
          <w:rFonts w:ascii="Arial" w:hAnsi="Arial"/>
          <w:smallCaps/>
          <w:strike/>
          <w:sz w:val="18"/>
          <w:szCs w:val="18"/>
          <w:highlight w:val="yellow"/>
          <w:lang w:val="en-IE" w:bidi="en-US"/>
        </w:rPr>
        <w:t xml:space="preserve">Oreshkova S.F., Shchelkunov I.S., Tikunova N. V, Shchelkunova T.I., Puzyrev A.T. &amp; Ilyichev A.A. (1999). </w:t>
      </w:r>
      <w:r w:rsidRPr="005E1A88">
        <w:rPr>
          <w:rFonts w:ascii="Arial" w:hAnsi="Arial"/>
          <w:strike/>
          <w:sz w:val="18"/>
          <w:szCs w:val="18"/>
          <w:highlight w:val="yellow"/>
          <w:lang w:val="en-IE" w:bidi="en-US"/>
        </w:rPr>
        <w:t xml:space="preserve">Detection of spring viremia of carp virus isolates by hybridization with non-radioactive probes and amplification by polymerase chain reaction. </w:t>
      </w:r>
      <w:r w:rsidRPr="005E1A88">
        <w:rPr>
          <w:rFonts w:ascii="Arial" w:hAnsi="Arial"/>
          <w:i/>
          <w:strike/>
          <w:sz w:val="18"/>
          <w:szCs w:val="18"/>
          <w:highlight w:val="yellow"/>
          <w:lang w:val="en-IE" w:bidi="en-US"/>
        </w:rPr>
        <w:t>Virus Res</w:t>
      </w:r>
      <w:r w:rsidRPr="005E1A88">
        <w:rPr>
          <w:rFonts w:ascii="Arial" w:hAnsi="Arial"/>
          <w:strike/>
          <w:sz w:val="18"/>
          <w:szCs w:val="18"/>
          <w:highlight w:val="yellow"/>
          <w:lang w:val="en-IE" w:bidi="en-US"/>
        </w:rPr>
        <w:t xml:space="preserve">., </w:t>
      </w:r>
      <w:r w:rsidRPr="005E1A88">
        <w:rPr>
          <w:rFonts w:ascii="Arial" w:hAnsi="Arial"/>
          <w:b/>
          <w:strike/>
          <w:sz w:val="18"/>
          <w:szCs w:val="18"/>
          <w:highlight w:val="yellow"/>
          <w:lang w:val="en-IE" w:bidi="en-US"/>
        </w:rPr>
        <w:t>63</w:t>
      </w:r>
      <w:r w:rsidRPr="005E1A88">
        <w:rPr>
          <w:rFonts w:ascii="Arial" w:hAnsi="Arial"/>
          <w:strike/>
          <w:sz w:val="18"/>
          <w:szCs w:val="18"/>
          <w:highlight w:val="yellow"/>
          <w:lang w:val="en-IE" w:bidi="en-US"/>
        </w:rPr>
        <w:t>, 3–10.</w:t>
      </w:r>
      <w:r w:rsidRPr="005E1A88">
        <w:rPr>
          <w:rFonts w:ascii="Arial" w:hAnsi="Arial"/>
          <w:smallCaps/>
          <w:strike/>
          <w:sz w:val="18"/>
          <w:szCs w:val="18"/>
          <w:lang w:val="en-IE" w:bidi="en-US"/>
        </w:rPr>
        <w:t xml:space="preserve"> </w:t>
      </w:r>
    </w:p>
    <w:p w14:paraId="3D23ED2A" w14:textId="77777777" w:rsidR="00E65E42" w:rsidRPr="00D403F5" w:rsidRDefault="00E65E42" w:rsidP="00557B45">
      <w:pPr>
        <w:spacing w:after="240" w:line="240" w:lineRule="auto"/>
        <w:ind w:left="284"/>
        <w:jc w:val="both"/>
        <w:rPr>
          <w:rFonts w:ascii="Arial" w:hAnsi="Arial"/>
          <w:bCs/>
          <w:sz w:val="18"/>
          <w:szCs w:val="18"/>
          <w:lang w:bidi="en-US"/>
        </w:rPr>
      </w:pPr>
      <w:r w:rsidRPr="00D403F5">
        <w:rPr>
          <w:rFonts w:ascii="Arial" w:hAnsi="Arial"/>
          <w:bCs/>
          <w:smallCaps/>
          <w:sz w:val="18"/>
          <w:szCs w:val="18"/>
          <w:lang w:val="en-IE" w:bidi="en-US"/>
        </w:rPr>
        <w:t>Peters F. &amp; Neukirch M</w:t>
      </w:r>
      <w:r w:rsidRPr="00D403F5">
        <w:rPr>
          <w:rFonts w:ascii="Arial" w:hAnsi="Arial"/>
          <w:bCs/>
          <w:sz w:val="18"/>
          <w:szCs w:val="18"/>
          <w:lang w:val="en-IE" w:bidi="en-US"/>
        </w:rPr>
        <w:t>. (1986) Transmission of some fish pathogenic vir</w:t>
      </w:r>
      <w:r w:rsidRPr="00D403F5">
        <w:rPr>
          <w:rFonts w:ascii="Arial" w:hAnsi="Arial"/>
          <w:bCs/>
          <w:sz w:val="18"/>
          <w:szCs w:val="18"/>
          <w:lang w:bidi="en-US"/>
        </w:rPr>
        <w:t xml:space="preserve">uses by the heron, </w:t>
      </w:r>
      <w:r w:rsidRPr="00D403F5">
        <w:rPr>
          <w:rFonts w:ascii="Arial" w:hAnsi="Arial"/>
          <w:bCs/>
          <w:i/>
          <w:iCs/>
          <w:sz w:val="18"/>
          <w:szCs w:val="18"/>
          <w:lang w:bidi="en-US"/>
        </w:rPr>
        <w:t>Ardea cinerea</w:t>
      </w:r>
      <w:r w:rsidRPr="00D403F5">
        <w:rPr>
          <w:rFonts w:ascii="Arial" w:hAnsi="Arial"/>
          <w:bCs/>
          <w:sz w:val="18"/>
          <w:szCs w:val="18"/>
          <w:lang w:bidi="en-US"/>
        </w:rPr>
        <w:t>.</w:t>
      </w:r>
      <w:r w:rsidRPr="00D403F5">
        <w:rPr>
          <w:rFonts w:ascii="Arial" w:hAnsi="Arial"/>
          <w:bCs/>
          <w:i/>
          <w:sz w:val="18"/>
          <w:szCs w:val="18"/>
          <w:lang w:bidi="en-US"/>
        </w:rPr>
        <w:t>J</w:t>
      </w:r>
      <w:r w:rsidRPr="00D403F5">
        <w:rPr>
          <w:rFonts w:ascii="Arial" w:hAnsi="Arial"/>
          <w:bCs/>
          <w:sz w:val="18"/>
          <w:szCs w:val="18"/>
          <w:lang w:bidi="en-US"/>
        </w:rPr>
        <w:t>.</w:t>
      </w:r>
      <w:r w:rsidRPr="00D403F5">
        <w:rPr>
          <w:rFonts w:ascii="Arial" w:hAnsi="Arial"/>
          <w:bCs/>
          <w:i/>
          <w:iCs/>
          <w:sz w:val="18"/>
          <w:szCs w:val="18"/>
          <w:lang w:bidi="en-US"/>
        </w:rPr>
        <w:t xml:space="preserve"> Fish Dis., </w:t>
      </w:r>
      <w:r w:rsidRPr="00D403F5">
        <w:rPr>
          <w:rFonts w:ascii="Arial" w:hAnsi="Arial"/>
          <w:b/>
          <w:bCs/>
          <w:sz w:val="18"/>
          <w:szCs w:val="18"/>
          <w:lang w:bidi="en-US"/>
        </w:rPr>
        <w:t>9</w:t>
      </w:r>
      <w:r w:rsidRPr="00D403F5">
        <w:rPr>
          <w:rFonts w:ascii="Arial" w:hAnsi="Arial"/>
          <w:bCs/>
          <w:sz w:val="18"/>
          <w:szCs w:val="18"/>
          <w:lang w:bidi="en-US"/>
        </w:rPr>
        <w:t>, 539</w:t>
      </w:r>
      <w:r w:rsidRPr="00D403F5">
        <w:rPr>
          <w:rFonts w:ascii="Arial" w:hAnsi="Arial" w:hint="eastAsia"/>
          <w:bCs/>
          <w:sz w:val="18"/>
          <w:szCs w:val="18"/>
          <w:lang w:bidi="en-US"/>
        </w:rPr>
        <w:t>–</w:t>
      </w:r>
      <w:r w:rsidRPr="00D403F5">
        <w:rPr>
          <w:rFonts w:ascii="Arial" w:hAnsi="Arial"/>
          <w:bCs/>
          <w:sz w:val="18"/>
          <w:szCs w:val="18"/>
          <w:lang w:bidi="en-US"/>
        </w:rPr>
        <w:t>544.</w:t>
      </w:r>
    </w:p>
    <w:p w14:paraId="264E37A8" w14:textId="77777777" w:rsidR="00E65E42" w:rsidRPr="00D403F5" w:rsidRDefault="00E65E42" w:rsidP="00557B45">
      <w:pPr>
        <w:tabs>
          <w:tab w:val="left" w:pos="0"/>
        </w:tabs>
        <w:spacing w:after="240" w:line="240" w:lineRule="auto"/>
        <w:ind w:left="284"/>
        <w:jc w:val="both"/>
        <w:rPr>
          <w:rFonts w:ascii="Arial" w:hAnsi="Arial"/>
          <w:smallCaps/>
          <w:sz w:val="18"/>
          <w:szCs w:val="18"/>
          <w:lang w:val="en-IE" w:bidi="en-US"/>
        </w:rPr>
      </w:pPr>
      <w:r w:rsidRPr="00D403F5">
        <w:rPr>
          <w:rFonts w:ascii="Arial" w:hAnsi="Arial"/>
          <w:smallCaps/>
          <w:sz w:val="18"/>
          <w:szCs w:val="18"/>
          <w:lang w:val="en-IE" w:bidi="en-US"/>
        </w:rPr>
        <w:t xml:space="preserve">Ruane N.M., Rodger H.D., McCarthy L.J., Swords D., Dodge M., Kerr R.C., Henshilwood K. &amp; Stone D.M. (2014). </w:t>
      </w:r>
      <w:r w:rsidRPr="00D403F5">
        <w:rPr>
          <w:rFonts w:ascii="Arial" w:hAnsi="Arial"/>
          <w:sz w:val="18"/>
          <w:szCs w:val="18"/>
          <w:lang w:val="en-IE" w:bidi="en-US"/>
        </w:rPr>
        <w:t xml:space="preserve">Genetic diversity and associated pathology of rhabdovirus infections in farmed and wild perch </w:t>
      </w:r>
      <w:r w:rsidRPr="00D403F5">
        <w:rPr>
          <w:rFonts w:ascii="Arial" w:hAnsi="Arial"/>
          <w:i/>
          <w:sz w:val="18"/>
          <w:szCs w:val="18"/>
          <w:lang w:val="en-IE" w:bidi="en-US"/>
        </w:rPr>
        <w:t>Perca fluviatilis</w:t>
      </w:r>
      <w:r w:rsidRPr="00D403F5">
        <w:rPr>
          <w:rFonts w:ascii="Arial" w:hAnsi="Arial"/>
          <w:sz w:val="18"/>
          <w:szCs w:val="18"/>
          <w:lang w:val="en-IE" w:bidi="en-US"/>
        </w:rPr>
        <w:t xml:space="preserve"> in Ireland. </w:t>
      </w:r>
      <w:r w:rsidRPr="00D403F5">
        <w:rPr>
          <w:rFonts w:ascii="Arial" w:hAnsi="Arial"/>
          <w:i/>
          <w:sz w:val="18"/>
          <w:szCs w:val="18"/>
          <w:lang w:val="en-IE" w:bidi="en-US"/>
        </w:rPr>
        <w:t>Dis. Aquat. Org</w:t>
      </w:r>
      <w:r w:rsidRPr="00D403F5">
        <w:rPr>
          <w:rFonts w:ascii="Arial" w:hAnsi="Arial"/>
          <w:sz w:val="18"/>
          <w:szCs w:val="18"/>
          <w:lang w:val="en-IE" w:bidi="en-US"/>
        </w:rPr>
        <w:t xml:space="preserve">., </w:t>
      </w:r>
      <w:r w:rsidRPr="00D403F5">
        <w:rPr>
          <w:rFonts w:ascii="Arial" w:hAnsi="Arial"/>
          <w:b/>
          <w:sz w:val="18"/>
          <w:szCs w:val="18"/>
          <w:lang w:val="en-IE" w:bidi="en-US"/>
        </w:rPr>
        <w:t>112</w:t>
      </w:r>
      <w:r w:rsidRPr="00D403F5">
        <w:rPr>
          <w:rFonts w:ascii="Arial" w:hAnsi="Arial"/>
          <w:sz w:val="18"/>
          <w:szCs w:val="18"/>
          <w:lang w:val="en-IE" w:bidi="en-US"/>
        </w:rPr>
        <w:t>, 121–130.</w:t>
      </w:r>
    </w:p>
    <w:p w14:paraId="21B9E1E1" w14:textId="77777777" w:rsidR="00E65E42" w:rsidRPr="00D403F5" w:rsidRDefault="00E65E42" w:rsidP="00557B45">
      <w:pPr>
        <w:tabs>
          <w:tab w:val="left" w:pos="0"/>
        </w:tabs>
        <w:spacing w:after="240" w:line="240" w:lineRule="auto"/>
        <w:ind w:left="284"/>
        <w:jc w:val="both"/>
        <w:rPr>
          <w:rFonts w:ascii="Arial" w:hAnsi="Arial" w:cs="Arial"/>
          <w:noProof/>
          <w:sz w:val="18"/>
          <w:szCs w:val="18"/>
          <w:lang w:bidi="en-US"/>
        </w:rPr>
      </w:pPr>
      <w:r w:rsidRPr="00D403F5">
        <w:rPr>
          <w:rFonts w:ascii="Arial" w:hAnsi="Arial"/>
          <w:smallCaps/>
          <w:sz w:val="18"/>
          <w:szCs w:val="18"/>
          <w:lang w:val="en-IE" w:bidi="en-US"/>
        </w:rPr>
        <w:t xml:space="preserve">Sheppard A.M., LeDeuff R.-M., Martin P.D., Woolford G., Way K. &amp; Stone D.M. </w:t>
      </w:r>
      <w:r w:rsidRPr="00D403F5">
        <w:rPr>
          <w:rFonts w:ascii="Arial" w:hAnsi="Arial"/>
          <w:sz w:val="18"/>
          <w:szCs w:val="18"/>
          <w:lang w:val="en-IE" w:bidi="en-US"/>
        </w:rPr>
        <w:t xml:space="preserve">(2007). Genotyping spring viraemia of carp virus and other piscine vesiculo-like viruses using reverse hybridisation. </w:t>
      </w:r>
      <w:r w:rsidRPr="00D403F5">
        <w:rPr>
          <w:rFonts w:ascii="Arial" w:hAnsi="Arial"/>
          <w:i/>
          <w:iCs/>
          <w:sz w:val="18"/>
          <w:szCs w:val="18"/>
          <w:lang w:val="en-IE" w:bidi="en-US"/>
        </w:rPr>
        <w:t>Dis. Aquat. Org.</w:t>
      </w:r>
      <w:r w:rsidRPr="00D403F5">
        <w:rPr>
          <w:rFonts w:ascii="Arial" w:hAnsi="Arial"/>
          <w:sz w:val="18"/>
          <w:szCs w:val="18"/>
          <w:lang w:val="en-IE" w:bidi="en-US"/>
        </w:rPr>
        <w:t xml:space="preserve">, </w:t>
      </w:r>
      <w:r w:rsidRPr="00D403F5">
        <w:rPr>
          <w:rFonts w:ascii="Arial" w:hAnsi="Arial"/>
          <w:b/>
          <w:bCs/>
          <w:sz w:val="18"/>
          <w:szCs w:val="18"/>
          <w:lang w:val="en-IE" w:bidi="en-US"/>
        </w:rPr>
        <w:t>76</w:t>
      </w:r>
      <w:r w:rsidRPr="00D403F5">
        <w:rPr>
          <w:rFonts w:ascii="Arial" w:hAnsi="Arial"/>
          <w:sz w:val="18"/>
          <w:szCs w:val="18"/>
          <w:lang w:val="en-IE" w:bidi="en-US"/>
        </w:rPr>
        <w:t>, 163–168.</w:t>
      </w:r>
    </w:p>
    <w:p w14:paraId="731B30E7" w14:textId="77777777" w:rsidR="00E65E42" w:rsidRPr="00D403F5" w:rsidRDefault="00E65E42" w:rsidP="00557B45">
      <w:pPr>
        <w:tabs>
          <w:tab w:val="left" w:pos="0"/>
        </w:tabs>
        <w:spacing w:after="240" w:line="240" w:lineRule="auto"/>
        <w:ind w:left="284"/>
        <w:jc w:val="both"/>
        <w:rPr>
          <w:rFonts w:ascii="Arial" w:hAnsi="Arial"/>
          <w:smallCaps/>
          <w:sz w:val="18"/>
          <w:szCs w:val="18"/>
          <w:lang w:val="nb-NO" w:bidi="en-US"/>
        </w:rPr>
      </w:pPr>
      <w:r w:rsidRPr="00D403F5">
        <w:rPr>
          <w:rFonts w:ascii="Arial" w:hAnsi="Arial"/>
          <w:smallCaps/>
          <w:sz w:val="18"/>
          <w:szCs w:val="18"/>
          <w:lang w:val="en-IE" w:bidi="en-US"/>
        </w:rPr>
        <w:t xml:space="preserve">Shimahara Y., Kurita J., Nishioka T., Kiryu I., Yuasa K., Sakai T., Oseko N., Sano M. &amp; Dixon P. (2016). </w:t>
      </w:r>
      <w:r w:rsidRPr="00D403F5">
        <w:rPr>
          <w:rFonts w:ascii="Arial" w:hAnsi="Arial"/>
          <w:sz w:val="18"/>
          <w:szCs w:val="18"/>
          <w:lang w:val="en-IE" w:bidi="en-US"/>
        </w:rPr>
        <w:t xml:space="preserve">Development of an improved RT-PCR for specific detection of spring viraemia of carp virus. </w:t>
      </w:r>
      <w:r w:rsidRPr="00D403F5">
        <w:rPr>
          <w:rFonts w:ascii="Arial" w:hAnsi="Arial"/>
          <w:i/>
          <w:sz w:val="18"/>
          <w:szCs w:val="18"/>
          <w:lang w:val="nb-NO" w:bidi="en-US"/>
        </w:rPr>
        <w:t>J. Fish Dis</w:t>
      </w:r>
      <w:r w:rsidRPr="00D403F5">
        <w:rPr>
          <w:rFonts w:ascii="Arial" w:hAnsi="Arial"/>
          <w:sz w:val="18"/>
          <w:szCs w:val="18"/>
          <w:lang w:val="nb-NO" w:bidi="en-US"/>
        </w:rPr>
        <w:t xml:space="preserve">., </w:t>
      </w:r>
      <w:r w:rsidRPr="00D403F5">
        <w:rPr>
          <w:rFonts w:ascii="Arial" w:hAnsi="Arial"/>
          <w:b/>
          <w:sz w:val="18"/>
          <w:szCs w:val="18"/>
          <w:lang w:val="nb-NO" w:bidi="en-US"/>
        </w:rPr>
        <w:t>39</w:t>
      </w:r>
      <w:r w:rsidRPr="00D403F5">
        <w:rPr>
          <w:rFonts w:ascii="Arial" w:hAnsi="Arial"/>
          <w:sz w:val="18"/>
          <w:szCs w:val="18"/>
          <w:lang w:val="nb-NO" w:bidi="en-US"/>
        </w:rPr>
        <w:t>, 269–275.</w:t>
      </w:r>
    </w:p>
    <w:p w14:paraId="753008A6" w14:textId="77777777" w:rsidR="00E65E42" w:rsidRDefault="00E65E42" w:rsidP="00557B45">
      <w:pPr>
        <w:autoSpaceDE w:val="0"/>
        <w:autoSpaceDN w:val="0"/>
        <w:adjustRightInd w:val="0"/>
        <w:spacing w:after="240" w:line="240" w:lineRule="auto"/>
        <w:ind w:left="284"/>
        <w:jc w:val="both"/>
        <w:rPr>
          <w:rFonts w:ascii="Arial" w:eastAsia="Calibri" w:hAnsi="Arial" w:cs="Arial"/>
          <w:sz w:val="18"/>
          <w:szCs w:val="18"/>
        </w:rPr>
      </w:pPr>
      <w:r w:rsidRPr="00D403F5">
        <w:rPr>
          <w:rFonts w:ascii="Arial" w:hAnsi="Arial"/>
          <w:smallCaps/>
          <w:sz w:val="18"/>
          <w:szCs w:val="18"/>
          <w:lang w:val="nb-NO" w:bidi="en-US"/>
        </w:rPr>
        <w:t>Shivappa R.B., Savan R., Kono T., Sakai M., Emmenegger E., Kurath G. &amp; Levine J F (</w:t>
      </w:r>
      <w:r w:rsidRPr="00D403F5">
        <w:rPr>
          <w:rFonts w:ascii="Arial" w:eastAsia="Calibri" w:hAnsi="Arial" w:cs="Arial"/>
          <w:sz w:val="18"/>
          <w:szCs w:val="18"/>
          <w:lang w:val="nb-NO"/>
        </w:rPr>
        <w:t xml:space="preserve">2008). </w:t>
      </w:r>
      <w:r w:rsidRPr="00D403F5">
        <w:rPr>
          <w:rFonts w:ascii="Arial" w:eastAsia="Calibri" w:hAnsi="Arial" w:cs="Arial"/>
          <w:sz w:val="18"/>
          <w:szCs w:val="18"/>
        </w:rPr>
        <w:t xml:space="preserve">Detection of spring viraemia of carp virus (SVCV) by loop-mediated isothermal amplification (LAMP) in koi carp, </w:t>
      </w:r>
      <w:r w:rsidRPr="00D403F5">
        <w:rPr>
          <w:rFonts w:ascii="Arial" w:eastAsia="Calibri" w:hAnsi="Arial" w:cs="Arial"/>
          <w:i/>
          <w:sz w:val="18"/>
          <w:szCs w:val="18"/>
        </w:rPr>
        <w:t>Cyprinus carpio</w:t>
      </w:r>
      <w:r w:rsidRPr="00D403F5">
        <w:rPr>
          <w:rFonts w:ascii="Arial" w:eastAsia="Calibri" w:hAnsi="Arial" w:cs="Arial"/>
          <w:sz w:val="18"/>
          <w:szCs w:val="18"/>
        </w:rPr>
        <w:t xml:space="preserve"> L </w:t>
      </w:r>
      <w:r w:rsidRPr="00D403F5">
        <w:rPr>
          <w:rFonts w:ascii="Arial" w:eastAsia="Calibri" w:hAnsi="Arial" w:cs="Arial"/>
          <w:i/>
          <w:sz w:val="18"/>
          <w:szCs w:val="18"/>
        </w:rPr>
        <w:t>J. Fish Dis.,</w:t>
      </w:r>
      <w:r w:rsidRPr="00D403F5">
        <w:rPr>
          <w:rFonts w:ascii="Arial" w:eastAsia="Calibri" w:hAnsi="Arial" w:cs="Arial"/>
          <w:sz w:val="18"/>
          <w:szCs w:val="18"/>
        </w:rPr>
        <w:t xml:space="preserve"> </w:t>
      </w:r>
      <w:r w:rsidRPr="00D403F5">
        <w:rPr>
          <w:rFonts w:ascii="Arial" w:eastAsia="Calibri" w:hAnsi="Arial" w:cs="Arial"/>
          <w:b/>
          <w:sz w:val="18"/>
          <w:szCs w:val="18"/>
        </w:rPr>
        <w:t>31</w:t>
      </w:r>
      <w:r w:rsidRPr="00D403F5">
        <w:rPr>
          <w:rFonts w:ascii="Arial" w:eastAsia="Calibri" w:hAnsi="Arial" w:cs="Arial"/>
          <w:sz w:val="18"/>
          <w:szCs w:val="18"/>
        </w:rPr>
        <w:t>, 249–258.</w:t>
      </w:r>
    </w:p>
    <w:p w14:paraId="4EC8B686" w14:textId="77777777" w:rsidR="00E65E42" w:rsidRPr="00695BD1" w:rsidRDefault="00E65E42" w:rsidP="00557B45">
      <w:pPr>
        <w:autoSpaceDE w:val="0"/>
        <w:autoSpaceDN w:val="0"/>
        <w:adjustRightInd w:val="0"/>
        <w:spacing w:after="240" w:line="240" w:lineRule="auto"/>
        <w:ind w:left="284"/>
        <w:jc w:val="both"/>
        <w:rPr>
          <w:rFonts w:ascii="Arial" w:eastAsia="Calibri" w:hAnsi="Arial" w:cs="Arial"/>
          <w:sz w:val="18"/>
          <w:szCs w:val="18"/>
          <w:u w:val="double"/>
        </w:rPr>
      </w:pPr>
      <w:r w:rsidRPr="00A41B2D">
        <w:rPr>
          <w:rFonts w:ascii="Arial" w:eastAsia="Calibri" w:hAnsi="Arial" w:cs="Arial"/>
          <w:smallCaps/>
          <w:sz w:val="18"/>
          <w:szCs w:val="18"/>
          <w:highlight w:val="yellow"/>
          <w:u w:val="double"/>
        </w:rPr>
        <w:t>Siwicki A.K., Pozet F., Morand M., Kazuń B., Trapkowska S. &amp; Małaczewska J.</w:t>
      </w:r>
      <w:r w:rsidRPr="00695BD1">
        <w:rPr>
          <w:rFonts w:ascii="Arial" w:eastAsia="Calibri" w:hAnsi="Arial" w:cs="Arial"/>
          <w:sz w:val="18"/>
          <w:szCs w:val="18"/>
          <w:highlight w:val="yellow"/>
          <w:u w:val="double"/>
        </w:rPr>
        <w:t xml:space="preserve"> (2002). Influence of methisoprinol on the replication of rhabdoviruses isolated from carp (</w:t>
      </w:r>
      <w:r w:rsidRPr="00A41B2D">
        <w:rPr>
          <w:rFonts w:ascii="Arial" w:eastAsia="Calibri" w:hAnsi="Arial" w:cs="Arial"/>
          <w:i/>
          <w:iCs/>
          <w:sz w:val="18"/>
          <w:szCs w:val="18"/>
          <w:highlight w:val="yellow"/>
          <w:u w:val="double"/>
        </w:rPr>
        <w:t>Cyprinus carpio</w:t>
      </w:r>
      <w:r w:rsidRPr="00695BD1">
        <w:rPr>
          <w:rFonts w:ascii="Arial" w:eastAsia="Calibri" w:hAnsi="Arial" w:cs="Arial"/>
          <w:sz w:val="18"/>
          <w:szCs w:val="18"/>
          <w:highlight w:val="yellow"/>
          <w:u w:val="double"/>
        </w:rPr>
        <w:t>) and catfish (</w:t>
      </w:r>
      <w:r w:rsidRPr="00A41B2D">
        <w:rPr>
          <w:rFonts w:ascii="Arial" w:eastAsia="Calibri" w:hAnsi="Arial" w:cs="Arial"/>
          <w:i/>
          <w:iCs/>
          <w:sz w:val="18"/>
          <w:szCs w:val="18"/>
          <w:highlight w:val="yellow"/>
          <w:u w:val="double"/>
        </w:rPr>
        <w:t>Ictalurus melas</w:t>
      </w:r>
      <w:r w:rsidRPr="00695BD1">
        <w:rPr>
          <w:rFonts w:ascii="Arial" w:eastAsia="Calibri" w:hAnsi="Arial" w:cs="Arial"/>
          <w:sz w:val="18"/>
          <w:szCs w:val="18"/>
          <w:highlight w:val="yellow"/>
          <w:u w:val="double"/>
        </w:rPr>
        <w:t xml:space="preserve">): </w:t>
      </w:r>
      <w:r w:rsidRPr="00A41B2D">
        <w:rPr>
          <w:rFonts w:ascii="Arial" w:eastAsia="Calibri" w:hAnsi="Arial" w:cs="Arial"/>
          <w:i/>
          <w:iCs/>
          <w:sz w:val="18"/>
          <w:szCs w:val="18"/>
          <w:highlight w:val="yellow"/>
          <w:u w:val="double"/>
        </w:rPr>
        <w:t>in vitro</w:t>
      </w:r>
      <w:r w:rsidRPr="00695BD1">
        <w:rPr>
          <w:rFonts w:ascii="Arial" w:eastAsia="Calibri" w:hAnsi="Arial" w:cs="Arial"/>
          <w:sz w:val="18"/>
          <w:szCs w:val="18"/>
          <w:highlight w:val="yellow"/>
          <w:u w:val="double"/>
        </w:rPr>
        <w:t xml:space="preserve"> study. </w:t>
      </w:r>
      <w:r w:rsidRPr="00A41B2D">
        <w:rPr>
          <w:rFonts w:ascii="Arial" w:eastAsia="Calibri" w:hAnsi="Arial" w:cs="Arial"/>
          <w:i/>
          <w:iCs/>
          <w:sz w:val="18"/>
          <w:szCs w:val="18"/>
          <w:highlight w:val="yellow"/>
          <w:u w:val="double"/>
        </w:rPr>
        <w:t>Polish J. Vet. Sci.</w:t>
      </w:r>
      <w:r w:rsidRPr="00695BD1">
        <w:rPr>
          <w:rFonts w:ascii="Arial" w:eastAsia="Calibri" w:hAnsi="Arial" w:cs="Arial"/>
          <w:sz w:val="18"/>
          <w:szCs w:val="18"/>
          <w:highlight w:val="yellow"/>
          <w:u w:val="double"/>
        </w:rPr>
        <w:t xml:space="preserve">, </w:t>
      </w:r>
      <w:r w:rsidRPr="00A41B2D">
        <w:rPr>
          <w:rFonts w:ascii="Arial" w:eastAsia="Calibri" w:hAnsi="Arial" w:cs="Arial"/>
          <w:b/>
          <w:bCs/>
          <w:sz w:val="18"/>
          <w:szCs w:val="18"/>
          <w:highlight w:val="yellow"/>
          <w:u w:val="double"/>
        </w:rPr>
        <w:t>6</w:t>
      </w:r>
      <w:r w:rsidRPr="00695BD1">
        <w:rPr>
          <w:rFonts w:ascii="Arial" w:eastAsia="Calibri" w:hAnsi="Arial" w:cs="Arial"/>
          <w:sz w:val="18"/>
          <w:szCs w:val="18"/>
          <w:highlight w:val="yellow"/>
          <w:u w:val="double"/>
        </w:rPr>
        <w:t>, 47–50.</w:t>
      </w:r>
    </w:p>
    <w:p w14:paraId="050F1404" w14:textId="77777777" w:rsidR="00E65E42" w:rsidRPr="00D403F5" w:rsidRDefault="00E65E42" w:rsidP="00557B45">
      <w:pPr>
        <w:tabs>
          <w:tab w:val="left" w:pos="0"/>
        </w:tabs>
        <w:spacing w:after="240" w:line="240" w:lineRule="auto"/>
        <w:ind w:left="284"/>
        <w:jc w:val="both"/>
        <w:rPr>
          <w:rFonts w:ascii="Arial" w:hAnsi="Arial" w:cs="Arial"/>
          <w:noProof/>
          <w:sz w:val="18"/>
          <w:szCs w:val="18"/>
          <w:lang w:val="pt-BR" w:bidi="en-US"/>
        </w:rPr>
      </w:pPr>
      <w:r w:rsidRPr="00D403F5">
        <w:rPr>
          <w:rFonts w:ascii="Arial" w:hAnsi="Arial"/>
          <w:smallCaps/>
          <w:sz w:val="18"/>
          <w:szCs w:val="18"/>
          <w:lang w:val="en-IE" w:bidi="en-US"/>
        </w:rPr>
        <w:t xml:space="preserve">Stone D.M., Ahne W., Denham K.D., Dixon P.F., Liu C.T.Y., Sheppard A.M., Taylor G.R. &amp; Way K. </w:t>
      </w:r>
      <w:r w:rsidRPr="00D403F5">
        <w:rPr>
          <w:rFonts w:ascii="Arial" w:hAnsi="Arial"/>
          <w:sz w:val="18"/>
          <w:szCs w:val="18"/>
          <w:lang w:val="en-IE" w:bidi="en-US"/>
        </w:rPr>
        <w:t xml:space="preserve">(2003). Nucleotide sequence analysis of the glycoprotein gene of putative spring viraemia of carp virus and pike fry rhabdovirus isolates reveals four genogroups. </w:t>
      </w:r>
      <w:r w:rsidRPr="00D403F5">
        <w:rPr>
          <w:rFonts w:ascii="Arial" w:hAnsi="Arial"/>
          <w:i/>
          <w:iCs/>
          <w:sz w:val="18"/>
          <w:szCs w:val="18"/>
          <w:lang w:val="pt-BR" w:bidi="en-US"/>
        </w:rPr>
        <w:t>Dis. Aquat. Org.</w:t>
      </w:r>
      <w:r w:rsidRPr="00D403F5">
        <w:rPr>
          <w:rFonts w:ascii="Arial" w:hAnsi="Arial"/>
          <w:sz w:val="18"/>
          <w:szCs w:val="18"/>
          <w:lang w:val="pt-BR" w:bidi="en-US"/>
        </w:rPr>
        <w:t xml:space="preserve">, </w:t>
      </w:r>
      <w:r w:rsidRPr="00D403F5">
        <w:rPr>
          <w:rFonts w:ascii="Arial" w:hAnsi="Arial"/>
          <w:b/>
          <w:bCs/>
          <w:sz w:val="18"/>
          <w:szCs w:val="18"/>
          <w:lang w:val="pt-BR" w:bidi="en-US"/>
        </w:rPr>
        <w:t>53</w:t>
      </w:r>
      <w:r w:rsidRPr="00D403F5">
        <w:rPr>
          <w:rFonts w:ascii="Arial" w:hAnsi="Arial"/>
          <w:sz w:val="18"/>
          <w:szCs w:val="18"/>
          <w:lang w:val="pt-BR" w:bidi="en-US"/>
        </w:rPr>
        <w:t>, 203–210</w:t>
      </w:r>
      <w:r w:rsidRPr="00D403F5">
        <w:rPr>
          <w:rFonts w:ascii="Arial" w:hAnsi="Arial" w:cs="Arial"/>
          <w:noProof/>
          <w:sz w:val="18"/>
          <w:szCs w:val="18"/>
          <w:lang w:val="pt-BR" w:bidi="en-US"/>
        </w:rPr>
        <w:t xml:space="preserve">. </w:t>
      </w:r>
    </w:p>
    <w:p w14:paraId="2E7F8F0F" w14:textId="77777777" w:rsidR="00E65E42" w:rsidRPr="00D403F5" w:rsidRDefault="00E65E42" w:rsidP="00557B45">
      <w:pPr>
        <w:spacing w:after="240" w:line="240" w:lineRule="auto"/>
        <w:ind w:left="284"/>
        <w:jc w:val="both"/>
        <w:rPr>
          <w:rFonts w:ascii="Arial" w:eastAsia="Calibri" w:hAnsi="Arial" w:cs="Arial"/>
          <w:sz w:val="18"/>
          <w:szCs w:val="18"/>
          <w:lang w:val="en-IE" w:bidi="en-US"/>
        </w:rPr>
      </w:pPr>
      <w:r w:rsidRPr="00D403F5">
        <w:rPr>
          <w:rFonts w:ascii="Arial" w:eastAsia="Calibri" w:hAnsi="Arial" w:cs="Arial"/>
          <w:smallCaps/>
          <w:sz w:val="18"/>
          <w:szCs w:val="18"/>
          <w:lang w:val="pt-BR" w:bidi="en-US"/>
        </w:rPr>
        <w:t>Svetlana J,, Dobrila J.-D. &amp; Radosavljevi V</w:t>
      </w:r>
      <w:r w:rsidRPr="00D403F5">
        <w:rPr>
          <w:rFonts w:ascii="Arial" w:eastAsia="Calibri" w:hAnsi="Arial" w:cs="Arial"/>
          <w:sz w:val="18"/>
          <w:szCs w:val="18"/>
          <w:lang w:val="pt-BR" w:bidi="en-US"/>
        </w:rPr>
        <w:t xml:space="preserve">. (2004). </w:t>
      </w:r>
      <w:r w:rsidRPr="00D403F5">
        <w:rPr>
          <w:rFonts w:ascii="Arial" w:eastAsia="Calibri" w:hAnsi="Arial" w:cs="Arial"/>
          <w:bCs/>
          <w:sz w:val="18"/>
          <w:szCs w:val="18"/>
          <w:lang w:val="en-IE" w:bidi="en-US"/>
        </w:rPr>
        <w:t xml:space="preserve">Dissemination of spring viraemia of carp (svc) in serbia during the period 1992–2002. </w:t>
      </w:r>
      <w:r w:rsidRPr="00D403F5">
        <w:rPr>
          <w:rFonts w:ascii="Arial" w:eastAsia="Calibri" w:hAnsi="Arial" w:cs="Arial"/>
          <w:i/>
          <w:sz w:val="18"/>
          <w:szCs w:val="18"/>
          <w:lang w:val="en-IE" w:bidi="en-US"/>
        </w:rPr>
        <w:t>Acta Veterinaria</w:t>
      </w:r>
      <w:r w:rsidRPr="00D403F5">
        <w:rPr>
          <w:rFonts w:ascii="Arial" w:eastAsia="Calibri" w:hAnsi="Arial" w:cs="Arial"/>
          <w:sz w:val="18"/>
          <w:szCs w:val="18"/>
          <w:lang w:val="en-IE" w:bidi="en-US"/>
        </w:rPr>
        <w:t xml:space="preserve"> (Beograd), </w:t>
      </w:r>
      <w:r w:rsidRPr="00D403F5">
        <w:rPr>
          <w:rFonts w:ascii="Arial" w:eastAsia="Calibri" w:hAnsi="Arial" w:cs="Arial"/>
          <w:b/>
          <w:sz w:val="18"/>
          <w:szCs w:val="18"/>
          <w:lang w:val="en-IE" w:bidi="en-US"/>
        </w:rPr>
        <w:t>54</w:t>
      </w:r>
      <w:r w:rsidRPr="00D403F5">
        <w:rPr>
          <w:rFonts w:ascii="Arial" w:eastAsia="Calibri" w:hAnsi="Arial" w:cs="Arial"/>
          <w:sz w:val="18"/>
          <w:szCs w:val="18"/>
          <w:lang w:val="en-IE" w:bidi="en-US"/>
        </w:rPr>
        <w:t>, 289–299.</w:t>
      </w:r>
    </w:p>
    <w:p w14:paraId="6E9FEF5D" w14:textId="77777777" w:rsidR="00E65E42" w:rsidRPr="00D403F5" w:rsidRDefault="00E65E42" w:rsidP="00557B45">
      <w:pPr>
        <w:spacing w:after="240" w:line="240" w:lineRule="auto"/>
        <w:ind w:left="284"/>
        <w:jc w:val="both"/>
        <w:rPr>
          <w:rFonts w:ascii="Arial" w:hAnsi="Arial"/>
          <w:sz w:val="18"/>
          <w:szCs w:val="18"/>
          <w:lang w:val="en-IE" w:bidi="en-US"/>
        </w:rPr>
      </w:pPr>
      <w:r w:rsidRPr="00D403F5">
        <w:rPr>
          <w:rFonts w:ascii="Arial" w:hAnsi="Arial"/>
          <w:smallCaps/>
          <w:sz w:val="18"/>
          <w:szCs w:val="18"/>
          <w:lang w:val="en-IE" w:bidi="en-US"/>
        </w:rPr>
        <w:t xml:space="preserve">Teng Y., Liu H., Lv J.Q., Fan W.H., Zhang Q.Y. &amp; Qin Q.W. </w:t>
      </w:r>
      <w:r w:rsidRPr="00D403F5">
        <w:rPr>
          <w:rFonts w:ascii="Arial" w:hAnsi="Arial"/>
          <w:sz w:val="18"/>
          <w:szCs w:val="18"/>
          <w:lang w:val="en-IE" w:bidi="en-US"/>
        </w:rPr>
        <w:t>(2007). Characterization of complete genome sequence of the spring viremia of carp virus isolated from common carp (</w:t>
      </w:r>
      <w:r w:rsidRPr="00D403F5">
        <w:rPr>
          <w:rFonts w:ascii="Arial" w:hAnsi="Arial"/>
          <w:i/>
          <w:iCs/>
          <w:sz w:val="18"/>
          <w:szCs w:val="18"/>
          <w:lang w:val="en-IE" w:bidi="en-US"/>
        </w:rPr>
        <w:t>Cyprinus carpio</w:t>
      </w:r>
      <w:r w:rsidRPr="00D403F5">
        <w:rPr>
          <w:rFonts w:ascii="Arial" w:hAnsi="Arial"/>
          <w:sz w:val="18"/>
          <w:szCs w:val="18"/>
          <w:lang w:val="en-IE" w:bidi="en-US"/>
        </w:rPr>
        <w:t xml:space="preserve">) in China. </w:t>
      </w:r>
      <w:r w:rsidRPr="00D403F5">
        <w:rPr>
          <w:rFonts w:ascii="Arial" w:hAnsi="Arial"/>
          <w:i/>
          <w:iCs/>
          <w:sz w:val="18"/>
          <w:szCs w:val="18"/>
          <w:lang w:val="en-IE" w:bidi="en-US"/>
        </w:rPr>
        <w:t>Arch. Virol.</w:t>
      </w:r>
      <w:r w:rsidRPr="00D403F5">
        <w:rPr>
          <w:rFonts w:ascii="Arial" w:hAnsi="Arial"/>
          <w:sz w:val="18"/>
          <w:szCs w:val="18"/>
          <w:lang w:val="en-IE" w:bidi="en-US"/>
        </w:rPr>
        <w:t xml:space="preserve">, </w:t>
      </w:r>
      <w:r w:rsidRPr="00D403F5">
        <w:rPr>
          <w:rFonts w:ascii="Arial" w:hAnsi="Arial"/>
          <w:b/>
          <w:bCs/>
          <w:sz w:val="18"/>
          <w:szCs w:val="18"/>
          <w:lang w:val="en-IE" w:bidi="en-US"/>
        </w:rPr>
        <w:t>152</w:t>
      </w:r>
      <w:r w:rsidRPr="00D403F5">
        <w:rPr>
          <w:rFonts w:ascii="Arial" w:hAnsi="Arial"/>
          <w:sz w:val="18"/>
          <w:szCs w:val="18"/>
          <w:lang w:val="en-IE" w:bidi="en-US"/>
        </w:rPr>
        <w:t>, 1457–1465.</w:t>
      </w:r>
    </w:p>
    <w:p w14:paraId="08AEB67A" w14:textId="77777777" w:rsidR="00E65E42" w:rsidRPr="00D403F5" w:rsidRDefault="00E65E42" w:rsidP="00557B45">
      <w:pPr>
        <w:tabs>
          <w:tab w:val="left" w:pos="0"/>
        </w:tabs>
        <w:spacing w:after="240" w:line="240" w:lineRule="auto"/>
        <w:ind w:left="284"/>
        <w:jc w:val="both"/>
        <w:rPr>
          <w:rFonts w:ascii="Arial" w:hAnsi="Arial" w:cs="Arial"/>
          <w:bCs/>
          <w:noProof/>
          <w:sz w:val="18"/>
          <w:szCs w:val="18"/>
          <w:lang w:val="en-US" w:bidi="en-US"/>
        </w:rPr>
      </w:pPr>
      <w:r w:rsidRPr="00D403F5">
        <w:rPr>
          <w:rFonts w:ascii="Arial" w:hAnsi="Arial" w:hint="eastAsia"/>
          <w:smallCaps/>
          <w:sz w:val="18"/>
          <w:szCs w:val="18"/>
          <w:lang w:val="en-US" w:eastAsia="en-GB"/>
        </w:rPr>
        <w:t>Yue Z</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Teng Y</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Liang C</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Xie X</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Xu B</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Zhu L</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Lei Z</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He J</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Liu Z</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Jiang Y</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Liu H</w:t>
      </w:r>
      <w:r w:rsidRPr="00D403F5">
        <w:rPr>
          <w:rFonts w:ascii="Arial" w:hAnsi="Arial"/>
          <w:smallCaps/>
          <w:sz w:val="18"/>
          <w:szCs w:val="18"/>
          <w:lang w:val="en-US" w:eastAsia="en-GB"/>
        </w:rPr>
        <w:t>. &amp;</w:t>
      </w:r>
      <w:r w:rsidRPr="00D403F5">
        <w:rPr>
          <w:rFonts w:ascii="Arial" w:hAnsi="Arial" w:hint="eastAsia"/>
          <w:smallCaps/>
          <w:sz w:val="18"/>
          <w:szCs w:val="18"/>
          <w:lang w:val="en-US" w:eastAsia="en-GB"/>
        </w:rPr>
        <w:t xml:space="preserve"> Qin Q</w:t>
      </w:r>
      <w:r w:rsidRPr="00D403F5">
        <w:rPr>
          <w:rFonts w:ascii="Arial" w:hAnsi="Arial"/>
          <w:smallCaps/>
          <w:sz w:val="18"/>
          <w:szCs w:val="18"/>
          <w:lang w:val="en-US" w:eastAsia="en-GB"/>
        </w:rPr>
        <w:t>.</w:t>
      </w:r>
      <w:r w:rsidRPr="00D403F5">
        <w:rPr>
          <w:rFonts w:ascii="Arial" w:hAnsi="Arial"/>
          <w:sz w:val="18"/>
          <w:szCs w:val="18"/>
          <w:lang w:val="en-US" w:eastAsia="en-GB"/>
        </w:rPr>
        <w:t xml:space="preserve"> (</w:t>
      </w:r>
      <w:r w:rsidRPr="00D403F5">
        <w:rPr>
          <w:rFonts w:ascii="Arial" w:hAnsi="Arial" w:hint="eastAsia"/>
          <w:sz w:val="18"/>
          <w:szCs w:val="18"/>
          <w:lang w:val="en-US" w:eastAsia="en-GB"/>
        </w:rPr>
        <w:t>2008</w:t>
      </w:r>
      <w:r w:rsidRPr="00D403F5">
        <w:rPr>
          <w:rFonts w:ascii="Arial" w:hAnsi="Arial"/>
          <w:sz w:val="18"/>
          <w:szCs w:val="18"/>
          <w:lang w:val="en-US" w:eastAsia="en-GB"/>
        </w:rPr>
        <w:t>)</w:t>
      </w:r>
      <w:r w:rsidRPr="00D403F5">
        <w:rPr>
          <w:rFonts w:ascii="Arial" w:hAnsi="Arial" w:hint="eastAsia"/>
          <w:sz w:val="18"/>
          <w:szCs w:val="18"/>
          <w:lang w:val="en-US" w:eastAsia="en-GB"/>
        </w:rPr>
        <w:t xml:space="preserve">. Development of a sensitive and quantitative assay for spring viremia of carp virus based on real-time PCR. </w:t>
      </w:r>
      <w:r w:rsidRPr="00943A6E">
        <w:rPr>
          <w:rFonts w:ascii="Arial" w:hAnsi="Arial" w:hint="eastAsia"/>
          <w:i/>
          <w:iCs/>
          <w:sz w:val="18"/>
          <w:szCs w:val="18"/>
          <w:lang w:val="en-US" w:eastAsia="en-GB"/>
        </w:rPr>
        <w:t>J</w:t>
      </w:r>
      <w:r w:rsidRPr="00943A6E">
        <w:rPr>
          <w:rFonts w:ascii="Arial" w:hAnsi="Arial"/>
          <w:i/>
          <w:iCs/>
          <w:sz w:val="18"/>
          <w:szCs w:val="18"/>
          <w:lang w:val="en-US" w:eastAsia="en-GB"/>
        </w:rPr>
        <w:t>. </w:t>
      </w:r>
      <w:r w:rsidRPr="00943A6E">
        <w:rPr>
          <w:rFonts w:ascii="Arial" w:hAnsi="Arial" w:hint="eastAsia"/>
          <w:i/>
          <w:iCs/>
          <w:sz w:val="18"/>
          <w:szCs w:val="18"/>
          <w:lang w:val="en-US" w:eastAsia="en-GB"/>
        </w:rPr>
        <w:t>Virol</w:t>
      </w:r>
      <w:r w:rsidRPr="00943A6E">
        <w:rPr>
          <w:rFonts w:ascii="Arial" w:hAnsi="Arial"/>
          <w:i/>
          <w:iCs/>
          <w:sz w:val="18"/>
          <w:szCs w:val="18"/>
          <w:lang w:val="en-US" w:eastAsia="en-GB"/>
        </w:rPr>
        <w:t>.</w:t>
      </w:r>
      <w:r w:rsidRPr="00943A6E">
        <w:rPr>
          <w:rFonts w:ascii="Arial" w:hAnsi="Arial" w:hint="eastAsia"/>
          <w:i/>
          <w:iCs/>
          <w:sz w:val="18"/>
          <w:szCs w:val="18"/>
          <w:lang w:val="en-US" w:eastAsia="en-GB"/>
        </w:rPr>
        <w:t xml:space="preserve"> Methods</w:t>
      </w:r>
      <w:r w:rsidRPr="00D403F5">
        <w:rPr>
          <w:rFonts w:ascii="Arial" w:hAnsi="Arial"/>
          <w:sz w:val="18"/>
          <w:szCs w:val="18"/>
          <w:lang w:val="en-US" w:eastAsia="en-GB"/>
        </w:rPr>
        <w:t>,</w:t>
      </w:r>
      <w:r w:rsidRPr="00D403F5">
        <w:rPr>
          <w:rFonts w:ascii="Arial" w:hAnsi="Arial" w:hint="eastAsia"/>
          <w:sz w:val="18"/>
          <w:szCs w:val="18"/>
          <w:lang w:val="en-US" w:eastAsia="en-GB"/>
        </w:rPr>
        <w:t xml:space="preserve"> </w:t>
      </w:r>
      <w:r w:rsidRPr="00943A6E">
        <w:rPr>
          <w:rFonts w:ascii="Arial" w:hAnsi="Arial" w:hint="eastAsia"/>
          <w:b/>
          <w:bCs/>
          <w:sz w:val="18"/>
          <w:szCs w:val="18"/>
          <w:lang w:val="en-US" w:eastAsia="en-GB"/>
        </w:rPr>
        <w:t>152</w:t>
      </w:r>
      <w:r w:rsidRPr="00D403F5">
        <w:rPr>
          <w:rFonts w:ascii="Arial" w:hAnsi="Arial"/>
          <w:sz w:val="18"/>
          <w:szCs w:val="18"/>
          <w:lang w:val="en-US" w:eastAsia="en-GB"/>
        </w:rPr>
        <w:t xml:space="preserve">, </w:t>
      </w:r>
      <w:r w:rsidRPr="00D403F5">
        <w:rPr>
          <w:rFonts w:ascii="Arial" w:hAnsi="Arial" w:hint="eastAsia"/>
          <w:sz w:val="18"/>
          <w:szCs w:val="18"/>
          <w:lang w:val="en-US" w:eastAsia="en-GB"/>
        </w:rPr>
        <w:t>43</w:t>
      </w:r>
      <w:r w:rsidRPr="00D403F5">
        <w:rPr>
          <w:rFonts w:ascii="Arial" w:hAnsi="Arial"/>
          <w:sz w:val="18"/>
          <w:szCs w:val="18"/>
          <w:lang w:val="en-US" w:eastAsia="en-GB"/>
        </w:rPr>
        <w:t>–</w:t>
      </w:r>
      <w:r w:rsidRPr="00D403F5">
        <w:rPr>
          <w:rFonts w:ascii="Arial" w:hAnsi="Arial" w:hint="eastAsia"/>
          <w:sz w:val="18"/>
          <w:szCs w:val="18"/>
          <w:lang w:val="en-US" w:eastAsia="en-GB"/>
        </w:rPr>
        <w:t>48</w:t>
      </w:r>
      <w:r w:rsidRPr="00D403F5">
        <w:rPr>
          <w:rFonts w:ascii="Arial" w:hAnsi="Arial" w:cs="Arial"/>
          <w:bCs/>
          <w:noProof/>
          <w:sz w:val="18"/>
          <w:szCs w:val="18"/>
          <w:lang w:val="en-US" w:bidi="en-US"/>
        </w:rPr>
        <w:t>.</w:t>
      </w:r>
    </w:p>
    <w:p w14:paraId="7686E033" w14:textId="77777777" w:rsidR="00754D87" w:rsidRDefault="00754D87">
      <w:pPr>
        <w:rPr>
          <w:u w:val="single"/>
        </w:rPr>
      </w:pPr>
      <w:r>
        <w:rPr>
          <w:u w:val="single"/>
        </w:rPr>
        <w:br w:type="page"/>
      </w:r>
    </w:p>
    <w:p w14:paraId="2FA7D74E" w14:textId="21D4A9E8" w:rsidR="00754D87" w:rsidRDefault="00754D87" w:rsidP="00754D87">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11</w:t>
      </w:r>
      <w:r w:rsidRPr="00DB0A8D">
        <w:rPr>
          <w:rFonts w:cs="Times New Roman"/>
          <w:bCs/>
          <w:iCs/>
          <w:szCs w:val="20"/>
        </w:rPr>
        <w:t xml:space="preserve"> (contd)</w:t>
      </w:r>
    </w:p>
    <w:p w14:paraId="319B2B2E" w14:textId="77777777" w:rsidR="00E65E42" w:rsidRPr="00D403F5" w:rsidRDefault="00E65E42" w:rsidP="00557B45">
      <w:pPr>
        <w:spacing w:after="240" w:line="240" w:lineRule="auto"/>
        <w:ind w:left="284"/>
        <w:jc w:val="both"/>
        <w:rPr>
          <w:rFonts w:ascii="Arial" w:hAnsi="Arial"/>
          <w:bCs/>
          <w:sz w:val="18"/>
          <w:szCs w:val="18"/>
          <w:lang w:val="en-IE"/>
        </w:rPr>
      </w:pPr>
      <w:r w:rsidRPr="00D403F5">
        <w:rPr>
          <w:rFonts w:ascii="Arial" w:hAnsi="Arial" w:cs="Arial"/>
          <w:bCs/>
          <w:smallCaps/>
          <w:noProof/>
          <w:sz w:val="18"/>
          <w:szCs w:val="18"/>
          <w:lang w:val="en-US"/>
        </w:rPr>
        <w:t>Zhang N.Z., Zhang L.F., Jiang Y.N., Zhang T. &amp; Xia C</w:t>
      </w:r>
      <w:r w:rsidRPr="00D403F5">
        <w:rPr>
          <w:rFonts w:ascii="Arial" w:hAnsi="Arial" w:cs="Arial"/>
          <w:bCs/>
          <w:noProof/>
          <w:sz w:val="18"/>
          <w:szCs w:val="18"/>
          <w:lang w:val="en-US"/>
        </w:rPr>
        <w:t xml:space="preserve">. (2009). </w:t>
      </w:r>
      <w:r w:rsidRPr="00D403F5">
        <w:rPr>
          <w:rFonts w:ascii="Arial" w:hAnsi="Arial" w:cs="Arial"/>
          <w:bCs/>
          <w:noProof/>
          <w:sz w:val="18"/>
          <w:szCs w:val="18"/>
        </w:rPr>
        <w:t xml:space="preserve">Molecular analysis of spring viraemia of carp virus in China: A fatal aquatic viral disease that might spread in East Asian. </w:t>
      </w:r>
      <w:r w:rsidRPr="00D403F5">
        <w:rPr>
          <w:rFonts w:ascii="Arial" w:hAnsi="Arial" w:cs="Arial"/>
          <w:bCs/>
          <w:i/>
          <w:noProof/>
          <w:sz w:val="18"/>
          <w:szCs w:val="18"/>
        </w:rPr>
        <w:t>PLoS ONE</w:t>
      </w:r>
      <w:r w:rsidRPr="00D403F5">
        <w:rPr>
          <w:rFonts w:ascii="Arial" w:hAnsi="Arial" w:cs="Arial"/>
          <w:bCs/>
          <w:noProof/>
          <w:sz w:val="18"/>
          <w:szCs w:val="18"/>
        </w:rPr>
        <w:t>,</w:t>
      </w:r>
      <w:r w:rsidRPr="00D403F5">
        <w:rPr>
          <w:rFonts w:ascii="Arial" w:hAnsi="Arial" w:cs="Arial"/>
          <w:bCs/>
          <w:i/>
          <w:noProof/>
          <w:sz w:val="18"/>
          <w:szCs w:val="18"/>
        </w:rPr>
        <w:t xml:space="preserve"> </w:t>
      </w:r>
      <w:r w:rsidRPr="00D403F5">
        <w:rPr>
          <w:rFonts w:ascii="Arial" w:hAnsi="Arial" w:cs="Arial"/>
          <w:b/>
          <w:bCs/>
          <w:noProof/>
          <w:sz w:val="18"/>
          <w:szCs w:val="18"/>
        </w:rPr>
        <w:t>4</w:t>
      </w:r>
      <w:r w:rsidRPr="00D403F5">
        <w:rPr>
          <w:rFonts w:ascii="Arial" w:hAnsi="Arial" w:cs="Arial"/>
          <w:bCs/>
          <w:noProof/>
          <w:sz w:val="18"/>
          <w:szCs w:val="18"/>
        </w:rPr>
        <w:t>,</w:t>
      </w:r>
      <w:r w:rsidRPr="00D403F5">
        <w:rPr>
          <w:rFonts w:ascii="Arial" w:hAnsi="Arial" w:cs="Arial"/>
          <w:bCs/>
          <w:i/>
          <w:noProof/>
          <w:sz w:val="18"/>
          <w:szCs w:val="18"/>
        </w:rPr>
        <w:t xml:space="preserve"> </w:t>
      </w:r>
      <w:r w:rsidRPr="00D403F5">
        <w:rPr>
          <w:rFonts w:ascii="Arial" w:hAnsi="Arial" w:cs="Arial"/>
          <w:bCs/>
          <w:noProof/>
          <w:sz w:val="18"/>
          <w:szCs w:val="18"/>
        </w:rPr>
        <w:t>pp 1–9.</w:t>
      </w:r>
    </w:p>
    <w:p w14:paraId="28D45AC8" w14:textId="77777777" w:rsidR="00E65E42" w:rsidRPr="00D403F5" w:rsidRDefault="00E65E42" w:rsidP="00E65E42">
      <w:pPr>
        <w:pStyle w:val="Para10"/>
        <w:spacing w:after="0"/>
        <w:jc w:val="center"/>
        <w:rPr>
          <w:szCs w:val="18"/>
        </w:rPr>
      </w:pPr>
      <w:r w:rsidRPr="00D403F5">
        <w:rPr>
          <w:szCs w:val="18"/>
        </w:rPr>
        <w:t>*</w:t>
      </w:r>
      <w:r w:rsidRPr="00D403F5">
        <w:rPr>
          <w:szCs w:val="18"/>
        </w:rPr>
        <w:br/>
        <w:t>*   *</w:t>
      </w:r>
    </w:p>
    <w:p w14:paraId="75AB60AD" w14:textId="77777777" w:rsidR="00E65E42" w:rsidRPr="00D403F5" w:rsidRDefault="00E65E42" w:rsidP="00E65E42">
      <w:pPr>
        <w:spacing w:after="0" w:line="240" w:lineRule="auto"/>
        <w:jc w:val="center"/>
        <w:rPr>
          <w:rFonts w:ascii="Arial" w:hAnsi="Arial" w:cs="Arial"/>
          <w:sz w:val="18"/>
          <w:szCs w:val="18"/>
        </w:rPr>
      </w:pPr>
      <w:r w:rsidRPr="00D403F5">
        <w:rPr>
          <w:rStyle w:val="ReflabnoteCar"/>
          <w:rFonts w:eastAsia="MS Mincho"/>
          <w:b/>
        </w:rPr>
        <w:t>NB:</w:t>
      </w:r>
      <w:r w:rsidRPr="00D403F5">
        <w:rPr>
          <w:rStyle w:val="ReflabnoteCar"/>
          <w:rFonts w:eastAsia="MS Mincho"/>
        </w:rPr>
        <w:t xml:space="preserve"> There </w:t>
      </w:r>
      <w:r w:rsidRPr="00D403F5">
        <w:rPr>
          <w:rFonts w:ascii="Arial" w:hAnsi="Arial" w:cs="Arial"/>
          <w:sz w:val="18"/>
          <w:szCs w:val="18"/>
        </w:rPr>
        <w:t xml:space="preserve">are OIE Reference Laboratories for </w:t>
      </w:r>
      <w:r w:rsidRPr="00D403F5">
        <w:rPr>
          <w:rFonts w:ascii="Arial" w:hAnsi="Arial" w:cs="Arial"/>
          <w:iCs/>
          <w:sz w:val="18"/>
          <w:szCs w:val="18"/>
          <w:lang w:val="en-IE"/>
        </w:rPr>
        <w:t>Spring viraemia of carp</w:t>
      </w:r>
      <w:r w:rsidRPr="00D403F5">
        <w:rPr>
          <w:rStyle w:val="ReflabnoteCar"/>
          <w:rFonts w:eastAsia="MS Mincho"/>
        </w:rPr>
        <w:br/>
        <w:t xml:space="preserve">(see </w:t>
      </w:r>
      <w:r w:rsidRPr="00D403F5">
        <w:rPr>
          <w:rFonts w:ascii="Arial" w:hAnsi="Arial" w:cs="Arial"/>
          <w:sz w:val="18"/>
          <w:szCs w:val="18"/>
        </w:rPr>
        <w:t xml:space="preserve">Table at the end of this </w:t>
      </w:r>
      <w:r w:rsidRPr="00D403F5">
        <w:rPr>
          <w:rFonts w:ascii="Arial" w:hAnsi="Arial" w:cs="Arial"/>
          <w:i/>
          <w:iCs/>
          <w:sz w:val="18"/>
          <w:szCs w:val="18"/>
        </w:rPr>
        <w:t>Aquatic Manual</w:t>
      </w:r>
      <w:r w:rsidRPr="00D403F5">
        <w:rPr>
          <w:rFonts w:ascii="Arial" w:hAnsi="Arial" w:cs="Arial"/>
          <w:sz w:val="18"/>
          <w:szCs w:val="18"/>
        </w:rPr>
        <w:t xml:space="preserve"> or </w:t>
      </w:r>
      <w:r w:rsidRPr="00D403F5">
        <w:rPr>
          <w:rStyle w:val="ReflabnoteCar"/>
          <w:rFonts w:eastAsia="MS Mincho"/>
        </w:rPr>
        <w:t xml:space="preserve">consult the OIE web site for the most up-to-date list: </w:t>
      </w:r>
      <w:hyperlink r:id="rId160" w:history="1">
        <w:r w:rsidRPr="00244084">
          <w:rPr>
            <w:rStyle w:val="Lienhypertexte"/>
            <w:rFonts w:ascii="Arial" w:eastAsia="MS Mincho" w:hAnsi="Arial" w:cs="Arial"/>
            <w:color w:val="0000FF"/>
            <w:sz w:val="18"/>
            <w:szCs w:val="18"/>
            <w:lang w:val="en-IE"/>
          </w:rPr>
          <w:t>http://www.oie.int/en/scientific-expertise/reference-laboratories/list-of-laboratories/</w:t>
        </w:r>
      </w:hyperlink>
      <w:hyperlink r:id="rId161" w:history="1"/>
      <w:r w:rsidRPr="00D403F5">
        <w:rPr>
          <w:rStyle w:val="ReflabnoteCar"/>
          <w:rFonts w:eastAsia="MS Mincho"/>
        </w:rPr>
        <w:t xml:space="preserve">). </w:t>
      </w:r>
      <w:r w:rsidRPr="00D403F5">
        <w:rPr>
          <w:rStyle w:val="ReflabnoteCar"/>
          <w:rFonts w:eastAsia="MS Mincho"/>
        </w:rPr>
        <w:br/>
      </w:r>
      <w:r w:rsidRPr="00D403F5">
        <w:rPr>
          <w:rFonts w:ascii="Arial" w:hAnsi="Arial" w:cs="Arial"/>
          <w:sz w:val="18"/>
          <w:szCs w:val="18"/>
        </w:rPr>
        <w:t>Please contact the OIE Reference Laboratories for any further information on</w:t>
      </w:r>
      <w:r w:rsidRPr="00D403F5">
        <w:rPr>
          <w:rFonts w:ascii="Arial" w:hAnsi="Arial" w:cs="Arial"/>
          <w:sz w:val="18"/>
          <w:szCs w:val="18"/>
        </w:rPr>
        <w:br/>
      </w:r>
      <w:r w:rsidRPr="00D403F5">
        <w:rPr>
          <w:rFonts w:ascii="Arial" w:hAnsi="Arial" w:cs="Arial"/>
          <w:iCs/>
          <w:sz w:val="18"/>
          <w:szCs w:val="18"/>
          <w:lang w:val="en-IE"/>
        </w:rPr>
        <w:t>Spring viraemia of carp</w:t>
      </w:r>
    </w:p>
    <w:p w14:paraId="016C916D" w14:textId="55E2E3A2" w:rsidR="00754D87" w:rsidRDefault="00E65E42" w:rsidP="00796F38">
      <w:pPr>
        <w:spacing w:after="0" w:line="240" w:lineRule="auto"/>
        <w:jc w:val="center"/>
        <w:rPr>
          <w:u w:val="single"/>
        </w:rPr>
        <w:sectPr w:rsidR="00754D87" w:rsidSect="00754D87">
          <w:headerReference w:type="even" r:id="rId162"/>
          <w:headerReference w:type="default" r:id="rId163"/>
          <w:headerReference w:type="first" r:id="rId164"/>
          <w:footerReference w:type="first" r:id="rId165"/>
          <w:pgSz w:w="11907" w:h="16840" w:code="9"/>
          <w:pgMar w:top="1418" w:right="1418" w:bottom="1418" w:left="1418" w:header="709" w:footer="709" w:gutter="0"/>
          <w:cols w:space="720"/>
          <w:titlePg/>
          <w:docGrid w:linePitch="360"/>
        </w:sectPr>
      </w:pPr>
      <w:r w:rsidRPr="00D403F5">
        <w:rPr>
          <w:rFonts w:ascii="Arial" w:hAnsi="Arial" w:cs="Arial"/>
          <w:b/>
          <w:bCs/>
          <w:sz w:val="18"/>
          <w:szCs w:val="18"/>
          <w:lang w:val="en-IE"/>
        </w:rPr>
        <w:t>NB:</w:t>
      </w:r>
      <w:r w:rsidRPr="00D403F5">
        <w:rPr>
          <w:rFonts w:ascii="Arial" w:hAnsi="Arial" w:cs="Arial"/>
          <w:sz w:val="18"/>
          <w:szCs w:val="18"/>
          <w:lang w:val="en-IE"/>
        </w:rPr>
        <w:t xml:space="preserve"> First adopted in 1995 as spring viraemia of carp. Most recent updates adopted in 2012.</w:t>
      </w:r>
      <w:bookmarkEnd w:id="98"/>
    </w:p>
    <w:p w14:paraId="16AF0F0A" w14:textId="1F57ABF5" w:rsidR="00754D87" w:rsidRPr="006A2D15" w:rsidRDefault="00754D87" w:rsidP="006A2D15">
      <w:pPr>
        <w:pStyle w:val="Titre4"/>
        <w:spacing w:before="0" w:after="480" w:line="240" w:lineRule="auto"/>
        <w:ind w:left="720"/>
        <w:jc w:val="right"/>
        <w:rPr>
          <w:rFonts w:ascii="Times New Roman" w:hAnsi="Times New Roman" w:cs="Times New Roman"/>
          <w:i w:val="0"/>
          <w:color w:val="auto"/>
        </w:rPr>
      </w:pPr>
      <w:bookmarkStart w:id="126" w:name="_Annex_12"/>
      <w:bookmarkEnd w:id="126"/>
      <w:r w:rsidRPr="006A2D15">
        <w:rPr>
          <w:rFonts w:ascii="Times New Roman" w:hAnsi="Times New Roman" w:cs="Times New Roman"/>
          <w:i w:val="0"/>
          <w:color w:val="auto"/>
          <w:u w:val="single"/>
        </w:rPr>
        <w:lastRenderedPageBreak/>
        <w:t>A</w:t>
      </w:r>
      <w:r w:rsidRPr="006A2D15">
        <w:rPr>
          <w:rFonts w:ascii="Times New Roman" w:hAnsi="Times New Roman" w:cs="Times New Roman"/>
          <w:bCs/>
          <w:i w:val="0"/>
          <w:iCs w:val="0"/>
          <w:color w:val="auto"/>
          <w:szCs w:val="20"/>
          <w:u w:val="single"/>
        </w:rPr>
        <w:t>nnex 12</w:t>
      </w:r>
    </w:p>
    <w:p w14:paraId="1823FE27" w14:textId="77777777" w:rsidR="00E65E42" w:rsidRPr="00D403F5" w:rsidRDefault="00E65E42" w:rsidP="00E65E42">
      <w:pPr>
        <w:pStyle w:val="Chaptertitle"/>
        <w:spacing w:after="0"/>
        <w:rPr>
          <w:rFonts w:cs="Arial"/>
          <w:b/>
          <w:sz w:val="18"/>
          <w:szCs w:val="18"/>
          <w:lang w:val="en-GB"/>
        </w:rPr>
      </w:pPr>
      <w:r w:rsidRPr="000151EA">
        <w:rPr>
          <w:rFonts w:cs="Arial"/>
          <w:lang w:val="en-GB"/>
        </w:rPr>
        <w:t>CHAPTER 2.1.</w:t>
      </w:r>
      <w:r>
        <w:rPr>
          <w:rFonts w:cs="Arial"/>
          <w:lang w:val="en-GB"/>
        </w:rPr>
        <w:t>3</w:t>
      </w:r>
      <w:r w:rsidRPr="000151EA">
        <w:rPr>
          <w:rFonts w:cs="Arial"/>
          <w:lang w:val="en-GB"/>
        </w:rPr>
        <w:t>.</w:t>
      </w:r>
      <w:r w:rsidRPr="000151EA">
        <w:rPr>
          <w:rFonts w:cs="Arial"/>
          <w:lang w:val="en-GB"/>
        </w:rPr>
        <w:br/>
      </w:r>
      <w:r w:rsidRPr="000151EA">
        <w:rPr>
          <w:rFonts w:cs="Arial"/>
          <w:lang w:val="en-GB"/>
        </w:rPr>
        <w:br/>
      </w:r>
      <w:r w:rsidRPr="000151EA">
        <w:rPr>
          <w:rFonts w:cs="Arial"/>
          <w:b/>
          <w:sz w:val="32"/>
          <w:szCs w:val="32"/>
          <w:lang w:val="en-GB"/>
        </w:rPr>
        <w:t xml:space="preserve">infection with </w:t>
      </w:r>
      <w:r w:rsidRPr="000151EA">
        <w:rPr>
          <w:rFonts w:cs="Arial"/>
          <w:b/>
          <w:sz w:val="32"/>
          <w:szCs w:val="32"/>
          <w:lang w:val="en-GB"/>
        </w:rPr>
        <w:br/>
      </w:r>
      <w:r w:rsidRPr="000151EA">
        <w:rPr>
          <w:rFonts w:cs="Arial"/>
          <w:b/>
          <w:i/>
          <w:sz w:val="32"/>
          <w:szCs w:val="32"/>
          <w:lang w:val="en-GB"/>
        </w:rPr>
        <w:t>Batrachochytrium salamandrivorans</w:t>
      </w:r>
    </w:p>
    <w:p w14:paraId="37D9DE3C" w14:textId="77777777" w:rsidR="00E65E42" w:rsidRPr="000151EA" w:rsidRDefault="00E65E42" w:rsidP="00754D87">
      <w:pPr>
        <w:pStyle w:val="10"/>
        <w:spacing w:before="240" w:after="160"/>
        <w:rPr>
          <w:rFonts w:ascii="Ottawa" w:hAnsi="Ottawa"/>
          <w:sz w:val="22"/>
          <w:szCs w:val="22"/>
        </w:rPr>
      </w:pPr>
      <w:r w:rsidRPr="000151EA">
        <w:rPr>
          <w:rFonts w:ascii="Ottawa" w:hAnsi="Ottawa"/>
          <w:sz w:val="22"/>
          <w:szCs w:val="22"/>
        </w:rPr>
        <w:t>1.</w:t>
      </w:r>
      <w:r w:rsidRPr="000151EA">
        <w:rPr>
          <w:rFonts w:ascii="Ottawa" w:hAnsi="Ottawa"/>
          <w:sz w:val="22"/>
          <w:szCs w:val="22"/>
        </w:rPr>
        <w:tab/>
        <w:t>Scope</w:t>
      </w:r>
    </w:p>
    <w:p w14:paraId="3C2F62E3" w14:textId="77777777" w:rsidR="00E65E42" w:rsidRPr="00D403F5" w:rsidRDefault="00E65E42" w:rsidP="00754D87">
      <w:pPr>
        <w:pStyle w:val="Para10"/>
        <w:spacing w:after="160"/>
        <w:ind w:left="284"/>
        <w:rPr>
          <w:rFonts w:cs="Arial"/>
          <w:szCs w:val="18"/>
          <w:lang w:val="en-GB"/>
        </w:rPr>
      </w:pPr>
      <w:r w:rsidRPr="00D403F5">
        <w:rPr>
          <w:rFonts w:cs="Arial"/>
          <w:szCs w:val="18"/>
          <w:lang w:val="en-GB"/>
        </w:rPr>
        <w:t xml:space="preserve">Infection with </w:t>
      </w:r>
      <w:r w:rsidRPr="00D403F5">
        <w:rPr>
          <w:rFonts w:cs="Arial"/>
          <w:i/>
          <w:szCs w:val="18"/>
          <w:lang w:val="en-GB"/>
        </w:rPr>
        <w:t>Batrachochytrium salamandrivorans</w:t>
      </w:r>
      <w:r w:rsidRPr="00D403F5">
        <w:rPr>
          <w:rFonts w:cs="Arial"/>
          <w:szCs w:val="18"/>
          <w:lang w:val="en-GB"/>
        </w:rPr>
        <w:t xml:space="preserve"> </w:t>
      </w:r>
      <w:r w:rsidRPr="00D403F5">
        <w:rPr>
          <w:rFonts w:cs="Arial"/>
          <w:strike/>
          <w:szCs w:val="18"/>
          <w:lang w:val="en-GB"/>
        </w:rPr>
        <w:t xml:space="preserve">(Bsal) </w:t>
      </w:r>
      <w:r w:rsidRPr="00D403F5">
        <w:rPr>
          <w:rFonts w:cs="Arial"/>
          <w:szCs w:val="18"/>
          <w:lang w:val="en-GB"/>
        </w:rPr>
        <w:t xml:space="preserve">means infection of amphibians with the pathogenic agent </w:t>
      </w:r>
      <w:r w:rsidRPr="00D403F5">
        <w:rPr>
          <w:rFonts w:cs="Arial"/>
          <w:i/>
          <w:szCs w:val="18"/>
          <w:lang w:val="en-GB"/>
        </w:rPr>
        <w:t>Batrachochytrium salamandrivorans</w:t>
      </w:r>
      <w:r w:rsidRPr="00D403F5">
        <w:rPr>
          <w:rFonts w:cs="Arial"/>
          <w:szCs w:val="18"/>
          <w:lang w:val="en-GB"/>
        </w:rPr>
        <w:t xml:space="preserve">, of the </w:t>
      </w:r>
      <w:r w:rsidRPr="00D403F5">
        <w:rPr>
          <w:rFonts w:cs="Arial"/>
          <w:szCs w:val="18"/>
          <w:u w:val="double"/>
          <w:lang w:val="en-GB"/>
        </w:rPr>
        <w:t xml:space="preserve">Division </w:t>
      </w:r>
      <w:hyperlink r:id="rId166" w:history="1">
        <w:r w:rsidRPr="00D403F5">
          <w:rPr>
            <w:rFonts w:cs="Arial"/>
            <w:szCs w:val="18"/>
            <w:u w:val="double"/>
            <w:lang w:val="en-GB"/>
          </w:rPr>
          <w:t>Chytridiomycota</w:t>
        </w:r>
      </w:hyperlink>
      <w:r w:rsidRPr="00D403F5">
        <w:rPr>
          <w:rFonts w:cs="Arial"/>
          <w:szCs w:val="18"/>
          <w:u w:val="double"/>
          <w:lang w:val="en-GB"/>
        </w:rPr>
        <w:t xml:space="preserve"> and Order </w:t>
      </w:r>
      <w:r w:rsidRPr="00D403F5">
        <w:rPr>
          <w:rFonts w:eastAsiaTheme="majorEastAsia"/>
          <w:color w:val="000000"/>
          <w:szCs w:val="18"/>
          <w:u w:val="double"/>
        </w:rPr>
        <w:t>Rhizophydiales</w:t>
      </w:r>
      <w:r w:rsidRPr="00D403F5">
        <w:rPr>
          <w:rFonts w:cs="Arial"/>
          <w:strike/>
          <w:szCs w:val="18"/>
          <w:lang w:val="en-GB"/>
        </w:rPr>
        <w:t xml:space="preserve"> Genus </w:t>
      </w:r>
      <w:r w:rsidRPr="00D403F5">
        <w:rPr>
          <w:rFonts w:cs="Arial"/>
          <w:i/>
          <w:strike/>
          <w:szCs w:val="18"/>
          <w:lang w:val="en-GB"/>
        </w:rPr>
        <w:t xml:space="preserve">Batrachochytrium </w:t>
      </w:r>
      <w:r w:rsidRPr="00D403F5">
        <w:rPr>
          <w:rFonts w:cs="Arial"/>
          <w:strike/>
          <w:szCs w:val="18"/>
          <w:lang w:val="en-GB"/>
        </w:rPr>
        <w:t>and Family</w:t>
      </w:r>
      <w:r w:rsidRPr="00D403F5">
        <w:rPr>
          <w:bCs/>
          <w:i/>
          <w:iCs/>
          <w:strike/>
          <w:szCs w:val="18"/>
          <w:lang w:val="en-GB"/>
        </w:rPr>
        <w:t xml:space="preserve"> Incertae sedis</w:t>
      </w:r>
      <w:r w:rsidRPr="00D403F5">
        <w:rPr>
          <w:rFonts w:cs="Arial"/>
          <w:szCs w:val="18"/>
          <w:lang w:val="en-GB"/>
        </w:rPr>
        <w:t>.</w:t>
      </w:r>
    </w:p>
    <w:p w14:paraId="00F1760F" w14:textId="77777777" w:rsidR="00E65E42" w:rsidRPr="000151EA" w:rsidRDefault="00E65E42" w:rsidP="00754D87">
      <w:pPr>
        <w:pStyle w:val="10"/>
        <w:spacing w:after="160"/>
        <w:rPr>
          <w:rFonts w:ascii="Ottawa" w:hAnsi="Ottawa"/>
          <w:sz w:val="22"/>
          <w:szCs w:val="22"/>
        </w:rPr>
      </w:pPr>
      <w:r w:rsidRPr="000151EA">
        <w:rPr>
          <w:rFonts w:ascii="Ottawa" w:hAnsi="Ottawa"/>
          <w:sz w:val="22"/>
          <w:szCs w:val="22"/>
        </w:rPr>
        <w:t>2.</w:t>
      </w:r>
      <w:r w:rsidRPr="000151EA">
        <w:rPr>
          <w:rFonts w:ascii="Ottawa" w:hAnsi="Ottawa"/>
          <w:sz w:val="22"/>
          <w:szCs w:val="22"/>
        </w:rPr>
        <w:tab/>
        <w:t>Disease information</w:t>
      </w:r>
    </w:p>
    <w:p w14:paraId="4A4ADDE3" w14:textId="72613B12" w:rsidR="00E65E42" w:rsidRPr="00D31CCB" w:rsidRDefault="00E65E42" w:rsidP="00223026">
      <w:pPr>
        <w:pStyle w:val="11"/>
        <w:tabs>
          <w:tab w:val="left" w:pos="1418"/>
        </w:tabs>
        <w:spacing w:after="160"/>
        <w:ind w:left="851" w:hanging="567"/>
        <w:rPr>
          <w:rFonts w:ascii="Ottawa" w:hAnsi="Ottawa"/>
          <w:sz w:val="21"/>
          <w:szCs w:val="21"/>
          <w:lang w:val="en-GB"/>
        </w:rPr>
      </w:pPr>
      <w:r w:rsidRPr="00D31CCB">
        <w:rPr>
          <w:rFonts w:ascii="Ottawa" w:hAnsi="Ottawa"/>
          <w:sz w:val="21"/>
          <w:szCs w:val="21"/>
          <w:lang w:val="en-GB"/>
        </w:rPr>
        <w:t>2.1.</w:t>
      </w:r>
      <w:r w:rsidR="00223026">
        <w:rPr>
          <w:rFonts w:ascii="Ottawa" w:hAnsi="Ottawa"/>
          <w:sz w:val="21"/>
          <w:szCs w:val="21"/>
          <w:lang w:val="en-GB"/>
        </w:rPr>
        <w:tab/>
      </w:r>
      <w:r w:rsidRPr="00D31CCB">
        <w:rPr>
          <w:rFonts w:ascii="Ottawa" w:hAnsi="Ottawa"/>
          <w:sz w:val="21"/>
          <w:szCs w:val="21"/>
          <w:lang w:val="en-GB"/>
        </w:rPr>
        <w:t>Agent factors</w:t>
      </w:r>
    </w:p>
    <w:p w14:paraId="352F2F66" w14:textId="77777777" w:rsidR="00E65E42" w:rsidRPr="00E04E06" w:rsidRDefault="00E65E42" w:rsidP="00DD3E91">
      <w:pPr>
        <w:pStyle w:val="111"/>
        <w:spacing w:after="160"/>
        <w:ind w:left="1418"/>
        <w:rPr>
          <w:szCs w:val="20"/>
        </w:rPr>
      </w:pPr>
      <w:r w:rsidRPr="00E04E06">
        <w:rPr>
          <w:szCs w:val="20"/>
        </w:rPr>
        <w:t>2.1.1.</w:t>
      </w:r>
      <w:r w:rsidRPr="00E04E06">
        <w:rPr>
          <w:szCs w:val="20"/>
        </w:rPr>
        <w:tab/>
        <w:t>Aetiological agent</w:t>
      </w:r>
    </w:p>
    <w:p w14:paraId="6E3A2A81" w14:textId="77777777" w:rsidR="00E65E42" w:rsidRPr="00D403F5" w:rsidRDefault="00E65E42" w:rsidP="00754D87">
      <w:pPr>
        <w:pStyle w:val="Para3"/>
        <w:spacing w:after="160"/>
        <w:rPr>
          <w:rFonts w:eastAsia="Calibri" w:cs="Arial"/>
          <w:szCs w:val="18"/>
          <w:lang w:val="en-GB"/>
        </w:rPr>
      </w:pPr>
      <w:r w:rsidRPr="00D403F5">
        <w:rPr>
          <w:rFonts w:cs="Arial"/>
          <w:szCs w:val="18"/>
          <w:lang w:val="en-GB"/>
        </w:rPr>
        <w:t xml:space="preserve">The </w:t>
      </w:r>
      <w:r w:rsidRPr="00D403F5">
        <w:rPr>
          <w:rFonts w:cs="Arial"/>
          <w:szCs w:val="18"/>
          <w:u w:val="double"/>
          <w:lang w:val="en-GB"/>
        </w:rPr>
        <w:t>type strain of the pathogenic chytrid fungal agent</w:t>
      </w:r>
      <w:r w:rsidRPr="00D403F5">
        <w:rPr>
          <w:rFonts w:cs="Arial"/>
          <w:szCs w:val="18"/>
          <w:lang w:val="en-GB"/>
        </w:rPr>
        <w:t xml:space="preserve"> </w:t>
      </w:r>
      <w:r w:rsidRPr="00D403F5">
        <w:rPr>
          <w:rFonts w:cs="Arial"/>
          <w:i/>
          <w:szCs w:val="18"/>
          <w:lang w:val="en-GB"/>
        </w:rPr>
        <w:t>Batrachochytrium salamandrivorans</w:t>
      </w:r>
      <w:r w:rsidRPr="00D403F5">
        <w:rPr>
          <w:rFonts w:cs="Arial"/>
          <w:szCs w:val="18"/>
          <w:lang w:val="en-GB"/>
        </w:rPr>
        <w:t xml:space="preserve"> (Bsal) </w:t>
      </w:r>
      <w:r w:rsidRPr="00D403F5">
        <w:rPr>
          <w:rFonts w:cs="Arial"/>
          <w:strike/>
          <w:szCs w:val="18"/>
          <w:lang w:val="en-GB"/>
        </w:rPr>
        <w:t xml:space="preserve">type strain </w:t>
      </w:r>
      <w:r w:rsidRPr="00D403F5">
        <w:rPr>
          <w:rFonts w:cs="Arial"/>
          <w:szCs w:val="18"/>
          <w:lang w:val="en-GB"/>
        </w:rPr>
        <w:t xml:space="preserve">is AMFP13/1. Three more isolates have been described (Martel </w:t>
      </w:r>
      <w:r w:rsidRPr="00D403F5">
        <w:rPr>
          <w:rFonts w:cs="Arial"/>
          <w:i/>
          <w:szCs w:val="18"/>
          <w:lang w:val="en-GB"/>
        </w:rPr>
        <w:t>et al</w:t>
      </w:r>
      <w:r w:rsidRPr="00D403F5">
        <w:rPr>
          <w:rFonts w:cs="Arial"/>
          <w:szCs w:val="18"/>
          <w:lang w:val="en-GB"/>
        </w:rPr>
        <w:t xml:space="preserve">., 2014) but no information is available on genetic structuring or phenotypic variation. </w:t>
      </w:r>
      <w:r w:rsidRPr="00D403F5">
        <w:rPr>
          <w:rFonts w:eastAsia="Calibri" w:cs="Arial"/>
          <w:szCs w:val="18"/>
          <w:lang w:val="en-GB"/>
        </w:rPr>
        <w:t xml:space="preserve">Phylogenetic analyses show that Bsal forms a clade with its sister species </w:t>
      </w:r>
      <w:r w:rsidRPr="00D403F5">
        <w:rPr>
          <w:rFonts w:eastAsia="Calibri" w:cs="Arial"/>
          <w:i/>
          <w:szCs w:val="18"/>
          <w:lang w:val="en-GB"/>
        </w:rPr>
        <w:t>B. dendrobatidis</w:t>
      </w:r>
      <w:r w:rsidRPr="00D403F5">
        <w:rPr>
          <w:rFonts w:eastAsia="Calibri" w:cs="Arial"/>
          <w:szCs w:val="18"/>
          <w:lang w:val="en-GB"/>
        </w:rPr>
        <w:t xml:space="preserve"> (Martel </w:t>
      </w:r>
      <w:r w:rsidRPr="00D403F5">
        <w:rPr>
          <w:rFonts w:eastAsia="Calibri" w:cs="Arial"/>
          <w:i/>
          <w:szCs w:val="18"/>
          <w:lang w:val="en-GB"/>
        </w:rPr>
        <w:t>et al</w:t>
      </w:r>
      <w:r w:rsidRPr="00D403F5">
        <w:rPr>
          <w:rFonts w:eastAsia="Calibri" w:cs="Arial"/>
          <w:szCs w:val="18"/>
          <w:lang w:val="en-GB"/>
        </w:rPr>
        <w:t xml:space="preserve">., 2013). The genome size of the type strain was determined at 32.6 Mb with 10,138 protein-coding genes predicted (Farrer </w:t>
      </w:r>
      <w:r w:rsidRPr="00D403F5">
        <w:rPr>
          <w:rFonts w:eastAsia="Calibri" w:cs="Arial"/>
          <w:i/>
          <w:szCs w:val="18"/>
          <w:lang w:val="en-GB"/>
        </w:rPr>
        <w:t>et al</w:t>
      </w:r>
      <w:r w:rsidRPr="00D403F5">
        <w:rPr>
          <w:rFonts w:eastAsia="Calibri" w:cs="Arial"/>
          <w:szCs w:val="18"/>
          <w:lang w:val="en-GB"/>
        </w:rPr>
        <w:t xml:space="preserve">., 2017). The contribution of these proteins to virulence is currently not clear. </w:t>
      </w:r>
    </w:p>
    <w:p w14:paraId="487D7785" w14:textId="77777777" w:rsidR="00E65E42" w:rsidRPr="00E04E06" w:rsidRDefault="00E65E42" w:rsidP="00DD3E91">
      <w:pPr>
        <w:pStyle w:val="111"/>
        <w:spacing w:after="160"/>
        <w:ind w:left="1418"/>
        <w:rPr>
          <w:szCs w:val="20"/>
        </w:rPr>
      </w:pPr>
      <w:r w:rsidRPr="00E04E06">
        <w:rPr>
          <w:szCs w:val="20"/>
        </w:rPr>
        <w:t>2.1.2.</w:t>
      </w:r>
      <w:r w:rsidRPr="00E04E06">
        <w:rPr>
          <w:szCs w:val="20"/>
        </w:rPr>
        <w:tab/>
        <w:t xml:space="preserve">Survival and stability </w:t>
      </w:r>
      <w:r w:rsidRPr="00E04E06">
        <w:rPr>
          <w:szCs w:val="20"/>
          <w:u w:val="double"/>
        </w:rPr>
        <w:t>inside the host tissues</w:t>
      </w:r>
      <w:r w:rsidRPr="00E04E06">
        <w:rPr>
          <w:szCs w:val="20"/>
        </w:rPr>
        <w:t xml:space="preserve"> </w:t>
      </w:r>
      <w:r w:rsidRPr="00E04E06">
        <w:rPr>
          <w:strike/>
          <w:szCs w:val="20"/>
        </w:rPr>
        <w:t>in processed or stored samples</w:t>
      </w:r>
    </w:p>
    <w:p w14:paraId="105F0F72" w14:textId="77777777" w:rsidR="00E65E42" w:rsidRPr="00D403F5" w:rsidRDefault="00E65E42" w:rsidP="00754D87">
      <w:pPr>
        <w:pStyle w:val="Para3"/>
        <w:spacing w:after="160"/>
        <w:rPr>
          <w:szCs w:val="18"/>
          <w:lang w:val="en-GB"/>
        </w:rPr>
      </w:pPr>
      <w:r w:rsidRPr="00D403F5">
        <w:rPr>
          <w:szCs w:val="18"/>
          <w:lang w:val="en-GB"/>
        </w:rPr>
        <w:t>Bsal is an intracellular pathogen that develops inside epidermal cells. The presence of Bsal could be demonstrated using real-time polymerase chain reaction (</w:t>
      </w:r>
      <w:r w:rsidRPr="00D403F5">
        <w:rPr>
          <w:strike/>
          <w:szCs w:val="18"/>
          <w:lang w:val="en-GB"/>
        </w:rPr>
        <w:t>q</w:t>
      </w:r>
      <w:r w:rsidRPr="00D403F5">
        <w:rPr>
          <w:szCs w:val="18"/>
          <w:lang w:val="en-GB"/>
        </w:rPr>
        <w:t xml:space="preserve">PCR) on dorsal skin swabs up to 7 days on average post-mortem and using histopathology of dorsal skin tissue up to 3 days on average post-mortem (Thomas </w:t>
      </w:r>
      <w:r w:rsidRPr="00D403F5">
        <w:rPr>
          <w:i/>
          <w:szCs w:val="18"/>
          <w:lang w:val="en-GB"/>
        </w:rPr>
        <w:t>et al</w:t>
      </w:r>
      <w:r w:rsidRPr="00D403F5">
        <w:rPr>
          <w:szCs w:val="18"/>
          <w:lang w:val="en-GB"/>
        </w:rPr>
        <w:t xml:space="preserve">., 2018). It is not clear how long Bsal can survive inside tissues of a dead host and how long a dead host remains infectious. </w:t>
      </w:r>
      <w:r w:rsidRPr="00D403F5">
        <w:rPr>
          <w:strike/>
          <w:szCs w:val="18"/>
          <w:lang w:val="en-GB"/>
        </w:rPr>
        <w:t xml:space="preserve">Storage of tissues or skin swabs in 70% ethanol or at –20°C allows detection of Bsal using qPCR for more than 150 years as demonstrated by analysis of museum specimens (Martel </w:t>
      </w:r>
      <w:r w:rsidRPr="00D403F5">
        <w:rPr>
          <w:i/>
          <w:strike/>
          <w:szCs w:val="18"/>
          <w:lang w:val="en-GB"/>
        </w:rPr>
        <w:t>et al</w:t>
      </w:r>
      <w:r w:rsidRPr="00D403F5">
        <w:rPr>
          <w:strike/>
          <w:szCs w:val="18"/>
          <w:lang w:val="en-GB"/>
        </w:rPr>
        <w:t>., 2014).</w:t>
      </w:r>
    </w:p>
    <w:p w14:paraId="29E051FF" w14:textId="77777777" w:rsidR="00E65E42" w:rsidRPr="00E04E06" w:rsidRDefault="00E65E42" w:rsidP="001C6A78">
      <w:pPr>
        <w:pStyle w:val="111"/>
        <w:spacing w:after="160"/>
        <w:ind w:left="1418"/>
        <w:rPr>
          <w:szCs w:val="20"/>
        </w:rPr>
      </w:pPr>
      <w:r w:rsidRPr="00E04E06">
        <w:rPr>
          <w:szCs w:val="20"/>
        </w:rPr>
        <w:t>2.1.3.</w:t>
      </w:r>
      <w:r w:rsidRPr="00E04E06">
        <w:rPr>
          <w:szCs w:val="20"/>
        </w:rPr>
        <w:tab/>
        <w:t xml:space="preserve">Survival and stability outside the host </w:t>
      </w:r>
    </w:p>
    <w:p w14:paraId="1DB6655A" w14:textId="77777777" w:rsidR="00E65E42" w:rsidRPr="00D403F5" w:rsidRDefault="00E65E42" w:rsidP="00754D87">
      <w:pPr>
        <w:pStyle w:val="Para3"/>
        <w:spacing w:after="160"/>
        <w:rPr>
          <w:rFonts w:cs="Arial"/>
          <w:szCs w:val="18"/>
          <w:lang w:val="en-GB" w:bidi="en-US"/>
        </w:rPr>
      </w:pPr>
      <w:r w:rsidRPr="00D403F5">
        <w:rPr>
          <w:rFonts w:cs="Arial"/>
          <w:szCs w:val="18"/>
          <w:lang w:val="en-GB" w:bidi="en-US"/>
        </w:rPr>
        <w:t xml:space="preserve">Encysted spores have been shown to remain infectious in pond water </w:t>
      </w:r>
      <w:r w:rsidRPr="00BB30A5">
        <w:rPr>
          <w:rFonts w:cs="Arial"/>
          <w:szCs w:val="18"/>
          <w:u w:val="double"/>
          <w:lang w:val="en-GB" w:bidi="en-US"/>
        </w:rPr>
        <w:t>for</w:t>
      </w:r>
      <w:r>
        <w:rPr>
          <w:rFonts w:cs="Arial"/>
          <w:szCs w:val="18"/>
          <w:lang w:val="en-GB" w:bidi="en-US"/>
        </w:rPr>
        <w:t xml:space="preserve"> </w:t>
      </w:r>
      <w:r w:rsidRPr="00D403F5">
        <w:rPr>
          <w:rFonts w:cs="Arial"/>
          <w:szCs w:val="18"/>
          <w:lang w:val="en-GB" w:bidi="en-US"/>
        </w:rPr>
        <w:t xml:space="preserve">up to at least 31 days (Stegen </w:t>
      </w:r>
      <w:r w:rsidRPr="00D403F5">
        <w:rPr>
          <w:rFonts w:cs="Arial"/>
          <w:i/>
          <w:szCs w:val="18"/>
          <w:lang w:val="en-GB" w:bidi="en-US"/>
        </w:rPr>
        <w:t>et al</w:t>
      </w:r>
      <w:r w:rsidRPr="00D403F5">
        <w:rPr>
          <w:rFonts w:cs="Arial"/>
          <w:szCs w:val="18"/>
          <w:lang w:val="en-GB" w:bidi="en-US"/>
        </w:rPr>
        <w:t xml:space="preserve">., 2017) and are considered more </w:t>
      </w:r>
      <w:r w:rsidRPr="00D403F5">
        <w:rPr>
          <w:rFonts w:cs="Arial"/>
          <w:strike/>
          <w:szCs w:val="18"/>
          <w:lang w:val="en-GB" w:bidi="en-US"/>
        </w:rPr>
        <w:t xml:space="preserve">environmentally </w:t>
      </w:r>
      <w:r w:rsidRPr="00D403F5">
        <w:rPr>
          <w:rFonts w:cs="Arial"/>
          <w:szCs w:val="18"/>
          <w:lang w:val="en-GB" w:bidi="en-US"/>
        </w:rPr>
        <w:t xml:space="preserve">resistant </w:t>
      </w:r>
      <w:r w:rsidRPr="00D403F5">
        <w:rPr>
          <w:rFonts w:cs="Arial"/>
          <w:szCs w:val="18"/>
          <w:u w:val="double"/>
          <w:lang w:val="en-GB" w:bidi="en-US"/>
        </w:rPr>
        <w:t>in the environment</w:t>
      </w:r>
      <w:r w:rsidRPr="00D403F5">
        <w:rPr>
          <w:rFonts w:cs="Arial"/>
          <w:szCs w:val="18"/>
          <w:lang w:val="en-GB" w:bidi="en-US"/>
        </w:rPr>
        <w:t xml:space="preserve"> compared with zoospores. Experimentally inoculated forest soil was demonstrated to remain infectious to fire salamanders for 48 hours (Stegen </w:t>
      </w:r>
      <w:r w:rsidRPr="00D403F5">
        <w:rPr>
          <w:rFonts w:cs="Arial"/>
          <w:i/>
          <w:szCs w:val="18"/>
          <w:lang w:val="en-GB" w:bidi="en-US"/>
        </w:rPr>
        <w:t>et al.,</w:t>
      </w:r>
      <w:r w:rsidRPr="00D403F5">
        <w:rPr>
          <w:rFonts w:cs="Arial"/>
          <w:szCs w:val="18"/>
          <w:lang w:val="en-GB" w:bidi="en-US"/>
        </w:rPr>
        <w:t xml:space="preserve"> 2017). However, Bsal DNA was detected </w:t>
      </w:r>
      <w:r w:rsidRPr="008B1B73">
        <w:rPr>
          <w:rFonts w:cs="Arial"/>
          <w:strike/>
          <w:szCs w:val="18"/>
          <w:lang w:val="en-GB" w:bidi="en-US"/>
        </w:rPr>
        <w:t>up to 28 weeks</w:t>
      </w:r>
      <w:r w:rsidRPr="00E47078">
        <w:rPr>
          <w:rFonts w:cs="Arial"/>
          <w:strike/>
          <w:szCs w:val="18"/>
          <w:lang w:val="en-GB" w:bidi="en-US"/>
        </w:rPr>
        <w:t xml:space="preserve"> </w:t>
      </w:r>
      <w:r w:rsidRPr="00D403F5">
        <w:rPr>
          <w:rFonts w:cs="Arial"/>
          <w:szCs w:val="18"/>
          <w:lang w:val="en-GB" w:bidi="en-US"/>
        </w:rPr>
        <w:t xml:space="preserve">in contaminated forest soil </w:t>
      </w:r>
      <w:r w:rsidRPr="008B1B73">
        <w:rPr>
          <w:rFonts w:cs="Arial"/>
          <w:szCs w:val="18"/>
          <w:u w:val="double"/>
          <w:lang w:val="en-GB" w:bidi="en-US"/>
        </w:rPr>
        <w:t>for up to 28 weeks</w:t>
      </w:r>
      <w:r>
        <w:rPr>
          <w:rFonts w:cs="Arial"/>
          <w:szCs w:val="18"/>
          <w:lang w:val="en-GB" w:bidi="en-US"/>
        </w:rPr>
        <w:t xml:space="preserve"> </w:t>
      </w:r>
      <w:r w:rsidRPr="00D403F5">
        <w:rPr>
          <w:rFonts w:cs="Arial"/>
          <w:szCs w:val="18"/>
          <w:lang w:val="en-GB" w:bidi="en-US"/>
        </w:rPr>
        <w:t xml:space="preserve">(Stegen </w:t>
      </w:r>
      <w:r w:rsidRPr="00D403F5">
        <w:rPr>
          <w:rFonts w:cs="Arial"/>
          <w:i/>
          <w:szCs w:val="18"/>
          <w:lang w:val="en-GB" w:bidi="en-US"/>
        </w:rPr>
        <w:t>et al</w:t>
      </w:r>
      <w:r w:rsidRPr="00D403F5">
        <w:rPr>
          <w:rFonts w:cs="Arial"/>
          <w:szCs w:val="18"/>
          <w:lang w:val="en-GB" w:bidi="en-US"/>
        </w:rPr>
        <w:t xml:space="preserve">., 2017). </w:t>
      </w:r>
      <w:r w:rsidRPr="008B1B73">
        <w:rPr>
          <w:rFonts w:cs="Arial"/>
          <w:strike/>
          <w:szCs w:val="18"/>
          <w:lang w:val="en-GB" w:bidi="en-US"/>
        </w:rPr>
        <w:t xml:space="preserve">However, </w:t>
      </w:r>
      <w:r w:rsidRPr="008B1B73">
        <w:rPr>
          <w:rFonts w:cs="Arial"/>
          <w:szCs w:val="18"/>
          <w:u w:val="double"/>
          <w:lang w:val="en-GB" w:bidi="en-US"/>
        </w:rPr>
        <w:t>Whether</w:t>
      </w:r>
      <w:r w:rsidRPr="00D403F5">
        <w:rPr>
          <w:rFonts w:cs="Arial"/>
          <w:szCs w:val="18"/>
          <w:lang w:val="en-GB" w:bidi="en-US"/>
        </w:rPr>
        <w:t xml:space="preserve"> this reflects the presence of viable Bsal organisms is not clear. The effect of </w:t>
      </w:r>
      <w:r w:rsidRPr="00631F77">
        <w:rPr>
          <w:rFonts w:cs="Arial"/>
          <w:strike/>
          <w:szCs w:val="18"/>
          <w:highlight w:val="yellow"/>
          <w:lang w:val="en-GB" w:bidi="en-US"/>
        </w:rPr>
        <w:t>dessication</w:t>
      </w:r>
      <w:r w:rsidRPr="00D403F5">
        <w:rPr>
          <w:rFonts w:cs="Arial"/>
          <w:szCs w:val="18"/>
          <w:lang w:val="en-GB" w:bidi="en-US"/>
        </w:rPr>
        <w:t xml:space="preserve"> </w:t>
      </w:r>
      <w:r w:rsidRPr="00631F77">
        <w:rPr>
          <w:rFonts w:cs="Arial"/>
          <w:szCs w:val="18"/>
          <w:highlight w:val="yellow"/>
          <w:u w:val="double"/>
          <w:lang w:val="en-GB" w:bidi="en-US"/>
        </w:rPr>
        <w:t>desiccation</w:t>
      </w:r>
      <w:r>
        <w:rPr>
          <w:rFonts w:cs="Arial"/>
          <w:szCs w:val="18"/>
          <w:lang w:val="en-GB" w:bidi="en-US"/>
        </w:rPr>
        <w:t xml:space="preserve"> </w:t>
      </w:r>
      <w:r w:rsidRPr="00D403F5">
        <w:rPr>
          <w:rFonts w:cs="Arial"/>
          <w:szCs w:val="18"/>
          <w:lang w:val="en-GB" w:bidi="en-US"/>
        </w:rPr>
        <w:t xml:space="preserve">on Bsal survival has not been studied. </w:t>
      </w:r>
    </w:p>
    <w:p w14:paraId="795AECA2" w14:textId="77777777" w:rsidR="00E65E42" w:rsidRPr="00D403F5" w:rsidRDefault="00E65E42" w:rsidP="00754D87">
      <w:pPr>
        <w:pStyle w:val="Para3"/>
        <w:spacing w:after="160"/>
        <w:rPr>
          <w:rFonts w:cs="Arial"/>
          <w:szCs w:val="18"/>
          <w:lang w:val="en-GB"/>
        </w:rPr>
      </w:pPr>
      <w:r w:rsidRPr="00D403F5">
        <w:rPr>
          <w:rFonts w:cs="Arial"/>
          <w:szCs w:val="18"/>
          <w:lang w:val="en-GB"/>
        </w:rPr>
        <w:t>For inactivation methods, see Section 2.4.5.</w:t>
      </w:r>
    </w:p>
    <w:p w14:paraId="3034F2DF" w14:textId="77777777" w:rsidR="00E65E42" w:rsidRPr="00D31CCB" w:rsidRDefault="00E65E42" w:rsidP="00DD3E91">
      <w:pPr>
        <w:pStyle w:val="11"/>
        <w:tabs>
          <w:tab w:val="left" w:pos="1418"/>
        </w:tabs>
        <w:spacing w:after="160"/>
        <w:ind w:left="851" w:hanging="567"/>
        <w:rPr>
          <w:rFonts w:ascii="Ottawa" w:hAnsi="Ottawa"/>
          <w:sz w:val="21"/>
          <w:szCs w:val="21"/>
          <w:lang w:val="en-GB"/>
        </w:rPr>
      </w:pPr>
      <w:r w:rsidRPr="00D31CCB">
        <w:rPr>
          <w:rFonts w:ascii="Ottawa" w:hAnsi="Ottawa"/>
          <w:sz w:val="21"/>
          <w:szCs w:val="21"/>
          <w:lang w:val="en-GB"/>
        </w:rPr>
        <w:t>2.2.</w:t>
      </w:r>
      <w:r w:rsidRPr="00D31CCB">
        <w:rPr>
          <w:rFonts w:ascii="Ottawa" w:hAnsi="Ottawa"/>
          <w:sz w:val="21"/>
          <w:szCs w:val="21"/>
          <w:lang w:val="en-GB"/>
        </w:rPr>
        <w:tab/>
        <w:t>Host factors</w:t>
      </w:r>
    </w:p>
    <w:p w14:paraId="7A561DC4" w14:textId="77777777" w:rsidR="00E65E42" w:rsidRPr="00E04E06" w:rsidRDefault="00E65E42" w:rsidP="001C6A78">
      <w:pPr>
        <w:pStyle w:val="111"/>
        <w:spacing w:after="160"/>
        <w:ind w:left="1418"/>
        <w:rPr>
          <w:szCs w:val="20"/>
        </w:rPr>
      </w:pPr>
      <w:r w:rsidRPr="00E04E06">
        <w:rPr>
          <w:szCs w:val="20"/>
        </w:rPr>
        <w:t>2.2.1.</w:t>
      </w:r>
      <w:r w:rsidRPr="00E04E06">
        <w:rPr>
          <w:szCs w:val="20"/>
        </w:rPr>
        <w:tab/>
        <w:t xml:space="preserve">Susceptible host species </w:t>
      </w:r>
    </w:p>
    <w:p w14:paraId="54C0D05A" w14:textId="44BC261E" w:rsidR="00E65E42" w:rsidRDefault="00E65E42" w:rsidP="00E65E42">
      <w:pPr>
        <w:pStyle w:val="111"/>
        <w:spacing w:after="720"/>
        <w:ind w:firstLine="0"/>
        <w:rPr>
          <w:rFonts w:ascii="Arial" w:hAnsi="Arial" w:cs="Arial"/>
          <w:b w:val="0"/>
          <w:strike/>
          <w:sz w:val="18"/>
          <w:szCs w:val="18"/>
        </w:rPr>
      </w:pPr>
      <w:r w:rsidRPr="00D403F5">
        <w:rPr>
          <w:rFonts w:ascii="Arial" w:hAnsi="Arial" w:cs="Arial"/>
          <w:b w:val="0"/>
          <w:sz w:val="18"/>
          <w:szCs w:val="18"/>
        </w:rPr>
        <w:t xml:space="preserve">Species that fulfil the criteria for listing as susceptible to infection with Bsal according to Chapter 1.5. of the </w:t>
      </w:r>
      <w:r w:rsidRPr="00D403F5">
        <w:rPr>
          <w:rFonts w:ascii="Arial" w:hAnsi="Arial" w:cs="Arial"/>
          <w:b w:val="0"/>
          <w:i/>
          <w:sz w:val="18"/>
          <w:szCs w:val="18"/>
        </w:rPr>
        <w:t>Aquatic Animal Health Code</w:t>
      </w:r>
      <w:r w:rsidRPr="00D403F5">
        <w:rPr>
          <w:rFonts w:ascii="Arial" w:hAnsi="Arial" w:cs="Arial"/>
          <w:b w:val="0"/>
          <w:sz w:val="18"/>
          <w:szCs w:val="18"/>
        </w:rPr>
        <w:t xml:space="preserve"> (</w:t>
      </w:r>
      <w:r w:rsidRPr="00D403F5">
        <w:rPr>
          <w:rFonts w:ascii="Arial" w:hAnsi="Arial" w:cs="Arial"/>
          <w:b w:val="0"/>
          <w:i/>
          <w:sz w:val="18"/>
          <w:szCs w:val="18"/>
        </w:rPr>
        <w:t>Aquatic Code</w:t>
      </w:r>
      <w:r w:rsidRPr="00D403F5">
        <w:rPr>
          <w:rFonts w:ascii="Arial" w:hAnsi="Arial" w:cs="Arial"/>
          <w:b w:val="0"/>
          <w:sz w:val="18"/>
          <w:szCs w:val="18"/>
        </w:rPr>
        <w:t>) include:</w:t>
      </w:r>
      <w:r w:rsidRPr="00D403F5">
        <w:rPr>
          <w:rFonts w:ascii="Arial" w:hAnsi="Arial" w:cs="Arial"/>
          <w:b w:val="0"/>
          <w:bCs w:val="0"/>
          <w:sz w:val="18"/>
          <w:szCs w:val="18"/>
          <w:shd w:val="clear" w:color="auto" w:fill="F1F2ED"/>
        </w:rPr>
        <w:t xml:space="preserve"> </w:t>
      </w:r>
      <w:r w:rsidRPr="000C694A">
        <w:rPr>
          <w:rFonts w:ascii="Arial" w:hAnsi="Arial" w:cs="Arial"/>
          <w:b w:val="0"/>
          <w:strike/>
          <w:sz w:val="18"/>
          <w:szCs w:val="18"/>
          <w:highlight w:val="yellow"/>
        </w:rPr>
        <w:t xml:space="preserve">[alpine newt </w:t>
      </w:r>
      <w:r w:rsidRPr="000C694A">
        <w:rPr>
          <w:rFonts w:ascii="Arial" w:hAnsi="Arial" w:cs="Arial"/>
          <w:b w:val="0"/>
          <w:iCs/>
          <w:strike/>
          <w:sz w:val="18"/>
          <w:szCs w:val="18"/>
          <w:highlight w:val="yellow"/>
        </w:rPr>
        <w:t>(</w:t>
      </w:r>
      <w:r w:rsidRPr="000C694A">
        <w:rPr>
          <w:rFonts w:ascii="Arial" w:hAnsi="Arial" w:cs="Arial"/>
          <w:b w:val="0"/>
          <w:i/>
          <w:iCs/>
          <w:strike/>
          <w:sz w:val="18"/>
          <w:szCs w:val="18"/>
          <w:highlight w:val="yellow"/>
        </w:rPr>
        <w:t>Ichthyosaura alpestris</w:t>
      </w:r>
      <w:r w:rsidRPr="000C694A">
        <w:rPr>
          <w:rFonts w:ascii="Arial" w:hAnsi="Arial" w:cs="Arial"/>
          <w:b w:val="0"/>
          <w:iCs/>
          <w:strike/>
          <w:sz w:val="18"/>
          <w:szCs w:val="18"/>
          <w:highlight w:val="yellow"/>
        </w:rPr>
        <w:t>)</w:t>
      </w:r>
      <w:r w:rsidRPr="000C694A">
        <w:rPr>
          <w:rFonts w:ascii="Arial" w:hAnsi="Arial" w:cs="Arial"/>
          <w:b w:val="0"/>
          <w:strike/>
          <w:sz w:val="18"/>
          <w:szCs w:val="18"/>
          <w:highlight w:val="yellow"/>
        </w:rPr>
        <w:t xml:space="preserve">, blue-tailed fire-bellied newt </w:t>
      </w:r>
      <w:r w:rsidRPr="000C694A">
        <w:rPr>
          <w:rFonts w:ascii="Arial" w:hAnsi="Arial" w:cs="Arial"/>
          <w:b w:val="0"/>
          <w:iCs/>
          <w:strike/>
          <w:sz w:val="18"/>
          <w:szCs w:val="18"/>
          <w:highlight w:val="yellow"/>
        </w:rPr>
        <w:t>(</w:t>
      </w:r>
      <w:r w:rsidRPr="000C694A">
        <w:rPr>
          <w:rFonts w:ascii="Arial" w:hAnsi="Arial" w:cs="Arial"/>
          <w:b w:val="0"/>
          <w:i/>
          <w:iCs/>
          <w:strike/>
          <w:sz w:val="18"/>
          <w:szCs w:val="18"/>
          <w:highlight w:val="yellow"/>
        </w:rPr>
        <w:t>Cynops cyanurus</w:t>
      </w:r>
      <w:r w:rsidRPr="000C694A">
        <w:rPr>
          <w:rFonts w:ascii="Arial" w:hAnsi="Arial" w:cs="Arial"/>
          <w:b w:val="0"/>
          <w:iCs/>
          <w:strike/>
          <w:sz w:val="18"/>
          <w:szCs w:val="18"/>
          <w:highlight w:val="yellow"/>
        </w:rPr>
        <w:t>)</w:t>
      </w:r>
      <w:r w:rsidRPr="000C694A">
        <w:rPr>
          <w:rFonts w:ascii="Arial" w:hAnsi="Arial" w:cs="Arial"/>
          <w:b w:val="0"/>
          <w:strike/>
          <w:sz w:val="18"/>
          <w:szCs w:val="18"/>
          <w:highlight w:val="yellow"/>
        </w:rPr>
        <w:t xml:space="preserve">, fire salamander </w:t>
      </w:r>
      <w:r w:rsidRPr="000C694A">
        <w:rPr>
          <w:rFonts w:ascii="Arial" w:hAnsi="Arial" w:cs="Arial"/>
          <w:b w:val="0"/>
          <w:iCs/>
          <w:strike/>
          <w:sz w:val="18"/>
          <w:szCs w:val="18"/>
          <w:highlight w:val="yellow"/>
        </w:rPr>
        <w:t>(</w:t>
      </w:r>
      <w:r w:rsidRPr="000C694A">
        <w:rPr>
          <w:rFonts w:ascii="Arial" w:hAnsi="Arial" w:cs="Arial"/>
          <w:b w:val="0"/>
          <w:i/>
          <w:iCs/>
          <w:strike/>
          <w:sz w:val="18"/>
          <w:szCs w:val="18"/>
          <w:highlight w:val="yellow"/>
        </w:rPr>
        <w:t>Salamandra salamandra</w:t>
      </w:r>
      <w:r w:rsidRPr="000C694A">
        <w:rPr>
          <w:rFonts w:ascii="Arial" w:hAnsi="Arial" w:cs="Arial"/>
          <w:b w:val="0"/>
          <w:iCs/>
          <w:strike/>
          <w:sz w:val="18"/>
          <w:szCs w:val="18"/>
          <w:highlight w:val="yellow"/>
        </w:rPr>
        <w:t>)</w:t>
      </w:r>
      <w:r w:rsidRPr="000C694A">
        <w:rPr>
          <w:rFonts w:ascii="Arial" w:hAnsi="Arial" w:cs="Arial"/>
          <w:b w:val="0"/>
          <w:strike/>
          <w:sz w:val="18"/>
          <w:szCs w:val="18"/>
          <w:highlight w:val="yellow"/>
        </w:rPr>
        <w:t xml:space="preserve">, eastern newt </w:t>
      </w:r>
      <w:r w:rsidRPr="000C694A">
        <w:rPr>
          <w:rFonts w:ascii="Arial" w:hAnsi="Arial" w:cs="Arial"/>
          <w:b w:val="0"/>
          <w:iCs/>
          <w:strike/>
          <w:sz w:val="18"/>
          <w:szCs w:val="18"/>
          <w:highlight w:val="yellow"/>
        </w:rPr>
        <w:t>(</w:t>
      </w:r>
      <w:r w:rsidRPr="000C694A">
        <w:rPr>
          <w:rFonts w:ascii="Arial" w:hAnsi="Arial" w:cs="Arial"/>
          <w:b w:val="0"/>
          <w:i/>
          <w:iCs/>
          <w:strike/>
          <w:sz w:val="18"/>
          <w:szCs w:val="18"/>
          <w:highlight w:val="yellow"/>
        </w:rPr>
        <w:t>Nothophthalmus viridescens</w:t>
      </w:r>
      <w:r w:rsidRPr="000C694A">
        <w:rPr>
          <w:rFonts w:ascii="Arial" w:hAnsi="Arial" w:cs="Arial"/>
          <w:b w:val="0"/>
          <w:iCs/>
          <w:strike/>
          <w:sz w:val="18"/>
          <w:szCs w:val="18"/>
          <w:highlight w:val="yellow"/>
        </w:rPr>
        <w:t>)</w:t>
      </w:r>
      <w:r w:rsidRPr="000C694A">
        <w:rPr>
          <w:rFonts w:ascii="Arial" w:hAnsi="Arial" w:cs="Arial"/>
          <w:b w:val="0"/>
          <w:strike/>
          <w:sz w:val="18"/>
          <w:szCs w:val="18"/>
          <w:highlight w:val="yellow"/>
        </w:rPr>
        <w:t xml:space="preserve">, French cave salamander </w:t>
      </w:r>
      <w:r w:rsidRPr="000C694A">
        <w:rPr>
          <w:rFonts w:ascii="Arial" w:hAnsi="Arial" w:cs="Arial"/>
          <w:b w:val="0"/>
          <w:iCs/>
          <w:strike/>
          <w:sz w:val="18"/>
          <w:szCs w:val="18"/>
          <w:highlight w:val="yellow"/>
        </w:rPr>
        <w:t>(</w:t>
      </w:r>
      <w:r w:rsidRPr="000C694A">
        <w:rPr>
          <w:rFonts w:ascii="Arial" w:hAnsi="Arial" w:cs="Arial"/>
          <w:b w:val="0"/>
          <w:i/>
          <w:iCs/>
          <w:strike/>
          <w:sz w:val="18"/>
          <w:szCs w:val="18"/>
          <w:highlight w:val="yellow"/>
        </w:rPr>
        <w:t>Hydromantes strinatii</w:t>
      </w:r>
      <w:r w:rsidRPr="000C694A">
        <w:rPr>
          <w:rFonts w:ascii="Arial" w:hAnsi="Arial" w:cs="Arial"/>
          <w:b w:val="0"/>
          <w:iCs/>
          <w:strike/>
          <w:sz w:val="18"/>
          <w:szCs w:val="18"/>
          <w:highlight w:val="yellow"/>
        </w:rPr>
        <w:t>)</w:t>
      </w:r>
      <w:r w:rsidRPr="000C694A">
        <w:rPr>
          <w:rFonts w:ascii="Arial" w:hAnsi="Arial" w:cs="Arial"/>
          <w:b w:val="0"/>
          <w:strike/>
          <w:sz w:val="18"/>
          <w:szCs w:val="18"/>
          <w:highlight w:val="yellow"/>
        </w:rPr>
        <w:t xml:space="preserve">, Italian newt </w:t>
      </w:r>
      <w:r w:rsidRPr="000C694A">
        <w:rPr>
          <w:rFonts w:ascii="Arial" w:hAnsi="Arial" w:cs="Arial"/>
          <w:b w:val="0"/>
          <w:iCs/>
          <w:strike/>
          <w:sz w:val="18"/>
          <w:szCs w:val="18"/>
          <w:highlight w:val="yellow"/>
        </w:rPr>
        <w:t>(</w:t>
      </w:r>
      <w:r w:rsidRPr="000C694A">
        <w:rPr>
          <w:rFonts w:ascii="Arial" w:hAnsi="Arial" w:cs="Arial"/>
          <w:b w:val="0"/>
          <w:i/>
          <w:iCs/>
          <w:strike/>
          <w:sz w:val="18"/>
          <w:szCs w:val="18"/>
          <w:highlight w:val="yellow"/>
        </w:rPr>
        <w:t>Lissotriton italicus</w:t>
      </w:r>
      <w:r w:rsidRPr="000C694A">
        <w:rPr>
          <w:rFonts w:ascii="Arial" w:hAnsi="Arial" w:cs="Arial"/>
          <w:b w:val="0"/>
          <w:iCs/>
          <w:strike/>
          <w:sz w:val="18"/>
          <w:szCs w:val="18"/>
          <w:highlight w:val="yellow"/>
        </w:rPr>
        <w:t>)</w:t>
      </w:r>
      <w:r w:rsidRPr="000C694A">
        <w:rPr>
          <w:rFonts w:ascii="Arial" w:hAnsi="Arial" w:cs="Arial"/>
          <w:b w:val="0"/>
          <w:strike/>
          <w:sz w:val="18"/>
          <w:szCs w:val="18"/>
          <w:highlight w:val="yellow"/>
        </w:rPr>
        <w:t xml:space="preserve">, yellow spotted newt </w:t>
      </w:r>
      <w:r w:rsidRPr="000C694A">
        <w:rPr>
          <w:rFonts w:ascii="Arial" w:hAnsi="Arial" w:cs="Arial"/>
          <w:b w:val="0"/>
          <w:iCs/>
          <w:strike/>
          <w:sz w:val="18"/>
          <w:szCs w:val="18"/>
          <w:highlight w:val="yellow"/>
        </w:rPr>
        <w:t>(</w:t>
      </w:r>
      <w:r w:rsidRPr="000C694A">
        <w:rPr>
          <w:rFonts w:ascii="Arial" w:hAnsi="Arial" w:cs="Arial"/>
          <w:b w:val="0"/>
          <w:i/>
          <w:iCs/>
          <w:strike/>
          <w:sz w:val="18"/>
          <w:szCs w:val="18"/>
          <w:highlight w:val="yellow"/>
        </w:rPr>
        <w:t>Neurergus crocatus</w:t>
      </w:r>
      <w:r w:rsidRPr="000C694A">
        <w:rPr>
          <w:rFonts w:ascii="Arial" w:hAnsi="Arial" w:cs="Arial"/>
          <w:b w:val="0"/>
          <w:iCs/>
          <w:strike/>
          <w:sz w:val="18"/>
          <w:szCs w:val="18"/>
          <w:highlight w:val="yellow"/>
        </w:rPr>
        <w:t>)</w:t>
      </w:r>
      <w:r w:rsidRPr="000C694A">
        <w:rPr>
          <w:rFonts w:ascii="Arial" w:hAnsi="Arial" w:cs="Arial"/>
          <w:b w:val="0"/>
          <w:strike/>
          <w:sz w:val="18"/>
          <w:szCs w:val="18"/>
          <w:highlight w:val="yellow"/>
        </w:rPr>
        <w:t xml:space="preserve">, Japanese fire-bellied newt </w:t>
      </w:r>
      <w:r w:rsidRPr="000C694A">
        <w:rPr>
          <w:rFonts w:ascii="Arial" w:hAnsi="Arial" w:cs="Arial"/>
          <w:b w:val="0"/>
          <w:iCs/>
          <w:strike/>
          <w:sz w:val="18"/>
          <w:szCs w:val="18"/>
          <w:highlight w:val="yellow"/>
        </w:rPr>
        <w:t>(</w:t>
      </w:r>
      <w:r w:rsidRPr="000C694A">
        <w:rPr>
          <w:rFonts w:ascii="Arial" w:hAnsi="Arial" w:cs="Arial"/>
          <w:b w:val="0"/>
          <w:i/>
          <w:iCs/>
          <w:strike/>
          <w:sz w:val="18"/>
          <w:szCs w:val="18"/>
          <w:highlight w:val="yellow"/>
        </w:rPr>
        <w:t>Cynops pyrrhogaster</w:t>
      </w:r>
      <w:r w:rsidRPr="000C694A">
        <w:rPr>
          <w:rFonts w:ascii="Arial" w:hAnsi="Arial" w:cs="Arial"/>
          <w:b w:val="0"/>
          <w:iCs/>
          <w:strike/>
          <w:sz w:val="18"/>
          <w:szCs w:val="18"/>
          <w:highlight w:val="yellow"/>
        </w:rPr>
        <w:t>)</w:t>
      </w:r>
      <w:r w:rsidRPr="000C694A">
        <w:rPr>
          <w:rFonts w:ascii="Arial" w:hAnsi="Arial" w:cs="Arial"/>
          <w:b w:val="0"/>
          <w:strike/>
          <w:sz w:val="18"/>
          <w:szCs w:val="18"/>
          <w:highlight w:val="yellow"/>
        </w:rPr>
        <w:t xml:space="preserve">, northern spectacle salamander </w:t>
      </w:r>
      <w:r w:rsidRPr="000C694A">
        <w:rPr>
          <w:rFonts w:ascii="Arial" w:hAnsi="Arial" w:cs="Arial"/>
          <w:b w:val="0"/>
          <w:iCs/>
          <w:strike/>
          <w:sz w:val="18"/>
          <w:szCs w:val="18"/>
          <w:highlight w:val="yellow"/>
        </w:rPr>
        <w:t>(</w:t>
      </w:r>
      <w:r w:rsidRPr="000C694A">
        <w:rPr>
          <w:rFonts w:ascii="Arial" w:hAnsi="Arial" w:cs="Arial"/>
          <w:b w:val="0"/>
          <w:i/>
          <w:iCs/>
          <w:strike/>
          <w:sz w:val="18"/>
          <w:szCs w:val="18"/>
          <w:highlight w:val="yellow"/>
        </w:rPr>
        <w:t>Salamandrina perspicillata</w:t>
      </w:r>
      <w:r w:rsidRPr="000C694A">
        <w:rPr>
          <w:rFonts w:ascii="Arial" w:hAnsi="Arial" w:cs="Arial"/>
          <w:b w:val="0"/>
          <w:iCs/>
          <w:strike/>
          <w:sz w:val="18"/>
          <w:szCs w:val="18"/>
          <w:highlight w:val="yellow"/>
        </w:rPr>
        <w:t>)</w:t>
      </w:r>
      <w:r w:rsidRPr="000C694A">
        <w:rPr>
          <w:rFonts w:ascii="Arial" w:hAnsi="Arial" w:cs="Arial"/>
          <w:b w:val="0"/>
          <w:strike/>
          <w:sz w:val="18"/>
          <w:szCs w:val="18"/>
          <w:highlight w:val="yellow"/>
        </w:rPr>
        <w:t xml:space="preserve">, Tam Dao salamander </w:t>
      </w:r>
      <w:r w:rsidRPr="000C694A">
        <w:rPr>
          <w:rFonts w:ascii="Arial" w:hAnsi="Arial" w:cs="Arial"/>
          <w:b w:val="0"/>
          <w:iCs/>
          <w:strike/>
          <w:sz w:val="18"/>
          <w:szCs w:val="18"/>
          <w:highlight w:val="yellow"/>
        </w:rPr>
        <w:t>(</w:t>
      </w:r>
      <w:r w:rsidRPr="000C694A">
        <w:rPr>
          <w:rFonts w:ascii="Arial" w:hAnsi="Arial" w:cs="Arial"/>
          <w:b w:val="0"/>
          <w:i/>
          <w:iCs/>
          <w:strike/>
          <w:sz w:val="18"/>
          <w:szCs w:val="18"/>
          <w:highlight w:val="yellow"/>
        </w:rPr>
        <w:t>Paramesotriton deloustali</w:t>
      </w:r>
      <w:r w:rsidRPr="000C694A">
        <w:rPr>
          <w:rFonts w:ascii="Arial" w:hAnsi="Arial" w:cs="Arial"/>
          <w:b w:val="0"/>
          <w:iCs/>
          <w:strike/>
          <w:sz w:val="18"/>
          <w:szCs w:val="18"/>
          <w:highlight w:val="yellow"/>
        </w:rPr>
        <w:t>)</w:t>
      </w:r>
      <w:r w:rsidRPr="000C694A">
        <w:rPr>
          <w:rFonts w:ascii="Arial" w:hAnsi="Arial" w:cs="Arial"/>
          <w:b w:val="0"/>
          <w:strike/>
          <w:sz w:val="18"/>
          <w:szCs w:val="18"/>
          <w:highlight w:val="yellow"/>
        </w:rPr>
        <w:t xml:space="preserve">, rough-skinned newt </w:t>
      </w:r>
      <w:r w:rsidRPr="000C694A">
        <w:rPr>
          <w:rFonts w:ascii="Arial" w:hAnsi="Arial" w:cs="Arial"/>
          <w:b w:val="0"/>
          <w:iCs/>
          <w:strike/>
          <w:sz w:val="18"/>
          <w:szCs w:val="18"/>
          <w:highlight w:val="yellow"/>
        </w:rPr>
        <w:t>(</w:t>
      </w:r>
      <w:r w:rsidRPr="000C694A">
        <w:rPr>
          <w:rFonts w:ascii="Arial" w:hAnsi="Arial" w:cs="Arial"/>
          <w:b w:val="0"/>
          <w:i/>
          <w:iCs/>
          <w:strike/>
          <w:sz w:val="18"/>
          <w:szCs w:val="18"/>
          <w:highlight w:val="yellow"/>
        </w:rPr>
        <w:t>Taricha granulosa</w:t>
      </w:r>
      <w:r w:rsidRPr="000C694A">
        <w:rPr>
          <w:rFonts w:ascii="Arial" w:hAnsi="Arial" w:cs="Arial"/>
          <w:b w:val="0"/>
          <w:iCs/>
          <w:strike/>
          <w:sz w:val="18"/>
          <w:szCs w:val="18"/>
          <w:highlight w:val="yellow"/>
        </w:rPr>
        <w:t>)</w:t>
      </w:r>
      <w:r w:rsidRPr="000C694A">
        <w:rPr>
          <w:rFonts w:ascii="Arial" w:hAnsi="Arial" w:cs="Arial"/>
          <w:b w:val="0"/>
          <w:strike/>
          <w:sz w:val="18"/>
          <w:szCs w:val="18"/>
          <w:highlight w:val="yellow"/>
        </w:rPr>
        <w:t xml:space="preserve">, sardinian brook salamander </w:t>
      </w:r>
      <w:r w:rsidRPr="000C694A">
        <w:rPr>
          <w:rFonts w:ascii="Arial" w:hAnsi="Arial" w:cs="Arial"/>
          <w:b w:val="0"/>
          <w:iCs/>
          <w:strike/>
          <w:sz w:val="18"/>
          <w:szCs w:val="18"/>
          <w:highlight w:val="yellow"/>
        </w:rPr>
        <w:t>(</w:t>
      </w:r>
      <w:r w:rsidRPr="000C694A">
        <w:rPr>
          <w:rFonts w:ascii="Arial" w:hAnsi="Arial" w:cs="Arial"/>
          <w:b w:val="0"/>
          <w:i/>
          <w:iCs/>
          <w:strike/>
          <w:sz w:val="18"/>
          <w:szCs w:val="18"/>
          <w:highlight w:val="yellow"/>
        </w:rPr>
        <w:t>Euproctus platycephalus</w:t>
      </w:r>
      <w:r w:rsidRPr="000C694A">
        <w:rPr>
          <w:rFonts w:ascii="Arial" w:hAnsi="Arial" w:cs="Arial"/>
          <w:b w:val="0"/>
          <w:iCs/>
          <w:strike/>
          <w:sz w:val="18"/>
          <w:szCs w:val="18"/>
          <w:highlight w:val="yellow"/>
        </w:rPr>
        <w:t>)</w:t>
      </w:r>
      <w:r w:rsidRPr="000C694A">
        <w:rPr>
          <w:rFonts w:ascii="Arial" w:hAnsi="Arial" w:cs="Arial"/>
          <w:b w:val="0"/>
          <w:strike/>
          <w:sz w:val="18"/>
          <w:szCs w:val="18"/>
          <w:highlight w:val="yellow"/>
        </w:rPr>
        <w:t xml:space="preserve"> and Spanish ribbed newt </w:t>
      </w:r>
      <w:r w:rsidRPr="000C694A">
        <w:rPr>
          <w:rFonts w:ascii="Arial" w:hAnsi="Arial" w:cs="Arial"/>
          <w:b w:val="0"/>
          <w:iCs/>
          <w:strike/>
          <w:sz w:val="18"/>
          <w:szCs w:val="18"/>
          <w:highlight w:val="yellow"/>
        </w:rPr>
        <w:t>(</w:t>
      </w:r>
      <w:r w:rsidRPr="000C694A">
        <w:rPr>
          <w:rFonts w:ascii="Arial" w:hAnsi="Arial" w:cs="Arial"/>
          <w:b w:val="0"/>
          <w:i/>
          <w:iCs/>
          <w:strike/>
          <w:sz w:val="18"/>
          <w:szCs w:val="18"/>
          <w:highlight w:val="yellow"/>
        </w:rPr>
        <w:t>Pleurodeles waltl</w:t>
      </w:r>
      <w:r w:rsidRPr="000C694A">
        <w:rPr>
          <w:rFonts w:ascii="Arial" w:hAnsi="Arial" w:cs="Arial"/>
          <w:b w:val="0"/>
          <w:iCs/>
          <w:strike/>
          <w:sz w:val="18"/>
          <w:szCs w:val="18"/>
          <w:highlight w:val="yellow"/>
        </w:rPr>
        <w:t>)</w:t>
      </w:r>
      <w:r w:rsidRPr="000C694A">
        <w:rPr>
          <w:rFonts w:ascii="Arial" w:hAnsi="Arial" w:cs="Arial"/>
          <w:b w:val="0"/>
          <w:strike/>
          <w:sz w:val="18"/>
          <w:szCs w:val="18"/>
          <w:highlight w:val="yellow"/>
        </w:rPr>
        <w:t>] (under study).</w:t>
      </w:r>
    </w:p>
    <w:p w14:paraId="010F1A61" w14:textId="5808363E" w:rsidR="00754D87" w:rsidRDefault="00754D87" w:rsidP="00754D87">
      <w:pPr>
        <w:spacing w:after="480" w:line="240" w:lineRule="auto"/>
        <w:rPr>
          <w:rFonts w:ascii="Arial" w:eastAsia="Times New Roman" w:hAnsi="Arial" w:cs="Arial"/>
          <w:bCs/>
          <w:strike/>
          <w:sz w:val="18"/>
          <w:szCs w:val="18"/>
          <w:highlight w:val="yellow"/>
          <w:lang w:eastAsia="fr-FR"/>
        </w:rPr>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12</w:t>
      </w:r>
      <w:r w:rsidRPr="00DB0A8D">
        <w:rPr>
          <w:rFonts w:cs="Times New Roman"/>
          <w:bCs/>
          <w:iCs/>
          <w:szCs w:val="20"/>
        </w:rPr>
        <w:t xml:space="preserve"> (contd)</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3"/>
        <w:gridCol w:w="3312"/>
        <w:gridCol w:w="3260"/>
      </w:tblGrid>
      <w:tr w:rsidR="00E65E42" w:rsidRPr="00873942" w14:paraId="273E76A4" w14:textId="77777777" w:rsidTr="00E65E42">
        <w:trPr>
          <w:tblHeader/>
          <w:jc w:val="center"/>
        </w:trPr>
        <w:tc>
          <w:tcPr>
            <w:tcW w:w="1503" w:type="dxa"/>
            <w:tcBorders>
              <w:top w:val="single" w:sz="4" w:space="0" w:color="auto"/>
              <w:bottom w:val="single" w:sz="4" w:space="0" w:color="auto"/>
            </w:tcBorders>
            <w:vAlign w:val="center"/>
          </w:tcPr>
          <w:p w14:paraId="0405F91F" w14:textId="77777777" w:rsidR="00E65E42" w:rsidRPr="000C694A" w:rsidRDefault="00E65E42" w:rsidP="00E65E42">
            <w:pPr>
              <w:pStyle w:val="TableHead"/>
              <w:spacing w:before="0" w:after="0"/>
              <w:rPr>
                <w:rFonts w:ascii="Arial" w:hAnsi="Arial" w:cs="Arial"/>
                <w:szCs w:val="18"/>
                <w:highlight w:val="yellow"/>
                <w:u w:val="double"/>
                <w:lang w:val="en-GB"/>
              </w:rPr>
            </w:pPr>
            <w:r w:rsidRPr="000C694A">
              <w:rPr>
                <w:rFonts w:ascii="Arial" w:hAnsi="Arial" w:cs="Arial"/>
                <w:szCs w:val="18"/>
                <w:highlight w:val="yellow"/>
                <w:u w:val="double"/>
                <w:lang w:val="en-GB"/>
              </w:rPr>
              <w:t>Family</w:t>
            </w:r>
          </w:p>
        </w:tc>
        <w:tc>
          <w:tcPr>
            <w:tcW w:w="3312" w:type="dxa"/>
            <w:tcBorders>
              <w:top w:val="single" w:sz="4" w:space="0" w:color="auto"/>
              <w:bottom w:val="single" w:sz="4" w:space="0" w:color="auto"/>
            </w:tcBorders>
            <w:vAlign w:val="center"/>
          </w:tcPr>
          <w:p w14:paraId="7432C75E" w14:textId="77777777" w:rsidR="00E65E42" w:rsidRPr="000C694A" w:rsidRDefault="00E65E42" w:rsidP="00E65E42">
            <w:pPr>
              <w:pStyle w:val="TableHead"/>
              <w:spacing w:before="0" w:after="0"/>
              <w:rPr>
                <w:rFonts w:ascii="Arial" w:hAnsi="Arial" w:cs="Arial"/>
                <w:szCs w:val="18"/>
                <w:highlight w:val="yellow"/>
                <w:u w:val="double"/>
                <w:lang w:val="en-GB"/>
              </w:rPr>
            </w:pPr>
            <w:r w:rsidRPr="000C694A">
              <w:rPr>
                <w:rFonts w:ascii="Arial" w:hAnsi="Arial" w:cs="Arial"/>
                <w:szCs w:val="18"/>
                <w:highlight w:val="yellow"/>
                <w:u w:val="double"/>
                <w:lang w:val="en-GB"/>
              </w:rPr>
              <w:t>Scientific name</w:t>
            </w:r>
          </w:p>
        </w:tc>
        <w:tc>
          <w:tcPr>
            <w:tcW w:w="3260" w:type="dxa"/>
            <w:tcBorders>
              <w:top w:val="single" w:sz="4" w:space="0" w:color="auto"/>
              <w:bottom w:val="single" w:sz="4" w:space="0" w:color="auto"/>
            </w:tcBorders>
            <w:shd w:val="clear" w:color="auto" w:fill="auto"/>
            <w:vAlign w:val="center"/>
          </w:tcPr>
          <w:p w14:paraId="5B174853" w14:textId="77777777" w:rsidR="00E65E42" w:rsidRPr="000C694A" w:rsidRDefault="00E65E42" w:rsidP="00E65E42">
            <w:pPr>
              <w:pStyle w:val="TableHead"/>
              <w:spacing w:before="0" w:after="0"/>
              <w:rPr>
                <w:rFonts w:ascii="Arial" w:hAnsi="Arial" w:cs="Arial"/>
                <w:szCs w:val="18"/>
                <w:highlight w:val="yellow"/>
                <w:u w:val="double"/>
                <w:lang w:val="en-GB"/>
              </w:rPr>
            </w:pPr>
            <w:r w:rsidRPr="000C694A">
              <w:rPr>
                <w:rFonts w:ascii="Arial" w:hAnsi="Arial" w:cs="Arial"/>
                <w:szCs w:val="18"/>
                <w:highlight w:val="yellow"/>
                <w:u w:val="double"/>
                <w:lang w:val="en-GB"/>
              </w:rPr>
              <w:t>Common name</w:t>
            </w:r>
          </w:p>
        </w:tc>
      </w:tr>
      <w:tr w:rsidR="00E65E42" w:rsidRPr="00873942" w14:paraId="73E0BA17" w14:textId="77777777" w:rsidTr="00E65E42">
        <w:trPr>
          <w:jc w:val="center"/>
        </w:trPr>
        <w:tc>
          <w:tcPr>
            <w:tcW w:w="1503" w:type="dxa"/>
            <w:vAlign w:val="center"/>
          </w:tcPr>
          <w:p w14:paraId="225A26EE" w14:textId="77777777" w:rsidR="00E65E42" w:rsidRPr="000C694A" w:rsidRDefault="00E65E42" w:rsidP="00E65E42">
            <w:pPr>
              <w:pStyle w:val="Tabletext"/>
              <w:spacing w:before="0" w:after="0"/>
              <w:rPr>
                <w:szCs w:val="18"/>
                <w:highlight w:val="yellow"/>
                <w:u w:val="double"/>
                <w:lang w:val="en-GB"/>
              </w:rPr>
            </w:pPr>
            <w:r w:rsidRPr="000C694A">
              <w:rPr>
                <w:color w:val="000000"/>
                <w:szCs w:val="18"/>
                <w:highlight w:val="yellow"/>
                <w:u w:val="double"/>
                <w:lang w:val="fr-FR"/>
              </w:rPr>
              <w:t>Plethodontidae</w:t>
            </w:r>
          </w:p>
        </w:tc>
        <w:tc>
          <w:tcPr>
            <w:tcW w:w="3312" w:type="dxa"/>
          </w:tcPr>
          <w:p w14:paraId="77943886" w14:textId="77777777" w:rsidR="00E65E42" w:rsidRPr="000C694A" w:rsidRDefault="00E65E42" w:rsidP="00E65E42">
            <w:pPr>
              <w:pStyle w:val="Tabletext"/>
              <w:spacing w:before="0" w:after="0"/>
              <w:rPr>
                <w:szCs w:val="18"/>
                <w:highlight w:val="yellow"/>
                <w:u w:val="double"/>
              </w:rPr>
            </w:pPr>
            <w:r w:rsidRPr="000C694A">
              <w:rPr>
                <w:i/>
                <w:iCs/>
                <w:szCs w:val="18"/>
                <w:highlight w:val="yellow"/>
                <w:u w:val="double"/>
              </w:rPr>
              <w:t xml:space="preserve">Hydromantes strinatii </w:t>
            </w:r>
          </w:p>
        </w:tc>
        <w:tc>
          <w:tcPr>
            <w:tcW w:w="3260" w:type="dxa"/>
            <w:tcBorders>
              <w:top w:val="single" w:sz="4" w:space="0" w:color="auto"/>
            </w:tcBorders>
            <w:shd w:val="clear" w:color="auto" w:fill="auto"/>
          </w:tcPr>
          <w:p w14:paraId="0C495223" w14:textId="77777777" w:rsidR="00E65E42" w:rsidRPr="000C694A" w:rsidRDefault="00E65E42" w:rsidP="00E65E42">
            <w:pPr>
              <w:pStyle w:val="Tabletext"/>
              <w:spacing w:before="0" w:after="0"/>
              <w:rPr>
                <w:i/>
                <w:szCs w:val="18"/>
                <w:highlight w:val="yellow"/>
                <w:u w:val="double"/>
                <w:lang w:val="en-GB"/>
              </w:rPr>
            </w:pPr>
            <w:r w:rsidRPr="000C694A">
              <w:rPr>
                <w:szCs w:val="18"/>
                <w:highlight w:val="yellow"/>
                <w:u w:val="double"/>
              </w:rPr>
              <w:t>French cave salamander</w:t>
            </w:r>
          </w:p>
        </w:tc>
      </w:tr>
      <w:tr w:rsidR="00E65E42" w:rsidRPr="00873942" w14:paraId="001AEF28" w14:textId="77777777" w:rsidTr="00E65E42">
        <w:trPr>
          <w:trHeight w:val="227"/>
          <w:jc w:val="center"/>
        </w:trPr>
        <w:tc>
          <w:tcPr>
            <w:tcW w:w="1503" w:type="dxa"/>
            <w:vMerge w:val="restart"/>
            <w:tcBorders>
              <w:top w:val="single" w:sz="4" w:space="0" w:color="auto"/>
            </w:tcBorders>
            <w:vAlign w:val="center"/>
          </w:tcPr>
          <w:p w14:paraId="0F4FF919" w14:textId="77777777" w:rsidR="00E65E42" w:rsidRPr="000C694A" w:rsidRDefault="00E65E42" w:rsidP="00E65E42">
            <w:pPr>
              <w:spacing w:after="0"/>
              <w:jc w:val="center"/>
              <w:rPr>
                <w:rFonts w:ascii="Arial" w:hAnsi="Arial" w:cs="Arial"/>
                <w:color w:val="000000"/>
                <w:sz w:val="18"/>
                <w:szCs w:val="18"/>
                <w:highlight w:val="yellow"/>
                <w:u w:val="double"/>
              </w:rPr>
            </w:pPr>
            <w:r w:rsidRPr="000C694A">
              <w:rPr>
                <w:rFonts w:ascii="Arial" w:hAnsi="Arial" w:cs="Arial"/>
                <w:sz w:val="18"/>
                <w:szCs w:val="18"/>
                <w:highlight w:val="yellow"/>
                <w:u w:val="double"/>
                <w:shd w:val="clear" w:color="auto" w:fill="FFFFFF"/>
              </w:rPr>
              <w:t>Salamandridae</w:t>
            </w:r>
          </w:p>
        </w:tc>
        <w:tc>
          <w:tcPr>
            <w:tcW w:w="3312" w:type="dxa"/>
            <w:tcBorders>
              <w:top w:val="single" w:sz="4" w:space="0" w:color="auto"/>
            </w:tcBorders>
          </w:tcPr>
          <w:p w14:paraId="0A13E790" w14:textId="77777777" w:rsidR="00E65E42" w:rsidRPr="000C694A" w:rsidRDefault="00E65E42" w:rsidP="00E65E42">
            <w:pPr>
              <w:pStyle w:val="Tabletext"/>
              <w:spacing w:before="0" w:after="0"/>
              <w:rPr>
                <w:szCs w:val="18"/>
                <w:highlight w:val="yellow"/>
                <w:u w:val="double"/>
              </w:rPr>
            </w:pPr>
            <w:r w:rsidRPr="000C694A">
              <w:rPr>
                <w:i/>
                <w:iCs/>
                <w:szCs w:val="18"/>
                <w:highlight w:val="yellow"/>
                <w:u w:val="double"/>
              </w:rPr>
              <w:t>Cynops cyanurus</w:t>
            </w:r>
          </w:p>
        </w:tc>
        <w:tc>
          <w:tcPr>
            <w:tcW w:w="3260" w:type="dxa"/>
            <w:tcBorders>
              <w:top w:val="single" w:sz="4" w:space="0" w:color="auto"/>
            </w:tcBorders>
            <w:shd w:val="clear" w:color="auto" w:fill="auto"/>
          </w:tcPr>
          <w:p w14:paraId="38A72A9F" w14:textId="77777777" w:rsidR="00E65E42" w:rsidRPr="000C694A" w:rsidRDefault="00E65E42" w:rsidP="00E65E42">
            <w:pPr>
              <w:pStyle w:val="Tabletext"/>
              <w:spacing w:before="0" w:after="0"/>
              <w:rPr>
                <w:i/>
                <w:iCs/>
                <w:color w:val="000000"/>
                <w:szCs w:val="18"/>
                <w:highlight w:val="yellow"/>
                <w:u w:val="double"/>
              </w:rPr>
            </w:pPr>
            <w:r w:rsidRPr="000C694A">
              <w:rPr>
                <w:szCs w:val="18"/>
                <w:highlight w:val="yellow"/>
                <w:u w:val="double"/>
              </w:rPr>
              <w:t xml:space="preserve">blue-tailed fire-bellied newt </w:t>
            </w:r>
          </w:p>
        </w:tc>
      </w:tr>
      <w:tr w:rsidR="00E65E42" w:rsidRPr="00873942" w14:paraId="175BBC88" w14:textId="77777777" w:rsidTr="00E65E42">
        <w:trPr>
          <w:jc w:val="center"/>
        </w:trPr>
        <w:tc>
          <w:tcPr>
            <w:tcW w:w="1503" w:type="dxa"/>
            <w:vMerge/>
            <w:tcBorders>
              <w:top w:val="single" w:sz="4" w:space="0" w:color="auto"/>
            </w:tcBorders>
            <w:vAlign w:val="center"/>
          </w:tcPr>
          <w:p w14:paraId="24557965" w14:textId="77777777" w:rsidR="00E65E42" w:rsidRPr="000C694A" w:rsidRDefault="00E65E42" w:rsidP="00E65E42">
            <w:pPr>
              <w:spacing w:after="0"/>
              <w:jc w:val="center"/>
              <w:rPr>
                <w:rFonts w:ascii="Arial" w:hAnsi="Arial" w:cs="Arial"/>
                <w:sz w:val="18"/>
                <w:szCs w:val="18"/>
                <w:highlight w:val="yellow"/>
                <w:u w:val="double"/>
                <w:shd w:val="clear" w:color="auto" w:fill="FFFFFF"/>
              </w:rPr>
            </w:pPr>
          </w:p>
        </w:tc>
        <w:tc>
          <w:tcPr>
            <w:tcW w:w="3312" w:type="dxa"/>
            <w:tcBorders>
              <w:top w:val="single" w:sz="4" w:space="0" w:color="auto"/>
            </w:tcBorders>
          </w:tcPr>
          <w:p w14:paraId="7E1EE371" w14:textId="77777777" w:rsidR="00E65E42" w:rsidRPr="000C694A" w:rsidRDefault="00E65E42" w:rsidP="00E65E42">
            <w:pPr>
              <w:pStyle w:val="Tabletext"/>
              <w:spacing w:before="0" w:after="0"/>
              <w:rPr>
                <w:i/>
                <w:iCs/>
                <w:szCs w:val="18"/>
                <w:highlight w:val="yellow"/>
                <w:u w:val="double"/>
              </w:rPr>
            </w:pPr>
            <w:r w:rsidRPr="000C694A">
              <w:rPr>
                <w:i/>
                <w:iCs/>
                <w:szCs w:val="18"/>
                <w:highlight w:val="yellow"/>
                <w:u w:val="double"/>
              </w:rPr>
              <w:t>Cynops pyrrhogaster</w:t>
            </w:r>
          </w:p>
        </w:tc>
        <w:tc>
          <w:tcPr>
            <w:tcW w:w="3260" w:type="dxa"/>
            <w:tcBorders>
              <w:top w:val="single" w:sz="4" w:space="0" w:color="auto"/>
            </w:tcBorders>
            <w:shd w:val="clear" w:color="auto" w:fill="auto"/>
          </w:tcPr>
          <w:p w14:paraId="020866C8" w14:textId="77777777" w:rsidR="00E65E42" w:rsidRPr="000C694A" w:rsidRDefault="00E65E42" w:rsidP="00E65E42">
            <w:pPr>
              <w:pStyle w:val="Tabletext"/>
              <w:spacing w:before="0" w:after="0"/>
              <w:rPr>
                <w:szCs w:val="18"/>
                <w:highlight w:val="yellow"/>
                <w:u w:val="double"/>
              </w:rPr>
            </w:pPr>
            <w:r w:rsidRPr="000C694A">
              <w:rPr>
                <w:szCs w:val="18"/>
                <w:highlight w:val="yellow"/>
                <w:u w:val="double"/>
              </w:rPr>
              <w:t xml:space="preserve">Japanese fire-bellied newt </w:t>
            </w:r>
          </w:p>
        </w:tc>
      </w:tr>
      <w:tr w:rsidR="00E65E42" w:rsidRPr="00873942" w14:paraId="31E6DAB3" w14:textId="77777777" w:rsidTr="00E65E42">
        <w:trPr>
          <w:jc w:val="center"/>
        </w:trPr>
        <w:tc>
          <w:tcPr>
            <w:tcW w:w="1503" w:type="dxa"/>
            <w:vMerge/>
            <w:vAlign w:val="center"/>
          </w:tcPr>
          <w:p w14:paraId="355C77E3" w14:textId="77777777" w:rsidR="00E65E42" w:rsidRPr="000C694A" w:rsidRDefault="00E65E42" w:rsidP="00E65E42">
            <w:pPr>
              <w:spacing w:after="0"/>
              <w:jc w:val="center"/>
              <w:rPr>
                <w:rFonts w:ascii="Arial" w:hAnsi="Arial" w:cs="Arial"/>
                <w:color w:val="000000"/>
                <w:sz w:val="18"/>
                <w:szCs w:val="18"/>
                <w:highlight w:val="yellow"/>
                <w:u w:val="double"/>
              </w:rPr>
            </w:pPr>
          </w:p>
        </w:tc>
        <w:tc>
          <w:tcPr>
            <w:tcW w:w="3312" w:type="dxa"/>
          </w:tcPr>
          <w:p w14:paraId="37701F13" w14:textId="77777777" w:rsidR="00E65E42" w:rsidRPr="000C694A" w:rsidRDefault="00E65E42" w:rsidP="00E65E42">
            <w:pPr>
              <w:pStyle w:val="Tabletext"/>
              <w:spacing w:before="0" w:after="0"/>
              <w:rPr>
                <w:szCs w:val="18"/>
                <w:highlight w:val="yellow"/>
                <w:u w:val="double"/>
              </w:rPr>
            </w:pPr>
            <w:r w:rsidRPr="000C694A">
              <w:rPr>
                <w:i/>
                <w:iCs/>
                <w:szCs w:val="18"/>
                <w:highlight w:val="yellow"/>
                <w:u w:val="double"/>
              </w:rPr>
              <w:t>Euproctus platycephalus</w:t>
            </w:r>
          </w:p>
        </w:tc>
        <w:tc>
          <w:tcPr>
            <w:tcW w:w="3260" w:type="dxa"/>
            <w:tcBorders>
              <w:top w:val="single" w:sz="4" w:space="0" w:color="auto"/>
            </w:tcBorders>
            <w:shd w:val="clear" w:color="auto" w:fill="auto"/>
          </w:tcPr>
          <w:p w14:paraId="6364ED0C" w14:textId="77777777" w:rsidR="00E65E42" w:rsidRPr="000C694A" w:rsidRDefault="00E65E42" w:rsidP="00E65E42">
            <w:pPr>
              <w:pStyle w:val="Tabletext"/>
              <w:spacing w:before="0" w:after="0"/>
              <w:rPr>
                <w:i/>
                <w:szCs w:val="18"/>
                <w:highlight w:val="yellow"/>
                <w:u w:val="double"/>
              </w:rPr>
            </w:pPr>
            <w:r w:rsidRPr="000C694A">
              <w:rPr>
                <w:szCs w:val="18"/>
                <w:highlight w:val="yellow"/>
                <w:u w:val="double"/>
              </w:rPr>
              <w:t xml:space="preserve">sardinian brook salamander </w:t>
            </w:r>
          </w:p>
        </w:tc>
      </w:tr>
      <w:tr w:rsidR="00E65E42" w:rsidRPr="00873942" w14:paraId="7D18BB24" w14:textId="77777777" w:rsidTr="00E65E42">
        <w:trPr>
          <w:jc w:val="center"/>
        </w:trPr>
        <w:tc>
          <w:tcPr>
            <w:tcW w:w="1503" w:type="dxa"/>
            <w:vMerge/>
            <w:vAlign w:val="center"/>
          </w:tcPr>
          <w:p w14:paraId="0060C9BE" w14:textId="77777777" w:rsidR="00E65E42" w:rsidRPr="000C694A" w:rsidRDefault="00E65E42" w:rsidP="00E65E42">
            <w:pPr>
              <w:spacing w:after="0"/>
              <w:jc w:val="center"/>
              <w:rPr>
                <w:rFonts w:ascii="Arial" w:hAnsi="Arial" w:cs="Arial"/>
                <w:color w:val="000000"/>
                <w:sz w:val="18"/>
                <w:szCs w:val="18"/>
                <w:highlight w:val="yellow"/>
                <w:u w:val="double"/>
              </w:rPr>
            </w:pPr>
          </w:p>
        </w:tc>
        <w:tc>
          <w:tcPr>
            <w:tcW w:w="3312" w:type="dxa"/>
          </w:tcPr>
          <w:p w14:paraId="1C2820CB" w14:textId="77777777" w:rsidR="00E65E42" w:rsidRPr="000C694A" w:rsidRDefault="00E65E42" w:rsidP="00E65E42">
            <w:pPr>
              <w:pStyle w:val="Tabletext"/>
              <w:spacing w:before="0" w:after="0"/>
              <w:rPr>
                <w:i/>
                <w:iCs/>
                <w:szCs w:val="18"/>
                <w:highlight w:val="yellow"/>
                <w:u w:val="double"/>
              </w:rPr>
            </w:pPr>
            <w:r w:rsidRPr="000C694A">
              <w:rPr>
                <w:i/>
                <w:iCs/>
                <w:szCs w:val="18"/>
                <w:highlight w:val="yellow"/>
                <w:u w:val="double"/>
              </w:rPr>
              <w:t>Ichthyosaura alpestris</w:t>
            </w:r>
          </w:p>
        </w:tc>
        <w:tc>
          <w:tcPr>
            <w:tcW w:w="3260" w:type="dxa"/>
            <w:tcBorders>
              <w:top w:val="single" w:sz="4" w:space="0" w:color="auto"/>
            </w:tcBorders>
            <w:shd w:val="clear" w:color="auto" w:fill="auto"/>
          </w:tcPr>
          <w:p w14:paraId="4A7ECA03" w14:textId="77777777" w:rsidR="00E65E42" w:rsidRPr="000C694A" w:rsidRDefault="00E65E42" w:rsidP="00E65E42">
            <w:pPr>
              <w:pStyle w:val="Tabletext"/>
              <w:spacing w:before="0" w:after="0"/>
              <w:rPr>
                <w:szCs w:val="18"/>
                <w:highlight w:val="yellow"/>
                <w:u w:val="double"/>
              </w:rPr>
            </w:pPr>
            <w:r w:rsidRPr="000C694A">
              <w:rPr>
                <w:szCs w:val="18"/>
                <w:highlight w:val="yellow"/>
                <w:u w:val="double"/>
              </w:rPr>
              <w:t xml:space="preserve">Alpine newt </w:t>
            </w:r>
          </w:p>
        </w:tc>
      </w:tr>
      <w:tr w:rsidR="00E65E42" w:rsidRPr="00873942" w14:paraId="7B4C6C09" w14:textId="77777777" w:rsidTr="00E65E42">
        <w:trPr>
          <w:jc w:val="center"/>
        </w:trPr>
        <w:tc>
          <w:tcPr>
            <w:tcW w:w="1503" w:type="dxa"/>
            <w:vMerge/>
            <w:vAlign w:val="center"/>
          </w:tcPr>
          <w:p w14:paraId="38D03D0E" w14:textId="77777777" w:rsidR="00E65E42" w:rsidRPr="000C694A" w:rsidRDefault="00E65E42" w:rsidP="00E65E42">
            <w:pPr>
              <w:spacing w:after="0"/>
              <w:jc w:val="center"/>
              <w:rPr>
                <w:rFonts w:ascii="Arial" w:hAnsi="Arial" w:cs="Arial"/>
                <w:color w:val="000000"/>
                <w:sz w:val="18"/>
                <w:szCs w:val="18"/>
                <w:highlight w:val="yellow"/>
                <w:u w:val="double"/>
              </w:rPr>
            </w:pPr>
          </w:p>
        </w:tc>
        <w:tc>
          <w:tcPr>
            <w:tcW w:w="3312" w:type="dxa"/>
          </w:tcPr>
          <w:p w14:paraId="27C307FF" w14:textId="77777777" w:rsidR="00E65E42" w:rsidRPr="000C694A" w:rsidRDefault="00E65E42" w:rsidP="00E65E42">
            <w:pPr>
              <w:pStyle w:val="Tabletext"/>
              <w:spacing w:before="0" w:after="0"/>
              <w:rPr>
                <w:szCs w:val="18"/>
                <w:highlight w:val="yellow"/>
                <w:u w:val="double"/>
              </w:rPr>
            </w:pPr>
            <w:r w:rsidRPr="000C694A">
              <w:rPr>
                <w:i/>
                <w:iCs/>
                <w:szCs w:val="18"/>
                <w:highlight w:val="yellow"/>
                <w:u w:val="double"/>
              </w:rPr>
              <w:t>Lissotriton italicus</w:t>
            </w:r>
          </w:p>
        </w:tc>
        <w:tc>
          <w:tcPr>
            <w:tcW w:w="3260" w:type="dxa"/>
            <w:tcBorders>
              <w:top w:val="single" w:sz="4" w:space="0" w:color="auto"/>
            </w:tcBorders>
            <w:shd w:val="clear" w:color="auto" w:fill="auto"/>
          </w:tcPr>
          <w:p w14:paraId="0016872D" w14:textId="77777777" w:rsidR="00E65E42" w:rsidRPr="000C694A" w:rsidRDefault="00E65E42" w:rsidP="00E65E42">
            <w:pPr>
              <w:pStyle w:val="Tabletext"/>
              <w:spacing w:before="0" w:after="0"/>
              <w:rPr>
                <w:i/>
                <w:iCs/>
                <w:color w:val="000000"/>
                <w:szCs w:val="18"/>
                <w:highlight w:val="yellow"/>
                <w:u w:val="double"/>
              </w:rPr>
            </w:pPr>
            <w:r w:rsidRPr="000C694A">
              <w:rPr>
                <w:szCs w:val="18"/>
                <w:highlight w:val="yellow"/>
                <w:u w:val="double"/>
              </w:rPr>
              <w:t xml:space="preserve">Italian newt </w:t>
            </w:r>
          </w:p>
        </w:tc>
      </w:tr>
      <w:tr w:rsidR="00E65E42" w:rsidRPr="00873942" w14:paraId="51BEC530" w14:textId="77777777" w:rsidTr="00E65E42">
        <w:trPr>
          <w:trHeight w:val="170"/>
          <w:jc w:val="center"/>
        </w:trPr>
        <w:tc>
          <w:tcPr>
            <w:tcW w:w="1503" w:type="dxa"/>
            <w:vMerge/>
            <w:vAlign w:val="center"/>
          </w:tcPr>
          <w:p w14:paraId="3DD9994C" w14:textId="77777777" w:rsidR="00E65E42" w:rsidRPr="000C694A" w:rsidRDefault="00E65E42" w:rsidP="00E65E42">
            <w:pPr>
              <w:spacing w:after="0"/>
              <w:jc w:val="center"/>
              <w:rPr>
                <w:rFonts w:ascii="Arial" w:hAnsi="Arial" w:cs="Arial"/>
                <w:color w:val="000000"/>
                <w:sz w:val="18"/>
                <w:szCs w:val="18"/>
                <w:highlight w:val="yellow"/>
                <w:u w:val="double"/>
              </w:rPr>
            </w:pPr>
          </w:p>
        </w:tc>
        <w:tc>
          <w:tcPr>
            <w:tcW w:w="3312" w:type="dxa"/>
          </w:tcPr>
          <w:p w14:paraId="5FDABBD2" w14:textId="77777777" w:rsidR="00E65E42" w:rsidRPr="000C694A" w:rsidRDefault="00E65E42" w:rsidP="00E65E42">
            <w:pPr>
              <w:pStyle w:val="Tabletext"/>
              <w:spacing w:before="0" w:after="0"/>
              <w:rPr>
                <w:szCs w:val="18"/>
                <w:highlight w:val="yellow"/>
                <w:u w:val="double"/>
              </w:rPr>
            </w:pPr>
            <w:r w:rsidRPr="000C694A">
              <w:rPr>
                <w:i/>
                <w:iCs/>
                <w:szCs w:val="18"/>
                <w:highlight w:val="yellow"/>
                <w:u w:val="double"/>
              </w:rPr>
              <w:t>Neurergus crocatus</w:t>
            </w:r>
          </w:p>
        </w:tc>
        <w:tc>
          <w:tcPr>
            <w:tcW w:w="3260" w:type="dxa"/>
            <w:tcBorders>
              <w:top w:val="single" w:sz="4" w:space="0" w:color="auto"/>
            </w:tcBorders>
            <w:shd w:val="clear" w:color="auto" w:fill="auto"/>
          </w:tcPr>
          <w:p w14:paraId="65643E81" w14:textId="77777777" w:rsidR="00E65E42" w:rsidRPr="000C694A" w:rsidRDefault="00E65E42" w:rsidP="00E65E42">
            <w:pPr>
              <w:pStyle w:val="Tabletext"/>
              <w:spacing w:before="0" w:after="0"/>
              <w:rPr>
                <w:i/>
                <w:iCs/>
                <w:color w:val="000000"/>
                <w:szCs w:val="18"/>
                <w:highlight w:val="yellow"/>
                <w:u w:val="double"/>
              </w:rPr>
            </w:pPr>
            <w:r w:rsidRPr="000C694A">
              <w:rPr>
                <w:szCs w:val="18"/>
                <w:highlight w:val="yellow"/>
                <w:u w:val="double"/>
              </w:rPr>
              <w:t xml:space="preserve">yellow spotted newt </w:t>
            </w:r>
          </w:p>
        </w:tc>
      </w:tr>
      <w:tr w:rsidR="00E65E42" w:rsidRPr="00873942" w14:paraId="1A7356D5" w14:textId="77777777" w:rsidTr="00E65E42">
        <w:trPr>
          <w:jc w:val="center"/>
        </w:trPr>
        <w:tc>
          <w:tcPr>
            <w:tcW w:w="1503" w:type="dxa"/>
            <w:vMerge/>
            <w:vAlign w:val="center"/>
          </w:tcPr>
          <w:p w14:paraId="1E9F929D" w14:textId="77777777" w:rsidR="00E65E42" w:rsidRPr="000C694A" w:rsidRDefault="00E65E42" w:rsidP="00E65E42">
            <w:pPr>
              <w:spacing w:after="0"/>
              <w:jc w:val="center"/>
              <w:rPr>
                <w:rFonts w:ascii="Arial" w:hAnsi="Arial" w:cs="Arial"/>
                <w:color w:val="000000"/>
                <w:sz w:val="18"/>
                <w:szCs w:val="18"/>
                <w:highlight w:val="yellow"/>
                <w:u w:val="double"/>
              </w:rPr>
            </w:pPr>
          </w:p>
        </w:tc>
        <w:tc>
          <w:tcPr>
            <w:tcW w:w="3312" w:type="dxa"/>
          </w:tcPr>
          <w:p w14:paraId="6AC85225" w14:textId="77777777" w:rsidR="00E65E42" w:rsidRPr="000C694A" w:rsidRDefault="00E65E42" w:rsidP="00E65E42">
            <w:pPr>
              <w:pStyle w:val="Tabletext"/>
              <w:spacing w:before="0" w:after="0"/>
              <w:rPr>
                <w:szCs w:val="18"/>
                <w:highlight w:val="yellow"/>
                <w:u w:val="double"/>
              </w:rPr>
            </w:pPr>
            <w:r w:rsidRPr="000C694A">
              <w:rPr>
                <w:i/>
                <w:iCs/>
                <w:szCs w:val="18"/>
                <w:highlight w:val="yellow"/>
                <w:u w:val="double"/>
              </w:rPr>
              <w:t>Nothophthalmus viridescens</w:t>
            </w:r>
          </w:p>
        </w:tc>
        <w:tc>
          <w:tcPr>
            <w:tcW w:w="3260" w:type="dxa"/>
            <w:tcBorders>
              <w:top w:val="single" w:sz="4" w:space="0" w:color="auto"/>
            </w:tcBorders>
            <w:shd w:val="clear" w:color="auto" w:fill="auto"/>
          </w:tcPr>
          <w:p w14:paraId="22044FBA" w14:textId="77777777" w:rsidR="00E65E42" w:rsidRPr="000C694A" w:rsidRDefault="00E65E42" w:rsidP="00E65E42">
            <w:pPr>
              <w:pStyle w:val="Tabletext"/>
              <w:spacing w:before="0" w:after="0"/>
              <w:rPr>
                <w:i/>
                <w:iCs/>
                <w:color w:val="000000"/>
                <w:szCs w:val="18"/>
                <w:highlight w:val="yellow"/>
                <w:u w:val="double"/>
              </w:rPr>
            </w:pPr>
            <w:r w:rsidRPr="000C694A">
              <w:rPr>
                <w:szCs w:val="18"/>
                <w:highlight w:val="yellow"/>
                <w:u w:val="double"/>
              </w:rPr>
              <w:t xml:space="preserve">eastern newt </w:t>
            </w:r>
          </w:p>
        </w:tc>
      </w:tr>
      <w:tr w:rsidR="00E65E42" w:rsidRPr="00873942" w14:paraId="4DDBC526" w14:textId="77777777" w:rsidTr="00E65E42">
        <w:trPr>
          <w:jc w:val="center"/>
        </w:trPr>
        <w:tc>
          <w:tcPr>
            <w:tcW w:w="1503" w:type="dxa"/>
            <w:vMerge/>
            <w:vAlign w:val="center"/>
          </w:tcPr>
          <w:p w14:paraId="55D6EF10" w14:textId="77777777" w:rsidR="00E65E42" w:rsidRPr="000C694A" w:rsidRDefault="00E65E42" w:rsidP="00E65E42">
            <w:pPr>
              <w:spacing w:after="0"/>
              <w:jc w:val="center"/>
              <w:rPr>
                <w:rFonts w:ascii="Arial" w:hAnsi="Arial" w:cs="Arial"/>
                <w:color w:val="000000"/>
                <w:sz w:val="18"/>
                <w:szCs w:val="18"/>
                <w:highlight w:val="yellow"/>
                <w:u w:val="double"/>
              </w:rPr>
            </w:pPr>
          </w:p>
        </w:tc>
        <w:tc>
          <w:tcPr>
            <w:tcW w:w="3312" w:type="dxa"/>
          </w:tcPr>
          <w:p w14:paraId="319E0FCE" w14:textId="77777777" w:rsidR="00E65E42" w:rsidRPr="000C694A" w:rsidRDefault="00E65E42" w:rsidP="00E65E42">
            <w:pPr>
              <w:pStyle w:val="Tabletext"/>
              <w:spacing w:before="0" w:after="0"/>
              <w:rPr>
                <w:szCs w:val="18"/>
                <w:highlight w:val="yellow"/>
                <w:u w:val="double"/>
              </w:rPr>
            </w:pPr>
            <w:r w:rsidRPr="000C694A">
              <w:rPr>
                <w:i/>
                <w:iCs/>
                <w:szCs w:val="18"/>
                <w:highlight w:val="yellow"/>
                <w:u w:val="double"/>
              </w:rPr>
              <w:t>Paramesotriton deloustali</w:t>
            </w:r>
          </w:p>
        </w:tc>
        <w:tc>
          <w:tcPr>
            <w:tcW w:w="3260" w:type="dxa"/>
            <w:tcBorders>
              <w:top w:val="single" w:sz="4" w:space="0" w:color="auto"/>
            </w:tcBorders>
            <w:shd w:val="clear" w:color="auto" w:fill="auto"/>
          </w:tcPr>
          <w:p w14:paraId="17D12742" w14:textId="77777777" w:rsidR="00E65E42" w:rsidRPr="000C694A" w:rsidRDefault="00E65E42" w:rsidP="00E65E42">
            <w:pPr>
              <w:pStyle w:val="Tabletext"/>
              <w:spacing w:before="0" w:after="0"/>
              <w:rPr>
                <w:i/>
                <w:iCs/>
                <w:color w:val="000000"/>
                <w:szCs w:val="18"/>
                <w:highlight w:val="yellow"/>
                <w:u w:val="double"/>
              </w:rPr>
            </w:pPr>
            <w:r w:rsidRPr="000C694A">
              <w:rPr>
                <w:szCs w:val="18"/>
                <w:highlight w:val="yellow"/>
                <w:u w:val="double"/>
              </w:rPr>
              <w:t xml:space="preserve">Tam Dao salamander </w:t>
            </w:r>
          </w:p>
        </w:tc>
      </w:tr>
      <w:tr w:rsidR="00E65E42" w:rsidRPr="00873942" w14:paraId="73191BAF" w14:textId="77777777" w:rsidTr="00E65E42">
        <w:trPr>
          <w:jc w:val="center"/>
        </w:trPr>
        <w:tc>
          <w:tcPr>
            <w:tcW w:w="1503" w:type="dxa"/>
            <w:vMerge/>
            <w:vAlign w:val="center"/>
          </w:tcPr>
          <w:p w14:paraId="03272929" w14:textId="77777777" w:rsidR="00E65E42" w:rsidRPr="000C694A" w:rsidRDefault="00E65E42" w:rsidP="00E65E42">
            <w:pPr>
              <w:spacing w:after="0"/>
              <w:jc w:val="center"/>
              <w:rPr>
                <w:rFonts w:ascii="Arial" w:hAnsi="Arial" w:cs="Arial"/>
                <w:color w:val="000000"/>
                <w:sz w:val="18"/>
                <w:szCs w:val="18"/>
                <w:highlight w:val="yellow"/>
                <w:u w:val="double"/>
              </w:rPr>
            </w:pPr>
          </w:p>
        </w:tc>
        <w:tc>
          <w:tcPr>
            <w:tcW w:w="3312" w:type="dxa"/>
          </w:tcPr>
          <w:p w14:paraId="1062C205" w14:textId="77777777" w:rsidR="00E65E42" w:rsidRPr="000C694A" w:rsidRDefault="00E65E42" w:rsidP="00E65E42">
            <w:pPr>
              <w:pStyle w:val="Tabletext"/>
              <w:spacing w:before="0" w:after="0"/>
              <w:rPr>
                <w:szCs w:val="18"/>
                <w:highlight w:val="yellow"/>
                <w:u w:val="double"/>
              </w:rPr>
            </w:pPr>
            <w:r w:rsidRPr="000C694A">
              <w:rPr>
                <w:i/>
                <w:iCs/>
                <w:szCs w:val="18"/>
                <w:highlight w:val="yellow"/>
                <w:u w:val="double"/>
              </w:rPr>
              <w:t>Pleurodeles waltl</w:t>
            </w:r>
          </w:p>
        </w:tc>
        <w:tc>
          <w:tcPr>
            <w:tcW w:w="3260" w:type="dxa"/>
            <w:tcBorders>
              <w:top w:val="single" w:sz="4" w:space="0" w:color="auto"/>
            </w:tcBorders>
            <w:shd w:val="clear" w:color="auto" w:fill="auto"/>
          </w:tcPr>
          <w:p w14:paraId="37B9EF2B" w14:textId="77777777" w:rsidR="00E65E42" w:rsidRPr="000C694A" w:rsidRDefault="00E65E42" w:rsidP="00E65E42">
            <w:pPr>
              <w:pStyle w:val="Tabletext"/>
              <w:spacing w:before="0" w:after="0"/>
              <w:rPr>
                <w:i/>
                <w:iCs/>
                <w:color w:val="000000"/>
                <w:szCs w:val="18"/>
                <w:highlight w:val="yellow"/>
                <w:u w:val="double"/>
              </w:rPr>
            </w:pPr>
            <w:r w:rsidRPr="000C694A">
              <w:rPr>
                <w:szCs w:val="18"/>
                <w:highlight w:val="yellow"/>
                <w:u w:val="double"/>
              </w:rPr>
              <w:t xml:space="preserve">Spanish ribbed newt </w:t>
            </w:r>
          </w:p>
        </w:tc>
      </w:tr>
      <w:tr w:rsidR="00E65E42" w:rsidRPr="00873942" w14:paraId="45DEF046" w14:textId="77777777" w:rsidTr="00E65E42">
        <w:trPr>
          <w:jc w:val="center"/>
        </w:trPr>
        <w:tc>
          <w:tcPr>
            <w:tcW w:w="1503" w:type="dxa"/>
            <w:vMerge/>
            <w:vAlign w:val="center"/>
          </w:tcPr>
          <w:p w14:paraId="25480B53" w14:textId="77777777" w:rsidR="00E65E42" w:rsidRPr="000C694A" w:rsidRDefault="00E65E42" w:rsidP="00E65E42">
            <w:pPr>
              <w:spacing w:after="0"/>
              <w:jc w:val="center"/>
              <w:rPr>
                <w:rFonts w:ascii="Arial" w:hAnsi="Arial" w:cs="Arial"/>
                <w:sz w:val="18"/>
                <w:szCs w:val="18"/>
                <w:highlight w:val="yellow"/>
                <w:u w:val="double"/>
              </w:rPr>
            </w:pPr>
          </w:p>
        </w:tc>
        <w:tc>
          <w:tcPr>
            <w:tcW w:w="3312" w:type="dxa"/>
          </w:tcPr>
          <w:p w14:paraId="57E747A4" w14:textId="77777777" w:rsidR="00E65E42" w:rsidRPr="000C694A" w:rsidRDefault="00E65E42" w:rsidP="00E65E42">
            <w:pPr>
              <w:pStyle w:val="Tabletext"/>
              <w:spacing w:before="0" w:after="0"/>
              <w:rPr>
                <w:szCs w:val="18"/>
                <w:highlight w:val="yellow"/>
                <w:u w:val="double"/>
              </w:rPr>
            </w:pPr>
            <w:r w:rsidRPr="000C694A">
              <w:rPr>
                <w:i/>
                <w:iCs/>
                <w:szCs w:val="18"/>
                <w:highlight w:val="yellow"/>
                <w:u w:val="double"/>
              </w:rPr>
              <w:t>Salamandrina perspicillata</w:t>
            </w:r>
          </w:p>
        </w:tc>
        <w:tc>
          <w:tcPr>
            <w:tcW w:w="3260" w:type="dxa"/>
            <w:tcBorders>
              <w:top w:val="single" w:sz="4" w:space="0" w:color="auto"/>
            </w:tcBorders>
            <w:shd w:val="clear" w:color="auto" w:fill="auto"/>
          </w:tcPr>
          <w:p w14:paraId="5EB44C46" w14:textId="77777777" w:rsidR="00E65E42" w:rsidRPr="000C694A" w:rsidRDefault="00E65E42" w:rsidP="00E65E42">
            <w:pPr>
              <w:pStyle w:val="Tabletext"/>
              <w:spacing w:before="0" w:after="0"/>
              <w:rPr>
                <w:i/>
                <w:szCs w:val="18"/>
                <w:highlight w:val="yellow"/>
                <w:u w:val="double"/>
                <w:lang w:val="en-GB"/>
              </w:rPr>
            </w:pPr>
            <w:r w:rsidRPr="000C694A">
              <w:rPr>
                <w:szCs w:val="18"/>
                <w:highlight w:val="yellow"/>
                <w:u w:val="double"/>
              </w:rPr>
              <w:t xml:space="preserve">northern spectacle salamander </w:t>
            </w:r>
          </w:p>
        </w:tc>
      </w:tr>
      <w:tr w:rsidR="00E65E42" w:rsidRPr="00873942" w14:paraId="59380645" w14:textId="77777777" w:rsidTr="00E65E42">
        <w:trPr>
          <w:jc w:val="center"/>
        </w:trPr>
        <w:tc>
          <w:tcPr>
            <w:tcW w:w="1503" w:type="dxa"/>
            <w:vMerge/>
            <w:vAlign w:val="center"/>
          </w:tcPr>
          <w:p w14:paraId="14B474EA" w14:textId="77777777" w:rsidR="00E65E42" w:rsidRPr="000C694A" w:rsidRDefault="00E65E42" w:rsidP="00E65E42">
            <w:pPr>
              <w:spacing w:after="0"/>
              <w:jc w:val="center"/>
              <w:rPr>
                <w:rFonts w:ascii="Arial" w:hAnsi="Arial" w:cs="Arial"/>
                <w:sz w:val="18"/>
                <w:szCs w:val="18"/>
                <w:highlight w:val="yellow"/>
                <w:u w:val="double"/>
              </w:rPr>
            </w:pPr>
          </w:p>
        </w:tc>
        <w:tc>
          <w:tcPr>
            <w:tcW w:w="3312" w:type="dxa"/>
          </w:tcPr>
          <w:p w14:paraId="69F5F36C" w14:textId="77777777" w:rsidR="00E65E42" w:rsidRPr="000C694A" w:rsidRDefault="00E65E42" w:rsidP="00E65E42">
            <w:pPr>
              <w:pStyle w:val="Tabletext"/>
              <w:spacing w:before="0" w:after="0"/>
              <w:rPr>
                <w:szCs w:val="18"/>
                <w:highlight w:val="yellow"/>
                <w:u w:val="double"/>
              </w:rPr>
            </w:pPr>
            <w:r w:rsidRPr="000C694A">
              <w:rPr>
                <w:i/>
                <w:iCs/>
                <w:szCs w:val="18"/>
                <w:highlight w:val="yellow"/>
                <w:u w:val="double"/>
              </w:rPr>
              <w:t xml:space="preserve">Salamandra </w:t>
            </w:r>
            <w:r w:rsidRPr="000C694A">
              <w:rPr>
                <w:bCs w:val="0"/>
                <w:i/>
                <w:iCs/>
                <w:szCs w:val="18"/>
                <w:highlight w:val="yellow"/>
                <w:u w:val="double"/>
              </w:rPr>
              <w:t>salamandra</w:t>
            </w:r>
          </w:p>
        </w:tc>
        <w:tc>
          <w:tcPr>
            <w:tcW w:w="3260" w:type="dxa"/>
            <w:tcBorders>
              <w:top w:val="single" w:sz="4" w:space="0" w:color="auto"/>
            </w:tcBorders>
            <w:shd w:val="clear" w:color="auto" w:fill="auto"/>
          </w:tcPr>
          <w:p w14:paraId="1B885BD7" w14:textId="77777777" w:rsidR="00E65E42" w:rsidRPr="000C694A" w:rsidRDefault="00E65E42" w:rsidP="00E65E42">
            <w:pPr>
              <w:pStyle w:val="Tabletext"/>
              <w:spacing w:before="0" w:after="0"/>
              <w:rPr>
                <w:i/>
                <w:szCs w:val="18"/>
                <w:highlight w:val="yellow"/>
                <w:u w:val="double"/>
                <w:lang w:val="en-GB"/>
              </w:rPr>
            </w:pPr>
            <w:r w:rsidRPr="000C694A">
              <w:rPr>
                <w:szCs w:val="18"/>
                <w:highlight w:val="yellow"/>
                <w:u w:val="double"/>
              </w:rPr>
              <w:t xml:space="preserve">fire salamander </w:t>
            </w:r>
          </w:p>
        </w:tc>
      </w:tr>
      <w:tr w:rsidR="00E65E42" w:rsidRPr="00873942" w14:paraId="1BFD12E8" w14:textId="77777777" w:rsidTr="00E65E42">
        <w:trPr>
          <w:trHeight w:val="170"/>
          <w:jc w:val="center"/>
        </w:trPr>
        <w:tc>
          <w:tcPr>
            <w:tcW w:w="1503" w:type="dxa"/>
            <w:vMerge/>
            <w:vAlign w:val="center"/>
          </w:tcPr>
          <w:p w14:paraId="555563A0" w14:textId="77777777" w:rsidR="00E65E42" w:rsidRPr="000C694A" w:rsidRDefault="00E65E42" w:rsidP="00E65E42">
            <w:pPr>
              <w:spacing w:after="0"/>
              <w:jc w:val="center"/>
              <w:rPr>
                <w:rFonts w:ascii="Arial" w:hAnsi="Arial" w:cs="Arial"/>
                <w:sz w:val="18"/>
                <w:szCs w:val="18"/>
                <w:highlight w:val="yellow"/>
                <w:u w:val="double"/>
              </w:rPr>
            </w:pPr>
          </w:p>
        </w:tc>
        <w:tc>
          <w:tcPr>
            <w:tcW w:w="3312" w:type="dxa"/>
          </w:tcPr>
          <w:p w14:paraId="47DBD3CE" w14:textId="77777777" w:rsidR="00E65E42" w:rsidRPr="000C694A" w:rsidRDefault="00E65E42" w:rsidP="00E65E42">
            <w:pPr>
              <w:pStyle w:val="Tabletext"/>
              <w:spacing w:before="0" w:after="0"/>
              <w:rPr>
                <w:szCs w:val="18"/>
                <w:highlight w:val="yellow"/>
                <w:u w:val="double"/>
              </w:rPr>
            </w:pPr>
            <w:r w:rsidRPr="000C694A">
              <w:rPr>
                <w:i/>
                <w:iCs/>
                <w:szCs w:val="18"/>
                <w:highlight w:val="yellow"/>
                <w:u w:val="double"/>
              </w:rPr>
              <w:t>Taricha granulosa</w:t>
            </w:r>
          </w:p>
        </w:tc>
        <w:tc>
          <w:tcPr>
            <w:tcW w:w="3260" w:type="dxa"/>
            <w:tcBorders>
              <w:top w:val="single" w:sz="4" w:space="0" w:color="auto"/>
            </w:tcBorders>
            <w:shd w:val="clear" w:color="auto" w:fill="auto"/>
          </w:tcPr>
          <w:p w14:paraId="57596824" w14:textId="77777777" w:rsidR="00E65E42" w:rsidRPr="000C694A" w:rsidRDefault="00E65E42" w:rsidP="00E65E42">
            <w:pPr>
              <w:pStyle w:val="Tabletext"/>
              <w:spacing w:before="0" w:after="0"/>
              <w:rPr>
                <w:i/>
                <w:szCs w:val="18"/>
                <w:highlight w:val="yellow"/>
                <w:u w:val="double"/>
                <w:lang w:val="en-GB"/>
              </w:rPr>
            </w:pPr>
            <w:r w:rsidRPr="000C694A">
              <w:rPr>
                <w:szCs w:val="18"/>
                <w:highlight w:val="yellow"/>
                <w:u w:val="double"/>
              </w:rPr>
              <w:t xml:space="preserve">rough-skinned newt </w:t>
            </w:r>
          </w:p>
        </w:tc>
      </w:tr>
    </w:tbl>
    <w:p w14:paraId="56CB225A" w14:textId="77777777" w:rsidR="00E65E42" w:rsidRPr="00E04E06" w:rsidRDefault="00E65E42" w:rsidP="001C6A78">
      <w:pPr>
        <w:pStyle w:val="111"/>
        <w:spacing w:before="120" w:after="160"/>
        <w:ind w:left="1418"/>
        <w:rPr>
          <w:szCs w:val="20"/>
        </w:rPr>
      </w:pPr>
      <w:r w:rsidRPr="00E04E06">
        <w:rPr>
          <w:szCs w:val="20"/>
        </w:rPr>
        <w:t>2.2.2.</w:t>
      </w:r>
      <w:r w:rsidRPr="00E04E06">
        <w:rPr>
          <w:szCs w:val="20"/>
        </w:rPr>
        <w:tab/>
        <w:t>Species with incomplete evidence for susceptibility</w:t>
      </w:r>
    </w:p>
    <w:p w14:paraId="49F1A8E4" w14:textId="77777777" w:rsidR="00E65E42" w:rsidRDefault="00E65E42" w:rsidP="00754D87">
      <w:pPr>
        <w:pStyle w:val="Para3"/>
        <w:spacing w:after="80"/>
        <w:rPr>
          <w:rFonts w:cs="Arial"/>
          <w:szCs w:val="18"/>
          <w:lang w:val="en-GB"/>
        </w:rPr>
      </w:pPr>
      <w:r w:rsidRPr="00D403F5">
        <w:rPr>
          <w:rFonts w:cs="Arial"/>
          <w:iCs/>
          <w:szCs w:val="18"/>
          <w:u w:val="double"/>
        </w:rPr>
        <w:t>Species for which there is incomplete evidence for susceptibility</w:t>
      </w:r>
      <w:r w:rsidRPr="00D403F5">
        <w:rPr>
          <w:rFonts w:cs="Arial"/>
          <w:szCs w:val="18"/>
          <w:u w:val="double"/>
        </w:rPr>
        <w:t xml:space="preserve"> according to Chapter 1.5. of the </w:t>
      </w:r>
      <w:r w:rsidRPr="00D403F5">
        <w:rPr>
          <w:rFonts w:cs="Arial"/>
          <w:i/>
          <w:iCs/>
          <w:szCs w:val="18"/>
          <w:u w:val="double"/>
        </w:rPr>
        <w:t>Aquatic Code</w:t>
      </w:r>
      <w:r w:rsidRPr="00D403F5">
        <w:rPr>
          <w:rFonts w:cs="Arial"/>
          <w:iCs/>
          <w:szCs w:val="18"/>
          <w:u w:val="double"/>
        </w:rPr>
        <w:t xml:space="preserve"> are:</w:t>
      </w:r>
      <w:r w:rsidRPr="00D403F5">
        <w:rPr>
          <w:rFonts w:cs="Arial"/>
          <w:iCs/>
          <w:szCs w:val="18"/>
        </w:rPr>
        <w:t xml:space="preserve"> </w:t>
      </w:r>
      <w:r w:rsidRPr="00D403F5">
        <w:rPr>
          <w:rFonts w:cs="Arial"/>
          <w:szCs w:val="18"/>
          <w:lang w:val="en-GB"/>
        </w:rPr>
        <w:t>[under study]</w:t>
      </w:r>
    </w:p>
    <w:p w14:paraId="56E916A2" w14:textId="77777777" w:rsidR="00E65E42" w:rsidRPr="00E04E06" w:rsidRDefault="00E65E42" w:rsidP="001C6A78">
      <w:pPr>
        <w:spacing w:after="80"/>
        <w:ind w:left="1276" w:hanging="425"/>
        <w:jc w:val="both"/>
        <w:rPr>
          <w:rFonts w:ascii="Ottawa" w:hAnsi="Ottawa"/>
          <w:b/>
          <w:bCs/>
          <w:szCs w:val="20"/>
          <w:u w:val="double"/>
          <w:lang w:val="en-IE" w:eastAsia="fr-FR"/>
        </w:rPr>
      </w:pPr>
      <w:r w:rsidRPr="00E04E06">
        <w:rPr>
          <w:rFonts w:ascii="Ottawa" w:hAnsi="Ottawa"/>
          <w:b/>
          <w:bCs/>
          <w:szCs w:val="20"/>
          <w:u w:val="double"/>
          <w:lang w:val="en-IE" w:eastAsia="fr-FR"/>
        </w:rPr>
        <w:t>2.2.3.</w:t>
      </w:r>
      <w:r w:rsidRPr="00E04E06">
        <w:rPr>
          <w:rFonts w:ascii="Ottawa" w:hAnsi="Ottawa"/>
          <w:b/>
          <w:bCs/>
          <w:szCs w:val="20"/>
          <w:u w:val="double"/>
          <w:lang w:val="en-IE" w:eastAsia="fr-FR"/>
        </w:rPr>
        <w:tab/>
        <w:t>Non-susceptible species</w:t>
      </w:r>
    </w:p>
    <w:p w14:paraId="47161C98" w14:textId="77777777" w:rsidR="00E65E42" w:rsidRPr="00D403F5" w:rsidRDefault="00E65E42" w:rsidP="00754D87">
      <w:pPr>
        <w:pStyle w:val="Para3"/>
        <w:spacing w:after="80"/>
        <w:rPr>
          <w:rFonts w:cs="Arial"/>
          <w:szCs w:val="18"/>
          <w:u w:val="double"/>
          <w:lang w:val="en-GB" w:eastAsia="fr-FR"/>
        </w:rPr>
      </w:pPr>
      <w:r w:rsidRPr="00D403F5">
        <w:rPr>
          <w:rFonts w:cs="Arial"/>
          <w:iCs/>
          <w:szCs w:val="18"/>
          <w:u w:val="double"/>
        </w:rPr>
        <w:t xml:space="preserve">Species that have been found non-susceptible to infection with Bsal </w:t>
      </w:r>
      <w:r w:rsidRPr="00D403F5">
        <w:rPr>
          <w:rFonts w:cs="Arial"/>
          <w:szCs w:val="18"/>
          <w:u w:val="double"/>
        </w:rPr>
        <w:t xml:space="preserve">according to Chapter 1.5. of the </w:t>
      </w:r>
      <w:r w:rsidRPr="00D403F5">
        <w:rPr>
          <w:rFonts w:cs="Arial"/>
          <w:i/>
          <w:iCs/>
          <w:szCs w:val="18"/>
          <w:u w:val="double"/>
        </w:rPr>
        <w:t>Aquatic Code</w:t>
      </w:r>
      <w:r w:rsidRPr="00D403F5">
        <w:rPr>
          <w:rFonts w:cs="Arial"/>
          <w:iCs/>
          <w:szCs w:val="18"/>
          <w:u w:val="double"/>
        </w:rPr>
        <w:t xml:space="preserve"> are:</w:t>
      </w:r>
      <w:r w:rsidRPr="00D403F5">
        <w:rPr>
          <w:rFonts w:cs="Arial"/>
          <w:bCs w:val="0"/>
          <w:iCs/>
          <w:szCs w:val="18"/>
          <w:u w:val="double"/>
        </w:rPr>
        <w:t xml:space="preserve"> </w:t>
      </w:r>
      <w:r w:rsidRPr="00D403F5">
        <w:rPr>
          <w:rFonts w:cs="Arial"/>
          <w:szCs w:val="18"/>
          <w:u w:val="double"/>
          <w:lang w:val="en-GB"/>
        </w:rPr>
        <w:t>[under study]</w:t>
      </w:r>
    </w:p>
    <w:p w14:paraId="3653C198" w14:textId="77777777" w:rsidR="00E65E42" w:rsidRPr="00E04E06" w:rsidRDefault="00E65E42" w:rsidP="001C6A78">
      <w:pPr>
        <w:pStyle w:val="111"/>
        <w:spacing w:after="80"/>
        <w:ind w:left="1418"/>
        <w:rPr>
          <w:szCs w:val="20"/>
        </w:rPr>
      </w:pPr>
      <w:r w:rsidRPr="00E04E06">
        <w:rPr>
          <w:szCs w:val="20"/>
        </w:rPr>
        <w:t>2.2.4.</w:t>
      </w:r>
      <w:r w:rsidRPr="00E04E06">
        <w:rPr>
          <w:szCs w:val="20"/>
        </w:rPr>
        <w:tab/>
        <w:t>Likelihood of infection by species, host life stage, population or sub-populations</w:t>
      </w:r>
    </w:p>
    <w:p w14:paraId="4636BDE8" w14:textId="77777777" w:rsidR="00E65E42" w:rsidRPr="00D403F5" w:rsidRDefault="00E65E42" w:rsidP="00754D87">
      <w:pPr>
        <w:pStyle w:val="Para3"/>
        <w:spacing w:after="80"/>
        <w:rPr>
          <w:rFonts w:cs="Arial"/>
          <w:szCs w:val="18"/>
          <w:lang w:val="en-GB"/>
        </w:rPr>
      </w:pPr>
      <w:r w:rsidRPr="00D403F5">
        <w:rPr>
          <w:rFonts w:cs="Arial"/>
          <w:szCs w:val="18"/>
          <w:lang w:val="en-GB"/>
        </w:rPr>
        <w:t xml:space="preserve">Bsal is a pathogenic agent that mainly affects urodeles. Evidence from experimental infections and disease outbreaks in the wild and in captivity show that at least most, if not all, species of the family Salamandridae, as well as species of the family Hynobiidae are likely to become infected when exposed to Bsal. However, differences in susceptibility to infection between species do exist: for example, for fire salamanders </w:t>
      </w:r>
      <w:r w:rsidRPr="000C694A">
        <w:rPr>
          <w:rFonts w:cs="Arial"/>
          <w:strike/>
          <w:szCs w:val="18"/>
          <w:highlight w:val="yellow"/>
          <w:lang w:val="en-GB"/>
        </w:rPr>
        <w:t>(</w:t>
      </w:r>
      <w:r w:rsidRPr="000C694A">
        <w:rPr>
          <w:rFonts w:cs="Arial"/>
          <w:i/>
          <w:strike/>
          <w:szCs w:val="18"/>
          <w:highlight w:val="yellow"/>
          <w:lang w:val="en-GB"/>
        </w:rPr>
        <w:t>Salamandra salamandra</w:t>
      </w:r>
      <w:r w:rsidRPr="000C694A">
        <w:rPr>
          <w:rFonts w:cs="Arial"/>
          <w:strike/>
          <w:szCs w:val="18"/>
          <w:highlight w:val="yellow"/>
          <w:lang w:val="en-GB"/>
        </w:rPr>
        <w:t>)</w:t>
      </w:r>
      <w:r w:rsidRPr="00D403F5">
        <w:rPr>
          <w:rFonts w:cs="Arial"/>
          <w:szCs w:val="18"/>
          <w:lang w:val="en-GB"/>
        </w:rPr>
        <w:t>, the infectious dose of Bsal was determined to be a theoretical one zoospore, whereas a significantly higher dose was necessary to infect Alpine newts</w:t>
      </w:r>
      <w:r w:rsidRPr="000C694A">
        <w:rPr>
          <w:rFonts w:cs="Arial"/>
          <w:strike/>
          <w:szCs w:val="18"/>
          <w:lang w:val="en-GB"/>
        </w:rPr>
        <w:t xml:space="preserve"> </w:t>
      </w:r>
      <w:r w:rsidRPr="000C694A">
        <w:rPr>
          <w:rFonts w:cs="Arial"/>
          <w:strike/>
          <w:szCs w:val="18"/>
          <w:highlight w:val="yellow"/>
          <w:lang w:val="en-GB"/>
        </w:rPr>
        <w:t>(</w:t>
      </w:r>
      <w:r w:rsidRPr="000C694A">
        <w:rPr>
          <w:rFonts w:cs="Arial"/>
          <w:i/>
          <w:strike/>
          <w:szCs w:val="18"/>
          <w:highlight w:val="yellow"/>
          <w:lang w:val="en-GB"/>
        </w:rPr>
        <w:t>Ichthyosaura alpestris</w:t>
      </w:r>
      <w:r w:rsidRPr="000C694A">
        <w:rPr>
          <w:rFonts w:cs="Arial"/>
          <w:iCs/>
          <w:strike/>
          <w:szCs w:val="18"/>
          <w:highlight w:val="yellow"/>
          <w:lang w:val="en-GB"/>
        </w:rPr>
        <w:t>)</w:t>
      </w:r>
      <w:r w:rsidRPr="00D403F5">
        <w:rPr>
          <w:rFonts w:cs="Arial"/>
          <w:szCs w:val="18"/>
          <w:lang w:val="en-GB"/>
        </w:rPr>
        <w:t xml:space="preserve">; Stegen </w:t>
      </w:r>
      <w:r w:rsidRPr="00D403F5">
        <w:rPr>
          <w:rFonts w:cs="Arial"/>
          <w:i/>
          <w:szCs w:val="18"/>
          <w:lang w:val="en-GB"/>
        </w:rPr>
        <w:t>et al</w:t>
      </w:r>
      <w:r w:rsidRPr="00D403F5">
        <w:rPr>
          <w:rFonts w:cs="Arial"/>
          <w:szCs w:val="18"/>
          <w:lang w:val="en-GB"/>
        </w:rPr>
        <w:t>., 2017) and one western Palearctic species (</w:t>
      </w:r>
      <w:r w:rsidRPr="00D403F5">
        <w:rPr>
          <w:rFonts w:cs="Arial"/>
          <w:i/>
          <w:szCs w:val="18"/>
          <w:lang w:val="en-GB"/>
        </w:rPr>
        <w:t>Lissotriton helveticus</w:t>
      </w:r>
      <w:r w:rsidRPr="00D403F5">
        <w:rPr>
          <w:rFonts w:cs="Arial"/>
          <w:szCs w:val="18"/>
          <w:lang w:val="en-GB"/>
        </w:rPr>
        <w:t xml:space="preserve">) may be more resistant to infection (Martel </w:t>
      </w:r>
      <w:r w:rsidRPr="00D403F5">
        <w:rPr>
          <w:rFonts w:cs="Arial"/>
          <w:i/>
          <w:szCs w:val="18"/>
          <w:lang w:val="en-GB"/>
        </w:rPr>
        <w:t>et al</w:t>
      </w:r>
      <w:r w:rsidRPr="00D403F5">
        <w:rPr>
          <w:rFonts w:cs="Arial"/>
          <w:szCs w:val="18"/>
          <w:lang w:val="en-GB"/>
        </w:rPr>
        <w:t>., 2014). For the largest family of salamanders (Plethodontidae), little information is currently available; at least one European species (</w:t>
      </w:r>
      <w:r w:rsidRPr="00D403F5">
        <w:rPr>
          <w:rFonts w:cs="Arial"/>
          <w:i/>
          <w:szCs w:val="18"/>
          <w:lang w:val="en-GB"/>
        </w:rPr>
        <w:t>Speleomantes strinatii</w:t>
      </w:r>
      <w:r w:rsidRPr="00D403F5">
        <w:rPr>
          <w:rFonts w:cs="Arial"/>
          <w:szCs w:val="18"/>
          <w:lang w:val="en-GB"/>
        </w:rPr>
        <w:t>) can be infected but other, North American species (</w:t>
      </w:r>
      <w:r w:rsidRPr="00D403F5">
        <w:rPr>
          <w:rFonts w:cs="Arial"/>
          <w:i/>
          <w:szCs w:val="18"/>
          <w:lang w:val="en-GB"/>
        </w:rPr>
        <w:t>Gyrinophilus porphyriticus</w:t>
      </w:r>
      <w:r w:rsidRPr="00D403F5">
        <w:rPr>
          <w:rFonts w:cs="Arial"/>
          <w:szCs w:val="18"/>
          <w:lang w:val="en-GB"/>
        </w:rPr>
        <w:t xml:space="preserve">, </w:t>
      </w:r>
      <w:r w:rsidRPr="00D403F5">
        <w:rPr>
          <w:rFonts w:cs="Arial"/>
          <w:i/>
          <w:szCs w:val="18"/>
          <w:lang w:val="en-GB"/>
        </w:rPr>
        <w:t xml:space="preserve">Plethodon glutinosus, </w:t>
      </w:r>
      <w:r w:rsidRPr="00D403F5">
        <w:rPr>
          <w:rFonts w:cs="Arial"/>
          <w:szCs w:val="18"/>
          <w:lang w:val="en-GB"/>
        </w:rPr>
        <w:t xml:space="preserve">Ambystomatidae) seem less susceptible to infection (Martel </w:t>
      </w:r>
      <w:r w:rsidRPr="00D403F5">
        <w:rPr>
          <w:rFonts w:cs="Arial"/>
          <w:i/>
          <w:szCs w:val="18"/>
          <w:lang w:val="en-GB"/>
        </w:rPr>
        <w:t>et al</w:t>
      </w:r>
      <w:r w:rsidRPr="00D403F5">
        <w:rPr>
          <w:rFonts w:cs="Arial"/>
          <w:szCs w:val="18"/>
          <w:lang w:val="en-GB"/>
        </w:rPr>
        <w:t xml:space="preserve">., 2014). Susceptibility of the family of </w:t>
      </w:r>
      <w:r w:rsidRPr="000C694A">
        <w:rPr>
          <w:rFonts w:cs="Arial"/>
          <w:i/>
          <w:iCs/>
          <w:szCs w:val="18"/>
          <w:lang w:val="en-GB"/>
        </w:rPr>
        <w:t>Cryptobranchidae</w:t>
      </w:r>
      <w:r w:rsidRPr="00D403F5">
        <w:rPr>
          <w:rFonts w:cs="Arial"/>
          <w:szCs w:val="18"/>
          <w:lang w:val="en-GB"/>
        </w:rPr>
        <w:t xml:space="preserve"> is not clear, with a single infection found in a farmed Chinese giant salamander (</w:t>
      </w:r>
      <w:r w:rsidRPr="00D403F5">
        <w:rPr>
          <w:rFonts w:cs="Arial"/>
          <w:i/>
          <w:szCs w:val="18"/>
          <w:lang w:val="en-GB"/>
        </w:rPr>
        <w:t>Andrias davidianus</w:t>
      </w:r>
      <w:r>
        <w:rPr>
          <w:rFonts w:cs="Arial"/>
          <w:szCs w:val="18"/>
          <w:lang w:val="en-GB"/>
        </w:rPr>
        <w:t>;</w:t>
      </w:r>
      <w:r w:rsidRPr="00D403F5">
        <w:rPr>
          <w:rFonts w:cs="Arial"/>
          <w:szCs w:val="18"/>
          <w:lang w:val="en-GB"/>
        </w:rPr>
        <w:t xml:space="preserve"> Zhiyong </w:t>
      </w:r>
      <w:r w:rsidRPr="00D403F5">
        <w:rPr>
          <w:rFonts w:cs="Arial"/>
          <w:i/>
          <w:szCs w:val="18"/>
          <w:lang w:val="en-GB"/>
        </w:rPr>
        <w:t>et al</w:t>
      </w:r>
      <w:r w:rsidRPr="00D403F5">
        <w:rPr>
          <w:rFonts w:cs="Arial"/>
          <w:szCs w:val="18"/>
          <w:lang w:val="en-GB"/>
        </w:rPr>
        <w:t xml:space="preserve">., 2018). No information is available on the urodele families </w:t>
      </w:r>
      <w:r w:rsidRPr="00D403F5">
        <w:rPr>
          <w:rFonts w:cs="Arial"/>
          <w:i/>
          <w:szCs w:val="18"/>
          <w:lang w:val="en-GB"/>
        </w:rPr>
        <w:t>Proteidae, Rhyacotritonidae</w:t>
      </w:r>
      <w:r w:rsidRPr="00D403F5">
        <w:rPr>
          <w:rFonts w:cs="Arial"/>
          <w:szCs w:val="18"/>
          <w:lang w:val="en-GB"/>
        </w:rPr>
        <w:t xml:space="preserve"> and </w:t>
      </w:r>
      <w:r w:rsidRPr="00D403F5">
        <w:rPr>
          <w:rFonts w:cs="Arial"/>
          <w:i/>
          <w:szCs w:val="18"/>
          <w:lang w:val="en-GB"/>
        </w:rPr>
        <w:t>Amphiumidae</w:t>
      </w:r>
      <w:r w:rsidRPr="00D403F5">
        <w:rPr>
          <w:rFonts w:cs="Arial"/>
          <w:szCs w:val="18"/>
          <w:lang w:val="en-GB"/>
        </w:rPr>
        <w:t xml:space="preserve">. Bsal infection in anurans has only been detected in two species, in captivity, the wild and in lab trials (Nguyen </w:t>
      </w:r>
      <w:r w:rsidRPr="00D403F5">
        <w:rPr>
          <w:rFonts w:cs="Arial"/>
          <w:i/>
          <w:szCs w:val="18"/>
          <w:lang w:val="en-GB"/>
        </w:rPr>
        <w:t>et al</w:t>
      </w:r>
      <w:r w:rsidRPr="00D403F5">
        <w:rPr>
          <w:rFonts w:cs="Arial"/>
          <w:szCs w:val="18"/>
          <w:lang w:val="en-GB"/>
        </w:rPr>
        <w:t xml:space="preserve">., 2017; Stegen </w:t>
      </w:r>
      <w:r w:rsidRPr="00D403F5">
        <w:rPr>
          <w:rFonts w:cs="Arial"/>
          <w:i/>
          <w:szCs w:val="18"/>
          <w:lang w:val="en-GB"/>
        </w:rPr>
        <w:t>et al</w:t>
      </w:r>
      <w:r w:rsidRPr="00D403F5">
        <w:rPr>
          <w:rFonts w:cs="Arial"/>
          <w:szCs w:val="18"/>
          <w:lang w:val="en-GB"/>
        </w:rPr>
        <w:t>., 2017).</w:t>
      </w:r>
    </w:p>
    <w:p w14:paraId="3D205761" w14:textId="77777777" w:rsidR="00E65E42" w:rsidRPr="00D403F5" w:rsidRDefault="00E65E42" w:rsidP="00754D87">
      <w:pPr>
        <w:pStyle w:val="Para3"/>
        <w:spacing w:after="80"/>
        <w:rPr>
          <w:rFonts w:cs="Arial"/>
          <w:szCs w:val="18"/>
          <w:lang w:val="en-GB"/>
        </w:rPr>
      </w:pPr>
      <w:r w:rsidRPr="00D403F5">
        <w:rPr>
          <w:rFonts w:cs="Arial"/>
          <w:szCs w:val="18"/>
          <w:lang w:val="en-GB"/>
        </w:rPr>
        <w:t xml:space="preserve">Thus far, infections with Bsal have been demonstrated only in amphibians post-metamorphosis. In one experimental infection trial, larvae of fire salamanders were exposed to Bsal, but </w:t>
      </w:r>
      <w:r w:rsidRPr="00D403F5">
        <w:rPr>
          <w:rFonts w:cs="Arial"/>
          <w:szCs w:val="18"/>
          <w:u w:val="double"/>
          <w:lang w:val="en-GB"/>
        </w:rPr>
        <w:t>did not become</w:t>
      </w:r>
      <w:r w:rsidRPr="00D403F5">
        <w:rPr>
          <w:rFonts w:cs="Arial"/>
          <w:szCs w:val="18"/>
          <w:lang w:val="en-GB"/>
        </w:rPr>
        <w:t xml:space="preserve"> </w:t>
      </w:r>
      <w:r w:rsidRPr="00D403F5">
        <w:rPr>
          <w:rFonts w:cs="Arial"/>
          <w:strike/>
          <w:szCs w:val="18"/>
          <w:lang w:val="en-GB"/>
        </w:rPr>
        <w:t xml:space="preserve">were not </w:t>
      </w:r>
      <w:r w:rsidRPr="00D403F5">
        <w:rPr>
          <w:rFonts w:cs="Arial"/>
          <w:szCs w:val="18"/>
          <w:lang w:val="en-GB"/>
        </w:rPr>
        <w:t xml:space="preserve">infected (Van Rooij </w:t>
      </w:r>
      <w:r w:rsidRPr="00D403F5">
        <w:rPr>
          <w:rFonts w:cs="Arial"/>
          <w:i/>
          <w:szCs w:val="18"/>
          <w:lang w:val="en-GB"/>
        </w:rPr>
        <w:t>et al</w:t>
      </w:r>
      <w:r w:rsidRPr="00D403F5">
        <w:rPr>
          <w:rFonts w:cs="Arial"/>
          <w:szCs w:val="18"/>
          <w:lang w:val="en-GB"/>
        </w:rPr>
        <w:t xml:space="preserve">., 2015). The extent to which factors </w:t>
      </w:r>
      <w:r w:rsidRPr="00D403F5">
        <w:rPr>
          <w:rFonts w:cs="Arial"/>
          <w:szCs w:val="18"/>
          <w:u w:val="double"/>
          <w:lang w:val="en-GB"/>
        </w:rPr>
        <w:t>such as</w:t>
      </w:r>
      <w:r w:rsidRPr="00D403F5">
        <w:rPr>
          <w:rFonts w:cs="Arial"/>
          <w:szCs w:val="18"/>
          <w:lang w:val="en-GB"/>
        </w:rPr>
        <w:t xml:space="preserve"> </w:t>
      </w:r>
      <w:r w:rsidRPr="00D403F5">
        <w:rPr>
          <w:rFonts w:cs="Arial"/>
          <w:strike/>
          <w:szCs w:val="18"/>
          <w:lang w:val="en-GB"/>
        </w:rPr>
        <w:t xml:space="preserve">like </w:t>
      </w:r>
      <w:r w:rsidRPr="00D403F5">
        <w:rPr>
          <w:rFonts w:cs="Arial"/>
          <w:szCs w:val="18"/>
          <w:lang w:val="en-GB"/>
        </w:rPr>
        <w:t>age and sex affect susceptibility to infection post-metamorphosis is unknown.</w:t>
      </w:r>
    </w:p>
    <w:p w14:paraId="1CC505DF" w14:textId="77777777" w:rsidR="00E65E42" w:rsidRDefault="00E65E42" w:rsidP="00754D87">
      <w:pPr>
        <w:pStyle w:val="Para3"/>
        <w:spacing w:after="80"/>
        <w:rPr>
          <w:rFonts w:cs="Arial"/>
          <w:szCs w:val="18"/>
          <w:lang w:eastAsia="en-IE"/>
        </w:rPr>
      </w:pPr>
      <w:r w:rsidRPr="00D403F5">
        <w:rPr>
          <w:rFonts w:cs="Arial"/>
          <w:szCs w:val="18"/>
          <w:lang w:val="en-GB" w:eastAsia="en-IE"/>
        </w:rPr>
        <w:t xml:space="preserve">In Europe, Bsal has been detected in captive collections of urodeles (Fitzpatrick </w:t>
      </w:r>
      <w:r w:rsidRPr="00D403F5">
        <w:rPr>
          <w:rFonts w:cs="Arial"/>
          <w:i/>
          <w:szCs w:val="18"/>
          <w:lang w:val="en-GB" w:eastAsia="en-IE"/>
        </w:rPr>
        <w:t>et al</w:t>
      </w:r>
      <w:r w:rsidRPr="00D403F5">
        <w:rPr>
          <w:rFonts w:cs="Arial"/>
          <w:szCs w:val="18"/>
          <w:lang w:val="en-GB" w:eastAsia="en-IE"/>
        </w:rPr>
        <w:t xml:space="preserve">., 2018, Sabino-Pinto </w:t>
      </w:r>
      <w:r w:rsidRPr="00D403F5">
        <w:rPr>
          <w:rFonts w:cs="Arial"/>
          <w:i/>
          <w:szCs w:val="18"/>
          <w:lang w:val="en-GB" w:eastAsia="en-IE"/>
        </w:rPr>
        <w:t>et al</w:t>
      </w:r>
      <w:r w:rsidRPr="00D403F5">
        <w:rPr>
          <w:rFonts w:cs="Arial"/>
          <w:szCs w:val="18"/>
          <w:lang w:val="en-GB" w:eastAsia="en-IE"/>
        </w:rPr>
        <w:t xml:space="preserve">., 2015) and the pet trade in salamanders and newts has been hypothesised to play a central role in the distribution of this fungus (Fitzpatrick </w:t>
      </w:r>
      <w:r w:rsidRPr="00D403F5">
        <w:rPr>
          <w:rFonts w:cs="Arial"/>
          <w:i/>
          <w:szCs w:val="18"/>
          <w:lang w:val="en-GB" w:eastAsia="en-IE"/>
        </w:rPr>
        <w:t>et al</w:t>
      </w:r>
      <w:r w:rsidRPr="00D403F5">
        <w:rPr>
          <w:rFonts w:cs="Arial"/>
          <w:szCs w:val="18"/>
          <w:lang w:val="en-GB" w:eastAsia="en-IE"/>
        </w:rPr>
        <w:t xml:space="preserve">., 2018; Yap </w:t>
      </w:r>
      <w:r w:rsidRPr="00D403F5">
        <w:rPr>
          <w:rFonts w:cs="Arial"/>
          <w:i/>
          <w:szCs w:val="18"/>
          <w:lang w:val="en-GB" w:eastAsia="en-IE"/>
        </w:rPr>
        <w:t>et al</w:t>
      </w:r>
      <w:r w:rsidRPr="00D403F5">
        <w:rPr>
          <w:rFonts w:cs="Arial"/>
          <w:szCs w:val="18"/>
          <w:lang w:val="en-GB" w:eastAsia="en-IE"/>
        </w:rPr>
        <w:t xml:space="preserve">., 2015; Zhiyong </w:t>
      </w:r>
      <w:r w:rsidRPr="00D403F5">
        <w:rPr>
          <w:rFonts w:cs="Arial"/>
          <w:i/>
          <w:szCs w:val="18"/>
          <w:lang w:val="en-GB" w:eastAsia="en-IE"/>
        </w:rPr>
        <w:t>et al</w:t>
      </w:r>
      <w:r w:rsidRPr="00D403F5">
        <w:rPr>
          <w:rFonts w:cs="Arial"/>
          <w:szCs w:val="18"/>
          <w:lang w:val="en-GB" w:eastAsia="en-IE"/>
        </w:rPr>
        <w:t xml:space="preserve">., 2018). Hence, urodeles that </w:t>
      </w:r>
      <w:r w:rsidRPr="00967341">
        <w:rPr>
          <w:rFonts w:cs="Arial"/>
          <w:szCs w:val="18"/>
          <w:highlight w:val="yellow"/>
          <w:u w:val="double"/>
          <w:lang w:val="en-GB" w:eastAsia="en-IE"/>
        </w:rPr>
        <w:t>come into contact with traded urodeles, either</w:t>
      </w:r>
      <w:r>
        <w:rPr>
          <w:rFonts w:cs="Arial"/>
          <w:szCs w:val="18"/>
          <w:lang w:val="en-GB" w:eastAsia="en-IE"/>
        </w:rPr>
        <w:t xml:space="preserve"> </w:t>
      </w:r>
      <w:r w:rsidRPr="00D403F5">
        <w:rPr>
          <w:rFonts w:cs="Arial"/>
          <w:szCs w:val="18"/>
          <w:lang w:val="en-GB" w:eastAsia="en-IE"/>
        </w:rPr>
        <w:t>directly (</w:t>
      </w:r>
      <w:r w:rsidRPr="009B7C21">
        <w:rPr>
          <w:rFonts w:cs="Arial"/>
          <w:strike/>
          <w:szCs w:val="18"/>
          <w:highlight w:val="yellow"/>
          <w:lang w:val="en-GB" w:eastAsia="en-IE"/>
        </w:rPr>
        <w:t xml:space="preserve">by </w:t>
      </w:r>
      <w:r w:rsidRPr="009B7C21">
        <w:rPr>
          <w:rFonts w:cs="Arial"/>
          <w:szCs w:val="18"/>
          <w:highlight w:val="yellow"/>
          <w:u w:val="double"/>
          <w:lang w:val="en-GB" w:eastAsia="en-IE"/>
        </w:rPr>
        <w:t>via</w:t>
      </w:r>
      <w:r>
        <w:rPr>
          <w:rFonts w:cs="Arial"/>
          <w:szCs w:val="18"/>
          <w:lang w:val="en-GB" w:eastAsia="en-IE"/>
        </w:rPr>
        <w:t xml:space="preserve"> </w:t>
      </w:r>
      <w:r w:rsidRPr="00D403F5">
        <w:rPr>
          <w:rFonts w:cs="Arial"/>
          <w:szCs w:val="18"/>
          <w:lang w:val="en-GB" w:eastAsia="en-IE"/>
        </w:rPr>
        <w:t>co-housing</w:t>
      </w:r>
      <w:r>
        <w:rPr>
          <w:rFonts w:cs="Arial"/>
          <w:szCs w:val="18"/>
          <w:lang w:val="en-GB" w:eastAsia="en-IE"/>
        </w:rPr>
        <w:t xml:space="preserve"> </w:t>
      </w:r>
      <w:r w:rsidRPr="005A6BE1">
        <w:rPr>
          <w:rFonts w:cs="Arial"/>
          <w:szCs w:val="18"/>
          <w:highlight w:val="yellow"/>
          <w:u w:val="double"/>
          <w:lang w:val="en-GB" w:eastAsia="en-IE"/>
        </w:rPr>
        <w:t>or</w:t>
      </w:r>
      <w:r>
        <w:rPr>
          <w:rFonts w:cs="Arial"/>
          <w:szCs w:val="18"/>
          <w:lang w:val="en-GB" w:eastAsia="en-IE"/>
        </w:rPr>
        <w:t xml:space="preserve"> </w:t>
      </w:r>
      <w:r w:rsidRPr="00D403F5">
        <w:rPr>
          <w:rFonts w:cs="Arial"/>
          <w:szCs w:val="18"/>
          <w:lang w:val="en-GB" w:eastAsia="en-IE"/>
        </w:rPr>
        <w:t xml:space="preserve">contact </w:t>
      </w:r>
      <w:r w:rsidRPr="000C694A">
        <w:rPr>
          <w:rFonts w:cs="Arial"/>
          <w:strike/>
          <w:szCs w:val="18"/>
          <w:highlight w:val="yellow"/>
          <w:lang w:val="en-GB" w:eastAsia="en-IE"/>
        </w:rPr>
        <w:t>of</w:t>
      </w:r>
      <w:r w:rsidRPr="00072574">
        <w:rPr>
          <w:rFonts w:cs="Arial"/>
          <w:strike/>
          <w:szCs w:val="18"/>
          <w:highlight w:val="yellow"/>
          <w:lang w:val="en-GB" w:eastAsia="en-IE"/>
        </w:rPr>
        <w:t xml:space="preserve"> </w:t>
      </w:r>
      <w:r>
        <w:rPr>
          <w:rFonts w:cs="Arial"/>
          <w:szCs w:val="18"/>
          <w:highlight w:val="yellow"/>
          <w:u w:val="double"/>
          <w:lang w:val="en-GB" w:eastAsia="en-IE"/>
        </w:rPr>
        <w:t>with</w:t>
      </w:r>
      <w:r>
        <w:rPr>
          <w:rFonts w:cs="Arial"/>
          <w:szCs w:val="18"/>
          <w:lang w:val="en-GB" w:eastAsia="en-IE"/>
        </w:rPr>
        <w:t xml:space="preserve"> </w:t>
      </w:r>
      <w:r w:rsidRPr="00D403F5">
        <w:rPr>
          <w:rFonts w:cs="Arial"/>
          <w:szCs w:val="18"/>
          <w:lang w:val="en-GB" w:eastAsia="en-IE"/>
        </w:rPr>
        <w:t xml:space="preserve">wild animals </w:t>
      </w:r>
      <w:r w:rsidRPr="005A6BE1">
        <w:rPr>
          <w:rFonts w:cs="Arial"/>
          <w:strike/>
          <w:szCs w:val="18"/>
          <w:lang w:val="en-GB" w:eastAsia="en-IE"/>
        </w:rPr>
        <w:t>with</w:t>
      </w:r>
      <w:r w:rsidRPr="000C694A">
        <w:rPr>
          <w:rFonts w:cs="Arial"/>
          <w:strike/>
          <w:szCs w:val="18"/>
          <w:lang w:val="en-GB" w:eastAsia="en-IE"/>
        </w:rPr>
        <w:t xml:space="preserve"> </w:t>
      </w:r>
      <w:r>
        <w:rPr>
          <w:rFonts w:cs="Arial"/>
          <w:szCs w:val="18"/>
          <w:highlight w:val="yellow"/>
          <w:u w:val="double"/>
          <w:lang w:val="en-GB" w:eastAsia="en-IE"/>
        </w:rPr>
        <w:t>or</w:t>
      </w:r>
      <w:r>
        <w:rPr>
          <w:rFonts w:cs="Arial"/>
          <w:szCs w:val="18"/>
          <w:lang w:val="en-GB" w:eastAsia="en-IE"/>
        </w:rPr>
        <w:t xml:space="preserve"> </w:t>
      </w:r>
      <w:r w:rsidRPr="00D403F5">
        <w:rPr>
          <w:rFonts w:cs="Arial"/>
          <w:szCs w:val="18"/>
          <w:lang w:val="en-GB" w:eastAsia="en-IE"/>
        </w:rPr>
        <w:t>released or captive animals) or indirectly (via materials, contaminated water or soil)</w:t>
      </w:r>
      <w:r w:rsidRPr="00550549">
        <w:rPr>
          <w:rFonts w:cs="Arial"/>
          <w:strike/>
          <w:szCs w:val="18"/>
          <w:lang w:val="en-GB" w:eastAsia="en-IE"/>
        </w:rPr>
        <w:t xml:space="preserve"> </w:t>
      </w:r>
      <w:r w:rsidRPr="00550549">
        <w:rPr>
          <w:rFonts w:cs="Arial"/>
          <w:strike/>
          <w:szCs w:val="18"/>
          <w:highlight w:val="yellow"/>
          <w:lang w:val="en-GB" w:eastAsia="en-IE"/>
        </w:rPr>
        <w:t>come in contact with traded urodeles</w:t>
      </w:r>
      <w:r w:rsidRPr="00D403F5">
        <w:rPr>
          <w:rFonts w:cs="Arial"/>
          <w:szCs w:val="18"/>
          <w:lang w:val="en-GB" w:eastAsia="en-IE"/>
        </w:rPr>
        <w:t xml:space="preserve">, </w:t>
      </w:r>
      <w:r w:rsidRPr="00D403F5">
        <w:rPr>
          <w:rFonts w:cs="Arial"/>
          <w:szCs w:val="18"/>
          <w:lang w:eastAsia="en-IE"/>
        </w:rPr>
        <w:t xml:space="preserve">may </w:t>
      </w:r>
      <w:r w:rsidRPr="00D403F5">
        <w:rPr>
          <w:rFonts w:cs="Arial"/>
          <w:szCs w:val="18"/>
          <w:u w:val="double"/>
          <w:lang w:eastAsia="en-IE"/>
        </w:rPr>
        <w:t xml:space="preserve">have a high likelihood of </w:t>
      </w:r>
      <w:r w:rsidRPr="009B7C21">
        <w:rPr>
          <w:rFonts w:cs="Arial"/>
          <w:szCs w:val="18"/>
          <w:u w:val="double"/>
          <w:lang w:eastAsia="en-IE"/>
        </w:rPr>
        <w:t xml:space="preserve">exposure to </w:t>
      </w:r>
      <w:r w:rsidRPr="009B7C21">
        <w:rPr>
          <w:rFonts w:cs="Arial"/>
          <w:szCs w:val="18"/>
          <w:highlight w:val="yellow"/>
          <w:u w:val="double"/>
          <w:lang w:eastAsia="en-IE"/>
        </w:rPr>
        <w:t>infection</w:t>
      </w:r>
      <w:r w:rsidRPr="00550549">
        <w:rPr>
          <w:rFonts w:cs="Arial"/>
          <w:szCs w:val="18"/>
          <w:highlight w:val="yellow"/>
          <w:u w:val="double"/>
          <w:lang w:eastAsia="en-IE"/>
        </w:rPr>
        <w:t xml:space="preserve"> with</w:t>
      </w:r>
      <w:r>
        <w:rPr>
          <w:rFonts w:cs="Arial"/>
          <w:szCs w:val="18"/>
          <w:lang w:eastAsia="en-IE"/>
        </w:rPr>
        <w:t xml:space="preserve"> </w:t>
      </w:r>
      <w:r w:rsidRPr="00D403F5">
        <w:rPr>
          <w:rFonts w:cs="Arial"/>
          <w:strike/>
          <w:szCs w:val="18"/>
          <w:lang w:eastAsia="en-IE"/>
        </w:rPr>
        <w:t>be more likely to contract</w:t>
      </w:r>
      <w:r w:rsidRPr="00072574">
        <w:rPr>
          <w:rFonts w:cs="Arial"/>
          <w:szCs w:val="18"/>
          <w:lang w:eastAsia="en-IE"/>
        </w:rPr>
        <w:t xml:space="preserve"> </w:t>
      </w:r>
      <w:r w:rsidRPr="00D403F5">
        <w:rPr>
          <w:rFonts w:cs="Arial"/>
          <w:szCs w:val="18"/>
          <w:lang w:eastAsia="en-IE"/>
        </w:rPr>
        <w:t>Bsal</w:t>
      </w:r>
      <w:r w:rsidRPr="00D403F5">
        <w:rPr>
          <w:rFonts w:cs="Arial"/>
          <w:strike/>
          <w:szCs w:val="18"/>
          <w:lang w:eastAsia="en-IE"/>
        </w:rPr>
        <w:t xml:space="preserve"> infection</w:t>
      </w:r>
      <w:r w:rsidRPr="00D403F5">
        <w:rPr>
          <w:rFonts w:cs="Arial"/>
          <w:szCs w:val="18"/>
          <w:lang w:eastAsia="en-IE"/>
        </w:rPr>
        <w:t>.</w:t>
      </w:r>
    </w:p>
    <w:p w14:paraId="4D7F097D" w14:textId="77777777" w:rsidR="00E65E42" w:rsidRPr="00E04E06" w:rsidRDefault="00E65E42" w:rsidP="001C6A78">
      <w:pPr>
        <w:pStyle w:val="111"/>
        <w:spacing w:after="80"/>
        <w:ind w:left="1418"/>
        <w:rPr>
          <w:szCs w:val="20"/>
        </w:rPr>
      </w:pPr>
      <w:r w:rsidRPr="00E04E06">
        <w:rPr>
          <w:szCs w:val="20"/>
        </w:rPr>
        <w:t>2.2.5.</w:t>
      </w:r>
      <w:r w:rsidRPr="00E04E06">
        <w:rPr>
          <w:szCs w:val="20"/>
        </w:rPr>
        <w:tab/>
        <w:t>Distribution of the pathogen in the host</w:t>
      </w:r>
    </w:p>
    <w:p w14:paraId="1D9BD335" w14:textId="77777777" w:rsidR="00E65E42" w:rsidRPr="00D403F5" w:rsidRDefault="00E65E42" w:rsidP="00754D87">
      <w:pPr>
        <w:pStyle w:val="Para3"/>
        <w:spacing w:after="80"/>
        <w:rPr>
          <w:rFonts w:cs="Arial"/>
          <w:szCs w:val="18"/>
          <w:lang w:val="en-GB" w:eastAsia="fr-FR"/>
        </w:rPr>
      </w:pPr>
      <w:r w:rsidRPr="00D403F5">
        <w:rPr>
          <w:rFonts w:cs="Arial"/>
          <w:szCs w:val="18"/>
          <w:lang w:val="en-GB"/>
        </w:rPr>
        <w:t xml:space="preserve">Bsal only infects the skin, where it remains limited to the epidermis. </w:t>
      </w:r>
    </w:p>
    <w:p w14:paraId="7E026713" w14:textId="77777777" w:rsidR="00E65E42" w:rsidRPr="00E04E06" w:rsidRDefault="00E65E42" w:rsidP="001C6A78">
      <w:pPr>
        <w:pStyle w:val="111"/>
        <w:spacing w:after="80"/>
        <w:ind w:left="1418"/>
        <w:rPr>
          <w:szCs w:val="20"/>
        </w:rPr>
      </w:pPr>
      <w:r w:rsidRPr="00E04E06">
        <w:rPr>
          <w:szCs w:val="20"/>
        </w:rPr>
        <w:t>2.2.6.</w:t>
      </w:r>
      <w:r w:rsidRPr="00E04E06">
        <w:rPr>
          <w:szCs w:val="20"/>
        </w:rPr>
        <w:tab/>
      </w:r>
      <w:r w:rsidRPr="00E04E06">
        <w:rPr>
          <w:szCs w:val="20"/>
          <w:u w:val="double"/>
        </w:rPr>
        <w:t>Aquatic animal reservoirs of</w:t>
      </w:r>
      <w:r w:rsidRPr="00E04E06">
        <w:rPr>
          <w:szCs w:val="20"/>
        </w:rPr>
        <w:t xml:space="preserve"> </w:t>
      </w:r>
      <w:r w:rsidRPr="00E04E06">
        <w:rPr>
          <w:strike/>
          <w:szCs w:val="20"/>
        </w:rPr>
        <w:t xml:space="preserve">Persistent </w:t>
      </w:r>
      <w:r w:rsidRPr="00E04E06">
        <w:rPr>
          <w:szCs w:val="20"/>
        </w:rPr>
        <w:t>infection</w:t>
      </w:r>
    </w:p>
    <w:p w14:paraId="3D394767" w14:textId="77777777" w:rsidR="00E65E42" w:rsidRPr="00D403F5" w:rsidRDefault="00E65E42" w:rsidP="00E65E42">
      <w:pPr>
        <w:pStyle w:val="Para3"/>
        <w:spacing w:after="120"/>
        <w:rPr>
          <w:rFonts w:cs="Arial"/>
          <w:szCs w:val="18"/>
          <w:lang w:val="en-GB" w:eastAsia="fr-FR"/>
        </w:rPr>
      </w:pPr>
      <w:r w:rsidRPr="00D403F5">
        <w:rPr>
          <w:rFonts w:cs="Arial"/>
          <w:szCs w:val="18"/>
          <w:lang w:val="en-GB" w:eastAsia="fr-FR"/>
        </w:rPr>
        <w:t xml:space="preserve">A large number of salamanders, mainly belonging to the families Salamandridae and Hynobiidae, may survive episodes of infection (for example Alpine newts) or be considered tolerant, resulting in persistent subclinical infections. Although persistent infection has not been demonstrated for all species, in the native Bsal range in east Asia, Bsal infection and disease dynamics appear to be consistent for all species examined and appear capable of long-term persistent infections (Laking </w:t>
      </w:r>
      <w:r w:rsidRPr="00D403F5">
        <w:rPr>
          <w:rFonts w:cs="Arial"/>
          <w:i/>
          <w:szCs w:val="18"/>
          <w:lang w:val="en-GB" w:eastAsia="fr-FR"/>
        </w:rPr>
        <w:t>et al</w:t>
      </w:r>
      <w:r w:rsidRPr="00D403F5">
        <w:rPr>
          <w:rFonts w:cs="Arial"/>
          <w:szCs w:val="18"/>
          <w:lang w:val="en-GB" w:eastAsia="fr-FR"/>
        </w:rPr>
        <w:t xml:space="preserve">., 2017; Martel </w:t>
      </w:r>
      <w:r w:rsidRPr="00D403F5">
        <w:rPr>
          <w:rFonts w:cs="Arial"/>
          <w:i/>
          <w:szCs w:val="18"/>
          <w:lang w:val="en-GB" w:eastAsia="fr-FR"/>
        </w:rPr>
        <w:t>et al</w:t>
      </w:r>
      <w:r w:rsidRPr="00D403F5">
        <w:rPr>
          <w:rFonts w:cs="Arial"/>
          <w:szCs w:val="18"/>
          <w:lang w:val="en-GB" w:eastAsia="fr-FR"/>
        </w:rPr>
        <w:t xml:space="preserve">., 2014; </w:t>
      </w:r>
      <w:r w:rsidRPr="00D403F5">
        <w:rPr>
          <w:rFonts w:cs="Arial"/>
          <w:szCs w:val="18"/>
          <w:lang w:val="en-GB" w:eastAsia="en-IE"/>
        </w:rPr>
        <w:t xml:space="preserve">Zhiyong </w:t>
      </w:r>
      <w:r w:rsidRPr="00D403F5">
        <w:rPr>
          <w:rFonts w:cs="Arial"/>
          <w:i/>
          <w:szCs w:val="18"/>
          <w:lang w:val="en-GB" w:eastAsia="en-IE"/>
        </w:rPr>
        <w:t>et al</w:t>
      </w:r>
      <w:r w:rsidRPr="00D403F5">
        <w:rPr>
          <w:rFonts w:cs="Arial"/>
          <w:szCs w:val="18"/>
          <w:lang w:val="en-GB" w:eastAsia="en-IE"/>
        </w:rPr>
        <w:t>., 2018</w:t>
      </w:r>
      <w:r w:rsidRPr="00D403F5">
        <w:rPr>
          <w:rFonts w:cs="Arial"/>
          <w:szCs w:val="18"/>
          <w:lang w:val="en-GB" w:eastAsia="fr-FR"/>
        </w:rPr>
        <w:t xml:space="preserve">). </w:t>
      </w:r>
    </w:p>
    <w:p w14:paraId="4D9567EF" w14:textId="53155771" w:rsidR="00754D87" w:rsidRDefault="00754D87" w:rsidP="00754D87">
      <w:pPr>
        <w:spacing w:after="480" w:line="240" w:lineRule="auto"/>
        <w:jc w:val="right"/>
      </w:pPr>
      <w:r>
        <w:rPr>
          <w:u w:val="single"/>
        </w:rPr>
        <w:br w:type="page"/>
      </w: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12</w:t>
      </w:r>
      <w:r w:rsidRPr="00DB0A8D">
        <w:rPr>
          <w:rFonts w:cs="Times New Roman"/>
          <w:bCs/>
          <w:iCs/>
          <w:szCs w:val="20"/>
        </w:rPr>
        <w:t xml:space="preserve"> (contd)</w:t>
      </w:r>
    </w:p>
    <w:p w14:paraId="59750BDD" w14:textId="77777777" w:rsidR="00E65E42" w:rsidRPr="00D403F5" w:rsidRDefault="00E65E42" w:rsidP="00754D87">
      <w:pPr>
        <w:pStyle w:val="Para3"/>
        <w:spacing w:after="60"/>
        <w:rPr>
          <w:rFonts w:cs="Arial"/>
          <w:szCs w:val="18"/>
          <w:lang w:val="en-GB" w:eastAsia="fr-FR"/>
        </w:rPr>
      </w:pPr>
      <w:r w:rsidRPr="00D403F5">
        <w:rPr>
          <w:rFonts w:cs="Arial"/>
          <w:szCs w:val="18"/>
          <w:lang w:val="en-GB" w:eastAsia="fr-FR"/>
        </w:rPr>
        <w:t xml:space="preserve">In its invasive range, persistent infections (e.g. in Alpine newts) have been implicated in the </w:t>
      </w:r>
      <w:r w:rsidRPr="003D58CD">
        <w:rPr>
          <w:rFonts w:cs="Arial"/>
          <w:strike/>
          <w:szCs w:val="18"/>
          <w:highlight w:val="yellow"/>
          <w:lang w:val="en-GB" w:eastAsia="fr-FR"/>
        </w:rPr>
        <w:t xml:space="preserve">extirpation </w:t>
      </w:r>
      <w:r w:rsidRPr="003D58CD">
        <w:rPr>
          <w:rFonts w:cs="Arial"/>
          <w:szCs w:val="18"/>
          <w:highlight w:val="yellow"/>
          <w:u w:val="double"/>
          <w:lang w:val="en-GB" w:eastAsia="fr-FR"/>
        </w:rPr>
        <w:t xml:space="preserve">local </w:t>
      </w:r>
      <w:r w:rsidRPr="001E7D7C">
        <w:rPr>
          <w:rFonts w:cs="Arial"/>
          <w:szCs w:val="18"/>
          <w:highlight w:val="yellow"/>
          <w:u w:val="double"/>
          <w:lang w:val="en-GB" w:eastAsia="fr-FR"/>
        </w:rPr>
        <w:t>extinction</w:t>
      </w:r>
      <w:r>
        <w:rPr>
          <w:rFonts w:cs="Arial"/>
          <w:szCs w:val="18"/>
          <w:lang w:val="en-GB" w:eastAsia="fr-FR"/>
        </w:rPr>
        <w:t xml:space="preserve"> </w:t>
      </w:r>
      <w:r w:rsidRPr="00D403F5">
        <w:rPr>
          <w:rFonts w:cs="Arial"/>
          <w:szCs w:val="18"/>
          <w:lang w:val="en-GB" w:eastAsia="fr-FR"/>
        </w:rPr>
        <w:t xml:space="preserve">of a highly susceptible species (fire salamanders). It is currently not clear which of the species, mentioned in </w:t>
      </w:r>
      <w:r>
        <w:rPr>
          <w:rFonts w:cs="Arial"/>
          <w:szCs w:val="18"/>
          <w:lang w:val="en-GB" w:eastAsia="fr-FR"/>
        </w:rPr>
        <w:t xml:space="preserve">Section </w:t>
      </w:r>
      <w:r w:rsidRPr="00D403F5">
        <w:rPr>
          <w:rFonts w:cs="Arial"/>
          <w:szCs w:val="18"/>
          <w:lang w:val="en-GB" w:eastAsia="fr-FR"/>
        </w:rPr>
        <w:t xml:space="preserve">2.2.1 may sustain persistent infections in the invasive Bsal range. At least some species (the best-known example is the fire salamander) are highly susceptible and invariably die </w:t>
      </w:r>
      <w:r w:rsidRPr="00D403F5">
        <w:rPr>
          <w:rFonts w:cs="Arial"/>
          <w:szCs w:val="18"/>
          <w:u w:val="double"/>
          <w:lang w:val="en-GB" w:eastAsia="fr-FR"/>
        </w:rPr>
        <w:t>shortly</w:t>
      </w:r>
      <w:r w:rsidRPr="00D403F5">
        <w:rPr>
          <w:rFonts w:cs="Arial"/>
          <w:szCs w:val="18"/>
          <w:lang w:val="en-GB" w:eastAsia="fr-FR"/>
        </w:rPr>
        <w:t xml:space="preserve"> </w:t>
      </w:r>
      <w:r w:rsidRPr="00D403F5">
        <w:rPr>
          <w:rFonts w:cs="Arial"/>
          <w:strike/>
          <w:szCs w:val="18"/>
          <w:lang w:val="en-GB" w:eastAsia="fr-FR"/>
        </w:rPr>
        <w:t xml:space="preserve">briefly </w:t>
      </w:r>
      <w:r w:rsidRPr="00D403F5">
        <w:rPr>
          <w:rFonts w:cs="Arial"/>
          <w:szCs w:val="18"/>
          <w:lang w:val="en-GB" w:eastAsia="fr-FR"/>
        </w:rPr>
        <w:t xml:space="preserve">after exposure (Martel </w:t>
      </w:r>
      <w:r w:rsidRPr="00D403F5">
        <w:rPr>
          <w:rFonts w:cs="Arial"/>
          <w:i/>
          <w:szCs w:val="18"/>
          <w:lang w:val="en-GB" w:eastAsia="fr-FR"/>
        </w:rPr>
        <w:t>et al</w:t>
      </w:r>
      <w:r w:rsidRPr="00D403F5">
        <w:rPr>
          <w:rFonts w:cs="Arial"/>
          <w:szCs w:val="18"/>
          <w:lang w:val="en-GB" w:eastAsia="fr-FR"/>
        </w:rPr>
        <w:t xml:space="preserve">., 2014; Stegen </w:t>
      </w:r>
      <w:r w:rsidRPr="00D403F5">
        <w:rPr>
          <w:rFonts w:cs="Arial"/>
          <w:i/>
          <w:szCs w:val="18"/>
          <w:lang w:val="en-GB" w:eastAsia="fr-FR"/>
        </w:rPr>
        <w:t>et al</w:t>
      </w:r>
      <w:r w:rsidRPr="00D403F5">
        <w:rPr>
          <w:rFonts w:cs="Arial"/>
          <w:szCs w:val="18"/>
          <w:lang w:val="en-GB" w:eastAsia="fr-FR"/>
        </w:rPr>
        <w:t xml:space="preserve">., 2017), </w:t>
      </w:r>
      <w:r w:rsidRPr="00D403F5">
        <w:rPr>
          <w:rFonts w:cs="Arial"/>
          <w:szCs w:val="18"/>
          <w:u w:val="double"/>
          <w:lang w:val="en-GB" w:eastAsia="fr-FR"/>
        </w:rPr>
        <w:t>making</w:t>
      </w:r>
      <w:r w:rsidRPr="00D403F5">
        <w:rPr>
          <w:rFonts w:cs="Arial"/>
          <w:szCs w:val="18"/>
          <w:lang w:val="en-GB" w:eastAsia="fr-FR"/>
        </w:rPr>
        <w:t xml:space="preserve"> </w:t>
      </w:r>
      <w:r w:rsidRPr="00D403F5">
        <w:rPr>
          <w:rFonts w:cs="Arial"/>
          <w:strike/>
          <w:szCs w:val="18"/>
          <w:lang w:val="en-GB" w:eastAsia="fr-FR"/>
        </w:rPr>
        <w:t xml:space="preserve">which would make </w:t>
      </w:r>
      <w:r w:rsidRPr="00D403F5">
        <w:rPr>
          <w:rFonts w:cs="Arial"/>
          <w:szCs w:val="18"/>
          <w:lang w:val="en-GB" w:eastAsia="fr-FR"/>
        </w:rPr>
        <w:t xml:space="preserve">them unlikely to sustain persistent infections. </w:t>
      </w:r>
    </w:p>
    <w:p w14:paraId="7A550821" w14:textId="77777777" w:rsidR="00E65E42" w:rsidRPr="00D403F5" w:rsidRDefault="00E65E42" w:rsidP="00754D87">
      <w:pPr>
        <w:pStyle w:val="Para3"/>
        <w:spacing w:after="60"/>
        <w:rPr>
          <w:szCs w:val="18"/>
          <w:lang w:val="en-GB"/>
        </w:rPr>
      </w:pPr>
      <w:r w:rsidRPr="00D403F5">
        <w:rPr>
          <w:szCs w:val="18"/>
          <w:lang w:val="en-GB"/>
        </w:rPr>
        <w:t>It is not known whether other, biotic reservoirs of Bsal exist.</w:t>
      </w:r>
    </w:p>
    <w:p w14:paraId="2B25DAF1" w14:textId="77777777" w:rsidR="00E65E42" w:rsidRPr="00E04E06" w:rsidRDefault="00E65E42" w:rsidP="001C6A78">
      <w:pPr>
        <w:pStyle w:val="111"/>
        <w:spacing w:after="60"/>
        <w:ind w:left="1418"/>
        <w:rPr>
          <w:szCs w:val="20"/>
        </w:rPr>
      </w:pPr>
      <w:r w:rsidRPr="00E04E06">
        <w:rPr>
          <w:szCs w:val="20"/>
        </w:rPr>
        <w:t>2.2.7.</w:t>
      </w:r>
      <w:r w:rsidRPr="00E04E06">
        <w:rPr>
          <w:szCs w:val="20"/>
        </w:rPr>
        <w:tab/>
        <w:t>Vectors</w:t>
      </w:r>
    </w:p>
    <w:p w14:paraId="664D1A41" w14:textId="77777777" w:rsidR="00E65E42" w:rsidRPr="00D403F5" w:rsidRDefault="00E65E42" w:rsidP="00754D87">
      <w:pPr>
        <w:pStyle w:val="Para3"/>
        <w:spacing w:after="60"/>
        <w:rPr>
          <w:szCs w:val="18"/>
          <w:lang w:val="en-GB"/>
        </w:rPr>
      </w:pPr>
      <w:r w:rsidRPr="00D403F5">
        <w:rPr>
          <w:rFonts w:cs="Arial"/>
          <w:szCs w:val="18"/>
          <w:lang w:val="en-GB"/>
        </w:rPr>
        <w:t xml:space="preserve">There is evidence that </w:t>
      </w:r>
      <w:r w:rsidRPr="00D403F5">
        <w:rPr>
          <w:rFonts w:cs="Arial"/>
          <w:szCs w:val="18"/>
          <w:u w:val="double"/>
          <w:lang w:val="en-GB"/>
        </w:rPr>
        <w:t>birds may carry</w:t>
      </w:r>
      <w:r w:rsidRPr="00D403F5">
        <w:rPr>
          <w:rFonts w:cs="Arial"/>
          <w:szCs w:val="18"/>
          <w:lang w:val="en-GB"/>
        </w:rPr>
        <w:t xml:space="preserve"> zoospores attached to </w:t>
      </w:r>
      <w:r w:rsidRPr="00D403F5">
        <w:rPr>
          <w:rFonts w:cs="Arial"/>
          <w:szCs w:val="18"/>
          <w:u w:val="double"/>
          <w:lang w:val="en-GB"/>
        </w:rPr>
        <w:t>their</w:t>
      </w:r>
      <w:r w:rsidRPr="00D403F5">
        <w:rPr>
          <w:rFonts w:cs="Arial"/>
          <w:szCs w:val="18"/>
          <w:lang w:val="en-GB"/>
        </w:rPr>
        <w:t xml:space="preserve"> </w:t>
      </w:r>
      <w:r w:rsidRPr="00D403F5">
        <w:rPr>
          <w:rFonts w:cs="Arial"/>
          <w:strike/>
          <w:szCs w:val="18"/>
          <w:lang w:val="en-GB"/>
        </w:rPr>
        <w:t xml:space="preserve">the </w:t>
      </w:r>
      <w:r w:rsidRPr="00D403F5">
        <w:rPr>
          <w:rFonts w:cs="Arial"/>
          <w:szCs w:val="18"/>
          <w:lang w:val="en-GB"/>
        </w:rPr>
        <w:t xml:space="preserve">feet </w:t>
      </w:r>
      <w:r w:rsidRPr="00D403F5">
        <w:rPr>
          <w:rFonts w:cs="Arial"/>
          <w:strike/>
          <w:szCs w:val="18"/>
          <w:lang w:val="en-GB"/>
        </w:rPr>
        <w:t xml:space="preserve">of birds </w:t>
      </w:r>
      <w:r w:rsidRPr="00D403F5">
        <w:rPr>
          <w:rFonts w:cs="Arial"/>
          <w:szCs w:val="18"/>
          <w:lang w:val="en-GB"/>
        </w:rPr>
        <w:t xml:space="preserve">(Stegen </w:t>
      </w:r>
      <w:r w:rsidRPr="00D403F5">
        <w:rPr>
          <w:rFonts w:cs="Arial"/>
          <w:i/>
          <w:szCs w:val="18"/>
          <w:lang w:val="en-GB"/>
        </w:rPr>
        <w:t>et al</w:t>
      </w:r>
      <w:r w:rsidRPr="00D403F5">
        <w:rPr>
          <w:rFonts w:cs="Arial"/>
          <w:szCs w:val="18"/>
          <w:lang w:val="en-GB"/>
        </w:rPr>
        <w:t>., 2017)</w:t>
      </w:r>
      <w:r w:rsidRPr="00D403F5">
        <w:rPr>
          <w:rFonts w:cs="Arial"/>
          <w:strike/>
          <w:szCs w:val="18"/>
          <w:lang w:val="en-GB"/>
        </w:rPr>
        <w:t>, which may</w:t>
      </w:r>
      <w:r w:rsidRPr="00D403F5">
        <w:rPr>
          <w:rFonts w:cs="Arial"/>
          <w:szCs w:val="18"/>
          <w:lang w:val="en-GB"/>
        </w:rPr>
        <w:t xml:space="preserve"> </w:t>
      </w:r>
      <w:r w:rsidRPr="00D403F5">
        <w:rPr>
          <w:rFonts w:cs="Arial"/>
          <w:szCs w:val="18"/>
          <w:u w:val="double"/>
          <w:lang w:val="en-GB"/>
        </w:rPr>
        <w:t>and</w:t>
      </w:r>
      <w:r w:rsidRPr="00D403F5">
        <w:rPr>
          <w:rFonts w:cs="Arial"/>
          <w:szCs w:val="18"/>
          <w:lang w:val="en-GB"/>
        </w:rPr>
        <w:t xml:space="preserve"> thus </w:t>
      </w:r>
      <w:r w:rsidRPr="00D403F5">
        <w:rPr>
          <w:rFonts w:cs="Arial"/>
          <w:szCs w:val="18"/>
          <w:u w:val="double"/>
          <w:lang w:val="en-GB"/>
        </w:rPr>
        <w:t>may</w:t>
      </w:r>
      <w:r w:rsidRPr="00D403F5">
        <w:rPr>
          <w:rFonts w:cs="Arial"/>
          <w:szCs w:val="18"/>
          <w:lang w:val="en-GB"/>
        </w:rPr>
        <w:t xml:space="preserve"> act as vectors for Bsal. </w:t>
      </w:r>
    </w:p>
    <w:p w14:paraId="36F50D20" w14:textId="77777777" w:rsidR="00E65E42" w:rsidRPr="00E04E06" w:rsidRDefault="00E65E42" w:rsidP="001C6A78">
      <w:pPr>
        <w:pStyle w:val="11"/>
        <w:tabs>
          <w:tab w:val="left" w:pos="1418"/>
        </w:tabs>
        <w:spacing w:after="160"/>
        <w:ind w:left="851" w:hanging="567"/>
        <w:rPr>
          <w:rFonts w:ascii="Ottawa" w:hAnsi="Ottawa"/>
          <w:sz w:val="21"/>
          <w:szCs w:val="21"/>
          <w:lang w:val="en-GB"/>
        </w:rPr>
      </w:pPr>
      <w:r w:rsidRPr="00E04E06">
        <w:rPr>
          <w:rFonts w:ascii="Ottawa" w:hAnsi="Ottawa"/>
          <w:sz w:val="21"/>
          <w:szCs w:val="21"/>
          <w:lang w:val="en-GB"/>
        </w:rPr>
        <w:t>2.3.</w:t>
      </w:r>
      <w:r w:rsidRPr="00E04E06">
        <w:rPr>
          <w:rFonts w:ascii="Ottawa" w:hAnsi="Ottawa"/>
          <w:sz w:val="21"/>
          <w:szCs w:val="21"/>
          <w:lang w:val="en-GB"/>
        </w:rPr>
        <w:tab/>
        <w:t>Disease pattern</w:t>
      </w:r>
    </w:p>
    <w:p w14:paraId="72055279" w14:textId="77777777" w:rsidR="00E65E42" w:rsidRPr="00E04E06" w:rsidRDefault="00E65E42" w:rsidP="001C6A78">
      <w:pPr>
        <w:pStyle w:val="111"/>
        <w:spacing w:after="60"/>
        <w:ind w:firstLine="0"/>
        <w:rPr>
          <w:szCs w:val="20"/>
        </w:rPr>
      </w:pPr>
      <w:r w:rsidRPr="00E04E06">
        <w:rPr>
          <w:szCs w:val="20"/>
        </w:rPr>
        <w:t>2.3.1.</w:t>
      </w:r>
      <w:r w:rsidRPr="00E04E06">
        <w:rPr>
          <w:szCs w:val="20"/>
        </w:rPr>
        <w:tab/>
        <w:t xml:space="preserve">Mortality, morbidity and prevalence </w:t>
      </w:r>
    </w:p>
    <w:p w14:paraId="5139E198" w14:textId="77777777" w:rsidR="00E65E42" w:rsidRPr="00D403F5" w:rsidRDefault="00E65E42" w:rsidP="00754D87">
      <w:pPr>
        <w:pStyle w:val="Para3"/>
        <w:spacing w:after="60"/>
        <w:rPr>
          <w:rFonts w:cs="Arial"/>
          <w:szCs w:val="18"/>
          <w:lang w:val="en-GB" w:eastAsia="fr-FR"/>
        </w:rPr>
      </w:pPr>
      <w:r w:rsidRPr="00D403F5">
        <w:rPr>
          <w:rFonts w:cs="Arial"/>
          <w:szCs w:val="18"/>
          <w:lang w:val="en-GB" w:eastAsia="fr-FR"/>
        </w:rPr>
        <w:t xml:space="preserve">In its native range in east Asia, Bsal has been demonstrated to be present in the wild at a prevalence of between 2 and 4% on average (data from China [People’s Rep. of], Japan, Thailand, and Vietnam; Laking </w:t>
      </w:r>
      <w:r w:rsidRPr="00D403F5">
        <w:rPr>
          <w:rFonts w:cs="Arial"/>
          <w:i/>
          <w:szCs w:val="18"/>
          <w:lang w:val="en-GB" w:eastAsia="fr-FR"/>
        </w:rPr>
        <w:t>et al</w:t>
      </w:r>
      <w:r w:rsidRPr="00D403F5">
        <w:rPr>
          <w:rFonts w:cs="Arial"/>
          <w:szCs w:val="18"/>
          <w:lang w:val="en-GB" w:eastAsia="fr-FR"/>
        </w:rPr>
        <w:t xml:space="preserve">., 2017; Martel </w:t>
      </w:r>
      <w:r w:rsidRPr="00D403F5">
        <w:rPr>
          <w:rFonts w:cs="Arial"/>
          <w:i/>
          <w:szCs w:val="18"/>
          <w:lang w:val="en-GB" w:eastAsia="fr-FR"/>
        </w:rPr>
        <w:t>et al</w:t>
      </w:r>
      <w:r w:rsidRPr="00D403F5">
        <w:rPr>
          <w:rFonts w:cs="Arial"/>
          <w:szCs w:val="18"/>
          <w:lang w:val="en-GB" w:eastAsia="fr-FR"/>
        </w:rPr>
        <w:t xml:space="preserve">., 2014; Zhiyong </w:t>
      </w:r>
      <w:r w:rsidRPr="00D403F5">
        <w:rPr>
          <w:rFonts w:cs="Arial"/>
          <w:i/>
          <w:szCs w:val="18"/>
          <w:lang w:val="en-GB" w:eastAsia="fr-FR"/>
        </w:rPr>
        <w:t>et al</w:t>
      </w:r>
      <w:r w:rsidRPr="00D403F5">
        <w:rPr>
          <w:rFonts w:cs="Arial"/>
          <w:szCs w:val="18"/>
          <w:lang w:val="en-GB" w:eastAsia="fr-FR"/>
        </w:rPr>
        <w:t>., 2018), but in the absence of any observed morbidity or mortality under natural conditions. In some populations (</w:t>
      </w:r>
      <w:r w:rsidRPr="00D403F5">
        <w:rPr>
          <w:rFonts w:cs="Arial"/>
          <w:i/>
          <w:szCs w:val="18"/>
          <w:lang w:val="en-GB" w:eastAsia="fr-FR"/>
        </w:rPr>
        <w:t>Paramesotriton hongkongensis</w:t>
      </w:r>
      <w:r w:rsidRPr="00D403F5">
        <w:rPr>
          <w:rFonts w:cs="Arial"/>
          <w:szCs w:val="18"/>
          <w:lang w:val="en-GB" w:eastAsia="fr-FR"/>
        </w:rPr>
        <w:t xml:space="preserve">), prevalence may reach 50% (Zhiyong </w:t>
      </w:r>
      <w:r w:rsidRPr="00D403F5">
        <w:rPr>
          <w:rFonts w:cs="Arial"/>
          <w:i/>
          <w:szCs w:val="18"/>
          <w:lang w:val="en-GB" w:eastAsia="fr-FR"/>
        </w:rPr>
        <w:t>et al</w:t>
      </w:r>
      <w:r w:rsidRPr="00D403F5">
        <w:rPr>
          <w:rFonts w:cs="Arial"/>
          <w:szCs w:val="18"/>
          <w:lang w:val="en-GB" w:eastAsia="fr-FR"/>
        </w:rPr>
        <w:t xml:space="preserve">., 2018). In its invasive range in Europe, Bsal was present in a population of fire salamanders at a prevalence of between 25 and 63% (Stegen </w:t>
      </w:r>
      <w:r w:rsidRPr="00D403F5">
        <w:rPr>
          <w:rFonts w:cs="Arial"/>
          <w:i/>
          <w:szCs w:val="18"/>
          <w:lang w:val="en-GB" w:eastAsia="fr-FR"/>
        </w:rPr>
        <w:t>et al</w:t>
      </w:r>
      <w:r w:rsidRPr="00D403F5">
        <w:rPr>
          <w:rFonts w:cs="Arial"/>
          <w:szCs w:val="18"/>
          <w:lang w:val="en-GB" w:eastAsia="fr-FR"/>
        </w:rPr>
        <w:t xml:space="preserve">., 2017). </w:t>
      </w:r>
      <w:r w:rsidRPr="001E7D7C">
        <w:rPr>
          <w:rFonts w:cs="Arial"/>
          <w:strike/>
          <w:szCs w:val="18"/>
          <w:highlight w:val="yellow"/>
          <w:lang w:val="en-GB" w:eastAsia="fr-FR"/>
        </w:rPr>
        <w:t>In captive collections of urodeles in Europe,</w:t>
      </w:r>
      <w:r w:rsidRPr="00D403F5">
        <w:rPr>
          <w:rFonts w:cs="Arial"/>
          <w:szCs w:val="18"/>
          <w:lang w:val="en-GB" w:eastAsia="fr-FR"/>
        </w:rPr>
        <w:t xml:space="preserve">Bsal occurrence and associated mortality </w:t>
      </w:r>
      <w:r w:rsidRPr="00804396">
        <w:rPr>
          <w:rFonts w:cs="Arial"/>
          <w:szCs w:val="18"/>
          <w:highlight w:val="yellow"/>
          <w:u w:val="double"/>
          <w:lang w:val="en-GB" w:eastAsia="fr-FR"/>
        </w:rPr>
        <w:t>has been</w:t>
      </w:r>
      <w:r w:rsidRPr="00804396">
        <w:rPr>
          <w:rFonts w:cs="Arial"/>
          <w:szCs w:val="18"/>
          <w:highlight w:val="yellow"/>
          <w:lang w:val="en-GB" w:eastAsia="fr-FR"/>
        </w:rPr>
        <w:t xml:space="preserve"> </w:t>
      </w:r>
      <w:r w:rsidRPr="00804396">
        <w:rPr>
          <w:rFonts w:cs="Arial"/>
          <w:strike/>
          <w:szCs w:val="18"/>
          <w:highlight w:val="yellow"/>
          <w:lang w:val="en-GB" w:eastAsia="fr-FR"/>
        </w:rPr>
        <w:t>were</w:t>
      </w:r>
      <w:r w:rsidRPr="00804396">
        <w:rPr>
          <w:rFonts w:cs="Arial"/>
          <w:strike/>
          <w:szCs w:val="18"/>
          <w:lang w:val="en-GB" w:eastAsia="fr-FR"/>
        </w:rPr>
        <w:t xml:space="preserve"> </w:t>
      </w:r>
      <w:r w:rsidRPr="00D403F5">
        <w:rPr>
          <w:rFonts w:cs="Arial"/>
          <w:szCs w:val="18"/>
          <w:lang w:val="en-GB" w:eastAsia="fr-FR"/>
        </w:rPr>
        <w:t xml:space="preserve">detected in </w:t>
      </w:r>
      <w:r w:rsidRPr="00804396">
        <w:rPr>
          <w:rFonts w:cs="Arial"/>
          <w:szCs w:val="18"/>
          <w:highlight w:val="yellow"/>
          <w:u w:val="double"/>
          <w:lang w:val="en-GB" w:eastAsia="fr-FR"/>
        </w:rPr>
        <w:t>captive collections of urodeles in Europe, including</w:t>
      </w:r>
      <w:r>
        <w:rPr>
          <w:rFonts w:cs="Arial"/>
          <w:szCs w:val="18"/>
          <w:lang w:val="en-GB" w:eastAsia="fr-FR"/>
        </w:rPr>
        <w:t xml:space="preserve"> </w:t>
      </w:r>
      <w:r w:rsidRPr="00D403F5">
        <w:rPr>
          <w:rFonts w:cs="Arial"/>
          <w:szCs w:val="18"/>
          <w:lang w:val="en-GB" w:eastAsia="fr-FR"/>
        </w:rPr>
        <w:t xml:space="preserve">Germany (1), the United Kingdom (4), Belgium (1), the Netherlands (2) and Spain (1) (number in brackets indicates number of collections). When left untreated, morbidity and mortality can reach 100%, at least in members of the genus </w:t>
      </w:r>
      <w:r w:rsidRPr="00D403F5">
        <w:rPr>
          <w:rFonts w:cs="Arial"/>
          <w:i/>
          <w:szCs w:val="18"/>
          <w:lang w:val="en-GB" w:eastAsia="fr-FR"/>
        </w:rPr>
        <w:t>Salamandra</w:t>
      </w:r>
      <w:r w:rsidRPr="00D403F5">
        <w:rPr>
          <w:rFonts w:cs="Arial"/>
          <w:szCs w:val="18"/>
          <w:lang w:val="en-GB" w:eastAsia="fr-FR"/>
        </w:rPr>
        <w:t>.</w:t>
      </w:r>
    </w:p>
    <w:p w14:paraId="349064F4" w14:textId="77777777" w:rsidR="00E65E42" w:rsidRPr="00D403F5" w:rsidRDefault="00E65E42" w:rsidP="00754D87">
      <w:pPr>
        <w:pStyle w:val="Para3"/>
        <w:spacing w:after="60"/>
        <w:rPr>
          <w:rFonts w:cs="Arial"/>
          <w:szCs w:val="18"/>
          <w:lang w:val="en-GB" w:eastAsia="fr-FR"/>
        </w:rPr>
      </w:pPr>
      <w:r w:rsidRPr="00C67010">
        <w:rPr>
          <w:rFonts w:cs="Arial"/>
          <w:szCs w:val="18"/>
          <w:lang w:val="en-GB" w:eastAsia="fr-FR"/>
        </w:rPr>
        <w:t>Morbidity, mortality and minimum infectious</w:t>
      </w:r>
      <w:r w:rsidRPr="00D403F5">
        <w:rPr>
          <w:rFonts w:cs="Arial"/>
          <w:szCs w:val="18"/>
          <w:lang w:val="en-GB" w:eastAsia="fr-FR"/>
        </w:rPr>
        <w:t xml:space="preserve"> dose vary considerably between species (Martel </w:t>
      </w:r>
      <w:r w:rsidRPr="00D403F5">
        <w:rPr>
          <w:rFonts w:cs="Arial"/>
          <w:i/>
          <w:szCs w:val="18"/>
          <w:lang w:val="en-GB" w:eastAsia="fr-FR"/>
        </w:rPr>
        <w:t>et al</w:t>
      </w:r>
      <w:r w:rsidRPr="00D403F5">
        <w:rPr>
          <w:rFonts w:cs="Arial"/>
          <w:szCs w:val="18"/>
          <w:lang w:val="en-GB" w:eastAsia="fr-FR"/>
        </w:rPr>
        <w:t xml:space="preserve">., 2014; Stegen </w:t>
      </w:r>
      <w:r w:rsidRPr="00D403F5">
        <w:rPr>
          <w:rFonts w:cs="Arial"/>
          <w:i/>
          <w:szCs w:val="18"/>
          <w:lang w:val="en-GB" w:eastAsia="fr-FR"/>
        </w:rPr>
        <w:t>et al</w:t>
      </w:r>
      <w:r w:rsidRPr="00D403F5">
        <w:rPr>
          <w:rFonts w:cs="Arial"/>
          <w:szCs w:val="18"/>
          <w:lang w:val="en-GB" w:eastAsia="fr-FR"/>
        </w:rPr>
        <w:t xml:space="preserve">., 2017). Based on natural outbreaks in captivity and in the wild and </w:t>
      </w:r>
      <w:r w:rsidRPr="00D403F5">
        <w:rPr>
          <w:rFonts w:cs="Arial"/>
          <w:szCs w:val="18"/>
          <w:u w:val="double"/>
          <w:lang w:val="en-GB" w:eastAsia="fr-FR"/>
        </w:rPr>
        <w:t>in</w:t>
      </w:r>
      <w:r w:rsidRPr="00D403F5">
        <w:rPr>
          <w:rFonts w:cs="Arial"/>
          <w:szCs w:val="18"/>
          <w:lang w:val="en-GB" w:eastAsia="fr-FR"/>
        </w:rPr>
        <w:t xml:space="preserve"> </w:t>
      </w:r>
      <w:r w:rsidRPr="00D403F5">
        <w:rPr>
          <w:rFonts w:cs="Arial"/>
          <w:strike/>
          <w:szCs w:val="18"/>
          <w:lang w:val="en-GB" w:eastAsia="fr-FR"/>
        </w:rPr>
        <w:t xml:space="preserve">on </w:t>
      </w:r>
      <w:r w:rsidRPr="00D403F5">
        <w:rPr>
          <w:rFonts w:cs="Arial"/>
          <w:szCs w:val="18"/>
          <w:lang w:val="en-GB" w:eastAsia="fr-FR"/>
        </w:rPr>
        <w:t xml:space="preserve">infection trials, </w:t>
      </w:r>
      <w:r w:rsidRPr="00D403F5">
        <w:rPr>
          <w:rFonts w:cs="Arial"/>
          <w:szCs w:val="18"/>
          <w:u w:val="double"/>
          <w:lang w:val="en-GB" w:eastAsia="fr-FR"/>
        </w:rPr>
        <w:t>the</w:t>
      </w:r>
      <w:r w:rsidRPr="00D403F5">
        <w:rPr>
          <w:rFonts w:cs="Arial"/>
          <w:szCs w:val="18"/>
          <w:lang w:val="en-GB" w:eastAsia="fr-FR"/>
        </w:rPr>
        <w:t xml:space="preserve"> case morbidity and case mortality rate in fire salamanders can reach 100%, independent of the initial level of Bsal exposure. This has resulted in </w:t>
      </w:r>
      <w:r w:rsidRPr="00D403F5">
        <w:rPr>
          <w:rFonts w:cs="Arial"/>
          <w:szCs w:val="18"/>
          <w:u w:val="double"/>
          <w:lang w:val="en-GB" w:eastAsia="fr-FR"/>
        </w:rPr>
        <w:t>the</w:t>
      </w:r>
      <w:r w:rsidRPr="00D403F5">
        <w:rPr>
          <w:rFonts w:cs="Arial"/>
          <w:szCs w:val="18"/>
          <w:lang w:val="en-GB" w:eastAsia="fr-FR"/>
        </w:rPr>
        <w:t xml:space="preserve"> loss of over 99.9% of the fire salamander population at the Bsal index outbreak site in the Netherlands (Spitzen-van der Sluijs </w:t>
      </w:r>
      <w:r w:rsidRPr="00D403F5">
        <w:rPr>
          <w:rFonts w:cs="Arial"/>
          <w:i/>
          <w:szCs w:val="18"/>
          <w:lang w:val="en-GB" w:eastAsia="fr-FR"/>
        </w:rPr>
        <w:t>et al</w:t>
      </w:r>
      <w:r w:rsidRPr="00D403F5">
        <w:rPr>
          <w:rFonts w:cs="Arial"/>
          <w:szCs w:val="18"/>
          <w:lang w:val="en-GB" w:eastAsia="fr-FR"/>
        </w:rPr>
        <w:t xml:space="preserve">., 2016). All tested western Palearctic urodeles, except for </w:t>
      </w:r>
      <w:r w:rsidRPr="00D403F5">
        <w:rPr>
          <w:rFonts w:cs="Arial"/>
          <w:i/>
          <w:szCs w:val="18"/>
          <w:lang w:val="en-GB" w:eastAsia="fr-FR"/>
        </w:rPr>
        <w:t>Lissotriton helveticus</w:t>
      </w:r>
      <w:r w:rsidRPr="00D403F5">
        <w:rPr>
          <w:rFonts w:cs="Arial"/>
          <w:szCs w:val="18"/>
          <w:lang w:val="en-GB" w:eastAsia="fr-FR"/>
        </w:rPr>
        <w:t xml:space="preserve"> and </w:t>
      </w:r>
      <w:r w:rsidRPr="00D403F5">
        <w:rPr>
          <w:rFonts w:cs="Arial"/>
          <w:i/>
          <w:szCs w:val="18"/>
          <w:lang w:val="en-GB" w:eastAsia="fr-FR"/>
        </w:rPr>
        <w:t>Salamandrella keyserlingii</w:t>
      </w:r>
      <w:r w:rsidRPr="00D403F5">
        <w:rPr>
          <w:rFonts w:cs="Arial"/>
          <w:szCs w:val="18"/>
          <w:lang w:val="en-GB" w:eastAsia="fr-FR"/>
        </w:rPr>
        <w:t xml:space="preserve">, showed 100% morbidity and mortality when exposed to a single, high dose of Bsal (Martel </w:t>
      </w:r>
      <w:r w:rsidRPr="00D403F5">
        <w:rPr>
          <w:rFonts w:cs="Arial"/>
          <w:i/>
          <w:szCs w:val="18"/>
          <w:lang w:val="en-GB" w:eastAsia="fr-FR"/>
        </w:rPr>
        <w:t>et al</w:t>
      </w:r>
      <w:r w:rsidRPr="00D403F5">
        <w:rPr>
          <w:rFonts w:cs="Arial"/>
          <w:szCs w:val="18"/>
          <w:lang w:val="en-GB" w:eastAsia="fr-FR"/>
        </w:rPr>
        <w:t xml:space="preserve">., 2014). However, at least for Alpine newts, </w:t>
      </w:r>
      <w:r w:rsidRPr="00D403F5">
        <w:rPr>
          <w:rFonts w:cs="Arial"/>
          <w:szCs w:val="18"/>
          <w:u w:val="double"/>
          <w:lang w:val="en-GB" w:eastAsia="fr-FR"/>
        </w:rPr>
        <w:t>the</w:t>
      </w:r>
      <w:r w:rsidRPr="00D403F5">
        <w:rPr>
          <w:rFonts w:cs="Arial"/>
          <w:szCs w:val="18"/>
          <w:lang w:val="en-GB" w:eastAsia="fr-FR"/>
        </w:rPr>
        <w:t xml:space="preserve"> case morbidity and case fatality rates depend on the Bsal dose </w:t>
      </w:r>
      <w:r w:rsidRPr="00D403F5">
        <w:rPr>
          <w:rFonts w:cs="Arial"/>
          <w:szCs w:val="18"/>
          <w:u w:val="double"/>
          <w:lang w:val="en-GB" w:eastAsia="fr-FR"/>
        </w:rPr>
        <w:t>that</w:t>
      </w:r>
      <w:r w:rsidRPr="00D403F5">
        <w:rPr>
          <w:rFonts w:cs="Arial"/>
          <w:szCs w:val="18"/>
          <w:lang w:val="en-GB" w:eastAsia="fr-FR"/>
        </w:rPr>
        <w:t xml:space="preserve"> the animal is exposed to: a high dose resulting in the highest mortality, while a low dose does not necessarily result in morbidity or mortality. </w:t>
      </w:r>
    </w:p>
    <w:p w14:paraId="227DAB3A" w14:textId="77777777" w:rsidR="00E65E42" w:rsidRPr="00D403F5" w:rsidRDefault="00E65E42" w:rsidP="00754D87">
      <w:pPr>
        <w:pStyle w:val="Para3"/>
        <w:spacing w:after="60"/>
        <w:rPr>
          <w:rFonts w:cs="Arial"/>
          <w:szCs w:val="18"/>
          <w:lang w:val="en-GB" w:eastAsia="fr-FR"/>
        </w:rPr>
      </w:pPr>
      <w:r w:rsidRPr="00D403F5">
        <w:rPr>
          <w:rFonts w:cs="Arial"/>
          <w:strike/>
          <w:szCs w:val="18"/>
          <w:lang w:val="en-GB" w:eastAsia="fr-FR"/>
        </w:rPr>
        <w:t xml:space="preserve">It is important to mention that </w:t>
      </w:r>
      <w:r w:rsidRPr="00D403F5">
        <w:rPr>
          <w:rFonts w:cs="Arial"/>
          <w:szCs w:val="18"/>
          <w:lang w:val="en-GB" w:eastAsia="fr-FR"/>
        </w:rPr>
        <w:t xml:space="preserve">Morbidity and mortality </w:t>
      </w:r>
      <w:r w:rsidRPr="00D403F5">
        <w:rPr>
          <w:rFonts w:cs="Arial"/>
          <w:szCs w:val="18"/>
          <w:u w:val="double"/>
          <w:lang w:val="en-GB" w:eastAsia="fr-FR"/>
        </w:rPr>
        <w:t>also</w:t>
      </w:r>
      <w:r w:rsidRPr="00D403F5">
        <w:rPr>
          <w:rFonts w:cs="Arial"/>
          <w:szCs w:val="18"/>
          <w:lang w:val="en-GB" w:eastAsia="fr-FR"/>
        </w:rPr>
        <w:t xml:space="preserve"> depend on environmental temperature. For the Bsal type strain, temperatures above 20°C </w:t>
      </w:r>
      <w:r w:rsidRPr="00D403F5">
        <w:rPr>
          <w:rFonts w:cs="Arial"/>
          <w:szCs w:val="18"/>
          <w:u w:val="double"/>
          <w:lang w:val="en-GB" w:eastAsia="fr-FR"/>
        </w:rPr>
        <w:t>reduces the level of</w:t>
      </w:r>
      <w:r w:rsidRPr="00D403F5">
        <w:rPr>
          <w:rFonts w:cs="Arial"/>
          <w:szCs w:val="18"/>
          <w:lang w:val="en-GB" w:eastAsia="fr-FR"/>
        </w:rPr>
        <w:t xml:space="preserve"> </w:t>
      </w:r>
      <w:r w:rsidRPr="00D403F5">
        <w:rPr>
          <w:rFonts w:cs="Arial"/>
          <w:strike/>
          <w:szCs w:val="18"/>
          <w:lang w:val="en-GB" w:eastAsia="fr-FR"/>
        </w:rPr>
        <w:t xml:space="preserve">tempers </w:t>
      </w:r>
      <w:r w:rsidRPr="00D403F5">
        <w:rPr>
          <w:rFonts w:cs="Arial"/>
          <w:szCs w:val="18"/>
          <w:lang w:val="en-GB" w:eastAsia="fr-FR"/>
        </w:rPr>
        <w:t xml:space="preserve">infection and temperatures above 25°C eventually result in killing of Bsal and elimination of infection (Blooi </w:t>
      </w:r>
      <w:r w:rsidRPr="00D403F5">
        <w:rPr>
          <w:rFonts w:cs="Arial"/>
          <w:i/>
          <w:szCs w:val="18"/>
          <w:lang w:val="en-GB" w:eastAsia="fr-FR"/>
        </w:rPr>
        <w:t>et al</w:t>
      </w:r>
      <w:r w:rsidRPr="00D403F5">
        <w:rPr>
          <w:rFonts w:cs="Arial"/>
          <w:szCs w:val="18"/>
          <w:lang w:val="en-GB" w:eastAsia="fr-FR"/>
        </w:rPr>
        <w:t xml:space="preserve">., </w:t>
      </w:r>
      <w:r w:rsidRPr="00D403F5">
        <w:rPr>
          <w:rFonts w:cs="Arial"/>
          <w:szCs w:val="18"/>
          <w:u w:val="double"/>
          <w:lang w:val="en-GB" w:eastAsia="fr-FR"/>
        </w:rPr>
        <w:t>2015b</w:t>
      </w:r>
      <w:r w:rsidRPr="00D403F5">
        <w:rPr>
          <w:rFonts w:cs="Arial"/>
          <w:strike/>
          <w:szCs w:val="18"/>
          <w:lang w:val="en-GB" w:eastAsia="fr-FR"/>
        </w:rPr>
        <w:t xml:space="preserve"> 2015a</w:t>
      </w:r>
      <w:r w:rsidRPr="00D403F5">
        <w:rPr>
          <w:rFonts w:cs="Arial"/>
          <w:szCs w:val="18"/>
          <w:lang w:val="en-GB" w:eastAsia="fr-FR"/>
        </w:rPr>
        <w:t>). Exposure of infected animals to conditions that inhibit Bsal growth may thus result in non-clinical or sub-clinical infections in susceptible species.</w:t>
      </w:r>
    </w:p>
    <w:p w14:paraId="4A1E8798" w14:textId="77777777" w:rsidR="00E65E42" w:rsidRPr="00E04E06" w:rsidRDefault="00E65E42" w:rsidP="001C6A78">
      <w:pPr>
        <w:pStyle w:val="111"/>
        <w:spacing w:after="60"/>
        <w:ind w:firstLine="0"/>
        <w:rPr>
          <w:szCs w:val="20"/>
        </w:rPr>
      </w:pPr>
      <w:r w:rsidRPr="00E04E06">
        <w:rPr>
          <w:szCs w:val="20"/>
        </w:rPr>
        <w:t>2.3.2.</w:t>
      </w:r>
      <w:r w:rsidRPr="00E04E06">
        <w:rPr>
          <w:szCs w:val="20"/>
        </w:rPr>
        <w:tab/>
        <w:t>Clinical signs, including behavioural changes</w:t>
      </w:r>
    </w:p>
    <w:p w14:paraId="10449C8D" w14:textId="77777777" w:rsidR="00E65E42" w:rsidRPr="00D403F5" w:rsidRDefault="00E65E42" w:rsidP="00754D87">
      <w:pPr>
        <w:pStyle w:val="Para3"/>
        <w:spacing w:after="60"/>
        <w:rPr>
          <w:rFonts w:cs="Arial"/>
          <w:szCs w:val="18"/>
          <w:lang w:val="en-GB" w:eastAsia="fr-FR"/>
        </w:rPr>
      </w:pPr>
      <w:r w:rsidRPr="00D403F5">
        <w:rPr>
          <w:rFonts w:cs="Arial"/>
          <w:szCs w:val="18"/>
          <w:lang w:val="en-GB" w:eastAsia="fr-FR"/>
        </w:rPr>
        <w:t xml:space="preserve">Chytridiomycosis caused by Bsal may be accompanied by a combination of the following signs: epidermal ulcerations (ranging from </w:t>
      </w:r>
      <w:r w:rsidRPr="00D403F5">
        <w:rPr>
          <w:rFonts w:cs="Arial"/>
          <w:szCs w:val="18"/>
          <w:u w:val="double"/>
          <w:lang w:val="en-GB" w:eastAsia="fr-FR"/>
        </w:rPr>
        <w:t>discrete</w:t>
      </w:r>
      <w:r w:rsidRPr="00D403F5">
        <w:rPr>
          <w:rFonts w:cs="Arial"/>
          <w:szCs w:val="18"/>
          <w:lang w:val="en-GB" w:eastAsia="fr-FR"/>
        </w:rPr>
        <w:t xml:space="preserve"> </w:t>
      </w:r>
      <w:r w:rsidRPr="00D403F5">
        <w:rPr>
          <w:rFonts w:cs="Arial"/>
          <w:strike/>
          <w:szCs w:val="18"/>
          <w:lang w:val="en-GB" w:eastAsia="fr-FR"/>
        </w:rPr>
        <w:t xml:space="preserve">tiny </w:t>
      </w:r>
      <w:r w:rsidRPr="00D403F5">
        <w:rPr>
          <w:rFonts w:cs="Arial"/>
          <w:szCs w:val="18"/>
          <w:lang w:val="en-GB" w:eastAsia="fr-FR"/>
        </w:rPr>
        <w:t xml:space="preserve">to extensive), excessive skin shedding, skin haemorrhages and/or fluid loss, anorexia, apathy, abnormal body postures </w:t>
      </w:r>
      <w:r w:rsidRPr="00D403F5">
        <w:rPr>
          <w:rFonts w:cs="Arial"/>
          <w:szCs w:val="18"/>
          <w:u w:val="double"/>
          <w:lang w:val="en-GB" w:eastAsia="fr-FR"/>
        </w:rPr>
        <w:t>and</w:t>
      </w:r>
      <w:r w:rsidRPr="00D403F5">
        <w:rPr>
          <w:rFonts w:cs="Arial"/>
          <w:szCs w:val="18"/>
          <w:lang w:val="en-GB" w:eastAsia="fr-FR"/>
        </w:rPr>
        <w:t xml:space="preserve"> convulsions </w:t>
      </w:r>
      <w:r w:rsidRPr="00D403F5">
        <w:rPr>
          <w:rFonts w:cs="Arial"/>
          <w:strike/>
          <w:szCs w:val="18"/>
          <w:lang w:val="en-GB" w:eastAsia="fr-FR"/>
        </w:rPr>
        <w:t>and death</w:t>
      </w:r>
      <w:r w:rsidRPr="00D403F5">
        <w:rPr>
          <w:rFonts w:cs="Arial"/>
          <w:szCs w:val="18"/>
          <w:lang w:val="en-GB" w:eastAsia="fr-FR"/>
        </w:rPr>
        <w:t xml:space="preserve"> (Martel </w:t>
      </w:r>
      <w:r w:rsidRPr="00D403F5">
        <w:rPr>
          <w:rFonts w:cs="Arial"/>
          <w:i/>
          <w:szCs w:val="18"/>
          <w:lang w:val="en-GB" w:eastAsia="fr-FR"/>
        </w:rPr>
        <w:t>et al.,</w:t>
      </w:r>
      <w:r w:rsidRPr="00D403F5">
        <w:rPr>
          <w:rFonts w:cs="Arial"/>
          <w:szCs w:val="18"/>
          <w:lang w:val="en-GB" w:eastAsia="fr-FR"/>
        </w:rPr>
        <w:t xml:space="preserve"> 2013).</w:t>
      </w:r>
    </w:p>
    <w:p w14:paraId="333687E5" w14:textId="77777777" w:rsidR="00E65E42" w:rsidRPr="00E04E06" w:rsidRDefault="00E65E42" w:rsidP="001C6A78">
      <w:pPr>
        <w:pStyle w:val="111"/>
        <w:spacing w:after="60"/>
        <w:ind w:firstLine="0"/>
        <w:rPr>
          <w:szCs w:val="20"/>
        </w:rPr>
      </w:pPr>
      <w:r w:rsidRPr="00E04E06">
        <w:rPr>
          <w:szCs w:val="20"/>
        </w:rPr>
        <w:t>2.3.3</w:t>
      </w:r>
      <w:r w:rsidRPr="00E04E06">
        <w:rPr>
          <w:szCs w:val="20"/>
        </w:rPr>
        <w:tab/>
        <w:t>Gross pathology</w:t>
      </w:r>
    </w:p>
    <w:p w14:paraId="4E081849" w14:textId="77777777" w:rsidR="00E65E42" w:rsidRPr="00D403F5" w:rsidRDefault="00E65E42" w:rsidP="00754D87">
      <w:pPr>
        <w:pStyle w:val="Para3"/>
        <w:spacing w:after="60"/>
        <w:rPr>
          <w:rFonts w:cs="Arial"/>
          <w:szCs w:val="18"/>
          <w:lang w:val="en-GB" w:eastAsia="fr-FR"/>
        </w:rPr>
      </w:pPr>
      <w:r w:rsidRPr="00D403F5">
        <w:rPr>
          <w:rFonts w:cs="Arial"/>
          <w:szCs w:val="18"/>
          <w:lang w:val="en-GB" w:eastAsia="fr-FR"/>
        </w:rPr>
        <w:t xml:space="preserve">Skin anomalies (haemorrhages, ulcerations, presence of sloughed skin) are the main pathological findings (Martel </w:t>
      </w:r>
      <w:r w:rsidRPr="00D403F5">
        <w:rPr>
          <w:rFonts w:cs="Arial"/>
          <w:i/>
          <w:szCs w:val="18"/>
          <w:lang w:val="en-GB" w:eastAsia="fr-FR"/>
        </w:rPr>
        <w:t>et al.,</w:t>
      </w:r>
      <w:r w:rsidRPr="00D403F5">
        <w:rPr>
          <w:rFonts w:cs="Arial"/>
          <w:szCs w:val="18"/>
          <w:lang w:val="en-GB" w:eastAsia="fr-FR"/>
        </w:rPr>
        <w:t xml:space="preserve"> 2013).</w:t>
      </w:r>
    </w:p>
    <w:p w14:paraId="279875EC" w14:textId="77777777" w:rsidR="00E65E42" w:rsidRPr="00E04E06" w:rsidRDefault="00E65E42" w:rsidP="001C6A78">
      <w:pPr>
        <w:pStyle w:val="111"/>
        <w:spacing w:after="60"/>
        <w:ind w:firstLine="0"/>
        <w:rPr>
          <w:szCs w:val="20"/>
        </w:rPr>
      </w:pPr>
      <w:r w:rsidRPr="00E04E06">
        <w:rPr>
          <w:szCs w:val="20"/>
        </w:rPr>
        <w:t>2.3.4.</w:t>
      </w:r>
      <w:r w:rsidRPr="00E04E06">
        <w:rPr>
          <w:szCs w:val="20"/>
        </w:rPr>
        <w:tab/>
        <w:t>Modes of transmission and life cycle</w:t>
      </w:r>
    </w:p>
    <w:p w14:paraId="1EF0AA90" w14:textId="77777777" w:rsidR="00E65E42" w:rsidRPr="00D403F5" w:rsidRDefault="00E65E42" w:rsidP="00E65E42">
      <w:pPr>
        <w:pStyle w:val="Para3"/>
        <w:spacing w:after="180"/>
        <w:rPr>
          <w:rFonts w:cs="Arial"/>
          <w:szCs w:val="18"/>
          <w:lang w:val="en-GB"/>
        </w:rPr>
      </w:pPr>
      <w:r w:rsidRPr="00D403F5">
        <w:rPr>
          <w:rFonts w:cs="Arial"/>
          <w:szCs w:val="18"/>
          <w:lang w:val="en-GB"/>
        </w:rPr>
        <w:t xml:space="preserve">Colonial or monocentric thalli of this fungus develop inside host epidermal cells and produce motile zoospores or walled, encysted spores, both of which are infectious stages. Zoospores are released through one or several discharge tubes. While motile spores actively swim towards a suitable substrate (e.g. a host), the encysted spores float at the water–air interface and passively adhere to a passing host (Stegen </w:t>
      </w:r>
      <w:r w:rsidRPr="00D403F5">
        <w:rPr>
          <w:rFonts w:cs="Arial"/>
          <w:i/>
          <w:szCs w:val="18"/>
          <w:lang w:val="en-GB"/>
        </w:rPr>
        <w:t>et al.,</w:t>
      </w:r>
      <w:r w:rsidRPr="00D403F5">
        <w:rPr>
          <w:rFonts w:cs="Arial"/>
          <w:szCs w:val="18"/>
          <w:lang w:val="en-GB"/>
        </w:rPr>
        <w:t xml:space="preserve"> 2017). </w:t>
      </w:r>
      <w:r w:rsidRPr="00D403F5">
        <w:rPr>
          <w:rFonts w:cs="Arial"/>
          <w:i/>
          <w:szCs w:val="18"/>
          <w:lang w:val="en-GB"/>
        </w:rPr>
        <w:t>In vitro</w:t>
      </w:r>
      <w:r w:rsidRPr="00D403F5">
        <w:rPr>
          <w:rFonts w:cs="Arial"/>
          <w:szCs w:val="18"/>
          <w:lang w:val="en-GB"/>
        </w:rPr>
        <w:t xml:space="preserve">, developing thalli form fine rhizoids. Mature thalli </w:t>
      </w:r>
      <w:r w:rsidRPr="00D403F5">
        <w:rPr>
          <w:rFonts w:cs="Arial"/>
          <w:i/>
          <w:szCs w:val="18"/>
          <w:lang w:val="en-GB"/>
        </w:rPr>
        <w:t>in vitro</w:t>
      </w:r>
      <w:r w:rsidRPr="00D403F5">
        <w:rPr>
          <w:rFonts w:cs="Arial"/>
          <w:szCs w:val="18"/>
          <w:lang w:val="en-GB"/>
        </w:rPr>
        <w:t xml:space="preserve"> are between 16 and 50 µm in diameter, </w:t>
      </w:r>
      <w:r w:rsidRPr="00D403F5">
        <w:rPr>
          <w:rFonts w:cs="Arial"/>
          <w:i/>
          <w:szCs w:val="18"/>
          <w:lang w:val="en-GB"/>
        </w:rPr>
        <w:t>in vivo</w:t>
      </w:r>
      <w:r w:rsidRPr="00D403F5">
        <w:rPr>
          <w:rFonts w:cs="Arial"/>
          <w:szCs w:val="18"/>
          <w:lang w:val="en-GB"/>
        </w:rPr>
        <w:t xml:space="preserve"> between 7 and 17 µm; zoospores are approximately 5 µm in diameter. Motile zoospores are roughly spherical, the nucleus is located outside of the ribosomal mass, with aggregated ribosomes, multiple mitochondria and numerous lipid globules. The position of the non-flagellated centriole in free swimming zoospores varies from angled to parallel to the kinetosome (Martel </w:t>
      </w:r>
      <w:r w:rsidRPr="00D403F5">
        <w:rPr>
          <w:rFonts w:cs="Arial"/>
          <w:i/>
          <w:szCs w:val="18"/>
          <w:lang w:val="en-GB"/>
        </w:rPr>
        <w:t>et al.,</w:t>
      </w:r>
      <w:r w:rsidRPr="00D403F5">
        <w:rPr>
          <w:rFonts w:cs="Arial"/>
          <w:szCs w:val="18"/>
          <w:lang w:val="en-GB"/>
        </w:rPr>
        <w:t xml:space="preserve"> 2013).</w:t>
      </w:r>
    </w:p>
    <w:p w14:paraId="6D9278F4" w14:textId="77777777" w:rsidR="00754D87" w:rsidRDefault="00754D87">
      <w:pPr>
        <w:rPr>
          <w:u w:val="single"/>
        </w:rPr>
      </w:pPr>
      <w:r>
        <w:rPr>
          <w:u w:val="single"/>
        </w:rPr>
        <w:br w:type="page"/>
      </w:r>
    </w:p>
    <w:p w14:paraId="73D976DA" w14:textId="75CDA727" w:rsidR="00754D87" w:rsidRDefault="00754D87" w:rsidP="00754D87">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12</w:t>
      </w:r>
      <w:r w:rsidRPr="00DB0A8D">
        <w:rPr>
          <w:rFonts w:cs="Times New Roman"/>
          <w:bCs/>
          <w:iCs/>
          <w:szCs w:val="20"/>
        </w:rPr>
        <w:t xml:space="preserve"> (contd)</w:t>
      </w:r>
    </w:p>
    <w:p w14:paraId="11CC2943" w14:textId="77777777" w:rsidR="00E65E42" w:rsidRPr="00D403F5" w:rsidRDefault="00E65E42" w:rsidP="00754D87">
      <w:pPr>
        <w:pStyle w:val="Para3"/>
        <w:spacing w:after="40"/>
        <w:rPr>
          <w:rFonts w:cs="Arial"/>
          <w:szCs w:val="18"/>
          <w:lang w:val="en-GB"/>
        </w:rPr>
      </w:pPr>
      <w:r w:rsidRPr="00D403F5">
        <w:rPr>
          <w:rFonts w:cs="Arial"/>
          <w:szCs w:val="18"/>
          <w:lang w:val="en-GB"/>
        </w:rPr>
        <w:t xml:space="preserve">There are no indications of vertical transmission. However, this cannot be excluded in species giving birth to metamorphosed offspring (e.g. </w:t>
      </w:r>
      <w:r w:rsidRPr="00D403F5">
        <w:rPr>
          <w:rFonts w:cs="Arial"/>
          <w:i/>
          <w:szCs w:val="18"/>
          <w:lang w:val="en-GB"/>
        </w:rPr>
        <w:t>Salamandra atra</w:t>
      </w:r>
      <w:r w:rsidRPr="00D403F5">
        <w:rPr>
          <w:rFonts w:cs="Arial"/>
          <w:szCs w:val="18"/>
          <w:lang w:val="en-GB"/>
        </w:rPr>
        <w:t xml:space="preserve">, </w:t>
      </w:r>
      <w:r w:rsidRPr="00D403F5">
        <w:rPr>
          <w:rFonts w:cs="Arial"/>
          <w:i/>
          <w:szCs w:val="18"/>
          <w:lang w:val="en-GB"/>
        </w:rPr>
        <w:t>Salamandra lanzai</w:t>
      </w:r>
      <w:r w:rsidRPr="00D403F5">
        <w:rPr>
          <w:rFonts w:cs="Arial"/>
          <w:szCs w:val="18"/>
          <w:lang w:val="en-GB"/>
        </w:rPr>
        <w:t xml:space="preserve">, </w:t>
      </w:r>
      <w:r w:rsidRPr="00D403F5">
        <w:rPr>
          <w:rFonts w:cs="Arial"/>
          <w:i/>
          <w:szCs w:val="18"/>
          <w:lang w:val="en-GB"/>
        </w:rPr>
        <w:t>Lyciasalamandra helverseni</w:t>
      </w:r>
      <w:r w:rsidRPr="00D403F5">
        <w:rPr>
          <w:rFonts w:cs="Arial"/>
          <w:szCs w:val="18"/>
          <w:lang w:val="en-GB"/>
        </w:rPr>
        <w:t xml:space="preserve">). Horizontal transmission occurs through direct contact or contact with contaminated soil or water (Stegen </w:t>
      </w:r>
      <w:r w:rsidRPr="00D403F5">
        <w:rPr>
          <w:rFonts w:cs="Arial"/>
          <w:i/>
          <w:szCs w:val="18"/>
          <w:lang w:val="en-GB"/>
        </w:rPr>
        <w:t>et al</w:t>
      </w:r>
      <w:r w:rsidRPr="00D403F5">
        <w:rPr>
          <w:rFonts w:cs="Arial"/>
          <w:szCs w:val="18"/>
          <w:lang w:val="en-GB"/>
        </w:rPr>
        <w:t xml:space="preserve">., 2017). Infectious stages include the motile zoospore and the environmentally resistant encysted spores (Stegen </w:t>
      </w:r>
      <w:r w:rsidRPr="00D403F5">
        <w:rPr>
          <w:rFonts w:cs="Arial"/>
          <w:i/>
          <w:szCs w:val="18"/>
          <w:lang w:val="en-GB"/>
        </w:rPr>
        <w:t>et al</w:t>
      </w:r>
      <w:r w:rsidRPr="00D403F5">
        <w:rPr>
          <w:rFonts w:cs="Arial"/>
          <w:szCs w:val="18"/>
          <w:lang w:val="en-GB"/>
        </w:rPr>
        <w:t xml:space="preserve">., 2017). Infections can be reproduced under experimental conditions by topically applying a Bsal inoculum on the dorsum of amphibians and housing the exposed animals at 15°C (Martel </w:t>
      </w:r>
      <w:r w:rsidRPr="00D403F5">
        <w:rPr>
          <w:rFonts w:cs="Arial"/>
          <w:i/>
          <w:szCs w:val="18"/>
          <w:lang w:val="en-GB"/>
        </w:rPr>
        <w:t>et al</w:t>
      </w:r>
      <w:r w:rsidRPr="00D403F5">
        <w:rPr>
          <w:rFonts w:cs="Arial"/>
          <w:szCs w:val="18"/>
          <w:lang w:val="en-GB"/>
        </w:rPr>
        <w:t xml:space="preserve">., 2013; 2014; Stegen </w:t>
      </w:r>
      <w:r w:rsidRPr="00D403F5">
        <w:rPr>
          <w:rFonts w:cs="Arial"/>
          <w:i/>
          <w:szCs w:val="18"/>
          <w:lang w:val="en-GB"/>
        </w:rPr>
        <w:t>et al</w:t>
      </w:r>
      <w:r w:rsidRPr="00D403F5">
        <w:rPr>
          <w:rFonts w:cs="Arial"/>
          <w:szCs w:val="18"/>
          <w:lang w:val="en-GB"/>
        </w:rPr>
        <w:t>., 2017). This inoculum can either contain motile zoospores or the immobile, encysted spores.</w:t>
      </w:r>
    </w:p>
    <w:p w14:paraId="6057A5BC" w14:textId="77777777" w:rsidR="00E65E42" w:rsidRPr="00D403F5" w:rsidRDefault="00E65E42" w:rsidP="00754D87">
      <w:pPr>
        <w:pStyle w:val="Para3"/>
        <w:spacing w:after="40"/>
        <w:rPr>
          <w:rFonts w:cs="Arial"/>
          <w:szCs w:val="18"/>
          <w:lang w:val="en-GB"/>
        </w:rPr>
      </w:pPr>
      <w:r w:rsidRPr="00D403F5">
        <w:rPr>
          <w:rFonts w:cs="Arial"/>
          <w:szCs w:val="18"/>
          <w:lang w:val="en-GB"/>
        </w:rPr>
        <w:t xml:space="preserve">Pathways of Bsal dispersal within Europe are poorly understood but may be anthropogenic (e.g. through contaminated material). Zoospores attach to bird feet, suggesting birds may spread Bsal over larger distances (Stegen </w:t>
      </w:r>
      <w:r w:rsidRPr="00D403F5">
        <w:rPr>
          <w:rFonts w:cs="Arial"/>
          <w:i/>
          <w:szCs w:val="18"/>
          <w:lang w:val="en-GB"/>
        </w:rPr>
        <w:t>et al</w:t>
      </w:r>
      <w:r w:rsidRPr="00D403F5">
        <w:rPr>
          <w:rFonts w:cs="Arial"/>
          <w:szCs w:val="18"/>
          <w:lang w:val="en-GB"/>
        </w:rPr>
        <w:t>., 2017). Direct animal-to-animal contact is necessary for transmission of Bsal: salamanders only separated by 1 cm from infected conspecifics were not infected in laboratory trials, in contrast to co-housed animals (</w:t>
      </w:r>
      <w:r w:rsidRPr="00D403F5">
        <w:rPr>
          <w:rFonts w:cs="Arial"/>
          <w:szCs w:val="18"/>
          <w:lang w:val="en-GB" w:eastAsia="fr-FR"/>
        </w:rPr>
        <w:t>Spitzen</w:t>
      </w:r>
      <w:bookmarkStart w:id="127" w:name="_Hlk3210536"/>
      <w:r w:rsidRPr="00D403F5">
        <w:rPr>
          <w:rFonts w:cs="Arial"/>
          <w:szCs w:val="18"/>
          <w:lang w:val="en-GB" w:eastAsia="fr-FR"/>
        </w:rPr>
        <w:t>-van der Sluijs</w:t>
      </w:r>
      <w:r w:rsidRPr="00D403F5" w:rsidDel="00025A38">
        <w:rPr>
          <w:rFonts w:cs="Arial"/>
          <w:szCs w:val="18"/>
          <w:lang w:val="en-GB"/>
        </w:rPr>
        <w:t xml:space="preserve"> </w:t>
      </w:r>
      <w:bookmarkEnd w:id="127"/>
      <w:r w:rsidRPr="00D403F5">
        <w:rPr>
          <w:rFonts w:cs="Arial"/>
          <w:i/>
          <w:szCs w:val="18"/>
          <w:lang w:val="en-GB"/>
        </w:rPr>
        <w:t>et al</w:t>
      </w:r>
      <w:r w:rsidRPr="00D403F5">
        <w:rPr>
          <w:rFonts w:cs="Arial"/>
          <w:szCs w:val="18"/>
          <w:lang w:val="en-GB"/>
        </w:rPr>
        <w:t>., 2018). Overall, dispersal ability of Bsal in Europe currently seems limited: Bsal was found not to be transmitted to a neighbouring site in the Netherlands, despite being downstream of a small stream, and the current distribution of Bsal in Europe is probably not continuous (</w:t>
      </w:r>
      <w:r w:rsidRPr="00D403F5">
        <w:rPr>
          <w:rFonts w:cs="Arial"/>
          <w:szCs w:val="18"/>
          <w:lang w:val="en-GB" w:eastAsia="fr-FR"/>
        </w:rPr>
        <w:t>Spitzen-van der Sluijs</w:t>
      </w:r>
      <w:r w:rsidRPr="00D403F5" w:rsidDel="00025A38">
        <w:rPr>
          <w:rFonts w:cs="Arial"/>
          <w:szCs w:val="18"/>
          <w:lang w:val="en-GB"/>
        </w:rPr>
        <w:t xml:space="preserve"> </w:t>
      </w:r>
      <w:r w:rsidRPr="00D403F5">
        <w:rPr>
          <w:rFonts w:cs="Arial"/>
          <w:i/>
          <w:szCs w:val="18"/>
          <w:lang w:val="en-GB"/>
        </w:rPr>
        <w:t>et al</w:t>
      </w:r>
      <w:r w:rsidRPr="00D403F5">
        <w:rPr>
          <w:rFonts w:cs="Arial"/>
          <w:szCs w:val="18"/>
          <w:lang w:val="en-GB"/>
        </w:rPr>
        <w:t xml:space="preserve">., 2018). </w:t>
      </w:r>
    </w:p>
    <w:p w14:paraId="1D7E188E" w14:textId="77777777" w:rsidR="00E65E42" w:rsidRPr="00D403F5" w:rsidRDefault="00E65E42" w:rsidP="00754D87">
      <w:pPr>
        <w:pStyle w:val="Para3"/>
        <w:spacing w:after="40"/>
        <w:rPr>
          <w:rFonts w:cs="Arial"/>
          <w:szCs w:val="18"/>
          <w:lang w:val="en-GB"/>
        </w:rPr>
      </w:pPr>
      <w:r w:rsidRPr="00D403F5">
        <w:rPr>
          <w:rFonts w:cs="Arial"/>
          <w:szCs w:val="18"/>
          <w:lang w:val="en-GB" w:eastAsia="en-IE"/>
        </w:rPr>
        <w:t xml:space="preserve">Although Bsal dispersal between populations is now hypothesised to be mainly human mediated, other factors (e.g. wildlife, water) may play key roles and critical knowledge about Bsal dispersal is currently lacking. </w:t>
      </w:r>
    </w:p>
    <w:p w14:paraId="0980D1B6" w14:textId="77777777" w:rsidR="00E65E42" w:rsidRPr="00E04E06" w:rsidRDefault="00E65E42" w:rsidP="001C6A78">
      <w:pPr>
        <w:pStyle w:val="111"/>
        <w:spacing w:after="60"/>
        <w:ind w:firstLine="0"/>
        <w:rPr>
          <w:szCs w:val="20"/>
        </w:rPr>
      </w:pPr>
      <w:r w:rsidRPr="00E04E06">
        <w:rPr>
          <w:szCs w:val="20"/>
        </w:rPr>
        <w:t>2.3.5.</w:t>
      </w:r>
      <w:r w:rsidRPr="00E04E06">
        <w:rPr>
          <w:szCs w:val="20"/>
        </w:rPr>
        <w:tab/>
        <w:t xml:space="preserve">Environmental and management factors </w:t>
      </w:r>
    </w:p>
    <w:p w14:paraId="2DF9E997" w14:textId="77777777" w:rsidR="00E65E42" w:rsidRPr="00D403F5" w:rsidRDefault="00E65E42" w:rsidP="00754D87">
      <w:pPr>
        <w:pStyle w:val="Para3"/>
        <w:spacing w:after="40"/>
        <w:rPr>
          <w:rFonts w:cs="Arial"/>
          <w:szCs w:val="18"/>
          <w:lang w:val="en-GB"/>
        </w:rPr>
      </w:pPr>
      <w:r w:rsidRPr="00D403F5">
        <w:rPr>
          <w:rFonts w:cs="Arial"/>
          <w:szCs w:val="18"/>
          <w:lang w:val="en-GB"/>
        </w:rPr>
        <w:t xml:space="preserve">The Bsal type strain AMFP13/1 tolerates temperatures up to 25°C but is killed at higher temperatures (Blooi </w:t>
      </w:r>
      <w:r w:rsidRPr="00D403F5">
        <w:rPr>
          <w:rFonts w:cs="Arial"/>
          <w:i/>
          <w:szCs w:val="18"/>
          <w:lang w:val="en-GB"/>
        </w:rPr>
        <w:t>et al</w:t>
      </w:r>
      <w:r w:rsidRPr="00D403F5">
        <w:rPr>
          <w:rFonts w:cs="Arial"/>
          <w:szCs w:val="18"/>
          <w:lang w:val="en-GB"/>
        </w:rPr>
        <w:t xml:space="preserve">., </w:t>
      </w:r>
      <w:r w:rsidRPr="00D403F5">
        <w:rPr>
          <w:rFonts w:cs="Arial"/>
          <w:szCs w:val="18"/>
          <w:u w:val="double"/>
          <w:lang w:val="en-GB" w:eastAsia="fr-FR"/>
        </w:rPr>
        <w:t>2015b</w:t>
      </w:r>
      <w:r w:rsidRPr="00D403F5">
        <w:rPr>
          <w:rFonts w:cs="Arial"/>
          <w:strike/>
          <w:szCs w:val="18"/>
          <w:lang w:val="en-GB" w:eastAsia="fr-FR"/>
        </w:rPr>
        <w:t xml:space="preserve"> 2015a</w:t>
      </w:r>
      <w:r w:rsidRPr="00D403F5">
        <w:rPr>
          <w:rFonts w:cs="Arial"/>
          <w:szCs w:val="18"/>
          <w:lang w:val="en-GB"/>
        </w:rPr>
        <w:t xml:space="preserve">). As Bsal infections have been demonstrated in aquatic newts at water temperatures above 25°C (Laking </w:t>
      </w:r>
      <w:r w:rsidRPr="00D403F5">
        <w:rPr>
          <w:rFonts w:cs="Arial"/>
          <w:i/>
          <w:szCs w:val="18"/>
          <w:lang w:val="en-GB"/>
        </w:rPr>
        <w:t>et al</w:t>
      </w:r>
      <w:r w:rsidRPr="00D403F5">
        <w:rPr>
          <w:rFonts w:cs="Arial"/>
          <w:szCs w:val="18"/>
          <w:lang w:val="en-GB"/>
        </w:rPr>
        <w:t xml:space="preserve">., 2017; Zhiyong </w:t>
      </w:r>
      <w:r w:rsidRPr="00D403F5">
        <w:rPr>
          <w:rFonts w:cs="Arial"/>
          <w:i/>
          <w:szCs w:val="18"/>
          <w:lang w:val="en-GB"/>
        </w:rPr>
        <w:t>et al</w:t>
      </w:r>
      <w:r w:rsidRPr="00D403F5">
        <w:rPr>
          <w:rFonts w:cs="Arial"/>
          <w:szCs w:val="18"/>
          <w:lang w:val="en-GB"/>
        </w:rPr>
        <w:t>., 2018), it is likely</w:t>
      </w:r>
      <w:r w:rsidRPr="00131C5D">
        <w:rPr>
          <w:rFonts w:cs="Arial"/>
          <w:strike/>
          <w:szCs w:val="18"/>
          <w:lang w:val="en-GB"/>
        </w:rPr>
        <w:t>, however,</w:t>
      </w:r>
      <w:r w:rsidRPr="00D403F5">
        <w:rPr>
          <w:rFonts w:cs="Arial"/>
          <w:szCs w:val="18"/>
          <w:lang w:val="en-GB"/>
        </w:rPr>
        <w:t xml:space="preserve"> that thermal tolerance may be Bsal lineage dependent. A temperature of 4°C results in slower </w:t>
      </w:r>
      <w:r w:rsidRPr="00D403F5">
        <w:rPr>
          <w:rFonts w:cs="Arial"/>
          <w:szCs w:val="18"/>
          <w:u w:val="double"/>
          <w:lang w:val="en-GB"/>
        </w:rPr>
        <w:t>progression</w:t>
      </w:r>
      <w:r w:rsidRPr="00D403F5">
        <w:rPr>
          <w:rFonts w:cs="Arial"/>
          <w:szCs w:val="18"/>
          <w:lang w:val="en-GB"/>
        </w:rPr>
        <w:t xml:space="preserve"> </w:t>
      </w:r>
      <w:r w:rsidRPr="00D403F5">
        <w:rPr>
          <w:rFonts w:cs="Arial"/>
          <w:strike/>
          <w:szCs w:val="18"/>
          <w:lang w:val="en-GB"/>
        </w:rPr>
        <w:t>build-up</w:t>
      </w:r>
      <w:r w:rsidRPr="00F15D96">
        <w:rPr>
          <w:rFonts w:cs="Arial"/>
          <w:strike/>
          <w:szCs w:val="18"/>
          <w:lang w:val="en-GB"/>
        </w:rPr>
        <w:t xml:space="preserve"> </w:t>
      </w:r>
      <w:r w:rsidRPr="00D403F5">
        <w:rPr>
          <w:rFonts w:cs="Arial"/>
          <w:szCs w:val="18"/>
          <w:lang w:val="en-GB"/>
        </w:rPr>
        <w:t xml:space="preserve">of infection but does not reduce morbidity or mortality (Stegen </w:t>
      </w:r>
      <w:r w:rsidRPr="00D403F5">
        <w:rPr>
          <w:rFonts w:cs="Arial"/>
          <w:i/>
          <w:szCs w:val="18"/>
          <w:lang w:val="en-GB"/>
        </w:rPr>
        <w:t>et al</w:t>
      </w:r>
      <w:r w:rsidRPr="00D403F5">
        <w:rPr>
          <w:rFonts w:cs="Arial"/>
          <w:szCs w:val="18"/>
          <w:lang w:val="en-GB"/>
        </w:rPr>
        <w:t xml:space="preserve">., 2017). Desiccation is likely to be poorly tolerated by Bsal, although data are currently lacking, and the encysted spore may be resistant to drying (Stegen </w:t>
      </w:r>
      <w:r w:rsidRPr="00D403F5">
        <w:rPr>
          <w:rFonts w:cs="Arial"/>
          <w:i/>
          <w:szCs w:val="18"/>
          <w:lang w:val="en-GB"/>
        </w:rPr>
        <w:t>et al</w:t>
      </w:r>
      <w:r w:rsidRPr="00D403F5">
        <w:rPr>
          <w:rFonts w:cs="Arial"/>
          <w:szCs w:val="18"/>
          <w:lang w:val="en-GB"/>
        </w:rPr>
        <w:t xml:space="preserve">., 2017; Van Rooij </w:t>
      </w:r>
      <w:r w:rsidRPr="00D403F5">
        <w:rPr>
          <w:rFonts w:cs="Arial"/>
          <w:i/>
          <w:szCs w:val="18"/>
          <w:lang w:val="en-GB"/>
        </w:rPr>
        <w:t>et al</w:t>
      </w:r>
      <w:r w:rsidRPr="00D403F5">
        <w:rPr>
          <w:rFonts w:cs="Arial"/>
          <w:szCs w:val="18"/>
          <w:lang w:val="en-GB"/>
        </w:rPr>
        <w:t>., 2015). It is not known to what extent Bsal tolerates freezing.</w:t>
      </w:r>
    </w:p>
    <w:p w14:paraId="678321B7" w14:textId="77777777" w:rsidR="00E65E42" w:rsidRPr="00D403F5" w:rsidRDefault="00E65E42" w:rsidP="00754D87">
      <w:pPr>
        <w:pStyle w:val="Para3"/>
        <w:spacing w:after="40"/>
        <w:rPr>
          <w:rFonts w:cs="Arial"/>
          <w:szCs w:val="18"/>
          <w:lang w:val="en-GB"/>
        </w:rPr>
      </w:pPr>
      <w:r w:rsidRPr="00D403F5">
        <w:rPr>
          <w:rFonts w:cs="Arial"/>
          <w:szCs w:val="18"/>
          <w:lang w:val="en-GB"/>
        </w:rPr>
        <w:t xml:space="preserve">Co-occurrence of highly susceptible species such as fire salamanders with less susceptible species, such as Alpine newts may facilitate density independent disease dynamics that lead to the </w:t>
      </w:r>
      <w:r w:rsidRPr="00F15D96">
        <w:rPr>
          <w:rFonts w:cs="Arial"/>
          <w:strike/>
          <w:szCs w:val="18"/>
          <w:highlight w:val="yellow"/>
          <w:lang w:val="en-GB"/>
        </w:rPr>
        <w:t xml:space="preserve">extirpation </w:t>
      </w:r>
      <w:r w:rsidRPr="00F15D96">
        <w:rPr>
          <w:rFonts w:cs="Arial"/>
          <w:szCs w:val="18"/>
          <w:highlight w:val="yellow"/>
          <w:u w:val="double"/>
          <w:lang w:val="en-GB"/>
        </w:rPr>
        <w:t xml:space="preserve">local </w:t>
      </w:r>
      <w:r w:rsidRPr="00131C5D">
        <w:rPr>
          <w:rFonts w:cs="Arial"/>
          <w:szCs w:val="18"/>
          <w:highlight w:val="yellow"/>
          <w:u w:val="double"/>
          <w:lang w:val="en-GB"/>
        </w:rPr>
        <w:t>extinction</w:t>
      </w:r>
      <w:r>
        <w:rPr>
          <w:rFonts w:cs="Arial"/>
          <w:szCs w:val="18"/>
          <w:lang w:val="en-GB"/>
        </w:rPr>
        <w:t xml:space="preserve"> </w:t>
      </w:r>
      <w:r w:rsidRPr="00D403F5">
        <w:rPr>
          <w:rFonts w:cs="Arial"/>
          <w:szCs w:val="18"/>
          <w:lang w:val="en-GB"/>
        </w:rPr>
        <w:t xml:space="preserve">of the highly susceptible species (Stegen </w:t>
      </w:r>
      <w:r w:rsidRPr="00D403F5">
        <w:rPr>
          <w:rFonts w:cs="Arial"/>
          <w:i/>
          <w:szCs w:val="18"/>
          <w:lang w:val="en-GB"/>
        </w:rPr>
        <w:t>et al</w:t>
      </w:r>
      <w:r w:rsidRPr="00D403F5">
        <w:rPr>
          <w:rFonts w:cs="Arial"/>
          <w:szCs w:val="18"/>
          <w:lang w:val="en-GB"/>
        </w:rPr>
        <w:t>., 2017).</w:t>
      </w:r>
    </w:p>
    <w:p w14:paraId="2CB15DD8" w14:textId="77777777" w:rsidR="00E65E42" w:rsidRPr="00D403F5" w:rsidRDefault="00E65E42" w:rsidP="00754D87">
      <w:pPr>
        <w:pStyle w:val="Para3"/>
        <w:spacing w:after="40"/>
        <w:rPr>
          <w:rFonts w:cs="Arial"/>
          <w:szCs w:val="18"/>
          <w:lang w:val="en-GB"/>
        </w:rPr>
      </w:pPr>
      <w:r w:rsidRPr="00D403F5">
        <w:rPr>
          <w:rFonts w:cs="Arial"/>
          <w:szCs w:val="18"/>
          <w:lang w:val="en-GB"/>
        </w:rPr>
        <w:t>Barriers to pathogen dispersal, for example those preventing migration of infected hosts such as amphibian fences or roads, or those preventing transmission by potential Bsal vectors including humans, fomites and wildlife, may prevent transmission at small spatial scales (</w:t>
      </w:r>
      <w:r w:rsidRPr="00D403F5">
        <w:rPr>
          <w:rFonts w:cs="Arial"/>
          <w:szCs w:val="18"/>
          <w:lang w:val="en-GB" w:eastAsia="fr-FR"/>
        </w:rPr>
        <w:t>Spitzen-van der Sluijs</w:t>
      </w:r>
      <w:r w:rsidRPr="00D403F5" w:rsidDel="000825CC">
        <w:rPr>
          <w:rFonts w:cs="Arial"/>
          <w:szCs w:val="18"/>
          <w:lang w:val="en-GB"/>
        </w:rPr>
        <w:t xml:space="preserve"> </w:t>
      </w:r>
      <w:r w:rsidRPr="00D403F5">
        <w:rPr>
          <w:rFonts w:cs="Arial"/>
          <w:i/>
          <w:szCs w:val="18"/>
          <w:lang w:val="en-GB"/>
        </w:rPr>
        <w:t>et al</w:t>
      </w:r>
      <w:r w:rsidRPr="00D403F5">
        <w:rPr>
          <w:rFonts w:cs="Arial"/>
          <w:szCs w:val="18"/>
          <w:lang w:val="en-GB"/>
        </w:rPr>
        <w:t>., 2018).</w:t>
      </w:r>
    </w:p>
    <w:p w14:paraId="2B6A04AE" w14:textId="77777777" w:rsidR="00E65E42" w:rsidRPr="00E04E06" w:rsidRDefault="00E65E42" w:rsidP="001C6A78">
      <w:pPr>
        <w:pStyle w:val="111"/>
        <w:spacing w:after="60"/>
        <w:ind w:firstLine="0"/>
        <w:rPr>
          <w:szCs w:val="20"/>
        </w:rPr>
      </w:pPr>
      <w:r w:rsidRPr="00E04E06">
        <w:rPr>
          <w:szCs w:val="20"/>
        </w:rPr>
        <w:t>2.3.6.</w:t>
      </w:r>
      <w:r w:rsidRPr="00E04E06">
        <w:rPr>
          <w:szCs w:val="20"/>
        </w:rPr>
        <w:tab/>
        <w:t>Geographical distribution</w:t>
      </w:r>
    </w:p>
    <w:p w14:paraId="1D425F8E" w14:textId="77777777" w:rsidR="00E65E42" w:rsidRPr="00D403F5" w:rsidRDefault="00E65E42" w:rsidP="00754D87">
      <w:pPr>
        <w:pStyle w:val="Para3"/>
        <w:spacing w:after="40"/>
        <w:rPr>
          <w:rFonts w:cs="Arial"/>
          <w:szCs w:val="18"/>
          <w:lang w:val="en-GB" w:eastAsia="fr-FR"/>
        </w:rPr>
      </w:pPr>
      <w:r w:rsidRPr="00D403F5">
        <w:rPr>
          <w:rFonts w:cs="Arial"/>
          <w:szCs w:val="18"/>
          <w:lang w:val="en-GB" w:eastAsia="fr-FR"/>
        </w:rPr>
        <w:t xml:space="preserve">Asia is currently considered the region of origin of Bsal (Martel </w:t>
      </w:r>
      <w:r w:rsidRPr="00D403F5">
        <w:rPr>
          <w:rFonts w:cs="Arial"/>
          <w:i/>
          <w:szCs w:val="18"/>
          <w:lang w:val="en-GB" w:eastAsia="fr-FR"/>
        </w:rPr>
        <w:t>et al</w:t>
      </w:r>
      <w:r w:rsidRPr="00D403F5">
        <w:rPr>
          <w:rFonts w:cs="Arial"/>
          <w:szCs w:val="18"/>
          <w:lang w:val="en-GB" w:eastAsia="fr-FR"/>
        </w:rPr>
        <w:t xml:space="preserve">., 2014), where the infection appears to be endemic in amphibian communities across a wide taxonomic, geographical and environmental range, albeit at a low prevalence between 2 and 4% (Zhiyong </w:t>
      </w:r>
      <w:r w:rsidRPr="00D403F5">
        <w:rPr>
          <w:rFonts w:cs="Arial"/>
          <w:i/>
          <w:szCs w:val="18"/>
          <w:lang w:val="en-GB" w:eastAsia="fr-FR"/>
        </w:rPr>
        <w:t xml:space="preserve">et al., </w:t>
      </w:r>
      <w:r w:rsidRPr="00D403F5">
        <w:rPr>
          <w:rFonts w:cs="Arial"/>
          <w:szCs w:val="18"/>
          <w:lang w:val="en-GB" w:eastAsia="fr-FR"/>
        </w:rPr>
        <w:t xml:space="preserve">2018). In Asia, Bsal was shown to be widely present in urodele populations in China (People’s Rep. of), Japan, Thailand and Vietnam. East Asia is presumed to be the native range of the fungus (Laking </w:t>
      </w:r>
      <w:r w:rsidRPr="00D403F5">
        <w:rPr>
          <w:rFonts w:cs="Arial"/>
          <w:i/>
          <w:szCs w:val="18"/>
          <w:lang w:val="en-GB" w:eastAsia="fr-FR"/>
        </w:rPr>
        <w:t>et al</w:t>
      </w:r>
      <w:r w:rsidRPr="00D403F5">
        <w:rPr>
          <w:rFonts w:cs="Arial"/>
          <w:szCs w:val="18"/>
          <w:lang w:val="en-GB" w:eastAsia="fr-FR"/>
        </w:rPr>
        <w:t xml:space="preserve">., 2017; Martel </w:t>
      </w:r>
      <w:r w:rsidRPr="00D403F5">
        <w:rPr>
          <w:rFonts w:cs="Arial"/>
          <w:i/>
          <w:szCs w:val="18"/>
          <w:lang w:val="en-GB" w:eastAsia="fr-FR"/>
        </w:rPr>
        <w:t>et al</w:t>
      </w:r>
      <w:r w:rsidRPr="00D403F5">
        <w:rPr>
          <w:rFonts w:cs="Arial"/>
          <w:szCs w:val="18"/>
          <w:lang w:val="en-GB" w:eastAsia="fr-FR"/>
        </w:rPr>
        <w:t xml:space="preserve">., 2014; Zhiyong </w:t>
      </w:r>
      <w:r w:rsidRPr="00D403F5">
        <w:rPr>
          <w:rFonts w:cs="Arial"/>
          <w:i/>
          <w:szCs w:val="18"/>
          <w:lang w:val="en-GB" w:eastAsia="fr-FR"/>
        </w:rPr>
        <w:t>et al.,</w:t>
      </w:r>
      <w:r w:rsidRPr="00D403F5">
        <w:rPr>
          <w:rFonts w:cs="Arial"/>
          <w:szCs w:val="18"/>
          <w:lang w:val="en-GB" w:eastAsia="fr-FR"/>
        </w:rPr>
        <w:t xml:space="preserve"> 2018). </w:t>
      </w:r>
    </w:p>
    <w:p w14:paraId="165883FC" w14:textId="77777777" w:rsidR="00E65E42" w:rsidRPr="00D403F5" w:rsidRDefault="00E65E42" w:rsidP="00754D87">
      <w:pPr>
        <w:pStyle w:val="Para3"/>
        <w:spacing w:after="40"/>
        <w:rPr>
          <w:szCs w:val="18"/>
        </w:rPr>
      </w:pPr>
      <w:r w:rsidRPr="00D403F5">
        <w:rPr>
          <w:szCs w:val="18"/>
        </w:rPr>
        <w:t xml:space="preserve">Europe is considered the invasive range of the fungus where Bsal was first identified during a mortality event in fire salamanders </w:t>
      </w:r>
      <w:r w:rsidRPr="00F15D96">
        <w:rPr>
          <w:strike/>
          <w:szCs w:val="18"/>
          <w:highlight w:val="yellow"/>
        </w:rPr>
        <w:t>(</w:t>
      </w:r>
      <w:r w:rsidRPr="00F15D96">
        <w:rPr>
          <w:i/>
          <w:iCs/>
          <w:strike/>
          <w:szCs w:val="18"/>
          <w:highlight w:val="yellow"/>
        </w:rPr>
        <w:t>Salamandra salamandra</w:t>
      </w:r>
      <w:r w:rsidRPr="00F15D96">
        <w:rPr>
          <w:strike/>
          <w:szCs w:val="18"/>
          <w:highlight w:val="yellow"/>
        </w:rPr>
        <w:t>)</w:t>
      </w:r>
      <w:r w:rsidRPr="00F15D96">
        <w:rPr>
          <w:strike/>
          <w:szCs w:val="18"/>
        </w:rPr>
        <w:t xml:space="preserve"> </w:t>
      </w:r>
      <w:r w:rsidRPr="00D403F5">
        <w:rPr>
          <w:szCs w:val="18"/>
        </w:rPr>
        <w:t xml:space="preserve">in Bunderbos, the Netherlands (Martel </w:t>
      </w:r>
      <w:r w:rsidRPr="00D403F5">
        <w:rPr>
          <w:i/>
          <w:szCs w:val="18"/>
        </w:rPr>
        <w:t>et al.,</w:t>
      </w:r>
      <w:r w:rsidRPr="00D403F5">
        <w:rPr>
          <w:szCs w:val="18"/>
        </w:rPr>
        <w:t xml:space="preserve"> 2013). In Europe, Bsal was detected by surveys of wild susceptible species in Belgium, Germany and the Netherlands (Martel </w:t>
      </w:r>
      <w:r w:rsidRPr="00D403F5">
        <w:rPr>
          <w:i/>
          <w:szCs w:val="18"/>
        </w:rPr>
        <w:t>et al.</w:t>
      </w:r>
      <w:r w:rsidRPr="00D403F5">
        <w:rPr>
          <w:szCs w:val="18"/>
        </w:rPr>
        <w:t xml:space="preserve">, 2014; Spitzen-van der Sluijs </w:t>
      </w:r>
      <w:r w:rsidRPr="00D403F5">
        <w:rPr>
          <w:i/>
          <w:szCs w:val="18"/>
        </w:rPr>
        <w:t>et al.,</w:t>
      </w:r>
      <w:r w:rsidRPr="00D403F5">
        <w:rPr>
          <w:szCs w:val="18"/>
        </w:rPr>
        <w:t xml:space="preserve"> 2016), and in captive urodele populations in Belgium, Germany, the Netherlands, Spain, and the United Kingdom (Fitzpatrick </w:t>
      </w:r>
      <w:r w:rsidRPr="00D403F5">
        <w:rPr>
          <w:i/>
          <w:szCs w:val="18"/>
        </w:rPr>
        <w:t>et al.,</w:t>
      </w:r>
      <w:r w:rsidRPr="00D403F5">
        <w:rPr>
          <w:szCs w:val="18"/>
        </w:rPr>
        <w:t xml:space="preserve"> 2018; Sabino-Pinto </w:t>
      </w:r>
      <w:r w:rsidRPr="00D403F5">
        <w:rPr>
          <w:i/>
          <w:szCs w:val="18"/>
        </w:rPr>
        <w:t>et al.,</w:t>
      </w:r>
      <w:r w:rsidRPr="00D403F5">
        <w:rPr>
          <w:szCs w:val="18"/>
        </w:rPr>
        <w:t xml:space="preserve"> 2015). </w:t>
      </w:r>
    </w:p>
    <w:p w14:paraId="5CCC1344" w14:textId="77777777" w:rsidR="00E65E42" w:rsidRPr="00D403F5" w:rsidRDefault="00E65E42" w:rsidP="00754D87">
      <w:pPr>
        <w:pStyle w:val="Para3"/>
        <w:spacing w:after="40"/>
        <w:rPr>
          <w:rFonts w:cs="Arial"/>
          <w:szCs w:val="18"/>
          <w:lang w:val="en-GB" w:eastAsia="fr-FR"/>
        </w:rPr>
      </w:pPr>
      <w:r w:rsidRPr="00D403F5">
        <w:rPr>
          <w:rFonts w:cs="Arial"/>
          <w:szCs w:val="18"/>
          <w:lang w:val="en-GB" w:eastAsia="fr-FR"/>
        </w:rPr>
        <w:t>Bsal has not been reported in Africa or the Americas.</w:t>
      </w:r>
    </w:p>
    <w:p w14:paraId="1C0C04CD" w14:textId="77777777" w:rsidR="00E65E42" w:rsidRPr="00E04E06" w:rsidRDefault="00E65E42" w:rsidP="001C6A78">
      <w:pPr>
        <w:pStyle w:val="11"/>
        <w:tabs>
          <w:tab w:val="left" w:pos="1418"/>
        </w:tabs>
        <w:spacing w:after="160"/>
        <w:ind w:left="851" w:hanging="567"/>
        <w:rPr>
          <w:rFonts w:ascii="Ottawa" w:hAnsi="Ottawa"/>
          <w:sz w:val="21"/>
          <w:szCs w:val="21"/>
          <w:lang w:val="en-GB"/>
        </w:rPr>
      </w:pPr>
      <w:r w:rsidRPr="00E04E06">
        <w:rPr>
          <w:rFonts w:ascii="Ottawa" w:hAnsi="Ottawa"/>
          <w:sz w:val="21"/>
          <w:szCs w:val="21"/>
          <w:lang w:val="en-GB"/>
        </w:rPr>
        <w:t>2.4.</w:t>
      </w:r>
      <w:r w:rsidRPr="00E04E06">
        <w:rPr>
          <w:rFonts w:ascii="Ottawa" w:hAnsi="Ottawa"/>
          <w:sz w:val="21"/>
          <w:szCs w:val="21"/>
          <w:lang w:val="en-GB"/>
        </w:rPr>
        <w:tab/>
        <w:t xml:space="preserve">Biosecurity and disease control strategies </w:t>
      </w:r>
    </w:p>
    <w:p w14:paraId="1420F1EF" w14:textId="77777777" w:rsidR="00E65E42" w:rsidRPr="00E04E06" w:rsidRDefault="00E65E42" w:rsidP="001C6A78">
      <w:pPr>
        <w:pStyle w:val="111"/>
        <w:spacing w:after="60"/>
        <w:ind w:firstLine="0"/>
        <w:rPr>
          <w:szCs w:val="20"/>
        </w:rPr>
      </w:pPr>
      <w:r w:rsidRPr="00E04E06">
        <w:rPr>
          <w:szCs w:val="20"/>
        </w:rPr>
        <w:t>2.4.1.</w:t>
      </w:r>
      <w:r w:rsidRPr="00E04E06">
        <w:rPr>
          <w:szCs w:val="20"/>
        </w:rPr>
        <w:tab/>
        <w:t>Vaccination</w:t>
      </w:r>
    </w:p>
    <w:p w14:paraId="4EEE1FE9" w14:textId="77777777" w:rsidR="00E65E42" w:rsidRPr="00D403F5" w:rsidRDefault="00E65E42" w:rsidP="00754D87">
      <w:pPr>
        <w:pStyle w:val="Para3"/>
        <w:spacing w:after="40"/>
        <w:rPr>
          <w:rFonts w:cs="Arial"/>
          <w:szCs w:val="18"/>
          <w:lang w:val="en-GB" w:eastAsia="fr-FR"/>
        </w:rPr>
      </w:pPr>
      <w:r w:rsidRPr="00D403F5">
        <w:rPr>
          <w:rFonts w:cs="Arial"/>
          <w:szCs w:val="18"/>
          <w:lang w:val="en-GB" w:eastAsia="fr-FR"/>
        </w:rPr>
        <w:t xml:space="preserve">Not available. </w:t>
      </w:r>
    </w:p>
    <w:p w14:paraId="204B0F6E" w14:textId="77777777" w:rsidR="00E65E42" w:rsidRPr="00E04E06" w:rsidRDefault="00E65E42" w:rsidP="001C6A78">
      <w:pPr>
        <w:pStyle w:val="111"/>
        <w:spacing w:after="60"/>
        <w:ind w:firstLine="0"/>
        <w:rPr>
          <w:szCs w:val="20"/>
        </w:rPr>
      </w:pPr>
      <w:r w:rsidRPr="00E04E06">
        <w:rPr>
          <w:szCs w:val="20"/>
        </w:rPr>
        <w:t>2.4.2.</w:t>
      </w:r>
      <w:r w:rsidRPr="00E04E06">
        <w:rPr>
          <w:szCs w:val="20"/>
        </w:rPr>
        <w:tab/>
        <w:t>Chemotherapy including blocking agents</w:t>
      </w:r>
    </w:p>
    <w:p w14:paraId="7A9BA402" w14:textId="77777777" w:rsidR="00E65E42" w:rsidRPr="00D403F5" w:rsidRDefault="00E65E42" w:rsidP="00754D87">
      <w:pPr>
        <w:pStyle w:val="Para3"/>
        <w:spacing w:after="40"/>
        <w:rPr>
          <w:rFonts w:cs="Arial"/>
          <w:szCs w:val="18"/>
          <w:lang w:val="en-GB" w:eastAsia="fr-FR"/>
        </w:rPr>
      </w:pPr>
      <w:r w:rsidRPr="00D403F5">
        <w:rPr>
          <w:rFonts w:cs="Arial"/>
          <w:szCs w:val="18"/>
          <w:lang w:val="en-GB" w:eastAsia="fr-FR"/>
        </w:rPr>
        <w:t xml:space="preserve">A combined treatment using Polymyxin E, voriconazole and a temperature regime of 20°C has been shown to be effective in eradicating Bsal from infected hosts (Blooi </w:t>
      </w:r>
      <w:r w:rsidRPr="00D403F5">
        <w:rPr>
          <w:rFonts w:cs="Arial"/>
          <w:i/>
          <w:szCs w:val="18"/>
          <w:lang w:val="en-GB" w:eastAsia="fr-FR"/>
        </w:rPr>
        <w:t>et al</w:t>
      </w:r>
      <w:r w:rsidRPr="00D403F5">
        <w:rPr>
          <w:rFonts w:cs="Arial"/>
          <w:szCs w:val="18"/>
          <w:lang w:val="en-GB" w:eastAsia="fr-FR"/>
        </w:rPr>
        <w:t xml:space="preserve">., </w:t>
      </w:r>
      <w:r w:rsidRPr="00D403F5">
        <w:rPr>
          <w:rFonts w:cs="Arial"/>
          <w:szCs w:val="18"/>
          <w:u w:val="double"/>
          <w:lang w:val="en-GB" w:eastAsia="fr-FR"/>
        </w:rPr>
        <w:t>2015c</w:t>
      </w:r>
      <w:r w:rsidRPr="00D403F5">
        <w:rPr>
          <w:rFonts w:cs="Arial"/>
          <w:strike/>
          <w:szCs w:val="18"/>
          <w:lang w:val="en-GB" w:eastAsia="fr-FR"/>
        </w:rPr>
        <w:t xml:space="preserve"> 2015b</w:t>
      </w:r>
      <w:r w:rsidRPr="00D403F5">
        <w:rPr>
          <w:rFonts w:cs="Arial"/>
          <w:szCs w:val="18"/>
          <w:lang w:val="en-GB" w:eastAsia="fr-FR"/>
        </w:rPr>
        <w:t>). If the treatment is not performed properly and does not achieve eradication, low level carriers are created and the likelihood of Bsal detection, is reduced.</w:t>
      </w:r>
    </w:p>
    <w:p w14:paraId="3FEFD1A5" w14:textId="77777777" w:rsidR="00E65E42" w:rsidRPr="00E04E06" w:rsidRDefault="00E65E42" w:rsidP="001C6A78">
      <w:pPr>
        <w:pStyle w:val="111"/>
        <w:spacing w:after="60"/>
        <w:ind w:firstLine="0"/>
        <w:rPr>
          <w:szCs w:val="20"/>
        </w:rPr>
      </w:pPr>
      <w:r w:rsidRPr="00E04E06">
        <w:rPr>
          <w:szCs w:val="20"/>
        </w:rPr>
        <w:t>2.4.3.</w:t>
      </w:r>
      <w:r w:rsidRPr="00E04E06">
        <w:rPr>
          <w:szCs w:val="20"/>
        </w:rPr>
        <w:tab/>
        <w:t>Immunostimulation</w:t>
      </w:r>
    </w:p>
    <w:p w14:paraId="6E4A7696" w14:textId="77777777" w:rsidR="00E65E42" w:rsidRPr="00D403F5" w:rsidRDefault="00E65E42" w:rsidP="00754D87">
      <w:pPr>
        <w:pStyle w:val="Para3"/>
        <w:spacing w:after="120"/>
        <w:rPr>
          <w:rFonts w:cs="Arial"/>
          <w:szCs w:val="18"/>
          <w:lang w:val="en-GB" w:eastAsia="fr-FR"/>
        </w:rPr>
      </w:pPr>
      <w:r w:rsidRPr="00D403F5">
        <w:rPr>
          <w:rFonts w:cs="Arial"/>
          <w:szCs w:val="18"/>
          <w:lang w:val="en-GB" w:eastAsia="fr-FR"/>
        </w:rPr>
        <w:t xml:space="preserve">Not available. </w:t>
      </w:r>
    </w:p>
    <w:p w14:paraId="3EA3E623" w14:textId="77777777" w:rsidR="00754D87" w:rsidRDefault="00754D87">
      <w:pPr>
        <w:rPr>
          <w:u w:val="single"/>
        </w:rPr>
      </w:pPr>
      <w:r>
        <w:rPr>
          <w:u w:val="single"/>
        </w:rPr>
        <w:br w:type="page"/>
      </w:r>
    </w:p>
    <w:p w14:paraId="77032527" w14:textId="53FD7CA7" w:rsidR="00754D87" w:rsidRDefault="00754D87" w:rsidP="00754D87">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12</w:t>
      </w:r>
      <w:r w:rsidRPr="00DB0A8D">
        <w:rPr>
          <w:rFonts w:cs="Times New Roman"/>
          <w:bCs/>
          <w:iCs/>
          <w:szCs w:val="20"/>
        </w:rPr>
        <w:t xml:space="preserve"> (contd)</w:t>
      </w:r>
    </w:p>
    <w:p w14:paraId="39B45BEB" w14:textId="77777777" w:rsidR="00E65E42" w:rsidRPr="00E04E06" w:rsidRDefault="00E65E42" w:rsidP="001C6A78">
      <w:pPr>
        <w:pStyle w:val="111"/>
        <w:spacing w:after="60"/>
        <w:ind w:firstLine="0"/>
        <w:rPr>
          <w:szCs w:val="20"/>
        </w:rPr>
      </w:pPr>
      <w:r w:rsidRPr="00E04E06">
        <w:rPr>
          <w:szCs w:val="20"/>
        </w:rPr>
        <w:t>2.4.4.</w:t>
      </w:r>
      <w:r w:rsidRPr="00E04E06">
        <w:rPr>
          <w:szCs w:val="20"/>
        </w:rPr>
        <w:tab/>
      </w:r>
      <w:bookmarkStart w:id="128" w:name="_Hlk20838672"/>
      <w:r w:rsidRPr="00E04E06">
        <w:rPr>
          <w:szCs w:val="20"/>
        </w:rPr>
        <w:t>Breeding resistant strains</w:t>
      </w:r>
      <w:bookmarkEnd w:id="128"/>
    </w:p>
    <w:p w14:paraId="573710EC" w14:textId="77777777" w:rsidR="00E65E42" w:rsidRPr="00D403F5" w:rsidRDefault="00E65E42" w:rsidP="00754D87">
      <w:pPr>
        <w:pStyle w:val="Para3"/>
        <w:spacing w:after="80"/>
        <w:rPr>
          <w:rFonts w:cs="Arial"/>
          <w:strike/>
          <w:szCs w:val="18"/>
          <w:lang w:val="en-GB" w:eastAsia="fr-FR"/>
        </w:rPr>
      </w:pPr>
      <w:r w:rsidRPr="00D403F5">
        <w:rPr>
          <w:rFonts w:cs="Arial"/>
          <w:strike/>
          <w:szCs w:val="18"/>
          <w:lang w:val="en-GB" w:eastAsia="fr-FR"/>
        </w:rPr>
        <w:t>Breeding resistant strains is one of the few options for long term sustainable disease mitigation.</w:t>
      </w:r>
    </w:p>
    <w:p w14:paraId="769123AB" w14:textId="77777777" w:rsidR="00E65E42" w:rsidRPr="00D403F5" w:rsidRDefault="00E65E42" w:rsidP="00754D87">
      <w:pPr>
        <w:pStyle w:val="Para3"/>
        <w:spacing w:after="80"/>
        <w:rPr>
          <w:rFonts w:cs="Arial"/>
          <w:szCs w:val="18"/>
          <w:u w:val="double"/>
          <w:lang w:val="en-GB" w:eastAsia="fr-FR"/>
        </w:rPr>
      </w:pPr>
      <w:r w:rsidRPr="00D403F5">
        <w:rPr>
          <w:rFonts w:cs="Arial"/>
          <w:szCs w:val="18"/>
          <w:u w:val="double"/>
          <w:lang w:val="en-GB" w:eastAsia="fr-FR"/>
        </w:rPr>
        <w:t>No information available.</w:t>
      </w:r>
    </w:p>
    <w:p w14:paraId="39125394" w14:textId="77777777" w:rsidR="00E65E42" w:rsidRPr="00E04E06" w:rsidRDefault="00E65E42" w:rsidP="001C6A78">
      <w:pPr>
        <w:pStyle w:val="111"/>
        <w:spacing w:after="60"/>
        <w:ind w:firstLine="0"/>
        <w:rPr>
          <w:szCs w:val="20"/>
        </w:rPr>
      </w:pPr>
      <w:r w:rsidRPr="00E04E06">
        <w:rPr>
          <w:szCs w:val="20"/>
        </w:rPr>
        <w:t>2.4.5.</w:t>
      </w:r>
      <w:r w:rsidRPr="00E04E06">
        <w:rPr>
          <w:szCs w:val="20"/>
        </w:rPr>
        <w:tab/>
        <w:t>Inactivation methods</w:t>
      </w:r>
    </w:p>
    <w:p w14:paraId="0F1D235E" w14:textId="77777777" w:rsidR="00E65E42" w:rsidRPr="00D403F5" w:rsidRDefault="00E65E42" w:rsidP="00754D87">
      <w:pPr>
        <w:pStyle w:val="Para3"/>
        <w:spacing w:after="80"/>
        <w:rPr>
          <w:rFonts w:cs="Arial"/>
          <w:szCs w:val="18"/>
        </w:rPr>
      </w:pPr>
      <w:r w:rsidRPr="00D403F5">
        <w:rPr>
          <w:rFonts w:cs="Arial"/>
          <w:szCs w:val="18"/>
          <w:lang w:val="en-GB" w:eastAsia="fr-FR"/>
        </w:rPr>
        <w:t xml:space="preserve">Bsal is sensitive to a wide variety of disinfectants (Van Rooij </w:t>
      </w:r>
      <w:r w:rsidRPr="00D403F5">
        <w:rPr>
          <w:rFonts w:cs="Arial"/>
          <w:i/>
          <w:szCs w:val="18"/>
          <w:lang w:val="en-GB" w:eastAsia="fr-FR"/>
        </w:rPr>
        <w:t>et al</w:t>
      </w:r>
      <w:r w:rsidRPr="00D403F5">
        <w:rPr>
          <w:rFonts w:cs="Arial"/>
          <w:szCs w:val="18"/>
          <w:lang w:val="en-GB" w:eastAsia="fr-FR"/>
        </w:rPr>
        <w:t xml:space="preserve">., 2015). Inactivation using formalin has been shown to hamper DNA detection using </w:t>
      </w:r>
      <w:r w:rsidRPr="00D403F5">
        <w:rPr>
          <w:rFonts w:cs="Arial"/>
          <w:szCs w:val="18"/>
          <w:u w:val="double"/>
          <w:lang w:val="en-GB" w:eastAsia="fr-FR"/>
        </w:rPr>
        <w:t>real-time</w:t>
      </w:r>
      <w:r w:rsidRPr="00D403F5">
        <w:rPr>
          <w:rFonts w:cs="Arial"/>
          <w:szCs w:val="18"/>
          <w:lang w:val="en-GB" w:eastAsia="fr-FR"/>
        </w:rPr>
        <w:t xml:space="preserve"> PCR</w:t>
      </w:r>
      <w:r w:rsidRPr="00D403F5">
        <w:rPr>
          <w:rFonts w:cs="Arial"/>
          <w:strike/>
          <w:szCs w:val="18"/>
          <w:lang w:val="en-GB" w:eastAsia="fr-FR"/>
        </w:rPr>
        <w:t xml:space="preserve"> qPCR</w:t>
      </w:r>
      <w:r w:rsidRPr="00D403F5">
        <w:rPr>
          <w:rFonts w:cs="Arial"/>
          <w:szCs w:val="18"/>
          <w:lang w:val="en-GB" w:eastAsia="fr-FR"/>
        </w:rPr>
        <w:t xml:space="preserve">. Bsal is killed within 30 seconds in 70% ethanol (Van Rooij </w:t>
      </w:r>
      <w:r w:rsidRPr="00D403F5">
        <w:rPr>
          <w:rFonts w:cs="Arial"/>
          <w:i/>
          <w:szCs w:val="18"/>
          <w:lang w:val="en-GB" w:eastAsia="fr-FR"/>
        </w:rPr>
        <w:t>et al.,</w:t>
      </w:r>
      <w:r w:rsidRPr="00D403F5">
        <w:rPr>
          <w:rFonts w:cs="Arial"/>
          <w:szCs w:val="18"/>
          <w:lang w:val="en-GB" w:eastAsia="fr-FR"/>
        </w:rPr>
        <w:t xml:space="preserve"> 2017). Inactivation in 70% ethanol allows for subsequent molecular tests yet is less suitable for histopathology. The Bsal type strain AMFP 13/1 is killed at temperatures exceeding 25</w:t>
      </w:r>
      <w:r w:rsidRPr="00D403F5">
        <w:rPr>
          <w:rFonts w:cs="Arial"/>
          <w:szCs w:val="18"/>
          <w:lang w:val="en-GB" w:eastAsia="fr-FR"/>
        </w:rPr>
        <w:sym w:font="Symbol" w:char="F0B0"/>
      </w:r>
      <w:r w:rsidRPr="00D403F5">
        <w:rPr>
          <w:rFonts w:cs="Arial"/>
          <w:szCs w:val="18"/>
          <w:lang w:val="en-GB" w:eastAsia="fr-FR"/>
        </w:rPr>
        <w:t xml:space="preserve">C; consequently, inactivation of this fungus can be achieved through heat treatment by autoclaving </w:t>
      </w:r>
      <w:r w:rsidRPr="00D403F5">
        <w:rPr>
          <w:rFonts w:cs="Arial"/>
          <w:szCs w:val="18"/>
          <w:u w:val="double"/>
          <w:lang w:val="en-GB" w:eastAsia="fr-FR"/>
        </w:rPr>
        <w:t xml:space="preserve">(Martel </w:t>
      </w:r>
      <w:r w:rsidRPr="00D403F5">
        <w:rPr>
          <w:rFonts w:cs="Arial"/>
          <w:i/>
          <w:iCs/>
          <w:szCs w:val="18"/>
          <w:u w:val="double"/>
          <w:lang w:val="en-GB" w:eastAsia="fr-FR"/>
        </w:rPr>
        <w:t>et al.</w:t>
      </w:r>
      <w:r w:rsidRPr="00D403F5">
        <w:rPr>
          <w:rFonts w:cs="Arial"/>
          <w:szCs w:val="18"/>
          <w:u w:val="double"/>
          <w:lang w:val="en-GB" w:eastAsia="fr-FR"/>
        </w:rPr>
        <w:t>, 2013)</w:t>
      </w:r>
      <w:r w:rsidRPr="00D403F5">
        <w:rPr>
          <w:rFonts w:cs="Arial"/>
          <w:szCs w:val="18"/>
          <w:lang w:val="en-GB" w:eastAsia="fr-FR"/>
        </w:rPr>
        <w:t xml:space="preserve">. </w:t>
      </w:r>
    </w:p>
    <w:p w14:paraId="6BE29561" w14:textId="77777777" w:rsidR="00E65E42" w:rsidRPr="00E04E06" w:rsidRDefault="00E65E42" w:rsidP="001C6A78">
      <w:pPr>
        <w:pStyle w:val="111"/>
        <w:spacing w:after="60"/>
        <w:ind w:firstLine="0"/>
        <w:rPr>
          <w:szCs w:val="20"/>
        </w:rPr>
      </w:pPr>
      <w:r w:rsidRPr="00E04E06">
        <w:rPr>
          <w:szCs w:val="20"/>
        </w:rPr>
        <w:t>2.4.6.</w:t>
      </w:r>
      <w:r w:rsidRPr="00E04E06">
        <w:rPr>
          <w:szCs w:val="20"/>
        </w:rPr>
        <w:tab/>
        <w:t>Disinfection of eggs and larvae</w:t>
      </w:r>
    </w:p>
    <w:p w14:paraId="6E8987F9" w14:textId="77777777" w:rsidR="00E65E42" w:rsidRPr="00D403F5" w:rsidRDefault="00E65E42" w:rsidP="00754D87">
      <w:pPr>
        <w:pStyle w:val="Para3"/>
        <w:spacing w:after="80"/>
        <w:rPr>
          <w:rFonts w:cs="Arial"/>
          <w:szCs w:val="18"/>
          <w:lang w:val="en-GB"/>
        </w:rPr>
      </w:pPr>
      <w:r w:rsidRPr="00D403F5">
        <w:rPr>
          <w:rFonts w:cs="Arial"/>
          <w:szCs w:val="18"/>
          <w:lang w:val="en-GB"/>
        </w:rPr>
        <w:t>No information available.</w:t>
      </w:r>
    </w:p>
    <w:p w14:paraId="2D323E4A" w14:textId="77777777" w:rsidR="00E65E42" w:rsidRPr="00E04E06" w:rsidRDefault="00E65E42" w:rsidP="001C6A78">
      <w:pPr>
        <w:pStyle w:val="111"/>
        <w:spacing w:after="60"/>
        <w:ind w:firstLine="0"/>
        <w:rPr>
          <w:szCs w:val="20"/>
        </w:rPr>
      </w:pPr>
      <w:r w:rsidRPr="00E04E06">
        <w:rPr>
          <w:szCs w:val="20"/>
        </w:rPr>
        <w:t>2.4.7.</w:t>
      </w:r>
      <w:r w:rsidRPr="00E04E06">
        <w:rPr>
          <w:szCs w:val="20"/>
        </w:rPr>
        <w:tab/>
        <w:t>General husbandry</w:t>
      </w:r>
    </w:p>
    <w:p w14:paraId="7B8C66D5" w14:textId="77777777" w:rsidR="00E65E42" w:rsidRPr="00D403F5" w:rsidRDefault="00E65E42" w:rsidP="00754D87">
      <w:pPr>
        <w:pStyle w:val="Para3"/>
        <w:spacing w:after="80"/>
        <w:rPr>
          <w:rFonts w:cs="Arial"/>
          <w:szCs w:val="18"/>
          <w:lang w:val="en-GB"/>
        </w:rPr>
      </w:pPr>
      <w:r w:rsidRPr="00D403F5">
        <w:rPr>
          <w:rFonts w:cs="Arial"/>
          <w:szCs w:val="18"/>
          <w:lang w:val="en-GB"/>
        </w:rPr>
        <w:t xml:space="preserve">In captivity, pathogen detection is difficult due to low prevalence in subclinically infected animals that often carry Bsal at low intensities (Martel </w:t>
      </w:r>
      <w:r w:rsidRPr="00D403F5">
        <w:rPr>
          <w:rFonts w:cs="Arial"/>
          <w:i/>
          <w:szCs w:val="18"/>
          <w:lang w:val="en-GB"/>
        </w:rPr>
        <w:t>et al</w:t>
      </w:r>
      <w:r w:rsidRPr="00D403F5">
        <w:rPr>
          <w:rFonts w:cs="Arial"/>
          <w:szCs w:val="18"/>
          <w:lang w:val="en-GB"/>
        </w:rPr>
        <w:t xml:space="preserve">., 2014; Zhiyong </w:t>
      </w:r>
      <w:r w:rsidRPr="00D403F5">
        <w:rPr>
          <w:rFonts w:cs="Arial"/>
          <w:i/>
          <w:szCs w:val="18"/>
          <w:lang w:val="en-GB"/>
        </w:rPr>
        <w:t>et al</w:t>
      </w:r>
      <w:r w:rsidRPr="00D403F5">
        <w:rPr>
          <w:rFonts w:cs="Arial"/>
          <w:szCs w:val="18"/>
          <w:lang w:val="en-GB"/>
        </w:rPr>
        <w:t xml:space="preserve">., 2018). These </w:t>
      </w:r>
      <w:r w:rsidRPr="00D403F5">
        <w:rPr>
          <w:rFonts w:cs="Arial"/>
          <w:szCs w:val="18"/>
          <w:u w:val="double"/>
          <w:lang w:val="en-GB"/>
        </w:rPr>
        <w:t>subclinically infected animals</w:t>
      </w:r>
      <w:r w:rsidRPr="00D403F5">
        <w:rPr>
          <w:rFonts w:cs="Arial"/>
          <w:szCs w:val="18"/>
          <w:lang w:val="en-GB"/>
        </w:rPr>
        <w:t xml:space="preserve"> often belong </w:t>
      </w:r>
      <w:r w:rsidRPr="00D403F5">
        <w:rPr>
          <w:rFonts w:cs="Arial"/>
          <w:szCs w:val="18"/>
          <w:u w:val="double"/>
          <w:lang w:val="en-GB"/>
        </w:rPr>
        <w:t>to</w:t>
      </w:r>
      <w:r w:rsidRPr="00D403F5">
        <w:rPr>
          <w:rFonts w:cs="Arial"/>
          <w:szCs w:val="18"/>
          <w:lang w:val="en-GB"/>
        </w:rPr>
        <w:t xml:space="preserve"> (but are not restricted to) taxa of Asian urodeles. Highly susceptible species (such as fire salamanders</w:t>
      </w:r>
      <w:r w:rsidRPr="00F15D96">
        <w:rPr>
          <w:rFonts w:cs="Arial"/>
          <w:strike/>
          <w:szCs w:val="18"/>
          <w:lang w:val="en-GB"/>
        </w:rPr>
        <w:t xml:space="preserve"> </w:t>
      </w:r>
      <w:r w:rsidRPr="00F15D96">
        <w:rPr>
          <w:rFonts w:cs="Arial"/>
          <w:i/>
          <w:iCs/>
          <w:strike/>
          <w:szCs w:val="18"/>
          <w:highlight w:val="yellow"/>
          <w:lang w:val="en-GB"/>
        </w:rPr>
        <w:t>Salamandra salamandra</w:t>
      </w:r>
      <w:r w:rsidRPr="00D403F5">
        <w:rPr>
          <w:rFonts w:cs="Arial"/>
          <w:szCs w:val="18"/>
          <w:lang w:val="en-GB"/>
        </w:rPr>
        <w:t xml:space="preserve">) may serve a sentinel function. Temperature regimes in captivity may strongly interfere with pathogen detection. Temperatures higher than 20°C (and below 25°C) severely impair pathogen proliferation in the host skin (Blooi </w:t>
      </w:r>
      <w:r w:rsidRPr="00D403F5">
        <w:rPr>
          <w:rFonts w:cs="Arial"/>
          <w:i/>
          <w:szCs w:val="18"/>
          <w:lang w:val="en-GB"/>
        </w:rPr>
        <w:t>et al</w:t>
      </w:r>
      <w:r w:rsidRPr="00D403F5">
        <w:rPr>
          <w:rFonts w:cs="Arial"/>
          <w:szCs w:val="18"/>
          <w:lang w:val="en-GB"/>
        </w:rPr>
        <w:t xml:space="preserve">., </w:t>
      </w:r>
      <w:r w:rsidRPr="00D403F5">
        <w:rPr>
          <w:rFonts w:cs="Arial"/>
          <w:szCs w:val="18"/>
          <w:u w:val="double"/>
          <w:lang w:val="en-GB"/>
        </w:rPr>
        <w:t>2015b</w:t>
      </w:r>
      <w:r w:rsidRPr="00D403F5">
        <w:rPr>
          <w:rFonts w:cs="Arial"/>
          <w:strike/>
          <w:szCs w:val="18"/>
          <w:lang w:val="en-GB"/>
        </w:rPr>
        <w:t xml:space="preserve"> 2015a</w:t>
      </w:r>
      <w:r w:rsidRPr="00D403F5">
        <w:rPr>
          <w:rFonts w:cs="Arial"/>
          <w:szCs w:val="18"/>
          <w:lang w:val="en-GB"/>
        </w:rPr>
        <w:t xml:space="preserve">) and may result in infections that cannot be detected. </w:t>
      </w:r>
    </w:p>
    <w:p w14:paraId="5452044C" w14:textId="77777777" w:rsidR="00E65E42" w:rsidRPr="00D403F5" w:rsidRDefault="00E65E42" w:rsidP="00754D87">
      <w:pPr>
        <w:pStyle w:val="Para3"/>
        <w:spacing w:after="80"/>
        <w:rPr>
          <w:rFonts w:cs="Arial"/>
          <w:szCs w:val="18"/>
          <w:u w:val="double"/>
        </w:rPr>
      </w:pPr>
      <w:r w:rsidRPr="00D403F5">
        <w:rPr>
          <w:rFonts w:cs="Arial"/>
          <w:szCs w:val="18"/>
          <w:u w:val="double"/>
          <w:lang w:val="en-GB"/>
        </w:rPr>
        <w:t>H</w:t>
      </w:r>
      <w:r w:rsidRPr="00D403F5">
        <w:rPr>
          <w:rFonts w:cs="Arial"/>
          <w:szCs w:val="18"/>
          <w:u w:val="double"/>
        </w:rPr>
        <w:t xml:space="preserve">eat treatment can be used to clear infection with Bsal in thermotolerant salamander species (Blooi </w:t>
      </w:r>
      <w:r w:rsidRPr="00D403F5">
        <w:rPr>
          <w:rFonts w:cs="Arial"/>
          <w:i/>
          <w:iCs/>
          <w:szCs w:val="18"/>
          <w:u w:val="double"/>
        </w:rPr>
        <w:t>et al</w:t>
      </w:r>
      <w:r w:rsidRPr="00D403F5">
        <w:rPr>
          <w:rFonts w:cs="Arial"/>
          <w:szCs w:val="18"/>
          <w:u w:val="double"/>
        </w:rPr>
        <w:t xml:space="preserve">., 2015a). </w:t>
      </w:r>
    </w:p>
    <w:p w14:paraId="697BA874" w14:textId="77777777" w:rsidR="00E65E42" w:rsidRPr="00B41D48" w:rsidRDefault="00E65E42" w:rsidP="00754D87">
      <w:pPr>
        <w:pStyle w:val="StyleTitre1Arial"/>
        <w:spacing w:after="80"/>
        <w:rPr>
          <w:rFonts w:ascii="Ottawa" w:hAnsi="Ottawa"/>
          <w:lang w:val="en-GB"/>
        </w:rPr>
      </w:pPr>
      <w:bookmarkStart w:id="129" w:name="_Toc38028662"/>
      <w:r w:rsidRPr="00B41D48">
        <w:rPr>
          <w:rFonts w:ascii="Ottawa" w:hAnsi="Ottawa"/>
          <w:lang w:val="en-GB"/>
        </w:rPr>
        <w:t>3.</w:t>
      </w:r>
      <w:r w:rsidRPr="00B41D48">
        <w:rPr>
          <w:rFonts w:ascii="Ottawa" w:hAnsi="Ottawa"/>
          <w:lang w:val="en-GB"/>
        </w:rPr>
        <w:tab/>
        <w:t>Specimen selection, sample collection, transportation and handling</w:t>
      </w:r>
      <w:bookmarkEnd w:id="129"/>
      <w:r w:rsidRPr="00B41D48">
        <w:rPr>
          <w:rFonts w:ascii="Ottawa" w:hAnsi="Ottawa"/>
          <w:lang w:val="en-GB"/>
        </w:rPr>
        <w:t xml:space="preserve"> </w:t>
      </w:r>
    </w:p>
    <w:p w14:paraId="47FA69F8" w14:textId="77777777" w:rsidR="00E65E42" w:rsidRPr="00D403F5" w:rsidRDefault="00E65E42" w:rsidP="00557B45">
      <w:pPr>
        <w:pStyle w:val="Para10"/>
        <w:spacing w:after="80"/>
        <w:ind w:left="284"/>
        <w:rPr>
          <w:rFonts w:cs="Arial"/>
          <w:szCs w:val="18"/>
          <w:lang w:val="en-GB"/>
        </w:rPr>
      </w:pPr>
      <w:r w:rsidRPr="00D403F5">
        <w:rPr>
          <w:rFonts w:cs="Arial"/>
          <w:szCs w:val="18"/>
          <w:lang w:val="en-GB"/>
        </w:rPr>
        <w:t>This Section draws on information from Sections 2.2., 2.3. and 2.4. to identify populations, individuals and samples which are most likely to be infected.</w:t>
      </w:r>
    </w:p>
    <w:p w14:paraId="6CC02449" w14:textId="77777777" w:rsidR="00E65E42" w:rsidRPr="00B41D48" w:rsidRDefault="00E65E42" w:rsidP="001C6A78">
      <w:pPr>
        <w:pStyle w:val="11"/>
        <w:tabs>
          <w:tab w:val="left" w:pos="1418"/>
        </w:tabs>
        <w:spacing w:after="160"/>
        <w:ind w:left="851" w:hanging="567"/>
        <w:rPr>
          <w:rFonts w:ascii="Ottawa" w:hAnsi="Ottawa"/>
          <w:sz w:val="21"/>
          <w:szCs w:val="21"/>
          <w:lang w:val="en-GB"/>
        </w:rPr>
      </w:pPr>
      <w:r w:rsidRPr="00B41D48">
        <w:rPr>
          <w:rFonts w:ascii="Ottawa" w:hAnsi="Ottawa"/>
          <w:sz w:val="21"/>
          <w:szCs w:val="21"/>
          <w:lang w:val="en-GB"/>
        </w:rPr>
        <w:t>3.1.</w:t>
      </w:r>
      <w:r w:rsidRPr="00B41D48">
        <w:rPr>
          <w:rFonts w:ascii="Ottawa" w:hAnsi="Ottawa"/>
          <w:sz w:val="21"/>
          <w:szCs w:val="21"/>
          <w:lang w:val="en-GB"/>
        </w:rPr>
        <w:tab/>
        <w:t xml:space="preserve">Selection of populations and individual specimens </w:t>
      </w:r>
    </w:p>
    <w:p w14:paraId="223CF284" w14:textId="77777777" w:rsidR="00E65E42" w:rsidRPr="00D403F5" w:rsidRDefault="00E65E42" w:rsidP="00557B45">
      <w:pPr>
        <w:pStyle w:val="Para20"/>
        <w:spacing w:after="80"/>
        <w:ind w:left="851"/>
        <w:rPr>
          <w:rFonts w:cs="Arial"/>
          <w:szCs w:val="18"/>
          <w:lang w:val="en-GB"/>
        </w:rPr>
      </w:pPr>
      <w:r w:rsidRPr="00D403F5">
        <w:rPr>
          <w:rFonts w:cs="Arial"/>
          <w:szCs w:val="18"/>
          <w:lang w:val="en-GB"/>
        </w:rPr>
        <w:t xml:space="preserve">In case of disease or mortality in urodeles in captivity, sampling should be focused primarily on diseased or moribund animals (i.e. those showing skin lesions and abnormal behaviour). In a population with ongoing disease and mortality, live but diseased animals are preferentially sampled. The second choice is dead animals. Only freshly dead animals should be sampled as detectability of Bsal deteriorates post-mortem (Thomas </w:t>
      </w:r>
      <w:r w:rsidRPr="00D403F5">
        <w:rPr>
          <w:rFonts w:cs="Arial"/>
          <w:i/>
          <w:szCs w:val="18"/>
          <w:lang w:val="en-GB"/>
        </w:rPr>
        <w:t>et al</w:t>
      </w:r>
      <w:r w:rsidRPr="00D403F5">
        <w:rPr>
          <w:rFonts w:cs="Arial"/>
          <w:szCs w:val="18"/>
          <w:lang w:val="en-GB"/>
        </w:rPr>
        <w:t xml:space="preserve">., 2018). However, in the absence of diseased or </w:t>
      </w:r>
      <w:r w:rsidRPr="00D403F5">
        <w:rPr>
          <w:rFonts w:cs="Arial"/>
          <w:szCs w:val="18"/>
          <w:u w:val="double"/>
          <w:lang w:val="en-GB"/>
        </w:rPr>
        <w:t>freshly</w:t>
      </w:r>
      <w:r w:rsidRPr="00D403F5">
        <w:rPr>
          <w:rFonts w:cs="Arial"/>
          <w:szCs w:val="18"/>
          <w:lang w:val="en-GB"/>
        </w:rPr>
        <w:t xml:space="preserve"> dead animals, apparently healthy animals can be sampled. </w:t>
      </w:r>
    </w:p>
    <w:p w14:paraId="17307E4F" w14:textId="77777777" w:rsidR="00E65E42" w:rsidRPr="00D403F5" w:rsidRDefault="00E65E42" w:rsidP="00557B45">
      <w:pPr>
        <w:pStyle w:val="Para20"/>
        <w:spacing w:after="80"/>
        <w:ind w:left="851"/>
        <w:rPr>
          <w:rFonts w:cs="Arial"/>
          <w:szCs w:val="18"/>
          <w:lang w:val="en-GB"/>
        </w:rPr>
      </w:pPr>
      <w:r w:rsidRPr="00D403F5">
        <w:rPr>
          <w:rFonts w:cs="Arial"/>
          <w:szCs w:val="18"/>
          <w:lang w:val="en-GB"/>
        </w:rPr>
        <w:t xml:space="preserve">Similarly, in wild populations, </w:t>
      </w:r>
      <w:r w:rsidRPr="00D403F5">
        <w:rPr>
          <w:rFonts w:cs="Arial"/>
          <w:szCs w:val="18"/>
          <w:u w:val="double"/>
          <w:lang w:val="en-GB"/>
        </w:rPr>
        <w:t>samples should be taken preferentially from diseased</w:t>
      </w:r>
      <w:r w:rsidRPr="00D403F5">
        <w:rPr>
          <w:rFonts w:cs="Arial"/>
          <w:strike/>
          <w:szCs w:val="18"/>
          <w:lang w:val="en-GB"/>
        </w:rPr>
        <w:t xml:space="preserve"> or</w:t>
      </w:r>
      <w:r w:rsidRPr="00D403F5">
        <w:rPr>
          <w:rFonts w:cs="Arial"/>
          <w:szCs w:val="18"/>
          <w:u w:val="double"/>
          <w:lang w:val="en-GB"/>
        </w:rPr>
        <w:t>,</w:t>
      </w:r>
      <w:r w:rsidRPr="00D403F5">
        <w:rPr>
          <w:rFonts w:cs="Arial"/>
          <w:szCs w:val="18"/>
          <w:lang w:val="en-GB"/>
        </w:rPr>
        <w:t xml:space="preserve"> moribund or freshly dead animals</w:t>
      </w:r>
      <w:r w:rsidRPr="00D403F5">
        <w:rPr>
          <w:rFonts w:cs="Arial"/>
          <w:strike/>
          <w:szCs w:val="18"/>
          <w:lang w:val="en-GB"/>
        </w:rPr>
        <w:t xml:space="preserve"> should preferentially be sampled, but</w:t>
      </w:r>
      <w:r w:rsidRPr="00D403F5">
        <w:rPr>
          <w:rFonts w:cs="Arial"/>
          <w:szCs w:val="18"/>
          <w:u w:val="double"/>
          <w:lang w:val="en-GB"/>
        </w:rPr>
        <w:t>;</w:t>
      </w:r>
      <w:r w:rsidRPr="00D403F5">
        <w:rPr>
          <w:rFonts w:cs="Arial"/>
          <w:szCs w:val="18"/>
          <w:lang w:val="en-GB"/>
        </w:rPr>
        <w:t xml:space="preserve"> </w:t>
      </w:r>
      <w:r w:rsidRPr="00D403F5">
        <w:rPr>
          <w:rFonts w:cs="Arial"/>
          <w:szCs w:val="18"/>
          <w:u w:val="double"/>
          <w:lang w:val="en-GB"/>
        </w:rPr>
        <w:t>however</w:t>
      </w:r>
      <w:r w:rsidRPr="00D403F5">
        <w:rPr>
          <w:rFonts w:cs="Arial"/>
          <w:szCs w:val="18"/>
          <w:lang w:val="en-GB"/>
        </w:rPr>
        <w:t xml:space="preserve">, as these may quickly be removed (i.e. through predation, scavenging) </w:t>
      </w:r>
      <w:r w:rsidRPr="00D403F5">
        <w:rPr>
          <w:rFonts w:cs="Arial"/>
          <w:szCs w:val="18"/>
          <w:u w:val="double"/>
          <w:lang w:val="en-GB"/>
        </w:rPr>
        <w:t>only</w:t>
      </w:r>
      <w:r w:rsidRPr="00D403F5">
        <w:rPr>
          <w:rFonts w:cs="Arial"/>
          <w:szCs w:val="18"/>
          <w:lang w:val="en-GB"/>
        </w:rPr>
        <w:t xml:space="preserve"> healthy animals may </w:t>
      </w:r>
      <w:r w:rsidRPr="00D403F5">
        <w:rPr>
          <w:rFonts w:cs="Arial"/>
          <w:strike/>
          <w:szCs w:val="18"/>
          <w:lang w:val="en-GB"/>
        </w:rPr>
        <w:t>only</w:t>
      </w:r>
      <w:r w:rsidRPr="00D403F5">
        <w:rPr>
          <w:rFonts w:cs="Arial"/>
          <w:szCs w:val="18"/>
          <w:lang w:val="en-GB"/>
        </w:rPr>
        <w:t xml:space="preserve"> be available. Populations which have declined or where dead animals have been observed should be targeted.</w:t>
      </w:r>
    </w:p>
    <w:p w14:paraId="3A6A53B2" w14:textId="77777777" w:rsidR="00E65E42" w:rsidRPr="00B41D48" w:rsidRDefault="00E65E42" w:rsidP="001C6A78">
      <w:pPr>
        <w:pStyle w:val="11"/>
        <w:tabs>
          <w:tab w:val="left" w:pos="1418"/>
        </w:tabs>
        <w:spacing w:after="160"/>
        <w:ind w:left="851" w:hanging="567"/>
        <w:rPr>
          <w:rFonts w:ascii="Ottawa" w:hAnsi="Ottawa"/>
          <w:sz w:val="21"/>
          <w:szCs w:val="21"/>
          <w:lang w:val="en-GB"/>
        </w:rPr>
      </w:pPr>
      <w:r w:rsidRPr="00B41D48">
        <w:rPr>
          <w:rFonts w:ascii="Ottawa" w:hAnsi="Ottawa"/>
          <w:sz w:val="21"/>
          <w:szCs w:val="21"/>
          <w:lang w:val="en-GB"/>
        </w:rPr>
        <w:t>3.2.</w:t>
      </w:r>
      <w:r w:rsidRPr="00B41D48">
        <w:rPr>
          <w:rFonts w:ascii="Ottawa" w:hAnsi="Ottawa"/>
          <w:sz w:val="21"/>
          <w:szCs w:val="21"/>
          <w:lang w:val="en-GB"/>
        </w:rPr>
        <w:tab/>
        <w:t>Selection of organs or tissues</w:t>
      </w:r>
    </w:p>
    <w:p w14:paraId="1C19B9F2" w14:textId="23A8991A" w:rsidR="00E65E42" w:rsidRDefault="00E65E42" w:rsidP="00557B45">
      <w:pPr>
        <w:pStyle w:val="Para20"/>
        <w:spacing w:after="80"/>
        <w:ind w:left="851"/>
        <w:rPr>
          <w:rFonts w:cs="Arial"/>
          <w:szCs w:val="18"/>
          <w:lang w:val="en-GB"/>
        </w:rPr>
      </w:pPr>
      <w:r w:rsidRPr="00D403F5">
        <w:rPr>
          <w:rFonts w:cs="Arial"/>
          <w:szCs w:val="18"/>
          <w:lang w:val="en-GB"/>
        </w:rPr>
        <w:t>The only relevant tissue is skin tissue and probably only from amphibians post</w:t>
      </w:r>
      <w:r>
        <w:rPr>
          <w:rFonts w:cs="Arial"/>
          <w:szCs w:val="18"/>
          <w:lang w:val="en-GB"/>
        </w:rPr>
        <w:t>-</w:t>
      </w:r>
      <w:r w:rsidRPr="00D403F5">
        <w:rPr>
          <w:rFonts w:cs="Arial"/>
          <w:szCs w:val="18"/>
          <w:lang w:val="en-GB"/>
        </w:rPr>
        <w:t xml:space="preserve">metamorphosis. Both invasive (skin biopsies) and non-invasive (cotton tipped swabs) </w:t>
      </w:r>
      <w:r w:rsidRPr="00D403F5">
        <w:rPr>
          <w:rFonts w:cs="Arial"/>
          <w:szCs w:val="18"/>
          <w:u w:val="double"/>
          <w:lang w:val="en-GB"/>
        </w:rPr>
        <w:t>samples</w:t>
      </w:r>
      <w:r w:rsidRPr="00D403F5">
        <w:rPr>
          <w:rFonts w:cs="Arial"/>
          <w:szCs w:val="18"/>
          <w:lang w:val="en-GB"/>
        </w:rPr>
        <w:t xml:space="preserve"> </w:t>
      </w:r>
      <w:r w:rsidRPr="00D403F5">
        <w:rPr>
          <w:rFonts w:cs="Arial"/>
          <w:strike/>
          <w:szCs w:val="18"/>
          <w:lang w:val="en-GB"/>
        </w:rPr>
        <w:t xml:space="preserve">sampling </w:t>
      </w:r>
      <w:r w:rsidRPr="00D403F5">
        <w:rPr>
          <w:rFonts w:cs="Arial"/>
          <w:szCs w:val="18"/>
          <w:lang w:val="en-GB"/>
        </w:rPr>
        <w:t>are appropriate, given the apical shedding of Bsal spores. In dead animals, dorsal skin is the preferred tissue, given its slower post</w:t>
      </w:r>
      <w:r>
        <w:rPr>
          <w:rFonts w:cs="Arial"/>
          <w:szCs w:val="18"/>
          <w:lang w:val="en-GB"/>
        </w:rPr>
        <w:t>-</w:t>
      </w:r>
      <w:r w:rsidRPr="00D403F5">
        <w:rPr>
          <w:rFonts w:cs="Arial"/>
          <w:szCs w:val="18"/>
          <w:lang w:val="en-GB"/>
        </w:rPr>
        <w:t xml:space="preserve">mortem decay (Thomas </w:t>
      </w:r>
      <w:r w:rsidRPr="00D403F5">
        <w:rPr>
          <w:rFonts w:cs="Arial"/>
          <w:i/>
          <w:szCs w:val="18"/>
          <w:lang w:val="en-GB"/>
        </w:rPr>
        <w:t>et al</w:t>
      </w:r>
      <w:r w:rsidRPr="00D403F5">
        <w:rPr>
          <w:rFonts w:cs="Arial"/>
          <w:szCs w:val="18"/>
          <w:lang w:val="en-GB"/>
        </w:rPr>
        <w:t>., 2018).</w:t>
      </w:r>
    </w:p>
    <w:p w14:paraId="21FF2A12" w14:textId="108C919D" w:rsidR="00E65E42" w:rsidRPr="00B41D48" w:rsidRDefault="00E65E42" w:rsidP="00754D87">
      <w:pPr>
        <w:pStyle w:val="11"/>
        <w:spacing w:after="80"/>
        <w:rPr>
          <w:rFonts w:ascii="Ottawa" w:hAnsi="Ottawa"/>
          <w:sz w:val="21"/>
          <w:szCs w:val="21"/>
          <w:lang w:val="en-GB"/>
        </w:rPr>
      </w:pPr>
      <w:r w:rsidRPr="00B41D48">
        <w:rPr>
          <w:rFonts w:ascii="Ottawa" w:hAnsi="Ottawa"/>
          <w:sz w:val="21"/>
          <w:szCs w:val="21"/>
          <w:lang w:val="en-GB"/>
        </w:rPr>
        <w:t>3.3.</w:t>
      </w:r>
      <w:r w:rsidRPr="00B41D48">
        <w:rPr>
          <w:rFonts w:ascii="Ottawa" w:hAnsi="Ottawa"/>
          <w:sz w:val="21"/>
          <w:szCs w:val="21"/>
          <w:lang w:val="en-GB"/>
        </w:rPr>
        <w:tab/>
        <w:t>Samples or tissues not suitable for pathogen detection</w:t>
      </w:r>
    </w:p>
    <w:p w14:paraId="54FDAE02" w14:textId="77777777" w:rsidR="00E65E42" w:rsidRPr="00D403F5" w:rsidRDefault="00E65E42" w:rsidP="00557B45">
      <w:pPr>
        <w:pStyle w:val="Para20"/>
        <w:spacing w:after="80"/>
        <w:ind w:left="851"/>
        <w:rPr>
          <w:rFonts w:cs="Arial"/>
          <w:szCs w:val="18"/>
          <w:lang w:val="en-GB"/>
        </w:rPr>
      </w:pPr>
      <w:r w:rsidRPr="00631F77">
        <w:rPr>
          <w:rFonts w:cs="Arial"/>
          <w:strike/>
          <w:szCs w:val="18"/>
          <w:highlight w:val="yellow"/>
          <w:lang w:val="en-GB"/>
        </w:rPr>
        <w:t>Any other</w:t>
      </w:r>
      <w:r w:rsidRPr="00631F77">
        <w:rPr>
          <w:rFonts w:cs="Arial"/>
          <w:szCs w:val="18"/>
          <w:highlight w:val="yellow"/>
          <w:lang w:val="en-GB"/>
        </w:rPr>
        <w:t xml:space="preserve"> </w:t>
      </w:r>
      <w:r w:rsidRPr="00631F77">
        <w:rPr>
          <w:rFonts w:cs="Arial"/>
          <w:strike/>
          <w:szCs w:val="18"/>
          <w:highlight w:val="yellow"/>
          <w:lang w:val="en-GB"/>
        </w:rPr>
        <w:t>t</w:t>
      </w:r>
      <w:r w:rsidRPr="00631F77">
        <w:rPr>
          <w:rFonts w:cs="Arial"/>
          <w:szCs w:val="18"/>
          <w:highlight w:val="yellow"/>
          <w:u w:val="double"/>
          <w:lang w:val="en-GB"/>
        </w:rPr>
        <w:t>T</w:t>
      </w:r>
      <w:r w:rsidRPr="00D403F5">
        <w:rPr>
          <w:rFonts w:cs="Arial"/>
          <w:szCs w:val="18"/>
          <w:lang w:val="en-GB"/>
        </w:rPr>
        <w:t>issue</w:t>
      </w:r>
      <w:r w:rsidRPr="00631F77">
        <w:rPr>
          <w:rFonts w:cs="Arial"/>
          <w:szCs w:val="18"/>
          <w:highlight w:val="yellow"/>
          <w:u w:val="double"/>
          <w:lang w:val="en-GB"/>
        </w:rPr>
        <w:t>s</w:t>
      </w:r>
      <w:r w:rsidRPr="00D403F5">
        <w:rPr>
          <w:rFonts w:cs="Arial"/>
          <w:szCs w:val="18"/>
          <w:lang w:val="en-GB"/>
        </w:rPr>
        <w:t xml:space="preserve"> </w:t>
      </w:r>
      <w:r w:rsidRPr="00631F77">
        <w:rPr>
          <w:rFonts w:cs="Arial"/>
          <w:szCs w:val="18"/>
          <w:highlight w:val="yellow"/>
          <w:u w:val="double"/>
          <w:lang w:val="en-GB"/>
        </w:rPr>
        <w:t>other</w:t>
      </w:r>
      <w:r>
        <w:rPr>
          <w:rFonts w:cs="Arial"/>
          <w:szCs w:val="18"/>
          <w:lang w:val="en-GB"/>
        </w:rPr>
        <w:t xml:space="preserve"> </w:t>
      </w:r>
      <w:r w:rsidRPr="00D403F5">
        <w:rPr>
          <w:rFonts w:cs="Arial"/>
          <w:szCs w:val="18"/>
          <w:lang w:val="en-GB"/>
        </w:rPr>
        <w:t xml:space="preserve">than skin </w:t>
      </w:r>
      <w:r w:rsidRPr="00631F77">
        <w:rPr>
          <w:rFonts w:cs="Arial"/>
          <w:strike/>
          <w:szCs w:val="18"/>
          <w:highlight w:val="yellow"/>
          <w:lang w:val="en-GB"/>
        </w:rPr>
        <w:t>is</w:t>
      </w:r>
      <w:r w:rsidRPr="00D403F5">
        <w:rPr>
          <w:rFonts w:cs="Arial"/>
          <w:szCs w:val="18"/>
          <w:lang w:val="en-GB"/>
        </w:rPr>
        <w:t xml:space="preserve"> </w:t>
      </w:r>
      <w:r w:rsidRPr="00631F77">
        <w:rPr>
          <w:rFonts w:cs="Arial"/>
          <w:szCs w:val="18"/>
          <w:highlight w:val="yellow"/>
          <w:u w:val="double"/>
          <w:lang w:val="en-GB"/>
        </w:rPr>
        <w:t>are</w:t>
      </w:r>
      <w:r>
        <w:rPr>
          <w:rFonts w:cs="Arial"/>
          <w:szCs w:val="18"/>
          <w:lang w:val="en-GB"/>
        </w:rPr>
        <w:t xml:space="preserve"> </w:t>
      </w:r>
      <w:r w:rsidRPr="00D403F5">
        <w:rPr>
          <w:rFonts w:cs="Arial"/>
          <w:szCs w:val="18"/>
          <w:lang w:val="en-GB"/>
        </w:rPr>
        <w:t xml:space="preserve">not suitable for the detection of Bsal in amphibians. </w:t>
      </w:r>
    </w:p>
    <w:p w14:paraId="230968C8" w14:textId="77777777" w:rsidR="00E65E42" w:rsidRPr="00B41D48" w:rsidRDefault="00E65E42" w:rsidP="00754D87">
      <w:pPr>
        <w:pStyle w:val="11"/>
        <w:spacing w:after="80"/>
        <w:rPr>
          <w:rFonts w:ascii="Ottawa" w:hAnsi="Ottawa"/>
          <w:sz w:val="21"/>
          <w:szCs w:val="21"/>
          <w:lang w:val="en-GB"/>
        </w:rPr>
      </w:pPr>
      <w:r w:rsidRPr="00B41D48">
        <w:rPr>
          <w:rFonts w:ascii="Ottawa" w:hAnsi="Ottawa"/>
          <w:sz w:val="21"/>
          <w:szCs w:val="21"/>
          <w:lang w:val="en-GB"/>
        </w:rPr>
        <w:t>3.4.</w:t>
      </w:r>
      <w:r w:rsidRPr="00B41D48">
        <w:rPr>
          <w:rFonts w:ascii="Ottawa" w:hAnsi="Ottawa"/>
          <w:sz w:val="21"/>
          <w:szCs w:val="21"/>
          <w:lang w:val="en-GB"/>
        </w:rPr>
        <w:tab/>
        <w:t>Non-lethal sampling</w:t>
      </w:r>
    </w:p>
    <w:p w14:paraId="3B058345" w14:textId="77777777" w:rsidR="00E65E42" w:rsidRPr="00D403F5" w:rsidRDefault="00E65E42" w:rsidP="00557B45">
      <w:pPr>
        <w:pStyle w:val="Para20"/>
        <w:spacing w:after="120"/>
        <w:ind w:left="851"/>
        <w:rPr>
          <w:rFonts w:cs="Arial"/>
          <w:szCs w:val="18"/>
          <w:lang w:val="en-GB" w:eastAsia="fr-FR"/>
        </w:rPr>
      </w:pPr>
      <w:r w:rsidRPr="00D403F5">
        <w:rPr>
          <w:rFonts w:cs="Arial"/>
          <w:szCs w:val="18"/>
          <w:lang w:val="en-GB" w:eastAsia="fr-FR"/>
        </w:rPr>
        <w:t xml:space="preserve">Non-lethal sampling is possible, either by collecting skin biopsies (toeclips or tailclips) or by non-invasively collecting samples using cotton tipped swabs. The latter is preferred given its minimal impact on animal </w:t>
      </w:r>
      <w:r w:rsidRPr="00D403F5">
        <w:rPr>
          <w:rFonts w:cs="Arial"/>
          <w:szCs w:val="18"/>
          <w:u w:val="double"/>
          <w:lang w:val="en-GB" w:eastAsia="fr-FR"/>
        </w:rPr>
        <w:t>welfare</w:t>
      </w:r>
      <w:r w:rsidRPr="00D403F5">
        <w:rPr>
          <w:rFonts w:cs="Arial"/>
          <w:strike/>
          <w:szCs w:val="18"/>
          <w:lang w:val="en-GB" w:eastAsia="fr-FR"/>
        </w:rPr>
        <w:t xml:space="preserve"> well being</w:t>
      </w:r>
      <w:r w:rsidRPr="00D403F5">
        <w:rPr>
          <w:rFonts w:cs="Arial"/>
          <w:szCs w:val="18"/>
          <w:lang w:val="en-GB" w:eastAsia="fr-FR"/>
        </w:rPr>
        <w:t xml:space="preserve">. As Bsal is limited to the superficial skin layers of the amphibian host, non-lethal sampling results are equivalent to lethal sampling results. </w:t>
      </w:r>
      <w:r w:rsidRPr="00D403F5">
        <w:rPr>
          <w:rFonts w:cs="Arial"/>
          <w:strike/>
          <w:szCs w:val="18"/>
          <w:lang w:val="en-GB" w:eastAsia="fr-FR"/>
        </w:rPr>
        <w:t xml:space="preserve">In the absence of other, Bsal specific diagnostic tests (other than the laborious isolation of the fungus), </w:t>
      </w:r>
      <w:r w:rsidRPr="00D403F5">
        <w:rPr>
          <w:rFonts w:cs="Arial"/>
          <w:szCs w:val="18"/>
          <w:lang w:val="en-GB" w:eastAsia="fr-FR"/>
        </w:rPr>
        <w:t>Large numbers of animals can be sampled using skin swabs with minimal effects on animal welfare. Cotton tipped swabs should be rubbed firmly over the abdomen (10 times), the underside of a foot (10 times) and the ventral tail (10 times) using the tip of the swab. The use of disposable gloves for manipulating amphibians is highly recommended.</w:t>
      </w:r>
    </w:p>
    <w:p w14:paraId="7952B1CB" w14:textId="77777777" w:rsidR="00754D87" w:rsidRDefault="00754D87">
      <w:pPr>
        <w:rPr>
          <w:rFonts w:ascii="Ottawa" w:eastAsia="MS Mincho" w:hAnsi="Ottawa" w:cs="Times New Roman"/>
          <w:b/>
          <w:sz w:val="21"/>
          <w:szCs w:val="21"/>
          <w:lang w:eastAsia="da-DK"/>
        </w:rPr>
      </w:pPr>
      <w:r>
        <w:rPr>
          <w:rFonts w:ascii="Ottawa" w:hAnsi="Ottawa"/>
          <w:sz w:val="21"/>
          <w:szCs w:val="21"/>
        </w:rPr>
        <w:br w:type="page"/>
      </w:r>
    </w:p>
    <w:p w14:paraId="5CB4ABAF" w14:textId="77777777" w:rsidR="00754D87" w:rsidRDefault="00754D87" w:rsidP="00754D87">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12</w:t>
      </w:r>
      <w:r w:rsidRPr="00DB0A8D">
        <w:rPr>
          <w:rFonts w:cs="Times New Roman"/>
          <w:bCs/>
          <w:iCs/>
          <w:szCs w:val="20"/>
        </w:rPr>
        <w:t xml:space="preserve"> (contd)</w:t>
      </w:r>
    </w:p>
    <w:p w14:paraId="5D89B3E6" w14:textId="367D2073" w:rsidR="00E65E42" w:rsidRPr="00B41D48" w:rsidRDefault="00E65E42" w:rsidP="001C6A78">
      <w:pPr>
        <w:pStyle w:val="11"/>
        <w:tabs>
          <w:tab w:val="left" w:pos="1418"/>
        </w:tabs>
        <w:spacing w:after="160"/>
        <w:ind w:left="851" w:hanging="567"/>
        <w:rPr>
          <w:rFonts w:ascii="Ottawa" w:hAnsi="Ottawa"/>
          <w:sz w:val="21"/>
          <w:szCs w:val="21"/>
          <w:lang w:val="en-GB"/>
        </w:rPr>
      </w:pPr>
      <w:r w:rsidRPr="00B41D48">
        <w:rPr>
          <w:rFonts w:ascii="Ottawa" w:hAnsi="Ottawa"/>
          <w:sz w:val="21"/>
          <w:szCs w:val="21"/>
          <w:lang w:val="en-GB"/>
        </w:rPr>
        <w:t>3.5.</w:t>
      </w:r>
      <w:r w:rsidRPr="00B41D48">
        <w:rPr>
          <w:rFonts w:ascii="Ottawa" w:hAnsi="Ottawa"/>
          <w:sz w:val="21"/>
          <w:szCs w:val="21"/>
          <w:lang w:val="en-GB"/>
        </w:rPr>
        <w:tab/>
        <w:t>Preservation of samples for submission</w:t>
      </w:r>
    </w:p>
    <w:p w14:paraId="06C7637D" w14:textId="77777777" w:rsidR="00E65E42" w:rsidRPr="00B41D48" w:rsidRDefault="00E65E42" w:rsidP="001C6A78">
      <w:pPr>
        <w:pStyle w:val="111"/>
        <w:spacing w:after="200"/>
        <w:ind w:firstLine="0"/>
        <w:rPr>
          <w:szCs w:val="20"/>
        </w:rPr>
      </w:pPr>
      <w:r w:rsidRPr="00B41D48">
        <w:rPr>
          <w:szCs w:val="20"/>
        </w:rPr>
        <w:t>3.5.1.</w:t>
      </w:r>
      <w:r w:rsidRPr="00B41D48">
        <w:rPr>
          <w:szCs w:val="20"/>
        </w:rPr>
        <w:tab/>
        <w:t xml:space="preserve">Samples for pathogen isolation </w:t>
      </w:r>
    </w:p>
    <w:p w14:paraId="2A40593A" w14:textId="77777777" w:rsidR="00E65E42" w:rsidRPr="00D403F5" w:rsidRDefault="00E65E42" w:rsidP="00754D87">
      <w:pPr>
        <w:pStyle w:val="Para3"/>
        <w:spacing w:after="200"/>
        <w:rPr>
          <w:szCs w:val="18"/>
          <w:lang w:val="en-GB" w:eastAsia="fr-FR"/>
        </w:rPr>
      </w:pPr>
      <w:r w:rsidRPr="00D403F5">
        <w:rPr>
          <w:szCs w:val="18"/>
          <w:lang w:val="en-GB" w:eastAsia="fr-FR"/>
        </w:rPr>
        <w:t xml:space="preserve">Bsal isolation is a </w:t>
      </w:r>
      <w:r w:rsidRPr="00D403F5">
        <w:rPr>
          <w:strike/>
          <w:szCs w:val="18"/>
          <w:lang w:val="en-GB" w:eastAsia="fr-FR"/>
        </w:rPr>
        <w:t xml:space="preserve">very </w:t>
      </w:r>
      <w:r w:rsidRPr="00D403F5">
        <w:rPr>
          <w:szCs w:val="18"/>
          <w:lang w:val="en-GB" w:eastAsia="fr-FR"/>
        </w:rPr>
        <w:t xml:space="preserve">laborious procedure, requiring up to two months </w:t>
      </w:r>
      <w:r w:rsidRPr="00D403F5">
        <w:rPr>
          <w:szCs w:val="18"/>
          <w:u w:val="double"/>
          <w:lang w:val="en-GB" w:eastAsia="fr-FR"/>
        </w:rPr>
        <w:t>to obtain</w:t>
      </w:r>
      <w:r w:rsidRPr="00D403F5">
        <w:rPr>
          <w:szCs w:val="18"/>
          <w:lang w:val="en-GB" w:eastAsia="fr-FR"/>
        </w:rPr>
        <w:t xml:space="preserve"> </w:t>
      </w:r>
      <w:r w:rsidRPr="00D403F5">
        <w:rPr>
          <w:strike/>
          <w:szCs w:val="18"/>
          <w:lang w:val="en-GB" w:eastAsia="fr-FR"/>
        </w:rPr>
        <w:t xml:space="preserve">for obtaining </w:t>
      </w:r>
      <w:r w:rsidRPr="00D403F5">
        <w:rPr>
          <w:szCs w:val="18"/>
          <w:lang w:val="en-GB" w:eastAsia="fr-FR"/>
        </w:rPr>
        <w:t xml:space="preserve">a pure culture from a clinical sample. Isolation from animals that died due to Bsal infection is hampered by bacterial overgrowth. The best sample for Bsal isolation is a diseased, living animal, which is euthanised just prior to an isolation attempt. Before sampling diseased animals should be kept at temperatures between 5 and 15°C to avoid clearance of infection (Blooi </w:t>
      </w:r>
      <w:r w:rsidRPr="00D403F5">
        <w:rPr>
          <w:i/>
          <w:szCs w:val="18"/>
          <w:lang w:val="en-GB" w:eastAsia="fr-FR"/>
        </w:rPr>
        <w:t>et al</w:t>
      </w:r>
      <w:r w:rsidRPr="00D403F5">
        <w:rPr>
          <w:szCs w:val="18"/>
          <w:lang w:val="en-GB" w:eastAsia="fr-FR"/>
        </w:rPr>
        <w:t xml:space="preserve">., </w:t>
      </w:r>
      <w:r w:rsidRPr="00D403F5">
        <w:rPr>
          <w:szCs w:val="18"/>
          <w:u w:val="double"/>
          <w:lang w:val="en-GB" w:eastAsia="fr-FR"/>
        </w:rPr>
        <w:t>2015b</w:t>
      </w:r>
      <w:r w:rsidRPr="00D403F5">
        <w:rPr>
          <w:strike/>
          <w:szCs w:val="18"/>
          <w:lang w:val="en-GB" w:eastAsia="fr-FR"/>
        </w:rPr>
        <w:t xml:space="preserve"> 2015a</w:t>
      </w:r>
      <w:r w:rsidRPr="00D403F5">
        <w:rPr>
          <w:szCs w:val="18"/>
          <w:lang w:val="en-GB" w:eastAsia="fr-FR"/>
        </w:rPr>
        <w:t>).</w:t>
      </w:r>
    </w:p>
    <w:p w14:paraId="01ABBCFF" w14:textId="77777777" w:rsidR="00E65E42" w:rsidRPr="00B41D48" w:rsidRDefault="00E65E42" w:rsidP="001C6A78">
      <w:pPr>
        <w:pStyle w:val="111"/>
        <w:spacing w:after="200"/>
        <w:ind w:firstLine="0"/>
        <w:rPr>
          <w:szCs w:val="20"/>
        </w:rPr>
      </w:pPr>
      <w:r w:rsidRPr="00B41D48">
        <w:rPr>
          <w:szCs w:val="20"/>
        </w:rPr>
        <w:t>3.5.2.</w:t>
      </w:r>
      <w:r w:rsidRPr="00B41D48">
        <w:rPr>
          <w:szCs w:val="20"/>
        </w:rPr>
        <w:tab/>
      </w:r>
      <w:r w:rsidRPr="00B41D48">
        <w:rPr>
          <w:szCs w:val="20"/>
          <w:u w:val="double"/>
        </w:rPr>
        <w:t>Preservation of</w:t>
      </w:r>
      <w:r w:rsidRPr="00EF340B">
        <w:rPr>
          <w:strike/>
          <w:szCs w:val="20"/>
        </w:rPr>
        <w:t xml:space="preserve"> </w:t>
      </w:r>
      <w:r w:rsidRPr="00B41D48">
        <w:rPr>
          <w:strike/>
          <w:szCs w:val="20"/>
        </w:rPr>
        <w:t xml:space="preserve">Fixed </w:t>
      </w:r>
      <w:r w:rsidRPr="00B41D48">
        <w:rPr>
          <w:szCs w:val="20"/>
        </w:rPr>
        <w:t>samples for molecular detection</w:t>
      </w:r>
    </w:p>
    <w:p w14:paraId="347E3B95" w14:textId="77777777" w:rsidR="00E65E42" w:rsidRPr="00D403F5" w:rsidRDefault="00E65E42" w:rsidP="00754D87">
      <w:pPr>
        <w:pStyle w:val="Para3"/>
        <w:spacing w:after="200"/>
        <w:rPr>
          <w:szCs w:val="18"/>
          <w:lang w:val="en-GB" w:eastAsia="fr-FR"/>
        </w:rPr>
      </w:pPr>
      <w:r w:rsidRPr="00D403F5">
        <w:rPr>
          <w:szCs w:val="18"/>
          <w:lang w:val="en-GB" w:eastAsia="fr-FR"/>
        </w:rPr>
        <w:t>Tissue samples for PCR testing should be preserved in 70–90% (v/v) analytical/reagent-grade (undenatured) ethanol. The recommended ratio of ethanol to tissue is 10:1. The use of lower grade (laboratory or industrial grade) ethanol is not recommended. If material cannot be fixed it may be frozen.</w:t>
      </w:r>
    </w:p>
    <w:p w14:paraId="69C09EC4" w14:textId="77777777" w:rsidR="00E65E42" w:rsidRPr="00D403F5" w:rsidRDefault="00E65E42" w:rsidP="00754D87">
      <w:pPr>
        <w:pStyle w:val="Para3"/>
        <w:spacing w:after="200"/>
        <w:rPr>
          <w:szCs w:val="18"/>
          <w:lang w:val="en-GB" w:eastAsia="fr-FR"/>
        </w:rPr>
      </w:pPr>
      <w:r w:rsidRPr="00D403F5">
        <w:rPr>
          <w:szCs w:val="18"/>
          <w:lang w:val="en-GB" w:eastAsia="fr-FR"/>
        </w:rPr>
        <w:t xml:space="preserve">Skin swabs should be stored dry and preferably frozen. </w:t>
      </w:r>
    </w:p>
    <w:p w14:paraId="1D97BBAB" w14:textId="77777777" w:rsidR="00E65E42" w:rsidRPr="00B41D48" w:rsidRDefault="00E65E42" w:rsidP="001C6A78">
      <w:pPr>
        <w:pStyle w:val="111"/>
        <w:spacing w:after="200"/>
        <w:ind w:firstLine="0"/>
        <w:rPr>
          <w:szCs w:val="20"/>
        </w:rPr>
      </w:pPr>
      <w:r w:rsidRPr="00B41D48">
        <w:rPr>
          <w:szCs w:val="20"/>
        </w:rPr>
        <w:t>3.5.3.</w:t>
      </w:r>
      <w:r w:rsidRPr="00B41D48">
        <w:rPr>
          <w:szCs w:val="20"/>
        </w:rPr>
        <w:tab/>
      </w:r>
      <w:r w:rsidRPr="00631F77">
        <w:rPr>
          <w:strike/>
          <w:szCs w:val="20"/>
          <w:highlight w:val="yellow"/>
        </w:rPr>
        <w:t>Fixed</w:t>
      </w:r>
      <w:r w:rsidRPr="00B41D48">
        <w:rPr>
          <w:szCs w:val="20"/>
        </w:rPr>
        <w:t xml:space="preserve"> </w:t>
      </w:r>
      <w:r w:rsidRPr="00631F77">
        <w:rPr>
          <w:szCs w:val="20"/>
          <w:highlight w:val="yellow"/>
          <w:u w:val="double"/>
        </w:rPr>
        <w:t>Preservation of</w:t>
      </w:r>
      <w:r>
        <w:rPr>
          <w:szCs w:val="20"/>
        </w:rPr>
        <w:t xml:space="preserve"> </w:t>
      </w:r>
      <w:r w:rsidRPr="00B41D48">
        <w:rPr>
          <w:szCs w:val="20"/>
        </w:rPr>
        <w:t xml:space="preserve">samples for histopathology, immunohistochemistry or </w:t>
      </w:r>
      <w:r w:rsidRPr="00B41D48">
        <w:rPr>
          <w:i/>
          <w:szCs w:val="20"/>
        </w:rPr>
        <w:t>in-situ</w:t>
      </w:r>
      <w:r w:rsidRPr="00B41D48">
        <w:rPr>
          <w:szCs w:val="20"/>
        </w:rPr>
        <w:t xml:space="preserve"> hybridisation</w:t>
      </w:r>
    </w:p>
    <w:p w14:paraId="61074944" w14:textId="77777777" w:rsidR="00E65E42" w:rsidRPr="00D403F5" w:rsidRDefault="00E65E42" w:rsidP="00754D87">
      <w:pPr>
        <w:pStyle w:val="Para3"/>
        <w:spacing w:after="200"/>
        <w:rPr>
          <w:szCs w:val="18"/>
          <w:lang w:val="en-GB" w:eastAsia="fr-FR"/>
        </w:rPr>
      </w:pPr>
      <w:r w:rsidRPr="00D403F5">
        <w:rPr>
          <w:szCs w:val="18"/>
          <w:lang w:val="en-GB" w:eastAsia="fr-FR"/>
        </w:rPr>
        <w:t>Skin samples for histopathology should be fixed immediately after collection. The recommended ratio of formalin (10%) to tissue is 10:1.</w:t>
      </w:r>
    </w:p>
    <w:p w14:paraId="6F928DBE" w14:textId="77777777" w:rsidR="00E65E42" w:rsidRPr="00B41D48" w:rsidRDefault="00E65E42" w:rsidP="001C6A78">
      <w:pPr>
        <w:pStyle w:val="111"/>
        <w:spacing w:after="200"/>
        <w:ind w:firstLine="0"/>
        <w:rPr>
          <w:szCs w:val="20"/>
        </w:rPr>
      </w:pPr>
      <w:r w:rsidRPr="00B41D48">
        <w:rPr>
          <w:szCs w:val="20"/>
        </w:rPr>
        <w:t>3.5.4.</w:t>
      </w:r>
      <w:r w:rsidRPr="00B41D48">
        <w:rPr>
          <w:szCs w:val="20"/>
        </w:rPr>
        <w:tab/>
      </w:r>
      <w:r w:rsidRPr="00631F77">
        <w:rPr>
          <w:strike/>
          <w:szCs w:val="20"/>
          <w:highlight w:val="yellow"/>
        </w:rPr>
        <w:t>Fixed</w:t>
      </w:r>
      <w:r w:rsidRPr="00B41D48">
        <w:rPr>
          <w:szCs w:val="20"/>
        </w:rPr>
        <w:t xml:space="preserve"> </w:t>
      </w:r>
      <w:r w:rsidRPr="00631F77">
        <w:rPr>
          <w:szCs w:val="20"/>
          <w:highlight w:val="yellow"/>
          <w:u w:val="double"/>
        </w:rPr>
        <w:t>Preservation of</w:t>
      </w:r>
      <w:r>
        <w:rPr>
          <w:szCs w:val="20"/>
        </w:rPr>
        <w:t xml:space="preserve"> </w:t>
      </w:r>
      <w:r w:rsidRPr="00B41D48">
        <w:rPr>
          <w:szCs w:val="20"/>
        </w:rPr>
        <w:t>samples for electron microscopy</w:t>
      </w:r>
    </w:p>
    <w:p w14:paraId="64549C45" w14:textId="77777777" w:rsidR="00E65E42" w:rsidRPr="00D403F5" w:rsidRDefault="00E65E42" w:rsidP="00754D87">
      <w:pPr>
        <w:pStyle w:val="Para3"/>
        <w:spacing w:after="200"/>
        <w:rPr>
          <w:szCs w:val="18"/>
          <w:lang w:val="en-GB" w:eastAsia="fr-FR"/>
        </w:rPr>
      </w:pPr>
      <w:r w:rsidRPr="00D403F5">
        <w:rPr>
          <w:szCs w:val="18"/>
          <w:lang w:val="en-GB" w:eastAsia="fr-FR"/>
        </w:rPr>
        <w:t xml:space="preserve">For transmission electron microscopy, skin samples can be fixed in glutaraldehyde in 0.05 M sodium cacodylate buffer and 1% osmium tetroxide post-fixation (Martel </w:t>
      </w:r>
      <w:r w:rsidRPr="00D403F5">
        <w:rPr>
          <w:i/>
          <w:szCs w:val="18"/>
          <w:lang w:val="en-GB" w:eastAsia="fr-FR"/>
        </w:rPr>
        <w:t>et al</w:t>
      </w:r>
      <w:r w:rsidRPr="00D403F5">
        <w:rPr>
          <w:szCs w:val="18"/>
          <w:lang w:val="en-GB" w:eastAsia="fr-FR"/>
        </w:rPr>
        <w:t>., 2013).</w:t>
      </w:r>
    </w:p>
    <w:p w14:paraId="1CFBF2C9" w14:textId="77777777" w:rsidR="00E65E42" w:rsidRPr="00B41D48" w:rsidRDefault="00E65E42" w:rsidP="001C6A78">
      <w:pPr>
        <w:pStyle w:val="111"/>
        <w:spacing w:after="200"/>
        <w:ind w:firstLine="0"/>
        <w:rPr>
          <w:szCs w:val="20"/>
        </w:rPr>
      </w:pPr>
      <w:r w:rsidRPr="00B41D48">
        <w:rPr>
          <w:szCs w:val="20"/>
        </w:rPr>
        <w:t>3.5.5.</w:t>
      </w:r>
      <w:r w:rsidRPr="00B41D48">
        <w:rPr>
          <w:szCs w:val="20"/>
        </w:rPr>
        <w:tab/>
        <w:t>Samples for other tests</w:t>
      </w:r>
    </w:p>
    <w:p w14:paraId="089DDC32" w14:textId="77777777" w:rsidR="00E65E42" w:rsidRPr="00D403F5" w:rsidRDefault="00E65E42" w:rsidP="00754D87">
      <w:pPr>
        <w:pStyle w:val="Para3"/>
        <w:spacing w:after="200"/>
        <w:rPr>
          <w:szCs w:val="18"/>
          <w:lang w:val="en-GB" w:eastAsia="fr-FR"/>
        </w:rPr>
      </w:pPr>
      <w:r w:rsidRPr="00D403F5">
        <w:rPr>
          <w:szCs w:val="18"/>
          <w:lang w:val="en-GB" w:eastAsia="fr-FR"/>
        </w:rPr>
        <w:t>Not applicable.</w:t>
      </w:r>
    </w:p>
    <w:p w14:paraId="2B150F1B" w14:textId="77777777" w:rsidR="00E65E42" w:rsidRPr="00EA08A6" w:rsidRDefault="00E65E42" w:rsidP="001C6A78">
      <w:pPr>
        <w:pStyle w:val="11"/>
        <w:tabs>
          <w:tab w:val="left" w:pos="1418"/>
        </w:tabs>
        <w:spacing w:after="160"/>
        <w:ind w:left="851" w:hanging="567"/>
        <w:rPr>
          <w:rFonts w:ascii="Ottawa" w:hAnsi="Ottawa"/>
          <w:sz w:val="21"/>
          <w:szCs w:val="21"/>
          <w:lang w:val="en-GB"/>
        </w:rPr>
      </w:pPr>
      <w:r w:rsidRPr="00EA08A6">
        <w:rPr>
          <w:rFonts w:ascii="Ottawa" w:hAnsi="Ottawa"/>
          <w:sz w:val="21"/>
          <w:szCs w:val="21"/>
          <w:lang w:val="en-GB"/>
        </w:rPr>
        <w:t>3.6.</w:t>
      </w:r>
      <w:r w:rsidRPr="00EA08A6">
        <w:rPr>
          <w:rFonts w:ascii="Ottawa" w:hAnsi="Ottawa"/>
          <w:sz w:val="21"/>
          <w:szCs w:val="21"/>
          <w:lang w:val="en-GB"/>
        </w:rPr>
        <w:tab/>
        <w:t>Pooling of samples</w:t>
      </w:r>
    </w:p>
    <w:p w14:paraId="61F14756" w14:textId="77777777" w:rsidR="00E65E42" w:rsidRPr="00D403F5" w:rsidRDefault="00E65E42" w:rsidP="00557B45">
      <w:pPr>
        <w:pStyle w:val="Para20"/>
        <w:spacing w:after="200"/>
        <w:ind w:left="851"/>
        <w:rPr>
          <w:rFonts w:cs="Arial"/>
          <w:szCs w:val="18"/>
          <w:lang w:val="en-GB"/>
        </w:rPr>
      </w:pPr>
      <w:r w:rsidRPr="00D403F5">
        <w:rPr>
          <w:rFonts w:cs="Arial"/>
          <w:szCs w:val="18"/>
          <w:lang w:val="en-GB"/>
        </w:rPr>
        <w:t xml:space="preserve">Pooling of up to </w:t>
      </w:r>
      <w:r w:rsidRPr="00D403F5">
        <w:rPr>
          <w:rFonts w:cs="Arial"/>
          <w:szCs w:val="18"/>
          <w:u w:val="double"/>
          <w:lang w:val="en-GB"/>
        </w:rPr>
        <w:t>four</w:t>
      </w:r>
      <w:r w:rsidRPr="00D403F5">
        <w:rPr>
          <w:rFonts w:cs="Arial"/>
          <w:szCs w:val="18"/>
          <w:lang w:val="en-GB"/>
        </w:rPr>
        <w:t xml:space="preserve"> </w:t>
      </w:r>
      <w:r w:rsidRPr="00D403F5">
        <w:rPr>
          <w:rFonts w:cs="Arial"/>
          <w:strike/>
          <w:szCs w:val="18"/>
          <w:lang w:val="en-GB"/>
        </w:rPr>
        <w:t xml:space="preserve">five </w:t>
      </w:r>
      <w:r w:rsidRPr="00D403F5">
        <w:rPr>
          <w:rFonts w:cs="Arial"/>
          <w:szCs w:val="18"/>
          <w:lang w:val="en-GB"/>
        </w:rPr>
        <w:t xml:space="preserve">skin swab samples appears to allow reliable detection of Bsal in clinically affected animals (Sabino-Pinto </w:t>
      </w:r>
      <w:r w:rsidRPr="00D403F5">
        <w:rPr>
          <w:rFonts w:cs="Arial"/>
          <w:i/>
          <w:szCs w:val="18"/>
          <w:lang w:val="en-GB"/>
        </w:rPr>
        <w:t>et al</w:t>
      </w:r>
      <w:r w:rsidRPr="00D403F5">
        <w:rPr>
          <w:rFonts w:cs="Arial"/>
          <w:szCs w:val="18"/>
          <w:lang w:val="en-GB"/>
        </w:rPr>
        <w:t xml:space="preserve">., </w:t>
      </w:r>
      <w:r w:rsidRPr="00631F77">
        <w:rPr>
          <w:rFonts w:cs="Arial"/>
          <w:strike/>
          <w:szCs w:val="18"/>
          <w:highlight w:val="yellow"/>
          <w:lang w:val="en-GB"/>
        </w:rPr>
        <w:t>2018</w:t>
      </w:r>
      <w:r>
        <w:rPr>
          <w:rFonts w:cs="Arial"/>
          <w:strike/>
          <w:szCs w:val="18"/>
          <w:lang w:val="en-GB"/>
        </w:rPr>
        <w:t xml:space="preserve"> </w:t>
      </w:r>
      <w:r w:rsidRPr="00631F77">
        <w:rPr>
          <w:rFonts w:cs="Arial"/>
          <w:szCs w:val="18"/>
          <w:highlight w:val="yellow"/>
          <w:u w:val="double"/>
          <w:lang w:val="en-GB"/>
        </w:rPr>
        <w:t>2019a; 2019b</w:t>
      </w:r>
      <w:r w:rsidRPr="00D403F5">
        <w:rPr>
          <w:rFonts w:cs="Arial"/>
          <w:szCs w:val="18"/>
          <w:lang w:val="en-GB"/>
        </w:rPr>
        <w:t xml:space="preserve">) but estimates </w:t>
      </w:r>
      <w:r w:rsidRPr="00D403F5">
        <w:rPr>
          <w:rFonts w:cs="Arial"/>
          <w:szCs w:val="18"/>
          <w:u w:val="double"/>
          <w:lang w:val="en-GB"/>
        </w:rPr>
        <w:t>of</w:t>
      </w:r>
      <w:r w:rsidRPr="00D403F5">
        <w:rPr>
          <w:rFonts w:cs="Arial"/>
          <w:szCs w:val="18"/>
          <w:lang w:val="en-GB"/>
        </w:rPr>
        <w:t xml:space="preserve"> </w:t>
      </w:r>
      <w:r w:rsidRPr="00D403F5">
        <w:rPr>
          <w:rFonts w:cs="Arial"/>
          <w:strike/>
          <w:szCs w:val="18"/>
          <w:lang w:val="en-GB"/>
        </w:rPr>
        <w:t xml:space="preserve">on </w:t>
      </w:r>
      <w:r w:rsidRPr="00D403F5">
        <w:rPr>
          <w:rFonts w:cs="Arial"/>
          <w:szCs w:val="18"/>
          <w:lang w:val="en-GB"/>
        </w:rPr>
        <w:t xml:space="preserve">the impact on </w:t>
      </w:r>
      <w:r w:rsidRPr="00D403F5">
        <w:rPr>
          <w:rFonts w:cs="Arial"/>
          <w:szCs w:val="18"/>
          <w:u w:val="double"/>
          <w:lang w:val="en-GB"/>
        </w:rPr>
        <w:t>diagnostic performance of the</w:t>
      </w:r>
      <w:r w:rsidRPr="00D403F5">
        <w:rPr>
          <w:rFonts w:cs="Arial"/>
          <w:szCs w:val="18"/>
          <w:lang w:val="en-GB"/>
        </w:rPr>
        <w:t xml:space="preserve"> test </w:t>
      </w:r>
      <w:r w:rsidRPr="00D403F5">
        <w:rPr>
          <w:rFonts w:cs="Arial"/>
          <w:strike/>
          <w:szCs w:val="18"/>
          <w:lang w:val="en-GB"/>
        </w:rPr>
        <w:t xml:space="preserve">characteristics </w:t>
      </w:r>
      <w:r w:rsidRPr="00D403F5">
        <w:rPr>
          <w:rFonts w:cs="Arial"/>
          <w:szCs w:val="18"/>
          <w:lang w:val="en-GB"/>
        </w:rPr>
        <w:t xml:space="preserve">have not been determined. Given low infection intensities in subclinically infected animals, sampling </w:t>
      </w:r>
      <w:r w:rsidRPr="00631F77">
        <w:rPr>
          <w:rFonts w:cs="Arial"/>
          <w:szCs w:val="18"/>
          <w:highlight w:val="yellow"/>
          <w:u w:val="double"/>
          <w:lang w:val="en-GB"/>
        </w:rPr>
        <w:t>and testing</w:t>
      </w:r>
      <w:r>
        <w:rPr>
          <w:rFonts w:cs="Arial"/>
          <w:szCs w:val="18"/>
          <w:lang w:val="en-GB"/>
        </w:rPr>
        <w:t xml:space="preserve"> </w:t>
      </w:r>
      <w:r w:rsidRPr="00D403F5">
        <w:rPr>
          <w:rFonts w:cs="Arial"/>
          <w:szCs w:val="18"/>
          <w:lang w:val="en-GB"/>
        </w:rPr>
        <w:t xml:space="preserve">of individual animals is recommended. </w:t>
      </w:r>
    </w:p>
    <w:p w14:paraId="004AA7DB" w14:textId="77777777" w:rsidR="00E65E42" w:rsidRPr="002A15FF" w:rsidRDefault="00E65E42" w:rsidP="00754D87">
      <w:pPr>
        <w:pStyle w:val="StyleTitre1Arial"/>
        <w:spacing w:after="200"/>
        <w:rPr>
          <w:rFonts w:ascii="Ottawa" w:hAnsi="Ottawa"/>
          <w:lang w:val="en-GB"/>
        </w:rPr>
      </w:pPr>
      <w:bookmarkStart w:id="130" w:name="_Toc38028663"/>
      <w:r w:rsidRPr="002A15FF">
        <w:rPr>
          <w:rFonts w:ascii="Ottawa" w:hAnsi="Ottawa"/>
          <w:lang w:val="en-GB"/>
        </w:rPr>
        <w:t>4.</w:t>
      </w:r>
      <w:r w:rsidRPr="002A15FF">
        <w:rPr>
          <w:rFonts w:ascii="Ottawa" w:hAnsi="Ottawa"/>
          <w:lang w:val="en-GB"/>
        </w:rPr>
        <w:tab/>
        <w:t>Diagnostic methods</w:t>
      </w:r>
      <w:bookmarkEnd w:id="130"/>
    </w:p>
    <w:p w14:paraId="4B162877" w14:textId="77777777" w:rsidR="00E65E42" w:rsidRPr="00D403F5" w:rsidRDefault="00E65E42" w:rsidP="00557B45">
      <w:pPr>
        <w:pStyle w:val="Para10"/>
        <w:spacing w:after="200"/>
        <w:ind w:left="284"/>
        <w:rPr>
          <w:rFonts w:cs="Arial"/>
          <w:szCs w:val="18"/>
          <w:lang w:val="en-GB"/>
        </w:rPr>
      </w:pPr>
      <w:r w:rsidRPr="00D403F5">
        <w:rPr>
          <w:rFonts w:cs="Arial"/>
          <w:szCs w:val="18"/>
          <w:lang w:val="en-GB"/>
        </w:rPr>
        <w:t xml:space="preserve">The methods currently available for identifying infection that can be used in i) surveillance of apparently healthy populations), ii) presumptive and iii) confirmatory diagnostic purposes are listed in Table 4.1. by life stage. The designations used in the Table indicate: </w:t>
      </w:r>
    </w:p>
    <w:p w14:paraId="2C1B4802" w14:textId="77777777" w:rsidR="00E65E42" w:rsidRPr="00D403F5" w:rsidRDefault="00E65E42" w:rsidP="00557B45">
      <w:pPr>
        <w:pStyle w:val="Textebrut"/>
        <w:ind w:left="1134" w:hanging="850"/>
        <w:rPr>
          <w:rFonts w:ascii="Arial" w:hAnsi="Arial" w:cs="Arial"/>
          <w:color w:val="000000"/>
          <w:sz w:val="18"/>
          <w:szCs w:val="18"/>
          <w:lang w:val="en-GB"/>
        </w:rPr>
      </w:pPr>
      <w:r w:rsidRPr="00D403F5">
        <w:rPr>
          <w:rFonts w:ascii="Arial" w:hAnsi="Arial" w:cs="Arial"/>
          <w:color w:val="000000"/>
          <w:sz w:val="18"/>
          <w:szCs w:val="18"/>
          <w:lang w:val="en-GB"/>
        </w:rPr>
        <w:t xml:space="preserve">Key: </w:t>
      </w:r>
    </w:p>
    <w:p w14:paraId="2DA6305F" w14:textId="77777777" w:rsidR="00E65E42" w:rsidRPr="00D403F5" w:rsidRDefault="00E65E42" w:rsidP="00557B45">
      <w:pPr>
        <w:pStyle w:val="Textebrut"/>
        <w:ind w:left="1701" w:hanging="1417"/>
        <w:rPr>
          <w:rFonts w:ascii="Arial" w:hAnsi="Arial" w:cs="Arial"/>
          <w:color w:val="000000"/>
          <w:sz w:val="18"/>
          <w:szCs w:val="18"/>
          <w:lang w:val="en-GB"/>
        </w:rPr>
      </w:pPr>
      <w:r w:rsidRPr="00D403F5">
        <w:rPr>
          <w:rFonts w:ascii="Arial" w:hAnsi="Arial" w:cs="Arial"/>
          <w:color w:val="000000"/>
          <w:sz w:val="18"/>
          <w:szCs w:val="18"/>
          <w:lang w:val="en-GB"/>
        </w:rPr>
        <w:t>+++ =</w:t>
      </w:r>
      <w:r w:rsidRPr="00D403F5">
        <w:rPr>
          <w:rFonts w:ascii="Arial" w:hAnsi="Arial" w:cs="Arial"/>
          <w:color w:val="000000"/>
          <w:sz w:val="18"/>
          <w:szCs w:val="18"/>
          <w:lang w:val="en-GB"/>
        </w:rPr>
        <w:tab/>
        <w:t>Recommended method(s) validated for the purpose shown and usually to stage 3 of the OIE Validation Pathway;</w:t>
      </w:r>
    </w:p>
    <w:p w14:paraId="5B9A7677" w14:textId="77777777" w:rsidR="00E65E42" w:rsidRPr="00D403F5" w:rsidRDefault="00E65E42" w:rsidP="00557B45">
      <w:pPr>
        <w:pStyle w:val="Textebrut"/>
        <w:ind w:left="1701" w:hanging="1417"/>
        <w:rPr>
          <w:rFonts w:ascii="Arial" w:hAnsi="Arial" w:cs="Arial"/>
          <w:color w:val="000000"/>
          <w:sz w:val="18"/>
          <w:szCs w:val="18"/>
          <w:lang w:val="en-GB"/>
        </w:rPr>
      </w:pPr>
      <w:r w:rsidRPr="00D403F5">
        <w:rPr>
          <w:rFonts w:ascii="Arial" w:hAnsi="Arial" w:cs="Arial"/>
          <w:color w:val="000000"/>
          <w:sz w:val="18"/>
          <w:szCs w:val="18"/>
          <w:lang w:val="en-GB"/>
        </w:rPr>
        <w:t xml:space="preserve">++ = </w:t>
      </w:r>
      <w:r w:rsidRPr="00D403F5">
        <w:rPr>
          <w:rFonts w:ascii="Arial" w:hAnsi="Arial" w:cs="Arial"/>
          <w:color w:val="000000"/>
          <w:sz w:val="18"/>
          <w:szCs w:val="18"/>
          <w:lang w:val="en-GB"/>
        </w:rPr>
        <w:tab/>
        <w:t xml:space="preserve">Suitable method(s) but may need further validation; </w:t>
      </w:r>
    </w:p>
    <w:p w14:paraId="4FBF97C9" w14:textId="77777777" w:rsidR="00E65E42" w:rsidRPr="00D403F5" w:rsidRDefault="00E65E42" w:rsidP="00557B45">
      <w:pPr>
        <w:pStyle w:val="Textebrut"/>
        <w:ind w:left="1701" w:hanging="1417"/>
        <w:rPr>
          <w:rFonts w:ascii="Arial" w:hAnsi="Arial" w:cs="Arial"/>
          <w:sz w:val="18"/>
          <w:szCs w:val="18"/>
          <w:lang w:val="en-GB"/>
        </w:rPr>
      </w:pPr>
      <w:r w:rsidRPr="00D403F5">
        <w:rPr>
          <w:rFonts w:ascii="Arial" w:hAnsi="Arial" w:cs="Arial"/>
          <w:color w:val="000000"/>
          <w:sz w:val="18"/>
          <w:szCs w:val="18"/>
          <w:lang w:val="en-GB"/>
        </w:rPr>
        <w:t xml:space="preserve">+ = </w:t>
      </w:r>
      <w:r w:rsidRPr="00D403F5">
        <w:rPr>
          <w:rFonts w:ascii="Arial" w:hAnsi="Arial" w:cs="Arial"/>
          <w:color w:val="000000"/>
          <w:sz w:val="18"/>
          <w:szCs w:val="18"/>
          <w:lang w:val="en-GB"/>
        </w:rPr>
        <w:tab/>
        <w:t xml:space="preserve">May be used </w:t>
      </w:r>
      <w:r w:rsidRPr="00D403F5">
        <w:rPr>
          <w:rFonts w:ascii="Arial" w:hAnsi="Arial" w:cs="Arial"/>
          <w:sz w:val="18"/>
          <w:szCs w:val="18"/>
          <w:lang w:val="en-GB"/>
        </w:rPr>
        <w:t xml:space="preserve">in some situations, but cost, reliability, lack of validation or other factors severely limits its application; </w:t>
      </w:r>
    </w:p>
    <w:p w14:paraId="042ECAB9" w14:textId="77777777" w:rsidR="00E65E42" w:rsidRPr="00D403F5" w:rsidRDefault="00E65E42" w:rsidP="00557B45">
      <w:pPr>
        <w:pStyle w:val="Textebrut"/>
        <w:spacing w:after="240"/>
        <w:ind w:left="1701" w:hanging="1417"/>
        <w:rPr>
          <w:rFonts w:ascii="Arial" w:hAnsi="Arial" w:cs="Arial"/>
          <w:color w:val="000000"/>
          <w:sz w:val="18"/>
          <w:szCs w:val="18"/>
          <w:lang w:val="en-GB"/>
        </w:rPr>
      </w:pPr>
      <w:r w:rsidRPr="00D403F5">
        <w:rPr>
          <w:rFonts w:ascii="Arial" w:hAnsi="Arial" w:cs="Arial"/>
          <w:color w:val="000000"/>
          <w:sz w:val="18"/>
          <w:szCs w:val="18"/>
          <w:lang w:val="en-GB"/>
        </w:rPr>
        <w:t xml:space="preserve">Shaded boxes = </w:t>
      </w:r>
      <w:r w:rsidRPr="00D403F5">
        <w:rPr>
          <w:rFonts w:ascii="Arial" w:hAnsi="Arial" w:cs="Arial"/>
          <w:color w:val="000000"/>
          <w:sz w:val="18"/>
          <w:szCs w:val="18"/>
          <w:lang w:val="en-GB"/>
        </w:rPr>
        <w:tab/>
        <w:t>Not appropriate for this purpose.</w:t>
      </w:r>
    </w:p>
    <w:p w14:paraId="1223C060" w14:textId="3701DC45" w:rsidR="00E65E42" w:rsidRDefault="00E65E42" w:rsidP="00557B45">
      <w:pPr>
        <w:pStyle w:val="Para10"/>
        <w:ind w:left="284"/>
        <w:rPr>
          <w:rFonts w:cs="Arial"/>
          <w:szCs w:val="18"/>
          <w:lang w:val="en-GB"/>
        </w:rPr>
      </w:pPr>
      <w:r w:rsidRPr="00D403F5">
        <w:rPr>
          <w:rFonts w:cs="Arial"/>
          <w:szCs w:val="18"/>
          <w:lang w:val="en-GB"/>
        </w:rPr>
        <w:t>The selection of a test for a given purpose depends on the analytical and diagnostic sensitivities and specificities repeatability and reproducibility. OIE Reference Laboratories welcome feedback on diagnostic performance for assays, in particular PCR methods, for factors affecting assay analytical sensitivity or analytical specificity, such as tissue components inhibiting amplification, presence of nonspecific or uncertain bands, etc., and any assays that are in the +++ category.</w:t>
      </w:r>
    </w:p>
    <w:p w14:paraId="0AF13F99" w14:textId="77777777" w:rsidR="00754D87" w:rsidRDefault="00754D87" w:rsidP="00E65E42">
      <w:pPr>
        <w:pStyle w:val="Para10"/>
        <w:ind w:left="426"/>
        <w:rPr>
          <w:rFonts w:cs="Arial"/>
          <w:szCs w:val="18"/>
          <w:lang w:val="en-GB"/>
        </w:rPr>
        <w:sectPr w:rsidR="00754D87" w:rsidSect="00754D87">
          <w:headerReference w:type="even" r:id="rId167"/>
          <w:headerReference w:type="default" r:id="rId168"/>
          <w:footerReference w:type="even" r:id="rId169"/>
          <w:footerReference w:type="default" r:id="rId170"/>
          <w:headerReference w:type="first" r:id="rId171"/>
          <w:footerReference w:type="first" r:id="rId172"/>
          <w:type w:val="oddPage"/>
          <w:pgSz w:w="11907" w:h="16840" w:code="9"/>
          <w:pgMar w:top="1418" w:right="1418" w:bottom="1418" w:left="1418" w:header="709" w:footer="709" w:gutter="0"/>
          <w:cols w:space="720"/>
          <w:titlePg/>
          <w:docGrid w:linePitch="360"/>
        </w:sectPr>
      </w:pPr>
    </w:p>
    <w:p w14:paraId="480F70DB" w14:textId="77777777" w:rsidR="00E65E42" w:rsidRDefault="00E65E42" w:rsidP="00E65E42">
      <w:pPr>
        <w:pStyle w:val="Tabletitle"/>
      </w:pPr>
      <w:r w:rsidRPr="00D403F5">
        <w:lastRenderedPageBreak/>
        <w:t>Table 4.</w:t>
      </w:r>
      <w:r w:rsidRPr="00D403F5">
        <w:rPr>
          <w:noProof/>
        </w:rPr>
        <w:t>1</w:t>
      </w:r>
      <w:r w:rsidRPr="00D403F5">
        <w:t xml:space="preserve">. OIE recommended diagnostic methods and their level of validation for </w:t>
      </w:r>
      <w:r w:rsidRPr="008C6E66">
        <w:t xml:space="preserve">surveillance of </w:t>
      </w:r>
      <w:r w:rsidRPr="00131C5D">
        <w:rPr>
          <w:highlight w:val="yellow"/>
          <w:u w:val="double"/>
        </w:rPr>
        <w:t>apparently</w:t>
      </w:r>
      <w:r>
        <w:t xml:space="preserve"> </w:t>
      </w:r>
      <w:r w:rsidRPr="008C6E66">
        <w:t xml:space="preserve">healthy </w:t>
      </w:r>
      <w:r w:rsidRPr="00D403F5">
        <w:t xml:space="preserve">animals and investigation of clinically affected animals </w:t>
      </w:r>
    </w:p>
    <w:tbl>
      <w:tblPr>
        <w:tblW w:w="12575" w:type="dxa"/>
        <w:jc w:val="center"/>
        <w:tblLayout w:type="fixed"/>
        <w:tblCellMar>
          <w:left w:w="96" w:type="dxa"/>
          <w:right w:w="96" w:type="dxa"/>
        </w:tblCellMar>
        <w:tblLook w:val="0000" w:firstRow="0" w:lastRow="0" w:firstColumn="0" w:lastColumn="0" w:noHBand="0" w:noVBand="0"/>
      </w:tblPr>
      <w:tblGrid>
        <w:gridCol w:w="2399"/>
        <w:gridCol w:w="920"/>
        <w:gridCol w:w="992"/>
        <w:gridCol w:w="709"/>
        <w:gridCol w:w="893"/>
        <w:gridCol w:w="776"/>
        <w:gridCol w:w="851"/>
        <w:gridCol w:w="708"/>
        <w:gridCol w:w="883"/>
        <w:gridCol w:w="960"/>
        <w:gridCol w:w="851"/>
        <w:gridCol w:w="708"/>
        <w:gridCol w:w="925"/>
      </w:tblGrid>
      <w:tr w:rsidR="00E65E42" w:rsidRPr="00D403F5" w14:paraId="4FE40272" w14:textId="77777777" w:rsidTr="00E65E42">
        <w:trPr>
          <w:trHeight w:val="402"/>
          <w:tblHeader/>
          <w:jc w:val="center"/>
        </w:trPr>
        <w:tc>
          <w:tcPr>
            <w:tcW w:w="2399" w:type="dxa"/>
            <w:vMerge w:val="restart"/>
            <w:tcBorders>
              <w:top w:val="single" w:sz="6" w:space="0" w:color="auto"/>
              <w:left w:val="single" w:sz="6" w:space="0" w:color="auto"/>
            </w:tcBorders>
            <w:vAlign w:val="center"/>
          </w:tcPr>
          <w:p w14:paraId="13694DB0"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Method</w:t>
            </w:r>
            <w:r w:rsidRPr="00D403F5">
              <w:rPr>
                <w:rFonts w:ascii="Arial Narrow" w:hAnsi="Arial Narrow" w:cs="Arial"/>
                <w:szCs w:val="18"/>
                <w:lang w:val="en-GB"/>
              </w:rPr>
              <w:br/>
            </w:r>
            <w:r w:rsidRPr="00D403F5">
              <w:rPr>
                <w:rFonts w:ascii="Arial Narrow" w:hAnsi="Arial Narrow" w:cs="Arial"/>
                <w:b w:val="0"/>
                <w:bCs w:val="0"/>
                <w:szCs w:val="18"/>
                <w:lang w:val="en-GB"/>
              </w:rPr>
              <w:t>[amend or delete as relevant]</w:t>
            </w:r>
          </w:p>
        </w:tc>
        <w:tc>
          <w:tcPr>
            <w:tcW w:w="3514" w:type="dxa"/>
            <w:gridSpan w:val="4"/>
            <w:tcBorders>
              <w:top w:val="single" w:sz="6" w:space="0" w:color="auto"/>
              <w:left w:val="single" w:sz="6" w:space="0" w:color="auto"/>
              <w:bottom w:val="single" w:sz="4" w:space="0" w:color="auto"/>
              <w:right w:val="single" w:sz="6" w:space="0" w:color="auto"/>
            </w:tcBorders>
          </w:tcPr>
          <w:p w14:paraId="49D62165" w14:textId="77777777" w:rsidR="00E65E42" w:rsidRPr="00D403F5" w:rsidRDefault="00E65E42" w:rsidP="00562F64">
            <w:pPr>
              <w:pStyle w:val="TableHead"/>
              <w:numPr>
                <w:ilvl w:val="0"/>
                <w:numId w:val="21"/>
              </w:numPr>
              <w:spacing w:before="0" w:after="0"/>
              <w:rPr>
                <w:rFonts w:ascii="Arial Narrow" w:hAnsi="Arial Narrow" w:cs="Arial"/>
                <w:szCs w:val="18"/>
                <w:lang w:val="en-GB"/>
              </w:rPr>
            </w:pPr>
            <w:r w:rsidRPr="00D403F5">
              <w:rPr>
                <w:rFonts w:ascii="Arial Narrow" w:hAnsi="Arial Narrow" w:cs="Arial"/>
                <w:szCs w:val="18"/>
                <w:lang w:val="en-GB"/>
              </w:rPr>
              <w:t>Surveillance of apparently healthy animals</w:t>
            </w:r>
          </w:p>
        </w:tc>
        <w:tc>
          <w:tcPr>
            <w:tcW w:w="3218" w:type="dxa"/>
            <w:gridSpan w:val="4"/>
            <w:tcBorders>
              <w:top w:val="single" w:sz="6" w:space="0" w:color="auto"/>
              <w:left w:val="single" w:sz="6" w:space="0" w:color="auto"/>
            </w:tcBorders>
          </w:tcPr>
          <w:p w14:paraId="36CBEBF8" w14:textId="77777777" w:rsidR="00E65E42" w:rsidRPr="00D403F5" w:rsidRDefault="00E65E42" w:rsidP="00562F64">
            <w:pPr>
              <w:pStyle w:val="TableHead"/>
              <w:numPr>
                <w:ilvl w:val="0"/>
                <w:numId w:val="21"/>
              </w:numPr>
              <w:spacing w:before="0" w:after="0"/>
              <w:rPr>
                <w:rFonts w:ascii="Arial Narrow" w:hAnsi="Arial Narrow" w:cs="Arial"/>
                <w:szCs w:val="18"/>
                <w:lang w:val="en-GB"/>
              </w:rPr>
            </w:pPr>
            <w:r w:rsidRPr="00D403F5">
              <w:rPr>
                <w:rFonts w:ascii="Arial Narrow" w:hAnsi="Arial Narrow" w:cs="Arial"/>
                <w:szCs w:val="18"/>
                <w:lang w:val="en-GB"/>
              </w:rPr>
              <w:t>Presumptive diagnosis of clinically affected animals</w:t>
            </w:r>
          </w:p>
        </w:tc>
        <w:tc>
          <w:tcPr>
            <w:tcW w:w="3444" w:type="dxa"/>
            <w:gridSpan w:val="4"/>
            <w:tcBorders>
              <w:top w:val="single" w:sz="6" w:space="0" w:color="auto"/>
              <w:left w:val="single" w:sz="6" w:space="0" w:color="auto"/>
              <w:right w:val="single" w:sz="6" w:space="0" w:color="auto"/>
            </w:tcBorders>
          </w:tcPr>
          <w:p w14:paraId="48285F7C" w14:textId="77777777" w:rsidR="00E65E42" w:rsidRPr="00D403F5" w:rsidRDefault="00E65E42" w:rsidP="00562F64">
            <w:pPr>
              <w:pStyle w:val="TableHead"/>
              <w:numPr>
                <w:ilvl w:val="0"/>
                <w:numId w:val="21"/>
              </w:numPr>
              <w:spacing w:before="0" w:after="0"/>
              <w:rPr>
                <w:rFonts w:ascii="Arial Narrow" w:hAnsi="Arial Narrow" w:cs="Arial"/>
                <w:szCs w:val="18"/>
                <w:lang w:val="en-GB"/>
              </w:rPr>
            </w:pPr>
            <w:bookmarkStart w:id="131" w:name="_Hlk20839906"/>
            <w:r w:rsidRPr="00D403F5">
              <w:rPr>
                <w:rFonts w:ascii="Arial Narrow" w:hAnsi="Arial Narrow" w:cs="Arial"/>
                <w:szCs w:val="18"/>
                <w:lang w:val="en-GB"/>
              </w:rPr>
              <w:t>Confirmatory diagnosis</w:t>
            </w:r>
            <w:r w:rsidRPr="00D403F5">
              <w:rPr>
                <w:rFonts w:ascii="Arial Narrow" w:hAnsi="Arial Narrow" w:cs="Arial"/>
                <w:szCs w:val="18"/>
                <w:vertAlign w:val="superscript"/>
                <w:lang w:val="en-GB"/>
              </w:rPr>
              <w:t>1</w:t>
            </w:r>
            <w:r w:rsidRPr="00D403F5">
              <w:rPr>
                <w:rFonts w:ascii="Arial Narrow" w:hAnsi="Arial Narrow" w:cs="Arial"/>
                <w:szCs w:val="18"/>
                <w:lang w:val="en-GB"/>
              </w:rPr>
              <w:t xml:space="preserve"> of a suspect result </w:t>
            </w:r>
            <w:r w:rsidRPr="00D403F5">
              <w:rPr>
                <w:rFonts w:ascii="Arial Narrow" w:hAnsi="Arial Narrow"/>
                <w:szCs w:val="18"/>
                <w:lang w:val="en-GB"/>
              </w:rPr>
              <w:t>from surveillance or presumptive diagnosis</w:t>
            </w:r>
            <w:bookmarkEnd w:id="131"/>
          </w:p>
        </w:tc>
      </w:tr>
      <w:tr w:rsidR="00E65E42" w:rsidRPr="00D403F5" w14:paraId="300C415B" w14:textId="77777777" w:rsidTr="00E65E42">
        <w:trPr>
          <w:trHeight w:val="402"/>
          <w:tblHeader/>
          <w:jc w:val="center"/>
        </w:trPr>
        <w:tc>
          <w:tcPr>
            <w:tcW w:w="2399" w:type="dxa"/>
            <w:vMerge/>
            <w:tcBorders>
              <w:left w:val="single" w:sz="6" w:space="0" w:color="auto"/>
            </w:tcBorders>
            <w:vAlign w:val="center"/>
          </w:tcPr>
          <w:p w14:paraId="793EA68D" w14:textId="77777777" w:rsidR="00E65E42" w:rsidRPr="00D403F5" w:rsidRDefault="00E65E42" w:rsidP="00E65E42">
            <w:pPr>
              <w:pStyle w:val="TableHead"/>
              <w:spacing w:before="0" w:after="0"/>
              <w:rPr>
                <w:rFonts w:ascii="Arial Narrow" w:hAnsi="Arial Narrow" w:cs="Arial"/>
                <w:szCs w:val="18"/>
                <w:lang w:val="en-GB"/>
              </w:rPr>
            </w:pPr>
          </w:p>
        </w:tc>
        <w:tc>
          <w:tcPr>
            <w:tcW w:w="920" w:type="dxa"/>
            <w:tcBorders>
              <w:top w:val="single" w:sz="4" w:space="0" w:color="auto"/>
              <w:left w:val="single" w:sz="6" w:space="0" w:color="auto"/>
              <w:bottom w:val="single" w:sz="6" w:space="0" w:color="auto"/>
            </w:tcBorders>
            <w:vAlign w:val="center"/>
          </w:tcPr>
          <w:p w14:paraId="738878F0"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Early life stages</w:t>
            </w:r>
            <w:r w:rsidRPr="00D403F5">
              <w:rPr>
                <w:rFonts w:ascii="Arial Narrow" w:hAnsi="Arial Narrow" w:cs="Arial"/>
                <w:szCs w:val="18"/>
                <w:vertAlign w:val="superscript"/>
                <w:lang w:val="en-GB"/>
              </w:rPr>
              <w:t>2</w:t>
            </w:r>
          </w:p>
        </w:tc>
        <w:tc>
          <w:tcPr>
            <w:tcW w:w="992" w:type="dxa"/>
            <w:tcBorders>
              <w:top w:val="single" w:sz="4" w:space="0" w:color="auto"/>
              <w:left w:val="single" w:sz="6" w:space="0" w:color="auto"/>
              <w:bottom w:val="single" w:sz="6" w:space="0" w:color="auto"/>
            </w:tcBorders>
            <w:vAlign w:val="center"/>
          </w:tcPr>
          <w:p w14:paraId="559489FE"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Juveniles</w:t>
            </w:r>
            <w:r w:rsidRPr="00D403F5">
              <w:rPr>
                <w:rFonts w:ascii="Arial Narrow" w:hAnsi="Arial Narrow" w:cs="Arial"/>
                <w:szCs w:val="18"/>
                <w:vertAlign w:val="superscript"/>
                <w:lang w:val="en-GB"/>
              </w:rPr>
              <w:t>2</w:t>
            </w:r>
          </w:p>
        </w:tc>
        <w:tc>
          <w:tcPr>
            <w:tcW w:w="709" w:type="dxa"/>
            <w:tcBorders>
              <w:top w:val="single" w:sz="4" w:space="0" w:color="auto"/>
              <w:left w:val="single" w:sz="6" w:space="0" w:color="auto"/>
              <w:bottom w:val="single" w:sz="6" w:space="0" w:color="auto"/>
            </w:tcBorders>
            <w:vAlign w:val="center"/>
          </w:tcPr>
          <w:p w14:paraId="3E7ECA63"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Adults</w:t>
            </w:r>
          </w:p>
        </w:tc>
        <w:tc>
          <w:tcPr>
            <w:tcW w:w="893" w:type="dxa"/>
            <w:tcBorders>
              <w:top w:val="single" w:sz="4" w:space="0" w:color="auto"/>
              <w:left w:val="single" w:sz="6" w:space="0" w:color="auto"/>
              <w:bottom w:val="single" w:sz="6" w:space="0" w:color="auto"/>
              <w:right w:val="single" w:sz="6" w:space="0" w:color="auto"/>
            </w:tcBorders>
            <w:vAlign w:val="center"/>
          </w:tcPr>
          <w:p w14:paraId="21270E22"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LV</w:t>
            </w:r>
          </w:p>
        </w:tc>
        <w:tc>
          <w:tcPr>
            <w:tcW w:w="776" w:type="dxa"/>
            <w:tcBorders>
              <w:top w:val="single" w:sz="6" w:space="0" w:color="auto"/>
              <w:left w:val="single" w:sz="6" w:space="0" w:color="auto"/>
            </w:tcBorders>
            <w:vAlign w:val="center"/>
          </w:tcPr>
          <w:p w14:paraId="725603D8"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Early life stages</w:t>
            </w:r>
            <w:r w:rsidRPr="00D403F5">
              <w:rPr>
                <w:rFonts w:ascii="Arial Narrow" w:hAnsi="Arial Narrow" w:cs="Arial"/>
                <w:szCs w:val="18"/>
                <w:vertAlign w:val="superscript"/>
                <w:lang w:val="en-GB"/>
              </w:rPr>
              <w:t>2</w:t>
            </w:r>
          </w:p>
        </w:tc>
        <w:tc>
          <w:tcPr>
            <w:tcW w:w="851" w:type="dxa"/>
            <w:tcBorders>
              <w:top w:val="single" w:sz="6" w:space="0" w:color="auto"/>
              <w:left w:val="single" w:sz="6" w:space="0" w:color="auto"/>
            </w:tcBorders>
            <w:vAlign w:val="center"/>
          </w:tcPr>
          <w:p w14:paraId="68DE58F9"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Juveniles</w:t>
            </w:r>
            <w:r w:rsidRPr="00D403F5">
              <w:rPr>
                <w:rFonts w:ascii="Arial Narrow" w:hAnsi="Arial Narrow" w:cs="Arial"/>
                <w:szCs w:val="18"/>
                <w:vertAlign w:val="superscript"/>
                <w:lang w:val="en-GB"/>
              </w:rPr>
              <w:t>2</w:t>
            </w:r>
          </w:p>
        </w:tc>
        <w:tc>
          <w:tcPr>
            <w:tcW w:w="708" w:type="dxa"/>
            <w:tcBorders>
              <w:top w:val="single" w:sz="6" w:space="0" w:color="auto"/>
              <w:left w:val="single" w:sz="6" w:space="0" w:color="auto"/>
            </w:tcBorders>
            <w:vAlign w:val="center"/>
          </w:tcPr>
          <w:p w14:paraId="35082AB0"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Adults</w:t>
            </w:r>
          </w:p>
        </w:tc>
        <w:tc>
          <w:tcPr>
            <w:tcW w:w="883" w:type="dxa"/>
            <w:tcBorders>
              <w:top w:val="single" w:sz="4" w:space="0" w:color="auto"/>
              <w:left w:val="single" w:sz="6" w:space="0" w:color="auto"/>
              <w:right w:val="single" w:sz="6" w:space="0" w:color="auto"/>
            </w:tcBorders>
            <w:vAlign w:val="center"/>
          </w:tcPr>
          <w:p w14:paraId="155A80CD"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LV</w:t>
            </w:r>
          </w:p>
        </w:tc>
        <w:tc>
          <w:tcPr>
            <w:tcW w:w="960" w:type="dxa"/>
            <w:tcBorders>
              <w:top w:val="single" w:sz="4" w:space="0" w:color="auto"/>
              <w:left w:val="single" w:sz="6" w:space="0" w:color="auto"/>
              <w:bottom w:val="single" w:sz="6" w:space="0" w:color="auto"/>
              <w:right w:val="single" w:sz="6" w:space="0" w:color="auto"/>
            </w:tcBorders>
            <w:vAlign w:val="center"/>
          </w:tcPr>
          <w:p w14:paraId="4C0BEA4D"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Early life stages</w:t>
            </w:r>
            <w:r w:rsidRPr="00D403F5">
              <w:rPr>
                <w:rFonts w:ascii="Arial Narrow" w:hAnsi="Arial Narrow" w:cs="Arial"/>
                <w:szCs w:val="18"/>
                <w:vertAlign w:val="superscript"/>
                <w:lang w:val="en-GB"/>
              </w:rPr>
              <w:t>2</w:t>
            </w:r>
          </w:p>
        </w:tc>
        <w:tc>
          <w:tcPr>
            <w:tcW w:w="851" w:type="dxa"/>
            <w:tcBorders>
              <w:top w:val="single" w:sz="4" w:space="0" w:color="auto"/>
              <w:left w:val="single" w:sz="6" w:space="0" w:color="auto"/>
              <w:bottom w:val="single" w:sz="6" w:space="0" w:color="auto"/>
              <w:right w:val="single" w:sz="6" w:space="0" w:color="auto"/>
            </w:tcBorders>
            <w:vAlign w:val="center"/>
          </w:tcPr>
          <w:p w14:paraId="00285DCC"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Juveniles</w:t>
            </w:r>
            <w:r w:rsidRPr="00D403F5">
              <w:rPr>
                <w:rFonts w:ascii="Arial Narrow" w:hAnsi="Arial Narrow" w:cs="Arial"/>
                <w:szCs w:val="18"/>
                <w:vertAlign w:val="superscript"/>
                <w:lang w:val="en-GB"/>
              </w:rPr>
              <w:t>2</w:t>
            </w:r>
          </w:p>
        </w:tc>
        <w:tc>
          <w:tcPr>
            <w:tcW w:w="708" w:type="dxa"/>
            <w:tcBorders>
              <w:top w:val="single" w:sz="4" w:space="0" w:color="auto"/>
              <w:left w:val="single" w:sz="6" w:space="0" w:color="auto"/>
              <w:bottom w:val="single" w:sz="6" w:space="0" w:color="auto"/>
            </w:tcBorders>
            <w:vAlign w:val="center"/>
          </w:tcPr>
          <w:p w14:paraId="27A31C13"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Adults</w:t>
            </w:r>
          </w:p>
        </w:tc>
        <w:tc>
          <w:tcPr>
            <w:tcW w:w="925" w:type="dxa"/>
            <w:tcBorders>
              <w:top w:val="single" w:sz="4" w:space="0" w:color="auto"/>
              <w:left w:val="single" w:sz="6" w:space="0" w:color="auto"/>
              <w:right w:val="single" w:sz="6" w:space="0" w:color="auto"/>
            </w:tcBorders>
            <w:vAlign w:val="center"/>
          </w:tcPr>
          <w:p w14:paraId="3778CAE3"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LV</w:t>
            </w:r>
          </w:p>
        </w:tc>
      </w:tr>
      <w:tr w:rsidR="00E65E42" w:rsidRPr="00D403F5" w14:paraId="37D96C8A" w14:textId="77777777" w:rsidTr="00E65E42">
        <w:trPr>
          <w:trHeight w:val="283"/>
          <w:jc w:val="center"/>
        </w:trPr>
        <w:tc>
          <w:tcPr>
            <w:tcW w:w="2399" w:type="dxa"/>
            <w:tcBorders>
              <w:top w:val="single" w:sz="6" w:space="0" w:color="auto"/>
              <w:left w:val="single" w:sz="6" w:space="0" w:color="auto"/>
            </w:tcBorders>
            <w:vAlign w:val="center"/>
          </w:tcPr>
          <w:p w14:paraId="61340032"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Wet mounts</w:t>
            </w:r>
          </w:p>
        </w:tc>
        <w:tc>
          <w:tcPr>
            <w:tcW w:w="920" w:type="dxa"/>
            <w:tcBorders>
              <w:top w:val="single" w:sz="6" w:space="0" w:color="auto"/>
              <w:left w:val="single" w:sz="6" w:space="0" w:color="auto"/>
            </w:tcBorders>
            <w:shd w:val="clear" w:color="auto" w:fill="FFFFFF"/>
            <w:vAlign w:val="center"/>
          </w:tcPr>
          <w:p w14:paraId="22F86A96" w14:textId="77777777" w:rsidR="00E65E42" w:rsidRPr="00D403F5" w:rsidRDefault="00E65E42" w:rsidP="00E65E42">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992" w:type="dxa"/>
            <w:tcBorders>
              <w:top w:val="single" w:sz="6" w:space="0" w:color="auto"/>
              <w:left w:val="single" w:sz="6" w:space="0" w:color="auto"/>
            </w:tcBorders>
            <w:shd w:val="clear" w:color="auto" w:fill="FFFFFF"/>
            <w:vAlign w:val="center"/>
          </w:tcPr>
          <w:p w14:paraId="2F1DCFF7" w14:textId="77777777" w:rsidR="00E65E42" w:rsidRPr="00D403F5" w:rsidRDefault="00E65E42" w:rsidP="00E65E42">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709" w:type="dxa"/>
            <w:tcBorders>
              <w:top w:val="single" w:sz="6" w:space="0" w:color="auto"/>
              <w:left w:val="single" w:sz="6" w:space="0" w:color="auto"/>
            </w:tcBorders>
            <w:shd w:val="clear" w:color="auto" w:fill="FFFFFF"/>
            <w:vAlign w:val="center"/>
          </w:tcPr>
          <w:p w14:paraId="25BFF78C" w14:textId="77777777" w:rsidR="00E65E42" w:rsidRPr="00D403F5" w:rsidRDefault="00E65E42" w:rsidP="00E65E42">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893" w:type="dxa"/>
            <w:tcBorders>
              <w:top w:val="single" w:sz="6" w:space="0" w:color="auto"/>
              <w:left w:val="single" w:sz="6" w:space="0" w:color="auto"/>
              <w:right w:val="single" w:sz="6" w:space="0" w:color="auto"/>
            </w:tcBorders>
            <w:vAlign w:val="center"/>
          </w:tcPr>
          <w:p w14:paraId="50886DE8" w14:textId="77777777" w:rsidR="00E65E42" w:rsidRPr="00D403F5" w:rsidRDefault="00E65E42" w:rsidP="00E65E42">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1</w:t>
            </w:r>
          </w:p>
        </w:tc>
        <w:tc>
          <w:tcPr>
            <w:tcW w:w="776" w:type="dxa"/>
            <w:tcBorders>
              <w:top w:val="single" w:sz="6" w:space="0" w:color="auto"/>
              <w:left w:val="single" w:sz="6" w:space="0" w:color="auto"/>
            </w:tcBorders>
            <w:vAlign w:val="center"/>
          </w:tcPr>
          <w:p w14:paraId="1CED3207"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51" w:type="dxa"/>
            <w:tcBorders>
              <w:top w:val="single" w:sz="6" w:space="0" w:color="auto"/>
              <w:left w:val="single" w:sz="6" w:space="0" w:color="auto"/>
            </w:tcBorders>
            <w:vAlign w:val="center"/>
          </w:tcPr>
          <w:p w14:paraId="52A4FABA"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708" w:type="dxa"/>
            <w:tcBorders>
              <w:top w:val="single" w:sz="6" w:space="0" w:color="auto"/>
              <w:left w:val="single" w:sz="6" w:space="0" w:color="auto"/>
            </w:tcBorders>
            <w:vAlign w:val="center"/>
          </w:tcPr>
          <w:p w14:paraId="1E3396A7"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83" w:type="dxa"/>
            <w:tcBorders>
              <w:top w:val="single" w:sz="6" w:space="0" w:color="auto"/>
              <w:left w:val="single" w:sz="6" w:space="0" w:color="auto"/>
              <w:right w:val="single" w:sz="6" w:space="0" w:color="auto"/>
            </w:tcBorders>
            <w:vAlign w:val="center"/>
          </w:tcPr>
          <w:p w14:paraId="3C27396B"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1</w:t>
            </w: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7D292EA" w14:textId="77777777" w:rsidR="00E65E42" w:rsidRPr="00D403F5" w:rsidRDefault="00E65E42" w:rsidP="00E65E42">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45AFB10" w14:textId="77777777" w:rsidR="00E65E42" w:rsidRPr="00D403F5" w:rsidRDefault="00E65E42" w:rsidP="00E65E42">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615E8FC5" w14:textId="77777777" w:rsidR="00E65E42" w:rsidRPr="00D403F5" w:rsidRDefault="00E65E42" w:rsidP="00E65E42">
            <w:pPr>
              <w:pStyle w:val="Tabletext"/>
              <w:spacing w:before="0" w:after="0"/>
              <w:rPr>
                <w:rFonts w:ascii="Arial Narrow" w:hAnsi="Arial Narrow"/>
                <w:strike/>
                <w:szCs w:val="18"/>
                <w:lang w:val="en-GB"/>
              </w:rPr>
            </w:pPr>
          </w:p>
        </w:tc>
        <w:tc>
          <w:tcPr>
            <w:tcW w:w="925" w:type="dxa"/>
            <w:tcBorders>
              <w:top w:val="single" w:sz="6" w:space="0" w:color="auto"/>
              <w:left w:val="single" w:sz="6" w:space="0" w:color="auto"/>
              <w:right w:val="single" w:sz="6" w:space="0" w:color="auto"/>
            </w:tcBorders>
            <w:vAlign w:val="center"/>
          </w:tcPr>
          <w:p w14:paraId="03BE5542" w14:textId="77777777" w:rsidR="00E65E42" w:rsidRPr="00EA19EA" w:rsidRDefault="00E65E42" w:rsidP="00E65E42">
            <w:pPr>
              <w:pStyle w:val="Tabletext"/>
              <w:spacing w:before="0" w:after="0"/>
              <w:rPr>
                <w:rFonts w:ascii="Arial Narrow" w:hAnsi="Arial Narrow"/>
                <w:strike/>
                <w:szCs w:val="18"/>
                <w:lang w:val="en-GB"/>
              </w:rPr>
            </w:pPr>
            <w:r w:rsidRPr="00EA19EA">
              <w:rPr>
                <w:rFonts w:ascii="Arial Narrow" w:hAnsi="Arial Narrow"/>
                <w:strike/>
                <w:szCs w:val="18"/>
                <w:highlight w:val="yellow"/>
                <w:lang w:val="en-GB"/>
              </w:rPr>
              <w:t>1</w:t>
            </w:r>
          </w:p>
        </w:tc>
      </w:tr>
      <w:tr w:rsidR="00E65E42" w:rsidRPr="00D403F5" w14:paraId="0D9FF6DE"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2B25C060"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Histopathology</w:t>
            </w:r>
            <w:r w:rsidRPr="00D403F5">
              <w:rPr>
                <w:rFonts w:ascii="Arial Narrow" w:hAnsi="Arial Narrow" w:cs="Arial"/>
                <w:szCs w:val="18"/>
                <w:vertAlign w:val="superscript"/>
                <w:lang w:val="en-GB"/>
              </w:rPr>
              <w:t>3</w:t>
            </w:r>
          </w:p>
        </w:tc>
        <w:tc>
          <w:tcPr>
            <w:tcW w:w="920" w:type="dxa"/>
            <w:tcBorders>
              <w:top w:val="single" w:sz="6" w:space="0" w:color="auto"/>
              <w:left w:val="single" w:sz="6" w:space="0" w:color="auto"/>
              <w:bottom w:val="single" w:sz="6" w:space="0" w:color="auto"/>
            </w:tcBorders>
            <w:vAlign w:val="center"/>
          </w:tcPr>
          <w:p w14:paraId="6251FF56" w14:textId="77777777" w:rsidR="00E65E42" w:rsidRPr="00D403F5" w:rsidRDefault="00E65E42" w:rsidP="00E65E42">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992" w:type="dxa"/>
            <w:tcBorders>
              <w:top w:val="single" w:sz="6" w:space="0" w:color="auto"/>
              <w:left w:val="single" w:sz="6" w:space="0" w:color="auto"/>
              <w:bottom w:val="single" w:sz="6" w:space="0" w:color="auto"/>
            </w:tcBorders>
            <w:vAlign w:val="center"/>
          </w:tcPr>
          <w:p w14:paraId="7EBD659F" w14:textId="77777777" w:rsidR="00E65E42" w:rsidRPr="00D403F5" w:rsidRDefault="00E65E42" w:rsidP="00E65E42">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709" w:type="dxa"/>
            <w:tcBorders>
              <w:top w:val="single" w:sz="6" w:space="0" w:color="auto"/>
              <w:left w:val="single" w:sz="6" w:space="0" w:color="auto"/>
              <w:bottom w:val="single" w:sz="6" w:space="0" w:color="auto"/>
            </w:tcBorders>
            <w:vAlign w:val="center"/>
          </w:tcPr>
          <w:p w14:paraId="42F08DBB" w14:textId="77777777" w:rsidR="00E65E42" w:rsidRPr="00D403F5" w:rsidRDefault="00E65E42" w:rsidP="00E65E42">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893" w:type="dxa"/>
            <w:tcBorders>
              <w:top w:val="single" w:sz="6" w:space="0" w:color="auto"/>
              <w:left w:val="single" w:sz="6" w:space="0" w:color="auto"/>
              <w:bottom w:val="single" w:sz="6" w:space="0" w:color="auto"/>
              <w:right w:val="single" w:sz="6" w:space="0" w:color="auto"/>
            </w:tcBorders>
            <w:vAlign w:val="center"/>
          </w:tcPr>
          <w:p w14:paraId="217A1A46" w14:textId="77777777" w:rsidR="00E65E42" w:rsidRPr="00D403F5" w:rsidRDefault="00E65E42" w:rsidP="00E65E42">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1</w:t>
            </w:r>
          </w:p>
        </w:tc>
        <w:tc>
          <w:tcPr>
            <w:tcW w:w="776" w:type="dxa"/>
            <w:tcBorders>
              <w:top w:val="single" w:sz="6" w:space="0" w:color="auto"/>
              <w:left w:val="single" w:sz="6" w:space="0" w:color="auto"/>
              <w:bottom w:val="single" w:sz="6" w:space="0" w:color="auto"/>
            </w:tcBorders>
            <w:vAlign w:val="center"/>
          </w:tcPr>
          <w:p w14:paraId="644EB303"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51" w:type="dxa"/>
            <w:tcBorders>
              <w:top w:val="single" w:sz="6" w:space="0" w:color="auto"/>
              <w:left w:val="single" w:sz="6" w:space="0" w:color="auto"/>
              <w:bottom w:val="single" w:sz="6" w:space="0" w:color="auto"/>
            </w:tcBorders>
            <w:vAlign w:val="center"/>
          </w:tcPr>
          <w:p w14:paraId="3A367426"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708" w:type="dxa"/>
            <w:tcBorders>
              <w:top w:val="single" w:sz="6" w:space="0" w:color="auto"/>
              <w:left w:val="single" w:sz="6" w:space="0" w:color="auto"/>
              <w:bottom w:val="single" w:sz="6" w:space="0" w:color="auto"/>
            </w:tcBorders>
            <w:vAlign w:val="center"/>
          </w:tcPr>
          <w:p w14:paraId="5612AB86"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83" w:type="dxa"/>
            <w:tcBorders>
              <w:top w:val="single" w:sz="6" w:space="0" w:color="auto"/>
              <w:left w:val="single" w:sz="6" w:space="0" w:color="auto"/>
              <w:bottom w:val="single" w:sz="6" w:space="0" w:color="auto"/>
              <w:right w:val="single" w:sz="6" w:space="0" w:color="auto"/>
            </w:tcBorders>
            <w:vAlign w:val="center"/>
          </w:tcPr>
          <w:p w14:paraId="254B05BA"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1</w:t>
            </w: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A278670" w14:textId="77777777" w:rsidR="00E65E42" w:rsidRPr="00D403F5" w:rsidRDefault="00E65E42" w:rsidP="00E65E42">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95D56AB" w14:textId="77777777" w:rsidR="00E65E42" w:rsidRPr="00D403F5" w:rsidRDefault="00E65E42" w:rsidP="00E65E42">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3CD2D21C" w14:textId="77777777" w:rsidR="00E65E42" w:rsidRPr="00D403F5" w:rsidRDefault="00E65E42" w:rsidP="00E65E42">
            <w:pPr>
              <w:pStyle w:val="Tabletext"/>
              <w:spacing w:before="0" w:after="0"/>
              <w:rPr>
                <w:rFonts w:ascii="Arial Narrow" w:hAnsi="Arial Narrow"/>
                <w:strike/>
                <w:szCs w:val="18"/>
                <w:lang w:val="en-GB"/>
              </w:rPr>
            </w:pPr>
          </w:p>
        </w:tc>
        <w:tc>
          <w:tcPr>
            <w:tcW w:w="925" w:type="dxa"/>
            <w:tcBorders>
              <w:top w:val="single" w:sz="6" w:space="0" w:color="auto"/>
              <w:left w:val="single" w:sz="6" w:space="0" w:color="auto"/>
              <w:bottom w:val="single" w:sz="6" w:space="0" w:color="auto"/>
              <w:right w:val="single" w:sz="6" w:space="0" w:color="auto"/>
            </w:tcBorders>
            <w:vAlign w:val="center"/>
          </w:tcPr>
          <w:p w14:paraId="7ED35CE7" w14:textId="77777777" w:rsidR="00E65E42" w:rsidRPr="00EA19EA" w:rsidRDefault="00E65E42" w:rsidP="00E65E42">
            <w:pPr>
              <w:pStyle w:val="Tabletext"/>
              <w:spacing w:before="0" w:after="0"/>
              <w:rPr>
                <w:rFonts w:ascii="Arial Narrow" w:hAnsi="Arial Narrow"/>
                <w:strike/>
                <w:szCs w:val="18"/>
                <w:lang w:val="en-GB"/>
              </w:rPr>
            </w:pPr>
            <w:r w:rsidRPr="00EA19EA">
              <w:rPr>
                <w:rFonts w:ascii="Arial Narrow" w:hAnsi="Arial Narrow"/>
                <w:strike/>
                <w:szCs w:val="18"/>
                <w:highlight w:val="yellow"/>
                <w:lang w:val="en-GB"/>
              </w:rPr>
              <w:t>1</w:t>
            </w:r>
          </w:p>
        </w:tc>
      </w:tr>
      <w:tr w:rsidR="00E65E42" w:rsidRPr="00D403F5" w14:paraId="2C5182DF"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4CCE5A52"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Cell or artificial media culture</w:t>
            </w:r>
          </w:p>
        </w:tc>
        <w:tc>
          <w:tcPr>
            <w:tcW w:w="920" w:type="dxa"/>
            <w:tcBorders>
              <w:top w:val="single" w:sz="6" w:space="0" w:color="auto"/>
              <w:left w:val="single" w:sz="6" w:space="0" w:color="auto"/>
              <w:bottom w:val="single" w:sz="6" w:space="0" w:color="auto"/>
            </w:tcBorders>
            <w:shd w:val="clear" w:color="auto" w:fill="BFBFBF" w:themeFill="background1" w:themeFillShade="BF"/>
            <w:vAlign w:val="center"/>
          </w:tcPr>
          <w:p w14:paraId="236BD40F" w14:textId="77777777" w:rsidR="00E65E42" w:rsidRPr="00D403F5" w:rsidRDefault="00E65E42" w:rsidP="00E65E42">
            <w:pPr>
              <w:pStyle w:val="TableHead"/>
              <w:spacing w:before="0" w:after="0"/>
              <w:rPr>
                <w:rFonts w:ascii="Arial Narrow" w:hAnsi="Arial Narrow" w:cs="Arial"/>
                <w:b w:val="0"/>
                <w:szCs w:val="18"/>
                <w:lang w:val="en-GB"/>
              </w:rPr>
            </w:pPr>
          </w:p>
        </w:tc>
        <w:tc>
          <w:tcPr>
            <w:tcW w:w="992" w:type="dxa"/>
            <w:tcBorders>
              <w:top w:val="single" w:sz="6" w:space="0" w:color="auto"/>
              <w:left w:val="single" w:sz="6" w:space="0" w:color="auto"/>
              <w:bottom w:val="single" w:sz="6" w:space="0" w:color="auto"/>
            </w:tcBorders>
            <w:shd w:val="clear" w:color="auto" w:fill="BFBFBF" w:themeFill="background1" w:themeFillShade="BF"/>
            <w:vAlign w:val="center"/>
          </w:tcPr>
          <w:p w14:paraId="7AB2F5DF" w14:textId="77777777" w:rsidR="00E65E42" w:rsidRPr="00D403F5" w:rsidRDefault="00E65E42" w:rsidP="00E65E42">
            <w:pPr>
              <w:pStyle w:val="TableHead"/>
              <w:spacing w:before="0" w:after="0"/>
              <w:rPr>
                <w:rFonts w:ascii="Arial Narrow" w:hAnsi="Arial Narrow" w:cs="Arial"/>
                <w:b w:val="0"/>
                <w:szCs w:val="18"/>
                <w:lang w:val="en-GB"/>
              </w:rPr>
            </w:pPr>
          </w:p>
        </w:tc>
        <w:tc>
          <w:tcPr>
            <w:tcW w:w="709" w:type="dxa"/>
            <w:tcBorders>
              <w:top w:val="single" w:sz="6" w:space="0" w:color="auto"/>
              <w:left w:val="single" w:sz="6" w:space="0" w:color="auto"/>
              <w:bottom w:val="single" w:sz="6" w:space="0" w:color="auto"/>
            </w:tcBorders>
            <w:shd w:val="clear" w:color="auto" w:fill="BFBFBF" w:themeFill="background1" w:themeFillShade="BF"/>
            <w:vAlign w:val="center"/>
          </w:tcPr>
          <w:p w14:paraId="3E8F7595" w14:textId="77777777" w:rsidR="00E65E42" w:rsidRPr="00D403F5" w:rsidRDefault="00E65E42" w:rsidP="00E65E42">
            <w:pPr>
              <w:pStyle w:val="TableHead"/>
              <w:spacing w:before="0" w:after="0"/>
              <w:rPr>
                <w:rFonts w:ascii="Arial Narrow" w:hAnsi="Arial Narrow" w:cs="Arial"/>
                <w:b w:val="0"/>
                <w:szCs w:val="18"/>
                <w:lang w:val="en-GB"/>
              </w:rPr>
            </w:pPr>
          </w:p>
        </w:tc>
        <w:tc>
          <w:tcPr>
            <w:tcW w:w="89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09E9B7D" w14:textId="77777777" w:rsidR="00E65E42" w:rsidRPr="00D403F5" w:rsidRDefault="00E65E42" w:rsidP="00E65E42">
            <w:pPr>
              <w:pStyle w:val="TableHead"/>
              <w:spacing w:before="0" w:after="0"/>
              <w:rPr>
                <w:rFonts w:ascii="Arial Narrow" w:hAnsi="Arial Narrow" w:cs="Arial"/>
                <w:b w:val="0"/>
                <w:szCs w:val="18"/>
                <w:lang w:val="en-GB"/>
              </w:rPr>
            </w:pPr>
          </w:p>
        </w:tc>
        <w:tc>
          <w:tcPr>
            <w:tcW w:w="776" w:type="dxa"/>
            <w:tcBorders>
              <w:top w:val="single" w:sz="6" w:space="0" w:color="auto"/>
              <w:left w:val="single" w:sz="6" w:space="0" w:color="auto"/>
              <w:bottom w:val="single" w:sz="6" w:space="0" w:color="auto"/>
            </w:tcBorders>
            <w:shd w:val="clear" w:color="auto" w:fill="BFBFBF" w:themeFill="background1" w:themeFillShade="BF"/>
            <w:vAlign w:val="center"/>
          </w:tcPr>
          <w:p w14:paraId="7FBFD363" w14:textId="77777777" w:rsidR="00E65E42" w:rsidRPr="00D403F5" w:rsidRDefault="00E65E42" w:rsidP="00E65E42">
            <w:pPr>
              <w:pStyle w:val="Tabletext"/>
              <w:spacing w:before="0" w:after="0"/>
              <w:rPr>
                <w:rFonts w:ascii="Arial Narrow" w:hAnsi="Arial Narrow"/>
                <w:szCs w:val="18"/>
                <w:lang w:val="en-GB"/>
              </w:rPr>
            </w:pPr>
          </w:p>
        </w:tc>
        <w:tc>
          <w:tcPr>
            <w:tcW w:w="851" w:type="dxa"/>
            <w:tcBorders>
              <w:top w:val="single" w:sz="6" w:space="0" w:color="auto"/>
              <w:left w:val="single" w:sz="6" w:space="0" w:color="auto"/>
              <w:bottom w:val="single" w:sz="6" w:space="0" w:color="auto"/>
            </w:tcBorders>
            <w:shd w:val="clear" w:color="auto" w:fill="BFBFBF" w:themeFill="background1" w:themeFillShade="BF"/>
            <w:vAlign w:val="center"/>
          </w:tcPr>
          <w:p w14:paraId="7D1D7A04" w14:textId="77777777" w:rsidR="00E65E42" w:rsidRPr="00D403F5" w:rsidRDefault="00E65E42" w:rsidP="00E65E42">
            <w:pPr>
              <w:pStyle w:val="Tabletext"/>
              <w:spacing w:before="0" w:after="0"/>
              <w:rPr>
                <w:rFonts w:ascii="Arial Narrow" w:hAnsi="Arial Narrow"/>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6EDEF1CC" w14:textId="77777777" w:rsidR="00E65E42" w:rsidRPr="00D403F5" w:rsidRDefault="00E65E42" w:rsidP="00E65E42">
            <w:pPr>
              <w:pStyle w:val="Tabletext"/>
              <w:spacing w:before="0" w:after="0"/>
              <w:rPr>
                <w:rFonts w:ascii="Arial Narrow" w:hAnsi="Arial Narrow"/>
                <w:szCs w:val="18"/>
                <w:lang w:val="en-GB"/>
              </w:rPr>
            </w:pPr>
          </w:p>
        </w:tc>
        <w:tc>
          <w:tcPr>
            <w:tcW w:w="88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9EF132C" w14:textId="77777777" w:rsidR="00E65E42" w:rsidRPr="00D403F5" w:rsidRDefault="00E65E42" w:rsidP="00E65E42">
            <w:pPr>
              <w:pStyle w:val="Tabletext"/>
              <w:spacing w:before="0" w:after="0"/>
              <w:rPr>
                <w:rFonts w:ascii="Arial Narrow" w:hAnsi="Arial Narrow"/>
                <w:szCs w:val="18"/>
                <w:lang w:val="en-GB"/>
              </w:rPr>
            </w:pPr>
          </w:p>
        </w:tc>
        <w:tc>
          <w:tcPr>
            <w:tcW w:w="960" w:type="dxa"/>
            <w:tcBorders>
              <w:top w:val="single" w:sz="6" w:space="0" w:color="auto"/>
              <w:left w:val="single" w:sz="6" w:space="0" w:color="auto"/>
              <w:bottom w:val="single" w:sz="6" w:space="0" w:color="auto"/>
              <w:right w:val="single" w:sz="6" w:space="0" w:color="auto"/>
            </w:tcBorders>
            <w:vAlign w:val="center"/>
          </w:tcPr>
          <w:p w14:paraId="63BF66C2"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51" w:type="dxa"/>
            <w:tcBorders>
              <w:top w:val="single" w:sz="6" w:space="0" w:color="auto"/>
              <w:left w:val="single" w:sz="6" w:space="0" w:color="auto"/>
              <w:bottom w:val="single" w:sz="6" w:space="0" w:color="auto"/>
              <w:right w:val="single" w:sz="6" w:space="0" w:color="auto"/>
            </w:tcBorders>
            <w:vAlign w:val="center"/>
          </w:tcPr>
          <w:p w14:paraId="40D61058"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708" w:type="dxa"/>
            <w:tcBorders>
              <w:top w:val="single" w:sz="6" w:space="0" w:color="auto"/>
              <w:left w:val="single" w:sz="6" w:space="0" w:color="auto"/>
              <w:bottom w:val="single" w:sz="6" w:space="0" w:color="auto"/>
            </w:tcBorders>
            <w:vAlign w:val="center"/>
          </w:tcPr>
          <w:p w14:paraId="6F3DE113"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925" w:type="dxa"/>
            <w:tcBorders>
              <w:top w:val="single" w:sz="6" w:space="0" w:color="auto"/>
              <w:left w:val="single" w:sz="6" w:space="0" w:color="auto"/>
              <w:bottom w:val="single" w:sz="6" w:space="0" w:color="auto"/>
              <w:right w:val="single" w:sz="6" w:space="0" w:color="auto"/>
            </w:tcBorders>
            <w:vAlign w:val="center"/>
          </w:tcPr>
          <w:p w14:paraId="33F07F54" w14:textId="77777777" w:rsidR="00E65E42" w:rsidRPr="009D2441" w:rsidRDefault="00E65E42" w:rsidP="00E65E42">
            <w:pPr>
              <w:pStyle w:val="Tabletext"/>
              <w:spacing w:before="0" w:after="0"/>
              <w:rPr>
                <w:rFonts w:ascii="Arial Narrow" w:hAnsi="Arial Narrow"/>
                <w:szCs w:val="18"/>
                <w:u w:val="double"/>
                <w:lang w:val="en-GB"/>
              </w:rPr>
            </w:pPr>
            <w:r w:rsidRPr="009D2441">
              <w:rPr>
                <w:rFonts w:ascii="Arial Narrow" w:hAnsi="Arial Narrow"/>
                <w:szCs w:val="18"/>
                <w:highlight w:val="yellow"/>
                <w:u w:val="double"/>
                <w:lang w:val="en-GB"/>
              </w:rPr>
              <w:t>1</w:t>
            </w:r>
          </w:p>
        </w:tc>
      </w:tr>
      <w:tr w:rsidR="00E65E42" w:rsidRPr="00D403F5" w14:paraId="5A5E7DB0"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4E16782E"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Real-time PCR</w:t>
            </w:r>
          </w:p>
        </w:tc>
        <w:tc>
          <w:tcPr>
            <w:tcW w:w="920" w:type="dxa"/>
            <w:tcBorders>
              <w:top w:val="single" w:sz="6" w:space="0" w:color="auto"/>
              <w:left w:val="single" w:sz="6" w:space="0" w:color="auto"/>
              <w:bottom w:val="single" w:sz="6" w:space="0" w:color="auto"/>
            </w:tcBorders>
            <w:vAlign w:val="center"/>
          </w:tcPr>
          <w:p w14:paraId="4F0D6E60" w14:textId="77777777" w:rsidR="00E65E42" w:rsidRPr="00D403F5" w:rsidRDefault="00E65E42" w:rsidP="00E65E42">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992" w:type="dxa"/>
            <w:tcBorders>
              <w:top w:val="single" w:sz="6" w:space="0" w:color="auto"/>
              <w:left w:val="single" w:sz="6" w:space="0" w:color="auto"/>
              <w:bottom w:val="single" w:sz="6" w:space="0" w:color="auto"/>
            </w:tcBorders>
            <w:vAlign w:val="center"/>
          </w:tcPr>
          <w:p w14:paraId="515047C5" w14:textId="77777777" w:rsidR="00E65E42" w:rsidRPr="00D403F5" w:rsidRDefault="00E65E42" w:rsidP="00E65E42">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709" w:type="dxa"/>
            <w:tcBorders>
              <w:top w:val="single" w:sz="6" w:space="0" w:color="auto"/>
              <w:left w:val="single" w:sz="6" w:space="0" w:color="auto"/>
              <w:bottom w:val="single" w:sz="6" w:space="0" w:color="auto"/>
            </w:tcBorders>
            <w:vAlign w:val="center"/>
          </w:tcPr>
          <w:p w14:paraId="0FDE23D1" w14:textId="77777777" w:rsidR="00E65E42" w:rsidRPr="00D403F5" w:rsidRDefault="00E65E42" w:rsidP="00E65E42">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893" w:type="dxa"/>
            <w:tcBorders>
              <w:top w:val="single" w:sz="6" w:space="0" w:color="auto"/>
              <w:left w:val="single" w:sz="6" w:space="0" w:color="auto"/>
              <w:bottom w:val="single" w:sz="6" w:space="0" w:color="auto"/>
              <w:right w:val="single" w:sz="6" w:space="0" w:color="auto"/>
            </w:tcBorders>
            <w:vAlign w:val="center"/>
          </w:tcPr>
          <w:p w14:paraId="5810B4D5" w14:textId="77777777" w:rsidR="00E65E42" w:rsidRPr="00D403F5" w:rsidRDefault="00E65E42" w:rsidP="00E65E42">
            <w:pPr>
              <w:pStyle w:val="TableHead"/>
              <w:spacing w:before="0" w:after="0"/>
              <w:rPr>
                <w:rFonts w:ascii="Arial Narrow" w:hAnsi="Arial Narrow" w:cs="Arial"/>
                <w:b w:val="0"/>
                <w:strike/>
                <w:szCs w:val="18"/>
                <w:lang w:val="en-GB"/>
              </w:rPr>
            </w:pPr>
            <w:r w:rsidRPr="00D403F5">
              <w:rPr>
                <w:rFonts w:ascii="Arial Narrow" w:hAnsi="Arial Narrow" w:cs="Arial"/>
                <w:b w:val="0"/>
                <w:szCs w:val="18"/>
                <w:lang w:val="en-GB"/>
              </w:rPr>
              <w:t>2</w:t>
            </w:r>
          </w:p>
        </w:tc>
        <w:tc>
          <w:tcPr>
            <w:tcW w:w="776" w:type="dxa"/>
            <w:tcBorders>
              <w:top w:val="single" w:sz="6" w:space="0" w:color="auto"/>
              <w:left w:val="single" w:sz="6" w:space="0" w:color="auto"/>
              <w:bottom w:val="single" w:sz="6" w:space="0" w:color="auto"/>
            </w:tcBorders>
            <w:vAlign w:val="center"/>
          </w:tcPr>
          <w:p w14:paraId="13F63A28"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51" w:type="dxa"/>
            <w:tcBorders>
              <w:top w:val="single" w:sz="6" w:space="0" w:color="auto"/>
              <w:left w:val="single" w:sz="6" w:space="0" w:color="auto"/>
              <w:bottom w:val="single" w:sz="6" w:space="0" w:color="auto"/>
            </w:tcBorders>
            <w:vAlign w:val="center"/>
          </w:tcPr>
          <w:p w14:paraId="6821BDC9"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708" w:type="dxa"/>
            <w:tcBorders>
              <w:top w:val="single" w:sz="6" w:space="0" w:color="auto"/>
              <w:left w:val="single" w:sz="6" w:space="0" w:color="auto"/>
              <w:bottom w:val="single" w:sz="6" w:space="0" w:color="auto"/>
            </w:tcBorders>
            <w:vAlign w:val="center"/>
          </w:tcPr>
          <w:p w14:paraId="717ABD21"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83" w:type="dxa"/>
            <w:tcBorders>
              <w:top w:val="single" w:sz="6" w:space="0" w:color="auto"/>
              <w:left w:val="single" w:sz="6" w:space="0" w:color="auto"/>
              <w:bottom w:val="single" w:sz="6" w:space="0" w:color="auto"/>
              <w:right w:val="single" w:sz="6" w:space="0" w:color="auto"/>
            </w:tcBorders>
            <w:vAlign w:val="center"/>
          </w:tcPr>
          <w:p w14:paraId="0CB69786"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2</w:t>
            </w:r>
          </w:p>
        </w:tc>
        <w:tc>
          <w:tcPr>
            <w:tcW w:w="960" w:type="dxa"/>
            <w:tcBorders>
              <w:top w:val="single" w:sz="6" w:space="0" w:color="auto"/>
              <w:left w:val="single" w:sz="6" w:space="0" w:color="auto"/>
              <w:bottom w:val="single" w:sz="6" w:space="0" w:color="auto"/>
              <w:right w:val="single" w:sz="6" w:space="0" w:color="auto"/>
            </w:tcBorders>
            <w:vAlign w:val="center"/>
          </w:tcPr>
          <w:p w14:paraId="53DF9EF5"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51" w:type="dxa"/>
            <w:tcBorders>
              <w:top w:val="single" w:sz="6" w:space="0" w:color="auto"/>
              <w:left w:val="single" w:sz="6" w:space="0" w:color="auto"/>
              <w:bottom w:val="single" w:sz="6" w:space="0" w:color="auto"/>
              <w:right w:val="single" w:sz="6" w:space="0" w:color="auto"/>
            </w:tcBorders>
            <w:vAlign w:val="center"/>
          </w:tcPr>
          <w:p w14:paraId="44E20E72"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708" w:type="dxa"/>
            <w:tcBorders>
              <w:top w:val="single" w:sz="6" w:space="0" w:color="auto"/>
              <w:left w:val="single" w:sz="6" w:space="0" w:color="auto"/>
              <w:bottom w:val="single" w:sz="6" w:space="0" w:color="auto"/>
            </w:tcBorders>
            <w:vAlign w:val="center"/>
          </w:tcPr>
          <w:p w14:paraId="2F510567"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p>
        </w:tc>
        <w:tc>
          <w:tcPr>
            <w:tcW w:w="925" w:type="dxa"/>
            <w:tcBorders>
              <w:top w:val="single" w:sz="6" w:space="0" w:color="auto"/>
              <w:left w:val="single" w:sz="6" w:space="0" w:color="auto"/>
              <w:bottom w:val="single" w:sz="6" w:space="0" w:color="auto"/>
              <w:right w:val="single" w:sz="6" w:space="0" w:color="auto"/>
            </w:tcBorders>
            <w:vAlign w:val="center"/>
          </w:tcPr>
          <w:p w14:paraId="52492007"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2</w:t>
            </w:r>
          </w:p>
        </w:tc>
      </w:tr>
      <w:tr w:rsidR="00E65E42" w:rsidRPr="00D403F5" w14:paraId="1B17CD05"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7608BE46"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Conventional PCR</w:t>
            </w:r>
          </w:p>
        </w:tc>
        <w:tc>
          <w:tcPr>
            <w:tcW w:w="920" w:type="dxa"/>
            <w:tcBorders>
              <w:top w:val="single" w:sz="6" w:space="0" w:color="auto"/>
              <w:left w:val="single" w:sz="6" w:space="0" w:color="auto"/>
              <w:bottom w:val="single" w:sz="6" w:space="0" w:color="auto"/>
            </w:tcBorders>
            <w:shd w:val="clear" w:color="auto" w:fill="BFBFBF" w:themeFill="background1" w:themeFillShade="BF"/>
            <w:vAlign w:val="center"/>
          </w:tcPr>
          <w:p w14:paraId="48786E81" w14:textId="77777777" w:rsidR="00E65E42" w:rsidRPr="00D403F5" w:rsidRDefault="00E65E42" w:rsidP="00E65E42">
            <w:pPr>
              <w:pStyle w:val="TableHead"/>
              <w:spacing w:before="0" w:after="0"/>
              <w:rPr>
                <w:rFonts w:ascii="Arial Narrow" w:hAnsi="Arial Narrow" w:cs="Arial"/>
                <w:b w:val="0"/>
                <w:strike/>
                <w:szCs w:val="18"/>
                <w:lang w:val="en-GB"/>
              </w:rPr>
            </w:pPr>
          </w:p>
        </w:tc>
        <w:tc>
          <w:tcPr>
            <w:tcW w:w="992" w:type="dxa"/>
            <w:tcBorders>
              <w:top w:val="single" w:sz="6" w:space="0" w:color="auto"/>
              <w:left w:val="single" w:sz="6" w:space="0" w:color="auto"/>
              <w:bottom w:val="single" w:sz="6" w:space="0" w:color="auto"/>
            </w:tcBorders>
            <w:shd w:val="clear" w:color="auto" w:fill="BFBFBF" w:themeFill="background1" w:themeFillShade="BF"/>
            <w:vAlign w:val="center"/>
          </w:tcPr>
          <w:p w14:paraId="4F341411" w14:textId="77777777" w:rsidR="00E65E42" w:rsidRPr="00D403F5" w:rsidRDefault="00E65E42" w:rsidP="00E65E42">
            <w:pPr>
              <w:pStyle w:val="TableHead"/>
              <w:spacing w:before="0" w:after="0"/>
              <w:rPr>
                <w:rFonts w:ascii="Arial Narrow" w:hAnsi="Arial Narrow" w:cs="Arial"/>
                <w:b w:val="0"/>
                <w:strike/>
                <w:szCs w:val="18"/>
                <w:lang w:val="en-GB"/>
              </w:rPr>
            </w:pPr>
          </w:p>
        </w:tc>
        <w:tc>
          <w:tcPr>
            <w:tcW w:w="709" w:type="dxa"/>
            <w:tcBorders>
              <w:top w:val="single" w:sz="6" w:space="0" w:color="auto"/>
              <w:left w:val="single" w:sz="6" w:space="0" w:color="auto"/>
              <w:bottom w:val="single" w:sz="6" w:space="0" w:color="auto"/>
            </w:tcBorders>
            <w:shd w:val="clear" w:color="auto" w:fill="BFBFBF" w:themeFill="background1" w:themeFillShade="BF"/>
            <w:vAlign w:val="center"/>
          </w:tcPr>
          <w:p w14:paraId="1BF2BBC6" w14:textId="77777777" w:rsidR="00E65E42" w:rsidRPr="00D403F5" w:rsidRDefault="00E65E42" w:rsidP="00E65E42">
            <w:pPr>
              <w:pStyle w:val="TableHead"/>
              <w:spacing w:before="0" w:after="0"/>
              <w:rPr>
                <w:rFonts w:ascii="Arial Narrow" w:hAnsi="Arial Narrow" w:cs="Arial"/>
                <w:b w:val="0"/>
                <w:strike/>
                <w:szCs w:val="18"/>
                <w:lang w:val="en-GB"/>
              </w:rPr>
            </w:pPr>
          </w:p>
        </w:tc>
        <w:tc>
          <w:tcPr>
            <w:tcW w:w="89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A1A6E79" w14:textId="77777777" w:rsidR="00E65E42" w:rsidRPr="00D403F5" w:rsidRDefault="00E65E42" w:rsidP="00E65E42">
            <w:pPr>
              <w:pStyle w:val="TableHead"/>
              <w:spacing w:before="0" w:after="0"/>
              <w:rPr>
                <w:rFonts w:ascii="Arial Narrow" w:hAnsi="Arial Narrow" w:cs="Arial"/>
                <w:b w:val="0"/>
                <w:strike/>
                <w:szCs w:val="18"/>
                <w:lang w:val="en-GB"/>
              </w:rPr>
            </w:pPr>
          </w:p>
        </w:tc>
        <w:tc>
          <w:tcPr>
            <w:tcW w:w="776" w:type="dxa"/>
            <w:tcBorders>
              <w:top w:val="single" w:sz="6" w:space="0" w:color="auto"/>
              <w:left w:val="single" w:sz="6" w:space="0" w:color="auto"/>
              <w:bottom w:val="single" w:sz="6" w:space="0" w:color="auto"/>
            </w:tcBorders>
            <w:shd w:val="clear" w:color="auto" w:fill="BFBFBF" w:themeFill="background1" w:themeFillShade="BF"/>
            <w:vAlign w:val="center"/>
          </w:tcPr>
          <w:p w14:paraId="730D0619" w14:textId="77777777" w:rsidR="00E65E42" w:rsidRPr="00D403F5" w:rsidRDefault="00E65E42" w:rsidP="00E65E42">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tcBorders>
            <w:shd w:val="clear" w:color="auto" w:fill="BFBFBF" w:themeFill="background1" w:themeFillShade="BF"/>
            <w:vAlign w:val="center"/>
          </w:tcPr>
          <w:p w14:paraId="55AFEDBC" w14:textId="77777777" w:rsidR="00E65E42" w:rsidRPr="00D403F5" w:rsidRDefault="00E65E42" w:rsidP="00E65E42">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59401A7D" w14:textId="77777777" w:rsidR="00E65E42" w:rsidRPr="00D403F5" w:rsidRDefault="00E65E42" w:rsidP="00E65E42">
            <w:pPr>
              <w:pStyle w:val="Tabletext"/>
              <w:spacing w:before="0" w:after="0"/>
              <w:rPr>
                <w:rFonts w:ascii="Arial Narrow" w:hAnsi="Arial Narrow"/>
                <w:strike/>
                <w:szCs w:val="18"/>
                <w:lang w:val="en-GB"/>
              </w:rPr>
            </w:pPr>
          </w:p>
        </w:tc>
        <w:tc>
          <w:tcPr>
            <w:tcW w:w="88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B451B69" w14:textId="77777777" w:rsidR="00E65E42" w:rsidRPr="00D403F5" w:rsidRDefault="00E65E42" w:rsidP="00E65E42">
            <w:pPr>
              <w:pStyle w:val="Tabletext"/>
              <w:spacing w:before="0" w:after="0"/>
              <w:rPr>
                <w:rFonts w:ascii="Arial Narrow" w:hAnsi="Arial Narrow"/>
                <w:strike/>
                <w:szCs w:val="18"/>
                <w:lang w:val="en-GB"/>
              </w:rPr>
            </w:pP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5393121" w14:textId="77777777" w:rsidR="00E65E42" w:rsidRPr="00D403F5" w:rsidRDefault="00E65E42" w:rsidP="00E65E42">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E1EC2B7" w14:textId="77777777" w:rsidR="00E65E42" w:rsidRPr="00D403F5" w:rsidRDefault="00E65E42" w:rsidP="00E65E42">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6D20A68B" w14:textId="77777777" w:rsidR="00E65E42" w:rsidRPr="00D403F5" w:rsidRDefault="00E65E42" w:rsidP="00E65E42">
            <w:pPr>
              <w:pStyle w:val="Tabletext"/>
              <w:spacing w:before="0" w:after="0"/>
              <w:rPr>
                <w:rFonts w:ascii="Arial Narrow" w:hAnsi="Arial Narrow"/>
                <w:strike/>
                <w:szCs w:val="18"/>
                <w:lang w:val="en-GB"/>
              </w:rPr>
            </w:pPr>
          </w:p>
        </w:tc>
        <w:tc>
          <w:tcPr>
            <w:tcW w:w="92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8A207F4" w14:textId="77777777" w:rsidR="00E65E42" w:rsidRPr="00D403F5" w:rsidRDefault="00E65E42" w:rsidP="00E65E42">
            <w:pPr>
              <w:pStyle w:val="Tabletext"/>
              <w:spacing w:before="0" w:after="0"/>
              <w:rPr>
                <w:rFonts w:ascii="Arial Narrow" w:hAnsi="Arial Narrow"/>
                <w:strike/>
                <w:szCs w:val="18"/>
                <w:lang w:val="en-GB"/>
              </w:rPr>
            </w:pPr>
          </w:p>
        </w:tc>
      </w:tr>
      <w:tr w:rsidR="00E65E42" w:rsidRPr="00D403F5" w14:paraId="6A380FFC"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7B210730"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Amplicon sequencing</w:t>
            </w:r>
            <w:r w:rsidRPr="00D403F5">
              <w:rPr>
                <w:rFonts w:ascii="Arial Narrow" w:hAnsi="Arial Narrow" w:cs="Arial"/>
                <w:szCs w:val="18"/>
                <w:vertAlign w:val="superscript"/>
                <w:lang w:val="en-GB"/>
              </w:rPr>
              <w:t>4</w:t>
            </w:r>
          </w:p>
        </w:tc>
        <w:tc>
          <w:tcPr>
            <w:tcW w:w="920" w:type="dxa"/>
            <w:tcBorders>
              <w:top w:val="single" w:sz="6" w:space="0" w:color="auto"/>
              <w:left w:val="single" w:sz="6" w:space="0" w:color="auto"/>
              <w:bottom w:val="single" w:sz="6" w:space="0" w:color="auto"/>
            </w:tcBorders>
            <w:shd w:val="clear" w:color="auto" w:fill="BFBFBF" w:themeFill="background1" w:themeFillShade="BF"/>
            <w:vAlign w:val="center"/>
          </w:tcPr>
          <w:p w14:paraId="3D1DBC7E" w14:textId="77777777" w:rsidR="00E65E42" w:rsidRPr="00D403F5" w:rsidRDefault="00E65E42" w:rsidP="00E65E42">
            <w:pPr>
              <w:pStyle w:val="TableHead"/>
              <w:spacing w:before="0" w:after="0"/>
              <w:rPr>
                <w:rFonts w:ascii="Arial Narrow" w:hAnsi="Arial Narrow" w:cs="Arial"/>
                <w:b w:val="0"/>
                <w:szCs w:val="18"/>
                <w:lang w:val="en-GB"/>
              </w:rPr>
            </w:pPr>
          </w:p>
        </w:tc>
        <w:tc>
          <w:tcPr>
            <w:tcW w:w="992" w:type="dxa"/>
            <w:tcBorders>
              <w:top w:val="single" w:sz="6" w:space="0" w:color="auto"/>
              <w:left w:val="single" w:sz="6" w:space="0" w:color="auto"/>
              <w:bottom w:val="single" w:sz="6" w:space="0" w:color="auto"/>
            </w:tcBorders>
            <w:shd w:val="clear" w:color="auto" w:fill="BFBFBF" w:themeFill="background1" w:themeFillShade="BF"/>
            <w:vAlign w:val="center"/>
          </w:tcPr>
          <w:p w14:paraId="38D4F196" w14:textId="77777777" w:rsidR="00E65E42" w:rsidRPr="00D403F5" w:rsidRDefault="00E65E42" w:rsidP="00E65E42">
            <w:pPr>
              <w:pStyle w:val="TableHead"/>
              <w:spacing w:before="0" w:after="0"/>
              <w:rPr>
                <w:rFonts w:ascii="Arial Narrow" w:hAnsi="Arial Narrow" w:cs="Arial"/>
                <w:b w:val="0"/>
                <w:szCs w:val="18"/>
                <w:lang w:val="en-GB"/>
              </w:rPr>
            </w:pPr>
          </w:p>
        </w:tc>
        <w:tc>
          <w:tcPr>
            <w:tcW w:w="709" w:type="dxa"/>
            <w:tcBorders>
              <w:top w:val="single" w:sz="6" w:space="0" w:color="auto"/>
              <w:left w:val="single" w:sz="6" w:space="0" w:color="auto"/>
              <w:bottom w:val="single" w:sz="6" w:space="0" w:color="auto"/>
            </w:tcBorders>
            <w:shd w:val="clear" w:color="auto" w:fill="BFBFBF" w:themeFill="background1" w:themeFillShade="BF"/>
            <w:vAlign w:val="center"/>
          </w:tcPr>
          <w:p w14:paraId="5C44C9BA" w14:textId="77777777" w:rsidR="00E65E42" w:rsidRPr="00D403F5" w:rsidRDefault="00E65E42" w:rsidP="00E65E42">
            <w:pPr>
              <w:pStyle w:val="TableHead"/>
              <w:spacing w:before="0" w:after="0"/>
              <w:rPr>
                <w:rFonts w:ascii="Arial Narrow" w:hAnsi="Arial Narrow" w:cs="Arial"/>
                <w:b w:val="0"/>
                <w:szCs w:val="18"/>
                <w:lang w:val="en-GB"/>
              </w:rPr>
            </w:pPr>
          </w:p>
        </w:tc>
        <w:tc>
          <w:tcPr>
            <w:tcW w:w="89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55FBD44A" w14:textId="77777777" w:rsidR="00E65E42" w:rsidRPr="00D403F5" w:rsidRDefault="00E65E42" w:rsidP="00E65E42">
            <w:pPr>
              <w:pStyle w:val="TableHead"/>
              <w:spacing w:before="0" w:after="0"/>
              <w:rPr>
                <w:rFonts w:ascii="Arial Narrow" w:hAnsi="Arial Narrow" w:cs="Arial"/>
                <w:b w:val="0"/>
                <w:szCs w:val="18"/>
                <w:lang w:val="en-GB"/>
              </w:rPr>
            </w:pPr>
          </w:p>
        </w:tc>
        <w:tc>
          <w:tcPr>
            <w:tcW w:w="776" w:type="dxa"/>
            <w:tcBorders>
              <w:top w:val="single" w:sz="6" w:space="0" w:color="auto"/>
              <w:left w:val="single" w:sz="6" w:space="0" w:color="auto"/>
              <w:bottom w:val="single" w:sz="6" w:space="0" w:color="auto"/>
            </w:tcBorders>
            <w:shd w:val="clear" w:color="auto" w:fill="BFBFBF" w:themeFill="background1" w:themeFillShade="BF"/>
            <w:vAlign w:val="center"/>
          </w:tcPr>
          <w:p w14:paraId="390BEE0E" w14:textId="77777777" w:rsidR="00E65E42" w:rsidRPr="00D403F5" w:rsidRDefault="00E65E42" w:rsidP="00E65E42">
            <w:pPr>
              <w:pStyle w:val="Tabletext"/>
              <w:spacing w:before="0" w:after="0"/>
              <w:rPr>
                <w:rFonts w:ascii="Arial Narrow" w:hAnsi="Arial Narrow"/>
                <w:szCs w:val="18"/>
                <w:lang w:val="en-GB"/>
              </w:rPr>
            </w:pPr>
          </w:p>
        </w:tc>
        <w:tc>
          <w:tcPr>
            <w:tcW w:w="851" w:type="dxa"/>
            <w:tcBorders>
              <w:top w:val="single" w:sz="6" w:space="0" w:color="auto"/>
              <w:left w:val="single" w:sz="6" w:space="0" w:color="auto"/>
              <w:bottom w:val="single" w:sz="6" w:space="0" w:color="auto"/>
            </w:tcBorders>
            <w:shd w:val="clear" w:color="auto" w:fill="BFBFBF" w:themeFill="background1" w:themeFillShade="BF"/>
            <w:vAlign w:val="center"/>
          </w:tcPr>
          <w:p w14:paraId="19B85A64" w14:textId="77777777" w:rsidR="00E65E42" w:rsidRPr="00D403F5" w:rsidRDefault="00E65E42" w:rsidP="00E65E42">
            <w:pPr>
              <w:pStyle w:val="Tabletext"/>
              <w:spacing w:before="0" w:after="0"/>
              <w:rPr>
                <w:rFonts w:ascii="Arial Narrow" w:hAnsi="Arial Narrow"/>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507076DC" w14:textId="77777777" w:rsidR="00E65E42" w:rsidRPr="00D403F5" w:rsidRDefault="00E65E42" w:rsidP="00E65E42">
            <w:pPr>
              <w:pStyle w:val="Tabletext"/>
              <w:spacing w:before="0" w:after="0"/>
              <w:rPr>
                <w:rFonts w:ascii="Arial Narrow" w:hAnsi="Arial Narrow"/>
                <w:szCs w:val="18"/>
                <w:lang w:val="en-GB"/>
              </w:rPr>
            </w:pPr>
          </w:p>
        </w:tc>
        <w:tc>
          <w:tcPr>
            <w:tcW w:w="88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58CA92C" w14:textId="77777777" w:rsidR="00E65E42" w:rsidRPr="00D403F5" w:rsidRDefault="00E65E42" w:rsidP="00E65E42">
            <w:pPr>
              <w:pStyle w:val="Tabletext"/>
              <w:spacing w:before="0" w:after="0"/>
              <w:rPr>
                <w:rFonts w:ascii="Arial Narrow" w:hAnsi="Arial Narrow"/>
                <w:szCs w:val="18"/>
                <w:lang w:val="en-GB"/>
              </w:rPr>
            </w:pP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042A8E6" w14:textId="77777777" w:rsidR="00E65E42" w:rsidRPr="00D403F5" w:rsidRDefault="00E65E42" w:rsidP="00E65E42">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8561D9B" w14:textId="77777777" w:rsidR="00E65E42" w:rsidRPr="00D403F5" w:rsidRDefault="00E65E42" w:rsidP="00E65E42">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3ABA7091" w14:textId="77777777" w:rsidR="00E65E42" w:rsidRPr="00D403F5" w:rsidRDefault="00E65E42" w:rsidP="00E65E42">
            <w:pPr>
              <w:pStyle w:val="Tabletext"/>
              <w:spacing w:before="0" w:after="0"/>
              <w:rPr>
                <w:rFonts w:ascii="Arial Narrow" w:hAnsi="Arial Narrow"/>
                <w:strike/>
                <w:szCs w:val="18"/>
                <w:lang w:val="en-GB"/>
              </w:rPr>
            </w:pPr>
          </w:p>
        </w:tc>
        <w:tc>
          <w:tcPr>
            <w:tcW w:w="92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D7D47CC" w14:textId="77777777" w:rsidR="00E65E42" w:rsidRPr="00D403F5" w:rsidRDefault="00E65E42" w:rsidP="00E65E42">
            <w:pPr>
              <w:pStyle w:val="Tabletext"/>
              <w:spacing w:before="0" w:after="0"/>
              <w:rPr>
                <w:rFonts w:ascii="Arial Narrow" w:hAnsi="Arial Narrow"/>
                <w:szCs w:val="18"/>
                <w:lang w:val="en-GB"/>
              </w:rPr>
            </w:pPr>
          </w:p>
        </w:tc>
      </w:tr>
      <w:tr w:rsidR="00E65E42" w:rsidRPr="00D403F5" w14:paraId="7D43A0CB" w14:textId="77777777" w:rsidTr="00E65E42">
        <w:trPr>
          <w:trHeight w:val="402"/>
          <w:jc w:val="center"/>
        </w:trPr>
        <w:tc>
          <w:tcPr>
            <w:tcW w:w="2399" w:type="dxa"/>
            <w:tcBorders>
              <w:top w:val="single" w:sz="6" w:space="0" w:color="auto"/>
              <w:left w:val="single" w:sz="6" w:space="0" w:color="auto"/>
            </w:tcBorders>
            <w:vAlign w:val="center"/>
          </w:tcPr>
          <w:p w14:paraId="03CA1D34"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i/>
                <w:iCs/>
                <w:szCs w:val="18"/>
                <w:lang w:val="en-GB"/>
              </w:rPr>
              <w:t>In-situ</w:t>
            </w:r>
            <w:r w:rsidRPr="00D403F5">
              <w:rPr>
                <w:rFonts w:ascii="Arial Narrow" w:hAnsi="Arial Narrow" w:cs="Arial"/>
                <w:szCs w:val="18"/>
                <w:lang w:val="en-GB"/>
              </w:rPr>
              <w:t xml:space="preserve"> hybridisation</w:t>
            </w:r>
          </w:p>
        </w:tc>
        <w:tc>
          <w:tcPr>
            <w:tcW w:w="920" w:type="dxa"/>
            <w:tcBorders>
              <w:top w:val="single" w:sz="6" w:space="0" w:color="auto"/>
              <w:left w:val="single" w:sz="6" w:space="0" w:color="auto"/>
              <w:bottom w:val="single" w:sz="6" w:space="0" w:color="auto"/>
            </w:tcBorders>
            <w:shd w:val="clear" w:color="auto" w:fill="BFBFBF" w:themeFill="background1" w:themeFillShade="BF"/>
            <w:vAlign w:val="center"/>
          </w:tcPr>
          <w:p w14:paraId="7BCF0185" w14:textId="77777777" w:rsidR="00E65E42" w:rsidRPr="00D403F5" w:rsidRDefault="00E65E42" w:rsidP="00E65E42">
            <w:pPr>
              <w:pStyle w:val="TableHead"/>
              <w:spacing w:before="0" w:after="0"/>
              <w:rPr>
                <w:rFonts w:ascii="Arial Narrow" w:hAnsi="Arial Narrow" w:cs="Arial"/>
                <w:b w:val="0"/>
                <w:iCs/>
                <w:strike/>
                <w:szCs w:val="18"/>
                <w:lang w:val="en-GB"/>
              </w:rPr>
            </w:pPr>
          </w:p>
        </w:tc>
        <w:tc>
          <w:tcPr>
            <w:tcW w:w="992" w:type="dxa"/>
            <w:tcBorders>
              <w:top w:val="single" w:sz="6" w:space="0" w:color="auto"/>
              <w:left w:val="single" w:sz="6" w:space="0" w:color="auto"/>
              <w:bottom w:val="single" w:sz="6" w:space="0" w:color="auto"/>
            </w:tcBorders>
            <w:shd w:val="clear" w:color="auto" w:fill="BFBFBF" w:themeFill="background1" w:themeFillShade="BF"/>
            <w:vAlign w:val="center"/>
          </w:tcPr>
          <w:p w14:paraId="4F7A3CE8" w14:textId="77777777" w:rsidR="00E65E42" w:rsidRPr="00D403F5" w:rsidRDefault="00E65E42" w:rsidP="00E65E42">
            <w:pPr>
              <w:pStyle w:val="TableHead"/>
              <w:spacing w:before="0" w:after="0"/>
              <w:rPr>
                <w:rFonts w:ascii="Arial Narrow" w:hAnsi="Arial Narrow" w:cs="Arial"/>
                <w:b w:val="0"/>
                <w:iCs/>
                <w:strike/>
                <w:szCs w:val="18"/>
                <w:lang w:val="en-GB"/>
              </w:rPr>
            </w:pPr>
          </w:p>
        </w:tc>
        <w:tc>
          <w:tcPr>
            <w:tcW w:w="709" w:type="dxa"/>
            <w:tcBorders>
              <w:top w:val="single" w:sz="6" w:space="0" w:color="auto"/>
              <w:left w:val="single" w:sz="6" w:space="0" w:color="auto"/>
              <w:bottom w:val="single" w:sz="6" w:space="0" w:color="auto"/>
            </w:tcBorders>
            <w:shd w:val="clear" w:color="auto" w:fill="BFBFBF" w:themeFill="background1" w:themeFillShade="BF"/>
            <w:vAlign w:val="center"/>
          </w:tcPr>
          <w:p w14:paraId="1F7F7836" w14:textId="77777777" w:rsidR="00E65E42" w:rsidRPr="00D403F5" w:rsidRDefault="00E65E42" w:rsidP="00E65E42">
            <w:pPr>
              <w:pStyle w:val="TableHead"/>
              <w:spacing w:before="0" w:after="0"/>
              <w:rPr>
                <w:rFonts w:ascii="Arial Narrow" w:hAnsi="Arial Narrow" w:cs="Arial"/>
                <w:b w:val="0"/>
                <w:strike/>
                <w:szCs w:val="18"/>
                <w:lang w:val="en-GB"/>
              </w:rPr>
            </w:pPr>
          </w:p>
        </w:tc>
        <w:tc>
          <w:tcPr>
            <w:tcW w:w="89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833609E" w14:textId="77777777" w:rsidR="00E65E42" w:rsidRPr="00D403F5" w:rsidRDefault="00E65E42" w:rsidP="00E65E42">
            <w:pPr>
              <w:pStyle w:val="TableHead"/>
              <w:spacing w:before="0" w:after="0"/>
              <w:rPr>
                <w:rFonts w:ascii="Arial Narrow" w:hAnsi="Arial Narrow" w:cs="Arial"/>
                <w:b w:val="0"/>
                <w:strike/>
                <w:szCs w:val="18"/>
                <w:lang w:val="en-GB"/>
              </w:rPr>
            </w:pPr>
          </w:p>
        </w:tc>
        <w:tc>
          <w:tcPr>
            <w:tcW w:w="776" w:type="dxa"/>
            <w:tcBorders>
              <w:top w:val="single" w:sz="6" w:space="0" w:color="auto"/>
              <w:left w:val="single" w:sz="6" w:space="0" w:color="auto"/>
              <w:bottom w:val="single" w:sz="6" w:space="0" w:color="auto"/>
            </w:tcBorders>
            <w:shd w:val="clear" w:color="auto" w:fill="BFBFBF" w:themeFill="background1" w:themeFillShade="BF"/>
            <w:vAlign w:val="center"/>
          </w:tcPr>
          <w:p w14:paraId="660E85A8" w14:textId="77777777" w:rsidR="00E65E42" w:rsidRPr="00D403F5" w:rsidRDefault="00E65E42" w:rsidP="00E65E42">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tcBorders>
            <w:shd w:val="clear" w:color="auto" w:fill="BFBFBF" w:themeFill="background1" w:themeFillShade="BF"/>
            <w:vAlign w:val="center"/>
          </w:tcPr>
          <w:p w14:paraId="562A6C66" w14:textId="77777777" w:rsidR="00E65E42" w:rsidRPr="00D403F5" w:rsidRDefault="00E65E42" w:rsidP="00E65E42">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348D7440" w14:textId="77777777" w:rsidR="00E65E42" w:rsidRPr="00D403F5" w:rsidRDefault="00E65E42" w:rsidP="00E65E42">
            <w:pPr>
              <w:pStyle w:val="Tabletext"/>
              <w:spacing w:before="0" w:after="0"/>
              <w:rPr>
                <w:rFonts w:ascii="Arial Narrow" w:hAnsi="Arial Narrow"/>
                <w:strike/>
                <w:szCs w:val="18"/>
                <w:lang w:val="en-GB"/>
              </w:rPr>
            </w:pPr>
          </w:p>
        </w:tc>
        <w:tc>
          <w:tcPr>
            <w:tcW w:w="88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1B18402" w14:textId="77777777" w:rsidR="00E65E42" w:rsidRPr="00D403F5" w:rsidRDefault="00E65E42" w:rsidP="00E65E42">
            <w:pPr>
              <w:pStyle w:val="Tabletext"/>
              <w:spacing w:before="0" w:after="0"/>
              <w:rPr>
                <w:rFonts w:ascii="Arial Narrow" w:hAnsi="Arial Narrow"/>
                <w:strike/>
                <w:szCs w:val="18"/>
                <w:lang w:val="en-GB"/>
              </w:rPr>
            </w:pP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2220285" w14:textId="77777777" w:rsidR="00E65E42" w:rsidRPr="00D403F5" w:rsidRDefault="00E65E42" w:rsidP="00E65E42">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DC747DC" w14:textId="77777777" w:rsidR="00E65E42" w:rsidRPr="00D403F5" w:rsidRDefault="00E65E42" w:rsidP="00E65E42">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111CAED3" w14:textId="77777777" w:rsidR="00E65E42" w:rsidRPr="00D403F5" w:rsidRDefault="00E65E42" w:rsidP="00E65E42">
            <w:pPr>
              <w:pStyle w:val="Tabletext"/>
              <w:spacing w:before="0" w:after="0"/>
              <w:rPr>
                <w:rFonts w:ascii="Arial Narrow" w:hAnsi="Arial Narrow"/>
                <w:strike/>
                <w:szCs w:val="18"/>
                <w:lang w:val="en-GB"/>
              </w:rPr>
            </w:pPr>
          </w:p>
        </w:tc>
        <w:tc>
          <w:tcPr>
            <w:tcW w:w="92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46B8E6D" w14:textId="77777777" w:rsidR="00E65E42" w:rsidRPr="00D403F5" w:rsidRDefault="00E65E42" w:rsidP="00E65E42">
            <w:pPr>
              <w:pStyle w:val="Tabletext"/>
              <w:spacing w:before="0" w:after="0"/>
              <w:rPr>
                <w:rFonts w:ascii="Arial Narrow" w:hAnsi="Arial Narrow"/>
                <w:szCs w:val="18"/>
                <w:lang w:val="en-GB"/>
              </w:rPr>
            </w:pPr>
          </w:p>
        </w:tc>
      </w:tr>
      <w:tr w:rsidR="00E65E42" w:rsidRPr="00D403F5" w14:paraId="67945FE3" w14:textId="77777777" w:rsidTr="00E65E42">
        <w:trPr>
          <w:trHeight w:val="402"/>
          <w:jc w:val="center"/>
        </w:trPr>
        <w:tc>
          <w:tcPr>
            <w:tcW w:w="2399" w:type="dxa"/>
            <w:tcBorders>
              <w:top w:val="single" w:sz="6" w:space="0" w:color="auto"/>
              <w:left w:val="single" w:sz="6" w:space="0" w:color="auto"/>
              <w:bottom w:val="single" w:sz="4" w:space="0" w:color="auto"/>
            </w:tcBorders>
            <w:vAlign w:val="center"/>
          </w:tcPr>
          <w:p w14:paraId="267C8A9A"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LAMP</w:t>
            </w:r>
          </w:p>
        </w:tc>
        <w:tc>
          <w:tcPr>
            <w:tcW w:w="920" w:type="dxa"/>
            <w:tcBorders>
              <w:top w:val="single" w:sz="6" w:space="0" w:color="auto"/>
              <w:left w:val="single" w:sz="6" w:space="0" w:color="auto"/>
              <w:bottom w:val="single" w:sz="6" w:space="0" w:color="auto"/>
            </w:tcBorders>
            <w:shd w:val="clear" w:color="auto" w:fill="BFBFBF" w:themeFill="background1" w:themeFillShade="BF"/>
            <w:vAlign w:val="center"/>
          </w:tcPr>
          <w:p w14:paraId="12DDFD5B" w14:textId="77777777" w:rsidR="00E65E42" w:rsidRPr="00D403F5" w:rsidRDefault="00E65E42" w:rsidP="00E65E42">
            <w:pPr>
              <w:pStyle w:val="TableHead"/>
              <w:spacing w:before="0" w:after="0"/>
              <w:rPr>
                <w:rFonts w:ascii="Arial Narrow" w:hAnsi="Arial Narrow" w:cs="Arial"/>
                <w:b w:val="0"/>
                <w:strike/>
                <w:szCs w:val="18"/>
                <w:lang w:val="en-GB"/>
              </w:rPr>
            </w:pPr>
          </w:p>
        </w:tc>
        <w:tc>
          <w:tcPr>
            <w:tcW w:w="992" w:type="dxa"/>
            <w:tcBorders>
              <w:top w:val="single" w:sz="6" w:space="0" w:color="auto"/>
              <w:left w:val="single" w:sz="6" w:space="0" w:color="auto"/>
              <w:bottom w:val="single" w:sz="6" w:space="0" w:color="auto"/>
            </w:tcBorders>
            <w:shd w:val="clear" w:color="auto" w:fill="BFBFBF" w:themeFill="background1" w:themeFillShade="BF"/>
            <w:vAlign w:val="center"/>
          </w:tcPr>
          <w:p w14:paraId="694D4381" w14:textId="77777777" w:rsidR="00E65E42" w:rsidRPr="00D403F5" w:rsidRDefault="00E65E42" w:rsidP="00E65E42">
            <w:pPr>
              <w:pStyle w:val="TableHead"/>
              <w:spacing w:before="0" w:after="0"/>
              <w:rPr>
                <w:rFonts w:ascii="Arial Narrow" w:hAnsi="Arial Narrow" w:cs="Arial"/>
                <w:b w:val="0"/>
                <w:strike/>
                <w:szCs w:val="18"/>
                <w:lang w:val="en-GB"/>
              </w:rPr>
            </w:pPr>
          </w:p>
        </w:tc>
        <w:tc>
          <w:tcPr>
            <w:tcW w:w="709" w:type="dxa"/>
            <w:tcBorders>
              <w:top w:val="single" w:sz="6" w:space="0" w:color="auto"/>
              <w:left w:val="single" w:sz="6" w:space="0" w:color="auto"/>
              <w:bottom w:val="single" w:sz="6" w:space="0" w:color="auto"/>
            </w:tcBorders>
            <w:shd w:val="clear" w:color="auto" w:fill="BFBFBF" w:themeFill="background1" w:themeFillShade="BF"/>
            <w:vAlign w:val="center"/>
          </w:tcPr>
          <w:p w14:paraId="54239596" w14:textId="77777777" w:rsidR="00E65E42" w:rsidRPr="00D403F5" w:rsidRDefault="00E65E42" w:rsidP="00E65E42">
            <w:pPr>
              <w:pStyle w:val="TableHead"/>
              <w:spacing w:before="0" w:after="0"/>
              <w:rPr>
                <w:rFonts w:ascii="Arial Narrow" w:hAnsi="Arial Narrow" w:cs="Arial"/>
                <w:b w:val="0"/>
                <w:strike/>
                <w:szCs w:val="18"/>
                <w:lang w:val="en-GB"/>
              </w:rPr>
            </w:pPr>
          </w:p>
        </w:tc>
        <w:tc>
          <w:tcPr>
            <w:tcW w:w="89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42E80A4" w14:textId="77777777" w:rsidR="00E65E42" w:rsidRPr="00D403F5" w:rsidRDefault="00E65E42" w:rsidP="00E65E42">
            <w:pPr>
              <w:pStyle w:val="TableHead"/>
              <w:spacing w:before="0" w:after="0"/>
              <w:rPr>
                <w:rFonts w:ascii="Arial Narrow" w:hAnsi="Arial Narrow" w:cs="Arial"/>
                <w:b w:val="0"/>
                <w:szCs w:val="18"/>
                <w:lang w:val="en-GB"/>
              </w:rPr>
            </w:pPr>
          </w:p>
        </w:tc>
        <w:tc>
          <w:tcPr>
            <w:tcW w:w="776" w:type="dxa"/>
            <w:tcBorders>
              <w:top w:val="single" w:sz="6" w:space="0" w:color="auto"/>
              <w:left w:val="single" w:sz="6" w:space="0" w:color="auto"/>
              <w:bottom w:val="single" w:sz="6" w:space="0" w:color="auto"/>
            </w:tcBorders>
            <w:shd w:val="clear" w:color="auto" w:fill="BFBFBF" w:themeFill="background1" w:themeFillShade="BF"/>
            <w:vAlign w:val="center"/>
          </w:tcPr>
          <w:p w14:paraId="370A1C06" w14:textId="77777777" w:rsidR="00E65E42" w:rsidRPr="00D403F5" w:rsidRDefault="00E65E42" w:rsidP="00E65E42">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tcBorders>
            <w:shd w:val="clear" w:color="auto" w:fill="BFBFBF" w:themeFill="background1" w:themeFillShade="BF"/>
            <w:vAlign w:val="center"/>
          </w:tcPr>
          <w:p w14:paraId="19E1E32E" w14:textId="77777777" w:rsidR="00E65E42" w:rsidRPr="00D403F5" w:rsidRDefault="00E65E42" w:rsidP="00E65E42">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09D51CC1" w14:textId="77777777" w:rsidR="00E65E42" w:rsidRPr="00D403F5" w:rsidRDefault="00E65E42" w:rsidP="00E65E42">
            <w:pPr>
              <w:pStyle w:val="Tabletext"/>
              <w:spacing w:before="0" w:after="0"/>
              <w:rPr>
                <w:rFonts w:ascii="Arial Narrow" w:hAnsi="Arial Narrow"/>
                <w:strike/>
                <w:szCs w:val="18"/>
                <w:lang w:val="en-GB"/>
              </w:rPr>
            </w:pPr>
          </w:p>
        </w:tc>
        <w:tc>
          <w:tcPr>
            <w:tcW w:w="88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FBCBEB3" w14:textId="77777777" w:rsidR="00E65E42" w:rsidRPr="00D403F5" w:rsidRDefault="00E65E42" w:rsidP="00E65E42">
            <w:pPr>
              <w:pStyle w:val="Tabletext"/>
              <w:spacing w:before="0" w:after="0"/>
              <w:rPr>
                <w:rFonts w:ascii="Arial Narrow" w:hAnsi="Arial Narrow"/>
                <w:strike/>
                <w:szCs w:val="18"/>
                <w:lang w:val="en-GB"/>
              </w:rPr>
            </w:pP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6ECC7C6" w14:textId="77777777" w:rsidR="00E65E42" w:rsidRPr="00D403F5" w:rsidRDefault="00E65E42" w:rsidP="00E65E42">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4B8BC3E" w14:textId="77777777" w:rsidR="00E65E42" w:rsidRPr="00D403F5" w:rsidRDefault="00E65E42" w:rsidP="00E65E42">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0E1A4AAD" w14:textId="77777777" w:rsidR="00E65E42" w:rsidRPr="00D403F5" w:rsidRDefault="00E65E42" w:rsidP="00E65E42">
            <w:pPr>
              <w:pStyle w:val="Tabletext"/>
              <w:spacing w:before="0" w:after="0"/>
              <w:rPr>
                <w:rFonts w:ascii="Arial Narrow" w:hAnsi="Arial Narrow"/>
                <w:strike/>
                <w:szCs w:val="18"/>
                <w:lang w:val="en-GB"/>
              </w:rPr>
            </w:pPr>
          </w:p>
        </w:tc>
        <w:tc>
          <w:tcPr>
            <w:tcW w:w="92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1AF9283" w14:textId="77777777" w:rsidR="00E65E42" w:rsidRPr="00D403F5" w:rsidRDefault="00E65E42" w:rsidP="00E65E42">
            <w:pPr>
              <w:pStyle w:val="Tabletext"/>
              <w:spacing w:before="0" w:after="0"/>
              <w:rPr>
                <w:rFonts w:ascii="Arial Narrow" w:hAnsi="Arial Narrow"/>
                <w:strike/>
                <w:szCs w:val="18"/>
                <w:lang w:val="en-GB"/>
              </w:rPr>
            </w:pPr>
          </w:p>
        </w:tc>
      </w:tr>
      <w:tr w:rsidR="00E65E42" w:rsidRPr="00D403F5" w14:paraId="3117C1CC" w14:textId="77777777" w:rsidTr="00E65E42">
        <w:trPr>
          <w:trHeight w:val="402"/>
          <w:jc w:val="center"/>
        </w:trPr>
        <w:tc>
          <w:tcPr>
            <w:tcW w:w="2399" w:type="dxa"/>
            <w:tcBorders>
              <w:top w:val="single" w:sz="4" w:space="0" w:color="auto"/>
              <w:left w:val="single" w:sz="6" w:space="0" w:color="auto"/>
              <w:bottom w:val="single" w:sz="4" w:space="0" w:color="auto"/>
            </w:tcBorders>
            <w:vAlign w:val="center"/>
          </w:tcPr>
          <w:p w14:paraId="422F7F6D"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Lateral flow assay</w:t>
            </w:r>
          </w:p>
        </w:tc>
        <w:tc>
          <w:tcPr>
            <w:tcW w:w="920" w:type="dxa"/>
            <w:tcBorders>
              <w:top w:val="single" w:sz="6" w:space="0" w:color="auto"/>
              <w:left w:val="single" w:sz="6" w:space="0" w:color="auto"/>
              <w:bottom w:val="single" w:sz="6" w:space="0" w:color="auto"/>
            </w:tcBorders>
            <w:vAlign w:val="center"/>
          </w:tcPr>
          <w:p w14:paraId="33384B05" w14:textId="77777777" w:rsidR="00E65E42" w:rsidRPr="00EA19EA" w:rsidRDefault="00E65E42" w:rsidP="00E65E42">
            <w:pPr>
              <w:pStyle w:val="TableHead"/>
              <w:spacing w:before="0" w:after="0"/>
              <w:rPr>
                <w:rFonts w:ascii="Arial Narrow" w:hAnsi="Arial Narrow" w:cs="Arial"/>
                <w:b w:val="0"/>
                <w:strike/>
                <w:szCs w:val="18"/>
                <w:lang w:val="en-GB"/>
              </w:rPr>
            </w:pPr>
            <w:r w:rsidRPr="00EA19EA">
              <w:rPr>
                <w:rFonts w:ascii="Arial Narrow" w:hAnsi="Arial Narrow" w:cs="Arial"/>
                <w:b w:val="0"/>
                <w:strike/>
                <w:szCs w:val="18"/>
                <w:highlight w:val="yellow"/>
                <w:lang w:val="en-GB"/>
              </w:rPr>
              <w:t>+</w:t>
            </w:r>
          </w:p>
        </w:tc>
        <w:tc>
          <w:tcPr>
            <w:tcW w:w="992" w:type="dxa"/>
            <w:tcBorders>
              <w:top w:val="single" w:sz="6" w:space="0" w:color="auto"/>
              <w:left w:val="single" w:sz="6" w:space="0" w:color="auto"/>
              <w:bottom w:val="single" w:sz="6" w:space="0" w:color="auto"/>
            </w:tcBorders>
            <w:vAlign w:val="center"/>
          </w:tcPr>
          <w:p w14:paraId="11A2D12A" w14:textId="77777777" w:rsidR="00E65E42" w:rsidRPr="009D2441" w:rsidRDefault="00E65E42" w:rsidP="00E65E42">
            <w:pPr>
              <w:pStyle w:val="TableHead"/>
              <w:spacing w:before="0" w:after="0"/>
              <w:rPr>
                <w:rFonts w:ascii="Arial Narrow" w:hAnsi="Arial Narrow" w:cs="Arial"/>
                <w:b w:val="0"/>
                <w:strike/>
                <w:szCs w:val="18"/>
                <w:lang w:val="en-GB"/>
              </w:rPr>
            </w:pPr>
            <w:r w:rsidRPr="009D2441">
              <w:rPr>
                <w:rFonts w:ascii="Arial Narrow" w:hAnsi="Arial Narrow" w:cs="Arial"/>
                <w:b w:val="0"/>
                <w:strike/>
                <w:szCs w:val="18"/>
                <w:highlight w:val="yellow"/>
                <w:lang w:val="en-GB"/>
              </w:rPr>
              <w:t>+</w:t>
            </w:r>
          </w:p>
        </w:tc>
        <w:tc>
          <w:tcPr>
            <w:tcW w:w="709" w:type="dxa"/>
            <w:tcBorders>
              <w:top w:val="single" w:sz="6" w:space="0" w:color="auto"/>
              <w:left w:val="single" w:sz="6" w:space="0" w:color="auto"/>
              <w:bottom w:val="single" w:sz="6" w:space="0" w:color="auto"/>
            </w:tcBorders>
            <w:vAlign w:val="center"/>
          </w:tcPr>
          <w:p w14:paraId="2E3F03A3" w14:textId="77777777" w:rsidR="00E65E42" w:rsidRPr="009D2441" w:rsidRDefault="00E65E42" w:rsidP="00E65E42">
            <w:pPr>
              <w:pStyle w:val="TableHead"/>
              <w:spacing w:before="0" w:after="0"/>
              <w:rPr>
                <w:rFonts w:ascii="Arial Narrow" w:hAnsi="Arial Narrow" w:cs="Arial"/>
                <w:b w:val="0"/>
                <w:strike/>
                <w:szCs w:val="18"/>
                <w:lang w:val="en-GB"/>
              </w:rPr>
            </w:pPr>
            <w:r w:rsidRPr="009D2441">
              <w:rPr>
                <w:rFonts w:ascii="Arial Narrow" w:hAnsi="Arial Narrow" w:cs="Arial"/>
                <w:b w:val="0"/>
                <w:strike/>
                <w:szCs w:val="18"/>
                <w:highlight w:val="yellow"/>
                <w:lang w:val="en-GB"/>
              </w:rPr>
              <w:t>+</w:t>
            </w:r>
          </w:p>
        </w:tc>
        <w:tc>
          <w:tcPr>
            <w:tcW w:w="893" w:type="dxa"/>
            <w:tcBorders>
              <w:top w:val="single" w:sz="6" w:space="0" w:color="auto"/>
              <w:left w:val="single" w:sz="6" w:space="0" w:color="auto"/>
              <w:bottom w:val="single" w:sz="6" w:space="0" w:color="auto"/>
              <w:right w:val="single" w:sz="6" w:space="0" w:color="auto"/>
            </w:tcBorders>
            <w:vAlign w:val="center"/>
          </w:tcPr>
          <w:p w14:paraId="427B53B7" w14:textId="77777777" w:rsidR="00E65E42" w:rsidRPr="009D2441" w:rsidRDefault="00E65E42" w:rsidP="00E65E42">
            <w:pPr>
              <w:pStyle w:val="TableHead"/>
              <w:spacing w:before="0" w:after="0"/>
              <w:rPr>
                <w:rFonts w:ascii="Arial Narrow" w:hAnsi="Arial Narrow" w:cs="Arial"/>
                <w:b w:val="0"/>
                <w:strike/>
                <w:szCs w:val="18"/>
                <w:lang w:val="en-GB"/>
              </w:rPr>
            </w:pPr>
            <w:r w:rsidRPr="009D2441">
              <w:rPr>
                <w:rFonts w:ascii="Arial Narrow" w:hAnsi="Arial Narrow" w:cs="Arial"/>
                <w:b w:val="0"/>
                <w:strike/>
                <w:szCs w:val="18"/>
                <w:highlight w:val="yellow"/>
                <w:lang w:val="en-GB"/>
              </w:rPr>
              <w:t>1</w:t>
            </w:r>
          </w:p>
        </w:tc>
        <w:tc>
          <w:tcPr>
            <w:tcW w:w="776" w:type="dxa"/>
            <w:tcBorders>
              <w:top w:val="single" w:sz="6" w:space="0" w:color="auto"/>
              <w:left w:val="single" w:sz="6" w:space="0" w:color="auto"/>
              <w:bottom w:val="single" w:sz="6" w:space="0" w:color="auto"/>
            </w:tcBorders>
            <w:vAlign w:val="center"/>
          </w:tcPr>
          <w:p w14:paraId="1047629C"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r w:rsidRPr="009D2441">
              <w:rPr>
                <w:rFonts w:ascii="Arial Narrow" w:hAnsi="Arial Narrow"/>
                <w:strike/>
                <w:szCs w:val="18"/>
                <w:highlight w:val="yellow"/>
                <w:lang w:val="en-GB"/>
              </w:rPr>
              <w:t>+</w:t>
            </w:r>
          </w:p>
        </w:tc>
        <w:tc>
          <w:tcPr>
            <w:tcW w:w="851" w:type="dxa"/>
            <w:tcBorders>
              <w:top w:val="single" w:sz="6" w:space="0" w:color="auto"/>
              <w:left w:val="single" w:sz="6" w:space="0" w:color="auto"/>
              <w:bottom w:val="single" w:sz="6" w:space="0" w:color="auto"/>
            </w:tcBorders>
            <w:vAlign w:val="center"/>
          </w:tcPr>
          <w:p w14:paraId="1D9EA6F5"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r w:rsidRPr="009D2441">
              <w:rPr>
                <w:rFonts w:ascii="Arial Narrow" w:hAnsi="Arial Narrow"/>
                <w:strike/>
                <w:szCs w:val="18"/>
                <w:highlight w:val="yellow"/>
                <w:lang w:val="en-GB"/>
              </w:rPr>
              <w:t>+</w:t>
            </w:r>
          </w:p>
        </w:tc>
        <w:tc>
          <w:tcPr>
            <w:tcW w:w="708" w:type="dxa"/>
            <w:tcBorders>
              <w:top w:val="single" w:sz="6" w:space="0" w:color="auto"/>
              <w:left w:val="single" w:sz="6" w:space="0" w:color="auto"/>
              <w:bottom w:val="single" w:sz="6" w:space="0" w:color="auto"/>
            </w:tcBorders>
            <w:vAlign w:val="center"/>
          </w:tcPr>
          <w:p w14:paraId="6A77C5E4"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w:t>
            </w:r>
            <w:r w:rsidRPr="009D2441">
              <w:rPr>
                <w:rFonts w:ascii="Arial Narrow" w:hAnsi="Arial Narrow"/>
                <w:strike/>
                <w:szCs w:val="18"/>
                <w:highlight w:val="yellow"/>
                <w:lang w:val="en-GB"/>
              </w:rPr>
              <w:t>+</w:t>
            </w:r>
          </w:p>
        </w:tc>
        <w:tc>
          <w:tcPr>
            <w:tcW w:w="883" w:type="dxa"/>
            <w:tcBorders>
              <w:top w:val="single" w:sz="6" w:space="0" w:color="auto"/>
              <w:left w:val="single" w:sz="6" w:space="0" w:color="auto"/>
              <w:bottom w:val="single" w:sz="6" w:space="0" w:color="auto"/>
              <w:right w:val="single" w:sz="6" w:space="0" w:color="auto"/>
            </w:tcBorders>
            <w:vAlign w:val="center"/>
          </w:tcPr>
          <w:p w14:paraId="0FEFA136" w14:textId="77777777" w:rsidR="00E65E42" w:rsidRPr="00D403F5" w:rsidRDefault="00E65E42" w:rsidP="00E65E42">
            <w:pPr>
              <w:pStyle w:val="Tabletext"/>
              <w:spacing w:before="0" w:after="0"/>
              <w:rPr>
                <w:rFonts w:ascii="Arial Narrow" w:hAnsi="Arial Narrow"/>
                <w:szCs w:val="18"/>
                <w:lang w:val="en-GB"/>
              </w:rPr>
            </w:pPr>
            <w:r w:rsidRPr="00D403F5">
              <w:rPr>
                <w:rFonts w:ascii="Arial Narrow" w:hAnsi="Arial Narrow"/>
                <w:szCs w:val="18"/>
                <w:lang w:val="en-GB"/>
              </w:rPr>
              <w:t>1</w:t>
            </w: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7083EE0" w14:textId="77777777" w:rsidR="00E65E42" w:rsidRPr="00D403F5" w:rsidRDefault="00E65E42" w:rsidP="00E65E42">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261024D" w14:textId="77777777" w:rsidR="00E65E42" w:rsidRPr="00D403F5" w:rsidRDefault="00E65E42" w:rsidP="00E65E42">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2EA1FF3E" w14:textId="77777777" w:rsidR="00E65E42" w:rsidRPr="00D403F5" w:rsidRDefault="00E65E42" w:rsidP="00E65E42">
            <w:pPr>
              <w:pStyle w:val="Tabletext"/>
              <w:spacing w:before="0" w:after="0"/>
              <w:rPr>
                <w:rFonts w:ascii="Arial Narrow" w:hAnsi="Arial Narrow"/>
                <w:strike/>
                <w:szCs w:val="18"/>
                <w:lang w:val="en-GB"/>
              </w:rPr>
            </w:pPr>
          </w:p>
        </w:tc>
        <w:tc>
          <w:tcPr>
            <w:tcW w:w="925" w:type="dxa"/>
            <w:tcBorders>
              <w:top w:val="single" w:sz="6" w:space="0" w:color="auto"/>
              <w:left w:val="single" w:sz="6" w:space="0" w:color="auto"/>
              <w:bottom w:val="single" w:sz="6" w:space="0" w:color="auto"/>
              <w:right w:val="single" w:sz="6" w:space="0" w:color="auto"/>
            </w:tcBorders>
            <w:vAlign w:val="center"/>
          </w:tcPr>
          <w:p w14:paraId="17C9BB01" w14:textId="77777777" w:rsidR="00E65E42" w:rsidRPr="009D2441" w:rsidRDefault="00E65E42" w:rsidP="00E65E42">
            <w:pPr>
              <w:pStyle w:val="Tabletext"/>
              <w:spacing w:before="0" w:after="0"/>
              <w:rPr>
                <w:rFonts w:ascii="Arial Narrow" w:hAnsi="Arial Narrow"/>
                <w:strike/>
                <w:szCs w:val="18"/>
                <w:lang w:val="en-GB"/>
              </w:rPr>
            </w:pPr>
            <w:r w:rsidRPr="009D2441">
              <w:rPr>
                <w:rFonts w:ascii="Arial Narrow" w:hAnsi="Arial Narrow"/>
                <w:strike/>
                <w:szCs w:val="18"/>
                <w:highlight w:val="yellow"/>
                <w:lang w:val="en-GB"/>
              </w:rPr>
              <w:t>1</w:t>
            </w:r>
          </w:p>
        </w:tc>
      </w:tr>
      <w:tr w:rsidR="00E65E42" w:rsidRPr="00D403F5" w14:paraId="68ABB35C" w14:textId="77777777" w:rsidTr="00E65E42">
        <w:trPr>
          <w:trHeight w:val="402"/>
          <w:jc w:val="center"/>
        </w:trPr>
        <w:tc>
          <w:tcPr>
            <w:tcW w:w="2399" w:type="dxa"/>
            <w:tcBorders>
              <w:top w:val="single" w:sz="4" w:space="0" w:color="auto"/>
              <w:left w:val="single" w:sz="6" w:space="0" w:color="auto"/>
              <w:bottom w:val="single" w:sz="4" w:space="0" w:color="auto"/>
            </w:tcBorders>
            <w:vAlign w:val="center"/>
          </w:tcPr>
          <w:p w14:paraId="77727DEE" w14:textId="77777777" w:rsidR="00E65E42" w:rsidRPr="00D403F5" w:rsidRDefault="00E65E42" w:rsidP="00E65E42">
            <w:pPr>
              <w:pStyle w:val="TableHead"/>
              <w:spacing w:before="0" w:after="0"/>
              <w:rPr>
                <w:rFonts w:ascii="Arial Narrow" w:hAnsi="Arial Narrow" w:cs="Arial"/>
                <w:szCs w:val="18"/>
                <w:lang w:val="en-GB"/>
              </w:rPr>
            </w:pPr>
            <w:r w:rsidRPr="00D403F5">
              <w:rPr>
                <w:rFonts w:ascii="Arial Narrow" w:hAnsi="Arial Narrow" w:cs="Arial"/>
                <w:szCs w:val="18"/>
                <w:lang w:val="en-GB"/>
              </w:rPr>
              <w:t>Immunohistochemistry</w:t>
            </w:r>
          </w:p>
        </w:tc>
        <w:tc>
          <w:tcPr>
            <w:tcW w:w="920" w:type="dxa"/>
            <w:tcBorders>
              <w:top w:val="single" w:sz="6" w:space="0" w:color="auto"/>
              <w:left w:val="single" w:sz="6" w:space="0" w:color="auto"/>
              <w:bottom w:val="single" w:sz="6" w:space="0" w:color="auto"/>
            </w:tcBorders>
            <w:shd w:val="clear" w:color="auto" w:fill="BFBFBF" w:themeFill="background1" w:themeFillShade="BF"/>
            <w:vAlign w:val="center"/>
          </w:tcPr>
          <w:p w14:paraId="7E5616F5" w14:textId="77777777" w:rsidR="00E65E42" w:rsidRPr="00D403F5" w:rsidRDefault="00E65E42" w:rsidP="00E65E42">
            <w:pPr>
              <w:pStyle w:val="TableHead"/>
              <w:spacing w:before="0" w:after="0"/>
              <w:rPr>
                <w:rFonts w:ascii="Arial Narrow" w:hAnsi="Arial Narrow" w:cs="Arial"/>
                <w:b w:val="0"/>
                <w:strike/>
                <w:szCs w:val="18"/>
                <w:lang w:val="en-GB"/>
              </w:rPr>
            </w:pPr>
          </w:p>
        </w:tc>
        <w:tc>
          <w:tcPr>
            <w:tcW w:w="992" w:type="dxa"/>
            <w:tcBorders>
              <w:top w:val="single" w:sz="6" w:space="0" w:color="auto"/>
              <w:left w:val="single" w:sz="6" w:space="0" w:color="auto"/>
              <w:bottom w:val="single" w:sz="6" w:space="0" w:color="auto"/>
            </w:tcBorders>
            <w:shd w:val="clear" w:color="auto" w:fill="BFBFBF" w:themeFill="background1" w:themeFillShade="BF"/>
            <w:vAlign w:val="center"/>
          </w:tcPr>
          <w:p w14:paraId="47BBACD0" w14:textId="77777777" w:rsidR="00E65E42" w:rsidRPr="00D403F5" w:rsidRDefault="00E65E42" w:rsidP="00E65E42">
            <w:pPr>
              <w:pStyle w:val="TableHead"/>
              <w:spacing w:before="0" w:after="0"/>
              <w:rPr>
                <w:rFonts w:ascii="Arial Narrow" w:hAnsi="Arial Narrow" w:cs="Arial"/>
                <w:b w:val="0"/>
                <w:strike/>
                <w:szCs w:val="18"/>
                <w:lang w:val="en-GB"/>
              </w:rPr>
            </w:pPr>
          </w:p>
        </w:tc>
        <w:tc>
          <w:tcPr>
            <w:tcW w:w="709" w:type="dxa"/>
            <w:tcBorders>
              <w:top w:val="single" w:sz="6" w:space="0" w:color="auto"/>
              <w:left w:val="single" w:sz="6" w:space="0" w:color="auto"/>
              <w:bottom w:val="single" w:sz="6" w:space="0" w:color="auto"/>
            </w:tcBorders>
            <w:shd w:val="clear" w:color="auto" w:fill="BFBFBF" w:themeFill="background1" w:themeFillShade="BF"/>
            <w:vAlign w:val="center"/>
          </w:tcPr>
          <w:p w14:paraId="05E1927D" w14:textId="77777777" w:rsidR="00E65E42" w:rsidRPr="00D403F5" w:rsidRDefault="00E65E42" w:rsidP="00E65E42">
            <w:pPr>
              <w:pStyle w:val="TableHead"/>
              <w:spacing w:before="0" w:after="0"/>
              <w:rPr>
                <w:rFonts w:ascii="Arial Narrow" w:hAnsi="Arial Narrow" w:cs="Arial"/>
                <w:b w:val="0"/>
                <w:strike/>
                <w:szCs w:val="18"/>
                <w:lang w:val="en-GB"/>
              </w:rPr>
            </w:pPr>
          </w:p>
        </w:tc>
        <w:tc>
          <w:tcPr>
            <w:tcW w:w="89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9BD809B" w14:textId="77777777" w:rsidR="00E65E42" w:rsidRPr="00D403F5" w:rsidRDefault="00E65E42" w:rsidP="00E65E42">
            <w:pPr>
              <w:pStyle w:val="TableHead"/>
              <w:spacing w:before="0" w:after="0"/>
              <w:rPr>
                <w:rFonts w:ascii="Arial Narrow" w:hAnsi="Arial Narrow" w:cs="Arial"/>
                <w:b w:val="0"/>
                <w:strike/>
                <w:szCs w:val="18"/>
                <w:lang w:val="en-GB"/>
              </w:rPr>
            </w:pPr>
          </w:p>
        </w:tc>
        <w:tc>
          <w:tcPr>
            <w:tcW w:w="776" w:type="dxa"/>
            <w:tcBorders>
              <w:top w:val="single" w:sz="6" w:space="0" w:color="auto"/>
              <w:left w:val="single" w:sz="6" w:space="0" w:color="auto"/>
              <w:bottom w:val="single" w:sz="6" w:space="0" w:color="auto"/>
            </w:tcBorders>
            <w:shd w:val="clear" w:color="auto" w:fill="BFBFBF" w:themeFill="background1" w:themeFillShade="BF"/>
            <w:vAlign w:val="center"/>
          </w:tcPr>
          <w:p w14:paraId="35FB80D1" w14:textId="77777777" w:rsidR="00E65E42" w:rsidRPr="00D403F5" w:rsidRDefault="00E65E42" w:rsidP="00E65E42">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tcBorders>
            <w:shd w:val="clear" w:color="auto" w:fill="BFBFBF" w:themeFill="background1" w:themeFillShade="BF"/>
            <w:vAlign w:val="center"/>
          </w:tcPr>
          <w:p w14:paraId="0C89A8D9" w14:textId="77777777" w:rsidR="00E65E42" w:rsidRPr="00D403F5" w:rsidRDefault="00E65E42" w:rsidP="00E65E42">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181F34EC" w14:textId="77777777" w:rsidR="00E65E42" w:rsidRPr="00D403F5" w:rsidRDefault="00E65E42" w:rsidP="00E65E42">
            <w:pPr>
              <w:pStyle w:val="Tabletext"/>
              <w:spacing w:before="0" w:after="0"/>
              <w:rPr>
                <w:rFonts w:ascii="Arial Narrow" w:hAnsi="Arial Narrow"/>
                <w:strike/>
                <w:szCs w:val="18"/>
                <w:lang w:val="en-GB"/>
              </w:rPr>
            </w:pPr>
          </w:p>
        </w:tc>
        <w:tc>
          <w:tcPr>
            <w:tcW w:w="88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03DFC08" w14:textId="77777777" w:rsidR="00E65E42" w:rsidRPr="00D403F5" w:rsidRDefault="00E65E42" w:rsidP="00E65E42">
            <w:pPr>
              <w:pStyle w:val="Tabletext"/>
              <w:spacing w:before="0" w:after="0"/>
              <w:rPr>
                <w:rFonts w:ascii="Arial Narrow" w:hAnsi="Arial Narrow"/>
                <w:strike/>
                <w:szCs w:val="18"/>
                <w:lang w:val="en-GB"/>
              </w:rPr>
            </w:pP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4FA7E85" w14:textId="77777777" w:rsidR="00E65E42" w:rsidRPr="00D403F5" w:rsidRDefault="00E65E42" w:rsidP="00E65E42">
            <w:pPr>
              <w:pStyle w:val="Tabletext"/>
              <w:spacing w:before="0" w:after="0"/>
              <w:rPr>
                <w:rFonts w:ascii="Arial Narrow" w:hAnsi="Arial Narrow"/>
                <w:color w:val="808080"/>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8D49652" w14:textId="77777777" w:rsidR="00E65E42" w:rsidRPr="00D403F5" w:rsidRDefault="00E65E42" w:rsidP="00E65E42">
            <w:pPr>
              <w:pStyle w:val="Tabletext"/>
              <w:spacing w:before="0" w:after="0"/>
              <w:rPr>
                <w:rFonts w:ascii="Arial Narrow" w:hAnsi="Arial Narrow"/>
                <w:color w:val="808080"/>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0E97C67F" w14:textId="77777777" w:rsidR="00E65E42" w:rsidRPr="00D403F5" w:rsidRDefault="00E65E42" w:rsidP="00E65E42">
            <w:pPr>
              <w:pStyle w:val="Tabletext"/>
              <w:spacing w:before="0" w:after="0"/>
              <w:rPr>
                <w:rFonts w:ascii="Arial Narrow" w:hAnsi="Arial Narrow"/>
                <w:color w:val="808080"/>
                <w:szCs w:val="18"/>
                <w:lang w:val="en-GB"/>
              </w:rPr>
            </w:pPr>
          </w:p>
        </w:tc>
        <w:tc>
          <w:tcPr>
            <w:tcW w:w="92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FA6AF9B" w14:textId="77777777" w:rsidR="00E65E42" w:rsidRPr="00D403F5" w:rsidRDefault="00E65E42" w:rsidP="00E65E42">
            <w:pPr>
              <w:pStyle w:val="Tabletext"/>
              <w:spacing w:before="0" w:after="0"/>
              <w:rPr>
                <w:rFonts w:ascii="Arial Narrow" w:hAnsi="Arial Narrow"/>
                <w:color w:val="808080"/>
                <w:szCs w:val="18"/>
                <w:lang w:val="en-GB"/>
              </w:rPr>
            </w:pPr>
          </w:p>
        </w:tc>
      </w:tr>
    </w:tbl>
    <w:p w14:paraId="1E0CB98C" w14:textId="1305CA68" w:rsidR="00E65E42" w:rsidRDefault="00E65E42" w:rsidP="00E65E42">
      <w:pPr>
        <w:pStyle w:val="paraA0"/>
        <w:spacing w:before="120" w:after="0"/>
        <w:jc w:val="center"/>
      </w:pPr>
      <w:r w:rsidRPr="00D403F5">
        <w:t>LV = level of validation, refers to the stage of validation in the OIE Pathway (Chapter 1.1.2.)</w:t>
      </w:r>
      <w:r w:rsidRPr="00D403F5">
        <w:rPr>
          <w:rFonts w:ascii="Calibri" w:hAnsi="Calibri" w:cs="Times New Roman"/>
          <w:lang w:eastAsia="en-US" w:bidi="en-US"/>
        </w:rPr>
        <w:t xml:space="preserve">; </w:t>
      </w:r>
      <w:r w:rsidRPr="00D403F5">
        <w:t>PCR = polymerase chain reaction</w:t>
      </w:r>
      <w:r>
        <w:t xml:space="preserve">; </w:t>
      </w:r>
      <w:r w:rsidRPr="00D403F5">
        <w:rPr>
          <w:lang w:val="en-IE" w:bidi="en-US"/>
        </w:rPr>
        <w:t xml:space="preserve">LAMP = </w:t>
      </w:r>
      <w:r w:rsidRPr="00D403F5">
        <w:rPr>
          <w:rFonts w:eastAsia="Calibri"/>
        </w:rPr>
        <w:t>loop-mediated isothermal amplification</w:t>
      </w:r>
      <w:r w:rsidRPr="00D403F5">
        <w:t xml:space="preserve">. </w:t>
      </w:r>
      <w:r w:rsidRPr="00D403F5">
        <w:rPr>
          <w:lang w:bidi="en-US"/>
        </w:rPr>
        <w:br/>
      </w:r>
      <w:r w:rsidRPr="00D403F5">
        <w:rPr>
          <w:vertAlign w:val="superscript"/>
          <w:lang w:bidi="en-US"/>
        </w:rPr>
        <w:t>1</w:t>
      </w:r>
      <w:r w:rsidRPr="00D403F5">
        <w:t xml:space="preserve">For confirmatory diagnoses, methods need to be carried out in combination (see Section 6). </w:t>
      </w:r>
      <w:r w:rsidRPr="00D403F5">
        <w:rPr>
          <w:vertAlign w:val="superscript"/>
          <w:lang w:bidi="en-US"/>
        </w:rPr>
        <w:t>2</w:t>
      </w:r>
      <w:r w:rsidRPr="00D403F5">
        <w:t xml:space="preserve">Early and juvenile life stages have been defined in Section 2.2.4. </w:t>
      </w:r>
      <w:r w:rsidRPr="00D403F5">
        <w:br/>
      </w:r>
      <w:r w:rsidRPr="00D403F5">
        <w:rPr>
          <w:vertAlign w:val="superscript"/>
          <w:lang w:bidi="en-US"/>
        </w:rPr>
        <w:t>3</w:t>
      </w:r>
      <w:r w:rsidRPr="00D403F5">
        <w:t>Cytopathology and histopathology can be validated if the results from different operators has been statistically compared.</w:t>
      </w:r>
      <w:r w:rsidRPr="00D403F5">
        <w:rPr>
          <w:rFonts w:ascii="Arial Narrow" w:hAnsi="Arial Narrow"/>
          <w:vertAlign w:val="superscript"/>
        </w:rPr>
        <w:t xml:space="preserve"> 4</w:t>
      </w:r>
      <w:r w:rsidRPr="00D403F5">
        <w:t>Sequencing of the PCR product.</w:t>
      </w:r>
      <w:r w:rsidRPr="00D403F5">
        <w:br/>
        <w:t>Shading indicates the test is inappropriate or should not be used for this purpose.</w:t>
      </w:r>
    </w:p>
    <w:p w14:paraId="161810CF" w14:textId="77777777" w:rsidR="00754D87" w:rsidRDefault="00754D87" w:rsidP="00754D87">
      <w:pPr>
        <w:spacing w:after="480" w:line="240" w:lineRule="auto"/>
        <w:rPr>
          <w:u w:val="single"/>
        </w:rPr>
        <w:sectPr w:rsidR="00754D87" w:rsidSect="00754D87">
          <w:headerReference w:type="even" r:id="rId173"/>
          <w:headerReference w:type="default" r:id="rId174"/>
          <w:headerReference w:type="first" r:id="rId175"/>
          <w:footerReference w:type="first" r:id="rId176"/>
          <w:pgSz w:w="16838" w:h="11906" w:orient="landscape"/>
          <w:pgMar w:top="1440" w:right="1440" w:bottom="1440" w:left="1440" w:header="709" w:footer="709" w:gutter="0"/>
          <w:cols w:space="708"/>
          <w:docGrid w:linePitch="360"/>
        </w:sectPr>
      </w:pPr>
    </w:p>
    <w:p w14:paraId="17380DF1" w14:textId="1D21005F" w:rsidR="00754D87" w:rsidRDefault="00754D87" w:rsidP="00754D87">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12</w:t>
      </w:r>
      <w:r w:rsidRPr="00DB0A8D">
        <w:rPr>
          <w:rFonts w:cs="Times New Roman"/>
          <w:bCs/>
          <w:iCs/>
          <w:szCs w:val="20"/>
        </w:rPr>
        <w:t xml:space="preserve"> (contd)</w:t>
      </w:r>
    </w:p>
    <w:p w14:paraId="6B79D045" w14:textId="77777777" w:rsidR="00E65E42" w:rsidRPr="002A15FF" w:rsidRDefault="00E65E42" w:rsidP="00557B45">
      <w:pPr>
        <w:pStyle w:val="11"/>
        <w:tabs>
          <w:tab w:val="left" w:pos="1418"/>
        </w:tabs>
        <w:spacing w:after="80"/>
        <w:ind w:left="851" w:hanging="567"/>
        <w:rPr>
          <w:rFonts w:ascii="Ottawa" w:hAnsi="Ottawa"/>
          <w:sz w:val="21"/>
          <w:szCs w:val="21"/>
          <w:lang w:val="en-GB"/>
        </w:rPr>
      </w:pPr>
      <w:r w:rsidRPr="002A15FF">
        <w:rPr>
          <w:rFonts w:ascii="Ottawa" w:hAnsi="Ottawa"/>
          <w:sz w:val="21"/>
          <w:szCs w:val="21"/>
          <w:lang w:val="en-GB"/>
        </w:rPr>
        <w:t>4.1.</w:t>
      </w:r>
      <w:r w:rsidRPr="002A15FF">
        <w:rPr>
          <w:rFonts w:ascii="Ottawa" w:hAnsi="Ottawa"/>
          <w:sz w:val="21"/>
          <w:szCs w:val="21"/>
          <w:lang w:val="en-GB"/>
        </w:rPr>
        <w:tab/>
        <w:t xml:space="preserve">Wet mounts </w:t>
      </w:r>
    </w:p>
    <w:p w14:paraId="3B37E3AC" w14:textId="77777777" w:rsidR="00E65E42" w:rsidRPr="00D403F5" w:rsidRDefault="00E65E42" w:rsidP="00557B45">
      <w:pPr>
        <w:pStyle w:val="Para20"/>
        <w:spacing w:after="80"/>
        <w:ind w:left="851"/>
        <w:rPr>
          <w:rFonts w:cs="Arial"/>
          <w:szCs w:val="18"/>
          <w:lang w:val="en-GB" w:eastAsia="fr-FR"/>
        </w:rPr>
      </w:pPr>
      <w:r w:rsidRPr="00D403F5">
        <w:rPr>
          <w:rFonts w:cs="Arial"/>
          <w:szCs w:val="18"/>
          <w:lang w:val="en-GB" w:eastAsia="fr-FR"/>
        </w:rPr>
        <w:t xml:space="preserve">Wet mounts of skin scraping or pieces of shed skin can be examined at magnification 10× using light microscopy. The presence of motile spores of approximately 5 µm are indicative of amphibian chytrid infection. </w:t>
      </w:r>
    </w:p>
    <w:p w14:paraId="6A261A05" w14:textId="77777777" w:rsidR="00E65E42" w:rsidRPr="002A15FF" w:rsidRDefault="00E65E42" w:rsidP="00557B45">
      <w:pPr>
        <w:pStyle w:val="11"/>
        <w:tabs>
          <w:tab w:val="left" w:pos="1418"/>
        </w:tabs>
        <w:spacing w:after="80"/>
        <w:ind w:left="851" w:hanging="567"/>
        <w:rPr>
          <w:rFonts w:ascii="Ottawa" w:hAnsi="Ottawa"/>
          <w:sz w:val="21"/>
          <w:szCs w:val="21"/>
          <w:lang w:val="en-GB"/>
        </w:rPr>
      </w:pPr>
      <w:r w:rsidRPr="002A15FF">
        <w:rPr>
          <w:rFonts w:ascii="Ottawa" w:hAnsi="Ottawa"/>
          <w:sz w:val="21"/>
          <w:szCs w:val="21"/>
          <w:lang w:val="en-GB"/>
        </w:rPr>
        <w:t>4.2.</w:t>
      </w:r>
      <w:r w:rsidRPr="002A15FF">
        <w:rPr>
          <w:rFonts w:ascii="Ottawa" w:hAnsi="Ottawa"/>
          <w:sz w:val="21"/>
          <w:szCs w:val="21"/>
          <w:lang w:val="en-GB"/>
        </w:rPr>
        <w:tab/>
        <w:t>Histo- and cytopathology</w:t>
      </w:r>
    </w:p>
    <w:p w14:paraId="52C1182B" w14:textId="77777777" w:rsidR="00E65E42" w:rsidRPr="00D403F5" w:rsidRDefault="00E65E42" w:rsidP="00557B45">
      <w:pPr>
        <w:pStyle w:val="Para20"/>
        <w:spacing w:after="80"/>
        <w:ind w:left="851"/>
        <w:rPr>
          <w:szCs w:val="18"/>
          <w:lang w:val="en-GB" w:eastAsia="fr-FR"/>
        </w:rPr>
      </w:pPr>
      <w:r w:rsidRPr="00D403F5">
        <w:rPr>
          <w:strike/>
          <w:szCs w:val="18"/>
          <w:lang w:val="en-GB" w:eastAsia="fr-FR"/>
        </w:rPr>
        <w:t xml:space="preserve">No reports are available on the use of cytology. </w:t>
      </w:r>
      <w:r w:rsidRPr="00D403F5">
        <w:rPr>
          <w:szCs w:val="18"/>
          <w:lang w:val="en-GB" w:eastAsia="fr-FR"/>
        </w:rPr>
        <w:t xml:space="preserve">Histopathology of skin in amphibian post-metamorphosis may provide strong indications of Bsal infection. In </w:t>
      </w:r>
      <w:r w:rsidRPr="00D403F5">
        <w:rPr>
          <w:strike/>
          <w:szCs w:val="18"/>
          <w:lang w:val="en-GB" w:eastAsia="fr-FR"/>
        </w:rPr>
        <w:t xml:space="preserve">a </w:t>
      </w:r>
      <w:r w:rsidRPr="00D403F5">
        <w:rPr>
          <w:szCs w:val="18"/>
          <w:lang w:val="en-GB" w:eastAsia="fr-FR"/>
        </w:rPr>
        <w:t xml:space="preserve">haematoxylin/eosin </w:t>
      </w:r>
      <w:r w:rsidRPr="00D403F5">
        <w:rPr>
          <w:strike/>
          <w:szCs w:val="18"/>
          <w:lang w:val="en-GB" w:eastAsia="fr-FR"/>
        </w:rPr>
        <w:t xml:space="preserve">staining of skin </w:t>
      </w:r>
      <w:r w:rsidRPr="00D403F5">
        <w:rPr>
          <w:szCs w:val="18"/>
          <w:u w:val="double"/>
          <w:lang w:val="en-GB" w:eastAsia="fr-FR"/>
        </w:rPr>
        <w:t>stained</w:t>
      </w:r>
      <w:r w:rsidRPr="00D403F5">
        <w:rPr>
          <w:szCs w:val="18"/>
          <w:lang w:val="en-GB" w:eastAsia="fr-FR"/>
        </w:rPr>
        <w:t xml:space="preserve"> sections, histopathological evidence suggestive of Bsal infections </w:t>
      </w:r>
      <w:r w:rsidRPr="00D403F5">
        <w:rPr>
          <w:szCs w:val="18"/>
          <w:u w:val="double"/>
          <w:lang w:val="en-GB" w:eastAsia="fr-FR"/>
        </w:rPr>
        <w:t>of skin,</w:t>
      </w:r>
      <w:r w:rsidRPr="00D403F5">
        <w:rPr>
          <w:szCs w:val="18"/>
          <w:lang w:val="en-GB" w:eastAsia="fr-FR"/>
        </w:rPr>
        <w:t xml:space="preserve"> </w:t>
      </w:r>
      <w:r w:rsidRPr="00D403F5">
        <w:rPr>
          <w:strike/>
          <w:szCs w:val="18"/>
          <w:lang w:val="en-GB" w:eastAsia="fr-FR"/>
        </w:rPr>
        <w:t xml:space="preserve">is </w:t>
      </w:r>
      <w:r w:rsidRPr="00D403F5">
        <w:rPr>
          <w:szCs w:val="18"/>
          <w:lang w:val="en-GB" w:eastAsia="fr-FR"/>
        </w:rPr>
        <w:t xml:space="preserve">multifocal epidermal necrosis with loss of distinction between layers of keratinocytes associated with myriad intracellular and extracellular chytrid-type fungal thalli </w:t>
      </w:r>
      <w:r w:rsidRPr="00D403F5">
        <w:rPr>
          <w:szCs w:val="18"/>
          <w:u w:val="double"/>
          <w:lang w:val="en-GB" w:eastAsia="fr-FR"/>
        </w:rPr>
        <w:t>provides histopathological evidence of Bsal infection</w:t>
      </w:r>
      <w:r w:rsidRPr="00D403F5">
        <w:rPr>
          <w:szCs w:val="18"/>
          <w:lang w:val="en-GB" w:eastAsia="fr-FR"/>
        </w:rPr>
        <w:t xml:space="preserve"> (Martel </w:t>
      </w:r>
      <w:r w:rsidRPr="00D403F5">
        <w:rPr>
          <w:i/>
          <w:szCs w:val="18"/>
          <w:lang w:val="en-GB" w:eastAsia="fr-FR"/>
        </w:rPr>
        <w:t>et al</w:t>
      </w:r>
      <w:r w:rsidRPr="00D403F5">
        <w:rPr>
          <w:szCs w:val="18"/>
          <w:lang w:val="en-GB" w:eastAsia="fr-FR"/>
        </w:rPr>
        <w:t xml:space="preserve">., 2013; White </w:t>
      </w:r>
      <w:r w:rsidRPr="00D403F5">
        <w:rPr>
          <w:i/>
          <w:szCs w:val="18"/>
          <w:lang w:val="en-GB" w:eastAsia="fr-FR"/>
        </w:rPr>
        <w:t>et al</w:t>
      </w:r>
      <w:r w:rsidRPr="00D403F5">
        <w:rPr>
          <w:szCs w:val="18"/>
          <w:lang w:val="en-GB" w:eastAsia="fr-FR"/>
        </w:rPr>
        <w:t xml:space="preserve">., 2016). Using immunohistochemistry, Bsal thalli can be stained, which aids in detecting low level infections (Thomas </w:t>
      </w:r>
      <w:r w:rsidRPr="00D403F5">
        <w:rPr>
          <w:i/>
          <w:szCs w:val="18"/>
          <w:lang w:val="en-GB" w:eastAsia="fr-FR"/>
        </w:rPr>
        <w:t>et al</w:t>
      </w:r>
      <w:r w:rsidRPr="00D403F5">
        <w:rPr>
          <w:szCs w:val="18"/>
          <w:lang w:val="en-GB" w:eastAsia="fr-FR"/>
        </w:rPr>
        <w:t xml:space="preserve">., 2018). Histopathology is highly indicative, yet does not allow </w:t>
      </w:r>
      <w:r w:rsidRPr="00D403F5">
        <w:rPr>
          <w:strike/>
          <w:szCs w:val="18"/>
          <w:lang w:val="en-GB" w:eastAsia="fr-FR"/>
        </w:rPr>
        <w:t xml:space="preserve">specific </w:t>
      </w:r>
      <w:r w:rsidRPr="00D403F5">
        <w:rPr>
          <w:szCs w:val="18"/>
          <w:u w:val="double"/>
          <w:lang w:val="en-GB" w:eastAsia="fr-FR"/>
        </w:rPr>
        <w:t>definitive</w:t>
      </w:r>
      <w:r w:rsidRPr="00D403F5">
        <w:rPr>
          <w:szCs w:val="18"/>
          <w:lang w:val="en-GB" w:eastAsia="fr-FR"/>
        </w:rPr>
        <w:t xml:space="preserve"> identification of Bsal, which needs further confirmation. In randomly collected skin samples from experimentally infected salamanders, histopathology was capable of detecting Bsal in only a minority of the samples (Thomas </w:t>
      </w:r>
      <w:r w:rsidRPr="00D403F5">
        <w:rPr>
          <w:i/>
          <w:szCs w:val="18"/>
          <w:lang w:val="en-GB" w:eastAsia="fr-FR"/>
        </w:rPr>
        <w:t>et al</w:t>
      </w:r>
      <w:r w:rsidRPr="00D403F5">
        <w:rPr>
          <w:szCs w:val="18"/>
          <w:lang w:val="en-GB" w:eastAsia="fr-FR"/>
        </w:rPr>
        <w:t xml:space="preserve">., 2018). In dead animals, post-mortem decay of the epidermis may mask the lesions (Thomas </w:t>
      </w:r>
      <w:r w:rsidRPr="00D403F5">
        <w:rPr>
          <w:i/>
          <w:szCs w:val="18"/>
          <w:lang w:val="en-GB" w:eastAsia="fr-FR"/>
        </w:rPr>
        <w:t>et al</w:t>
      </w:r>
      <w:r w:rsidRPr="00D403F5">
        <w:rPr>
          <w:szCs w:val="18"/>
          <w:lang w:val="en-GB" w:eastAsia="fr-FR"/>
        </w:rPr>
        <w:t xml:space="preserve">., 2018). Lesions can be so extensive, that the epidermis is entirely eroded and no fungal thalli can be observed. Mild infections can be missed due to the multifocal and small lesions (Thomas </w:t>
      </w:r>
      <w:r w:rsidRPr="00D403F5">
        <w:rPr>
          <w:i/>
          <w:szCs w:val="18"/>
          <w:lang w:val="en-GB" w:eastAsia="fr-FR"/>
        </w:rPr>
        <w:t>et al</w:t>
      </w:r>
      <w:r w:rsidRPr="00D403F5">
        <w:rPr>
          <w:szCs w:val="18"/>
          <w:lang w:val="en-GB" w:eastAsia="fr-FR"/>
        </w:rPr>
        <w:t xml:space="preserve">., 2018). </w:t>
      </w:r>
      <w:r w:rsidRPr="00D403F5">
        <w:rPr>
          <w:strike/>
          <w:szCs w:val="18"/>
          <w:lang w:val="en-GB" w:eastAsia="fr-FR"/>
        </w:rPr>
        <w:t xml:space="preserve">For asymptomatically </w:t>
      </w:r>
      <w:r w:rsidRPr="00D403F5">
        <w:rPr>
          <w:szCs w:val="18"/>
          <w:u w:val="double"/>
          <w:lang w:val="en-GB" w:eastAsia="fr-FR"/>
        </w:rPr>
        <w:t>In subclinically</w:t>
      </w:r>
      <w:r w:rsidRPr="00D403F5">
        <w:rPr>
          <w:szCs w:val="18"/>
          <w:lang w:val="en-GB" w:eastAsia="fr-FR"/>
        </w:rPr>
        <w:t xml:space="preserve"> infected animals, sensitivity should be rated low. </w:t>
      </w:r>
      <w:r w:rsidRPr="00D403F5">
        <w:rPr>
          <w:strike/>
          <w:szCs w:val="18"/>
          <w:lang w:val="en-GB" w:eastAsia="fr-FR"/>
        </w:rPr>
        <w:t xml:space="preserve">Sensitivity, </w:t>
      </w:r>
      <w:r w:rsidRPr="00D403F5">
        <w:rPr>
          <w:szCs w:val="18"/>
          <w:u w:val="double"/>
          <w:lang w:val="en-GB" w:eastAsia="fr-FR"/>
        </w:rPr>
        <w:t>In clinically affected animals, sensitivity</w:t>
      </w:r>
      <w:r w:rsidRPr="00D403F5">
        <w:rPr>
          <w:szCs w:val="18"/>
          <w:lang w:val="en-GB" w:eastAsia="fr-FR"/>
        </w:rPr>
        <w:t xml:space="preserve"> and specificity of histopathology and immunohistochemistry have not been quantified.</w:t>
      </w:r>
    </w:p>
    <w:p w14:paraId="54C9081B" w14:textId="77777777" w:rsidR="00E65E42" w:rsidRPr="00D403F5" w:rsidRDefault="00E65E42" w:rsidP="00557B45">
      <w:pPr>
        <w:pStyle w:val="Para20"/>
        <w:spacing w:after="80"/>
        <w:ind w:left="851"/>
        <w:rPr>
          <w:szCs w:val="18"/>
          <w:u w:val="double"/>
          <w:lang w:val="en-GB" w:eastAsia="fr-FR"/>
        </w:rPr>
      </w:pPr>
      <w:r w:rsidRPr="00D403F5">
        <w:rPr>
          <w:szCs w:val="18"/>
          <w:u w:val="double"/>
          <w:lang w:val="en-GB" w:eastAsia="fr-FR"/>
        </w:rPr>
        <w:t xml:space="preserve">No reports are available on the use of cytopathology. </w:t>
      </w:r>
    </w:p>
    <w:p w14:paraId="3F48CF85" w14:textId="77777777" w:rsidR="00E65E42" w:rsidRPr="002A15FF" w:rsidRDefault="00E65E42" w:rsidP="00557B45">
      <w:pPr>
        <w:pStyle w:val="11"/>
        <w:tabs>
          <w:tab w:val="left" w:pos="1418"/>
        </w:tabs>
        <w:spacing w:after="80"/>
        <w:ind w:left="851" w:hanging="567"/>
        <w:rPr>
          <w:rFonts w:ascii="Ottawa" w:hAnsi="Ottawa"/>
          <w:sz w:val="21"/>
          <w:szCs w:val="21"/>
          <w:lang w:val="en-GB"/>
        </w:rPr>
      </w:pPr>
      <w:r w:rsidRPr="002A15FF">
        <w:rPr>
          <w:rFonts w:ascii="Ottawa" w:hAnsi="Ottawa"/>
          <w:sz w:val="21"/>
          <w:szCs w:val="21"/>
          <w:lang w:val="en-GB"/>
        </w:rPr>
        <w:t>4.3.</w:t>
      </w:r>
      <w:r w:rsidRPr="002A15FF">
        <w:rPr>
          <w:rFonts w:ascii="Ottawa" w:hAnsi="Ottawa"/>
          <w:sz w:val="21"/>
          <w:szCs w:val="21"/>
          <w:lang w:val="en-GB"/>
        </w:rPr>
        <w:tab/>
        <w:t>Cell or artificial media culture for isolation</w:t>
      </w:r>
    </w:p>
    <w:p w14:paraId="674E07BE" w14:textId="77777777" w:rsidR="00E65E42" w:rsidRPr="00D403F5" w:rsidRDefault="00E65E42" w:rsidP="00557B45">
      <w:pPr>
        <w:pStyle w:val="Para20"/>
        <w:spacing w:after="80"/>
        <w:ind w:left="851"/>
        <w:rPr>
          <w:szCs w:val="18"/>
          <w:lang w:val="en-GB"/>
        </w:rPr>
      </w:pPr>
      <w:r w:rsidRPr="00D403F5">
        <w:rPr>
          <w:szCs w:val="18"/>
          <w:lang w:val="en-GB"/>
        </w:rPr>
        <w:t xml:space="preserve">Bsal can be isolated and cultured on artificial media, yet this is a laborious and difficult procedure, typically requiring between 4 weeks and 2 months. There is a significant probability of bacterial overgrowth, which hampers fungal isolation, resulting in poor sensitivity. The protocol of Fisher </w:t>
      </w:r>
      <w:r w:rsidRPr="00D403F5">
        <w:rPr>
          <w:i/>
          <w:szCs w:val="18"/>
          <w:lang w:val="en-GB"/>
        </w:rPr>
        <w:t>et al</w:t>
      </w:r>
      <w:r w:rsidRPr="00D403F5">
        <w:rPr>
          <w:szCs w:val="18"/>
          <w:lang w:val="en-GB"/>
        </w:rPr>
        <w:t>. (2018) can be used. Small (approximately 1 mm</w:t>
      </w:r>
      <w:r w:rsidRPr="00D403F5">
        <w:rPr>
          <w:szCs w:val="18"/>
          <w:vertAlign w:val="superscript"/>
          <w:lang w:val="en-GB"/>
        </w:rPr>
        <w:t>2</w:t>
      </w:r>
      <w:r w:rsidRPr="00D403F5">
        <w:rPr>
          <w:szCs w:val="18"/>
          <w:lang w:val="en-GB"/>
        </w:rPr>
        <w:t xml:space="preserve">) pieces of skin from an infected, diseased animal should first be thoroughly cleaned by wiping through agar plates. The cleaned pieces of skin can then each be transferred to a well of a 96-well plate, containing tryptone-gelatin hydrolysate lactose broth (TGhL) containing penicillin/streptomycin (200 mg/litre) and incubated at 15°C. Wells showing chytrid growth without bacterial contamination can be used for subculturing (Martel </w:t>
      </w:r>
      <w:r w:rsidRPr="00D403F5">
        <w:rPr>
          <w:i/>
          <w:szCs w:val="18"/>
          <w:lang w:val="en-GB"/>
        </w:rPr>
        <w:t>et al</w:t>
      </w:r>
      <w:r w:rsidRPr="00D403F5">
        <w:rPr>
          <w:szCs w:val="18"/>
          <w:lang w:val="en-GB"/>
        </w:rPr>
        <w:t xml:space="preserve">., 2013). Chytrid growth can be visualised by examining the wells under an inverted microscope (10–40 </w:t>
      </w:r>
      <w:r w:rsidRPr="00D403F5">
        <w:rPr>
          <w:rFonts w:cs="Arial"/>
          <w:szCs w:val="18"/>
          <w:lang w:val="en-GB"/>
        </w:rPr>
        <w:t>×</w:t>
      </w:r>
      <w:r w:rsidRPr="00D403F5">
        <w:rPr>
          <w:szCs w:val="18"/>
          <w:lang w:val="en-GB"/>
        </w:rPr>
        <w:t xml:space="preserve"> magnification).</w:t>
      </w:r>
    </w:p>
    <w:p w14:paraId="378BE97A" w14:textId="77777777" w:rsidR="00E65E42" w:rsidRPr="00D403F5" w:rsidRDefault="00E65E42" w:rsidP="00557B45">
      <w:pPr>
        <w:pStyle w:val="Para20"/>
        <w:spacing w:after="80"/>
        <w:ind w:left="851"/>
        <w:rPr>
          <w:szCs w:val="18"/>
          <w:lang w:val="en-GB"/>
        </w:rPr>
      </w:pPr>
      <w:r w:rsidRPr="00D403F5">
        <w:rPr>
          <w:szCs w:val="18"/>
          <w:lang w:val="en-GB"/>
        </w:rPr>
        <w:t xml:space="preserve">Given the difficulties to isolate Bsal from infected animals and the high uncertainty to obtain a viable culture, this method is not appropriate </w:t>
      </w:r>
      <w:r w:rsidRPr="00400774">
        <w:rPr>
          <w:szCs w:val="18"/>
          <w:lang w:val="en-GB"/>
        </w:rPr>
        <w:t xml:space="preserve">as </w:t>
      </w:r>
      <w:r w:rsidRPr="00131C5D">
        <w:rPr>
          <w:strike/>
          <w:szCs w:val="18"/>
          <w:highlight w:val="yellow"/>
          <w:lang w:val="en-GB"/>
        </w:rPr>
        <w:t>first diagnostic approach</w:t>
      </w:r>
      <w:r>
        <w:rPr>
          <w:strike/>
          <w:szCs w:val="18"/>
          <w:highlight w:val="yellow"/>
          <w:lang w:val="en-GB"/>
        </w:rPr>
        <w:t xml:space="preserve"> </w:t>
      </w:r>
      <w:r w:rsidRPr="00131C5D">
        <w:rPr>
          <w:szCs w:val="18"/>
          <w:highlight w:val="yellow"/>
          <w:u w:val="double"/>
          <w:lang w:val="en-GB"/>
        </w:rPr>
        <w:t>a routine diagnostic method</w:t>
      </w:r>
      <w:r w:rsidRPr="00D403F5">
        <w:rPr>
          <w:szCs w:val="18"/>
          <w:lang w:val="en-GB"/>
        </w:rPr>
        <w:t xml:space="preserve">, but </w:t>
      </w:r>
      <w:r w:rsidRPr="00585B3E">
        <w:rPr>
          <w:strike/>
          <w:szCs w:val="18"/>
          <w:highlight w:val="yellow"/>
          <w:lang w:val="en-GB"/>
        </w:rPr>
        <w:t>(</w:t>
      </w:r>
      <w:r w:rsidRPr="00D403F5">
        <w:rPr>
          <w:szCs w:val="18"/>
          <w:lang w:val="en-GB"/>
        </w:rPr>
        <w:t>in rare cases</w:t>
      </w:r>
      <w:r w:rsidRPr="00585B3E">
        <w:rPr>
          <w:strike/>
          <w:szCs w:val="18"/>
          <w:highlight w:val="yellow"/>
          <w:lang w:val="en-GB"/>
        </w:rPr>
        <w:t>)</w:t>
      </w:r>
      <w:r>
        <w:rPr>
          <w:szCs w:val="18"/>
          <w:lang w:val="en-GB"/>
        </w:rPr>
        <w:t xml:space="preserve"> </w:t>
      </w:r>
      <w:r w:rsidRPr="00585B3E">
        <w:rPr>
          <w:szCs w:val="18"/>
          <w:highlight w:val="yellow"/>
          <w:u w:val="double"/>
          <w:lang w:val="en-GB"/>
        </w:rPr>
        <w:t>may be useful</w:t>
      </w:r>
      <w:r w:rsidRPr="00D403F5">
        <w:rPr>
          <w:szCs w:val="18"/>
          <w:lang w:val="en-GB"/>
        </w:rPr>
        <w:t xml:space="preserve"> to confirm infection </w:t>
      </w:r>
      <w:r w:rsidRPr="00585B3E">
        <w:rPr>
          <w:strike/>
          <w:szCs w:val="18"/>
          <w:highlight w:val="yellow"/>
          <w:lang w:val="en-GB"/>
        </w:rPr>
        <w:t>and for</w:t>
      </w:r>
      <w:r w:rsidRPr="00D403F5">
        <w:rPr>
          <w:szCs w:val="18"/>
          <w:lang w:val="en-GB"/>
        </w:rPr>
        <w:t xml:space="preserve"> </w:t>
      </w:r>
      <w:r w:rsidRPr="00585B3E">
        <w:rPr>
          <w:szCs w:val="18"/>
          <w:u w:val="double"/>
          <w:lang w:val="en-GB"/>
        </w:rPr>
        <w:t>or to</w:t>
      </w:r>
      <w:r>
        <w:rPr>
          <w:szCs w:val="18"/>
          <w:lang w:val="en-GB"/>
        </w:rPr>
        <w:t xml:space="preserve"> </w:t>
      </w:r>
      <w:r w:rsidRPr="00D403F5">
        <w:rPr>
          <w:szCs w:val="18"/>
          <w:lang w:val="en-GB"/>
        </w:rPr>
        <w:t>obtain</w:t>
      </w:r>
      <w:r w:rsidRPr="00585B3E">
        <w:rPr>
          <w:strike/>
          <w:szCs w:val="18"/>
          <w:highlight w:val="yellow"/>
          <w:lang w:val="en-GB"/>
        </w:rPr>
        <w:t>ing</w:t>
      </w:r>
      <w:r w:rsidRPr="00D403F5">
        <w:rPr>
          <w:szCs w:val="18"/>
          <w:lang w:val="en-GB"/>
        </w:rPr>
        <w:t xml:space="preserve"> isolates for research</w:t>
      </w:r>
      <w:r w:rsidRPr="00EA19EA">
        <w:rPr>
          <w:strike/>
          <w:szCs w:val="18"/>
          <w:highlight w:val="yellow"/>
          <w:lang w:val="en-GB"/>
        </w:rPr>
        <w:t xml:space="preserve"> (for example for epidemiological tracing)</w:t>
      </w:r>
      <w:r w:rsidRPr="00D403F5">
        <w:rPr>
          <w:szCs w:val="18"/>
          <w:lang w:val="en-GB"/>
        </w:rPr>
        <w:t xml:space="preserve">. </w:t>
      </w:r>
    </w:p>
    <w:p w14:paraId="0D88C4EA" w14:textId="77777777" w:rsidR="00E65E42" w:rsidRPr="002A15FF" w:rsidRDefault="00E65E42" w:rsidP="00557B45">
      <w:pPr>
        <w:pStyle w:val="11"/>
        <w:tabs>
          <w:tab w:val="left" w:pos="1418"/>
        </w:tabs>
        <w:spacing w:after="80"/>
        <w:ind w:left="851" w:hanging="567"/>
        <w:rPr>
          <w:rFonts w:ascii="Ottawa" w:hAnsi="Ottawa"/>
          <w:sz w:val="21"/>
          <w:szCs w:val="21"/>
          <w:lang w:val="en-GB"/>
        </w:rPr>
      </w:pPr>
      <w:r w:rsidRPr="002A15FF">
        <w:rPr>
          <w:rFonts w:ascii="Ottawa" w:hAnsi="Ottawa"/>
          <w:sz w:val="21"/>
          <w:szCs w:val="21"/>
          <w:lang w:val="en-GB"/>
        </w:rPr>
        <w:t>4.4.</w:t>
      </w:r>
      <w:r w:rsidRPr="002A15FF">
        <w:rPr>
          <w:rFonts w:ascii="Ottawa" w:hAnsi="Ottawa"/>
          <w:sz w:val="21"/>
          <w:szCs w:val="21"/>
          <w:lang w:val="en-GB"/>
        </w:rPr>
        <w:tab/>
        <w:t xml:space="preserve">Nucleic acid amplification </w:t>
      </w:r>
    </w:p>
    <w:p w14:paraId="52F70572" w14:textId="77777777" w:rsidR="00E65E42" w:rsidRPr="00EA08A6" w:rsidRDefault="00E65E42" w:rsidP="00557B45">
      <w:pPr>
        <w:pStyle w:val="111"/>
        <w:spacing w:after="80"/>
        <w:ind w:left="1276" w:hanging="425"/>
        <w:rPr>
          <w:szCs w:val="20"/>
        </w:rPr>
      </w:pPr>
      <w:r w:rsidRPr="00EA08A6">
        <w:rPr>
          <w:szCs w:val="20"/>
        </w:rPr>
        <w:t>4.4.1.</w:t>
      </w:r>
      <w:r w:rsidRPr="00EA08A6">
        <w:rPr>
          <w:szCs w:val="20"/>
        </w:rPr>
        <w:tab/>
        <w:t>Real-time PCR</w:t>
      </w:r>
    </w:p>
    <w:p w14:paraId="6998C858" w14:textId="77777777" w:rsidR="00E65E42" w:rsidRPr="00D403F5" w:rsidRDefault="00E65E42" w:rsidP="00557B45">
      <w:pPr>
        <w:pStyle w:val="Para3"/>
        <w:spacing w:after="80"/>
        <w:rPr>
          <w:rFonts w:cs="Arial"/>
          <w:szCs w:val="18"/>
          <w:lang w:val="en-GB"/>
        </w:rPr>
      </w:pPr>
      <w:r w:rsidRPr="00D403F5">
        <w:rPr>
          <w:rFonts w:eastAsia="Calibri" w:cs="Arial"/>
          <w:color w:val="000000"/>
          <w:szCs w:val="18"/>
          <w:lang w:val="en-GB"/>
        </w:rPr>
        <w:t xml:space="preserve">The following information is derived from Blooi </w:t>
      </w:r>
      <w:r w:rsidRPr="00D403F5">
        <w:rPr>
          <w:rFonts w:eastAsia="Calibri" w:cs="Arial"/>
          <w:i/>
          <w:color w:val="000000"/>
          <w:szCs w:val="18"/>
          <w:lang w:val="en-GB"/>
        </w:rPr>
        <w:t>et al</w:t>
      </w:r>
      <w:r w:rsidRPr="00D403F5">
        <w:rPr>
          <w:rFonts w:eastAsia="Calibri" w:cs="Arial"/>
          <w:color w:val="000000"/>
          <w:szCs w:val="18"/>
          <w:lang w:val="en-GB"/>
        </w:rPr>
        <w:t xml:space="preserve">. </w:t>
      </w:r>
      <w:r w:rsidRPr="00D403F5">
        <w:rPr>
          <w:rFonts w:eastAsia="Calibri" w:cs="Arial"/>
          <w:color w:val="000000"/>
          <w:szCs w:val="18"/>
          <w:lang w:val="es-ES"/>
        </w:rPr>
        <w:t xml:space="preserve">(2013), Thomas </w:t>
      </w:r>
      <w:r w:rsidRPr="00D403F5">
        <w:rPr>
          <w:rFonts w:eastAsia="Calibri" w:cs="Arial"/>
          <w:i/>
          <w:color w:val="000000"/>
          <w:szCs w:val="18"/>
          <w:lang w:val="es-ES"/>
        </w:rPr>
        <w:t>et al</w:t>
      </w:r>
      <w:r w:rsidRPr="00D403F5">
        <w:rPr>
          <w:rFonts w:eastAsia="Calibri" w:cs="Arial"/>
          <w:color w:val="000000"/>
          <w:szCs w:val="18"/>
          <w:lang w:val="es-ES"/>
        </w:rPr>
        <w:t xml:space="preserve">. (2018) and Sabino Pinto </w:t>
      </w:r>
      <w:r w:rsidRPr="00D403F5">
        <w:rPr>
          <w:rFonts w:eastAsia="Calibri" w:cs="Arial"/>
          <w:i/>
          <w:color w:val="000000"/>
          <w:szCs w:val="18"/>
          <w:lang w:val="es-ES"/>
        </w:rPr>
        <w:t>et al</w:t>
      </w:r>
      <w:r w:rsidRPr="00D403F5">
        <w:rPr>
          <w:rFonts w:eastAsia="Calibri" w:cs="Arial"/>
          <w:color w:val="000000"/>
          <w:szCs w:val="18"/>
          <w:lang w:val="es-ES"/>
        </w:rPr>
        <w:t xml:space="preserve">. </w:t>
      </w:r>
      <w:r w:rsidRPr="00D403F5">
        <w:rPr>
          <w:rFonts w:eastAsia="Calibri" w:cs="Arial"/>
          <w:color w:val="000000"/>
          <w:szCs w:val="18"/>
          <w:lang w:val="en-GB"/>
        </w:rPr>
        <w:t>(2018). DNA from skin swabs can be extracted</w:t>
      </w:r>
      <w:r w:rsidRPr="00243ABA">
        <w:t xml:space="preserve"> </w:t>
      </w:r>
      <w:r w:rsidRPr="00631F77">
        <w:rPr>
          <w:rFonts w:eastAsia="Calibri" w:cs="Arial"/>
          <w:color w:val="000000"/>
          <w:szCs w:val="18"/>
          <w:highlight w:val="yellow"/>
          <w:u w:val="double"/>
          <w:lang w:val="en-GB"/>
        </w:rPr>
        <w:t>using commercial DNA extraction kits</w:t>
      </w:r>
      <w:r>
        <w:rPr>
          <w:rFonts w:eastAsia="Calibri" w:cs="Arial"/>
          <w:color w:val="000000"/>
          <w:szCs w:val="18"/>
          <w:u w:val="double"/>
          <w:lang w:val="en-GB"/>
        </w:rPr>
        <w:t>.</w:t>
      </w:r>
      <w:r w:rsidRPr="00D403F5">
        <w:rPr>
          <w:rFonts w:eastAsia="Calibri" w:cs="Arial"/>
          <w:color w:val="000000"/>
          <w:szCs w:val="18"/>
          <w:lang w:val="en-GB"/>
        </w:rPr>
        <w:t xml:space="preserve"> </w:t>
      </w:r>
      <w:r w:rsidRPr="00631F77">
        <w:rPr>
          <w:rFonts w:eastAsia="Calibri" w:cs="Arial"/>
          <w:strike/>
          <w:color w:val="000000"/>
          <w:szCs w:val="18"/>
          <w:highlight w:val="yellow"/>
          <w:lang w:val="en-GB"/>
        </w:rPr>
        <w:t>in 100 µl Prepman Ultra Reagent (Applied Biosystems, Foster City, CA) or by using the Qiagen DNeasy Blood and Tissue Kit (Qiagen, Hilden, Germany). The latter follows the animal tissues protocol (Qiagen DNeasy Blood and Tissue kit) with pre-treatment for Gram-positive bacteria and expanded initial incubation for 1 hour. DNA from skin tissue can be extracted using proteinase K digestion or DNA Easy Tissue Kit.</w:t>
      </w:r>
      <w:r w:rsidRPr="00D403F5">
        <w:rPr>
          <w:rFonts w:eastAsia="Calibri" w:cs="Arial"/>
          <w:color w:val="000000"/>
          <w:szCs w:val="18"/>
          <w:lang w:val="en-GB"/>
        </w:rPr>
        <w:t xml:space="preserve"> Extracted DNA is diluted tenfold to minimise possible PCR inhibition. </w:t>
      </w:r>
      <w:r w:rsidRPr="00D403F5">
        <w:rPr>
          <w:rFonts w:cs="Arial"/>
          <w:szCs w:val="18"/>
          <w:lang w:val="en-GB"/>
        </w:rPr>
        <w:t xml:space="preserve">Controls should be run with each assay: at least a negative extraction control and a positive control; preferably, an internal PCR control is included. Positive control consists of DNA extracts of a tenfold dilution series of Bsal zoospores from 1 to 100.000 to allow quantification. </w:t>
      </w:r>
    </w:p>
    <w:p w14:paraId="74247EA3" w14:textId="23F01FE0" w:rsidR="00754D87" w:rsidRDefault="00E65E42" w:rsidP="00557B45">
      <w:pPr>
        <w:pStyle w:val="Para3"/>
        <w:spacing w:after="80"/>
        <w:rPr>
          <w:szCs w:val="18"/>
          <w:lang w:val="en-GB"/>
        </w:rPr>
      </w:pPr>
      <w:r w:rsidRPr="00D403F5">
        <w:rPr>
          <w:rFonts w:cs="Arial"/>
          <w:szCs w:val="18"/>
          <w:lang w:val="en-GB"/>
        </w:rPr>
        <w:t xml:space="preserve">A TaqMan PCR has been </w:t>
      </w:r>
      <w:r w:rsidRPr="00D403F5">
        <w:rPr>
          <w:rFonts w:cs="Arial"/>
          <w:szCs w:val="18"/>
          <w:u w:val="double"/>
        </w:rPr>
        <w:t>partially</w:t>
      </w:r>
      <w:r w:rsidRPr="00D403F5">
        <w:rPr>
          <w:rFonts w:cs="Arial"/>
          <w:szCs w:val="18"/>
          <w:lang w:val="en-GB"/>
        </w:rPr>
        <w:t xml:space="preserve"> validated </w:t>
      </w:r>
      <w:r w:rsidRPr="00D403F5">
        <w:rPr>
          <w:rFonts w:cs="Arial"/>
          <w:szCs w:val="18"/>
          <w:u w:val="double"/>
        </w:rPr>
        <w:t>to level 2 without however, stating its intended purpose</w:t>
      </w:r>
      <w:r w:rsidRPr="00D403F5">
        <w:rPr>
          <w:rFonts w:ascii="Times New Roman" w:hAnsi="Times New Roman"/>
          <w:szCs w:val="18"/>
        </w:rPr>
        <w:t xml:space="preserve"> </w:t>
      </w:r>
      <w:r w:rsidRPr="00D403F5">
        <w:rPr>
          <w:rFonts w:cs="Arial"/>
          <w:szCs w:val="18"/>
          <w:lang w:val="en-GB"/>
        </w:rPr>
        <w:t xml:space="preserve">(Thomas </w:t>
      </w:r>
      <w:r w:rsidRPr="00D403F5">
        <w:rPr>
          <w:rFonts w:cs="Arial"/>
          <w:i/>
          <w:szCs w:val="18"/>
          <w:lang w:val="en-GB"/>
        </w:rPr>
        <w:t>et al</w:t>
      </w:r>
      <w:r w:rsidRPr="00D403F5">
        <w:rPr>
          <w:rFonts w:cs="Arial"/>
          <w:szCs w:val="18"/>
          <w:lang w:val="en-GB"/>
        </w:rPr>
        <w:t xml:space="preserve">., 2018). SYBR green real-time PCR, may be used as well but needs further validation to determine specificity and sensitivity (Martel </w:t>
      </w:r>
      <w:r w:rsidRPr="00D403F5">
        <w:rPr>
          <w:rFonts w:cs="Arial"/>
          <w:i/>
          <w:szCs w:val="18"/>
          <w:lang w:val="en-GB"/>
        </w:rPr>
        <w:t>et al</w:t>
      </w:r>
      <w:r w:rsidRPr="00D403F5">
        <w:rPr>
          <w:rFonts w:cs="Arial"/>
          <w:szCs w:val="18"/>
          <w:lang w:val="en-GB"/>
        </w:rPr>
        <w:t xml:space="preserve">., 2013). The TaqMan PCR can either be used as simplex PCR or in combination with primers to detect </w:t>
      </w:r>
      <w:r w:rsidRPr="00D403F5">
        <w:rPr>
          <w:rFonts w:cs="Arial"/>
          <w:i/>
          <w:szCs w:val="18"/>
          <w:lang w:val="en-GB"/>
        </w:rPr>
        <w:t>B. dendrobatidis</w:t>
      </w:r>
      <w:r w:rsidRPr="00D403F5">
        <w:rPr>
          <w:rFonts w:cs="Arial"/>
          <w:szCs w:val="18"/>
          <w:lang w:val="en-GB"/>
        </w:rPr>
        <w:t xml:space="preserve"> in a duplex PCR (Blooi </w:t>
      </w:r>
      <w:r w:rsidRPr="00D403F5">
        <w:rPr>
          <w:rFonts w:cs="Arial"/>
          <w:i/>
          <w:szCs w:val="18"/>
          <w:lang w:val="en-GB"/>
        </w:rPr>
        <w:t>et al</w:t>
      </w:r>
      <w:r w:rsidRPr="00D403F5">
        <w:rPr>
          <w:rFonts w:cs="Arial"/>
          <w:szCs w:val="18"/>
          <w:lang w:val="en-GB"/>
        </w:rPr>
        <w:t>., 2013) and uses the forward primer STerF (</w:t>
      </w:r>
      <w:r w:rsidRPr="00D403F5">
        <w:rPr>
          <w:rFonts w:eastAsia="Calibri" w:cs="Arial"/>
          <w:szCs w:val="18"/>
          <w:lang w:val="en-GB"/>
        </w:rPr>
        <w:t xml:space="preserve">5’-TGC-TCC-ATC-TCC-CCC-TCT-TCA-3’), reverse primer STerR (5’-TGA-ACG-CAC-ATT-GCA-CTC-TAC-3’) and Cy5 labelled probe STerC (5’-ACA-AGA-AAA-TAC-TAT-TGA-TTC-TCA-AAC-AGG-CA-3’) to detect the presence of the 5.8S rRNA gene of Bsal. Intra- and interassay efficiency were 94 and 99%, respectively (Blooi </w:t>
      </w:r>
      <w:r w:rsidRPr="00D403F5">
        <w:rPr>
          <w:rFonts w:eastAsia="Calibri" w:cs="Arial"/>
          <w:i/>
          <w:szCs w:val="18"/>
          <w:lang w:val="en-GB"/>
        </w:rPr>
        <w:t>et al</w:t>
      </w:r>
      <w:r w:rsidRPr="00D403F5">
        <w:rPr>
          <w:rFonts w:eastAsia="Calibri" w:cs="Arial"/>
          <w:szCs w:val="18"/>
          <w:lang w:val="en-GB"/>
        </w:rPr>
        <w:t xml:space="preserve">., 2013). </w:t>
      </w:r>
      <w:r w:rsidRPr="00D403F5">
        <w:rPr>
          <w:szCs w:val="18"/>
          <w:lang w:val="en-GB"/>
        </w:rPr>
        <w:t xml:space="preserve">This </w:t>
      </w:r>
    </w:p>
    <w:p w14:paraId="5275D6EB" w14:textId="77777777" w:rsidR="00557B45" w:rsidRDefault="00557B45">
      <w:pPr>
        <w:rPr>
          <w:u w:val="single"/>
        </w:rPr>
      </w:pPr>
      <w:r>
        <w:rPr>
          <w:u w:val="single"/>
        </w:rPr>
        <w:br w:type="page"/>
      </w:r>
    </w:p>
    <w:p w14:paraId="24A3F863" w14:textId="3628B35D" w:rsidR="00754D87" w:rsidRDefault="00754D87" w:rsidP="00754D87">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12</w:t>
      </w:r>
      <w:r w:rsidRPr="00DB0A8D">
        <w:rPr>
          <w:rFonts w:cs="Times New Roman"/>
          <w:bCs/>
          <w:iCs/>
          <w:szCs w:val="20"/>
        </w:rPr>
        <w:t xml:space="preserve"> (contd)</w:t>
      </w:r>
    </w:p>
    <w:p w14:paraId="254AC152" w14:textId="4894F2FC" w:rsidR="00E65E42" w:rsidRPr="00D403F5" w:rsidRDefault="00557B45" w:rsidP="00E65E42">
      <w:pPr>
        <w:pStyle w:val="Para3"/>
        <w:rPr>
          <w:rFonts w:cs="Arial"/>
          <w:szCs w:val="18"/>
          <w:lang w:val="en-GB" w:eastAsia="fr-FR"/>
        </w:rPr>
      </w:pPr>
      <w:r w:rsidRPr="00D403F5">
        <w:rPr>
          <w:szCs w:val="18"/>
          <w:lang w:val="en-GB"/>
        </w:rPr>
        <w:t xml:space="preserve">TaqMan duplex PCR </w:t>
      </w:r>
      <w:r w:rsidR="00E65E42" w:rsidRPr="00D403F5">
        <w:rPr>
          <w:szCs w:val="18"/>
          <w:lang w:val="en-GB"/>
        </w:rPr>
        <w:t xml:space="preserve">does not decrease detectability of both Bd and Bsal, except in case of mixed infections (Thomas </w:t>
      </w:r>
      <w:r w:rsidR="00E65E42" w:rsidRPr="00D403F5">
        <w:rPr>
          <w:i/>
          <w:szCs w:val="18"/>
          <w:lang w:val="en-GB"/>
        </w:rPr>
        <w:t>et al</w:t>
      </w:r>
      <w:r w:rsidR="00E65E42" w:rsidRPr="00D403F5">
        <w:rPr>
          <w:szCs w:val="18"/>
          <w:lang w:val="en-GB"/>
        </w:rPr>
        <w:t>., 2018). The use of simplex Bsal-specific PCR is therefore recommended in case Bd has been detected in the sample. The s</w:t>
      </w:r>
      <w:r w:rsidR="00E65E42" w:rsidRPr="00D403F5">
        <w:rPr>
          <w:rFonts w:cs="Arial"/>
          <w:szCs w:val="18"/>
          <w:lang w:val="en-GB" w:eastAsia="fr-FR"/>
        </w:rPr>
        <w:t xml:space="preserve">ensitivity of this </w:t>
      </w:r>
      <w:r w:rsidR="00E65E42" w:rsidRPr="00D403F5">
        <w:rPr>
          <w:rFonts w:cs="Arial"/>
          <w:szCs w:val="18"/>
          <w:u w:val="double"/>
          <w:lang w:val="en-GB" w:eastAsia="fr-FR"/>
        </w:rPr>
        <w:t>real-time</w:t>
      </w:r>
      <w:r w:rsidR="00E65E42" w:rsidRPr="00D403F5">
        <w:rPr>
          <w:rFonts w:cs="Arial"/>
          <w:szCs w:val="18"/>
          <w:lang w:val="en-GB" w:eastAsia="fr-FR"/>
        </w:rPr>
        <w:t xml:space="preserve"> </w:t>
      </w:r>
      <w:r w:rsidR="00E65E42" w:rsidRPr="00D403F5">
        <w:rPr>
          <w:rFonts w:cs="Arial"/>
          <w:strike/>
          <w:szCs w:val="18"/>
          <w:lang w:val="en-GB" w:eastAsia="fr-FR"/>
        </w:rPr>
        <w:t>q</w:t>
      </w:r>
      <w:r w:rsidR="00E65E42" w:rsidRPr="00D403F5">
        <w:rPr>
          <w:rFonts w:cs="Arial"/>
          <w:szCs w:val="18"/>
          <w:lang w:val="en-GB" w:eastAsia="fr-FR"/>
        </w:rPr>
        <w:t xml:space="preserve">PCR is between 96 and 100% and diagnostic specificity 100% (95% CI: 73–100%; Thomas </w:t>
      </w:r>
      <w:r w:rsidR="00E65E42" w:rsidRPr="00D403F5">
        <w:rPr>
          <w:rFonts w:cs="Arial"/>
          <w:i/>
          <w:szCs w:val="18"/>
          <w:lang w:val="en-GB" w:eastAsia="fr-FR"/>
        </w:rPr>
        <w:t>et al</w:t>
      </w:r>
      <w:r w:rsidR="00E65E42" w:rsidRPr="00D403F5">
        <w:rPr>
          <w:rFonts w:cs="Arial"/>
          <w:szCs w:val="18"/>
          <w:lang w:val="en-GB" w:eastAsia="fr-FR"/>
        </w:rPr>
        <w:t xml:space="preserve">., 2018) when used in clinically affected animals. Although DNA quantities as low as 0.1 genomic equivalent can be detected (Blooi </w:t>
      </w:r>
      <w:r w:rsidR="00E65E42" w:rsidRPr="00D403F5">
        <w:rPr>
          <w:rFonts w:cs="Arial"/>
          <w:i/>
          <w:szCs w:val="18"/>
          <w:lang w:val="en-GB" w:eastAsia="fr-FR"/>
        </w:rPr>
        <w:t>et al</w:t>
      </w:r>
      <w:r w:rsidR="00E65E42" w:rsidRPr="00D403F5">
        <w:rPr>
          <w:rFonts w:cs="Arial"/>
          <w:szCs w:val="18"/>
          <w:lang w:val="en-GB" w:eastAsia="fr-FR"/>
        </w:rPr>
        <w:t xml:space="preserve">., 2013), Thomas </w:t>
      </w:r>
      <w:r w:rsidR="00E65E42" w:rsidRPr="00D403F5">
        <w:rPr>
          <w:rFonts w:cs="Arial"/>
          <w:i/>
          <w:szCs w:val="18"/>
          <w:lang w:val="en-GB" w:eastAsia="fr-FR"/>
        </w:rPr>
        <w:t>et al</w:t>
      </w:r>
      <w:r w:rsidR="00E65E42" w:rsidRPr="00D403F5">
        <w:rPr>
          <w:rFonts w:cs="Arial"/>
          <w:szCs w:val="18"/>
          <w:lang w:val="en-GB" w:eastAsia="fr-FR"/>
        </w:rPr>
        <w:t>. (2018) recommend a threshold of 1 genomic equivalent per reaction to reduce the likelihood of false positive results. Borderline results (≤ 1 GE per reaction) should be classified as suspect and need confirmation by sequencing (or isolation).</w:t>
      </w:r>
      <w:r w:rsidR="00E65E42" w:rsidRPr="00D403F5">
        <w:rPr>
          <w:rFonts w:cs="Arial"/>
          <w:szCs w:val="18"/>
          <w:lang w:val="en-GB"/>
        </w:rPr>
        <w:t xml:space="preserve"> </w:t>
      </w:r>
    </w:p>
    <w:p w14:paraId="3FE7291A" w14:textId="77777777" w:rsidR="00E65E42" w:rsidRPr="00D403F5" w:rsidRDefault="00E65E42" w:rsidP="00E65E42">
      <w:pPr>
        <w:pStyle w:val="Para3"/>
        <w:rPr>
          <w:rFonts w:cs="Arial"/>
          <w:szCs w:val="18"/>
          <w:lang w:val="en-GB" w:eastAsia="fr-FR"/>
        </w:rPr>
      </w:pPr>
      <w:r w:rsidRPr="00D403F5">
        <w:rPr>
          <w:rFonts w:cs="Arial"/>
          <w:szCs w:val="18"/>
          <w:lang w:val="en-GB" w:eastAsia="fr-FR"/>
        </w:rPr>
        <w:t>Samples are preferably run in duplicate. A sample is considered positive based on the combination of (1) the shape of the amplification curves (2) positive results in both duplications, (3) returning GE values above the detection threshold (1 GE per reaction) (4) low variability between duplicates (&lt; 0.3 Ct value).</w:t>
      </w:r>
    </w:p>
    <w:p w14:paraId="22209AC5" w14:textId="77777777" w:rsidR="00E65E42" w:rsidRPr="00EA08A6" w:rsidRDefault="00E65E42" w:rsidP="001C6A78">
      <w:pPr>
        <w:pStyle w:val="111"/>
        <w:ind w:left="1276" w:hanging="425"/>
        <w:rPr>
          <w:szCs w:val="20"/>
        </w:rPr>
      </w:pPr>
      <w:r w:rsidRPr="00EA08A6">
        <w:rPr>
          <w:szCs w:val="20"/>
        </w:rPr>
        <w:t>4.4.2.</w:t>
      </w:r>
      <w:r w:rsidRPr="00EA08A6">
        <w:rPr>
          <w:szCs w:val="20"/>
        </w:rPr>
        <w:tab/>
        <w:t>Conventional PCR (PCR)</w:t>
      </w:r>
    </w:p>
    <w:p w14:paraId="57DE469D" w14:textId="77777777" w:rsidR="00E65E42" w:rsidRPr="00D403F5" w:rsidRDefault="00E65E42" w:rsidP="00E65E42">
      <w:pPr>
        <w:pStyle w:val="Para3"/>
        <w:rPr>
          <w:szCs w:val="18"/>
          <w:lang w:val="en-GB"/>
        </w:rPr>
      </w:pPr>
      <w:r w:rsidRPr="00D403F5">
        <w:rPr>
          <w:rFonts w:cs="Arial"/>
          <w:strike/>
          <w:szCs w:val="18"/>
          <w:lang w:val="en-GB"/>
        </w:rPr>
        <w:t xml:space="preserve">The use of real-time PCR is recommended. </w:t>
      </w:r>
      <w:r w:rsidRPr="00D403F5">
        <w:rPr>
          <w:rFonts w:cs="Arial"/>
          <w:szCs w:val="18"/>
          <w:lang w:val="en-GB"/>
        </w:rPr>
        <w:t>No conventional PCR protocol has been validated.</w:t>
      </w:r>
    </w:p>
    <w:p w14:paraId="0547E714" w14:textId="77777777" w:rsidR="00E65E42" w:rsidRPr="00EA08A6" w:rsidRDefault="00E65E42" w:rsidP="001C6A78">
      <w:pPr>
        <w:pStyle w:val="111"/>
        <w:ind w:left="1276" w:hanging="425"/>
        <w:rPr>
          <w:szCs w:val="20"/>
        </w:rPr>
      </w:pPr>
      <w:r w:rsidRPr="00EA08A6">
        <w:rPr>
          <w:szCs w:val="20"/>
        </w:rPr>
        <w:t>4.4.3.</w:t>
      </w:r>
      <w:r w:rsidRPr="00EA08A6">
        <w:rPr>
          <w:szCs w:val="20"/>
        </w:rPr>
        <w:tab/>
        <w:t>Other nucleic acid amplification methods</w:t>
      </w:r>
    </w:p>
    <w:p w14:paraId="3278AF47" w14:textId="77777777" w:rsidR="00E65E42" w:rsidRPr="00D403F5" w:rsidRDefault="00E65E42" w:rsidP="00E65E42">
      <w:pPr>
        <w:pStyle w:val="Para3"/>
        <w:rPr>
          <w:szCs w:val="18"/>
          <w:lang w:val="en-GB"/>
        </w:rPr>
      </w:pPr>
      <w:r w:rsidRPr="00D403F5">
        <w:rPr>
          <w:szCs w:val="18"/>
          <w:lang w:val="en-GB"/>
        </w:rPr>
        <w:t>None validated.</w:t>
      </w:r>
    </w:p>
    <w:p w14:paraId="5AE8F56F" w14:textId="77777777" w:rsidR="00E65E42" w:rsidRPr="002A15FF" w:rsidRDefault="00E65E42" w:rsidP="001C6A78">
      <w:pPr>
        <w:pStyle w:val="11"/>
        <w:tabs>
          <w:tab w:val="left" w:pos="1418"/>
        </w:tabs>
        <w:spacing w:after="160"/>
        <w:ind w:left="851" w:hanging="567"/>
        <w:rPr>
          <w:rFonts w:ascii="Ottawa" w:hAnsi="Ottawa"/>
          <w:sz w:val="21"/>
          <w:szCs w:val="21"/>
          <w:lang w:val="en-GB"/>
        </w:rPr>
      </w:pPr>
      <w:r w:rsidRPr="002A15FF">
        <w:rPr>
          <w:rFonts w:ascii="Ottawa" w:hAnsi="Ottawa"/>
          <w:sz w:val="21"/>
          <w:szCs w:val="21"/>
          <w:lang w:val="en-GB"/>
        </w:rPr>
        <w:t>4.5.</w:t>
      </w:r>
      <w:r w:rsidRPr="002A15FF">
        <w:rPr>
          <w:rFonts w:ascii="Ottawa" w:hAnsi="Ottawa"/>
          <w:sz w:val="21"/>
          <w:szCs w:val="21"/>
          <w:lang w:val="en-GB"/>
        </w:rPr>
        <w:tab/>
        <w:t xml:space="preserve">Amplicon sequencing </w:t>
      </w:r>
    </w:p>
    <w:p w14:paraId="361C7778" w14:textId="77777777" w:rsidR="00E65E42" w:rsidRPr="00D403F5" w:rsidRDefault="00E65E42" w:rsidP="00557B45">
      <w:pPr>
        <w:pStyle w:val="Para20"/>
        <w:ind w:left="851"/>
        <w:rPr>
          <w:rFonts w:cs="Arial"/>
          <w:strike/>
          <w:szCs w:val="18"/>
          <w:lang w:val="en-GB"/>
        </w:rPr>
      </w:pPr>
      <w:r w:rsidRPr="00D403F5">
        <w:rPr>
          <w:rFonts w:cs="Arial"/>
          <w:strike/>
          <w:szCs w:val="18"/>
          <w:lang w:val="en-GB"/>
        </w:rPr>
        <w:t>For confirmation of suspect samples, amplified products can be sequenced with the primers as described in 4.4.1.</w:t>
      </w:r>
    </w:p>
    <w:p w14:paraId="7D200FC1" w14:textId="77777777" w:rsidR="00E65E42" w:rsidRPr="00D403F5" w:rsidRDefault="00E65E42" w:rsidP="00557B45">
      <w:pPr>
        <w:pStyle w:val="Para3"/>
        <w:rPr>
          <w:szCs w:val="18"/>
          <w:u w:val="double"/>
          <w:lang w:val="en-GB"/>
        </w:rPr>
      </w:pPr>
      <w:r w:rsidRPr="00D403F5">
        <w:rPr>
          <w:rFonts w:cs="Arial"/>
          <w:szCs w:val="18"/>
          <w:u w:val="double"/>
          <w:lang w:val="en-GB"/>
        </w:rPr>
        <w:t>No conventional PCR protocol has been validated.</w:t>
      </w:r>
    </w:p>
    <w:p w14:paraId="52096529" w14:textId="77777777" w:rsidR="00E65E42" w:rsidRPr="002A15FF" w:rsidRDefault="00E65E42" w:rsidP="001C6A78">
      <w:pPr>
        <w:pStyle w:val="11"/>
        <w:ind w:left="851" w:hanging="567"/>
        <w:rPr>
          <w:rFonts w:ascii="Ottawa" w:hAnsi="Ottawa"/>
          <w:sz w:val="21"/>
          <w:szCs w:val="21"/>
          <w:lang w:val="en-GB"/>
        </w:rPr>
      </w:pPr>
      <w:r w:rsidRPr="002A15FF">
        <w:rPr>
          <w:rFonts w:ascii="Ottawa" w:hAnsi="Ottawa"/>
          <w:sz w:val="21"/>
          <w:szCs w:val="21"/>
          <w:lang w:val="en-GB"/>
        </w:rPr>
        <w:t>4.6.</w:t>
      </w:r>
      <w:r w:rsidRPr="002A15FF">
        <w:rPr>
          <w:rFonts w:ascii="Ottawa" w:hAnsi="Ottawa"/>
          <w:sz w:val="21"/>
          <w:szCs w:val="21"/>
          <w:lang w:val="en-GB"/>
        </w:rPr>
        <w:tab/>
      </w:r>
      <w:r w:rsidRPr="002A15FF">
        <w:rPr>
          <w:rFonts w:ascii="Ottawa" w:hAnsi="Ottawa"/>
          <w:i/>
          <w:sz w:val="21"/>
          <w:szCs w:val="21"/>
          <w:lang w:val="en-GB"/>
        </w:rPr>
        <w:t>In-situ</w:t>
      </w:r>
      <w:r w:rsidRPr="002A15FF">
        <w:rPr>
          <w:rFonts w:ascii="Ottawa" w:hAnsi="Ottawa"/>
          <w:sz w:val="21"/>
          <w:szCs w:val="21"/>
          <w:lang w:val="en-GB"/>
        </w:rPr>
        <w:t xml:space="preserve"> hybridisation </w:t>
      </w:r>
      <w:r w:rsidRPr="002A15FF">
        <w:rPr>
          <w:rFonts w:ascii="Ottawa" w:hAnsi="Ottawa"/>
          <w:strike/>
          <w:sz w:val="21"/>
          <w:szCs w:val="21"/>
          <w:lang w:val="en-GB"/>
        </w:rPr>
        <w:t>(and histoimmunochemistry)</w:t>
      </w:r>
    </w:p>
    <w:p w14:paraId="4D7AAE16" w14:textId="77777777" w:rsidR="00E65E42" w:rsidRPr="00D403F5" w:rsidRDefault="00E65E42" w:rsidP="00557B45">
      <w:pPr>
        <w:pStyle w:val="Para20"/>
        <w:ind w:left="851"/>
        <w:rPr>
          <w:rFonts w:cs="Arial"/>
          <w:szCs w:val="18"/>
          <w:lang w:val="en-GB"/>
        </w:rPr>
      </w:pPr>
      <w:r w:rsidRPr="00D403F5">
        <w:rPr>
          <w:rFonts w:cs="Arial"/>
          <w:szCs w:val="18"/>
          <w:u w:val="double"/>
          <w:lang w:val="en-GB"/>
        </w:rPr>
        <w:t>No</w:t>
      </w:r>
      <w:r w:rsidRPr="00D403F5">
        <w:rPr>
          <w:rFonts w:cs="Arial"/>
          <w:szCs w:val="18"/>
          <w:lang w:val="en-GB"/>
        </w:rPr>
        <w:t xml:space="preserve"> </w:t>
      </w:r>
      <w:r w:rsidRPr="00D403F5">
        <w:rPr>
          <w:rFonts w:cs="Arial"/>
          <w:i/>
          <w:szCs w:val="18"/>
          <w:lang w:val="en-GB"/>
        </w:rPr>
        <w:t>In-situ</w:t>
      </w:r>
      <w:r w:rsidRPr="00D403F5">
        <w:rPr>
          <w:rFonts w:cs="Arial"/>
          <w:szCs w:val="18"/>
          <w:lang w:val="en-GB"/>
        </w:rPr>
        <w:t xml:space="preserve"> hybridisation</w:t>
      </w:r>
      <w:r w:rsidRPr="00D403F5">
        <w:rPr>
          <w:rFonts w:cs="Arial"/>
          <w:strike/>
          <w:szCs w:val="18"/>
          <w:lang w:val="en-GB"/>
        </w:rPr>
        <w:t>:</w:t>
      </w:r>
      <w:r w:rsidRPr="00D403F5">
        <w:rPr>
          <w:rFonts w:cs="Arial"/>
          <w:szCs w:val="18"/>
          <w:lang w:val="en-GB"/>
        </w:rPr>
        <w:t xml:space="preserve"> </w:t>
      </w:r>
      <w:r w:rsidRPr="00D403F5">
        <w:rPr>
          <w:rFonts w:cs="Arial"/>
          <w:strike/>
          <w:szCs w:val="18"/>
          <w:lang w:val="en-GB"/>
        </w:rPr>
        <w:t xml:space="preserve">no </w:t>
      </w:r>
      <w:r w:rsidRPr="00D403F5">
        <w:rPr>
          <w:rFonts w:cs="Arial"/>
          <w:szCs w:val="18"/>
          <w:lang w:val="en-GB"/>
        </w:rPr>
        <w:t xml:space="preserve">validated protocols </w:t>
      </w:r>
      <w:r w:rsidRPr="00D403F5">
        <w:rPr>
          <w:rFonts w:cs="Arial"/>
          <w:szCs w:val="18"/>
          <w:u w:val="double"/>
          <w:lang w:val="en-GB"/>
        </w:rPr>
        <w:t>are</w:t>
      </w:r>
      <w:r w:rsidRPr="00D403F5">
        <w:rPr>
          <w:rFonts w:cs="Arial"/>
          <w:szCs w:val="18"/>
          <w:lang w:val="en-GB"/>
        </w:rPr>
        <w:t xml:space="preserve"> available. </w:t>
      </w:r>
    </w:p>
    <w:p w14:paraId="767553D0" w14:textId="77777777" w:rsidR="00E65E42" w:rsidRPr="002A15FF" w:rsidRDefault="00E65E42" w:rsidP="001C6A78">
      <w:pPr>
        <w:pStyle w:val="11"/>
        <w:tabs>
          <w:tab w:val="left" w:pos="1418"/>
        </w:tabs>
        <w:spacing w:after="160"/>
        <w:ind w:left="851" w:hanging="567"/>
        <w:rPr>
          <w:rFonts w:ascii="Ottawa" w:hAnsi="Ottawa"/>
          <w:sz w:val="21"/>
          <w:szCs w:val="21"/>
          <w:u w:val="double"/>
        </w:rPr>
      </w:pPr>
      <w:r w:rsidRPr="002A15FF">
        <w:rPr>
          <w:rFonts w:ascii="Ottawa" w:hAnsi="Ottawa"/>
          <w:sz w:val="21"/>
          <w:szCs w:val="21"/>
          <w:u w:val="double"/>
        </w:rPr>
        <w:t>4.7.</w:t>
      </w:r>
      <w:r w:rsidRPr="001C6A78">
        <w:rPr>
          <w:rFonts w:ascii="Ottawa" w:hAnsi="Ottawa"/>
          <w:sz w:val="21"/>
          <w:szCs w:val="21"/>
        </w:rPr>
        <w:tab/>
      </w:r>
      <w:r w:rsidRPr="001C6A78">
        <w:rPr>
          <w:rFonts w:ascii="Ottawa" w:hAnsi="Ottawa"/>
          <w:sz w:val="21"/>
          <w:szCs w:val="21"/>
          <w:lang w:val="en-GB"/>
        </w:rPr>
        <w:t>Immunohistochemistry</w:t>
      </w:r>
      <w:r w:rsidRPr="002A15FF">
        <w:rPr>
          <w:rFonts w:ascii="Ottawa" w:hAnsi="Ottawa"/>
          <w:sz w:val="21"/>
          <w:szCs w:val="21"/>
          <w:u w:val="double"/>
        </w:rPr>
        <w:t xml:space="preserve"> </w:t>
      </w:r>
    </w:p>
    <w:p w14:paraId="0E1D39E4" w14:textId="77777777" w:rsidR="00E65E42" w:rsidRPr="00D403F5" w:rsidRDefault="00E65E42" w:rsidP="00557B45">
      <w:pPr>
        <w:pStyle w:val="Para20"/>
        <w:ind w:left="851"/>
        <w:rPr>
          <w:szCs w:val="18"/>
          <w:lang w:val="en-GB"/>
        </w:rPr>
      </w:pPr>
      <w:r w:rsidRPr="00D403F5">
        <w:rPr>
          <w:szCs w:val="18"/>
          <w:lang w:val="en-GB" w:eastAsia="fr-FR"/>
        </w:rPr>
        <w:t xml:space="preserve">Immunohistochemistry is currently not Bsal specific, due to the lack of Bsal specific antibodies (Dillon </w:t>
      </w:r>
      <w:r w:rsidRPr="00D403F5">
        <w:rPr>
          <w:i/>
          <w:szCs w:val="18"/>
          <w:lang w:val="en-GB" w:eastAsia="fr-FR"/>
        </w:rPr>
        <w:t>et al</w:t>
      </w:r>
      <w:r w:rsidRPr="00D403F5">
        <w:rPr>
          <w:szCs w:val="18"/>
          <w:lang w:val="en-GB" w:eastAsia="fr-FR"/>
        </w:rPr>
        <w:t xml:space="preserve">., 2017; Thomas </w:t>
      </w:r>
      <w:r w:rsidRPr="00D403F5">
        <w:rPr>
          <w:i/>
          <w:szCs w:val="18"/>
          <w:lang w:val="en-GB" w:eastAsia="fr-FR"/>
        </w:rPr>
        <w:t>et al</w:t>
      </w:r>
      <w:r w:rsidRPr="00D403F5">
        <w:rPr>
          <w:szCs w:val="18"/>
          <w:lang w:val="en-GB" w:eastAsia="fr-FR"/>
        </w:rPr>
        <w:t xml:space="preserve">., 2018). </w:t>
      </w:r>
      <w:r w:rsidRPr="00D403F5">
        <w:rPr>
          <w:strike/>
          <w:szCs w:val="18"/>
          <w:lang w:val="en-GB" w:eastAsia="fr-FR"/>
        </w:rPr>
        <w:t>Sensitivity of immunohistochemistry in diseased or dead animals can be estimated to be high if clinically affected skin regions have been selected.</w:t>
      </w:r>
    </w:p>
    <w:p w14:paraId="1242A5E4" w14:textId="77777777" w:rsidR="00E65E42" w:rsidRPr="002A15FF" w:rsidRDefault="00E65E42" w:rsidP="001C6A78">
      <w:pPr>
        <w:pStyle w:val="11"/>
        <w:tabs>
          <w:tab w:val="left" w:pos="1418"/>
        </w:tabs>
        <w:spacing w:after="160"/>
        <w:ind w:left="851" w:hanging="567"/>
        <w:rPr>
          <w:rFonts w:ascii="Ottawa" w:hAnsi="Ottawa"/>
          <w:sz w:val="21"/>
          <w:szCs w:val="21"/>
          <w:lang w:val="en-GB"/>
        </w:rPr>
      </w:pPr>
      <w:r w:rsidRPr="002A15FF">
        <w:rPr>
          <w:rFonts w:ascii="Ottawa" w:hAnsi="Ottawa"/>
          <w:sz w:val="21"/>
          <w:szCs w:val="21"/>
          <w:lang w:val="en-GB"/>
        </w:rPr>
        <w:t>4.8.</w:t>
      </w:r>
      <w:r w:rsidRPr="002A15FF">
        <w:rPr>
          <w:rFonts w:ascii="Ottawa" w:hAnsi="Ottawa"/>
          <w:sz w:val="21"/>
          <w:szCs w:val="21"/>
          <w:lang w:val="en-GB"/>
        </w:rPr>
        <w:tab/>
        <w:t>Bioassay</w:t>
      </w:r>
    </w:p>
    <w:p w14:paraId="21E2C8F0" w14:textId="77777777" w:rsidR="00E65E42" w:rsidRPr="00D403F5" w:rsidRDefault="00E65E42" w:rsidP="00557B45">
      <w:pPr>
        <w:pStyle w:val="Para20"/>
        <w:ind w:left="851"/>
        <w:rPr>
          <w:rFonts w:cs="Arial"/>
          <w:szCs w:val="18"/>
          <w:lang w:val="en-GB"/>
        </w:rPr>
      </w:pPr>
      <w:r w:rsidRPr="00D403F5">
        <w:rPr>
          <w:rFonts w:cs="Arial"/>
          <w:szCs w:val="18"/>
          <w:lang w:val="en-GB"/>
        </w:rPr>
        <w:t>Not available.</w:t>
      </w:r>
    </w:p>
    <w:p w14:paraId="14436001" w14:textId="6A0D5B03" w:rsidR="00E65E42" w:rsidRPr="002A15FF" w:rsidRDefault="001C6A78" w:rsidP="001C6A78">
      <w:pPr>
        <w:pStyle w:val="11"/>
        <w:tabs>
          <w:tab w:val="left" w:pos="1418"/>
        </w:tabs>
        <w:spacing w:after="160"/>
        <w:ind w:left="851" w:hanging="567"/>
        <w:rPr>
          <w:rFonts w:ascii="Ottawa" w:hAnsi="Ottawa"/>
          <w:sz w:val="21"/>
          <w:szCs w:val="21"/>
          <w:lang w:val="en-GB"/>
        </w:rPr>
      </w:pPr>
      <w:r>
        <w:rPr>
          <w:rFonts w:ascii="Ottawa" w:hAnsi="Ottawa"/>
          <w:sz w:val="21"/>
          <w:szCs w:val="21"/>
          <w:lang w:val="en-GB"/>
        </w:rPr>
        <w:t>4.9.</w:t>
      </w:r>
      <w:r>
        <w:rPr>
          <w:rFonts w:ascii="Ottawa" w:hAnsi="Ottawa"/>
          <w:sz w:val="21"/>
          <w:szCs w:val="21"/>
          <w:lang w:val="en-GB"/>
        </w:rPr>
        <w:tab/>
      </w:r>
      <w:r w:rsidR="00E65E42" w:rsidRPr="002A15FF">
        <w:rPr>
          <w:rFonts w:ascii="Ottawa" w:hAnsi="Ottawa"/>
          <w:sz w:val="21"/>
          <w:szCs w:val="21"/>
          <w:lang w:val="en-GB"/>
        </w:rPr>
        <w:t>Antibody-based or antigen detection methods</w:t>
      </w:r>
    </w:p>
    <w:p w14:paraId="77C6BE68" w14:textId="77777777" w:rsidR="00E65E42" w:rsidRPr="00D403F5" w:rsidRDefault="00E65E42" w:rsidP="00557B45">
      <w:pPr>
        <w:pStyle w:val="Para20"/>
        <w:ind w:left="851"/>
        <w:rPr>
          <w:szCs w:val="18"/>
          <w:lang w:val="en-GB"/>
        </w:rPr>
      </w:pPr>
      <w:r w:rsidRPr="00D403F5">
        <w:rPr>
          <w:rFonts w:cs="Arial"/>
          <w:szCs w:val="18"/>
          <w:lang w:eastAsia="fr-FR"/>
        </w:rPr>
        <w:t xml:space="preserve">A lateral flow assay (LFA) using an IgM monoclonal antibody (MAb) was developed to detect infection in amphibian skin samples. This MAb does not discriminate between </w:t>
      </w:r>
      <w:r w:rsidRPr="00D403F5">
        <w:rPr>
          <w:rFonts w:cs="Arial"/>
          <w:i/>
          <w:szCs w:val="18"/>
          <w:lang w:eastAsia="fr-FR"/>
        </w:rPr>
        <w:t>B. salamandrivorans, B. dendrobatidis</w:t>
      </w:r>
      <w:r w:rsidRPr="00D403F5">
        <w:rPr>
          <w:rFonts w:cs="Arial"/>
          <w:szCs w:val="18"/>
          <w:lang w:eastAsia="fr-FR"/>
        </w:rPr>
        <w:t xml:space="preserve"> and </w:t>
      </w:r>
      <w:r w:rsidRPr="00D403F5">
        <w:rPr>
          <w:rFonts w:cs="Arial"/>
          <w:i/>
          <w:szCs w:val="18"/>
          <w:lang w:eastAsia="fr-FR"/>
        </w:rPr>
        <w:t>Homolaphlyctis polyrhiza</w:t>
      </w:r>
      <w:r w:rsidRPr="00D403F5">
        <w:rPr>
          <w:rFonts w:cs="Arial"/>
          <w:szCs w:val="18"/>
          <w:lang w:eastAsia="fr-FR"/>
        </w:rPr>
        <w:t xml:space="preserve"> (Dillon </w:t>
      </w:r>
      <w:r w:rsidRPr="00D403F5">
        <w:rPr>
          <w:rFonts w:cs="Arial"/>
          <w:i/>
          <w:szCs w:val="18"/>
          <w:lang w:eastAsia="fr-FR"/>
        </w:rPr>
        <w:t>et al.</w:t>
      </w:r>
      <w:r w:rsidRPr="00D403F5">
        <w:rPr>
          <w:rFonts w:cs="Arial"/>
          <w:szCs w:val="18"/>
          <w:lang w:eastAsia="fr-FR"/>
        </w:rPr>
        <w:t xml:space="preserve">, </w:t>
      </w:r>
      <w:r w:rsidRPr="00D403F5">
        <w:rPr>
          <w:rFonts w:cs="Arial"/>
          <w:szCs w:val="18"/>
          <w:u w:val="double"/>
          <w:lang w:eastAsia="fr-FR"/>
        </w:rPr>
        <w:t>2017</w:t>
      </w:r>
      <w:r w:rsidRPr="00D403F5">
        <w:rPr>
          <w:rFonts w:cs="Arial"/>
          <w:strike/>
          <w:szCs w:val="18"/>
          <w:lang w:eastAsia="fr-FR"/>
        </w:rPr>
        <w:t xml:space="preserve"> 2016</w:t>
      </w:r>
      <w:r w:rsidRPr="00D403F5">
        <w:rPr>
          <w:rFonts w:cs="Arial"/>
          <w:szCs w:val="18"/>
          <w:lang w:eastAsia="fr-FR"/>
        </w:rPr>
        <w:t xml:space="preserve">). The </w:t>
      </w:r>
      <w:r w:rsidRPr="00D403F5">
        <w:rPr>
          <w:rFonts w:cs="Arial"/>
          <w:szCs w:val="18"/>
          <w:lang w:val="en-GB" w:eastAsia="fr-FR"/>
        </w:rPr>
        <w:t xml:space="preserve">sensitivity of this test is likely to be lower than that of the </w:t>
      </w:r>
      <w:r w:rsidRPr="00D403F5">
        <w:rPr>
          <w:rFonts w:cs="Arial"/>
          <w:szCs w:val="18"/>
          <w:u w:val="double"/>
          <w:lang w:val="en-GB" w:eastAsia="fr-FR"/>
        </w:rPr>
        <w:t>real-time</w:t>
      </w:r>
      <w:r w:rsidRPr="00D403F5">
        <w:rPr>
          <w:rFonts w:cs="Arial"/>
          <w:szCs w:val="18"/>
          <w:lang w:val="en-GB" w:eastAsia="fr-FR"/>
        </w:rPr>
        <w:t xml:space="preserve"> </w:t>
      </w:r>
      <w:r w:rsidRPr="00D403F5">
        <w:rPr>
          <w:rFonts w:cs="Arial"/>
          <w:strike/>
          <w:szCs w:val="18"/>
          <w:lang w:val="en-GB" w:eastAsia="fr-FR"/>
        </w:rPr>
        <w:t>q</w:t>
      </w:r>
      <w:r w:rsidRPr="00D403F5">
        <w:rPr>
          <w:rFonts w:cs="Arial"/>
          <w:szCs w:val="18"/>
          <w:lang w:val="en-GB" w:eastAsia="fr-FR"/>
        </w:rPr>
        <w:t xml:space="preserve">PCR (Dillon </w:t>
      </w:r>
      <w:r w:rsidRPr="00D403F5">
        <w:rPr>
          <w:rFonts w:cs="Arial"/>
          <w:i/>
          <w:szCs w:val="18"/>
          <w:lang w:val="en-GB" w:eastAsia="fr-FR"/>
        </w:rPr>
        <w:t>et al.</w:t>
      </w:r>
      <w:r w:rsidRPr="00D403F5">
        <w:rPr>
          <w:rFonts w:cs="Arial"/>
          <w:szCs w:val="18"/>
          <w:lang w:val="en-GB" w:eastAsia="fr-FR"/>
        </w:rPr>
        <w:t xml:space="preserve">, 2017): in experimentally Bd inoculated frogs, 1/5 animals tested positive in LFA compared to 4/5 using </w:t>
      </w:r>
      <w:r w:rsidRPr="00D403F5">
        <w:rPr>
          <w:rFonts w:cs="Arial"/>
          <w:szCs w:val="18"/>
          <w:u w:val="double"/>
          <w:lang w:val="en-GB" w:eastAsia="fr-FR"/>
        </w:rPr>
        <w:t>real-time</w:t>
      </w:r>
      <w:r w:rsidRPr="00D403F5">
        <w:rPr>
          <w:rFonts w:cs="Arial"/>
          <w:szCs w:val="18"/>
          <w:lang w:val="en-GB" w:eastAsia="fr-FR"/>
        </w:rPr>
        <w:t xml:space="preserve"> </w:t>
      </w:r>
      <w:r w:rsidRPr="00D403F5">
        <w:rPr>
          <w:rFonts w:cs="Arial"/>
          <w:strike/>
          <w:szCs w:val="18"/>
          <w:lang w:val="en-GB" w:eastAsia="fr-FR"/>
        </w:rPr>
        <w:t>q</w:t>
      </w:r>
      <w:r w:rsidRPr="00D403F5">
        <w:rPr>
          <w:rFonts w:cs="Arial"/>
          <w:szCs w:val="18"/>
          <w:lang w:val="en-GB" w:eastAsia="fr-FR"/>
        </w:rPr>
        <w:t>PCR.</w:t>
      </w:r>
      <w:r w:rsidRPr="00D403F5">
        <w:rPr>
          <w:rFonts w:cs="Arial"/>
          <w:szCs w:val="18"/>
          <w:lang w:val="en-GB"/>
        </w:rPr>
        <w:t xml:space="preserve"> This would make this technique most useful in animals with high infection loads. Such techniques may be useful for point-of-care testing if specificity is increased and provided thorough validation. </w:t>
      </w:r>
    </w:p>
    <w:p w14:paraId="1E8396E4" w14:textId="425AE662" w:rsidR="00E65E42" w:rsidRPr="00BD2E1E" w:rsidRDefault="001C6A78" w:rsidP="001C6A78">
      <w:pPr>
        <w:pStyle w:val="11"/>
        <w:tabs>
          <w:tab w:val="left" w:pos="1418"/>
        </w:tabs>
        <w:spacing w:after="160"/>
        <w:ind w:left="851" w:hanging="567"/>
        <w:rPr>
          <w:rFonts w:ascii="Ottawa" w:hAnsi="Ottawa"/>
          <w:sz w:val="21"/>
          <w:szCs w:val="21"/>
          <w:lang w:bidi="en-US"/>
        </w:rPr>
      </w:pPr>
      <w:r>
        <w:rPr>
          <w:rFonts w:ascii="Ottawa" w:hAnsi="Ottawa"/>
          <w:sz w:val="21"/>
          <w:szCs w:val="21"/>
          <w:lang w:bidi="en-US"/>
        </w:rPr>
        <w:t>4.</w:t>
      </w:r>
      <w:r w:rsidRPr="001C6A78">
        <w:rPr>
          <w:rFonts w:ascii="Ottawa" w:hAnsi="Ottawa"/>
          <w:sz w:val="21"/>
          <w:szCs w:val="21"/>
          <w:lang w:val="en-GB"/>
        </w:rPr>
        <w:t>10</w:t>
      </w:r>
      <w:r>
        <w:rPr>
          <w:rFonts w:ascii="Ottawa" w:hAnsi="Ottawa"/>
          <w:sz w:val="21"/>
          <w:szCs w:val="21"/>
          <w:lang w:bidi="en-US"/>
        </w:rPr>
        <w:t>.</w:t>
      </w:r>
      <w:r>
        <w:rPr>
          <w:rFonts w:ascii="Ottawa" w:hAnsi="Ottawa"/>
          <w:sz w:val="21"/>
          <w:szCs w:val="21"/>
          <w:lang w:bidi="en-US"/>
        </w:rPr>
        <w:tab/>
      </w:r>
      <w:r w:rsidR="00E65E42" w:rsidRPr="00BD2E1E">
        <w:rPr>
          <w:rFonts w:ascii="Ottawa" w:hAnsi="Ottawa"/>
          <w:sz w:val="21"/>
          <w:szCs w:val="21"/>
          <w:lang w:bidi="en-US"/>
        </w:rPr>
        <w:t xml:space="preserve">Other </w:t>
      </w:r>
      <w:r w:rsidR="00E65E42" w:rsidRPr="00EA19EA">
        <w:rPr>
          <w:rFonts w:ascii="Ottawa" w:hAnsi="Ottawa"/>
          <w:strike/>
          <w:sz w:val="21"/>
          <w:szCs w:val="21"/>
          <w:highlight w:val="yellow"/>
          <w:lang w:bidi="en-US"/>
        </w:rPr>
        <w:t>serological</w:t>
      </w:r>
      <w:r w:rsidR="00E65E42" w:rsidRPr="00EA19EA">
        <w:rPr>
          <w:rFonts w:ascii="Ottawa" w:hAnsi="Ottawa"/>
          <w:strike/>
          <w:sz w:val="21"/>
          <w:szCs w:val="21"/>
          <w:lang w:bidi="en-US"/>
        </w:rPr>
        <w:t xml:space="preserve"> </w:t>
      </w:r>
      <w:r w:rsidR="00E65E42" w:rsidRPr="00BD2E1E">
        <w:rPr>
          <w:rFonts w:ascii="Ottawa" w:hAnsi="Ottawa"/>
          <w:sz w:val="21"/>
          <w:szCs w:val="21"/>
          <w:lang w:bidi="en-US"/>
        </w:rPr>
        <w:t>methods</w:t>
      </w:r>
    </w:p>
    <w:p w14:paraId="39406D17" w14:textId="77777777" w:rsidR="00E65E42" w:rsidRDefault="00E65E42" w:rsidP="00557B45">
      <w:pPr>
        <w:spacing w:after="240"/>
        <w:ind w:left="851"/>
        <w:jc w:val="both"/>
        <w:rPr>
          <w:rFonts w:ascii="Arial" w:hAnsi="Arial"/>
          <w:bCs/>
          <w:sz w:val="18"/>
          <w:szCs w:val="18"/>
          <w:lang w:val="en-IE" w:bidi="en-US"/>
        </w:rPr>
      </w:pPr>
      <w:r w:rsidRPr="00D403F5">
        <w:rPr>
          <w:rFonts w:ascii="Arial" w:hAnsi="Arial"/>
          <w:bCs/>
          <w:sz w:val="18"/>
          <w:szCs w:val="18"/>
          <w:lang w:val="en-IE" w:bidi="en-US"/>
        </w:rPr>
        <w:t>Not applicable</w:t>
      </w:r>
    </w:p>
    <w:p w14:paraId="4EF6BB1D" w14:textId="77777777" w:rsidR="00754D87" w:rsidRDefault="00754D87">
      <w:pPr>
        <w:rPr>
          <w:rFonts w:ascii="Ottawa" w:eastAsia="MS Mincho" w:hAnsi="Ottawa" w:cs="Arial"/>
          <w:b/>
          <w:bCs/>
          <w:sz w:val="22"/>
          <w:lang w:eastAsia="fr-FR"/>
        </w:rPr>
      </w:pPr>
      <w:r>
        <w:rPr>
          <w:rFonts w:ascii="Ottawa" w:hAnsi="Ottawa"/>
          <w:sz w:val="22"/>
        </w:rPr>
        <w:br w:type="page"/>
      </w:r>
    </w:p>
    <w:p w14:paraId="374245CD" w14:textId="77777777" w:rsidR="00754D87" w:rsidRDefault="00754D87" w:rsidP="00754D87">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12</w:t>
      </w:r>
      <w:r w:rsidRPr="00DB0A8D">
        <w:rPr>
          <w:rFonts w:cs="Times New Roman"/>
          <w:bCs/>
          <w:iCs/>
          <w:szCs w:val="20"/>
        </w:rPr>
        <w:t xml:space="preserve"> (contd)</w:t>
      </w:r>
    </w:p>
    <w:p w14:paraId="77A5D109" w14:textId="3873D673" w:rsidR="00E65E42" w:rsidRPr="002A15FF" w:rsidRDefault="00E65E42" w:rsidP="00E65E42">
      <w:pPr>
        <w:pStyle w:val="10"/>
        <w:rPr>
          <w:rFonts w:ascii="Ottawa" w:hAnsi="Ottawa"/>
          <w:sz w:val="22"/>
          <w:szCs w:val="22"/>
        </w:rPr>
      </w:pPr>
      <w:r w:rsidRPr="002A15FF">
        <w:rPr>
          <w:rFonts w:ascii="Ottawa" w:hAnsi="Ottawa"/>
          <w:sz w:val="22"/>
          <w:szCs w:val="22"/>
        </w:rPr>
        <w:t>5.</w:t>
      </w:r>
      <w:r w:rsidRPr="002A15FF">
        <w:rPr>
          <w:rFonts w:ascii="Ottawa" w:hAnsi="Ottawa"/>
          <w:sz w:val="22"/>
          <w:szCs w:val="22"/>
        </w:rPr>
        <w:tab/>
        <w:t>Test(s) recommended for surveillance to demonstrate freedom in apparently healthy populations</w:t>
      </w:r>
    </w:p>
    <w:p w14:paraId="2F5143A0" w14:textId="77777777" w:rsidR="00E65E42" w:rsidRPr="00D403F5" w:rsidRDefault="00E65E42" w:rsidP="00557B45">
      <w:pPr>
        <w:pStyle w:val="Para10"/>
        <w:ind w:left="284"/>
        <w:rPr>
          <w:szCs w:val="18"/>
          <w:lang w:val="en-GB"/>
        </w:rPr>
      </w:pPr>
      <w:r w:rsidRPr="00D403F5">
        <w:rPr>
          <w:rFonts w:cs="Arial"/>
          <w:szCs w:val="18"/>
          <w:lang w:val="en-GB"/>
        </w:rPr>
        <w:t>The use of real-time PCR on skin swabs is recommended</w:t>
      </w:r>
      <w:r w:rsidRPr="00D403F5">
        <w:rPr>
          <w:szCs w:val="18"/>
          <w:lang w:val="en-GB"/>
        </w:rPr>
        <w:t xml:space="preserve"> for surveillance.</w:t>
      </w:r>
    </w:p>
    <w:p w14:paraId="5B9C269E" w14:textId="77777777" w:rsidR="00E65E42" w:rsidRPr="002A15FF" w:rsidRDefault="00E65E42" w:rsidP="00E65E42">
      <w:pPr>
        <w:pStyle w:val="10"/>
        <w:rPr>
          <w:rFonts w:ascii="Ottawa" w:hAnsi="Ottawa"/>
          <w:sz w:val="22"/>
          <w:szCs w:val="22"/>
        </w:rPr>
      </w:pPr>
      <w:r w:rsidRPr="002A15FF">
        <w:rPr>
          <w:rFonts w:ascii="Ottawa" w:hAnsi="Ottawa"/>
          <w:sz w:val="22"/>
          <w:szCs w:val="22"/>
        </w:rPr>
        <w:t>6.</w:t>
      </w:r>
      <w:r w:rsidRPr="002A15FF">
        <w:rPr>
          <w:rFonts w:ascii="Ottawa" w:hAnsi="Ottawa"/>
          <w:sz w:val="22"/>
          <w:szCs w:val="22"/>
        </w:rPr>
        <w:tab/>
        <w:t>Corroborative diagnostic criteria</w:t>
      </w:r>
    </w:p>
    <w:p w14:paraId="10825EE8" w14:textId="77777777" w:rsidR="00E65E42" w:rsidRPr="00D403F5" w:rsidRDefault="00E65E42" w:rsidP="00557B45">
      <w:pPr>
        <w:pStyle w:val="Para10"/>
        <w:ind w:left="284"/>
        <w:rPr>
          <w:rFonts w:cs="Arial"/>
          <w:szCs w:val="18"/>
        </w:rPr>
      </w:pPr>
      <w:r w:rsidRPr="00D403F5">
        <w:rPr>
          <w:rFonts w:cs="Arial"/>
          <w:szCs w:val="18"/>
        </w:rPr>
        <w:t xml:space="preserve">This Section only addresses the diagnostic test results for detection of infection in the </w:t>
      </w:r>
      <w:r w:rsidRPr="00D403F5">
        <w:rPr>
          <w:rFonts w:cs="Arial"/>
          <w:strike/>
          <w:szCs w:val="18"/>
        </w:rPr>
        <w:t>presence</w:t>
      </w:r>
      <w:r w:rsidRPr="00400774">
        <w:rPr>
          <w:rFonts w:cs="Arial"/>
          <w:strike/>
          <w:szCs w:val="18"/>
        </w:rPr>
        <w:t xml:space="preserve"> </w:t>
      </w:r>
      <w:r w:rsidRPr="00D403F5">
        <w:rPr>
          <w:rFonts w:cs="Arial"/>
          <w:szCs w:val="18"/>
          <w:u w:val="double"/>
        </w:rPr>
        <w:t>absence</w:t>
      </w:r>
      <w:r w:rsidRPr="00D403F5">
        <w:rPr>
          <w:rFonts w:cs="Arial"/>
          <w:szCs w:val="18"/>
        </w:rPr>
        <w:t xml:space="preserve"> (Section 6.1.) or in the </w:t>
      </w:r>
      <w:r w:rsidRPr="00D403F5">
        <w:rPr>
          <w:rFonts w:cs="Arial"/>
          <w:szCs w:val="18"/>
          <w:u w:val="double"/>
        </w:rPr>
        <w:t>presence</w:t>
      </w:r>
      <w:r w:rsidRPr="00D403F5">
        <w:rPr>
          <w:rFonts w:cs="Arial"/>
          <w:szCs w:val="18"/>
        </w:rPr>
        <w:t xml:space="preserve"> </w:t>
      </w:r>
      <w:r w:rsidRPr="00D403F5">
        <w:rPr>
          <w:rFonts w:cs="Arial"/>
          <w:strike/>
          <w:szCs w:val="18"/>
        </w:rPr>
        <w:t>absence</w:t>
      </w:r>
      <w:r w:rsidRPr="00C734E2">
        <w:rPr>
          <w:rFonts w:cs="Arial"/>
          <w:strike/>
          <w:szCs w:val="18"/>
        </w:rPr>
        <w:t xml:space="preserve"> </w:t>
      </w:r>
      <w:r w:rsidRPr="00D403F5">
        <w:rPr>
          <w:rFonts w:cs="Arial"/>
          <w:szCs w:val="18"/>
        </w:rPr>
        <w:t>of clinical signs (Section 6.2.) but does not evaluate whether the infectious agent is the cause of the clinical event.</w:t>
      </w:r>
    </w:p>
    <w:p w14:paraId="747FA625" w14:textId="77777777" w:rsidR="00E65E42" w:rsidRPr="00D403F5" w:rsidRDefault="00E65E42" w:rsidP="00557B45">
      <w:pPr>
        <w:pStyle w:val="Para10"/>
        <w:ind w:left="284"/>
        <w:rPr>
          <w:rFonts w:cs="Arial"/>
          <w:szCs w:val="18"/>
          <w:lang w:val="en-GB"/>
        </w:rPr>
      </w:pPr>
      <w:r w:rsidRPr="00D403F5">
        <w:rPr>
          <w:rFonts w:cs="Arial"/>
          <w:szCs w:val="18"/>
          <w:lang w:val="en-GB"/>
        </w:rPr>
        <w:t xml:space="preserve">The case definitions for a suspect and confirmed case have been developed to support decision making related to trade and confirmation of disease status at the country, zone or compartment level. Case definitions for disease confirmation in endemically affected areas may be less stringent. </w:t>
      </w:r>
    </w:p>
    <w:p w14:paraId="6015DEAA" w14:textId="77777777" w:rsidR="00E65E42" w:rsidRPr="00E27DA5" w:rsidRDefault="00E65E42" w:rsidP="001C6A78">
      <w:pPr>
        <w:pStyle w:val="11"/>
        <w:rPr>
          <w:rFonts w:ascii="Ottawa" w:hAnsi="Ottawa"/>
          <w:sz w:val="21"/>
          <w:szCs w:val="21"/>
          <w:lang w:val="en-GB"/>
        </w:rPr>
      </w:pPr>
      <w:r w:rsidRPr="00E27DA5">
        <w:rPr>
          <w:rFonts w:ascii="Ottawa" w:hAnsi="Ottawa"/>
          <w:sz w:val="21"/>
          <w:szCs w:val="21"/>
          <w:lang w:val="en-GB"/>
        </w:rPr>
        <w:t>6.1.</w:t>
      </w:r>
      <w:r w:rsidRPr="00E27DA5">
        <w:rPr>
          <w:rFonts w:ascii="Ottawa" w:hAnsi="Ottawa"/>
          <w:sz w:val="21"/>
          <w:szCs w:val="21"/>
          <w:lang w:val="en-GB"/>
        </w:rPr>
        <w:tab/>
        <w:t>Apparently healthy animals or animals of unknown health status</w:t>
      </w:r>
      <w:r w:rsidRPr="00E27DA5">
        <w:rPr>
          <w:rStyle w:val="Appelnotedebasdep"/>
          <w:rFonts w:ascii="Ottawa" w:hAnsi="Ottawa" w:cs="Arial"/>
          <w:sz w:val="21"/>
          <w:szCs w:val="21"/>
        </w:rPr>
        <w:footnoteReference w:id="2"/>
      </w:r>
    </w:p>
    <w:p w14:paraId="420BF819" w14:textId="77777777" w:rsidR="00E65E42" w:rsidRDefault="00E65E42" w:rsidP="001C6A78">
      <w:pPr>
        <w:pStyle w:val="Para20"/>
        <w:ind w:left="709"/>
        <w:rPr>
          <w:szCs w:val="18"/>
          <w:lang w:val="en-GB"/>
        </w:rPr>
      </w:pPr>
      <w:r w:rsidRPr="00D403F5">
        <w:rPr>
          <w:rFonts w:cs="Arial"/>
          <w:szCs w:val="18"/>
          <w:lang w:val="en-GB"/>
        </w:rPr>
        <w:t>Apparently healthy populations may fall under suspicion, and therefore be sampled</w:t>
      </w:r>
      <w:r w:rsidRPr="008C6E66">
        <w:rPr>
          <w:rFonts w:cs="Arial"/>
          <w:szCs w:val="18"/>
          <w:lang w:val="en-GB"/>
        </w:rPr>
        <w:t xml:space="preserve">, if there is an epidemiological link(s) to an infected population. </w:t>
      </w:r>
      <w:r w:rsidRPr="008C6E66">
        <w:rPr>
          <w:szCs w:val="18"/>
          <w:lang w:val="en-GB"/>
        </w:rPr>
        <w:t>Geographic proximity to, or movement of an</w:t>
      </w:r>
      <w:r w:rsidRPr="00D403F5">
        <w:rPr>
          <w:szCs w:val="18"/>
          <w:lang w:val="en-GB"/>
        </w:rPr>
        <w:t xml:space="preserve">imals or animal products or equipment, etc., from a known infected population equate to an epidemiological link. Alternatively, healthy populations are sampled in surveys to demonstrate disease freedom. </w:t>
      </w:r>
    </w:p>
    <w:p w14:paraId="6039B6D7" w14:textId="77777777" w:rsidR="00E65E42" w:rsidRPr="00D403F5" w:rsidRDefault="00E65E42" w:rsidP="001C6A78">
      <w:pPr>
        <w:pStyle w:val="Para20"/>
        <w:ind w:left="709"/>
        <w:rPr>
          <w:rFonts w:cs="Arial"/>
          <w:szCs w:val="18"/>
          <w:lang w:val="en-GB"/>
        </w:rPr>
      </w:pPr>
      <w:r w:rsidRPr="00D403F5">
        <w:rPr>
          <w:szCs w:val="18"/>
          <w:lang w:val="en-GB"/>
        </w:rPr>
        <w:t>Such surveys typically consist of non-invasive sampling using skin swabs that are examined for the presence of Bsal using real-time PCR. When applied to animals in the wild, confirmation by using a complementary technique, other than sequencing the PCR product, is often not feasible.</w:t>
      </w:r>
    </w:p>
    <w:p w14:paraId="21283531" w14:textId="77777777" w:rsidR="00E65E42" w:rsidRPr="00E27DA5" w:rsidRDefault="00E65E42" w:rsidP="001C6A78">
      <w:pPr>
        <w:pStyle w:val="111"/>
        <w:spacing w:after="240"/>
        <w:ind w:left="1276"/>
        <w:rPr>
          <w:szCs w:val="20"/>
        </w:rPr>
      </w:pPr>
      <w:r w:rsidRPr="00E27DA5">
        <w:rPr>
          <w:szCs w:val="20"/>
        </w:rPr>
        <w:t>6.1.1.</w:t>
      </w:r>
      <w:r w:rsidRPr="00E27DA5">
        <w:rPr>
          <w:szCs w:val="20"/>
        </w:rPr>
        <w:tab/>
        <w:t>Definition of suspect case in apparently healthy animals</w:t>
      </w:r>
    </w:p>
    <w:p w14:paraId="1E8D5F89" w14:textId="77777777" w:rsidR="00E65E42" w:rsidRPr="00D403F5" w:rsidRDefault="00E65E42" w:rsidP="001C6A78">
      <w:pPr>
        <w:pStyle w:val="Para3"/>
        <w:ind w:left="709"/>
        <w:rPr>
          <w:szCs w:val="18"/>
          <w:lang w:val="en-GB"/>
        </w:rPr>
      </w:pPr>
      <w:r w:rsidRPr="00D403F5">
        <w:rPr>
          <w:szCs w:val="18"/>
          <w:lang w:val="en-GB"/>
        </w:rPr>
        <w:t>The presence of infection</w:t>
      </w:r>
      <w:r>
        <w:rPr>
          <w:szCs w:val="18"/>
          <w:lang w:val="en-GB"/>
        </w:rPr>
        <w:t xml:space="preserve"> </w:t>
      </w:r>
      <w:r w:rsidRPr="00EC0E5F">
        <w:rPr>
          <w:szCs w:val="18"/>
          <w:highlight w:val="yellow"/>
          <w:u w:val="double"/>
          <w:lang w:val="en-GB"/>
        </w:rPr>
        <w:t>with Bsal</w:t>
      </w:r>
      <w:r w:rsidRPr="00D403F5">
        <w:rPr>
          <w:szCs w:val="18"/>
          <w:lang w:val="en-GB"/>
        </w:rPr>
        <w:t xml:space="preserve"> shall be suspected if </w:t>
      </w:r>
      <w:r w:rsidRPr="00D403F5">
        <w:rPr>
          <w:strike/>
          <w:szCs w:val="18"/>
          <w:lang w:val="en-GB"/>
        </w:rPr>
        <w:t xml:space="preserve">a positive result has been obtained on at least one animal from at least </w:t>
      </w:r>
      <w:r w:rsidRPr="00D403F5">
        <w:rPr>
          <w:szCs w:val="18"/>
          <w:lang w:val="en-GB"/>
        </w:rPr>
        <w:t xml:space="preserve">one of the following </w:t>
      </w:r>
      <w:r w:rsidRPr="00D403F5">
        <w:rPr>
          <w:strike/>
          <w:szCs w:val="18"/>
          <w:lang w:val="en-GB"/>
        </w:rPr>
        <w:t xml:space="preserve">diagnostic tests </w:t>
      </w:r>
      <w:r w:rsidRPr="00D403F5">
        <w:rPr>
          <w:szCs w:val="18"/>
          <w:u w:val="double"/>
          <w:lang w:val="en-GB"/>
        </w:rPr>
        <w:t>criteria is met</w:t>
      </w:r>
      <w:r w:rsidRPr="00D403F5">
        <w:rPr>
          <w:szCs w:val="18"/>
          <w:lang w:val="en-GB"/>
        </w:rPr>
        <w:t>:</w:t>
      </w:r>
    </w:p>
    <w:p w14:paraId="3096D03B" w14:textId="77777777" w:rsidR="00E65E42" w:rsidRPr="00D403F5" w:rsidRDefault="00E65E42" w:rsidP="001C6A78">
      <w:pPr>
        <w:pStyle w:val="Para3i"/>
        <w:ind w:left="1134" w:hanging="425"/>
        <w:rPr>
          <w:rFonts w:ascii="Arial" w:hAnsi="Arial"/>
          <w:sz w:val="18"/>
          <w:lang w:val="en-GB"/>
        </w:rPr>
      </w:pPr>
      <w:r w:rsidRPr="00D403F5">
        <w:rPr>
          <w:rFonts w:ascii="Arial" w:hAnsi="Arial"/>
          <w:sz w:val="18"/>
          <w:lang w:val="en-GB"/>
        </w:rPr>
        <w:t>i)</w:t>
      </w:r>
      <w:r w:rsidRPr="00D403F5">
        <w:rPr>
          <w:rFonts w:ascii="Arial" w:hAnsi="Arial"/>
          <w:sz w:val="18"/>
          <w:lang w:val="en-GB"/>
        </w:rPr>
        <w:tab/>
        <w:t xml:space="preserve">Positive result by real-time PCR. </w:t>
      </w:r>
    </w:p>
    <w:p w14:paraId="24BF2986" w14:textId="77777777" w:rsidR="00E65E42" w:rsidRPr="00D403F5" w:rsidRDefault="00E65E42" w:rsidP="001C6A78">
      <w:pPr>
        <w:pStyle w:val="Para3i"/>
        <w:ind w:left="1134" w:hanging="425"/>
        <w:rPr>
          <w:rFonts w:ascii="Arial" w:hAnsi="Arial"/>
          <w:sz w:val="18"/>
          <w:lang w:val="en-GB"/>
        </w:rPr>
      </w:pPr>
      <w:r w:rsidRPr="00D403F5">
        <w:rPr>
          <w:rFonts w:ascii="Arial" w:hAnsi="Arial"/>
          <w:sz w:val="18"/>
          <w:lang w:val="en-GB"/>
        </w:rPr>
        <w:t>ii)</w:t>
      </w:r>
      <w:r w:rsidRPr="00D403F5">
        <w:rPr>
          <w:rFonts w:ascii="Arial" w:hAnsi="Arial"/>
          <w:sz w:val="18"/>
          <w:lang w:val="en-GB"/>
        </w:rPr>
        <w:tab/>
        <w:t xml:space="preserve">Histopathological changes </w:t>
      </w:r>
      <w:r w:rsidRPr="00D403F5">
        <w:rPr>
          <w:rFonts w:ascii="Arial" w:hAnsi="Arial"/>
          <w:strike/>
          <w:sz w:val="18"/>
          <w:lang w:val="en-GB"/>
        </w:rPr>
        <w:t xml:space="preserve">(including immunohistochemistry) </w:t>
      </w:r>
      <w:r w:rsidRPr="00D403F5">
        <w:rPr>
          <w:rFonts w:ascii="Arial" w:hAnsi="Arial"/>
          <w:sz w:val="18"/>
          <w:lang w:val="en-GB"/>
        </w:rPr>
        <w:t xml:space="preserve">consistent with the presence of the pathogen or the disease. </w:t>
      </w:r>
    </w:p>
    <w:p w14:paraId="54A8B519" w14:textId="77777777" w:rsidR="00E65E42" w:rsidRPr="00D403F5" w:rsidRDefault="00E65E42" w:rsidP="001C6A78">
      <w:pPr>
        <w:pStyle w:val="Para3i"/>
        <w:ind w:left="1134" w:hanging="425"/>
        <w:rPr>
          <w:rFonts w:ascii="Arial" w:hAnsi="Arial"/>
          <w:sz w:val="18"/>
          <w:lang w:val="en-GB"/>
        </w:rPr>
      </w:pPr>
      <w:r w:rsidRPr="00D403F5">
        <w:rPr>
          <w:rFonts w:ascii="Arial" w:hAnsi="Arial"/>
          <w:sz w:val="18"/>
          <w:lang w:val="en-GB"/>
        </w:rPr>
        <w:t>iii)</w:t>
      </w:r>
      <w:r w:rsidRPr="00D403F5">
        <w:rPr>
          <w:rFonts w:ascii="Arial" w:hAnsi="Arial"/>
          <w:sz w:val="18"/>
          <w:lang w:val="en-GB"/>
        </w:rPr>
        <w:tab/>
        <w:t xml:space="preserve">The presence of motile spores, compatible with chytrid zoospores, in wet mount of urodele skin. </w:t>
      </w:r>
    </w:p>
    <w:p w14:paraId="67385B7E" w14:textId="77777777" w:rsidR="00E65E42" w:rsidRPr="00EA19EA" w:rsidRDefault="00E65E42" w:rsidP="001C6A78">
      <w:pPr>
        <w:pStyle w:val="Para3i"/>
        <w:ind w:left="1134" w:hanging="425"/>
        <w:rPr>
          <w:rFonts w:ascii="Arial" w:hAnsi="Arial"/>
          <w:strike/>
          <w:sz w:val="18"/>
          <w:lang w:val="en-GB"/>
        </w:rPr>
      </w:pPr>
      <w:r w:rsidRPr="00EA19EA">
        <w:rPr>
          <w:rFonts w:ascii="Arial" w:hAnsi="Arial"/>
          <w:strike/>
          <w:sz w:val="18"/>
          <w:highlight w:val="yellow"/>
          <w:lang w:val="en-GB"/>
        </w:rPr>
        <w:t>iv)</w:t>
      </w:r>
      <w:r w:rsidRPr="001C6A78">
        <w:rPr>
          <w:rFonts w:ascii="Arial" w:hAnsi="Arial"/>
          <w:sz w:val="18"/>
          <w:lang w:val="en-GB"/>
        </w:rPr>
        <w:tab/>
      </w:r>
      <w:r w:rsidRPr="00EA19EA">
        <w:rPr>
          <w:rFonts w:ascii="Arial" w:hAnsi="Arial"/>
          <w:strike/>
          <w:sz w:val="18"/>
          <w:highlight w:val="yellow"/>
          <w:lang w:val="en-GB"/>
        </w:rPr>
        <w:t>Positive result from lateral flow assay (LFA).</w:t>
      </w:r>
    </w:p>
    <w:p w14:paraId="781AE1B0" w14:textId="77777777" w:rsidR="00E65E42" w:rsidRPr="001C6A78" w:rsidRDefault="00E65E42" w:rsidP="001C6A78">
      <w:pPr>
        <w:pStyle w:val="111"/>
        <w:spacing w:after="240"/>
        <w:ind w:left="1276"/>
        <w:rPr>
          <w:szCs w:val="20"/>
        </w:rPr>
      </w:pPr>
      <w:r w:rsidRPr="001C6A78">
        <w:rPr>
          <w:szCs w:val="20"/>
        </w:rPr>
        <w:t>6.1.2.</w:t>
      </w:r>
      <w:r w:rsidRPr="001C6A78">
        <w:rPr>
          <w:szCs w:val="20"/>
        </w:rPr>
        <w:tab/>
        <w:t>Definition of confirmed case in apparently healthy animals</w:t>
      </w:r>
    </w:p>
    <w:p w14:paraId="3A5112E0" w14:textId="77777777" w:rsidR="00E65E42" w:rsidRPr="00D403F5" w:rsidRDefault="00E65E42" w:rsidP="001C6A78">
      <w:pPr>
        <w:pStyle w:val="Para3"/>
        <w:ind w:left="709"/>
        <w:rPr>
          <w:szCs w:val="18"/>
          <w:lang w:val="en-GB"/>
        </w:rPr>
      </w:pPr>
      <w:r w:rsidRPr="00D403F5">
        <w:rPr>
          <w:szCs w:val="18"/>
          <w:lang w:val="en-GB"/>
        </w:rPr>
        <w:t>The presence of infection</w:t>
      </w:r>
      <w:r>
        <w:rPr>
          <w:szCs w:val="18"/>
          <w:lang w:val="en-GB"/>
        </w:rPr>
        <w:t xml:space="preserve"> </w:t>
      </w:r>
      <w:r w:rsidRPr="00EC0E5F">
        <w:rPr>
          <w:szCs w:val="18"/>
          <w:highlight w:val="yellow"/>
          <w:u w:val="double"/>
          <w:lang w:val="en-GB"/>
        </w:rPr>
        <w:t>with Bsal</w:t>
      </w:r>
      <w:r w:rsidRPr="00D403F5">
        <w:rPr>
          <w:szCs w:val="18"/>
          <w:lang w:val="en-GB"/>
        </w:rPr>
        <w:t xml:space="preserve"> is confirmed if</w:t>
      </w:r>
      <w:r w:rsidRPr="00D403F5">
        <w:rPr>
          <w:strike/>
          <w:szCs w:val="18"/>
          <w:lang w:val="en-GB"/>
        </w:rPr>
        <w:t xml:space="preserve"> positive results have been obtained on at least</w:t>
      </w:r>
      <w:r w:rsidRPr="00D403F5">
        <w:rPr>
          <w:szCs w:val="18"/>
          <w:u w:val="double"/>
        </w:rPr>
        <w:t xml:space="preserve">, in addition to the criteria in </w:t>
      </w:r>
      <w:r w:rsidRPr="00D403F5">
        <w:rPr>
          <w:spacing w:val="-2"/>
          <w:szCs w:val="18"/>
          <w:u w:val="double"/>
        </w:rPr>
        <w:t>Section 6.1.1.</w:t>
      </w:r>
      <w:r w:rsidRPr="00D403F5">
        <w:rPr>
          <w:szCs w:val="18"/>
          <w:u w:val="double"/>
        </w:rPr>
        <w:t>,</w:t>
      </w:r>
      <w:r w:rsidRPr="00D403F5">
        <w:rPr>
          <w:szCs w:val="18"/>
        </w:rPr>
        <w:t xml:space="preserve"> </w:t>
      </w:r>
      <w:r w:rsidRPr="00D403F5">
        <w:rPr>
          <w:szCs w:val="18"/>
          <w:lang w:val="en-GB"/>
        </w:rPr>
        <w:t xml:space="preserve">one </w:t>
      </w:r>
      <w:r w:rsidRPr="00D403F5">
        <w:rPr>
          <w:strike/>
          <w:szCs w:val="18"/>
          <w:lang w:val="en-GB"/>
        </w:rPr>
        <w:t xml:space="preserve">animal from two tests used in </w:t>
      </w:r>
      <w:r w:rsidRPr="00D403F5">
        <w:rPr>
          <w:szCs w:val="18"/>
          <w:u w:val="double"/>
          <w:lang w:val="en-GB"/>
        </w:rPr>
        <w:t>of</w:t>
      </w:r>
      <w:r w:rsidRPr="00D403F5">
        <w:rPr>
          <w:szCs w:val="18"/>
          <w:lang w:val="en-GB"/>
        </w:rPr>
        <w:t xml:space="preserve"> the following </w:t>
      </w:r>
      <w:r w:rsidRPr="00D403F5">
        <w:rPr>
          <w:strike/>
          <w:szCs w:val="18"/>
          <w:lang w:val="en-GB"/>
        </w:rPr>
        <w:t xml:space="preserve">combination </w:t>
      </w:r>
      <w:r w:rsidRPr="00D403F5">
        <w:rPr>
          <w:szCs w:val="18"/>
          <w:u w:val="double"/>
          <w:lang w:val="en-GB"/>
        </w:rPr>
        <w:t>criteria is met</w:t>
      </w:r>
      <w:r w:rsidRPr="00D403F5">
        <w:rPr>
          <w:szCs w:val="18"/>
          <w:lang w:val="en-GB"/>
        </w:rPr>
        <w:t>:</w:t>
      </w:r>
    </w:p>
    <w:p w14:paraId="534DF19E" w14:textId="77777777" w:rsidR="00E65E42" w:rsidRPr="00D403F5" w:rsidRDefault="00E65E42" w:rsidP="001C6A78">
      <w:pPr>
        <w:pStyle w:val="Para3"/>
        <w:ind w:left="1134" w:hanging="425"/>
        <w:rPr>
          <w:szCs w:val="18"/>
          <w:lang w:val="en-GB"/>
        </w:rPr>
      </w:pPr>
      <w:r w:rsidRPr="00D403F5">
        <w:rPr>
          <w:szCs w:val="18"/>
          <w:lang w:val="en-GB"/>
        </w:rPr>
        <w:t>i)</w:t>
      </w:r>
      <w:r w:rsidRPr="00D403F5">
        <w:rPr>
          <w:szCs w:val="18"/>
          <w:lang w:val="en-GB"/>
        </w:rPr>
        <w:tab/>
        <w:t>Positive result by real-time PCR</w:t>
      </w:r>
      <w:r w:rsidRPr="00631F77">
        <w:rPr>
          <w:szCs w:val="18"/>
          <w:highlight w:val="yellow"/>
          <w:lang w:val="en-GB"/>
        </w:rPr>
        <w:t>.</w:t>
      </w:r>
      <w:r w:rsidRPr="00D403F5">
        <w:rPr>
          <w:szCs w:val="18"/>
          <w:lang w:val="en-GB"/>
        </w:rPr>
        <w:t xml:space="preserve"> </w:t>
      </w:r>
      <w:r w:rsidRPr="00631F77">
        <w:rPr>
          <w:strike/>
          <w:szCs w:val="18"/>
          <w:highlight w:val="yellow"/>
          <w:lang w:val="en-GB"/>
        </w:rPr>
        <w:t>on skin swab or skin tissue,</w:t>
      </w:r>
      <w:r w:rsidRPr="00D403F5">
        <w:rPr>
          <w:strike/>
          <w:szCs w:val="18"/>
          <w:lang w:val="en-GB"/>
        </w:rPr>
        <w:t xml:space="preserve"> and by histopathology or immunohistochemistry on skin tissue</w:t>
      </w:r>
      <w:r w:rsidRPr="00D403F5">
        <w:rPr>
          <w:szCs w:val="18"/>
          <w:lang w:val="en-GB"/>
        </w:rPr>
        <w:t xml:space="preserve">. </w:t>
      </w:r>
    </w:p>
    <w:p w14:paraId="703B16DB" w14:textId="77777777" w:rsidR="00E65E42" w:rsidRPr="00D403F5" w:rsidRDefault="00E65E42" w:rsidP="001C6A78">
      <w:pPr>
        <w:pStyle w:val="Para3"/>
        <w:ind w:left="1134" w:hanging="425"/>
        <w:rPr>
          <w:szCs w:val="18"/>
          <w:lang w:val="en-GB"/>
        </w:rPr>
      </w:pPr>
      <w:r w:rsidRPr="00D403F5">
        <w:rPr>
          <w:szCs w:val="18"/>
          <w:lang w:val="en-GB"/>
        </w:rPr>
        <w:t>ii)</w:t>
      </w:r>
      <w:r w:rsidRPr="00D403F5">
        <w:rPr>
          <w:szCs w:val="18"/>
          <w:lang w:val="en-GB"/>
        </w:rPr>
        <w:tab/>
      </w:r>
      <w:r w:rsidRPr="00D403F5">
        <w:rPr>
          <w:strike/>
          <w:szCs w:val="18"/>
          <w:lang w:val="en-GB"/>
        </w:rPr>
        <w:t xml:space="preserve">Positive result by real-time PCR on skin swab or skin tissue, and </w:t>
      </w:r>
      <w:r w:rsidRPr="00D403F5">
        <w:rPr>
          <w:szCs w:val="18"/>
          <w:lang w:val="en-GB"/>
        </w:rPr>
        <w:t xml:space="preserve">Pathogenic agent isolation from the skin </w:t>
      </w:r>
      <w:r w:rsidRPr="00D403F5">
        <w:rPr>
          <w:szCs w:val="18"/>
          <w:u w:val="double"/>
          <w:lang w:val="en-GB"/>
        </w:rPr>
        <w:t>in culture</w:t>
      </w:r>
      <w:r w:rsidRPr="00D403F5">
        <w:rPr>
          <w:szCs w:val="18"/>
          <w:lang w:val="en-GB"/>
        </w:rPr>
        <w:t xml:space="preserve"> and </w:t>
      </w:r>
      <w:r w:rsidRPr="00D403F5">
        <w:rPr>
          <w:strike/>
          <w:szCs w:val="18"/>
          <w:lang w:val="en-GB"/>
        </w:rPr>
        <w:t xml:space="preserve">confirmation </w:t>
      </w:r>
      <w:r w:rsidRPr="00D403F5">
        <w:rPr>
          <w:szCs w:val="18"/>
          <w:u w:val="double"/>
          <w:lang w:val="en-GB"/>
        </w:rPr>
        <w:t>identification</w:t>
      </w:r>
      <w:r w:rsidRPr="00D403F5">
        <w:rPr>
          <w:szCs w:val="18"/>
          <w:lang w:val="en-GB"/>
        </w:rPr>
        <w:t xml:space="preserve"> by real-time PCR. </w:t>
      </w:r>
    </w:p>
    <w:p w14:paraId="1AE87FB2" w14:textId="77777777" w:rsidR="00754D87" w:rsidRDefault="00754D87">
      <w:pPr>
        <w:rPr>
          <w:rFonts w:ascii="Ottawa" w:eastAsia="MS Mincho" w:hAnsi="Ottawa" w:cs="Times New Roman"/>
          <w:b/>
          <w:sz w:val="21"/>
          <w:szCs w:val="21"/>
          <w:lang w:eastAsia="da-DK"/>
        </w:rPr>
      </w:pPr>
      <w:r>
        <w:rPr>
          <w:rFonts w:ascii="Ottawa" w:hAnsi="Ottawa"/>
          <w:sz w:val="21"/>
          <w:szCs w:val="21"/>
        </w:rPr>
        <w:br w:type="page"/>
      </w:r>
    </w:p>
    <w:p w14:paraId="07EDE530" w14:textId="77777777" w:rsidR="00754D87" w:rsidRDefault="00754D87" w:rsidP="00754D87">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12</w:t>
      </w:r>
      <w:r w:rsidRPr="00DB0A8D">
        <w:rPr>
          <w:rFonts w:cs="Times New Roman"/>
          <w:bCs/>
          <w:iCs/>
          <w:szCs w:val="20"/>
        </w:rPr>
        <w:t xml:space="preserve"> (contd)</w:t>
      </w:r>
    </w:p>
    <w:p w14:paraId="25E8D54F" w14:textId="612671CC" w:rsidR="00E65E42" w:rsidRPr="00E27DA5" w:rsidRDefault="00E65E42" w:rsidP="001C6A78">
      <w:pPr>
        <w:pStyle w:val="11"/>
        <w:rPr>
          <w:rFonts w:ascii="Ottawa" w:hAnsi="Ottawa"/>
          <w:sz w:val="21"/>
          <w:szCs w:val="21"/>
          <w:lang w:val="en-GB"/>
        </w:rPr>
      </w:pPr>
      <w:r w:rsidRPr="00E27DA5">
        <w:rPr>
          <w:rFonts w:ascii="Ottawa" w:hAnsi="Ottawa"/>
          <w:sz w:val="21"/>
          <w:szCs w:val="21"/>
          <w:lang w:val="en-GB"/>
        </w:rPr>
        <w:t>6.2.</w:t>
      </w:r>
      <w:r w:rsidRPr="00E27DA5">
        <w:rPr>
          <w:rFonts w:ascii="Ottawa" w:hAnsi="Ottawa"/>
          <w:sz w:val="21"/>
          <w:szCs w:val="21"/>
          <w:lang w:val="en-GB"/>
        </w:rPr>
        <w:tab/>
        <w:t>Clinically affected animals</w:t>
      </w:r>
    </w:p>
    <w:p w14:paraId="704BF404" w14:textId="77777777" w:rsidR="00E65E42" w:rsidRPr="00D403F5" w:rsidRDefault="00E65E42" w:rsidP="001C6A78">
      <w:pPr>
        <w:pStyle w:val="Para20"/>
        <w:ind w:left="709"/>
        <w:rPr>
          <w:szCs w:val="18"/>
          <w:lang w:val="en-GB"/>
        </w:rPr>
      </w:pPr>
      <w:r w:rsidRPr="00D403F5">
        <w:rPr>
          <w:szCs w:val="18"/>
          <w:lang w:val="en-GB"/>
        </w:rPr>
        <w:t xml:space="preserve">Clinical signs are not pathognomonic for a single disease; however, they may narrow the range of possible diagnoses. </w:t>
      </w:r>
    </w:p>
    <w:p w14:paraId="2CDD1FC3" w14:textId="6F8D725E" w:rsidR="00E65E42" w:rsidRPr="00D403F5" w:rsidRDefault="001C6A78" w:rsidP="001C6A78">
      <w:pPr>
        <w:pStyle w:val="111"/>
        <w:spacing w:after="240"/>
        <w:ind w:left="1276"/>
        <w:rPr>
          <w:sz w:val="18"/>
          <w:szCs w:val="18"/>
        </w:rPr>
      </w:pPr>
      <w:r>
        <w:rPr>
          <w:sz w:val="18"/>
          <w:szCs w:val="18"/>
        </w:rPr>
        <w:t>6.2.1.</w:t>
      </w:r>
      <w:r>
        <w:rPr>
          <w:sz w:val="18"/>
          <w:szCs w:val="18"/>
        </w:rPr>
        <w:tab/>
      </w:r>
      <w:r w:rsidR="00E65E42" w:rsidRPr="00D403F5">
        <w:rPr>
          <w:sz w:val="18"/>
          <w:szCs w:val="18"/>
        </w:rPr>
        <w:t>Definition of suspect case in clinically affected animals</w:t>
      </w:r>
    </w:p>
    <w:p w14:paraId="3A183B4E" w14:textId="77777777" w:rsidR="00E65E42" w:rsidRPr="00D403F5" w:rsidRDefault="00E65E42" w:rsidP="001C6A78">
      <w:pPr>
        <w:pStyle w:val="Para3"/>
        <w:ind w:left="709"/>
        <w:rPr>
          <w:szCs w:val="18"/>
          <w:lang w:val="en-GB"/>
        </w:rPr>
      </w:pPr>
      <w:r w:rsidRPr="00D403F5">
        <w:rPr>
          <w:szCs w:val="18"/>
          <w:lang w:val="en-GB"/>
        </w:rPr>
        <w:t xml:space="preserve">The presence of infection </w:t>
      </w:r>
      <w:r w:rsidRPr="00EC0E5F">
        <w:rPr>
          <w:szCs w:val="18"/>
          <w:highlight w:val="yellow"/>
          <w:u w:val="double"/>
          <w:lang w:val="en-GB"/>
        </w:rPr>
        <w:t>with Bsal</w:t>
      </w:r>
      <w:r w:rsidRPr="00D403F5">
        <w:rPr>
          <w:szCs w:val="18"/>
          <w:lang w:val="en-GB"/>
        </w:rPr>
        <w:t xml:space="preserve"> shall be suspected if at least one of the following criteria </w:t>
      </w:r>
      <w:r>
        <w:rPr>
          <w:szCs w:val="18"/>
          <w:lang w:val="en-GB"/>
        </w:rPr>
        <w:t>is</w:t>
      </w:r>
      <w:r w:rsidRPr="00D403F5">
        <w:rPr>
          <w:szCs w:val="18"/>
          <w:lang w:val="en-GB"/>
        </w:rPr>
        <w:t xml:space="preserve"> met:</w:t>
      </w:r>
    </w:p>
    <w:p w14:paraId="4EA7F368" w14:textId="77777777" w:rsidR="00E65E42" w:rsidRPr="00D403F5" w:rsidRDefault="00E65E42" w:rsidP="001C6A78">
      <w:pPr>
        <w:pStyle w:val="Para3i"/>
        <w:ind w:left="1134" w:hanging="425"/>
        <w:rPr>
          <w:rFonts w:ascii="Arial" w:hAnsi="Arial"/>
          <w:sz w:val="18"/>
          <w:lang w:val="en-GB"/>
        </w:rPr>
      </w:pPr>
      <w:r w:rsidRPr="00D403F5">
        <w:rPr>
          <w:rFonts w:ascii="Arial" w:hAnsi="Arial"/>
          <w:sz w:val="18"/>
          <w:lang w:val="en-GB"/>
        </w:rPr>
        <w:t>i)</w:t>
      </w:r>
      <w:r w:rsidRPr="00D403F5">
        <w:rPr>
          <w:rFonts w:ascii="Arial" w:hAnsi="Arial"/>
          <w:sz w:val="18"/>
          <w:lang w:val="en-GB"/>
        </w:rPr>
        <w:tab/>
      </w:r>
      <w:r w:rsidRPr="00D403F5">
        <w:rPr>
          <w:rFonts w:ascii="Arial" w:hAnsi="Arial"/>
          <w:sz w:val="18"/>
          <w:lang w:val="en-GB" w:bidi="en-US"/>
        </w:rPr>
        <w:t>Clinical signs (haemorrhages, ulcerations, presence of sloughed skin, see Section 2.3.2.), notably the presence of skin ulcers and/or disecdysis.</w:t>
      </w:r>
    </w:p>
    <w:p w14:paraId="1C31AEFB" w14:textId="77777777" w:rsidR="00E65E42" w:rsidRPr="00D403F5" w:rsidRDefault="00E65E42" w:rsidP="001C6A78">
      <w:pPr>
        <w:pStyle w:val="Para3i"/>
        <w:ind w:left="1134" w:hanging="425"/>
        <w:rPr>
          <w:rFonts w:ascii="Arial" w:hAnsi="Arial"/>
          <w:sz w:val="18"/>
          <w:lang w:val="en-GB"/>
        </w:rPr>
      </w:pPr>
      <w:r w:rsidRPr="00D403F5">
        <w:rPr>
          <w:rFonts w:ascii="Arial" w:hAnsi="Arial"/>
          <w:sz w:val="18"/>
          <w:lang w:val="en-GB"/>
        </w:rPr>
        <w:t>ii)</w:t>
      </w:r>
      <w:r w:rsidRPr="00D403F5">
        <w:rPr>
          <w:rFonts w:ascii="Arial" w:hAnsi="Arial"/>
          <w:sz w:val="18"/>
          <w:lang w:val="en-GB"/>
        </w:rPr>
        <w:tab/>
        <w:t>Positive result by real-time PCR</w:t>
      </w:r>
      <w:r w:rsidRPr="00631F77">
        <w:rPr>
          <w:rFonts w:ascii="Arial" w:hAnsi="Arial"/>
          <w:sz w:val="18"/>
          <w:highlight w:val="yellow"/>
          <w:u w:val="double"/>
          <w:lang w:val="en-GB"/>
        </w:rPr>
        <w:t>.</w:t>
      </w:r>
      <w:r w:rsidRPr="00D403F5">
        <w:rPr>
          <w:rFonts w:ascii="Arial" w:hAnsi="Arial"/>
          <w:sz w:val="18"/>
          <w:lang w:val="en-GB"/>
        </w:rPr>
        <w:t xml:space="preserve"> </w:t>
      </w:r>
      <w:r w:rsidRPr="00631F77">
        <w:rPr>
          <w:rFonts w:ascii="Arial" w:hAnsi="Arial"/>
          <w:strike/>
          <w:sz w:val="18"/>
          <w:highlight w:val="yellow"/>
          <w:lang w:val="en-GB"/>
        </w:rPr>
        <w:t xml:space="preserve">on </w:t>
      </w:r>
      <w:r w:rsidRPr="00A4300A">
        <w:rPr>
          <w:rFonts w:ascii="Arial" w:hAnsi="Arial"/>
          <w:strike/>
          <w:sz w:val="18"/>
          <w:highlight w:val="yellow"/>
          <w:lang w:val="en-GB"/>
        </w:rPr>
        <w:t>at least one</w:t>
      </w:r>
      <w:r w:rsidRPr="00631F77">
        <w:rPr>
          <w:rFonts w:ascii="Arial" w:hAnsi="Arial"/>
          <w:strike/>
          <w:sz w:val="18"/>
          <w:highlight w:val="yellow"/>
          <w:lang w:val="en-GB"/>
        </w:rPr>
        <w:t xml:space="preserve"> swab or skin tissue</w:t>
      </w:r>
      <w:r w:rsidRPr="00D403F5">
        <w:rPr>
          <w:rFonts w:ascii="Arial" w:hAnsi="Arial"/>
          <w:sz w:val="18"/>
          <w:lang w:val="en-GB"/>
        </w:rPr>
        <w:t xml:space="preserve">. </w:t>
      </w:r>
    </w:p>
    <w:p w14:paraId="391290A0" w14:textId="77777777" w:rsidR="00E65E42" w:rsidRPr="00D403F5" w:rsidRDefault="00E65E42" w:rsidP="001C6A78">
      <w:pPr>
        <w:pStyle w:val="Para3i"/>
        <w:ind w:left="1134" w:hanging="425"/>
        <w:rPr>
          <w:rFonts w:ascii="Arial" w:hAnsi="Arial"/>
          <w:sz w:val="18"/>
          <w:lang w:val="en-GB"/>
        </w:rPr>
      </w:pPr>
      <w:r w:rsidRPr="00D403F5">
        <w:rPr>
          <w:rFonts w:ascii="Arial" w:hAnsi="Arial"/>
          <w:sz w:val="18"/>
          <w:lang w:val="en-GB"/>
        </w:rPr>
        <w:t>iii)</w:t>
      </w:r>
      <w:r w:rsidRPr="00D403F5">
        <w:rPr>
          <w:rFonts w:ascii="Arial" w:hAnsi="Arial"/>
          <w:sz w:val="18"/>
          <w:lang w:val="en-GB"/>
        </w:rPr>
        <w:tab/>
        <w:t>Histopathological changes consistent with the presence of the pathogenic agent or the disease.</w:t>
      </w:r>
    </w:p>
    <w:p w14:paraId="184321DE" w14:textId="77777777" w:rsidR="00E65E42" w:rsidRPr="00D403F5" w:rsidRDefault="00E65E42" w:rsidP="001C6A78">
      <w:pPr>
        <w:pStyle w:val="Para3i"/>
        <w:ind w:left="1134" w:hanging="425"/>
        <w:rPr>
          <w:rFonts w:ascii="Arial" w:hAnsi="Arial"/>
          <w:sz w:val="18"/>
          <w:lang w:val="en-GB"/>
        </w:rPr>
      </w:pPr>
      <w:r w:rsidRPr="00D403F5">
        <w:rPr>
          <w:rFonts w:ascii="Arial" w:hAnsi="Arial"/>
          <w:sz w:val="18"/>
          <w:lang w:val="en-GB"/>
        </w:rPr>
        <w:t>iv)</w:t>
      </w:r>
      <w:r w:rsidRPr="00D403F5">
        <w:rPr>
          <w:rFonts w:ascii="Arial" w:hAnsi="Arial"/>
          <w:sz w:val="18"/>
          <w:lang w:val="en-GB"/>
        </w:rPr>
        <w:tab/>
        <w:t>Visual observation (by microscopy) of motile spores, compatible with amphibian chytrid zoospores, in a wet mount of the skin of at least one diseased urodele.</w:t>
      </w:r>
    </w:p>
    <w:p w14:paraId="62771006" w14:textId="77777777" w:rsidR="00E65E42" w:rsidRPr="00D403F5" w:rsidRDefault="00E65E42" w:rsidP="001C6A78">
      <w:pPr>
        <w:pStyle w:val="Para3i"/>
        <w:ind w:left="1134" w:hanging="425"/>
        <w:rPr>
          <w:rFonts w:ascii="Arial" w:hAnsi="Arial"/>
          <w:sz w:val="18"/>
          <w:lang w:val="en-GB"/>
        </w:rPr>
      </w:pPr>
      <w:r w:rsidRPr="00D403F5">
        <w:rPr>
          <w:rFonts w:ascii="Arial" w:hAnsi="Arial"/>
          <w:sz w:val="18"/>
          <w:lang w:val="en-GB"/>
        </w:rPr>
        <w:t>v)</w:t>
      </w:r>
      <w:r w:rsidRPr="00D403F5">
        <w:rPr>
          <w:rFonts w:ascii="Arial" w:hAnsi="Arial"/>
          <w:sz w:val="18"/>
          <w:lang w:val="en-GB"/>
        </w:rPr>
        <w:tab/>
        <w:t xml:space="preserve">Positive result of antigen detection </w:t>
      </w:r>
      <w:r w:rsidRPr="00D403F5">
        <w:rPr>
          <w:rFonts w:ascii="Arial" w:hAnsi="Arial"/>
          <w:strike/>
          <w:sz w:val="18"/>
          <w:lang w:val="en-GB"/>
        </w:rPr>
        <w:t>technique such as</w:t>
      </w:r>
      <w:r w:rsidRPr="00D403F5">
        <w:rPr>
          <w:rFonts w:ascii="Arial" w:hAnsi="Arial"/>
          <w:sz w:val="18"/>
          <w:lang w:val="en-GB"/>
        </w:rPr>
        <w:t xml:space="preserve"> </w:t>
      </w:r>
      <w:r w:rsidRPr="00D403F5">
        <w:rPr>
          <w:rFonts w:ascii="Arial" w:hAnsi="Arial"/>
          <w:sz w:val="18"/>
          <w:u w:val="double"/>
          <w:lang w:val="en-GB"/>
        </w:rPr>
        <w:t>by</w:t>
      </w:r>
      <w:r w:rsidRPr="00D403F5">
        <w:rPr>
          <w:rFonts w:ascii="Arial" w:hAnsi="Arial"/>
          <w:sz w:val="18"/>
          <w:lang w:val="en-GB"/>
        </w:rPr>
        <w:t xml:space="preserve"> LFA.</w:t>
      </w:r>
      <w:r w:rsidRPr="00D403F5" w:rsidDel="00032617">
        <w:rPr>
          <w:rFonts w:ascii="Arial" w:hAnsi="Arial"/>
          <w:sz w:val="18"/>
          <w:lang w:val="en-GB"/>
        </w:rPr>
        <w:t xml:space="preserve"> </w:t>
      </w:r>
    </w:p>
    <w:p w14:paraId="0CAE8FDF" w14:textId="77777777" w:rsidR="00E65E42" w:rsidRPr="00D403F5" w:rsidRDefault="00E65E42" w:rsidP="001C6A78">
      <w:pPr>
        <w:pStyle w:val="Para3i"/>
        <w:ind w:left="1134" w:hanging="425"/>
        <w:rPr>
          <w:rFonts w:ascii="Arial" w:hAnsi="Arial"/>
          <w:strike/>
          <w:sz w:val="18"/>
          <w:lang w:val="en-GB"/>
        </w:rPr>
      </w:pPr>
      <w:r w:rsidRPr="00D403F5">
        <w:rPr>
          <w:rFonts w:ascii="Arial" w:hAnsi="Arial"/>
          <w:strike/>
          <w:sz w:val="18"/>
          <w:lang w:val="en-GB"/>
        </w:rPr>
        <w:t>vi)</w:t>
      </w:r>
      <w:r w:rsidRPr="001C6A78">
        <w:rPr>
          <w:rFonts w:ascii="Arial" w:hAnsi="Arial"/>
          <w:sz w:val="18"/>
          <w:lang w:val="en-GB"/>
        </w:rPr>
        <w:tab/>
      </w:r>
      <w:r w:rsidRPr="00D403F5">
        <w:rPr>
          <w:rFonts w:ascii="Arial" w:hAnsi="Arial"/>
          <w:strike/>
          <w:sz w:val="18"/>
          <w:lang w:val="en-GB"/>
        </w:rPr>
        <w:t>Positive result from immunohistochemistry.</w:t>
      </w:r>
      <w:r w:rsidRPr="00D403F5" w:rsidDel="00032617">
        <w:rPr>
          <w:rFonts w:ascii="Arial" w:hAnsi="Arial"/>
          <w:strike/>
          <w:sz w:val="18"/>
          <w:lang w:val="en-GB"/>
        </w:rPr>
        <w:t xml:space="preserve"> </w:t>
      </w:r>
    </w:p>
    <w:p w14:paraId="1FD221C0" w14:textId="77777777" w:rsidR="00E65E42" w:rsidRPr="00D403F5" w:rsidRDefault="00E65E42" w:rsidP="001C6A78">
      <w:pPr>
        <w:pStyle w:val="111"/>
        <w:spacing w:after="240"/>
        <w:ind w:left="1276"/>
        <w:rPr>
          <w:sz w:val="18"/>
          <w:szCs w:val="18"/>
        </w:rPr>
      </w:pPr>
      <w:r w:rsidRPr="00D403F5">
        <w:rPr>
          <w:sz w:val="18"/>
          <w:szCs w:val="18"/>
        </w:rPr>
        <w:t>6.2.2.</w:t>
      </w:r>
      <w:r w:rsidRPr="00D403F5">
        <w:rPr>
          <w:sz w:val="18"/>
          <w:szCs w:val="18"/>
        </w:rPr>
        <w:tab/>
        <w:t>Definition of confirmed case in clinically affected animals</w:t>
      </w:r>
    </w:p>
    <w:p w14:paraId="5B657E04" w14:textId="77777777" w:rsidR="00E65E42" w:rsidRPr="00D403F5" w:rsidRDefault="00E65E42" w:rsidP="001C6A78">
      <w:pPr>
        <w:pStyle w:val="Para3"/>
        <w:ind w:left="709"/>
        <w:rPr>
          <w:szCs w:val="18"/>
          <w:lang w:val="en-GB"/>
        </w:rPr>
      </w:pPr>
      <w:r w:rsidRPr="00D403F5">
        <w:rPr>
          <w:szCs w:val="18"/>
          <w:lang w:val="en-GB"/>
        </w:rPr>
        <w:t>The presence of infection</w:t>
      </w:r>
      <w:r w:rsidRPr="00EC0E5F">
        <w:rPr>
          <w:szCs w:val="18"/>
          <w:lang w:val="en-GB"/>
        </w:rPr>
        <w:t xml:space="preserve"> </w:t>
      </w:r>
      <w:r w:rsidRPr="00EC0E5F">
        <w:rPr>
          <w:szCs w:val="18"/>
          <w:highlight w:val="yellow"/>
          <w:u w:val="double"/>
          <w:lang w:val="en-GB"/>
        </w:rPr>
        <w:t>with Bsal</w:t>
      </w:r>
      <w:r w:rsidRPr="00D403F5">
        <w:rPr>
          <w:szCs w:val="18"/>
          <w:lang w:val="en-GB"/>
        </w:rPr>
        <w:t xml:space="preserve"> is confirmed if</w:t>
      </w:r>
      <w:r>
        <w:rPr>
          <w:szCs w:val="18"/>
          <w:lang w:val="en-GB"/>
        </w:rPr>
        <w:t xml:space="preserve">, </w:t>
      </w:r>
      <w:r w:rsidRPr="00AC1327">
        <w:rPr>
          <w:szCs w:val="18"/>
          <w:highlight w:val="yellow"/>
          <w:u w:val="double"/>
          <w:lang w:val="en-GB"/>
        </w:rPr>
        <w:t xml:space="preserve">in addition to the criteria in Section </w:t>
      </w:r>
      <w:r w:rsidRPr="00400774">
        <w:rPr>
          <w:szCs w:val="18"/>
          <w:highlight w:val="yellow"/>
          <w:u w:val="double"/>
          <w:lang w:val="en-GB"/>
        </w:rPr>
        <w:t>6.2.1</w:t>
      </w:r>
      <w:r>
        <w:rPr>
          <w:szCs w:val="18"/>
          <w:highlight w:val="yellow"/>
          <w:u w:val="double"/>
          <w:lang w:val="en-GB"/>
        </w:rPr>
        <w:t>.</w:t>
      </w:r>
      <w:r w:rsidRPr="00400774">
        <w:rPr>
          <w:szCs w:val="18"/>
          <w:highlight w:val="yellow"/>
          <w:u w:val="double"/>
          <w:lang w:val="en-GB"/>
        </w:rPr>
        <w:t>,</w:t>
      </w:r>
      <w:r w:rsidRPr="00400774">
        <w:rPr>
          <w:szCs w:val="18"/>
          <w:highlight w:val="yellow"/>
          <w:lang w:val="en-GB"/>
        </w:rPr>
        <w:t xml:space="preserve"> </w:t>
      </w:r>
      <w:r w:rsidRPr="00400774">
        <w:rPr>
          <w:strike/>
          <w:szCs w:val="18"/>
          <w:highlight w:val="yellow"/>
          <w:lang w:val="en-GB"/>
        </w:rPr>
        <w:t xml:space="preserve">positive </w:t>
      </w:r>
      <w:r w:rsidRPr="00AC1327">
        <w:rPr>
          <w:strike/>
          <w:szCs w:val="18"/>
          <w:highlight w:val="yellow"/>
          <w:lang w:val="en-GB"/>
        </w:rPr>
        <w:t>results have been obtained on at least one animal from</w:t>
      </w:r>
      <w:r w:rsidRPr="00D403F5">
        <w:rPr>
          <w:szCs w:val="18"/>
          <w:lang w:val="en-GB"/>
        </w:rPr>
        <w:t xml:space="preserve"> </w:t>
      </w:r>
      <w:r w:rsidRPr="00D403F5">
        <w:rPr>
          <w:strike/>
          <w:szCs w:val="18"/>
          <w:lang w:val="en-GB"/>
        </w:rPr>
        <w:t xml:space="preserve">two tests used in </w:t>
      </w:r>
      <w:r w:rsidRPr="00D403F5">
        <w:rPr>
          <w:szCs w:val="18"/>
          <w:u w:val="double"/>
          <w:lang w:val="en-GB"/>
        </w:rPr>
        <w:t>one of</w:t>
      </w:r>
      <w:r w:rsidRPr="00D403F5">
        <w:rPr>
          <w:szCs w:val="18"/>
          <w:lang w:val="en-GB"/>
        </w:rPr>
        <w:t xml:space="preserve"> the following </w:t>
      </w:r>
      <w:r w:rsidRPr="00D403F5">
        <w:rPr>
          <w:strike/>
          <w:szCs w:val="18"/>
          <w:lang w:val="en-GB"/>
        </w:rPr>
        <w:t xml:space="preserve">combination </w:t>
      </w:r>
      <w:r w:rsidRPr="00AC1327">
        <w:rPr>
          <w:strike/>
          <w:szCs w:val="18"/>
          <w:highlight w:val="yellow"/>
          <w:lang w:val="en-GB"/>
        </w:rPr>
        <w:t>diagnostic tests</w:t>
      </w:r>
      <w:r>
        <w:rPr>
          <w:strike/>
          <w:szCs w:val="18"/>
          <w:lang w:val="en-GB"/>
        </w:rPr>
        <w:t xml:space="preserve"> </w:t>
      </w:r>
      <w:r w:rsidRPr="00AC1327">
        <w:rPr>
          <w:szCs w:val="18"/>
          <w:highlight w:val="yellow"/>
          <w:u w:val="double"/>
          <w:lang w:val="en-GB"/>
        </w:rPr>
        <w:t>criteria is met</w:t>
      </w:r>
      <w:r w:rsidRPr="00D403F5">
        <w:rPr>
          <w:szCs w:val="18"/>
          <w:lang w:val="en-GB"/>
        </w:rPr>
        <w:t>:</w:t>
      </w:r>
    </w:p>
    <w:p w14:paraId="5FA0534A" w14:textId="77777777" w:rsidR="00E65E42" w:rsidRPr="00D403F5" w:rsidRDefault="00E65E42" w:rsidP="00E65E42">
      <w:pPr>
        <w:pStyle w:val="Para3"/>
        <w:ind w:left="1276" w:hanging="425"/>
        <w:rPr>
          <w:szCs w:val="18"/>
          <w:lang w:val="en-GB"/>
        </w:rPr>
      </w:pPr>
      <w:r w:rsidRPr="00D403F5">
        <w:rPr>
          <w:szCs w:val="18"/>
          <w:lang w:val="en-GB"/>
        </w:rPr>
        <w:t>i)</w:t>
      </w:r>
      <w:r w:rsidRPr="00D403F5">
        <w:rPr>
          <w:szCs w:val="18"/>
          <w:lang w:val="en-GB"/>
        </w:rPr>
        <w:tab/>
        <w:t>Positive result by real-time PCR</w:t>
      </w:r>
      <w:r w:rsidRPr="00631F77">
        <w:rPr>
          <w:szCs w:val="18"/>
          <w:highlight w:val="yellow"/>
          <w:u w:val="double"/>
          <w:lang w:val="en-GB"/>
        </w:rPr>
        <w:t>.</w:t>
      </w:r>
      <w:r w:rsidRPr="00D403F5">
        <w:rPr>
          <w:szCs w:val="18"/>
          <w:lang w:val="en-GB"/>
        </w:rPr>
        <w:t xml:space="preserve"> </w:t>
      </w:r>
      <w:r w:rsidRPr="00631F77">
        <w:rPr>
          <w:strike/>
          <w:szCs w:val="18"/>
          <w:highlight w:val="yellow"/>
          <w:lang w:val="en-GB"/>
        </w:rPr>
        <w:t>on skin swab or skin tissue</w:t>
      </w:r>
      <w:r w:rsidRPr="00D403F5">
        <w:rPr>
          <w:strike/>
          <w:szCs w:val="18"/>
          <w:lang w:val="en-GB"/>
        </w:rPr>
        <w:t xml:space="preserve"> and by histopathology</w:t>
      </w:r>
      <w:r w:rsidRPr="00D403F5">
        <w:rPr>
          <w:szCs w:val="18"/>
          <w:lang w:val="en-GB"/>
        </w:rPr>
        <w:t>.</w:t>
      </w:r>
    </w:p>
    <w:p w14:paraId="24A8370B" w14:textId="77777777" w:rsidR="00E65E42" w:rsidRPr="00D403F5" w:rsidRDefault="00E65E42" w:rsidP="00E65E42">
      <w:pPr>
        <w:pStyle w:val="Para3"/>
        <w:ind w:left="1276" w:hanging="425"/>
        <w:rPr>
          <w:szCs w:val="18"/>
          <w:lang w:val="en-GB"/>
        </w:rPr>
      </w:pPr>
      <w:r w:rsidRPr="00D403F5">
        <w:rPr>
          <w:szCs w:val="18"/>
          <w:lang w:val="en-GB"/>
        </w:rPr>
        <w:t>ii)</w:t>
      </w:r>
      <w:r w:rsidRPr="00D403F5">
        <w:rPr>
          <w:szCs w:val="18"/>
          <w:lang w:val="en-GB"/>
        </w:rPr>
        <w:tab/>
      </w:r>
      <w:r w:rsidRPr="00D403F5">
        <w:rPr>
          <w:strike/>
          <w:szCs w:val="18"/>
          <w:lang w:val="en-GB"/>
        </w:rPr>
        <w:t xml:space="preserve">Positive result by real-time PCR on skin swab or skin tissue, and </w:t>
      </w:r>
      <w:r w:rsidRPr="00D403F5">
        <w:rPr>
          <w:szCs w:val="18"/>
          <w:lang w:val="en-GB"/>
        </w:rPr>
        <w:t xml:space="preserve">Pathogenic agent isolation from the skin </w:t>
      </w:r>
      <w:r w:rsidRPr="00D403F5">
        <w:rPr>
          <w:szCs w:val="18"/>
          <w:u w:val="double"/>
          <w:lang w:val="en-GB"/>
        </w:rPr>
        <w:t>in culture and identification by real-time PCR</w:t>
      </w:r>
      <w:r w:rsidRPr="00D403F5">
        <w:rPr>
          <w:strike/>
          <w:szCs w:val="18"/>
          <w:lang w:val="en-GB"/>
        </w:rPr>
        <w:t xml:space="preserve"> and confirmation by real-time PCR</w:t>
      </w:r>
      <w:r w:rsidRPr="00D403F5">
        <w:rPr>
          <w:szCs w:val="18"/>
          <w:lang w:val="en-GB"/>
        </w:rPr>
        <w:t xml:space="preserve">. </w:t>
      </w:r>
    </w:p>
    <w:p w14:paraId="64546FD2" w14:textId="77777777" w:rsidR="00E65E42" w:rsidRPr="00D403F5" w:rsidRDefault="00E65E42" w:rsidP="00E65E42">
      <w:pPr>
        <w:pStyle w:val="Para3"/>
        <w:rPr>
          <w:szCs w:val="18"/>
          <w:lang w:val="en-GB"/>
        </w:rPr>
      </w:pPr>
      <w:r w:rsidRPr="00D403F5">
        <w:rPr>
          <w:strike/>
          <w:szCs w:val="18"/>
          <w:lang w:val="en-GB"/>
        </w:rPr>
        <w:t>Reference Laboratories should be contacted for specimen referral when testing laboratories cannot undertake any of the recommended test methods and testing is being undertaken that will result in notification to the OIE.</w:t>
      </w:r>
    </w:p>
    <w:p w14:paraId="1652A86E" w14:textId="77777777" w:rsidR="00E65E42" w:rsidRDefault="00E65E42" w:rsidP="001C6A78">
      <w:pPr>
        <w:pStyle w:val="11"/>
        <w:rPr>
          <w:sz w:val="21"/>
          <w:szCs w:val="21"/>
        </w:rPr>
      </w:pPr>
      <w:r w:rsidRPr="00E27DA5">
        <w:rPr>
          <w:sz w:val="21"/>
          <w:szCs w:val="21"/>
        </w:rPr>
        <w:t>6.3.</w:t>
      </w:r>
      <w:r w:rsidRPr="00E27DA5">
        <w:rPr>
          <w:sz w:val="21"/>
          <w:szCs w:val="21"/>
        </w:rPr>
        <w:tab/>
      </w:r>
      <w:r w:rsidRPr="001C6A78">
        <w:rPr>
          <w:rFonts w:ascii="Ottawa" w:hAnsi="Ottawa"/>
          <w:sz w:val="21"/>
          <w:szCs w:val="21"/>
          <w:lang w:val="en-GB"/>
        </w:rPr>
        <w:t>Diagnostic</w:t>
      </w:r>
      <w:r w:rsidRPr="00E27DA5">
        <w:rPr>
          <w:sz w:val="21"/>
          <w:szCs w:val="21"/>
        </w:rPr>
        <w:t xml:space="preserve"> sensitivity and specificity for diagnostic tests</w:t>
      </w:r>
    </w:p>
    <w:p w14:paraId="7C142EF7" w14:textId="77777777" w:rsidR="00E65E42" w:rsidRDefault="00E65E42" w:rsidP="001C6A78">
      <w:pPr>
        <w:keepNext/>
        <w:keepLines/>
        <w:spacing w:after="120"/>
        <w:ind w:left="709" w:firstLine="1"/>
        <w:jc w:val="both"/>
        <w:rPr>
          <w:rFonts w:ascii="Arial" w:hAnsi="Arial"/>
          <w:bCs/>
          <w:sz w:val="18"/>
          <w:szCs w:val="18"/>
          <w:u w:val="double"/>
          <w:lang w:val="en-IE"/>
        </w:rPr>
      </w:pPr>
      <w:r w:rsidRPr="00631F77">
        <w:rPr>
          <w:rFonts w:ascii="Arial" w:hAnsi="Arial"/>
          <w:bCs/>
          <w:sz w:val="18"/>
          <w:szCs w:val="18"/>
          <w:highlight w:val="yellow"/>
          <w:u w:val="double"/>
          <w:lang w:val="en-IE"/>
        </w:rPr>
        <w:t>The diagnostic performance of tests recommended for surveillance or diagnosis of infection with Bsal are provided in Table 6.3. This information can be used for the design of surveys for infection with Bsal, however, it should be noted that diagnostic performance is specific to the circumstances of each diagnostic accuracy study (including the test purpose, source population, tissue sample types and host species) and diagnostic performance may vary under different conditions. Data is only presented where tests are validated to at least level two of the validation pathway described in Chapter 1.1.2. and the information is available within published diagnostic accuracy studies.</w:t>
      </w:r>
    </w:p>
    <w:p w14:paraId="2D5AC3FA" w14:textId="77777777" w:rsidR="00E65E42" w:rsidRPr="00631F77" w:rsidRDefault="00E65E42" w:rsidP="00E65E42">
      <w:pPr>
        <w:keepNext/>
        <w:keepLines/>
        <w:spacing w:after="120"/>
        <w:ind w:firstLine="1"/>
        <w:jc w:val="center"/>
        <w:rPr>
          <w:rFonts w:ascii="Ottawa" w:hAnsi="Ottawa"/>
          <w:b/>
          <w:bCs/>
          <w:i/>
          <w:sz w:val="18"/>
          <w:szCs w:val="18"/>
          <w:u w:val="double"/>
          <w:lang w:val="en-IE" w:bidi="en-US"/>
        </w:rPr>
      </w:pPr>
      <w:r w:rsidRPr="00631F77">
        <w:rPr>
          <w:rFonts w:ascii="Ottawa" w:hAnsi="Ottawa"/>
          <w:b/>
          <w:bCs/>
          <w:i/>
          <w:sz w:val="18"/>
          <w:szCs w:val="18"/>
          <w:highlight w:val="yellow"/>
          <w:u w:val="double"/>
          <w:lang w:val="en-IE" w:bidi="en-US"/>
        </w:rPr>
        <w:t>Table 6.</w:t>
      </w:r>
      <w:r>
        <w:rPr>
          <w:rFonts w:ascii="Ottawa" w:hAnsi="Ottawa"/>
          <w:b/>
          <w:bCs/>
          <w:i/>
          <w:sz w:val="18"/>
          <w:szCs w:val="18"/>
          <w:highlight w:val="yellow"/>
          <w:u w:val="double"/>
          <w:lang w:val="en-IE" w:bidi="en-US"/>
        </w:rPr>
        <w:t>1</w:t>
      </w:r>
      <w:r w:rsidRPr="00631F77">
        <w:rPr>
          <w:rFonts w:ascii="Ottawa" w:hAnsi="Ottawa"/>
          <w:b/>
          <w:bCs/>
          <w:i/>
          <w:sz w:val="18"/>
          <w:szCs w:val="18"/>
          <w:highlight w:val="yellow"/>
          <w:u w:val="double"/>
          <w:lang w:val="en-IE" w:bidi="en-US"/>
        </w:rPr>
        <w:t>. Diagnostic performance of tests recommended for surveillance or diagnosis</w:t>
      </w:r>
    </w:p>
    <w:tbl>
      <w:tblPr>
        <w:tblW w:w="9239" w:type="dxa"/>
        <w:tblInd w:w="108" w:type="dxa"/>
        <w:tblCellMar>
          <w:left w:w="0" w:type="dxa"/>
          <w:right w:w="0" w:type="dxa"/>
        </w:tblCellMar>
        <w:tblLook w:val="04A0" w:firstRow="1" w:lastRow="0" w:firstColumn="1" w:lastColumn="0" w:noHBand="0" w:noVBand="1"/>
      </w:tblPr>
      <w:tblGrid>
        <w:gridCol w:w="680"/>
        <w:gridCol w:w="1077"/>
        <w:gridCol w:w="1191"/>
        <w:gridCol w:w="1304"/>
        <w:gridCol w:w="1303"/>
        <w:gridCol w:w="680"/>
        <w:gridCol w:w="680"/>
        <w:gridCol w:w="1304"/>
        <w:gridCol w:w="1020"/>
      </w:tblGrid>
      <w:tr w:rsidR="00E65E42" w:rsidRPr="00D403F5" w14:paraId="7CFBCE29" w14:textId="77777777" w:rsidTr="00E65E42">
        <w:tc>
          <w:tcPr>
            <w:tcW w:w="6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E1D063F" w14:textId="77777777" w:rsidR="00E65E42" w:rsidRPr="00D403F5" w:rsidRDefault="00E65E42" w:rsidP="00E65E42">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Test type</w:t>
            </w:r>
          </w:p>
        </w:tc>
        <w:tc>
          <w:tcPr>
            <w:tcW w:w="10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A8549C0" w14:textId="77777777" w:rsidR="00E65E42" w:rsidRPr="00D403F5" w:rsidRDefault="00E65E42" w:rsidP="00E65E42">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Test purpose</w:t>
            </w:r>
          </w:p>
        </w:tc>
        <w:tc>
          <w:tcPr>
            <w:tcW w:w="11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66AFA55" w14:textId="77777777" w:rsidR="00E65E42" w:rsidRPr="00D403F5" w:rsidRDefault="00E65E42" w:rsidP="00E65E42">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Source populations</w:t>
            </w:r>
          </w:p>
        </w:tc>
        <w:tc>
          <w:tcPr>
            <w:tcW w:w="130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1124F78" w14:textId="77777777" w:rsidR="00E65E42" w:rsidRPr="00D403F5" w:rsidRDefault="00E65E42" w:rsidP="00E65E42">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Tissue or sample types</w:t>
            </w:r>
          </w:p>
        </w:tc>
        <w:tc>
          <w:tcPr>
            <w:tcW w:w="130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67F7818" w14:textId="77777777" w:rsidR="00E65E42" w:rsidRPr="00D403F5" w:rsidRDefault="00E65E42" w:rsidP="00E65E42">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Species</w:t>
            </w:r>
          </w:p>
        </w:tc>
        <w:tc>
          <w:tcPr>
            <w:tcW w:w="6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32F3831" w14:textId="77777777" w:rsidR="00E65E42" w:rsidRPr="00D403F5" w:rsidRDefault="00E65E42" w:rsidP="00E65E42">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DSe (</w:t>
            </w:r>
            <w:r w:rsidRPr="00D403F5">
              <w:rPr>
                <w:rFonts w:ascii="Arial" w:hAnsi="Arial"/>
                <w:b/>
                <w:bCs/>
                <w:i/>
                <w:iCs/>
                <w:sz w:val="18"/>
                <w:szCs w:val="18"/>
                <w:u w:val="double"/>
                <w:lang w:val="en-IE" w:eastAsia="fr-FR"/>
              </w:rPr>
              <w:t>n</w:t>
            </w:r>
            <w:r w:rsidRPr="00D403F5">
              <w:rPr>
                <w:rFonts w:ascii="Arial" w:hAnsi="Arial"/>
                <w:b/>
                <w:bCs/>
                <w:sz w:val="18"/>
                <w:szCs w:val="18"/>
                <w:u w:val="double"/>
                <w:lang w:val="en-IE" w:eastAsia="fr-FR"/>
              </w:rPr>
              <w:t>)</w:t>
            </w:r>
          </w:p>
        </w:tc>
        <w:tc>
          <w:tcPr>
            <w:tcW w:w="6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8B72DD" w14:textId="77777777" w:rsidR="00E65E42" w:rsidRPr="00D403F5" w:rsidRDefault="00E65E42" w:rsidP="00E65E42">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DSp (</w:t>
            </w:r>
            <w:r w:rsidRPr="00D403F5">
              <w:rPr>
                <w:rFonts w:ascii="Arial" w:hAnsi="Arial"/>
                <w:b/>
                <w:bCs/>
                <w:i/>
                <w:iCs/>
                <w:sz w:val="18"/>
                <w:szCs w:val="18"/>
                <w:u w:val="double"/>
                <w:lang w:val="en-IE" w:eastAsia="fr-FR"/>
              </w:rPr>
              <w:t>n</w:t>
            </w:r>
            <w:r w:rsidRPr="00D403F5">
              <w:rPr>
                <w:rFonts w:ascii="Arial" w:hAnsi="Arial"/>
                <w:b/>
                <w:bCs/>
                <w:sz w:val="18"/>
                <w:szCs w:val="18"/>
                <w:u w:val="double"/>
                <w:lang w:val="en-IE" w:eastAsia="fr-FR"/>
              </w:rPr>
              <w:t>)</w:t>
            </w:r>
          </w:p>
        </w:tc>
        <w:tc>
          <w:tcPr>
            <w:tcW w:w="130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1C25191" w14:textId="77777777" w:rsidR="00E65E42" w:rsidRPr="00D403F5" w:rsidRDefault="00E65E42" w:rsidP="00E65E42">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Reference test</w:t>
            </w:r>
          </w:p>
        </w:tc>
        <w:tc>
          <w:tcPr>
            <w:tcW w:w="10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6BFF3E1" w14:textId="77777777" w:rsidR="00E65E42" w:rsidRPr="00D403F5" w:rsidRDefault="00E65E42" w:rsidP="00E65E42">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Citation</w:t>
            </w:r>
          </w:p>
        </w:tc>
      </w:tr>
      <w:tr w:rsidR="00E65E42" w:rsidRPr="00D403F5" w14:paraId="09A2B7FF" w14:textId="77777777" w:rsidTr="00E65E42">
        <w:tc>
          <w:tcPr>
            <w:tcW w:w="6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20E969" w14:textId="77777777" w:rsidR="00E65E42" w:rsidRPr="00D403F5" w:rsidRDefault="00E65E42" w:rsidP="00E65E42">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en-IE" w:eastAsia="fr-FR"/>
              </w:rPr>
              <w:t>Real-time PCR</w:t>
            </w:r>
          </w:p>
        </w:tc>
        <w:tc>
          <w:tcPr>
            <w:tcW w:w="10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A75E5B" w14:textId="77777777" w:rsidR="00E65E42" w:rsidRPr="00D403F5" w:rsidRDefault="00E65E42" w:rsidP="00E65E42">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fr-FR" w:eastAsia="fr-FR"/>
              </w:rPr>
              <w:t xml:space="preserve">Diagnosis </w:t>
            </w:r>
          </w:p>
        </w:tc>
        <w:tc>
          <w:tcPr>
            <w:tcW w:w="11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DB6A2E" w14:textId="77777777" w:rsidR="00E65E42" w:rsidRPr="00D403F5" w:rsidRDefault="00E65E42" w:rsidP="00E65E42">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en-IE" w:eastAsia="fr-FR"/>
              </w:rPr>
              <w:t>Experimentally infected salamanders (clinical and subclinical infection)</w:t>
            </w:r>
          </w:p>
        </w:tc>
        <w:tc>
          <w:tcPr>
            <w:tcW w:w="13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852521" w14:textId="77777777" w:rsidR="00E65E42" w:rsidRPr="00D403F5" w:rsidRDefault="00E65E42" w:rsidP="00E65E42">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en-IE" w:eastAsia="fr-FR"/>
              </w:rPr>
              <w:t>Skin swabs</w:t>
            </w:r>
          </w:p>
        </w:tc>
        <w:tc>
          <w:tcPr>
            <w:tcW w:w="13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EE2DBC" w14:textId="77777777" w:rsidR="00E65E42" w:rsidRPr="00D403F5" w:rsidRDefault="00E65E42" w:rsidP="00E65E42">
            <w:pPr>
              <w:spacing w:after="0"/>
              <w:ind w:left="-57"/>
              <w:jc w:val="center"/>
              <w:rPr>
                <w:rFonts w:ascii="Arial Narrow" w:eastAsia="Calibri" w:hAnsi="Arial Narrow"/>
                <w:i/>
                <w:sz w:val="18"/>
                <w:szCs w:val="18"/>
                <w:u w:val="double"/>
              </w:rPr>
            </w:pPr>
            <w:r w:rsidRPr="00D403F5">
              <w:rPr>
                <w:rFonts w:ascii="Arial Narrow" w:hAnsi="Arial Narrow"/>
                <w:i/>
                <w:sz w:val="18"/>
                <w:szCs w:val="18"/>
                <w:u w:val="double"/>
                <w:lang w:val="en-IE" w:eastAsia="fr-FR"/>
              </w:rPr>
              <w:t>Salamandra salamandra</w:t>
            </w:r>
          </w:p>
        </w:tc>
        <w:tc>
          <w:tcPr>
            <w:tcW w:w="6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5D2CC0" w14:textId="77777777" w:rsidR="00E65E42" w:rsidRPr="00D403F5" w:rsidRDefault="00E65E42" w:rsidP="00E65E42">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fr-FR" w:eastAsia="fr-FR"/>
              </w:rPr>
              <w:t>96–100 (26)</w:t>
            </w:r>
          </w:p>
        </w:tc>
        <w:tc>
          <w:tcPr>
            <w:tcW w:w="6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8A7A5C" w14:textId="77777777" w:rsidR="00E65E42" w:rsidRPr="00D403F5" w:rsidRDefault="00E65E42" w:rsidP="00E65E42">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fr-FR" w:eastAsia="fr-FR"/>
              </w:rPr>
              <w:t xml:space="preserve">100 </w:t>
            </w:r>
            <w:r w:rsidRPr="00D403F5">
              <w:rPr>
                <w:rFonts w:ascii="Arial Narrow" w:hAnsi="Arial Narrow"/>
                <w:sz w:val="18"/>
                <w:szCs w:val="18"/>
                <w:u w:val="double"/>
                <w:lang w:val="fr-FR" w:eastAsia="fr-FR"/>
              </w:rPr>
              <w:br/>
              <w:t>(12)</w:t>
            </w:r>
          </w:p>
        </w:tc>
        <w:tc>
          <w:tcPr>
            <w:tcW w:w="13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8501E3" w14:textId="77777777" w:rsidR="00E65E42" w:rsidRPr="00D403F5" w:rsidRDefault="00E65E42" w:rsidP="00E65E42">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fr-FR" w:eastAsia="fr-FR"/>
              </w:rPr>
              <w:t>Droplet digital PCR</w:t>
            </w:r>
          </w:p>
        </w:tc>
        <w:tc>
          <w:tcPr>
            <w:tcW w:w="10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A63742" w14:textId="77777777" w:rsidR="00E65E42" w:rsidRPr="00D403F5" w:rsidRDefault="00E65E42" w:rsidP="00E65E42">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en-IE" w:eastAsia="fr-FR"/>
              </w:rPr>
              <w:t xml:space="preserve">Thomas </w:t>
            </w:r>
            <w:r w:rsidRPr="00D403F5">
              <w:rPr>
                <w:rFonts w:ascii="Arial Narrow" w:hAnsi="Arial Narrow"/>
                <w:i/>
                <w:sz w:val="18"/>
                <w:szCs w:val="18"/>
                <w:u w:val="double"/>
                <w:lang w:val="en-IE" w:eastAsia="fr-FR"/>
              </w:rPr>
              <w:t>et al.</w:t>
            </w:r>
            <w:r w:rsidRPr="00D403F5">
              <w:rPr>
                <w:rFonts w:ascii="Arial Narrow" w:hAnsi="Arial Narrow"/>
                <w:sz w:val="18"/>
                <w:szCs w:val="18"/>
                <w:u w:val="double"/>
                <w:lang w:val="en-IE" w:eastAsia="fr-FR"/>
              </w:rPr>
              <w:t xml:space="preserve"> (2018)</w:t>
            </w:r>
          </w:p>
        </w:tc>
      </w:tr>
    </w:tbl>
    <w:p w14:paraId="42795D05" w14:textId="77777777" w:rsidR="00E65E42" w:rsidRPr="00C734E2" w:rsidRDefault="00E65E42" w:rsidP="00E65E42">
      <w:pPr>
        <w:pStyle w:val="10"/>
        <w:spacing w:before="120"/>
        <w:ind w:left="0" w:firstLine="0"/>
        <w:jc w:val="center"/>
        <w:rPr>
          <w:rFonts w:ascii="Arial" w:hAnsi="Arial"/>
          <w:b w:val="0"/>
          <w:bCs w:val="0"/>
          <w:sz w:val="16"/>
          <w:szCs w:val="16"/>
          <w:u w:val="double"/>
          <w:lang w:bidi="en-US"/>
        </w:rPr>
      </w:pPr>
      <w:r w:rsidRPr="00C734E2">
        <w:rPr>
          <w:rFonts w:ascii="Arial" w:hAnsi="Arial"/>
          <w:b w:val="0"/>
          <w:bCs w:val="0"/>
          <w:sz w:val="16"/>
          <w:szCs w:val="16"/>
          <w:highlight w:val="yellow"/>
          <w:u w:val="double"/>
        </w:rPr>
        <w:t xml:space="preserve">DSe = diagnostic sensitivity; DSp = diagnostic specificity; </w:t>
      </w:r>
      <w:r w:rsidRPr="00C734E2">
        <w:rPr>
          <w:rFonts w:ascii="Arial" w:hAnsi="Arial"/>
          <w:b w:val="0"/>
          <w:bCs w:val="0"/>
          <w:i/>
          <w:iCs/>
          <w:sz w:val="16"/>
          <w:szCs w:val="16"/>
          <w:highlight w:val="yellow"/>
          <w:u w:val="double"/>
        </w:rPr>
        <w:t>n</w:t>
      </w:r>
      <w:r w:rsidRPr="00C734E2">
        <w:rPr>
          <w:rFonts w:ascii="Arial" w:hAnsi="Arial"/>
          <w:b w:val="0"/>
          <w:bCs w:val="0"/>
          <w:sz w:val="16"/>
          <w:szCs w:val="16"/>
          <w:highlight w:val="yellow"/>
          <w:u w:val="double"/>
        </w:rPr>
        <w:t xml:space="preserve"> = number of samples used in the study.</w:t>
      </w:r>
    </w:p>
    <w:p w14:paraId="1DB6765C" w14:textId="77777777" w:rsidR="00754D87" w:rsidRDefault="00754D87" w:rsidP="00754D87">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12</w:t>
      </w:r>
      <w:r w:rsidRPr="00DB0A8D">
        <w:rPr>
          <w:rFonts w:cs="Times New Roman"/>
          <w:bCs/>
          <w:iCs/>
          <w:szCs w:val="20"/>
        </w:rPr>
        <w:t xml:space="preserve"> (contd)</w:t>
      </w:r>
    </w:p>
    <w:p w14:paraId="44F2692D" w14:textId="77777777" w:rsidR="00E65E42" w:rsidRPr="00E27DA5" w:rsidRDefault="00E65E42" w:rsidP="001C6A78">
      <w:pPr>
        <w:pStyle w:val="10"/>
        <w:spacing w:before="240"/>
        <w:rPr>
          <w:rFonts w:ascii="Ottawa" w:hAnsi="Ottawa"/>
          <w:sz w:val="22"/>
          <w:szCs w:val="22"/>
          <w:lang w:bidi="en-US"/>
        </w:rPr>
      </w:pPr>
      <w:r w:rsidRPr="00E27DA5">
        <w:rPr>
          <w:rFonts w:ascii="Ottawa" w:hAnsi="Ottawa"/>
          <w:sz w:val="22"/>
          <w:szCs w:val="22"/>
          <w:lang w:bidi="en-US"/>
        </w:rPr>
        <w:t>7.</w:t>
      </w:r>
      <w:r w:rsidRPr="00E27DA5">
        <w:rPr>
          <w:rFonts w:ascii="Ottawa" w:hAnsi="Ottawa"/>
          <w:sz w:val="22"/>
          <w:szCs w:val="22"/>
          <w:lang w:bidi="en-US"/>
        </w:rPr>
        <w:tab/>
        <w:t>References</w:t>
      </w:r>
    </w:p>
    <w:p w14:paraId="22B9AD74"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D403F5">
        <w:rPr>
          <w:rFonts w:ascii="Arial" w:hAnsi="Arial"/>
          <w:smallCaps/>
          <w:sz w:val="18"/>
          <w:szCs w:val="18"/>
        </w:rPr>
        <w:t xml:space="preserve">Blooi M., </w:t>
      </w:r>
      <w:r w:rsidRPr="00D403F5">
        <w:rPr>
          <w:rFonts w:ascii="Arial" w:hAnsi="Arial" w:cs="Arial"/>
          <w:smallCaps/>
          <w:sz w:val="18"/>
          <w:szCs w:val="18"/>
        </w:rPr>
        <w:t>Martel A., Haesebrouck F.</w:t>
      </w:r>
      <w:r w:rsidRPr="00D403F5">
        <w:rPr>
          <w:rStyle w:val="author"/>
          <w:rFonts w:ascii="Arial" w:eastAsiaTheme="majorEastAsia" w:hAnsi="Arial" w:cs="Arial"/>
          <w:color w:val="1C1D1E"/>
          <w:sz w:val="18"/>
          <w:szCs w:val="18"/>
        </w:rPr>
        <w:t>,</w:t>
      </w:r>
      <w:r w:rsidRPr="00D403F5">
        <w:rPr>
          <w:rFonts w:ascii="Arial" w:hAnsi="Arial" w:cs="Arial"/>
          <w:color w:val="1C1D1E"/>
          <w:sz w:val="18"/>
          <w:szCs w:val="18"/>
        </w:rPr>
        <w:t xml:space="preserve"> </w:t>
      </w:r>
      <w:r w:rsidRPr="00D403F5">
        <w:rPr>
          <w:rFonts w:ascii="Arial" w:hAnsi="Arial"/>
          <w:smallCaps/>
          <w:sz w:val="18"/>
          <w:szCs w:val="18"/>
        </w:rPr>
        <w:t xml:space="preserve">Vercammen F., </w:t>
      </w:r>
      <w:r w:rsidRPr="00D403F5">
        <w:rPr>
          <w:rStyle w:val="author"/>
          <w:rFonts w:ascii="Arial" w:eastAsiaTheme="majorEastAsia" w:hAnsi="Arial" w:cs="Arial"/>
          <w:smallCaps/>
          <w:color w:val="1C1D1E"/>
          <w:sz w:val="18"/>
          <w:szCs w:val="18"/>
        </w:rPr>
        <w:t>Bonte</w:t>
      </w:r>
      <w:r w:rsidRPr="00D403F5">
        <w:rPr>
          <w:rStyle w:val="author"/>
          <w:rFonts w:ascii="Arial" w:eastAsiaTheme="majorEastAsia" w:hAnsi="Arial" w:cs="Arial"/>
          <w:color w:val="1C1D1E"/>
          <w:sz w:val="18"/>
          <w:szCs w:val="18"/>
        </w:rPr>
        <w:t xml:space="preserve"> D.</w:t>
      </w:r>
      <w:r w:rsidRPr="00D403F5">
        <w:rPr>
          <w:rFonts w:ascii="Arial" w:hAnsi="Arial" w:cs="Arial"/>
          <w:color w:val="1C1D1E"/>
          <w:sz w:val="18"/>
          <w:szCs w:val="18"/>
        </w:rPr>
        <w:t xml:space="preserve"> &amp; </w:t>
      </w:r>
      <w:r w:rsidRPr="00D403F5">
        <w:rPr>
          <w:rFonts w:ascii="Arial" w:hAnsi="Arial" w:cs="Arial"/>
          <w:smallCaps/>
          <w:sz w:val="18"/>
          <w:szCs w:val="18"/>
        </w:rPr>
        <w:t>Pasmans F</w:t>
      </w:r>
      <w:r w:rsidRPr="00D403F5">
        <w:rPr>
          <w:rFonts w:ascii="Arial" w:hAnsi="Arial" w:cs="Arial"/>
          <w:bCs/>
          <w:sz w:val="18"/>
          <w:szCs w:val="18"/>
        </w:rPr>
        <w:t>. (</w:t>
      </w:r>
      <w:r w:rsidRPr="00D403F5">
        <w:rPr>
          <w:rStyle w:val="pubyear"/>
          <w:rFonts w:ascii="Arial" w:eastAsiaTheme="majorEastAsia" w:hAnsi="Arial" w:cs="Arial"/>
          <w:color w:val="1C1D1E"/>
          <w:sz w:val="18"/>
          <w:szCs w:val="18"/>
        </w:rPr>
        <w:t>2015a</w:t>
      </w:r>
      <w:r w:rsidRPr="00D403F5">
        <w:rPr>
          <w:rFonts w:ascii="Arial" w:hAnsi="Arial" w:cs="Arial"/>
          <w:color w:val="1C1D1E"/>
          <w:sz w:val="18"/>
          <w:szCs w:val="18"/>
        </w:rPr>
        <w:t xml:space="preserve">). </w:t>
      </w:r>
      <w:r w:rsidRPr="00D403F5">
        <w:rPr>
          <w:rStyle w:val="articletitle"/>
          <w:rFonts w:ascii="Arial" w:eastAsiaTheme="majorEastAsia" w:hAnsi="Arial" w:cs="Arial"/>
          <w:color w:val="1C1D1E"/>
          <w:sz w:val="18"/>
          <w:szCs w:val="18"/>
        </w:rPr>
        <w:t xml:space="preserve">Treatment of urodelans based on temperature dependent infection dynamics of </w:t>
      </w:r>
      <w:r w:rsidRPr="00D403F5">
        <w:rPr>
          <w:rStyle w:val="articletitle"/>
          <w:rFonts w:ascii="Arial" w:eastAsiaTheme="majorEastAsia" w:hAnsi="Arial" w:cs="Arial"/>
          <w:i/>
          <w:iCs/>
          <w:color w:val="1C1D1E"/>
          <w:sz w:val="18"/>
          <w:szCs w:val="18"/>
        </w:rPr>
        <w:t>Batrachochytrium salamandrivorans</w:t>
      </w:r>
      <w:r w:rsidRPr="00D403F5">
        <w:rPr>
          <w:rFonts w:ascii="Arial" w:hAnsi="Arial" w:cs="Arial"/>
          <w:color w:val="1C1D1E"/>
          <w:sz w:val="18"/>
          <w:szCs w:val="18"/>
        </w:rPr>
        <w:t xml:space="preserve">. </w:t>
      </w:r>
      <w:r w:rsidRPr="00D403F5">
        <w:rPr>
          <w:rStyle w:val="journaltitle"/>
          <w:rFonts w:ascii="Arial" w:eastAsiaTheme="majorEastAsia" w:hAnsi="Arial" w:cs="Arial"/>
          <w:i/>
          <w:iCs/>
          <w:color w:val="1C1D1E"/>
          <w:sz w:val="18"/>
          <w:szCs w:val="18"/>
        </w:rPr>
        <w:t>Scientific Reports</w:t>
      </w:r>
      <w:r w:rsidRPr="00D403F5">
        <w:rPr>
          <w:rFonts w:ascii="Arial" w:hAnsi="Arial" w:cs="Arial"/>
          <w:color w:val="1C1D1E"/>
          <w:sz w:val="18"/>
          <w:szCs w:val="18"/>
        </w:rPr>
        <w:t xml:space="preserve">, </w:t>
      </w:r>
      <w:r w:rsidRPr="00D403F5">
        <w:rPr>
          <w:rStyle w:val="vol"/>
          <w:rFonts w:ascii="Arial" w:eastAsiaTheme="majorEastAsia" w:hAnsi="Arial" w:cs="Arial"/>
          <w:b/>
          <w:bCs/>
          <w:color w:val="1C1D1E"/>
          <w:sz w:val="18"/>
          <w:szCs w:val="18"/>
        </w:rPr>
        <w:t>5</w:t>
      </w:r>
      <w:r w:rsidRPr="00D403F5">
        <w:rPr>
          <w:rFonts w:ascii="Arial" w:hAnsi="Arial" w:cs="Arial"/>
          <w:color w:val="1C1D1E"/>
          <w:sz w:val="18"/>
          <w:szCs w:val="18"/>
        </w:rPr>
        <w:t xml:space="preserve">, </w:t>
      </w:r>
      <w:r w:rsidRPr="00D403F5">
        <w:rPr>
          <w:rStyle w:val="pagefirst"/>
          <w:rFonts w:ascii="Arial" w:eastAsiaTheme="majorEastAsia" w:hAnsi="Arial" w:cs="Arial"/>
          <w:color w:val="1C1D1E"/>
          <w:sz w:val="18"/>
          <w:szCs w:val="18"/>
        </w:rPr>
        <w:t>8037</w:t>
      </w:r>
      <w:r w:rsidRPr="00D403F5">
        <w:rPr>
          <w:rFonts w:ascii="Arial" w:hAnsi="Arial" w:cs="Arial"/>
          <w:color w:val="1C1D1E"/>
          <w:sz w:val="18"/>
          <w:szCs w:val="18"/>
        </w:rPr>
        <w:t>.</w:t>
      </w:r>
      <w:r w:rsidRPr="00D403F5">
        <w:rPr>
          <w:rFonts w:ascii="Arial" w:hAnsi="Arial" w:cs="Arial"/>
          <w:color w:val="1C1D1E"/>
          <w:sz w:val="18"/>
          <w:szCs w:val="18"/>
          <w:shd w:val="clear" w:color="auto" w:fill="EFEFF0"/>
        </w:rPr>
        <w:t xml:space="preserve"> </w:t>
      </w:r>
      <w:hyperlink r:id="rId177" w:history="1">
        <w:r w:rsidRPr="00E47078">
          <w:rPr>
            <w:rStyle w:val="Lienhypertexte"/>
            <w:rFonts w:ascii="Arial" w:hAnsi="Arial" w:cs="Arial"/>
            <w:color w:val="0000FF"/>
            <w:sz w:val="18"/>
            <w:szCs w:val="18"/>
          </w:rPr>
          <w:t>https://doi.org/10.1038/srep08037</w:t>
        </w:r>
      </w:hyperlink>
    </w:p>
    <w:p w14:paraId="48400745" w14:textId="77777777" w:rsidR="00E65E42" w:rsidRPr="008270D6" w:rsidRDefault="00E65E42" w:rsidP="00557B45">
      <w:pPr>
        <w:pStyle w:val="Paragraphedeliste"/>
        <w:spacing w:after="240" w:line="240" w:lineRule="auto"/>
        <w:ind w:left="284"/>
        <w:contextualSpacing w:val="0"/>
        <w:jc w:val="both"/>
        <w:rPr>
          <w:rFonts w:ascii="Arial" w:hAnsi="Arial" w:cs="Arial"/>
          <w:sz w:val="18"/>
          <w:szCs w:val="18"/>
          <w:u w:val="double"/>
        </w:rPr>
      </w:pPr>
      <w:r w:rsidRPr="00D403F5">
        <w:rPr>
          <w:rFonts w:ascii="Arial" w:hAnsi="Arial" w:cs="Arial"/>
          <w:smallCaps/>
          <w:sz w:val="18"/>
          <w:szCs w:val="18"/>
          <w:u w:val="double"/>
        </w:rPr>
        <w:t>Blooi M., Martel A., Vercammen F., Haesebrouck F. &amp; Pasmans F</w:t>
      </w:r>
      <w:r w:rsidRPr="00D403F5">
        <w:rPr>
          <w:rFonts w:ascii="Arial" w:hAnsi="Arial" w:cs="Arial"/>
          <w:bCs/>
          <w:sz w:val="18"/>
          <w:szCs w:val="18"/>
          <w:u w:val="double"/>
        </w:rPr>
        <w:t xml:space="preserve">. (2015b). </w:t>
      </w:r>
      <w:r w:rsidRPr="00D403F5">
        <w:rPr>
          <w:rFonts w:ascii="Arial" w:hAnsi="Arial" w:cs="Arial"/>
          <w:sz w:val="18"/>
          <w:szCs w:val="18"/>
          <w:u w:val="double"/>
        </w:rPr>
        <w:t xml:space="preserve">Treatment of urodelans based on temperature dependent infection dynamics of </w:t>
      </w:r>
      <w:r w:rsidRPr="00D403F5">
        <w:rPr>
          <w:rFonts w:ascii="Arial" w:hAnsi="Arial" w:cs="Arial"/>
          <w:i/>
          <w:sz w:val="18"/>
          <w:szCs w:val="18"/>
          <w:u w:val="double"/>
        </w:rPr>
        <w:t>Batrachochytrium salamandrivorans</w:t>
      </w:r>
      <w:r w:rsidRPr="00D403F5">
        <w:rPr>
          <w:rFonts w:ascii="Arial" w:hAnsi="Arial" w:cs="Arial"/>
          <w:sz w:val="18"/>
          <w:szCs w:val="18"/>
          <w:u w:val="double"/>
        </w:rPr>
        <w:t xml:space="preserve">. </w:t>
      </w:r>
      <w:r w:rsidRPr="008270D6">
        <w:rPr>
          <w:rFonts w:ascii="Arial" w:hAnsi="Arial" w:cs="Arial"/>
          <w:i/>
          <w:sz w:val="18"/>
          <w:szCs w:val="18"/>
          <w:u w:val="double"/>
        </w:rPr>
        <w:t>Scientific Reports</w:t>
      </w:r>
      <w:r w:rsidRPr="008270D6">
        <w:rPr>
          <w:rFonts w:ascii="Arial" w:hAnsi="Arial" w:cs="Arial"/>
          <w:sz w:val="18"/>
          <w:szCs w:val="18"/>
          <w:u w:val="double"/>
        </w:rPr>
        <w:t xml:space="preserve">, </w:t>
      </w:r>
      <w:r w:rsidRPr="008270D6">
        <w:rPr>
          <w:rFonts w:ascii="Arial" w:hAnsi="Arial" w:cs="Arial"/>
          <w:b/>
          <w:sz w:val="18"/>
          <w:szCs w:val="18"/>
          <w:u w:val="double"/>
        </w:rPr>
        <w:t>5</w:t>
      </w:r>
      <w:r w:rsidRPr="008270D6">
        <w:rPr>
          <w:rFonts w:ascii="Arial" w:hAnsi="Arial" w:cs="Arial"/>
          <w:sz w:val="18"/>
          <w:szCs w:val="18"/>
          <w:u w:val="double"/>
        </w:rPr>
        <w:t>, 8037.</w:t>
      </w:r>
    </w:p>
    <w:p w14:paraId="5B63AA85"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8270D6">
        <w:rPr>
          <w:rFonts w:ascii="Arial" w:hAnsi="Arial"/>
          <w:smallCaps/>
          <w:sz w:val="18"/>
          <w:szCs w:val="18"/>
        </w:rPr>
        <w:t>Blooi M., Pasmans F., Longcore J.E., Spitzen-van der Sluijs A., Vercammen F. &amp; Martel A.</w:t>
      </w:r>
      <w:r w:rsidRPr="008270D6">
        <w:rPr>
          <w:rFonts w:ascii="Arial" w:hAnsi="Arial"/>
          <w:sz w:val="18"/>
          <w:szCs w:val="18"/>
        </w:rPr>
        <w:t xml:space="preserve"> (2013). </w:t>
      </w:r>
      <w:r w:rsidRPr="00D403F5">
        <w:rPr>
          <w:rFonts w:ascii="Arial" w:hAnsi="Arial" w:cs="Arial"/>
          <w:sz w:val="18"/>
          <w:szCs w:val="18"/>
        </w:rPr>
        <w:t xml:space="preserve">Duplex real-time PCR for rapid simultaneous detection of </w:t>
      </w:r>
      <w:r w:rsidRPr="00D403F5">
        <w:rPr>
          <w:rFonts w:ascii="Arial" w:hAnsi="Arial" w:cs="Arial"/>
          <w:i/>
          <w:sz w:val="18"/>
          <w:szCs w:val="18"/>
        </w:rPr>
        <w:t>Batrachochytrium</w:t>
      </w:r>
      <w:r w:rsidRPr="00D403F5">
        <w:rPr>
          <w:rFonts w:ascii="Arial" w:hAnsi="Arial" w:cs="Arial"/>
          <w:sz w:val="18"/>
          <w:szCs w:val="18"/>
        </w:rPr>
        <w:t xml:space="preserve"> </w:t>
      </w:r>
      <w:r w:rsidRPr="00D403F5">
        <w:rPr>
          <w:rFonts w:ascii="Arial" w:hAnsi="Arial" w:cs="Arial"/>
          <w:i/>
          <w:sz w:val="18"/>
          <w:szCs w:val="18"/>
        </w:rPr>
        <w:t>dendrobatidis</w:t>
      </w:r>
      <w:r w:rsidRPr="00D403F5">
        <w:rPr>
          <w:rFonts w:ascii="Arial" w:hAnsi="Arial" w:cs="Arial"/>
          <w:sz w:val="18"/>
          <w:szCs w:val="18"/>
        </w:rPr>
        <w:t xml:space="preserve"> and </w:t>
      </w:r>
      <w:r w:rsidRPr="00D403F5">
        <w:rPr>
          <w:rFonts w:ascii="Arial" w:hAnsi="Arial" w:cs="Arial"/>
          <w:i/>
          <w:sz w:val="18"/>
          <w:szCs w:val="18"/>
        </w:rPr>
        <w:t>Batrachochytrium salamandrivorans</w:t>
      </w:r>
      <w:r w:rsidRPr="00D403F5">
        <w:rPr>
          <w:rFonts w:ascii="Arial" w:hAnsi="Arial" w:cs="Arial"/>
          <w:sz w:val="18"/>
          <w:szCs w:val="18"/>
        </w:rPr>
        <w:t xml:space="preserve"> in amphibian samples. </w:t>
      </w:r>
      <w:r w:rsidRPr="00D403F5">
        <w:rPr>
          <w:rFonts w:ascii="Arial" w:hAnsi="Arial" w:cs="Arial"/>
          <w:i/>
          <w:sz w:val="18"/>
          <w:szCs w:val="18"/>
        </w:rPr>
        <w:t>J. Clin. Microbiol</w:t>
      </w:r>
      <w:r w:rsidRPr="00D403F5">
        <w:rPr>
          <w:rFonts w:ascii="Arial" w:hAnsi="Arial" w:cs="Arial"/>
          <w:sz w:val="18"/>
          <w:szCs w:val="18"/>
        </w:rPr>
        <w:t xml:space="preserve">., </w:t>
      </w:r>
      <w:r w:rsidRPr="00D403F5">
        <w:rPr>
          <w:rFonts w:ascii="Arial" w:hAnsi="Arial" w:cs="Arial"/>
          <w:b/>
          <w:sz w:val="18"/>
          <w:szCs w:val="18"/>
        </w:rPr>
        <w:t>51</w:t>
      </w:r>
      <w:r w:rsidRPr="00D403F5">
        <w:rPr>
          <w:rFonts w:ascii="Arial" w:hAnsi="Arial" w:cs="Arial"/>
          <w:sz w:val="18"/>
          <w:szCs w:val="18"/>
        </w:rPr>
        <w:t>, 4173–4177.</w:t>
      </w:r>
    </w:p>
    <w:p w14:paraId="1991A2F6"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D403F5">
        <w:rPr>
          <w:rFonts w:ascii="Arial" w:hAnsi="Arial" w:cs="Arial"/>
          <w:smallCaps/>
          <w:sz w:val="18"/>
          <w:szCs w:val="18"/>
        </w:rPr>
        <w:t>Blooi M., Pasmans F., Rouffaer L., Haesebrouck F., Vercammen F. &amp; Martel A</w:t>
      </w:r>
      <w:r w:rsidRPr="00D403F5">
        <w:rPr>
          <w:rFonts w:ascii="Arial" w:hAnsi="Arial" w:cs="Arial"/>
          <w:sz w:val="18"/>
          <w:szCs w:val="18"/>
        </w:rPr>
        <w:t>. (</w:t>
      </w:r>
      <w:r w:rsidRPr="00D403F5">
        <w:rPr>
          <w:rFonts w:ascii="Arial" w:hAnsi="Arial" w:cs="Arial"/>
          <w:sz w:val="18"/>
          <w:szCs w:val="18"/>
          <w:u w:val="double"/>
        </w:rPr>
        <w:t>2015c</w:t>
      </w:r>
      <w:r w:rsidRPr="00D403F5">
        <w:rPr>
          <w:rFonts w:ascii="Arial" w:hAnsi="Arial" w:cs="Arial"/>
          <w:strike/>
          <w:sz w:val="18"/>
          <w:szCs w:val="18"/>
        </w:rPr>
        <w:t xml:space="preserve"> 2015b</w:t>
      </w:r>
      <w:r w:rsidRPr="00D403F5">
        <w:rPr>
          <w:rFonts w:ascii="Arial" w:hAnsi="Arial" w:cs="Arial"/>
          <w:sz w:val="18"/>
          <w:szCs w:val="18"/>
        </w:rPr>
        <w:t xml:space="preserve">). Successful treatment of </w:t>
      </w:r>
      <w:r w:rsidRPr="00D403F5">
        <w:rPr>
          <w:rFonts w:ascii="Arial" w:hAnsi="Arial" w:cs="Arial"/>
          <w:i/>
          <w:sz w:val="18"/>
          <w:szCs w:val="18"/>
        </w:rPr>
        <w:t>Batrachochytrium salamandrivorans</w:t>
      </w:r>
      <w:r w:rsidRPr="00D403F5">
        <w:rPr>
          <w:rFonts w:ascii="Arial" w:hAnsi="Arial" w:cs="Arial"/>
          <w:sz w:val="18"/>
          <w:szCs w:val="18"/>
        </w:rPr>
        <w:t xml:space="preserve"> infections in salamanders requires synergy between voriconazole, polymyxin E and temperature. </w:t>
      </w:r>
      <w:r w:rsidRPr="00D403F5">
        <w:rPr>
          <w:rFonts w:ascii="Arial" w:hAnsi="Arial" w:cs="Arial"/>
          <w:i/>
          <w:sz w:val="18"/>
          <w:szCs w:val="18"/>
        </w:rPr>
        <w:t>Scientific Reports</w:t>
      </w:r>
      <w:r w:rsidRPr="00D403F5">
        <w:rPr>
          <w:rFonts w:ascii="Arial" w:hAnsi="Arial" w:cs="Arial"/>
          <w:sz w:val="18"/>
          <w:szCs w:val="18"/>
        </w:rPr>
        <w:t xml:space="preserve">, </w:t>
      </w:r>
      <w:r w:rsidRPr="00D403F5">
        <w:rPr>
          <w:rFonts w:ascii="Arial" w:hAnsi="Arial" w:cs="Arial"/>
          <w:b/>
          <w:sz w:val="18"/>
          <w:szCs w:val="18"/>
        </w:rPr>
        <w:t>5</w:t>
      </w:r>
      <w:r w:rsidRPr="00D403F5">
        <w:rPr>
          <w:rFonts w:ascii="Arial" w:hAnsi="Arial" w:cs="Arial"/>
          <w:sz w:val="18"/>
          <w:szCs w:val="18"/>
        </w:rPr>
        <w:t>, 11788.</w:t>
      </w:r>
    </w:p>
    <w:p w14:paraId="03256766" w14:textId="77777777" w:rsidR="00E65E42" w:rsidRPr="008270D6" w:rsidRDefault="00E65E42" w:rsidP="00557B45">
      <w:pPr>
        <w:pStyle w:val="Paragraphedeliste"/>
        <w:spacing w:after="240" w:line="240" w:lineRule="auto"/>
        <w:ind w:left="284"/>
        <w:contextualSpacing w:val="0"/>
        <w:jc w:val="both"/>
        <w:rPr>
          <w:rFonts w:ascii="Arial" w:hAnsi="Arial" w:cs="Arial"/>
          <w:sz w:val="18"/>
          <w:szCs w:val="18"/>
          <w:lang w:val="fr-FR"/>
        </w:rPr>
      </w:pPr>
      <w:r w:rsidRPr="00D403F5">
        <w:rPr>
          <w:rFonts w:ascii="Arial" w:hAnsi="Arial" w:cs="Arial"/>
          <w:smallCaps/>
          <w:sz w:val="18"/>
          <w:szCs w:val="18"/>
        </w:rPr>
        <w:t>Dillon M.J., Bowkett A.E., Bungard M.J., Beckman K.M., O’Brien M.F., Bates K., Fisher M.C., Stevens J.R. &amp; Thornton C.R.</w:t>
      </w:r>
      <w:r w:rsidRPr="00D403F5">
        <w:rPr>
          <w:rFonts w:ascii="Arial" w:hAnsi="Arial" w:cs="Arial"/>
          <w:sz w:val="18"/>
          <w:szCs w:val="18"/>
        </w:rPr>
        <w:t xml:space="preserve"> (2017). Tracking the amphibian pathogens </w:t>
      </w:r>
      <w:r w:rsidRPr="00D403F5">
        <w:rPr>
          <w:rFonts w:ascii="Arial" w:hAnsi="Arial" w:cs="Arial"/>
          <w:i/>
          <w:sz w:val="18"/>
          <w:szCs w:val="18"/>
        </w:rPr>
        <w:t>Batrachochytrium dendrobatidis</w:t>
      </w:r>
      <w:r w:rsidRPr="00D403F5">
        <w:rPr>
          <w:rFonts w:ascii="Arial" w:hAnsi="Arial" w:cs="Arial"/>
          <w:sz w:val="18"/>
          <w:szCs w:val="18"/>
        </w:rPr>
        <w:t xml:space="preserve"> and </w:t>
      </w:r>
      <w:r w:rsidRPr="00D403F5">
        <w:rPr>
          <w:rFonts w:ascii="Arial" w:hAnsi="Arial" w:cs="Arial"/>
          <w:i/>
          <w:sz w:val="18"/>
          <w:szCs w:val="18"/>
        </w:rPr>
        <w:t>Batrachochytrium salamandrivorans</w:t>
      </w:r>
      <w:r w:rsidRPr="00D403F5">
        <w:rPr>
          <w:rFonts w:ascii="Arial" w:hAnsi="Arial" w:cs="Arial"/>
          <w:sz w:val="18"/>
          <w:szCs w:val="18"/>
        </w:rPr>
        <w:t xml:space="preserve"> using a highly specific monoclonal antibody and lateral-flow technology. </w:t>
      </w:r>
      <w:r w:rsidRPr="008270D6">
        <w:rPr>
          <w:rFonts w:ascii="Arial" w:hAnsi="Arial" w:cs="Arial"/>
          <w:i/>
          <w:sz w:val="18"/>
          <w:szCs w:val="18"/>
          <w:lang w:val="fr-FR"/>
        </w:rPr>
        <w:t>Microb. Biotechnol.</w:t>
      </w:r>
      <w:r w:rsidRPr="008270D6">
        <w:rPr>
          <w:rFonts w:ascii="Arial" w:hAnsi="Arial" w:cs="Arial"/>
          <w:sz w:val="18"/>
          <w:szCs w:val="18"/>
          <w:lang w:val="fr-FR"/>
        </w:rPr>
        <w:t xml:space="preserve">, </w:t>
      </w:r>
      <w:r w:rsidRPr="008270D6">
        <w:rPr>
          <w:rFonts w:ascii="Arial" w:hAnsi="Arial" w:cs="Arial"/>
          <w:b/>
          <w:sz w:val="18"/>
          <w:szCs w:val="18"/>
          <w:lang w:val="fr-FR"/>
        </w:rPr>
        <w:t>10</w:t>
      </w:r>
      <w:r w:rsidRPr="008270D6">
        <w:rPr>
          <w:rFonts w:ascii="Arial" w:hAnsi="Arial" w:cs="Arial"/>
          <w:sz w:val="18"/>
          <w:szCs w:val="18"/>
          <w:lang w:val="fr-FR"/>
        </w:rPr>
        <w:t>, 381–394.</w:t>
      </w:r>
    </w:p>
    <w:p w14:paraId="4CFC7817"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8270D6">
        <w:rPr>
          <w:rFonts w:ascii="Arial" w:hAnsi="Arial" w:cs="Arial"/>
          <w:smallCaps/>
          <w:sz w:val="18"/>
          <w:szCs w:val="18"/>
          <w:lang w:val="fr-FR"/>
        </w:rPr>
        <w:t>Farrer R.A., Martel A., Verbrugghe E., Abouelleil A., Ducatelle R., Longcore J.E., James T.Y., Pasmans F., Fisher M.C. &amp; Cuoma C.A.</w:t>
      </w:r>
      <w:r w:rsidRPr="008270D6">
        <w:rPr>
          <w:rFonts w:ascii="Arial" w:hAnsi="Arial" w:cs="Arial"/>
          <w:sz w:val="18"/>
          <w:szCs w:val="18"/>
          <w:lang w:val="fr-FR"/>
        </w:rPr>
        <w:t xml:space="preserve"> (2017). </w:t>
      </w:r>
      <w:r w:rsidRPr="00D403F5">
        <w:rPr>
          <w:rFonts w:ascii="Arial" w:hAnsi="Arial" w:cs="Arial"/>
          <w:sz w:val="18"/>
          <w:szCs w:val="18"/>
        </w:rPr>
        <w:t xml:space="preserve">Evolutionary innovations underpin niche-specific infection strategies across emerging pathogenic chytrid fungi. </w:t>
      </w:r>
      <w:r w:rsidRPr="00D403F5">
        <w:rPr>
          <w:rFonts w:ascii="Arial" w:hAnsi="Arial" w:cs="Arial"/>
          <w:i/>
          <w:sz w:val="18"/>
          <w:szCs w:val="18"/>
        </w:rPr>
        <w:t>Nature Communications</w:t>
      </w:r>
      <w:r w:rsidRPr="00D403F5">
        <w:rPr>
          <w:rFonts w:ascii="Arial" w:hAnsi="Arial" w:cs="Arial"/>
          <w:sz w:val="18"/>
          <w:szCs w:val="18"/>
        </w:rPr>
        <w:t xml:space="preserve">, </w:t>
      </w:r>
      <w:r w:rsidRPr="00D403F5">
        <w:rPr>
          <w:rFonts w:ascii="Arial" w:hAnsi="Arial" w:cs="Arial"/>
          <w:b/>
          <w:sz w:val="18"/>
          <w:szCs w:val="18"/>
        </w:rPr>
        <w:t>8</w:t>
      </w:r>
      <w:r w:rsidRPr="00D403F5">
        <w:rPr>
          <w:rFonts w:ascii="Arial" w:hAnsi="Arial" w:cs="Arial"/>
          <w:sz w:val="18"/>
          <w:szCs w:val="18"/>
        </w:rPr>
        <w:t xml:space="preserve">: 14742. </w:t>
      </w:r>
      <w:r w:rsidRPr="00D403F5">
        <w:rPr>
          <w:rStyle w:val="frlabel"/>
          <w:rFonts w:ascii="Arial" w:hAnsi="Arial" w:cs="Arial"/>
          <w:bCs/>
          <w:color w:val="333333"/>
          <w:sz w:val="18"/>
          <w:szCs w:val="18"/>
          <w:shd w:val="clear" w:color="auto" w:fill="F8F8F8"/>
        </w:rPr>
        <w:t>doi:</w:t>
      </w:r>
      <w:r w:rsidRPr="00D403F5">
        <w:rPr>
          <w:rFonts w:ascii="Arial" w:hAnsi="Arial" w:cs="Arial"/>
          <w:color w:val="333333"/>
          <w:sz w:val="18"/>
          <w:szCs w:val="18"/>
          <w:shd w:val="clear" w:color="auto" w:fill="F8F8F8"/>
        </w:rPr>
        <w:t> </w:t>
      </w:r>
      <w:r w:rsidRPr="00D403F5">
        <w:rPr>
          <w:rFonts w:ascii="Arial" w:hAnsi="Arial" w:cs="Arial"/>
          <w:sz w:val="18"/>
          <w:szCs w:val="18"/>
        </w:rPr>
        <w:t>10.1038/ncomms14742.</w:t>
      </w:r>
    </w:p>
    <w:p w14:paraId="0C97E181"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D403F5">
        <w:rPr>
          <w:rFonts w:ascii="Arial" w:hAnsi="Arial" w:cs="Arial"/>
          <w:smallCaps/>
          <w:sz w:val="18"/>
          <w:szCs w:val="18"/>
        </w:rPr>
        <w:t>Fisher M.C., Ghosh P., Shelton J.M.G., Bates K., Brookes L., Wierzbicki C., Rosa G.M., Farrer R.A., Aanensen D.M., Alvarado-Rybak M., Bataille A., Berger L., Böll S., Bosch J., Clare F.C., Courtois E., Crottini A., Cunningham A.A., Doherty-Bone T.M., Gebresenbet F., Gower D.J., Höglund J., James T.Y., Jenkinson T.S., Kosch T.A., Lambertini C., Laurila A., Lin C.F., Loyau A., Martel A., Meurling S., Miaud C., Minting P., Ndriantsoa S., O’Hanlon S., Pasmans F., Rakotonanahary T., Rabemananjara F.C.E., Ribeiro L.P., Schmellder D.S., Schmidt B.R., Skerratt L., Smith F., Soto-Azat C., Tessa G., Toledo L.F., Valenzuela-Sánchez A., Verster R., Vörös J., Wadman B., Webb R.J., Weldon C., Wombwell E., Zamudio K.R., Longcore J.E. &amp; Garner T.W.J.</w:t>
      </w:r>
      <w:r w:rsidRPr="00D403F5">
        <w:rPr>
          <w:rFonts w:ascii="Arial" w:hAnsi="Arial" w:cs="Arial"/>
          <w:sz w:val="18"/>
          <w:szCs w:val="18"/>
        </w:rPr>
        <w:t xml:space="preserve"> (2018). Development and worldwide use of non-lethal, and minimal population-level impact, protocols for the isolation of amphibian chytrid fungi. </w:t>
      </w:r>
      <w:r w:rsidRPr="00D403F5">
        <w:rPr>
          <w:rFonts w:ascii="Arial" w:hAnsi="Arial" w:cs="Arial"/>
          <w:i/>
          <w:sz w:val="18"/>
          <w:szCs w:val="18"/>
        </w:rPr>
        <w:t>Scientific Reports</w:t>
      </w:r>
      <w:r w:rsidRPr="00D403F5">
        <w:rPr>
          <w:rFonts w:ascii="Arial" w:hAnsi="Arial" w:cs="Arial"/>
          <w:sz w:val="18"/>
          <w:szCs w:val="18"/>
        </w:rPr>
        <w:t xml:space="preserve">, </w:t>
      </w:r>
      <w:r w:rsidRPr="00D403F5">
        <w:rPr>
          <w:rFonts w:ascii="Arial" w:hAnsi="Arial" w:cs="Arial"/>
          <w:b/>
          <w:color w:val="000000"/>
          <w:sz w:val="18"/>
          <w:szCs w:val="18"/>
          <w:shd w:val="clear" w:color="auto" w:fill="FFFFFF"/>
        </w:rPr>
        <w:t>8</w:t>
      </w:r>
      <w:r w:rsidRPr="00D403F5">
        <w:rPr>
          <w:rFonts w:ascii="Arial" w:hAnsi="Arial" w:cs="Arial"/>
          <w:color w:val="000000"/>
          <w:sz w:val="18"/>
          <w:szCs w:val="18"/>
          <w:shd w:val="clear" w:color="auto" w:fill="FFFFFF"/>
        </w:rPr>
        <w:t xml:space="preserve"> (1), 7772. doi: 10.1038/s41598-018-24472-2</w:t>
      </w:r>
      <w:r w:rsidRPr="00D403F5">
        <w:rPr>
          <w:rFonts w:ascii="Arial" w:hAnsi="Arial" w:cs="Arial"/>
          <w:sz w:val="18"/>
          <w:szCs w:val="18"/>
        </w:rPr>
        <w:t>.</w:t>
      </w:r>
    </w:p>
    <w:p w14:paraId="39B2BF7F"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D403F5">
        <w:rPr>
          <w:rFonts w:ascii="Arial" w:hAnsi="Arial" w:cs="Arial"/>
          <w:smallCaps/>
          <w:sz w:val="18"/>
          <w:szCs w:val="18"/>
        </w:rPr>
        <w:t xml:space="preserve">Fitzpatrick L., Pasmans F., Martel A. &amp; Cunningham A.A. </w:t>
      </w:r>
      <w:r w:rsidRPr="00D403F5">
        <w:rPr>
          <w:rFonts w:ascii="Arial" w:hAnsi="Arial" w:cs="Arial"/>
          <w:sz w:val="18"/>
          <w:szCs w:val="18"/>
        </w:rPr>
        <w:t xml:space="preserve">(2018). Epidemiological tracing of </w:t>
      </w:r>
      <w:r w:rsidRPr="00D403F5">
        <w:rPr>
          <w:rFonts w:ascii="Arial" w:hAnsi="Arial" w:cs="Arial"/>
          <w:i/>
          <w:sz w:val="18"/>
          <w:szCs w:val="18"/>
        </w:rPr>
        <w:t>Batrachochytrium salamandrivorans</w:t>
      </w:r>
      <w:r w:rsidRPr="00D403F5">
        <w:rPr>
          <w:rFonts w:ascii="Arial" w:hAnsi="Arial" w:cs="Arial"/>
          <w:sz w:val="18"/>
          <w:szCs w:val="18"/>
        </w:rPr>
        <w:t xml:space="preserve"> identifies widespread infection and associated mortalities in private amphibian collections. </w:t>
      </w:r>
      <w:r w:rsidRPr="00D403F5">
        <w:rPr>
          <w:rFonts w:ascii="Arial" w:hAnsi="Arial" w:cs="Arial"/>
          <w:i/>
          <w:sz w:val="18"/>
          <w:szCs w:val="18"/>
        </w:rPr>
        <w:t>Scientific Reports</w:t>
      </w:r>
      <w:r w:rsidRPr="00D403F5">
        <w:rPr>
          <w:rFonts w:ascii="Arial" w:hAnsi="Arial" w:cs="Arial"/>
          <w:sz w:val="18"/>
          <w:szCs w:val="18"/>
        </w:rPr>
        <w:t xml:space="preserve">, </w:t>
      </w:r>
      <w:r w:rsidRPr="00D403F5">
        <w:rPr>
          <w:rFonts w:ascii="Arial" w:hAnsi="Arial" w:cs="Arial"/>
          <w:b/>
          <w:sz w:val="18"/>
          <w:szCs w:val="18"/>
        </w:rPr>
        <w:t>8</w:t>
      </w:r>
      <w:r w:rsidRPr="00D403F5">
        <w:rPr>
          <w:rFonts w:ascii="Arial" w:hAnsi="Arial" w:cs="Arial"/>
          <w:sz w:val="18"/>
          <w:szCs w:val="18"/>
        </w:rPr>
        <w:t>, 13845.</w:t>
      </w:r>
    </w:p>
    <w:p w14:paraId="1969365E"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D403F5">
        <w:rPr>
          <w:rFonts w:ascii="Arial" w:hAnsi="Arial" w:cs="Arial"/>
          <w:smallCaps/>
          <w:sz w:val="18"/>
          <w:szCs w:val="18"/>
        </w:rPr>
        <w:t>Laking A.E., Ngo H.N., Pasmans F., Martel A. &amp; Nguyen T.T</w:t>
      </w:r>
      <w:r w:rsidRPr="00D403F5">
        <w:rPr>
          <w:rFonts w:ascii="Arial" w:hAnsi="Arial" w:cs="Arial"/>
          <w:sz w:val="18"/>
          <w:szCs w:val="18"/>
        </w:rPr>
        <w:t xml:space="preserve">. (2017). </w:t>
      </w:r>
      <w:r w:rsidRPr="00D403F5">
        <w:rPr>
          <w:rFonts w:ascii="Arial" w:hAnsi="Arial" w:cs="Arial"/>
          <w:i/>
          <w:sz w:val="18"/>
          <w:szCs w:val="18"/>
        </w:rPr>
        <w:t>Batrachochytrium salamandrivorans</w:t>
      </w:r>
      <w:r w:rsidRPr="00D403F5">
        <w:rPr>
          <w:rFonts w:ascii="Arial" w:hAnsi="Arial" w:cs="Arial"/>
          <w:sz w:val="18"/>
          <w:szCs w:val="18"/>
        </w:rPr>
        <w:t xml:space="preserve"> is the predominant chytrid fungus in Vietnamese salamanders. </w:t>
      </w:r>
      <w:r w:rsidRPr="00D403F5">
        <w:rPr>
          <w:rFonts w:ascii="Arial" w:hAnsi="Arial" w:cs="Arial"/>
          <w:i/>
          <w:sz w:val="18"/>
          <w:szCs w:val="18"/>
        </w:rPr>
        <w:t>Scientific Reports</w:t>
      </w:r>
      <w:r w:rsidRPr="00D403F5">
        <w:rPr>
          <w:rFonts w:ascii="Arial" w:hAnsi="Arial" w:cs="Arial"/>
          <w:sz w:val="18"/>
          <w:szCs w:val="18"/>
        </w:rPr>
        <w:t xml:space="preserve">, </w:t>
      </w:r>
      <w:r w:rsidRPr="00D403F5">
        <w:rPr>
          <w:rFonts w:ascii="Arial" w:hAnsi="Arial" w:cs="Arial"/>
          <w:b/>
          <w:sz w:val="18"/>
          <w:szCs w:val="18"/>
        </w:rPr>
        <w:t>7</w:t>
      </w:r>
      <w:r w:rsidRPr="00D403F5">
        <w:rPr>
          <w:rFonts w:ascii="Arial" w:hAnsi="Arial" w:cs="Arial"/>
          <w:sz w:val="18"/>
          <w:szCs w:val="18"/>
        </w:rPr>
        <w:t xml:space="preserve">, 44443. </w:t>
      </w:r>
      <w:r w:rsidRPr="00D403F5">
        <w:rPr>
          <w:rStyle w:val="frlabel"/>
          <w:rFonts w:ascii="Arial" w:hAnsi="Arial" w:cs="Arial"/>
          <w:bCs/>
          <w:color w:val="333333"/>
          <w:sz w:val="18"/>
          <w:szCs w:val="18"/>
          <w:shd w:val="clear" w:color="auto" w:fill="F8F8F8"/>
        </w:rPr>
        <w:t>doi:</w:t>
      </w:r>
      <w:r w:rsidRPr="00D403F5">
        <w:rPr>
          <w:rFonts w:ascii="Arial" w:hAnsi="Arial" w:cs="Arial"/>
          <w:color w:val="333333"/>
          <w:sz w:val="18"/>
          <w:szCs w:val="18"/>
          <w:shd w:val="clear" w:color="auto" w:fill="F8F8F8"/>
        </w:rPr>
        <w:t> </w:t>
      </w:r>
      <w:r w:rsidRPr="00D403F5">
        <w:rPr>
          <w:rFonts w:ascii="Arial" w:hAnsi="Arial" w:cs="Arial"/>
          <w:sz w:val="18"/>
          <w:szCs w:val="18"/>
        </w:rPr>
        <w:t>10.1038/srep44443</w:t>
      </w:r>
    </w:p>
    <w:p w14:paraId="745775B5" w14:textId="77777777" w:rsidR="00E65E42" w:rsidRPr="00D403F5" w:rsidRDefault="00E65E42" w:rsidP="00557B45">
      <w:pPr>
        <w:pStyle w:val="Paragraphedeliste"/>
        <w:spacing w:after="240" w:line="240" w:lineRule="auto"/>
        <w:ind w:left="284"/>
        <w:contextualSpacing w:val="0"/>
        <w:jc w:val="both"/>
        <w:rPr>
          <w:rFonts w:ascii="Arial" w:hAnsi="Arial" w:cs="Arial"/>
          <w:bCs/>
          <w:sz w:val="18"/>
          <w:szCs w:val="18"/>
        </w:rPr>
      </w:pPr>
      <w:r w:rsidRPr="00D403F5">
        <w:rPr>
          <w:rFonts w:ascii="Arial" w:hAnsi="Arial" w:cs="Arial"/>
          <w:smallCaps/>
          <w:sz w:val="18"/>
          <w:szCs w:val="18"/>
        </w:rPr>
        <w:t>Martel A., Blooi M., Adriaensen C., Van Rooij P., Beukema W., Fisher M.C., Farrer R.A., Schmidt B.R., Tobler U., Goka K., Lips K.R., Muletz C., Zamudio K., Bosch J., Lötters S., Wombwell E., Garner T.W.J., Spitzen-van der Sluijs A., Salvidio S., Ducatelle R., Nishikawa K., Nguyen T.T., Van Bocxlaer I., Bossuyt F. &amp; Pasmans F.</w:t>
      </w:r>
      <w:r w:rsidRPr="00D403F5">
        <w:rPr>
          <w:rFonts w:ascii="Arial" w:hAnsi="Arial" w:cs="Arial"/>
          <w:bCs/>
          <w:sz w:val="18"/>
          <w:szCs w:val="18"/>
        </w:rPr>
        <w:t xml:space="preserve"> (2014). Recent introduction of a chytrid fungus endangers Western Palearctic salamanders. </w:t>
      </w:r>
      <w:r w:rsidRPr="00D403F5">
        <w:rPr>
          <w:rFonts w:ascii="Arial" w:hAnsi="Arial" w:cs="Arial"/>
          <w:bCs/>
          <w:i/>
          <w:sz w:val="18"/>
          <w:szCs w:val="18"/>
        </w:rPr>
        <w:t>Science</w:t>
      </w:r>
      <w:r w:rsidRPr="00D403F5">
        <w:rPr>
          <w:rFonts w:ascii="Arial" w:hAnsi="Arial" w:cs="Arial"/>
          <w:bCs/>
          <w:sz w:val="18"/>
          <w:szCs w:val="18"/>
        </w:rPr>
        <w:t xml:space="preserve">, </w:t>
      </w:r>
      <w:r w:rsidRPr="00D403F5">
        <w:rPr>
          <w:rFonts w:ascii="Arial" w:hAnsi="Arial" w:cs="Arial"/>
          <w:b/>
          <w:bCs/>
          <w:sz w:val="18"/>
          <w:szCs w:val="18"/>
        </w:rPr>
        <w:t>346</w:t>
      </w:r>
      <w:r w:rsidRPr="00D403F5">
        <w:rPr>
          <w:rFonts w:ascii="Arial" w:hAnsi="Arial" w:cs="Arial"/>
          <w:bCs/>
          <w:sz w:val="18"/>
          <w:szCs w:val="18"/>
        </w:rPr>
        <w:t>, 630</w:t>
      </w:r>
      <w:r w:rsidRPr="00D403F5">
        <w:rPr>
          <w:rFonts w:ascii="Arial" w:hAnsi="Arial" w:cs="Arial"/>
          <w:sz w:val="18"/>
          <w:szCs w:val="18"/>
        </w:rPr>
        <w:t>–</w:t>
      </w:r>
      <w:r w:rsidRPr="00D403F5">
        <w:rPr>
          <w:rFonts w:ascii="Arial" w:hAnsi="Arial" w:cs="Arial"/>
          <w:bCs/>
          <w:sz w:val="18"/>
          <w:szCs w:val="18"/>
        </w:rPr>
        <w:t>631.</w:t>
      </w:r>
    </w:p>
    <w:p w14:paraId="5A4B9E7B" w14:textId="77777777" w:rsidR="00E65E42" w:rsidRPr="008270D6" w:rsidRDefault="00E65E42" w:rsidP="00557B45">
      <w:pPr>
        <w:pStyle w:val="Paragraphedeliste"/>
        <w:spacing w:after="240" w:line="240" w:lineRule="auto"/>
        <w:ind w:left="284"/>
        <w:contextualSpacing w:val="0"/>
        <w:jc w:val="both"/>
        <w:rPr>
          <w:rFonts w:ascii="Arial" w:hAnsi="Arial" w:cs="Arial"/>
          <w:sz w:val="18"/>
          <w:szCs w:val="18"/>
          <w:lang w:val="fr-FR"/>
        </w:rPr>
      </w:pPr>
      <w:r w:rsidRPr="00D403F5">
        <w:rPr>
          <w:rFonts w:ascii="Arial" w:hAnsi="Arial" w:cs="Arial"/>
          <w:smallCaps/>
          <w:sz w:val="18"/>
          <w:szCs w:val="18"/>
        </w:rPr>
        <w:t>Martel A., Spitzen-van der Sluijs A., Blooi M., Bert W., Ducatelle R., Fisher M.C., Woeltjes A., Bosman W., Chiers K., Bossuyt F. &amp; Pasmans F.</w:t>
      </w:r>
      <w:r w:rsidRPr="00D403F5">
        <w:rPr>
          <w:rFonts w:ascii="Arial" w:hAnsi="Arial" w:cs="Arial"/>
          <w:sz w:val="18"/>
          <w:szCs w:val="18"/>
        </w:rPr>
        <w:t xml:space="preserve"> (2013). </w:t>
      </w:r>
      <w:r w:rsidRPr="00D403F5">
        <w:rPr>
          <w:rFonts w:ascii="Arial" w:hAnsi="Arial" w:cs="Arial"/>
          <w:i/>
          <w:sz w:val="18"/>
          <w:szCs w:val="18"/>
        </w:rPr>
        <w:t>Batrachochytrium salamandrivorans</w:t>
      </w:r>
      <w:r w:rsidRPr="00D403F5">
        <w:rPr>
          <w:rFonts w:ascii="Arial" w:hAnsi="Arial" w:cs="Arial"/>
          <w:sz w:val="18"/>
          <w:szCs w:val="18"/>
        </w:rPr>
        <w:t xml:space="preserve"> sp nov causes lethal chytridiomycosis in amphibians. </w:t>
      </w:r>
      <w:r w:rsidRPr="00D403F5">
        <w:rPr>
          <w:rFonts w:ascii="Arial" w:hAnsi="Arial" w:cs="Arial"/>
          <w:i/>
          <w:sz w:val="18"/>
          <w:szCs w:val="18"/>
        </w:rPr>
        <w:t xml:space="preserve">Proc. Natl Acad. Sci. </w:t>
      </w:r>
      <w:r w:rsidRPr="008270D6">
        <w:rPr>
          <w:rFonts w:ascii="Arial" w:hAnsi="Arial" w:cs="Arial"/>
          <w:i/>
          <w:sz w:val="18"/>
          <w:szCs w:val="18"/>
          <w:lang w:val="fr-FR"/>
        </w:rPr>
        <w:t>USA,</w:t>
      </w:r>
      <w:r w:rsidRPr="008270D6">
        <w:rPr>
          <w:rFonts w:ascii="Arial" w:hAnsi="Arial" w:cs="Arial"/>
          <w:sz w:val="18"/>
          <w:szCs w:val="18"/>
          <w:lang w:val="fr-FR"/>
        </w:rPr>
        <w:t xml:space="preserve"> </w:t>
      </w:r>
      <w:r w:rsidRPr="008270D6">
        <w:rPr>
          <w:rFonts w:ascii="Arial" w:hAnsi="Arial" w:cs="Arial"/>
          <w:b/>
          <w:sz w:val="18"/>
          <w:szCs w:val="18"/>
          <w:lang w:val="fr-FR"/>
        </w:rPr>
        <w:t>110</w:t>
      </w:r>
      <w:r w:rsidRPr="008270D6">
        <w:rPr>
          <w:rFonts w:ascii="Arial" w:hAnsi="Arial" w:cs="Arial"/>
          <w:sz w:val="18"/>
          <w:szCs w:val="18"/>
          <w:lang w:val="fr-FR"/>
        </w:rPr>
        <w:t>, 15325–15329.</w:t>
      </w:r>
    </w:p>
    <w:p w14:paraId="220BCD18"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BC5907">
        <w:rPr>
          <w:rFonts w:ascii="Arial" w:hAnsi="Arial" w:cs="Arial"/>
          <w:smallCaps/>
          <w:sz w:val="18"/>
          <w:szCs w:val="18"/>
          <w:lang w:val="fr-FR"/>
        </w:rPr>
        <w:t>Nguyen T.T., Nguyen T.V., Ziegler T., Pasmans F. &amp; Martel A.</w:t>
      </w:r>
      <w:r w:rsidRPr="00BC5907">
        <w:rPr>
          <w:rFonts w:ascii="Arial" w:hAnsi="Arial" w:cs="Arial"/>
          <w:sz w:val="18"/>
          <w:szCs w:val="18"/>
          <w:lang w:val="fr-FR"/>
        </w:rPr>
        <w:t xml:space="preserve"> (2017). </w:t>
      </w:r>
      <w:r w:rsidRPr="00D403F5">
        <w:rPr>
          <w:rFonts w:ascii="Arial" w:hAnsi="Arial" w:cs="Arial"/>
          <w:sz w:val="18"/>
          <w:szCs w:val="18"/>
        </w:rPr>
        <w:t xml:space="preserve">Trade in wild anurans vectors the urodelan pathogen </w:t>
      </w:r>
      <w:r w:rsidRPr="00D403F5">
        <w:rPr>
          <w:rFonts w:ascii="Arial" w:hAnsi="Arial" w:cs="Arial"/>
          <w:i/>
          <w:sz w:val="18"/>
          <w:szCs w:val="18"/>
        </w:rPr>
        <w:t>Batrachochytrium salamandrivorans</w:t>
      </w:r>
      <w:r w:rsidRPr="00D403F5">
        <w:rPr>
          <w:rFonts w:ascii="Arial" w:hAnsi="Arial" w:cs="Arial"/>
          <w:sz w:val="18"/>
          <w:szCs w:val="18"/>
        </w:rPr>
        <w:t xml:space="preserve"> into Europe. </w:t>
      </w:r>
      <w:r w:rsidRPr="00D403F5">
        <w:rPr>
          <w:rFonts w:ascii="Arial" w:hAnsi="Arial" w:cs="Arial"/>
          <w:i/>
          <w:sz w:val="18"/>
          <w:szCs w:val="18"/>
        </w:rPr>
        <w:t>Amphibia Reptilia</w:t>
      </w:r>
      <w:r w:rsidRPr="00D403F5">
        <w:rPr>
          <w:rFonts w:ascii="Arial" w:hAnsi="Arial" w:cs="Arial"/>
          <w:sz w:val="18"/>
          <w:szCs w:val="18"/>
        </w:rPr>
        <w:t xml:space="preserve">, </w:t>
      </w:r>
      <w:r w:rsidRPr="00D403F5">
        <w:rPr>
          <w:rFonts w:ascii="Arial" w:hAnsi="Arial" w:cs="Arial"/>
          <w:b/>
          <w:sz w:val="18"/>
          <w:szCs w:val="18"/>
        </w:rPr>
        <w:t>38</w:t>
      </w:r>
      <w:r w:rsidRPr="00D403F5">
        <w:rPr>
          <w:rFonts w:ascii="Arial" w:hAnsi="Arial" w:cs="Arial"/>
          <w:sz w:val="18"/>
          <w:szCs w:val="18"/>
        </w:rPr>
        <w:t xml:space="preserve">, 554–556. </w:t>
      </w:r>
      <w:r w:rsidRPr="00D403F5">
        <w:rPr>
          <w:rFonts w:ascii="Arial" w:hAnsi="Arial" w:cs="Arial"/>
          <w:bCs/>
          <w:sz w:val="18"/>
          <w:szCs w:val="18"/>
        </w:rPr>
        <w:t xml:space="preserve">doi: </w:t>
      </w:r>
      <w:r w:rsidRPr="00D403F5">
        <w:rPr>
          <w:rFonts w:ascii="Arial" w:hAnsi="Arial" w:cs="Arial"/>
          <w:sz w:val="18"/>
          <w:szCs w:val="18"/>
        </w:rPr>
        <w:t>10.1163/15685381-00003125</w:t>
      </w:r>
    </w:p>
    <w:p w14:paraId="3FEB410C" w14:textId="77777777" w:rsidR="00557B45" w:rsidRDefault="00557B45">
      <w:pPr>
        <w:rPr>
          <w:u w:val="single"/>
        </w:rPr>
      </w:pPr>
      <w:r>
        <w:rPr>
          <w:u w:val="single"/>
        </w:rPr>
        <w:br w:type="page"/>
      </w:r>
    </w:p>
    <w:p w14:paraId="7C111ED4" w14:textId="7C9D7700" w:rsidR="00557B45" w:rsidRPr="00754D87" w:rsidRDefault="00557B45" w:rsidP="00557B45">
      <w:pPr>
        <w:spacing w:after="480" w:line="240" w:lineRule="auto"/>
        <w:jc w:val="right"/>
        <w:rPr>
          <w:lang w:val="es-ES"/>
        </w:rPr>
      </w:pPr>
      <w:r w:rsidRPr="00754D87">
        <w:rPr>
          <w:u w:val="single"/>
          <w:lang w:val="es-ES"/>
        </w:rPr>
        <w:lastRenderedPageBreak/>
        <w:t>A</w:t>
      </w:r>
      <w:r w:rsidRPr="00754D87">
        <w:rPr>
          <w:rFonts w:cs="Times New Roman"/>
          <w:bCs/>
          <w:iCs/>
          <w:szCs w:val="20"/>
          <w:u w:val="single"/>
          <w:lang w:val="es-ES"/>
        </w:rPr>
        <w:t>nnex 12</w:t>
      </w:r>
      <w:r w:rsidRPr="00754D87">
        <w:rPr>
          <w:rFonts w:cs="Times New Roman"/>
          <w:bCs/>
          <w:iCs/>
          <w:szCs w:val="20"/>
          <w:lang w:val="es-ES"/>
        </w:rPr>
        <w:t xml:space="preserve"> (contd)</w:t>
      </w:r>
    </w:p>
    <w:p w14:paraId="39C7E796"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lang w:val="es-ES"/>
        </w:rPr>
      </w:pPr>
      <w:r w:rsidRPr="00D403F5">
        <w:rPr>
          <w:rFonts w:ascii="Arial" w:hAnsi="Arial" w:cs="Arial"/>
          <w:smallCaps/>
          <w:sz w:val="18"/>
          <w:szCs w:val="18"/>
        </w:rPr>
        <w:t>Sabino-Pinto J., Bletz M., Hendrix R., Perl R.G.B., Martel A., Pasmans F., Lötters S., Mutschmann F., Schmeller D.S., Schmidt B.R., Veith M., Wagner N., Vences M. &amp; Steinfartz S.</w:t>
      </w:r>
      <w:r w:rsidRPr="00D403F5">
        <w:rPr>
          <w:rFonts w:ascii="Arial" w:hAnsi="Arial" w:cs="Arial"/>
          <w:sz w:val="18"/>
          <w:szCs w:val="18"/>
        </w:rPr>
        <w:t xml:space="preserve"> (2015). First detection of the emerging fungal pathogen </w:t>
      </w:r>
      <w:r w:rsidRPr="00D403F5">
        <w:rPr>
          <w:rFonts w:ascii="Arial" w:hAnsi="Arial" w:cs="Arial"/>
          <w:i/>
          <w:sz w:val="18"/>
          <w:szCs w:val="18"/>
        </w:rPr>
        <w:t>Batrachochytrium salamandrivorans</w:t>
      </w:r>
      <w:r w:rsidRPr="00D403F5">
        <w:rPr>
          <w:rFonts w:ascii="Arial" w:hAnsi="Arial" w:cs="Arial"/>
          <w:sz w:val="18"/>
          <w:szCs w:val="18"/>
        </w:rPr>
        <w:t xml:space="preserve"> in Germany. </w:t>
      </w:r>
      <w:r w:rsidRPr="00D403F5">
        <w:rPr>
          <w:rFonts w:ascii="Arial" w:hAnsi="Arial" w:cs="Arial"/>
          <w:i/>
          <w:sz w:val="18"/>
          <w:szCs w:val="18"/>
          <w:lang w:val="es-ES"/>
        </w:rPr>
        <w:t>Amphibia Reptilia</w:t>
      </w:r>
      <w:r w:rsidRPr="00D403F5">
        <w:rPr>
          <w:rFonts w:ascii="Arial" w:hAnsi="Arial" w:cs="Arial"/>
          <w:sz w:val="18"/>
          <w:szCs w:val="18"/>
          <w:lang w:val="es-ES"/>
        </w:rPr>
        <w:t xml:space="preserve">, </w:t>
      </w:r>
      <w:r w:rsidRPr="00D403F5">
        <w:rPr>
          <w:rFonts w:ascii="Arial" w:hAnsi="Arial" w:cs="Arial"/>
          <w:b/>
          <w:sz w:val="18"/>
          <w:szCs w:val="18"/>
          <w:lang w:val="es-ES"/>
        </w:rPr>
        <w:t>36</w:t>
      </w:r>
      <w:r w:rsidRPr="00D403F5">
        <w:rPr>
          <w:rFonts w:ascii="Arial" w:hAnsi="Arial" w:cs="Arial"/>
          <w:sz w:val="18"/>
          <w:szCs w:val="18"/>
          <w:lang w:val="es-ES"/>
        </w:rPr>
        <w:t>, 411–416.</w:t>
      </w:r>
    </w:p>
    <w:p w14:paraId="450C457A" w14:textId="77777777" w:rsidR="00E65E42" w:rsidRPr="00631F77" w:rsidRDefault="00E65E42" w:rsidP="00557B45">
      <w:pPr>
        <w:pStyle w:val="Paragraphedeliste"/>
        <w:spacing w:after="240" w:line="240" w:lineRule="auto"/>
        <w:ind w:left="284"/>
        <w:contextualSpacing w:val="0"/>
        <w:jc w:val="both"/>
        <w:rPr>
          <w:rFonts w:ascii="Arial" w:hAnsi="Arial" w:cs="Arial"/>
          <w:sz w:val="18"/>
          <w:szCs w:val="18"/>
          <w:lang w:val="es-ES"/>
        </w:rPr>
      </w:pPr>
      <w:r w:rsidRPr="00D403F5">
        <w:rPr>
          <w:rFonts w:ascii="Arial" w:hAnsi="Arial" w:cs="Arial"/>
          <w:smallCaps/>
          <w:sz w:val="18"/>
          <w:szCs w:val="18"/>
          <w:lang w:val="es-ES"/>
        </w:rPr>
        <w:t>Sabino-Pinto J., Tobias Krause E., Bletz M.C., Martel A., Pasmans F., Steinfartz S. &amp; Vences M.</w:t>
      </w:r>
      <w:r w:rsidRPr="00D403F5">
        <w:rPr>
          <w:rFonts w:ascii="Arial" w:hAnsi="Arial" w:cs="Arial"/>
          <w:sz w:val="18"/>
          <w:szCs w:val="18"/>
          <w:lang w:val="es-ES"/>
        </w:rPr>
        <w:t xml:space="preserve"> (</w:t>
      </w:r>
      <w:r w:rsidRPr="00631F77">
        <w:rPr>
          <w:rFonts w:ascii="Arial" w:hAnsi="Arial" w:cs="Arial"/>
          <w:strike/>
          <w:sz w:val="18"/>
          <w:szCs w:val="18"/>
          <w:highlight w:val="yellow"/>
          <w:lang w:val="es-ES"/>
        </w:rPr>
        <w:t>2018</w:t>
      </w:r>
      <w:r>
        <w:rPr>
          <w:rFonts w:ascii="Arial" w:hAnsi="Arial" w:cs="Arial"/>
          <w:strike/>
          <w:sz w:val="18"/>
          <w:szCs w:val="18"/>
          <w:lang w:val="es-ES"/>
        </w:rPr>
        <w:t xml:space="preserve"> </w:t>
      </w:r>
      <w:r w:rsidRPr="00631F77">
        <w:rPr>
          <w:rFonts w:ascii="Arial" w:hAnsi="Arial" w:cs="Arial"/>
          <w:sz w:val="18"/>
          <w:szCs w:val="18"/>
          <w:highlight w:val="yellow"/>
          <w:u w:val="double"/>
          <w:lang w:val="es-ES"/>
        </w:rPr>
        <w:t>2019a</w:t>
      </w:r>
      <w:r w:rsidRPr="00D403F5">
        <w:rPr>
          <w:rFonts w:ascii="Arial" w:hAnsi="Arial" w:cs="Arial"/>
          <w:sz w:val="18"/>
          <w:szCs w:val="18"/>
          <w:lang w:val="es-ES"/>
        </w:rPr>
        <w:t xml:space="preserve">). </w:t>
      </w:r>
      <w:r w:rsidRPr="00D403F5">
        <w:rPr>
          <w:rFonts w:ascii="Arial" w:hAnsi="Arial" w:cs="Arial"/>
          <w:sz w:val="18"/>
          <w:szCs w:val="18"/>
        </w:rPr>
        <w:t xml:space="preserve">Detectability vs. time and costs in pooled DNA extraction of cutaneous swabs: a study on the amphibian chytrid fungi. </w:t>
      </w:r>
      <w:r w:rsidRPr="00631F77">
        <w:rPr>
          <w:rFonts w:ascii="Arial" w:hAnsi="Arial" w:cs="Arial"/>
          <w:i/>
          <w:sz w:val="18"/>
          <w:szCs w:val="18"/>
          <w:lang w:val="es-ES"/>
        </w:rPr>
        <w:t>Amphibia Reptilia</w:t>
      </w:r>
      <w:r w:rsidRPr="00631F77">
        <w:rPr>
          <w:rFonts w:ascii="Arial" w:hAnsi="Arial" w:cs="Arial"/>
          <w:sz w:val="18"/>
          <w:szCs w:val="18"/>
          <w:lang w:val="es-ES"/>
        </w:rPr>
        <w:t xml:space="preserve">, </w:t>
      </w:r>
      <w:r w:rsidRPr="00631F77">
        <w:rPr>
          <w:rFonts w:ascii="Arial" w:hAnsi="Arial" w:cs="Arial"/>
          <w:b/>
          <w:sz w:val="18"/>
          <w:szCs w:val="18"/>
          <w:lang w:val="es-ES"/>
        </w:rPr>
        <w:t>40</w:t>
      </w:r>
      <w:r w:rsidRPr="00631F77">
        <w:rPr>
          <w:rFonts w:ascii="Arial" w:hAnsi="Arial" w:cs="Arial"/>
          <w:sz w:val="18"/>
          <w:szCs w:val="18"/>
          <w:lang w:val="es-ES"/>
        </w:rPr>
        <w:t xml:space="preserve">, </w:t>
      </w:r>
      <w:r w:rsidRPr="00631F77">
        <w:rPr>
          <w:rFonts w:ascii="Arial" w:hAnsi="Arial" w:cs="Arial"/>
          <w:strike/>
          <w:sz w:val="18"/>
          <w:szCs w:val="18"/>
          <w:highlight w:val="yellow"/>
          <w:lang w:val="es-ES"/>
        </w:rPr>
        <w:t>1–11</w:t>
      </w:r>
      <w:r w:rsidRPr="00631F77">
        <w:rPr>
          <w:rFonts w:ascii="Arial" w:hAnsi="Arial" w:cs="Arial"/>
          <w:strike/>
          <w:sz w:val="18"/>
          <w:szCs w:val="18"/>
          <w:lang w:val="es-ES"/>
        </w:rPr>
        <w:t xml:space="preserve"> </w:t>
      </w:r>
      <w:r w:rsidRPr="00631F77">
        <w:rPr>
          <w:rFonts w:ascii="Arial" w:hAnsi="Arial" w:cs="Arial"/>
          <w:sz w:val="18"/>
          <w:szCs w:val="18"/>
          <w:highlight w:val="yellow"/>
          <w:u w:val="double"/>
          <w:lang w:val="es-ES"/>
        </w:rPr>
        <w:t>29-39</w:t>
      </w:r>
      <w:r w:rsidRPr="00631F77">
        <w:rPr>
          <w:rFonts w:ascii="Arial" w:hAnsi="Arial" w:cs="Arial"/>
          <w:sz w:val="18"/>
          <w:szCs w:val="18"/>
          <w:lang w:val="es-ES"/>
        </w:rPr>
        <w:t>.</w:t>
      </w:r>
    </w:p>
    <w:p w14:paraId="02D226F3" w14:textId="77777777" w:rsidR="00E65E42" w:rsidRPr="00631F77" w:rsidRDefault="00E65E42" w:rsidP="00557B45">
      <w:pPr>
        <w:pStyle w:val="Paragraphedeliste"/>
        <w:spacing w:after="240" w:line="240" w:lineRule="auto"/>
        <w:ind w:left="284"/>
        <w:contextualSpacing w:val="0"/>
        <w:jc w:val="both"/>
        <w:rPr>
          <w:rFonts w:ascii="Arial" w:hAnsi="Arial" w:cs="Arial"/>
          <w:sz w:val="18"/>
          <w:szCs w:val="18"/>
          <w:u w:val="double"/>
        </w:rPr>
      </w:pPr>
      <w:r w:rsidRPr="00631F77">
        <w:rPr>
          <w:rFonts w:ascii="Arial" w:hAnsi="Arial" w:cs="Arial"/>
          <w:smallCaps/>
          <w:sz w:val="18"/>
          <w:szCs w:val="18"/>
          <w:highlight w:val="yellow"/>
          <w:u w:val="double"/>
          <w:lang w:val="es-ES"/>
        </w:rPr>
        <w:t>Sabino-Pinto J., Martel A., Pasmans F., Steinfartz S. &amp; Vences M.</w:t>
      </w:r>
      <w:r w:rsidRPr="00631F77">
        <w:rPr>
          <w:rFonts w:ascii="Arial" w:hAnsi="Arial" w:cs="Arial"/>
          <w:sz w:val="18"/>
          <w:szCs w:val="18"/>
          <w:highlight w:val="yellow"/>
          <w:u w:val="double"/>
          <w:lang w:val="es-ES"/>
        </w:rPr>
        <w:t xml:space="preserve"> (2019b). </w:t>
      </w:r>
      <w:r w:rsidRPr="00631F77">
        <w:rPr>
          <w:rFonts w:ascii="Arial" w:hAnsi="Arial" w:cs="Arial"/>
          <w:sz w:val="18"/>
          <w:szCs w:val="18"/>
          <w:highlight w:val="yellow"/>
          <w:u w:val="double"/>
        </w:rPr>
        <w:t xml:space="preserve">Pooling skin swabs does not inhibit qPCR detection of amphibian chytrid infection. </w:t>
      </w:r>
      <w:r w:rsidRPr="00631F77">
        <w:rPr>
          <w:rFonts w:ascii="Arial" w:hAnsi="Arial" w:cs="Arial"/>
          <w:i/>
          <w:sz w:val="18"/>
          <w:szCs w:val="18"/>
          <w:highlight w:val="yellow"/>
          <w:u w:val="double"/>
        </w:rPr>
        <w:t>Plos One</w:t>
      </w:r>
      <w:r w:rsidRPr="00631F77">
        <w:rPr>
          <w:rFonts w:ascii="Arial" w:hAnsi="Arial" w:cs="Arial"/>
          <w:sz w:val="18"/>
          <w:szCs w:val="18"/>
          <w:highlight w:val="yellow"/>
          <w:u w:val="double"/>
        </w:rPr>
        <w:t xml:space="preserve"> </w:t>
      </w:r>
      <w:r w:rsidRPr="00631F77">
        <w:rPr>
          <w:rFonts w:ascii="Arial" w:hAnsi="Arial" w:cs="Arial"/>
          <w:b/>
          <w:sz w:val="18"/>
          <w:szCs w:val="18"/>
          <w:highlight w:val="yellow"/>
          <w:u w:val="double"/>
        </w:rPr>
        <w:t>14</w:t>
      </w:r>
      <w:r w:rsidRPr="00631F77">
        <w:rPr>
          <w:rFonts w:ascii="Arial" w:hAnsi="Arial" w:cs="Arial"/>
          <w:sz w:val="18"/>
          <w:szCs w:val="18"/>
          <w:highlight w:val="yellow"/>
          <w:u w:val="double"/>
        </w:rPr>
        <w:t>, e0214405</w:t>
      </w:r>
    </w:p>
    <w:p w14:paraId="7E6590E3"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lang w:val="nb-NO"/>
        </w:rPr>
      </w:pPr>
      <w:r w:rsidRPr="00D403F5">
        <w:rPr>
          <w:rFonts w:ascii="Arial" w:hAnsi="Arial" w:cs="Arial"/>
          <w:smallCaps/>
          <w:sz w:val="18"/>
          <w:szCs w:val="18"/>
        </w:rPr>
        <w:t xml:space="preserve">Spitzen-van der Sluijs A., Martel A., Asselberghs J., Bales E.K., Beukema W., Bletz M.C., Dalbeck L., Goverse E., Kerres A., Kinet T., Kirst K., Laudelout A., Marin </w:t>
      </w:r>
      <w:r w:rsidRPr="00D403F5">
        <w:rPr>
          <w:rFonts w:ascii="Arial" w:hAnsi="Arial" w:cs="Arial"/>
          <w:caps/>
          <w:sz w:val="18"/>
          <w:szCs w:val="18"/>
        </w:rPr>
        <w:t>d.a.,</w:t>
      </w:r>
      <w:r w:rsidRPr="00D403F5">
        <w:rPr>
          <w:rFonts w:ascii="Arial" w:hAnsi="Arial" w:cs="Arial"/>
          <w:smallCaps/>
          <w:sz w:val="18"/>
          <w:szCs w:val="18"/>
        </w:rPr>
        <w:t xml:space="preserve"> Fonte L.F., Nöllert A., Ohlhoff D., Sabino-Pinto J., Schmidt B.R., Speybroeck J., Spikmans F., Steinfartz S., Veith M., Vences M., Wagner N., Pasmans F. &amp; Lötters S.</w:t>
      </w:r>
      <w:r w:rsidRPr="00D403F5">
        <w:rPr>
          <w:rFonts w:ascii="Arial" w:hAnsi="Arial" w:cs="Arial"/>
          <w:sz w:val="18"/>
          <w:szCs w:val="18"/>
        </w:rPr>
        <w:t xml:space="preserve"> (2016). Expanding distribution of lethal amphibian fungus </w:t>
      </w:r>
      <w:r w:rsidRPr="00D403F5">
        <w:rPr>
          <w:rFonts w:ascii="Arial" w:hAnsi="Arial" w:cs="Arial"/>
          <w:i/>
          <w:sz w:val="18"/>
          <w:szCs w:val="18"/>
        </w:rPr>
        <w:t>Batrachochytrium salamandrivorans</w:t>
      </w:r>
      <w:r w:rsidRPr="00D403F5">
        <w:rPr>
          <w:rFonts w:ascii="Arial" w:hAnsi="Arial" w:cs="Arial"/>
          <w:sz w:val="18"/>
          <w:szCs w:val="18"/>
        </w:rPr>
        <w:t xml:space="preserve"> in Europe. </w:t>
      </w:r>
      <w:r w:rsidRPr="00D403F5">
        <w:rPr>
          <w:rFonts w:ascii="Arial" w:hAnsi="Arial" w:cs="Arial"/>
          <w:i/>
          <w:sz w:val="18"/>
          <w:szCs w:val="18"/>
          <w:lang w:val="nb-NO"/>
        </w:rPr>
        <w:t>Emerg. Infect. Dis</w:t>
      </w:r>
      <w:r w:rsidRPr="00D403F5">
        <w:rPr>
          <w:rFonts w:ascii="Arial" w:hAnsi="Arial" w:cs="Arial"/>
          <w:sz w:val="18"/>
          <w:szCs w:val="18"/>
          <w:lang w:val="nb-NO"/>
        </w:rPr>
        <w:t xml:space="preserve">., </w:t>
      </w:r>
      <w:r w:rsidRPr="00D403F5">
        <w:rPr>
          <w:rFonts w:ascii="Arial" w:hAnsi="Arial" w:cs="Arial"/>
          <w:b/>
          <w:sz w:val="18"/>
          <w:szCs w:val="18"/>
          <w:lang w:val="nb-NO"/>
        </w:rPr>
        <w:t>22</w:t>
      </w:r>
      <w:r w:rsidRPr="00D403F5">
        <w:rPr>
          <w:rFonts w:ascii="Arial" w:hAnsi="Arial" w:cs="Arial"/>
          <w:sz w:val="18"/>
          <w:szCs w:val="18"/>
          <w:lang w:val="nb-NO"/>
        </w:rPr>
        <w:t>, 1286–1288.</w:t>
      </w:r>
    </w:p>
    <w:p w14:paraId="1974495B"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D403F5">
        <w:rPr>
          <w:rFonts w:ascii="Arial" w:hAnsi="Arial" w:cs="Arial"/>
          <w:smallCaps/>
          <w:sz w:val="18"/>
          <w:szCs w:val="18"/>
          <w:lang w:val="nb-NO"/>
        </w:rPr>
        <w:t>Spitzen-van der Sluijs A., Stegen G., Bogaerts S., Canessa S., Steinfartz S., Janssen N., Bosman W., Pasmans F. &amp; Martel A.</w:t>
      </w:r>
      <w:r w:rsidRPr="00D403F5">
        <w:rPr>
          <w:rFonts w:ascii="Arial" w:hAnsi="Arial" w:cs="Arial"/>
          <w:sz w:val="18"/>
          <w:szCs w:val="18"/>
          <w:lang w:val="nb-NO"/>
        </w:rPr>
        <w:t xml:space="preserve"> (2018). </w:t>
      </w:r>
      <w:r w:rsidRPr="00D403F5">
        <w:rPr>
          <w:rFonts w:ascii="Arial" w:hAnsi="Arial" w:cs="Arial"/>
          <w:sz w:val="18"/>
          <w:szCs w:val="18"/>
        </w:rPr>
        <w:t xml:space="preserve">Post-epizootic salamander persistence in a disease-free refugium suggests poor dispersal ability of </w:t>
      </w:r>
      <w:r w:rsidRPr="00D403F5">
        <w:rPr>
          <w:rFonts w:ascii="Arial" w:hAnsi="Arial" w:cs="Arial"/>
          <w:i/>
          <w:sz w:val="18"/>
          <w:szCs w:val="18"/>
        </w:rPr>
        <w:t>Batrachochytrium salamandrivorans</w:t>
      </w:r>
      <w:r w:rsidRPr="00D403F5">
        <w:rPr>
          <w:rFonts w:ascii="Arial" w:hAnsi="Arial" w:cs="Arial"/>
          <w:sz w:val="18"/>
          <w:szCs w:val="18"/>
        </w:rPr>
        <w:t xml:space="preserve">. </w:t>
      </w:r>
      <w:r w:rsidRPr="00D403F5">
        <w:rPr>
          <w:rFonts w:ascii="Arial" w:hAnsi="Arial" w:cs="Arial"/>
          <w:i/>
          <w:sz w:val="18"/>
          <w:szCs w:val="18"/>
        </w:rPr>
        <w:t>Scientific Reports</w:t>
      </w:r>
      <w:r w:rsidRPr="00D403F5">
        <w:rPr>
          <w:rFonts w:ascii="Arial" w:hAnsi="Arial" w:cs="Arial"/>
          <w:sz w:val="18"/>
          <w:szCs w:val="18"/>
        </w:rPr>
        <w:t xml:space="preserve">, </w:t>
      </w:r>
      <w:r w:rsidRPr="00D403F5">
        <w:rPr>
          <w:rFonts w:ascii="Arial" w:hAnsi="Arial" w:cs="Arial"/>
          <w:b/>
          <w:sz w:val="18"/>
          <w:szCs w:val="18"/>
        </w:rPr>
        <w:t>8</w:t>
      </w:r>
      <w:r w:rsidRPr="00D403F5">
        <w:rPr>
          <w:rFonts w:ascii="Arial" w:hAnsi="Arial" w:cs="Arial"/>
          <w:sz w:val="18"/>
          <w:szCs w:val="18"/>
        </w:rPr>
        <w:t>, 3800.</w:t>
      </w:r>
    </w:p>
    <w:p w14:paraId="1D2EE953"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D403F5">
        <w:rPr>
          <w:rFonts w:ascii="Arial" w:hAnsi="Arial" w:cs="Arial"/>
          <w:smallCaps/>
          <w:sz w:val="18"/>
          <w:szCs w:val="18"/>
        </w:rPr>
        <w:t xml:space="preserve">Stegen G., Pasmans F., Schmidt B.R., Rouffaer L.O., Van Praet S., Schaub M., Canessa S., Laudelout A., Kinet T., Adriaensen C., Haesebrouck F., Bert W., Bossuyt F. &amp; Martel A. </w:t>
      </w:r>
      <w:r w:rsidRPr="00D403F5">
        <w:rPr>
          <w:rFonts w:ascii="Arial" w:hAnsi="Arial" w:cs="Arial"/>
          <w:sz w:val="18"/>
          <w:szCs w:val="18"/>
        </w:rPr>
        <w:t xml:space="preserve">(2017). Drivers of </w:t>
      </w:r>
      <w:r w:rsidRPr="00D403F5">
        <w:rPr>
          <w:rFonts w:ascii="Arial" w:hAnsi="Arial" w:cs="Arial"/>
          <w:i/>
          <w:sz w:val="18"/>
          <w:szCs w:val="18"/>
        </w:rPr>
        <w:t>Batrachochytrium salamandrivorans</w:t>
      </w:r>
      <w:r w:rsidRPr="00D403F5">
        <w:rPr>
          <w:rFonts w:ascii="Arial" w:hAnsi="Arial" w:cs="Arial"/>
          <w:sz w:val="18"/>
          <w:szCs w:val="18"/>
        </w:rPr>
        <w:t xml:space="preserve"> mediated salamander extirpation. </w:t>
      </w:r>
      <w:r w:rsidRPr="00D403F5">
        <w:rPr>
          <w:rFonts w:ascii="Arial" w:hAnsi="Arial" w:cs="Arial"/>
          <w:i/>
          <w:sz w:val="18"/>
          <w:szCs w:val="18"/>
        </w:rPr>
        <w:t>Nature</w:t>
      </w:r>
      <w:r w:rsidRPr="00D403F5">
        <w:rPr>
          <w:rFonts w:ascii="Arial" w:hAnsi="Arial" w:cs="Arial"/>
          <w:sz w:val="18"/>
          <w:szCs w:val="18"/>
        </w:rPr>
        <w:t xml:space="preserve">, </w:t>
      </w:r>
      <w:r w:rsidRPr="00D403F5">
        <w:rPr>
          <w:rFonts w:ascii="Arial" w:hAnsi="Arial" w:cs="Arial"/>
          <w:b/>
          <w:sz w:val="18"/>
          <w:szCs w:val="18"/>
        </w:rPr>
        <w:t>544</w:t>
      </w:r>
      <w:r w:rsidRPr="00D403F5">
        <w:rPr>
          <w:rFonts w:ascii="Arial" w:hAnsi="Arial" w:cs="Arial"/>
          <w:sz w:val="18"/>
          <w:szCs w:val="18"/>
        </w:rPr>
        <w:t xml:space="preserve">, 353–356. </w:t>
      </w:r>
      <w:r w:rsidRPr="00D403F5">
        <w:rPr>
          <w:rStyle w:val="frlabel"/>
          <w:rFonts w:ascii="Arial" w:hAnsi="Arial" w:cs="Arial"/>
          <w:bCs/>
          <w:color w:val="333333"/>
          <w:sz w:val="18"/>
          <w:szCs w:val="18"/>
          <w:shd w:val="clear" w:color="auto" w:fill="F8F8F8"/>
        </w:rPr>
        <w:t>doi:</w:t>
      </w:r>
      <w:r w:rsidRPr="00D403F5">
        <w:rPr>
          <w:rFonts w:ascii="Arial" w:hAnsi="Arial" w:cs="Arial"/>
          <w:color w:val="333333"/>
          <w:sz w:val="18"/>
          <w:szCs w:val="18"/>
          <w:shd w:val="clear" w:color="auto" w:fill="F8F8F8"/>
        </w:rPr>
        <w:t xml:space="preserve"> </w:t>
      </w:r>
      <w:r w:rsidRPr="00D403F5">
        <w:rPr>
          <w:rFonts w:ascii="Arial" w:hAnsi="Arial" w:cs="Arial"/>
          <w:sz w:val="18"/>
          <w:szCs w:val="18"/>
        </w:rPr>
        <w:t>10.1038/nature22059</w:t>
      </w:r>
    </w:p>
    <w:p w14:paraId="2BB9D0A6"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D403F5">
        <w:rPr>
          <w:rFonts w:ascii="Arial" w:hAnsi="Arial" w:cs="Arial"/>
          <w:smallCaps/>
          <w:sz w:val="18"/>
          <w:szCs w:val="18"/>
        </w:rPr>
        <w:t>Thomas V., Blooi M., Van Rooij P., Van Praet S., Verbrugghe E., Grasselli E., Lukac M., Smith S., Pasmans F. &amp; Martel A.</w:t>
      </w:r>
      <w:r w:rsidRPr="00D403F5">
        <w:rPr>
          <w:rFonts w:ascii="Arial" w:hAnsi="Arial" w:cs="Arial"/>
          <w:sz w:val="18"/>
          <w:szCs w:val="18"/>
        </w:rPr>
        <w:t xml:space="preserve"> (2018). Recommendations on diagnostic tools for </w:t>
      </w:r>
      <w:r w:rsidRPr="00D403F5">
        <w:rPr>
          <w:rFonts w:ascii="Arial" w:hAnsi="Arial" w:cs="Arial"/>
          <w:i/>
          <w:sz w:val="18"/>
          <w:szCs w:val="18"/>
        </w:rPr>
        <w:t>Batrachochytrium salamandrivorans</w:t>
      </w:r>
      <w:r w:rsidRPr="00D403F5">
        <w:rPr>
          <w:rFonts w:ascii="Arial" w:hAnsi="Arial" w:cs="Arial"/>
          <w:sz w:val="18"/>
          <w:szCs w:val="18"/>
        </w:rPr>
        <w:t xml:space="preserve">. </w:t>
      </w:r>
      <w:r w:rsidRPr="00D403F5">
        <w:rPr>
          <w:rFonts w:ascii="Arial" w:hAnsi="Arial" w:cs="Arial"/>
          <w:i/>
          <w:sz w:val="18"/>
          <w:szCs w:val="18"/>
        </w:rPr>
        <w:t>Transbound. Emerg. Dis</w:t>
      </w:r>
      <w:r w:rsidRPr="00D403F5">
        <w:rPr>
          <w:rFonts w:ascii="Arial" w:hAnsi="Arial" w:cs="Arial"/>
          <w:sz w:val="18"/>
          <w:szCs w:val="18"/>
        </w:rPr>
        <w:t xml:space="preserve">., </w:t>
      </w:r>
      <w:r w:rsidRPr="00D403F5">
        <w:rPr>
          <w:rFonts w:ascii="Arial" w:hAnsi="Arial" w:cs="Arial"/>
          <w:b/>
          <w:sz w:val="18"/>
          <w:szCs w:val="18"/>
        </w:rPr>
        <w:t>65</w:t>
      </w:r>
      <w:r w:rsidRPr="00D403F5">
        <w:rPr>
          <w:rFonts w:ascii="Arial" w:hAnsi="Arial" w:cs="Arial"/>
          <w:sz w:val="18"/>
          <w:szCs w:val="18"/>
        </w:rPr>
        <w:t>, e478-e488.</w:t>
      </w:r>
    </w:p>
    <w:p w14:paraId="12862C53"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lang w:val="nb-NO"/>
        </w:rPr>
      </w:pPr>
      <w:r w:rsidRPr="00D403F5">
        <w:rPr>
          <w:rFonts w:ascii="Arial" w:hAnsi="Arial" w:cs="Arial"/>
          <w:smallCaps/>
          <w:sz w:val="18"/>
          <w:szCs w:val="18"/>
        </w:rPr>
        <w:t>Van Rooij P., Martel A., Haesebrouck F. &amp; Pasmans F.</w:t>
      </w:r>
      <w:r w:rsidRPr="00D403F5">
        <w:rPr>
          <w:rFonts w:ascii="Arial" w:hAnsi="Arial" w:cs="Arial"/>
          <w:sz w:val="18"/>
          <w:szCs w:val="18"/>
        </w:rPr>
        <w:t xml:space="preserve"> (2015). Amphibian chytridiomycosis: a review with focus on fungus-host interactions. </w:t>
      </w:r>
      <w:r w:rsidRPr="00D403F5">
        <w:rPr>
          <w:rFonts w:ascii="Arial" w:hAnsi="Arial" w:cs="Arial"/>
          <w:i/>
          <w:sz w:val="18"/>
          <w:szCs w:val="18"/>
          <w:lang w:val="nb-NO"/>
        </w:rPr>
        <w:t>Vet. Res</w:t>
      </w:r>
      <w:r w:rsidRPr="00D403F5">
        <w:rPr>
          <w:rFonts w:ascii="Arial" w:hAnsi="Arial" w:cs="Arial"/>
          <w:sz w:val="18"/>
          <w:szCs w:val="18"/>
          <w:lang w:val="nb-NO"/>
        </w:rPr>
        <w:t xml:space="preserve">., </w:t>
      </w:r>
      <w:r w:rsidRPr="00D403F5">
        <w:rPr>
          <w:rFonts w:ascii="Arial" w:hAnsi="Arial" w:cs="Arial"/>
          <w:b/>
          <w:sz w:val="18"/>
          <w:szCs w:val="18"/>
          <w:lang w:val="nb-NO"/>
        </w:rPr>
        <w:t>46</w:t>
      </w:r>
      <w:r w:rsidRPr="00D403F5">
        <w:rPr>
          <w:rFonts w:ascii="Arial" w:hAnsi="Arial" w:cs="Arial"/>
          <w:sz w:val="18"/>
          <w:szCs w:val="18"/>
          <w:lang w:val="nb-NO"/>
        </w:rPr>
        <w:t>, 137.</w:t>
      </w:r>
    </w:p>
    <w:p w14:paraId="405F3296"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D403F5">
        <w:rPr>
          <w:rFonts w:ascii="Arial" w:hAnsi="Arial" w:cs="Arial"/>
          <w:smallCaps/>
          <w:sz w:val="18"/>
          <w:szCs w:val="18"/>
          <w:lang w:val="nb-NO"/>
        </w:rPr>
        <w:t>Van Rooij P., Pasmans F., Coen Y. &amp; Martel A. (</w:t>
      </w:r>
      <w:r w:rsidRPr="00D403F5">
        <w:rPr>
          <w:rFonts w:ascii="Arial" w:hAnsi="Arial" w:cs="Arial"/>
          <w:sz w:val="18"/>
          <w:szCs w:val="18"/>
          <w:lang w:val="nb-NO"/>
        </w:rPr>
        <w:t xml:space="preserve">2017). </w:t>
      </w:r>
      <w:r w:rsidRPr="00D403F5">
        <w:rPr>
          <w:rFonts w:ascii="Arial" w:hAnsi="Arial" w:cs="Arial"/>
          <w:sz w:val="18"/>
          <w:szCs w:val="18"/>
        </w:rPr>
        <w:t xml:space="preserve">Efficacy of chemical disinfectants for the containment of the salamander chytrid fungus </w:t>
      </w:r>
      <w:r w:rsidRPr="00D403F5">
        <w:rPr>
          <w:rFonts w:ascii="Arial" w:hAnsi="Arial" w:cs="Arial"/>
          <w:i/>
          <w:sz w:val="18"/>
          <w:szCs w:val="18"/>
        </w:rPr>
        <w:t>Batrachochytrium salamandrivorans</w:t>
      </w:r>
      <w:r w:rsidRPr="00D403F5">
        <w:rPr>
          <w:rFonts w:ascii="Arial" w:hAnsi="Arial" w:cs="Arial"/>
          <w:sz w:val="18"/>
          <w:szCs w:val="18"/>
        </w:rPr>
        <w:t xml:space="preserve">. </w:t>
      </w:r>
      <w:r w:rsidRPr="00D403F5">
        <w:rPr>
          <w:rFonts w:ascii="Arial" w:hAnsi="Arial" w:cs="Arial"/>
          <w:i/>
          <w:sz w:val="18"/>
          <w:szCs w:val="18"/>
        </w:rPr>
        <w:t>PLoS One</w:t>
      </w:r>
      <w:r w:rsidRPr="00D403F5">
        <w:rPr>
          <w:rFonts w:ascii="Arial" w:hAnsi="Arial" w:cs="Arial"/>
          <w:sz w:val="18"/>
          <w:szCs w:val="18"/>
        </w:rPr>
        <w:t xml:space="preserve">, 12, e0186269. </w:t>
      </w:r>
      <w:r w:rsidRPr="00D403F5">
        <w:rPr>
          <w:rStyle w:val="frlabel"/>
          <w:rFonts w:ascii="Arial" w:hAnsi="Arial" w:cs="Arial"/>
          <w:bCs/>
          <w:color w:val="333333"/>
          <w:sz w:val="18"/>
          <w:szCs w:val="18"/>
          <w:shd w:val="clear" w:color="auto" w:fill="F8F8F8"/>
        </w:rPr>
        <w:t>doi:</w:t>
      </w:r>
      <w:r w:rsidRPr="00D403F5">
        <w:rPr>
          <w:rFonts w:ascii="Arial" w:hAnsi="Arial" w:cs="Arial"/>
          <w:color w:val="333333"/>
          <w:sz w:val="18"/>
          <w:szCs w:val="18"/>
          <w:shd w:val="clear" w:color="auto" w:fill="F8F8F8"/>
        </w:rPr>
        <w:t xml:space="preserve"> </w:t>
      </w:r>
      <w:r w:rsidRPr="00D403F5">
        <w:rPr>
          <w:rFonts w:ascii="Arial" w:hAnsi="Arial" w:cs="Arial"/>
          <w:sz w:val="18"/>
          <w:szCs w:val="18"/>
        </w:rPr>
        <w:t>10.1371/journal.pone.0186269</w:t>
      </w:r>
    </w:p>
    <w:p w14:paraId="1F247471"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D403F5">
        <w:rPr>
          <w:rFonts w:ascii="Arial" w:hAnsi="Arial" w:cs="Arial"/>
          <w:smallCaps/>
          <w:sz w:val="18"/>
          <w:szCs w:val="18"/>
        </w:rPr>
        <w:t>White L.W., Forzán M.J., Pessier A.P., Allender M.C., Ballard J.R., Catenazzi A., Fenton H., Martel A., Pasmans F., Miller D.L., Ossiboff R.J., Richgels K.L.D. &amp; Kerby J.L.</w:t>
      </w:r>
      <w:r w:rsidRPr="00D403F5">
        <w:rPr>
          <w:rFonts w:ascii="Arial" w:hAnsi="Arial" w:cs="Arial"/>
          <w:sz w:val="18"/>
          <w:szCs w:val="18"/>
        </w:rPr>
        <w:t xml:space="preserve"> (2016). Amphibian: a case definition and diagnostic criteria for </w:t>
      </w:r>
      <w:r w:rsidRPr="00D403F5">
        <w:rPr>
          <w:rFonts w:ascii="Arial" w:hAnsi="Arial" w:cs="Arial"/>
          <w:i/>
          <w:sz w:val="18"/>
          <w:szCs w:val="18"/>
        </w:rPr>
        <w:t>Batrachochytrium salamandrivorans</w:t>
      </w:r>
      <w:r w:rsidRPr="00D403F5">
        <w:rPr>
          <w:rFonts w:ascii="Arial" w:hAnsi="Arial" w:cs="Arial"/>
          <w:sz w:val="18"/>
          <w:szCs w:val="18"/>
        </w:rPr>
        <w:t xml:space="preserve"> chytridiomycosis. </w:t>
      </w:r>
      <w:r w:rsidRPr="00D403F5">
        <w:rPr>
          <w:rFonts w:ascii="Arial" w:hAnsi="Arial" w:cs="Arial"/>
          <w:i/>
          <w:sz w:val="18"/>
          <w:szCs w:val="18"/>
        </w:rPr>
        <w:t>Herpetological Review</w:t>
      </w:r>
      <w:r w:rsidRPr="00D403F5">
        <w:rPr>
          <w:rFonts w:ascii="Arial" w:hAnsi="Arial" w:cs="Arial"/>
          <w:sz w:val="18"/>
          <w:szCs w:val="18"/>
        </w:rPr>
        <w:t xml:space="preserve">, </w:t>
      </w:r>
      <w:r w:rsidRPr="00D403F5">
        <w:rPr>
          <w:rFonts w:ascii="Arial" w:hAnsi="Arial" w:cs="Arial"/>
          <w:b/>
          <w:sz w:val="18"/>
          <w:szCs w:val="18"/>
        </w:rPr>
        <w:t>47</w:t>
      </w:r>
      <w:r w:rsidRPr="00D403F5">
        <w:rPr>
          <w:rFonts w:ascii="Arial" w:hAnsi="Arial" w:cs="Arial"/>
          <w:sz w:val="18"/>
          <w:szCs w:val="18"/>
        </w:rPr>
        <w:t>, 207.</w:t>
      </w:r>
    </w:p>
    <w:p w14:paraId="5493E59F"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D403F5">
        <w:rPr>
          <w:rFonts w:ascii="Arial" w:hAnsi="Arial" w:cs="Arial"/>
          <w:smallCaps/>
          <w:sz w:val="18"/>
          <w:szCs w:val="18"/>
        </w:rPr>
        <w:t>Yap T.A., Koo M.S., Ambrose R.F., Wake D.B. &amp; Vredenburg V.T.</w:t>
      </w:r>
      <w:r w:rsidRPr="00D403F5">
        <w:rPr>
          <w:rFonts w:ascii="Arial" w:hAnsi="Arial" w:cs="Arial"/>
          <w:sz w:val="18"/>
          <w:szCs w:val="18"/>
        </w:rPr>
        <w:t xml:space="preserve"> (2015). BIODIVERSITY: Averting a North American biodiversity crisis. </w:t>
      </w:r>
      <w:r w:rsidRPr="00D403F5">
        <w:rPr>
          <w:rFonts w:ascii="Arial" w:hAnsi="Arial" w:cs="Arial"/>
          <w:i/>
          <w:sz w:val="18"/>
          <w:szCs w:val="18"/>
        </w:rPr>
        <w:t>Science</w:t>
      </w:r>
      <w:r w:rsidRPr="00D403F5">
        <w:rPr>
          <w:rFonts w:ascii="Arial" w:hAnsi="Arial" w:cs="Arial"/>
          <w:sz w:val="18"/>
          <w:szCs w:val="18"/>
        </w:rPr>
        <w:t xml:space="preserve">, </w:t>
      </w:r>
      <w:r w:rsidRPr="00D403F5">
        <w:rPr>
          <w:rFonts w:ascii="Arial" w:hAnsi="Arial" w:cs="Arial"/>
          <w:b/>
          <w:sz w:val="18"/>
          <w:szCs w:val="18"/>
        </w:rPr>
        <w:t>349</w:t>
      </w:r>
      <w:r w:rsidRPr="00D403F5">
        <w:rPr>
          <w:rFonts w:ascii="Arial" w:hAnsi="Arial" w:cs="Arial"/>
          <w:sz w:val="18"/>
          <w:szCs w:val="18"/>
        </w:rPr>
        <w:t>, 481–482.</w:t>
      </w:r>
    </w:p>
    <w:p w14:paraId="48DCE50B" w14:textId="77777777" w:rsidR="00E65E42" w:rsidRPr="00D403F5" w:rsidRDefault="00E65E42" w:rsidP="00557B45">
      <w:pPr>
        <w:pStyle w:val="Paragraphedeliste"/>
        <w:spacing w:after="240" w:line="240" w:lineRule="auto"/>
        <w:ind w:left="284"/>
        <w:contextualSpacing w:val="0"/>
        <w:jc w:val="both"/>
        <w:rPr>
          <w:rFonts w:ascii="Arial" w:hAnsi="Arial" w:cs="Arial"/>
          <w:sz w:val="18"/>
          <w:szCs w:val="18"/>
        </w:rPr>
      </w:pPr>
      <w:r w:rsidRPr="00D403F5">
        <w:rPr>
          <w:rFonts w:ascii="Arial" w:hAnsi="Arial" w:cs="Arial"/>
          <w:smallCaps/>
          <w:sz w:val="18"/>
          <w:szCs w:val="18"/>
        </w:rPr>
        <w:t xml:space="preserve">Zhiyong Y., Martel A., Wu J., Van Praet S., Canessa S. &amp; Pasmans F. </w:t>
      </w:r>
      <w:r w:rsidRPr="00D403F5">
        <w:rPr>
          <w:rFonts w:ascii="Arial" w:hAnsi="Arial" w:cs="Arial"/>
          <w:sz w:val="18"/>
          <w:szCs w:val="18"/>
        </w:rPr>
        <w:t xml:space="preserve">(2018). Widespread occurrence of an emerging fungal pathogen in heavily traded Chinese urodelan species. </w:t>
      </w:r>
      <w:r w:rsidRPr="00D403F5">
        <w:rPr>
          <w:rFonts w:ascii="Arial" w:hAnsi="Arial" w:cs="Arial"/>
          <w:i/>
          <w:sz w:val="18"/>
          <w:szCs w:val="18"/>
        </w:rPr>
        <w:t>Conservation Letters</w:t>
      </w:r>
      <w:r w:rsidRPr="00D403F5">
        <w:rPr>
          <w:rFonts w:ascii="Arial" w:hAnsi="Arial" w:cs="Arial"/>
          <w:sz w:val="18"/>
          <w:szCs w:val="18"/>
        </w:rPr>
        <w:t>, 11: e12436.</w:t>
      </w:r>
    </w:p>
    <w:p w14:paraId="5D4BC07E" w14:textId="77777777" w:rsidR="00E65E42" w:rsidRPr="00D403F5" w:rsidRDefault="00E65E42" w:rsidP="00E65E42">
      <w:pPr>
        <w:pStyle w:val="Para10"/>
        <w:spacing w:after="0"/>
        <w:jc w:val="center"/>
        <w:rPr>
          <w:rFonts w:cs="Arial"/>
          <w:szCs w:val="18"/>
          <w:lang w:val="en-GB"/>
        </w:rPr>
      </w:pPr>
      <w:r w:rsidRPr="00D403F5">
        <w:rPr>
          <w:rFonts w:cs="Arial"/>
          <w:szCs w:val="18"/>
          <w:lang w:val="en-GB"/>
        </w:rPr>
        <w:t>*</w:t>
      </w:r>
      <w:r w:rsidRPr="00D403F5">
        <w:rPr>
          <w:rFonts w:cs="Arial"/>
          <w:szCs w:val="18"/>
          <w:lang w:val="en-GB"/>
        </w:rPr>
        <w:br/>
        <w:t>*   *</w:t>
      </w:r>
    </w:p>
    <w:p w14:paraId="3E249863" w14:textId="77777777" w:rsidR="00E65E42" w:rsidRPr="00D403F5" w:rsidRDefault="00E65E42" w:rsidP="00E65E42">
      <w:pPr>
        <w:spacing w:after="0"/>
        <w:jc w:val="center"/>
        <w:rPr>
          <w:rFonts w:ascii="Arial" w:hAnsi="Arial" w:cs="Arial"/>
          <w:sz w:val="18"/>
          <w:szCs w:val="18"/>
        </w:rPr>
      </w:pPr>
      <w:r w:rsidRPr="004A1222">
        <w:rPr>
          <w:rStyle w:val="ReflabnoteCar"/>
          <w:rFonts w:eastAsia="MS Mincho"/>
          <w:b/>
        </w:rPr>
        <w:t>NB:</w:t>
      </w:r>
      <w:r w:rsidRPr="00D403F5">
        <w:rPr>
          <w:rStyle w:val="ReflabnoteCar"/>
          <w:rFonts w:eastAsia="MS Mincho"/>
        </w:rPr>
        <w:t xml:space="preserve"> There </w:t>
      </w:r>
      <w:r w:rsidRPr="00D403F5">
        <w:rPr>
          <w:rFonts w:ascii="Arial" w:hAnsi="Arial" w:cs="Arial"/>
          <w:sz w:val="18"/>
          <w:szCs w:val="18"/>
        </w:rPr>
        <w:t xml:space="preserve">are currently no OIE Reference Laboratories for infection with </w:t>
      </w:r>
      <w:r w:rsidRPr="00D403F5">
        <w:rPr>
          <w:rFonts w:ascii="Arial" w:hAnsi="Arial" w:cs="Arial"/>
          <w:i/>
          <w:sz w:val="18"/>
          <w:szCs w:val="18"/>
        </w:rPr>
        <w:t>Batrachochytrium salamandrivorans</w:t>
      </w:r>
    </w:p>
    <w:p w14:paraId="1CF6D60C" w14:textId="77777777" w:rsidR="00E65E42" w:rsidRPr="00D403F5" w:rsidRDefault="00E65E42" w:rsidP="00E65E42">
      <w:pPr>
        <w:spacing w:after="0"/>
        <w:jc w:val="center"/>
        <w:rPr>
          <w:rFonts w:ascii="Arial" w:hAnsi="Arial" w:cs="Arial"/>
          <w:b/>
          <w:sz w:val="18"/>
          <w:szCs w:val="18"/>
        </w:rPr>
      </w:pPr>
      <w:r w:rsidRPr="00D403F5">
        <w:rPr>
          <w:rFonts w:ascii="Arial" w:hAnsi="Arial" w:cs="Arial"/>
          <w:b/>
          <w:bCs/>
          <w:sz w:val="18"/>
          <w:szCs w:val="18"/>
        </w:rPr>
        <w:t>NB:</w:t>
      </w:r>
      <w:r w:rsidRPr="00D403F5">
        <w:rPr>
          <w:rFonts w:ascii="Arial" w:hAnsi="Arial" w:cs="Arial"/>
          <w:sz w:val="18"/>
          <w:szCs w:val="18"/>
        </w:rPr>
        <w:t xml:space="preserve"> First adopted in 20</w:t>
      </w:r>
      <w:r>
        <w:rPr>
          <w:rFonts w:ascii="Arial" w:hAnsi="Arial" w:cs="Arial"/>
          <w:sz w:val="18"/>
          <w:szCs w:val="18"/>
        </w:rPr>
        <w:t>20</w:t>
      </w:r>
      <w:r w:rsidRPr="00D403F5">
        <w:rPr>
          <w:rFonts w:ascii="Arial" w:hAnsi="Arial" w:cs="Arial"/>
          <w:sz w:val="18"/>
          <w:szCs w:val="18"/>
        </w:rPr>
        <w:t>.</w:t>
      </w:r>
    </w:p>
    <w:p w14:paraId="447E5A28" w14:textId="77777777" w:rsidR="00E65E42" w:rsidRPr="00D403F5" w:rsidRDefault="00E65E42" w:rsidP="00E65E42">
      <w:pPr>
        <w:spacing w:after="0"/>
        <w:rPr>
          <w:sz w:val="18"/>
          <w:szCs w:val="18"/>
        </w:rPr>
      </w:pPr>
    </w:p>
    <w:p w14:paraId="3E559B87" w14:textId="77777777" w:rsidR="00E65E42" w:rsidRPr="00D403F5" w:rsidRDefault="00E65E42" w:rsidP="00E65E42">
      <w:pPr>
        <w:spacing w:after="0"/>
        <w:rPr>
          <w:sz w:val="18"/>
          <w:szCs w:val="18"/>
        </w:rPr>
      </w:pPr>
    </w:p>
    <w:p w14:paraId="5B749968" w14:textId="77777777" w:rsidR="00754D87" w:rsidRDefault="00754D87" w:rsidP="00754D87">
      <w:pPr>
        <w:spacing w:after="480" w:line="240" w:lineRule="auto"/>
        <w:jc w:val="right"/>
        <w:rPr>
          <w:u w:val="single"/>
        </w:rPr>
        <w:sectPr w:rsidR="00754D87" w:rsidSect="00E65E42">
          <w:headerReference w:type="even" r:id="rId178"/>
          <w:headerReference w:type="default" r:id="rId179"/>
          <w:footerReference w:type="even" r:id="rId180"/>
          <w:footerReference w:type="default" r:id="rId181"/>
          <w:headerReference w:type="first" r:id="rId182"/>
          <w:footerReference w:type="first" r:id="rId183"/>
          <w:pgSz w:w="11906" w:h="16838" w:code="9"/>
          <w:pgMar w:top="1304" w:right="1304" w:bottom="1304" w:left="1304" w:header="567" w:footer="567" w:gutter="0"/>
          <w:cols w:space="708"/>
          <w:titlePg/>
          <w:docGrid w:linePitch="360"/>
        </w:sectPr>
      </w:pPr>
    </w:p>
    <w:p w14:paraId="310F36A1" w14:textId="6BE6D491" w:rsidR="00754D87" w:rsidRPr="006A2D15" w:rsidRDefault="00754D87" w:rsidP="006A2D15">
      <w:pPr>
        <w:pStyle w:val="Titre4"/>
        <w:spacing w:before="0" w:after="480" w:line="240" w:lineRule="auto"/>
        <w:ind w:left="720"/>
        <w:jc w:val="right"/>
        <w:rPr>
          <w:rFonts w:ascii="Times New Roman" w:hAnsi="Times New Roman" w:cs="Times New Roman"/>
          <w:i w:val="0"/>
          <w:color w:val="auto"/>
        </w:rPr>
      </w:pPr>
      <w:bookmarkStart w:id="132" w:name="_Annex_13"/>
      <w:bookmarkEnd w:id="132"/>
      <w:r w:rsidRPr="006A2D15">
        <w:rPr>
          <w:rFonts w:ascii="Times New Roman" w:hAnsi="Times New Roman" w:cs="Times New Roman"/>
          <w:i w:val="0"/>
          <w:color w:val="auto"/>
          <w:u w:val="single"/>
        </w:rPr>
        <w:lastRenderedPageBreak/>
        <w:t>A</w:t>
      </w:r>
      <w:r w:rsidRPr="006A2D15">
        <w:rPr>
          <w:rFonts w:ascii="Times New Roman" w:hAnsi="Times New Roman" w:cs="Times New Roman"/>
          <w:bCs/>
          <w:i w:val="0"/>
          <w:iCs w:val="0"/>
          <w:color w:val="auto"/>
          <w:szCs w:val="20"/>
          <w:u w:val="single"/>
        </w:rPr>
        <w:t>nnex 13</w:t>
      </w:r>
    </w:p>
    <w:p w14:paraId="7ABA40FF" w14:textId="77777777" w:rsidR="00E65E42" w:rsidRPr="00E27DA5" w:rsidRDefault="00E65E42" w:rsidP="00E65E42">
      <w:pPr>
        <w:pStyle w:val="Chaptertitle"/>
        <w:spacing w:after="0"/>
        <w:rPr>
          <w:rFonts w:cs="Arial"/>
          <w:b/>
          <w:spacing w:val="0"/>
          <w:sz w:val="32"/>
          <w:szCs w:val="32"/>
          <w:lang w:val="en-IE"/>
        </w:rPr>
      </w:pPr>
      <w:r w:rsidRPr="006237A8">
        <w:rPr>
          <w:rFonts w:cs="Arial"/>
          <w:lang w:val="en-IE"/>
        </w:rPr>
        <w:t>CHAPTER 2.3.4.</w:t>
      </w:r>
      <w:r w:rsidRPr="006237A8">
        <w:rPr>
          <w:rFonts w:cs="Arial"/>
          <w:lang w:val="en-IE"/>
        </w:rPr>
        <w:br/>
      </w:r>
      <w:r w:rsidRPr="00D403F5">
        <w:rPr>
          <w:rFonts w:cs="Arial"/>
          <w:sz w:val="18"/>
          <w:szCs w:val="18"/>
          <w:lang w:val="en-IE"/>
        </w:rPr>
        <w:br/>
      </w:r>
      <w:r w:rsidRPr="00E27DA5">
        <w:rPr>
          <w:rFonts w:cs="Arial"/>
          <w:b/>
          <w:sz w:val="32"/>
          <w:szCs w:val="32"/>
          <w:lang w:val="en-IE"/>
        </w:rPr>
        <w:t xml:space="preserve">infection with infectious </w:t>
      </w:r>
      <w:r w:rsidRPr="00E27DA5">
        <w:rPr>
          <w:rFonts w:cs="Arial"/>
          <w:b/>
          <w:sz w:val="32"/>
          <w:szCs w:val="32"/>
          <w:lang w:val="en-IE"/>
        </w:rPr>
        <w:br/>
        <w:t>haematopoietic necrosis virus</w:t>
      </w:r>
    </w:p>
    <w:p w14:paraId="565C60F5" w14:textId="77777777" w:rsidR="00E65E42" w:rsidRPr="00D62973" w:rsidRDefault="00E65E42" w:rsidP="00E65E42">
      <w:pPr>
        <w:pStyle w:val="10"/>
        <w:spacing w:before="240"/>
        <w:rPr>
          <w:rFonts w:ascii="Ottawa" w:hAnsi="Ottawa"/>
          <w:sz w:val="22"/>
          <w:szCs w:val="22"/>
          <w:lang w:val="en-IE"/>
        </w:rPr>
      </w:pPr>
      <w:r w:rsidRPr="00D62973">
        <w:rPr>
          <w:rFonts w:ascii="Ottawa" w:hAnsi="Ottawa"/>
          <w:sz w:val="22"/>
          <w:szCs w:val="22"/>
          <w:lang w:val="en-IE"/>
        </w:rPr>
        <w:t>1.</w:t>
      </w:r>
      <w:r w:rsidRPr="00D62973">
        <w:rPr>
          <w:rFonts w:ascii="Ottawa" w:hAnsi="Ottawa"/>
          <w:sz w:val="22"/>
          <w:szCs w:val="22"/>
          <w:lang w:val="en-IE"/>
        </w:rPr>
        <w:tab/>
        <w:t>Scope</w:t>
      </w:r>
    </w:p>
    <w:p w14:paraId="31008D9E" w14:textId="77777777" w:rsidR="00E65E42" w:rsidRPr="00D403F5" w:rsidRDefault="00E65E42" w:rsidP="00557B45">
      <w:pPr>
        <w:pStyle w:val="Para10"/>
        <w:ind w:left="284"/>
        <w:rPr>
          <w:szCs w:val="18"/>
        </w:rPr>
      </w:pPr>
      <w:r w:rsidRPr="00D403F5">
        <w:rPr>
          <w:szCs w:val="18"/>
        </w:rPr>
        <w:t xml:space="preserve">Infection with infectious haematopoietic necrosis virus means infection with the pathogenic agent Salmonid novirhabdovirus (commonly known as infectious haematopoietic necrosis virus [IHNV]) of the Genus </w:t>
      </w:r>
      <w:r w:rsidRPr="00D403F5">
        <w:rPr>
          <w:i/>
          <w:iCs/>
          <w:szCs w:val="18"/>
        </w:rPr>
        <w:t>Novirhabdovirus</w:t>
      </w:r>
      <w:r w:rsidRPr="00D403F5">
        <w:rPr>
          <w:szCs w:val="18"/>
        </w:rPr>
        <w:t xml:space="preserve"> and Family </w:t>
      </w:r>
      <w:r w:rsidRPr="00D403F5">
        <w:rPr>
          <w:i/>
          <w:iCs/>
          <w:szCs w:val="18"/>
        </w:rPr>
        <w:t>Rhabdoviridae</w:t>
      </w:r>
      <w:r w:rsidRPr="00D403F5">
        <w:rPr>
          <w:szCs w:val="18"/>
        </w:rPr>
        <w:t>.</w:t>
      </w:r>
    </w:p>
    <w:p w14:paraId="7D45AE7A" w14:textId="77777777" w:rsidR="00E65E42" w:rsidRPr="00D62973" w:rsidRDefault="00E65E42" w:rsidP="00E65E42">
      <w:pPr>
        <w:pStyle w:val="10"/>
        <w:rPr>
          <w:rFonts w:ascii="Ottawa" w:hAnsi="Ottawa"/>
          <w:sz w:val="22"/>
          <w:szCs w:val="22"/>
          <w:lang w:val="en-IE"/>
        </w:rPr>
      </w:pPr>
      <w:r w:rsidRPr="00D62973">
        <w:rPr>
          <w:rFonts w:ascii="Ottawa" w:hAnsi="Ottawa"/>
          <w:sz w:val="22"/>
          <w:szCs w:val="22"/>
          <w:lang w:val="en-IE"/>
        </w:rPr>
        <w:t>2.</w:t>
      </w:r>
      <w:r w:rsidRPr="00D62973">
        <w:rPr>
          <w:rFonts w:ascii="Ottawa" w:hAnsi="Ottawa"/>
          <w:sz w:val="22"/>
          <w:szCs w:val="22"/>
          <w:lang w:val="en-IE"/>
        </w:rPr>
        <w:tab/>
        <w:t>Disease information</w:t>
      </w:r>
    </w:p>
    <w:p w14:paraId="7543747B" w14:textId="77777777" w:rsidR="00E65E42" w:rsidRPr="00D62973" w:rsidRDefault="00E65E42" w:rsidP="00E65E42">
      <w:pPr>
        <w:pStyle w:val="11"/>
        <w:tabs>
          <w:tab w:val="left" w:pos="1418"/>
        </w:tabs>
        <w:rPr>
          <w:rFonts w:ascii="Ottawa" w:hAnsi="Ottawa"/>
          <w:sz w:val="21"/>
          <w:szCs w:val="21"/>
          <w:lang w:val="en-IE"/>
        </w:rPr>
      </w:pPr>
      <w:r w:rsidRPr="00D62973">
        <w:rPr>
          <w:rFonts w:ascii="Ottawa" w:hAnsi="Ottawa"/>
          <w:sz w:val="21"/>
          <w:szCs w:val="21"/>
          <w:lang w:val="en-IE"/>
        </w:rPr>
        <w:t>2.1.</w:t>
      </w:r>
      <w:r w:rsidRPr="00D62973">
        <w:rPr>
          <w:rFonts w:ascii="Ottawa" w:hAnsi="Ottawa"/>
          <w:sz w:val="21"/>
          <w:szCs w:val="21"/>
          <w:lang w:val="en-IE"/>
        </w:rPr>
        <w:tab/>
        <w:t>Agent factors</w:t>
      </w:r>
    </w:p>
    <w:p w14:paraId="37D87DC2" w14:textId="77777777" w:rsidR="00E65E42" w:rsidRPr="00D62973" w:rsidRDefault="00E65E42" w:rsidP="00DB4D42">
      <w:pPr>
        <w:pStyle w:val="111"/>
        <w:spacing w:after="240"/>
        <w:ind w:left="1276"/>
        <w:rPr>
          <w:szCs w:val="20"/>
          <w:lang w:val="en-IE"/>
        </w:rPr>
      </w:pPr>
      <w:r w:rsidRPr="00D62973">
        <w:rPr>
          <w:szCs w:val="20"/>
          <w:lang w:val="en-IE"/>
        </w:rPr>
        <w:t>2.1.1.</w:t>
      </w:r>
      <w:r w:rsidRPr="00D62973">
        <w:rPr>
          <w:szCs w:val="20"/>
          <w:lang w:val="en-IE"/>
        </w:rPr>
        <w:tab/>
        <w:t>Aetiological agent</w:t>
      </w:r>
    </w:p>
    <w:p w14:paraId="075D44AF" w14:textId="77777777" w:rsidR="00E65E42" w:rsidRPr="00D403F5" w:rsidRDefault="00E65E42" w:rsidP="00DB4D42">
      <w:pPr>
        <w:pStyle w:val="Para3"/>
        <w:ind w:left="709"/>
        <w:rPr>
          <w:rFonts w:eastAsiaTheme="minorEastAsia" w:cs="Arial"/>
          <w:szCs w:val="18"/>
          <w:lang w:eastAsia="zh-CN"/>
        </w:rPr>
      </w:pPr>
      <w:r w:rsidRPr="00D403F5">
        <w:rPr>
          <w:szCs w:val="18"/>
        </w:rPr>
        <w:t>IHNV</w:t>
      </w:r>
      <w:r w:rsidRPr="00D403F5">
        <w:rPr>
          <w:rFonts w:cs="Arial"/>
          <w:szCs w:val="18"/>
        </w:rPr>
        <w:t xml:space="preserve"> consists of</w:t>
      </w:r>
      <w:r w:rsidRPr="00D403F5">
        <w:rPr>
          <w:szCs w:val="18"/>
        </w:rPr>
        <w:t xml:space="preserve"> a bullet-shaped </w:t>
      </w:r>
      <w:r w:rsidRPr="00D403F5">
        <w:rPr>
          <w:rFonts w:cs="Arial"/>
          <w:szCs w:val="18"/>
        </w:rPr>
        <w:t xml:space="preserve">particle </w:t>
      </w:r>
      <w:r w:rsidRPr="00D403F5">
        <w:rPr>
          <w:rFonts w:eastAsiaTheme="minorHAnsi" w:cs="Arial"/>
          <w:szCs w:val="18"/>
        </w:rPr>
        <w:t>of approximately 150–190 nm in length and 65–75 nm</w:t>
      </w:r>
      <w:r w:rsidRPr="00D403F5">
        <w:rPr>
          <w:rFonts w:cs="Arial"/>
          <w:szCs w:val="18"/>
        </w:rPr>
        <w:t xml:space="preserve"> in diameter that encapsulates</w:t>
      </w:r>
      <w:r w:rsidRPr="00D403F5">
        <w:rPr>
          <w:szCs w:val="18"/>
        </w:rPr>
        <w:t xml:space="preserve"> a non-segmented, negative-sense, single-stranded RNA genome of approximately 11,000</w:t>
      </w:r>
      <w:r w:rsidRPr="00D403F5">
        <w:rPr>
          <w:rFonts w:cs="Arial"/>
          <w:szCs w:val="18"/>
        </w:rPr>
        <w:t xml:space="preserve"> </w:t>
      </w:r>
      <w:r w:rsidRPr="00D403F5">
        <w:rPr>
          <w:szCs w:val="18"/>
        </w:rPr>
        <w:t>nucleotides</w:t>
      </w:r>
      <w:r w:rsidRPr="00D403F5">
        <w:rPr>
          <w:rFonts w:cs="Arial"/>
          <w:szCs w:val="18"/>
        </w:rPr>
        <w:t>. The viral genome codes for</w:t>
      </w:r>
      <w:r w:rsidRPr="00D403F5">
        <w:rPr>
          <w:szCs w:val="18"/>
        </w:rPr>
        <w:t xml:space="preserve"> six proteins in the following order: a nucleoprotein (N), a phosphoprotein (P), a matrix protein (M), a glycoprotein (G), a non-virion protein (NV), and a polymerase (L). </w:t>
      </w:r>
      <w:r w:rsidRPr="00D403F5">
        <w:rPr>
          <w:rFonts w:eastAsiaTheme="minorHAnsi" w:cs="Arial"/>
          <w:szCs w:val="18"/>
        </w:rPr>
        <w:t>Due to the primary position of the nucleoprotein gene on the IHNV genome, nucleoprotein transcripts and protein are the first and most abundant during viral infection and is typically the preferred target</w:t>
      </w:r>
      <w:r w:rsidRPr="00D403F5">
        <w:rPr>
          <w:rFonts w:eastAsiaTheme="minorEastAsia" w:cs="Arial"/>
          <w:szCs w:val="18"/>
          <w:lang w:eastAsia="zh-CN"/>
        </w:rPr>
        <w:t xml:space="preserve"> </w:t>
      </w:r>
      <w:r w:rsidRPr="00D403F5">
        <w:rPr>
          <w:rFonts w:eastAsiaTheme="minorHAnsi" w:cs="Arial"/>
          <w:szCs w:val="18"/>
        </w:rPr>
        <w:t>of diagnostic tests. The glycoprotein forms spike-like projections on the surface of the mature virion and is the primary antigenic component of the virus such that anti</w:t>
      </w:r>
      <w:r>
        <w:rPr>
          <w:rFonts w:eastAsiaTheme="minorHAnsi" w:cs="Arial"/>
          <w:szCs w:val="18"/>
        </w:rPr>
        <w:t>-</w:t>
      </w:r>
      <w:r w:rsidRPr="00D403F5">
        <w:rPr>
          <w:rFonts w:eastAsiaTheme="minorHAnsi" w:cs="Arial"/>
          <w:szCs w:val="18"/>
        </w:rPr>
        <w:t>glycoprotein serum is sufficient to neutralise infections.</w:t>
      </w:r>
    </w:p>
    <w:p w14:paraId="2020B2CF" w14:textId="77777777" w:rsidR="00E65E42" w:rsidRPr="00D403F5" w:rsidRDefault="00E65E42" w:rsidP="00DB4D42">
      <w:pPr>
        <w:pStyle w:val="Para3"/>
        <w:ind w:left="709"/>
        <w:rPr>
          <w:rFonts w:cs="Arial"/>
          <w:szCs w:val="18"/>
        </w:rPr>
      </w:pPr>
      <w:r w:rsidRPr="00D403F5">
        <w:rPr>
          <w:rFonts w:cs="Arial"/>
          <w:szCs w:val="18"/>
        </w:rPr>
        <w:t xml:space="preserve">The type strain of IHNV is the Western Regional Aquaculture Center (WRAC) strain available from the American Type Culture Collection (ATCC VR-1392). The GenBank accession number of the genomic sequence of the WRAC strain is L40883 (Morzunov </w:t>
      </w:r>
      <w:r w:rsidRPr="00D403F5">
        <w:rPr>
          <w:rFonts w:cs="Arial"/>
          <w:i/>
          <w:szCs w:val="18"/>
        </w:rPr>
        <w:t>et al.,</w:t>
      </w:r>
      <w:r w:rsidRPr="00D403F5">
        <w:rPr>
          <w:rFonts w:cs="Arial"/>
          <w:szCs w:val="18"/>
        </w:rPr>
        <w:t xml:space="preserve"> 1995; </w:t>
      </w:r>
      <w:r w:rsidRPr="00D403F5">
        <w:rPr>
          <w:rFonts w:cs="Arial"/>
          <w:noProof/>
          <w:szCs w:val="18"/>
        </w:rPr>
        <w:t>Winton &amp; Einer-Jensen, 2002)</w:t>
      </w:r>
      <w:r w:rsidRPr="00D403F5">
        <w:rPr>
          <w:rFonts w:cs="Arial"/>
          <w:szCs w:val="18"/>
        </w:rPr>
        <w:t xml:space="preserve">. </w:t>
      </w:r>
    </w:p>
    <w:p w14:paraId="217882BF" w14:textId="77777777" w:rsidR="00E65E42" w:rsidRPr="00D403F5" w:rsidRDefault="00E65E42" w:rsidP="00DB4D42">
      <w:pPr>
        <w:pStyle w:val="Para3"/>
        <w:ind w:left="709"/>
        <w:rPr>
          <w:rFonts w:cs="Arial"/>
          <w:szCs w:val="18"/>
          <w:lang w:eastAsia="fr-FR"/>
        </w:rPr>
      </w:pPr>
      <w:r w:rsidRPr="00D403F5">
        <w:rPr>
          <w:rFonts w:cs="Arial"/>
          <w:szCs w:val="18"/>
        </w:rPr>
        <w:t>Phylogenetic analyses based on G-gene nucleotide sequences</w:t>
      </w:r>
      <w:r w:rsidRPr="00D403F5">
        <w:rPr>
          <w:rFonts w:eastAsiaTheme="minorEastAsia" w:cs="Arial"/>
          <w:szCs w:val="18"/>
          <w:lang w:eastAsia="zh-CN"/>
        </w:rPr>
        <w:t xml:space="preserve"> </w:t>
      </w:r>
      <w:r w:rsidRPr="00D403F5">
        <w:rPr>
          <w:rFonts w:cs="Arial"/>
          <w:szCs w:val="18"/>
        </w:rPr>
        <w:t xml:space="preserve">have classified IHNV isolates into five major genogroups denoted U, M, L, E, and J that correspond to geographical location rather than host species (Cieslak </w:t>
      </w:r>
      <w:r w:rsidRPr="00D403F5">
        <w:rPr>
          <w:rFonts w:cs="Arial"/>
          <w:i/>
          <w:szCs w:val="18"/>
        </w:rPr>
        <w:t>et al.,</w:t>
      </w:r>
      <w:r w:rsidRPr="00D403F5">
        <w:rPr>
          <w:rFonts w:cs="Arial"/>
          <w:szCs w:val="18"/>
        </w:rPr>
        <w:t xml:space="preserve"> 2017; </w:t>
      </w:r>
      <w:r w:rsidRPr="00C57404">
        <w:rPr>
          <w:rFonts w:cs="Arial"/>
          <w:szCs w:val="18"/>
        </w:rPr>
        <w:t xml:space="preserve">Enzmann </w:t>
      </w:r>
      <w:r w:rsidRPr="00C57404">
        <w:rPr>
          <w:rFonts w:cs="Arial"/>
          <w:i/>
          <w:szCs w:val="18"/>
        </w:rPr>
        <w:t>et al.,</w:t>
      </w:r>
      <w:r w:rsidRPr="00C57404">
        <w:rPr>
          <w:rFonts w:cs="Arial"/>
          <w:szCs w:val="18"/>
        </w:rPr>
        <w:t xml:space="preserve"> 2005; 2010; Johansson </w:t>
      </w:r>
      <w:r w:rsidRPr="00C57404">
        <w:rPr>
          <w:rFonts w:cs="Arial"/>
          <w:i/>
          <w:szCs w:val="18"/>
        </w:rPr>
        <w:t>et al.,</w:t>
      </w:r>
      <w:r w:rsidRPr="00C57404">
        <w:rPr>
          <w:rFonts w:cs="Arial"/>
          <w:szCs w:val="18"/>
        </w:rPr>
        <w:t xml:space="preserve"> 2009; Kim </w:t>
      </w:r>
      <w:r w:rsidRPr="00C57404">
        <w:rPr>
          <w:rFonts w:cs="Arial"/>
          <w:i/>
          <w:szCs w:val="18"/>
        </w:rPr>
        <w:t>et al.,</w:t>
      </w:r>
      <w:r w:rsidRPr="00C57404">
        <w:rPr>
          <w:rFonts w:cs="Arial"/>
          <w:szCs w:val="18"/>
        </w:rPr>
        <w:t xml:space="preserve"> 1999; Kolodziejek </w:t>
      </w:r>
      <w:r w:rsidRPr="00C57404">
        <w:rPr>
          <w:rFonts w:cs="Arial"/>
          <w:i/>
          <w:szCs w:val="18"/>
        </w:rPr>
        <w:t>et al.,</w:t>
      </w:r>
      <w:r w:rsidRPr="00C57404">
        <w:rPr>
          <w:rFonts w:cs="Arial"/>
          <w:szCs w:val="18"/>
        </w:rPr>
        <w:t xml:space="preserve"> 2008; Kurath </w:t>
      </w:r>
      <w:r w:rsidRPr="00C57404">
        <w:rPr>
          <w:rFonts w:cs="Arial"/>
          <w:i/>
          <w:szCs w:val="18"/>
        </w:rPr>
        <w:t>et al.,</w:t>
      </w:r>
      <w:r w:rsidRPr="00C57404">
        <w:rPr>
          <w:rFonts w:cs="Arial"/>
          <w:szCs w:val="18"/>
        </w:rPr>
        <w:t xml:space="preserve"> 2003; </w:t>
      </w:r>
      <w:r w:rsidRPr="00C57404">
        <w:rPr>
          <w:rStyle w:val="rfrencesChar"/>
          <w:rFonts w:ascii="Arial" w:hAnsi="Arial" w:cs="Arial"/>
          <w:szCs w:val="18"/>
          <w:lang w:val="en-US"/>
        </w:rPr>
        <w:t xml:space="preserve">Nishizawa </w:t>
      </w:r>
      <w:r w:rsidRPr="00C57404">
        <w:rPr>
          <w:rStyle w:val="rfrencesChar"/>
          <w:rFonts w:ascii="Arial" w:hAnsi="Arial" w:cs="Arial"/>
          <w:i/>
          <w:szCs w:val="18"/>
          <w:lang w:val="en-US"/>
        </w:rPr>
        <w:t>et al.,</w:t>
      </w:r>
      <w:r w:rsidRPr="00C57404">
        <w:rPr>
          <w:rStyle w:val="rfrencesChar"/>
          <w:rFonts w:ascii="Arial" w:hAnsi="Arial" w:cs="Arial"/>
          <w:szCs w:val="18"/>
          <w:lang w:val="en-US"/>
        </w:rPr>
        <w:t xml:space="preserve"> 2006</w:t>
      </w:r>
      <w:r w:rsidRPr="00C57404">
        <w:rPr>
          <w:rFonts w:cs="Arial"/>
          <w:szCs w:val="18"/>
        </w:rPr>
        <w:t xml:space="preserve">). Nevertheless, </w:t>
      </w:r>
      <w:r w:rsidRPr="00C57404">
        <w:rPr>
          <w:rFonts w:cs="Arial"/>
          <w:szCs w:val="18"/>
          <w:lang w:eastAsia="fr-FR"/>
        </w:rPr>
        <w:t>IHNV displays a strong phylogeographic signature reflecting the host species from which the virus</w:t>
      </w:r>
      <w:r w:rsidRPr="00D403F5">
        <w:rPr>
          <w:rFonts w:cs="Arial"/>
          <w:szCs w:val="18"/>
          <w:lang w:eastAsia="fr-FR"/>
        </w:rPr>
        <w:t xml:space="preserve"> is most commonly isolated in various geographical areas (e.g. sockeye salmon [</w:t>
      </w:r>
      <w:r w:rsidRPr="00D403F5">
        <w:rPr>
          <w:i/>
          <w:szCs w:val="18"/>
        </w:rPr>
        <w:t>Oncorhynchus nerka</w:t>
      </w:r>
      <w:r w:rsidRPr="00D403F5">
        <w:rPr>
          <w:rFonts w:cs="Arial"/>
          <w:szCs w:val="18"/>
          <w:lang w:eastAsia="fr-FR"/>
        </w:rPr>
        <w:t>] in the Northeast Pacific – U genogroup; Chinook salmon [</w:t>
      </w:r>
      <w:r w:rsidRPr="00D403F5">
        <w:rPr>
          <w:i/>
          <w:szCs w:val="18"/>
        </w:rPr>
        <w:t>Oncorhynchus tshawytscha</w:t>
      </w:r>
      <w:r w:rsidRPr="00D403F5">
        <w:rPr>
          <w:rFonts w:cs="Arial"/>
          <w:szCs w:val="18"/>
          <w:lang w:eastAsia="fr-FR"/>
        </w:rPr>
        <w:t>] in California, USA – L genogroup; and rainbow trout [</w:t>
      </w:r>
      <w:r w:rsidRPr="00D403F5">
        <w:rPr>
          <w:rFonts w:cs="Arial"/>
          <w:i/>
          <w:szCs w:val="18"/>
        </w:rPr>
        <w:t>Oncorhynchus mykiss</w:t>
      </w:r>
      <w:r w:rsidRPr="00D403F5">
        <w:rPr>
          <w:rFonts w:cs="Arial"/>
          <w:szCs w:val="18"/>
          <w:lang w:eastAsia="fr-FR"/>
        </w:rPr>
        <w:t>] in Europe, Asia</w:t>
      </w:r>
      <w:r>
        <w:rPr>
          <w:rFonts w:cs="Arial"/>
          <w:szCs w:val="18"/>
          <w:lang w:eastAsia="fr-FR"/>
        </w:rPr>
        <w:t xml:space="preserve">, </w:t>
      </w:r>
      <w:r w:rsidRPr="00981443">
        <w:rPr>
          <w:rFonts w:cs="Arial"/>
          <w:szCs w:val="18"/>
          <w:highlight w:val="yellow"/>
          <w:u w:val="double"/>
          <w:lang w:eastAsia="fr-FR"/>
        </w:rPr>
        <w:t xml:space="preserve">and Africa (Mulei </w:t>
      </w:r>
      <w:r w:rsidRPr="00981443">
        <w:rPr>
          <w:rFonts w:cs="Arial"/>
          <w:i/>
          <w:iCs/>
          <w:szCs w:val="18"/>
          <w:highlight w:val="yellow"/>
          <w:u w:val="double"/>
          <w:lang w:eastAsia="fr-FR"/>
        </w:rPr>
        <w:t xml:space="preserve">et al., </w:t>
      </w:r>
      <w:r w:rsidRPr="00981443">
        <w:rPr>
          <w:rFonts w:cs="Arial"/>
          <w:szCs w:val="18"/>
          <w:highlight w:val="yellow"/>
          <w:u w:val="double"/>
          <w:lang w:eastAsia="fr-FR"/>
        </w:rPr>
        <w:t>2019)</w:t>
      </w:r>
      <w:r>
        <w:rPr>
          <w:rFonts w:cs="Arial"/>
          <w:szCs w:val="18"/>
          <w:lang w:eastAsia="fr-FR"/>
        </w:rPr>
        <w:t xml:space="preserve"> </w:t>
      </w:r>
      <w:r w:rsidRPr="00D403F5">
        <w:rPr>
          <w:rFonts w:cs="Arial"/>
          <w:szCs w:val="18"/>
          <w:lang w:eastAsia="fr-FR"/>
        </w:rPr>
        <w:t xml:space="preserve">and </w:t>
      </w:r>
      <w:r w:rsidRPr="006936A4">
        <w:rPr>
          <w:rFonts w:cs="Arial"/>
          <w:strike/>
          <w:szCs w:val="18"/>
          <w:highlight w:val="yellow"/>
          <w:lang w:eastAsia="fr-FR"/>
        </w:rPr>
        <w:t>Idaho,</w:t>
      </w:r>
      <w:r w:rsidRPr="006936A4">
        <w:rPr>
          <w:rFonts w:cs="Arial"/>
          <w:strike/>
          <w:szCs w:val="18"/>
          <w:lang w:eastAsia="fr-FR"/>
        </w:rPr>
        <w:t xml:space="preserve"> </w:t>
      </w:r>
      <w:r w:rsidRPr="00D403F5">
        <w:rPr>
          <w:rFonts w:cs="Arial"/>
          <w:szCs w:val="18"/>
          <w:lang w:eastAsia="fr-FR"/>
        </w:rPr>
        <w:t xml:space="preserve">USA – E, J and M genogroups, respectively). </w:t>
      </w:r>
      <w:r w:rsidRPr="00D403F5">
        <w:rPr>
          <w:rFonts w:cs="Arial"/>
          <w:szCs w:val="18"/>
        </w:rPr>
        <w:t>Additionally, experimental infections</w:t>
      </w:r>
      <w:r w:rsidRPr="00D403F5">
        <w:rPr>
          <w:rFonts w:eastAsiaTheme="minorEastAsia" w:cs="Arial"/>
          <w:szCs w:val="18"/>
          <w:lang w:eastAsia="zh-CN"/>
        </w:rPr>
        <w:t xml:space="preserve"> </w:t>
      </w:r>
      <w:r w:rsidRPr="00D403F5">
        <w:rPr>
          <w:rFonts w:cs="Arial"/>
          <w:szCs w:val="18"/>
          <w:lang w:eastAsia="fr-FR"/>
        </w:rPr>
        <w:t xml:space="preserve">demonstrating </w:t>
      </w:r>
      <w:r w:rsidRPr="00D403F5">
        <w:rPr>
          <w:rFonts w:cs="Arial"/>
          <w:szCs w:val="18"/>
        </w:rPr>
        <w:t xml:space="preserve">that U and M genogroup viruses had higher virulence in sockeye salmon and rainbow trout, respectively </w:t>
      </w:r>
      <w:r w:rsidRPr="00D403F5">
        <w:rPr>
          <w:rFonts w:cs="Arial"/>
          <w:noProof/>
          <w:szCs w:val="18"/>
        </w:rPr>
        <w:t xml:space="preserve">(Garver </w:t>
      </w:r>
      <w:r w:rsidRPr="00D403F5">
        <w:rPr>
          <w:rFonts w:cs="Arial"/>
          <w:i/>
          <w:iCs/>
          <w:noProof/>
          <w:szCs w:val="18"/>
        </w:rPr>
        <w:t>et al</w:t>
      </w:r>
      <w:r w:rsidRPr="00D403F5">
        <w:rPr>
          <w:rFonts w:cs="Arial"/>
          <w:noProof/>
          <w:szCs w:val="18"/>
        </w:rPr>
        <w:t>., 2006)</w:t>
      </w:r>
      <w:r w:rsidRPr="00D403F5">
        <w:rPr>
          <w:rFonts w:cs="Arial"/>
          <w:szCs w:val="18"/>
        </w:rPr>
        <w:t xml:space="preserve">, </w:t>
      </w:r>
      <w:r w:rsidRPr="00D403F5">
        <w:rPr>
          <w:rFonts w:cs="Arial"/>
          <w:szCs w:val="18"/>
          <w:lang w:eastAsia="fr-FR"/>
        </w:rPr>
        <w:t>supports the observation that IHNV strains isolated from its historical phylogeographic host tends to be more virulent for the same species in comparison to other species.</w:t>
      </w:r>
    </w:p>
    <w:p w14:paraId="273CA12B" w14:textId="77777777" w:rsidR="00E65E42" w:rsidRPr="00D62973" w:rsidRDefault="00E65E42" w:rsidP="00DB4D42">
      <w:pPr>
        <w:pStyle w:val="111"/>
        <w:spacing w:after="240"/>
        <w:ind w:left="1276"/>
        <w:rPr>
          <w:szCs w:val="20"/>
          <w:lang w:val="en-IE"/>
        </w:rPr>
      </w:pPr>
      <w:r w:rsidRPr="00D62973">
        <w:rPr>
          <w:szCs w:val="20"/>
          <w:lang w:val="en-IE"/>
        </w:rPr>
        <w:t>2.1.2.</w:t>
      </w:r>
      <w:r w:rsidRPr="00D62973">
        <w:rPr>
          <w:szCs w:val="20"/>
          <w:lang w:val="en-IE"/>
        </w:rPr>
        <w:tab/>
        <w:t>Survival and stability in processed or stored samples</w:t>
      </w:r>
    </w:p>
    <w:p w14:paraId="5BFFC8E9" w14:textId="77777777" w:rsidR="00E65E42" w:rsidRPr="00D403F5" w:rsidRDefault="00E65E42" w:rsidP="00DB4D42">
      <w:pPr>
        <w:pStyle w:val="Para3"/>
        <w:ind w:left="709"/>
        <w:rPr>
          <w:szCs w:val="18"/>
        </w:rPr>
      </w:pPr>
      <w:r w:rsidRPr="00D403F5">
        <w:rPr>
          <w:szCs w:val="18"/>
        </w:rPr>
        <w:t>IHNV stability in host tissues during storage</w:t>
      </w:r>
      <w:r w:rsidRPr="00D403F5">
        <w:rPr>
          <w:rFonts w:eastAsiaTheme="minorEastAsia"/>
          <w:szCs w:val="18"/>
          <w:lang w:eastAsia="zh-CN"/>
        </w:rPr>
        <w:t xml:space="preserve"> </w:t>
      </w:r>
      <w:r w:rsidRPr="00D403F5">
        <w:rPr>
          <w:szCs w:val="18"/>
        </w:rPr>
        <w:t>and processing is largely influenced by temperature. The virus is more stable at lower temperature and remained infectious for at least 3 days at 4°C in naturally infected or IHNV-seeded tissue (</w:t>
      </w:r>
      <w:r w:rsidRPr="00D403F5">
        <w:rPr>
          <w:rFonts w:cs="Arial"/>
          <w:szCs w:val="18"/>
        </w:rPr>
        <w:t xml:space="preserve">Burke &amp; Mulcahy, 1983; </w:t>
      </w:r>
      <w:r w:rsidRPr="00D403F5">
        <w:rPr>
          <w:szCs w:val="18"/>
        </w:rPr>
        <w:t xml:space="preserve">Gosting &amp; Gould, 1981; </w:t>
      </w:r>
      <w:r w:rsidRPr="00D403F5">
        <w:rPr>
          <w:rFonts w:cs="Arial"/>
          <w:szCs w:val="18"/>
        </w:rPr>
        <w:t xml:space="preserve">Hostnik </w:t>
      </w:r>
      <w:r w:rsidRPr="00D403F5">
        <w:rPr>
          <w:rFonts w:cs="Arial"/>
          <w:i/>
          <w:szCs w:val="18"/>
        </w:rPr>
        <w:t>et al.,</w:t>
      </w:r>
      <w:r w:rsidRPr="00D403F5">
        <w:rPr>
          <w:rFonts w:cs="Arial"/>
          <w:szCs w:val="18"/>
        </w:rPr>
        <w:t xml:space="preserve"> 2002; Pietsch </w:t>
      </w:r>
      <w:r w:rsidRPr="00D403F5">
        <w:rPr>
          <w:rFonts w:cs="Arial"/>
          <w:i/>
          <w:szCs w:val="18"/>
        </w:rPr>
        <w:t>et al.</w:t>
      </w:r>
      <w:r w:rsidRPr="00D403F5">
        <w:rPr>
          <w:rFonts w:cs="Arial"/>
          <w:szCs w:val="18"/>
        </w:rPr>
        <w:t>, 1977)</w:t>
      </w:r>
      <w:r w:rsidRPr="00D403F5">
        <w:rPr>
          <w:szCs w:val="18"/>
        </w:rPr>
        <w:t xml:space="preserve">. For long-term survival of infectious virus, tissues should be stored at temperatures below –20°C </w:t>
      </w:r>
      <w:r w:rsidRPr="00D403F5">
        <w:rPr>
          <w:noProof/>
          <w:szCs w:val="18"/>
        </w:rPr>
        <w:t>(</w:t>
      </w:r>
      <w:r w:rsidRPr="00D403F5">
        <w:rPr>
          <w:rFonts w:cs="Arial"/>
          <w:szCs w:val="18"/>
        </w:rPr>
        <w:t xml:space="preserve">Burke &amp; Mulcahy, 1983; </w:t>
      </w:r>
      <w:r w:rsidRPr="00D403F5">
        <w:rPr>
          <w:noProof/>
          <w:szCs w:val="18"/>
        </w:rPr>
        <w:t xml:space="preserve">McClure </w:t>
      </w:r>
      <w:r w:rsidRPr="00D403F5">
        <w:rPr>
          <w:i/>
          <w:noProof/>
          <w:szCs w:val="18"/>
        </w:rPr>
        <w:t>et al.,</w:t>
      </w:r>
      <w:r w:rsidRPr="00D403F5">
        <w:rPr>
          <w:noProof/>
          <w:szCs w:val="18"/>
        </w:rPr>
        <w:t xml:space="preserve"> 2008)</w:t>
      </w:r>
      <w:r w:rsidRPr="00D403F5">
        <w:rPr>
          <w:szCs w:val="18"/>
        </w:rPr>
        <w:t xml:space="preserve">. The preferred method for retaining infectious virus is to maintain the IHNV sample on ice with rapid processing and inoculation of cell cultures as soon as possible due to the progressive reduction in titre with increasing temperature </w:t>
      </w:r>
      <w:r w:rsidRPr="00D403F5">
        <w:rPr>
          <w:rFonts w:cs="Arial"/>
          <w:noProof/>
          <w:szCs w:val="18"/>
          <w:lang w:eastAsia="fr-FR"/>
        </w:rPr>
        <w:t>(</w:t>
      </w:r>
      <w:r w:rsidRPr="00D403F5">
        <w:rPr>
          <w:rFonts w:cs="Arial"/>
          <w:szCs w:val="18"/>
        </w:rPr>
        <w:t xml:space="preserve">Barlic-Maganja </w:t>
      </w:r>
      <w:r w:rsidRPr="00D403F5">
        <w:rPr>
          <w:rFonts w:cs="Arial"/>
          <w:i/>
          <w:szCs w:val="18"/>
        </w:rPr>
        <w:t>et al.,</w:t>
      </w:r>
      <w:r w:rsidRPr="00D403F5">
        <w:rPr>
          <w:rFonts w:cs="Arial"/>
          <w:szCs w:val="18"/>
        </w:rPr>
        <w:t xml:space="preserve"> 2002; </w:t>
      </w:r>
      <w:r w:rsidRPr="00D403F5">
        <w:rPr>
          <w:szCs w:val="18"/>
        </w:rPr>
        <w:t>Gosting &amp; Gould, 1981)</w:t>
      </w:r>
      <w:r w:rsidRPr="00D403F5">
        <w:rPr>
          <w:rFonts w:cs="Arial"/>
          <w:szCs w:val="18"/>
          <w:lang w:eastAsia="fr-FR"/>
        </w:rPr>
        <w:t>.</w:t>
      </w:r>
    </w:p>
    <w:p w14:paraId="6D8B439F" w14:textId="77777777" w:rsidR="00754D87" w:rsidRDefault="00754D87" w:rsidP="00E65E42">
      <w:pPr>
        <w:pStyle w:val="111"/>
        <w:spacing w:after="360"/>
        <w:rPr>
          <w:szCs w:val="20"/>
          <w:lang w:val="en-IE"/>
        </w:rPr>
      </w:pPr>
      <w:r>
        <w:rPr>
          <w:szCs w:val="20"/>
          <w:lang w:val="en-IE"/>
        </w:rPr>
        <w:br w:type="page"/>
      </w:r>
    </w:p>
    <w:p w14:paraId="497A9B89" w14:textId="79CF3F3F" w:rsidR="00754D87" w:rsidRDefault="00754D87" w:rsidP="00754D87">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w:t>
      </w:r>
      <w:r w:rsidR="004F1CC2">
        <w:rPr>
          <w:rFonts w:cs="Times New Roman"/>
          <w:bCs/>
          <w:iCs/>
          <w:szCs w:val="20"/>
          <w:u w:val="single"/>
        </w:rPr>
        <w:t>3</w:t>
      </w:r>
      <w:r w:rsidRPr="00DB0A8D">
        <w:rPr>
          <w:rFonts w:cs="Times New Roman"/>
          <w:bCs/>
          <w:iCs/>
          <w:szCs w:val="20"/>
        </w:rPr>
        <w:t xml:space="preserve"> (contd)</w:t>
      </w:r>
    </w:p>
    <w:p w14:paraId="7ECB67C2" w14:textId="32468F84" w:rsidR="00E65E42" w:rsidRPr="00D62973" w:rsidRDefault="00E65E42" w:rsidP="00DB4D42">
      <w:pPr>
        <w:pStyle w:val="111"/>
        <w:spacing w:after="240"/>
        <w:ind w:left="1276"/>
        <w:rPr>
          <w:szCs w:val="20"/>
          <w:lang w:val="en-IE"/>
        </w:rPr>
      </w:pPr>
      <w:r w:rsidRPr="00D62973">
        <w:rPr>
          <w:szCs w:val="20"/>
          <w:lang w:val="en-IE"/>
        </w:rPr>
        <w:t>2.1.3.</w:t>
      </w:r>
      <w:r w:rsidR="00DB4D42">
        <w:rPr>
          <w:szCs w:val="20"/>
          <w:lang w:val="en-IE"/>
        </w:rPr>
        <w:tab/>
      </w:r>
      <w:r w:rsidRPr="00D62973">
        <w:rPr>
          <w:szCs w:val="20"/>
          <w:lang w:val="en-IE"/>
        </w:rPr>
        <w:t xml:space="preserve">Survival and stability outside the host </w:t>
      </w:r>
    </w:p>
    <w:p w14:paraId="5C588ADD" w14:textId="77777777" w:rsidR="00E65E42" w:rsidRDefault="00E65E42" w:rsidP="00DB4D42">
      <w:pPr>
        <w:pStyle w:val="Para3"/>
        <w:ind w:left="709"/>
        <w:rPr>
          <w:szCs w:val="18"/>
        </w:rPr>
      </w:pPr>
      <w:r w:rsidRPr="00D403F5">
        <w:rPr>
          <w:rFonts w:cs="Arial"/>
          <w:szCs w:val="18"/>
        </w:rPr>
        <w:t>IHNV can survive outside the host tissue in fresh</w:t>
      </w:r>
      <w:r>
        <w:rPr>
          <w:rFonts w:cs="Arial"/>
          <w:szCs w:val="18"/>
        </w:rPr>
        <w:t xml:space="preserve"> </w:t>
      </w:r>
      <w:r w:rsidRPr="00D403F5">
        <w:rPr>
          <w:rFonts w:cs="Arial"/>
          <w:szCs w:val="18"/>
        </w:rPr>
        <w:t>water and sea</w:t>
      </w:r>
      <w:r>
        <w:rPr>
          <w:rFonts w:cs="Arial"/>
          <w:szCs w:val="18"/>
        </w:rPr>
        <w:t xml:space="preserve"> </w:t>
      </w:r>
      <w:r w:rsidRPr="00D403F5">
        <w:rPr>
          <w:rFonts w:cs="Arial"/>
          <w:szCs w:val="18"/>
        </w:rPr>
        <w:t xml:space="preserve">water, but is </w:t>
      </w:r>
      <w:r w:rsidRPr="0014778F">
        <w:rPr>
          <w:rFonts w:cs="Arial"/>
          <w:strike/>
          <w:szCs w:val="18"/>
          <w:highlight w:val="yellow"/>
        </w:rPr>
        <w:t>impacted</w:t>
      </w:r>
      <w:r>
        <w:rPr>
          <w:rFonts w:cs="Arial"/>
          <w:strike/>
          <w:szCs w:val="18"/>
          <w:highlight w:val="yellow"/>
        </w:rPr>
        <w:t xml:space="preserve"> </w:t>
      </w:r>
      <w:r w:rsidRPr="0014778F">
        <w:rPr>
          <w:rFonts w:cs="Arial"/>
          <w:szCs w:val="18"/>
          <w:highlight w:val="yellow"/>
          <w:u w:val="double"/>
        </w:rPr>
        <w:t>affected</w:t>
      </w:r>
      <w:r w:rsidRPr="0014778F">
        <w:rPr>
          <w:rFonts w:cs="Arial"/>
          <w:szCs w:val="18"/>
          <w:u w:val="double"/>
        </w:rPr>
        <w:t xml:space="preserve"> </w:t>
      </w:r>
      <w:r w:rsidRPr="00D403F5">
        <w:rPr>
          <w:rFonts w:cs="Arial"/>
          <w:szCs w:val="18"/>
        </w:rPr>
        <w:t xml:space="preserve">by temperature, </w:t>
      </w:r>
      <w:r w:rsidRPr="0014778F">
        <w:rPr>
          <w:rFonts w:cs="Arial"/>
          <w:szCs w:val="18"/>
          <w:highlight w:val="yellow"/>
          <w:u w:val="double"/>
        </w:rPr>
        <w:t>ultraviolet (</w:t>
      </w:r>
      <w:r w:rsidRPr="00D403F5">
        <w:rPr>
          <w:rFonts w:cs="Arial"/>
          <w:szCs w:val="18"/>
        </w:rPr>
        <w:t>UV</w:t>
      </w:r>
      <w:r w:rsidRPr="0014778F">
        <w:rPr>
          <w:rFonts w:cs="Arial"/>
          <w:szCs w:val="18"/>
          <w:highlight w:val="yellow"/>
          <w:u w:val="double"/>
        </w:rPr>
        <w:t>)</w:t>
      </w:r>
      <w:r w:rsidRPr="00D403F5">
        <w:rPr>
          <w:rFonts w:cs="Arial"/>
          <w:szCs w:val="18"/>
        </w:rPr>
        <w:t xml:space="preserve"> exposure, microbial community and suspended sediments. </w:t>
      </w:r>
      <w:r w:rsidRPr="006936A4">
        <w:rPr>
          <w:rFonts w:cs="Arial"/>
          <w:strike/>
          <w:szCs w:val="18"/>
          <w:highlight w:val="yellow"/>
        </w:rPr>
        <w:t xml:space="preserve">At </w:t>
      </w:r>
      <w:r w:rsidRPr="00C57404">
        <w:rPr>
          <w:strike/>
          <w:szCs w:val="18"/>
          <w:highlight w:val="yellow"/>
        </w:rPr>
        <w:t xml:space="preserve">4°C–15°C, </w:t>
      </w:r>
      <w:r w:rsidRPr="00C57404">
        <w:rPr>
          <w:rFonts w:cs="Arial"/>
          <w:strike/>
          <w:szCs w:val="18"/>
          <w:highlight w:val="yellow"/>
        </w:rPr>
        <w:t>10</w:t>
      </w:r>
      <w:r w:rsidRPr="00C57404">
        <w:rPr>
          <w:rFonts w:cs="Arial"/>
          <w:strike/>
          <w:szCs w:val="18"/>
          <w:highlight w:val="yellow"/>
          <w:vertAlign w:val="superscript"/>
        </w:rPr>
        <w:t xml:space="preserve">5 </w:t>
      </w:r>
      <w:r w:rsidRPr="00C57404">
        <w:rPr>
          <w:rFonts w:cs="Arial"/>
          <w:strike/>
          <w:szCs w:val="18"/>
          <w:highlight w:val="yellow"/>
        </w:rPr>
        <w:t>pfu/ml of IHNV remained detectable via cell culture</w:t>
      </w:r>
      <w:r w:rsidRPr="00C57404">
        <w:rPr>
          <w:rFonts w:eastAsiaTheme="minorEastAsia" w:cs="Arial"/>
          <w:strike/>
          <w:szCs w:val="18"/>
          <w:highlight w:val="yellow"/>
          <w:lang w:eastAsia="zh-CN"/>
        </w:rPr>
        <w:t xml:space="preserve"> </w:t>
      </w:r>
      <w:r w:rsidRPr="00C57404">
        <w:rPr>
          <w:rFonts w:cs="Arial"/>
          <w:strike/>
          <w:szCs w:val="18"/>
          <w:highlight w:val="yellow"/>
        </w:rPr>
        <w:t xml:space="preserve">after 1 week in either fresh or salt water </w:t>
      </w:r>
      <w:r w:rsidRPr="00C57404">
        <w:rPr>
          <w:rFonts w:cs="Arial"/>
          <w:strike/>
          <w:noProof/>
          <w:szCs w:val="18"/>
          <w:highlight w:val="yellow"/>
        </w:rPr>
        <w:t xml:space="preserve">(Kell </w:t>
      </w:r>
      <w:r w:rsidRPr="00C57404">
        <w:rPr>
          <w:rFonts w:cs="Arial"/>
          <w:i/>
          <w:strike/>
          <w:noProof/>
          <w:szCs w:val="18"/>
          <w:highlight w:val="yellow"/>
        </w:rPr>
        <w:t>et al.,</w:t>
      </w:r>
      <w:r w:rsidRPr="00C57404">
        <w:rPr>
          <w:rFonts w:cs="Arial"/>
          <w:strike/>
          <w:noProof/>
          <w:szCs w:val="18"/>
          <w:highlight w:val="yellow"/>
        </w:rPr>
        <w:t xml:space="preserve"> 2014)</w:t>
      </w:r>
      <w:r w:rsidRPr="00C57404">
        <w:rPr>
          <w:strike/>
          <w:szCs w:val="18"/>
          <w:highlight w:val="yellow"/>
        </w:rPr>
        <w:t xml:space="preserve">. </w:t>
      </w:r>
      <w:r w:rsidRPr="00C57404">
        <w:rPr>
          <w:szCs w:val="18"/>
          <w:highlight w:val="yellow"/>
          <w:u w:val="double"/>
        </w:rPr>
        <w:t xml:space="preserve">For </w:t>
      </w:r>
      <w:r w:rsidRPr="006936A4">
        <w:rPr>
          <w:szCs w:val="18"/>
          <w:highlight w:val="yellow"/>
          <w:u w:val="double"/>
        </w:rPr>
        <w:t xml:space="preserve">all genotypes, inactivation rates are reduced at lower water temperatures and virions remain infectious for longer in freshwater compared </w:t>
      </w:r>
      <w:r>
        <w:rPr>
          <w:szCs w:val="18"/>
          <w:highlight w:val="yellow"/>
          <w:u w:val="double"/>
        </w:rPr>
        <w:t>with</w:t>
      </w:r>
      <w:r w:rsidRPr="006936A4">
        <w:rPr>
          <w:szCs w:val="18"/>
          <w:highlight w:val="yellow"/>
          <w:u w:val="double"/>
        </w:rPr>
        <w:t xml:space="preserve"> seawater (Kell </w:t>
      </w:r>
      <w:r w:rsidRPr="00C57404">
        <w:rPr>
          <w:i/>
          <w:iCs/>
          <w:szCs w:val="18"/>
          <w:highlight w:val="yellow"/>
          <w:u w:val="double"/>
        </w:rPr>
        <w:t>et al.,</w:t>
      </w:r>
      <w:r w:rsidRPr="006936A4">
        <w:rPr>
          <w:szCs w:val="18"/>
          <w:highlight w:val="yellow"/>
          <w:u w:val="double"/>
        </w:rPr>
        <w:t xml:space="preserve"> 2014).</w:t>
      </w:r>
      <w:r>
        <w:rPr>
          <w:szCs w:val="18"/>
        </w:rPr>
        <w:t xml:space="preserve"> </w:t>
      </w:r>
      <w:r w:rsidRPr="00D403F5">
        <w:rPr>
          <w:szCs w:val="18"/>
        </w:rPr>
        <w:t xml:space="preserve">However, when exposed to sunlight (UV-A and UV-B), IHNV at the water surface is rapidly inactivated with six orders of magnitude of virus rendered non-infectious within 3 hours (Garver </w:t>
      </w:r>
      <w:r w:rsidRPr="00D403F5">
        <w:rPr>
          <w:i/>
          <w:szCs w:val="18"/>
        </w:rPr>
        <w:t>et al.,</w:t>
      </w:r>
      <w:r w:rsidRPr="00D403F5">
        <w:rPr>
          <w:szCs w:val="18"/>
        </w:rPr>
        <w:t xml:space="preserve"> 2013). In addition, infectious virus is inactivated by the microbial community within the water source and with increased</w:t>
      </w:r>
      <w:r w:rsidRPr="00D403F5">
        <w:rPr>
          <w:rFonts w:eastAsiaTheme="minorEastAsia"/>
          <w:szCs w:val="18"/>
          <w:lang w:eastAsia="zh-CN"/>
        </w:rPr>
        <w:t xml:space="preserve"> amounts of </w:t>
      </w:r>
      <w:r w:rsidRPr="00D403F5">
        <w:rPr>
          <w:szCs w:val="18"/>
        </w:rPr>
        <w:t xml:space="preserve">suspended sediments (Garver </w:t>
      </w:r>
      <w:r w:rsidRPr="00D403F5">
        <w:rPr>
          <w:i/>
          <w:szCs w:val="18"/>
        </w:rPr>
        <w:t>et al.,</w:t>
      </w:r>
      <w:r w:rsidRPr="00D403F5">
        <w:rPr>
          <w:szCs w:val="18"/>
        </w:rPr>
        <w:t xml:space="preserve"> 2013; </w:t>
      </w:r>
      <w:r w:rsidRPr="00D403F5">
        <w:rPr>
          <w:rFonts w:cs="Arial"/>
          <w:szCs w:val="18"/>
        </w:rPr>
        <w:t xml:space="preserve">Kamei </w:t>
      </w:r>
      <w:r w:rsidRPr="00D403F5">
        <w:rPr>
          <w:rFonts w:cs="Arial"/>
          <w:i/>
          <w:szCs w:val="18"/>
        </w:rPr>
        <w:t>et al.,</w:t>
      </w:r>
      <w:r w:rsidRPr="00D403F5">
        <w:rPr>
          <w:rFonts w:cs="Arial"/>
          <w:szCs w:val="18"/>
        </w:rPr>
        <w:t xml:space="preserve"> 1987</w:t>
      </w:r>
      <w:r w:rsidRPr="00D403F5">
        <w:rPr>
          <w:szCs w:val="18"/>
        </w:rPr>
        <w:t>).</w:t>
      </w:r>
    </w:p>
    <w:p w14:paraId="4BD43732" w14:textId="77777777" w:rsidR="00E65E42" w:rsidRPr="00D403F5" w:rsidRDefault="00E65E42" w:rsidP="00DB4D42">
      <w:pPr>
        <w:pStyle w:val="Para3"/>
        <w:ind w:left="709"/>
        <w:rPr>
          <w:rFonts w:cs="Arial"/>
          <w:szCs w:val="18"/>
        </w:rPr>
      </w:pPr>
      <w:r w:rsidRPr="00D403F5">
        <w:rPr>
          <w:rFonts w:cs="Arial"/>
          <w:szCs w:val="18"/>
        </w:rPr>
        <w:t>For inactivation methods, see Section 2.4.6.</w:t>
      </w:r>
    </w:p>
    <w:p w14:paraId="27565D1F" w14:textId="77777777" w:rsidR="00E65E42" w:rsidRPr="00D62973" w:rsidRDefault="00E65E42" w:rsidP="00E65E42">
      <w:pPr>
        <w:pStyle w:val="11"/>
        <w:spacing w:after="360"/>
        <w:rPr>
          <w:rFonts w:ascii="Ottawa" w:hAnsi="Ottawa"/>
          <w:sz w:val="21"/>
          <w:szCs w:val="21"/>
          <w:lang w:val="en-IE"/>
        </w:rPr>
      </w:pPr>
      <w:r w:rsidRPr="00D62973">
        <w:rPr>
          <w:rFonts w:ascii="Ottawa" w:hAnsi="Ottawa"/>
          <w:sz w:val="21"/>
          <w:szCs w:val="21"/>
          <w:lang w:val="en-IE"/>
        </w:rPr>
        <w:t>2.2.</w:t>
      </w:r>
      <w:r w:rsidRPr="00D62973">
        <w:rPr>
          <w:rFonts w:ascii="Ottawa" w:hAnsi="Ottawa"/>
          <w:sz w:val="21"/>
          <w:szCs w:val="21"/>
          <w:lang w:val="en-IE"/>
        </w:rPr>
        <w:tab/>
        <w:t>Host factors</w:t>
      </w:r>
    </w:p>
    <w:p w14:paraId="373F2D94" w14:textId="77777777" w:rsidR="00E65E42" w:rsidRPr="00D62973" w:rsidRDefault="00E65E42" w:rsidP="00DB4D42">
      <w:pPr>
        <w:pStyle w:val="111"/>
        <w:spacing w:after="240"/>
        <w:ind w:left="1276"/>
        <w:rPr>
          <w:szCs w:val="20"/>
          <w:lang w:val="en-IE"/>
        </w:rPr>
      </w:pPr>
      <w:r w:rsidRPr="00D62973">
        <w:rPr>
          <w:szCs w:val="20"/>
          <w:lang w:val="en-IE"/>
        </w:rPr>
        <w:t>2.2.1.</w:t>
      </w:r>
      <w:r w:rsidRPr="00D62973">
        <w:rPr>
          <w:szCs w:val="20"/>
          <w:lang w:val="en-IE"/>
        </w:rPr>
        <w:tab/>
        <w:t xml:space="preserve">Susceptible host species </w:t>
      </w:r>
    </w:p>
    <w:p w14:paraId="0DC44CE7" w14:textId="77777777" w:rsidR="00E65E42" w:rsidRPr="00D403F5" w:rsidRDefault="00E65E42" w:rsidP="00DB4D42">
      <w:pPr>
        <w:pStyle w:val="Para3"/>
        <w:spacing w:after="360"/>
        <w:ind w:left="709"/>
        <w:rPr>
          <w:rFonts w:eastAsiaTheme="minorEastAsia" w:cs="Arial"/>
          <w:szCs w:val="18"/>
          <w:lang w:eastAsia="zh-CN"/>
        </w:rPr>
      </w:pPr>
      <w:r w:rsidRPr="00D403F5">
        <w:rPr>
          <w:rFonts w:cs="Arial"/>
          <w:szCs w:val="18"/>
        </w:rPr>
        <w:t xml:space="preserve">Species that fulfil the criteria for listing as susceptible to infection with IHNV according to Chapter 1.5 of </w:t>
      </w:r>
      <w:r w:rsidRPr="00D403F5">
        <w:rPr>
          <w:rFonts w:cs="Arial"/>
          <w:i/>
          <w:iCs/>
          <w:szCs w:val="18"/>
        </w:rPr>
        <w:t>Aquatic Animal Health Code</w:t>
      </w:r>
      <w:r w:rsidRPr="00D403F5">
        <w:rPr>
          <w:rFonts w:cs="Arial"/>
          <w:szCs w:val="18"/>
        </w:rPr>
        <w:t xml:space="preserve"> (</w:t>
      </w:r>
      <w:r w:rsidRPr="00D403F5">
        <w:rPr>
          <w:rFonts w:cs="Arial"/>
          <w:i/>
          <w:iCs/>
          <w:szCs w:val="18"/>
        </w:rPr>
        <w:t>Aquatic Code</w:t>
      </w:r>
      <w:r w:rsidRPr="00D403F5">
        <w:rPr>
          <w:rFonts w:cs="Arial"/>
          <w:szCs w:val="18"/>
        </w:rPr>
        <w:t xml:space="preserve">) are: </w:t>
      </w:r>
    </w:p>
    <w:tbl>
      <w:tblPr>
        <w:tblStyle w:val="Grilledutableau"/>
        <w:tblW w:w="8075" w:type="dxa"/>
        <w:tblInd w:w="851" w:type="dxa"/>
        <w:tblLook w:val="04A0" w:firstRow="1" w:lastRow="0" w:firstColumn="1" w:lastColumn="0" w:noHBand="0" w:noVBand="1"/>
      </w:tblPr>
      <w:tblGrid>
        <w:gridCol w:w="1979"/>
        <w:gridCol w:w="2835"/>
        <w:gridCol w:w="3261"/>
      </w:tblGrid>
      <w:tr w:rsidR="00E65E42" w:rsidRPr="00D403F5" w14:paraId="7A284844" w14:textId="77777777" w:rsidTr="00E65E42">
        <w:trPr>
          <w:tblHeader/>
        </w:trPr>
        <w:tc>
          <w:tcPr>
            <w:tcW w:w="1979" w:type="dxa"/>
            <w:vAlign w:val="center"/>
          </w:tcPr>
          <w:p w14:paraId="3EC6EDFE" w14:textId="77777777" w:rsidR="00E65E42" w:rsidRPr="00D403F5" w:rsidRDefault="00E65E42" w:rsidP="00E65E42">
            <w:pPr>
              <w:pStyle w:val="Para3"/>
              <w:spacing w:after="0"/>
              <w:ind w:left="0"/>
              <w:jc w:val="center"/>
              <w:rPr>
                <w:b/>
                <w:szCs w:val="18"/>
              </w:rPr>
            </w:pPr>
            <w:r w:rsidRPr="00D403F5">
              <w:rPr>
                <w:b/>
                <w:szCs w:val="18"/>
              </w:rPr>
              <w:t>Family</w:t>
            </w:r>
          </w:p>
        </w:tc>
        <w:tc>
          <w:tcPr>
            <w:tcW w:w="2835" w:type="dxa"/>
            <w:vAlign w:val="center"/>
          </w:tcPr>
          <w:p w14:paraId="70A50C53" w14:textId="77777777" w:rsidR="00E65E42" w:rsidRPr="00D403F5" w:rsidRDefault="00E65E42" w:rsidP="00E65E42">
            <w:pPr>
              <w:pStyle w:val="Para3"/>
              <w:spacing w:after="0"/>
              <w:ind w:left="0"/>
              <w:jc w:val="center"/>
              <w:rPr>
                <w:b/>
                <w:szCs w:val="18"/>
              </w:rPr>
            </w:pPr>
            <w:r w:rsidRPr="00D403F5">
              <w:rPr>
                <w:b/>
                <w:szCs w:val="18"/>
              </w:rPr>
              <w:t>Scientific name</w:t>
            </w:r>
          </w:p>
        </w:tc>
        <w:tc>
          <w:tcPr>
            <w:tcW w:w="3261" w:type="dxa"/>
            <w:vAlign w:val="center"/>
          </w:tcPr>
          <w:p w14:paraId="06D6D14E" w14:textId="77777777" w:rsidR="00E65E42" w:rsidRPr="00D403F5" w:rsidRDefault="00E65E42" w:rsidP="00E65E42">
            <w:pPr>
              <w:pStyle w:val="Para3"/>
              <w:spacing w:after="0"/>
              <w:ind w:left="0"/>
              <w:jc w:val="center"/>
              <w:rPr>
                <w:b/>
                <w:szCs w:val="18"/>
              </w:rPr>
            </w:pPr>
            <w:r w:rsidRPr="00D403F5">
              <w:rPr>
                <w:b/>
                <w:szCs w:val="18"/>
              </w:rPr>
              <w:t>Common name</w:t>
            </w:r>
          </w:p>
        </w:tc>
      </w:tr>
      <w:tr w:rsidR="00E65E42" w:rsidRPr="00D403F5" w14:paraId="2224F051" w14:textId="77777777" w:rsidTr="00E65E42">
        <w:tc>
          <w:tcPr>
            <w:tcW w:w="1979" w:type="dxa"/>
            <w:vAlign w:val="center"/>
          </w:tcPr>
          <w:p w14:paraId="76695BF9" w14:textId="77777777" w:rsidR="00E65E42" w:rsidRPr="00D403F5" w:rsidRDefault="00E65E42" w:rsidP="00E65E42">
            <w:pPr>
              <w:pStyle w:val="Para3"/>
              <w:spacing w:after="0"/>
              <w:ind w:left="0"/>
              <w:jc w:val="center"/>
              <w:rPr>
                <w:i/>
                <w:szCs w:val="18"/>
              </w:rPr>
            </w:pPr>
            <w:r w:rsidRPr="00D403F5">
              <w:rPr>
                <w:rFonts w:cs="Arial"/>
                <w:color w:val="000000"/>
                <w:szCs w:val="18"/>
              </w:rPr>
              <w:t>Esocidae</w:t>
            </w:r>
          </w:p>
        </w:tc>
        <w:tc>
          <w:tcPr>
            <w:tcW w:w="2835" w:type="dxa"/>
            <w:vAlign w:val="center"/>
          </w:tcPr>
          <w:p w14:paraId="42FA68A7" w14:textId="77777777" w:rsidR="00E65E42" w:rsidRPr="00D403F5" w:rsidRDefault="00E65E42" w:rsidP="00E65E42">
            <w:pPr>
              <w:pStyle w:val="Para3"/>
              <w:spacing w:after="0"/>
              <w:ind w:left="0"/>
              <w:jc w:val="center"/>
              <w:rPr>
                <w:szCs w:val="18"/>
              </w:rPr>
            </w:pPr>
            <w:r w:rsidRPr="00D403F5">
              <w:rPr>
                <w:i/>
                <w:szCs w:val="18"/>
              </w:rPr>
              <w:t>Esox lucius</w:t>
            </w:r>
          </w:p>
        </w:tc>
        <w:tc>
          <w:tcPr>
            <w:tcW w:w="3261" w:type="dxa"/>
            <w:vAlign w:val="center"/>
          </w:tcPr>
          <w:p w14:paraId="1B8D98A0" w14:textId="77777777" w:rsidR="00E65E42" w:rsidRPr="00D403F5" w:rsidRDefault="00E65E42" w:rsidP="00E65E42">
            <w:pPr>
              <w:pStyle w:val="Para3"/>
              <w:spacing w:after="0"/>
              <w:ind w:left="0"/>
              <w:jc w:val="center"/>
              <w:rPr>
                <w:szCs w:val="18"/>
              </w:rPr>
            </w:pPr>
            <w:r w:rsidRPr="00D403F5">
              <w:rPr>
                <w:szCs w:val="18"/>
              </w:rPr>
              <w:t>Northern pike</w:t>
            </w:r>
          </w:p>
        </w:tc>
      </w:tr>
      <w:tr w:rsidR="00E65E42" w:rsidRPr="00D403F5" w14:paraId="7CED0530" w14:textId="77777777" w:rsidTr="00E65E42">
        <w:tc>
          <w:tcPr>
            <w:tcW w:w="1979" w:type="dxa"/>
            <w:vMerge w:val="restart"/>
            <w:vAlign w:val="center"/>
          </w:tcPr>
          <w:p w14:paraId="7E24241F" w14:textId="77777777" w:rsidR="00E65E42" w:rsidRPr="00D403F5" w:rsidRDefault="00E65E42" w:rsidP="00E65E42">
            <w:pPr>
              <w:pStyle w:val="Para3"/>
              <w:spacing w:after="0"/>
              <w:ind w:left="0"/>
              <w:jc w:val="center"/>
              <w:rPr>
                <w:rFonts w:cs="Arial"/>
                <w:i/>
                <w:iCs/>
                <w:szCs w:val="18"/>
              </w:rPr>
            </w:pPr>
            <w:r w:rsidRPr="00D403F5">
              <w:rPr>
                <w:rFonts w:ascii="Calibri" w:hAnsi="Calibri" w:cs="Calibri"/>
                <w:color w:val="000000"/>
                <w:szCs w:val="18"/>
              </w:rPr>
              <w:t>Salmonidae</w:t>
            </w:r>
          </w:p>
        </w:tc>
        <w:tc>
          <w:tcPr>
            <w:tcW w:w="2835" w:type="dxa"/>
            <w:vAlign w:val="center"/>
          </w:tcPr>
          <w:p w14:paraId="4B8AAB27" w14:textId="77777777" w:rsidR="00E65E42" w:rsidRPr="00D403F5" w:rsidRDefault="00E65E42" w:rsidP="00E65E42">
            <w:pPr>
              <w:pStyle w:val="Para3"/>
              <w:spacing w:after="0"/>
              <w:ind w:left="0"/>
              <w:jc w:val="center"/>
              <w:rPr>
                <w:i/>
                <w:szCs w:val="18"/>
              </w:rPr>
            </w:pPr>
            <w:r w:rsidRPr="00D403F5">
              <w:rPr>
                <w:rFonts w:cs="Arial"/>
                <w:i/>
                <w:iCs/>
                <w:szCs w:val="18"/>
              </w:rPr>
              <w:t>Salmo marmoratus</w:t>
            </w:r>
          </w:p>
        </w:tc>
        <w:tc>
          <w:tcPr>
            <w:tcW w:w="3261" w:type="dxa"/>
            <w:vAlign w:val="center"/>
          </w:tcPr>
          <w:p w14:paraId="21D4D49B" w14:textId="77777777" w:rsidR="00E65E42" w:rsidRPr="00D403F5" w:rsidRDefault="00E65E42" w:rsidP="00E65E42">
            <w:pPr>
              <w:pStyle w:val="Para3"/>
              <w:spacing w:after="0"/>
              <w:ind w:left="0"/>
              <w:jc w:val="center"/>
              <w:rPr>
                <w:szCs w:val="18"/>
              </w:rPr>
            </w:pPr>
            <w:r w:rsidRPr="00D403F5">
              <w:rPr>
                <w:rFonts w:cs="Arial"/>
                <w:iCs/>
                <w:szCs w:val="18"/>
              </w:rPr>
              <w:t>Marble trout</w:t>
            </w:r>
          </w:p>
        </w:tc>
      </w:tr>
      <w:tr w:rsidR="00E65E42" w:rsidRPr="00D403F5" w14:paraId="0BADE142" w14:textId="77777777" w:rsidTr="00E65E42">
        <w:tc>
          <w:tcPr>
            <w:tcW w:w="1979" w:type="dxa"/>
            <w:vMerge/>
            <w:vAlign w:val="center"/>
          </w:tcPr>
          <w:p w14:paraId="2BECFC33" w14:textId="77777777" w:rsidR="00E65E42" w:rsidRPr="00D403F5" w:rsidRDefault="00E65E42" w:rsidP="00E65E42">
            <w:pPr>
              <w:pStyle w:val="Para3"/>
              <w:spacing w:after="0"/>
              <w:ind w:left="0"/>
              <w:jc w:val="center"/>
              <w:rPr>
                <w:i/>
                <w:szCs w:val="18"/>
              </w:rPr>
            </w:pPr>
          </w:p>
        </w:tc>
        <w:tc>
          <w:tcPr>
            <w:tcW w:w="2835" w:type="dxa"/>
            <w:vAlign w:val="center"/>
          </w:tcPr>
          <w:p w14:paraId="3D93EA73" w14:textId="77777777" w:rsidR="00E65E42" w:rsidRPr="00D403F5" w:rsidRDefault="00E65E42" w:rsidP="00E65E42">
            <w:pPr>
              <w:pStyle w:val="Para3"/>
              <w:spacing w:after="0"/>
              <w:ind w:left="0"/>
              <w:jc w:val="center"/>
              <w:rPr>
                <w:szCs w:val="18"/>
              </w:rPr>
            </w:pPr>
            <w:r w:rsidRPr="00D403F5">
              <w:rPr>
                <w:i/>
                <w:szCs w:val="18"/>
              </w:rPr>
              <w:t>Salmo salar</w:t>
            </w:r>
          </w:p>
        </w:tc>
        <w:tc>
          <w:tcPr>
            <w:tcW w:w="3261" w:type="dxa"/>
            <w:vAlign w:val="center"/>
          </w:tcPr>
          <w:p w14:paraId="6E9600E9" w14:textId="77777777" w:rsidR="00E65E42" w:rsidRPr="00D403F5" w:rsidRDefault="00E65E42" w:rsidP="00E65E42">
            <w:pPr>
              <w:pStyle w:val="Para3"/>
              <w:spacing w:after="0"/>
              <w:ind w:left="0"/>
              <w:jc w:val="center"/>
              <w:rPr>
                <w:szCs w:val="18"/>
              </w:rPr>
            </w:pPr>
            <w:r w:rsidRPr="00D403F5">
              <w:rPr>
                <w:szCs w:val="18"/>
              </w:rPr>
              <w:t>Atlantic salmon</w:t>
            </w:r>
          </w:p>
        </w:tc>
      </w:tr>
      <w:tr w:rsidR="00E65E42" w:rsidRPr="00D403F5" w14:paraId="754EF9D4" w14:textId="77777777" w:rsidTr="00E65E42">
        <w:tc>
          <w:tcPr>
            <w:tcW w:w="1979" w:type="dxa"/>
            <w:vMerge/>
            <w:vAlign w:val="center"/>
          </w:tcPr>
          <w:p w14:paraId="28A76922" w14:textId="77777777" w:rsidR="00E65E42" w:rsidRPr="00D403F5" w:rsidRDefault="00E65E42" w:rsidP="00E65E42">
            <w:pPr>
              <w:pStyle w:val="Para3"/>
              <w:spacing w:after="0"/>
              <w:ind w:left="0"/>
              <w:jc w:val="center"/>
              <w:rPr>
                <w:i/>
                <w:szCs w:val="18"/>
              </w:rPr>
            </w:pPr>
          </w:p>
        </w:tc>
        <w:tc>
          <w:tcPr>
            <w:tcW w:w="2835" w:type="dxa"/>
            <w:vAlign w:val="center"/>
          </w:tcPr>
          <w:p w14:paraId="3979141F" w14:textId="77777777" w:rsidR="00E65E42" w:rsidRPr="00D403F5" w:rsidRDefault="00E65E42" w:rsidP="00E65E42">
            <w:pPr>
              <w:pStyle w:val="Para3"/>
              <w:spacing w:after="0"/>
              <w:ind w:left="0"/>
              <w:jc w:val="center"/>
              <w:rPr>
                <w:i/>
                <w:szCs w:val="18"/>
              </w:rPr>
            </w:pPr>
            <w:r w:rsidRPr="00D403F5">
              <w:rPr>
                <w:i/>
                <w:szCs w:val="18"/>
              </w:rPr>
              <w:t>Salmo trutta</w:t>
            </w:r>
          </w:p>
        </w:tc>
        <w:tc>
          <w:tcPr>
            <w:tcW w:w="3261" w:type="dxa"/>
            <w:vAlign w:val="center"/>
          </w:tcPr>
          <w:p w14:paraId="7505A9C6" w14:textId="77777777" w:rsidR="00E65E42" w:rsidRPr="00D403F5" w:rsidRDefault="00E65E42" w:rsidP="00E65E42">
            <w:pPr>
              <w:pStyle w:val="Para3"/>
              <w:spacing w:after="0"/>
              <w:ind w:left="0"/>
              <w:jc w:val="center"/>
              <w:rPr>
                <w:szCs w:val="18"/>
              </w:rPr>
            </w:pPr>
            <w:r w:rsidRPr="00D403F5">
              <w:rPr>
                <w:szCs w:val="18"/>
              </w:rPr>
              <w:t>Brown trout</w:t>
            </w:r>
          </w:p>
        </w:tc>
      </w:tr>
      <w:tr w:rsidR="00E65E42" w:rsidRPr="00D403F5" w14:paraId="7BE99F75" w14:textId="77777777" w:rsidTr="00E65E42">
        <w:tc>
          <w:tcPr>
            <w:tcW w:w="1979" w:type="dxa"/>
            <w:vMerge/>
            <w:vAlign w:val="center"/>
          </w:tcPr>
          <w:p w14:paraId="71D31F3E" w14:textId="77777777" w:rsidR="00E65E42" w:rsidRPr="00D403F5" w:rsidRDefault="00E65E42" w:rsidP="00E65E42">
            <w:pPr>
              <w:pStyle w:val="Para3"/>
              <w:spacing w:after="0"/>
              <w:ind w:left="0"/>
              <w:jc w:val="center"/>
              <w:rPr>
                <w:szCs w:val="18"/>
              </w:rPr>
            </w:pPr>
          </w:p>
        </w:tc>
        <w:tc>
          <w:tcPr>
            <w:tcW w:w="2835" w:type="dxa"/>
            <w:vAlign w:val="center"/>
          </w:tcPr>
          <w:p w14:paraId="4B6276A6" w14:textId="77777777" w:rsidR="00E65E42" w:rsidRPr="00D403F5" w:rsidRDefault="00E65E42" w:rsidP="00E65E42">
            <w:pPr>
              <w:pStyle w:val="Para3"/>
              <w:spacing w:after="0"/>
              <w:ind w:left="0"/>
              <w:jc w:val="center"/>
              <w:rPr>
                <w:i/>
                <w:szCs w:val="18"/>
              </w:rPr>
            </w:pPr>
            <w:r w:rsidRPr="00D403F5">
              <w:rPr>
                <w:i/>
                <w:szCs w:val="18"/>
              </w:rPr>
              <w:t>Salvelinus alpinus</w:t>
            </w:r>
          </w:p>
        </w:tc>
        <w:tc>
          <w:tcPr>
            <w:tcW w:w="3261" w:type="dxa"/>
            <w:vAlign w:val="center"/>
          </w:tcPr>
          <w:p w14:paraId="1B6E9227" w14:textId="77777777" w:rsidR="00E65E42" w:rsidRPr="00D403F5" w:rsidRDefault="00E65E42" w:rsidP="00E65E42">
            <w:pPr>
              <w:pStyle w:val="Para3"/>
              <w:spacing w:after="0"/>
              <w:ind w:left="0"/>
              <w:jc w:val="center"/>
              <w:rPr>
                <w:szCs w:val="18"/>
              </w:rPr>
            </w:pPr>
            <w:r w:rsidRPr="00D403F5">
              <w:rPr>
                <w:szCs w:val="18"/>
              </w:rPr>
              <w:t>Arctic char</w:t>
            </w:r>
          </w:p>
        </w:tc>
      </w:tr>
      <w:tr w:rsidR="00E65E42" w:rsidRPr="00D403F5" w14:paraId="16F17CA3" w14:textId="77777777" w:rsidTr="00E65E42">
        <w:tc>
          <w:tcPr>
            <w:tcW w:w="1979" w:type="dxa"/>
            <w:vMerge/>
            <w:vAlign w:val="center"/>
          </w:tcPr>
          <w:p w14:paraId="4C973BAC" w14:textId="77777777" w:rsidR="00E65E42" w:rsidRPr="00D403F5" w:rsidRDefault="00E65E42" w:rsidP="00E65E42">
            <w:pPr>
              <w:pStyle w:val="Para3"/>
              <w:spacing w:after="0"/>
              <w:ind w:left="0"/>
              <w:jc w:val="center"/>
              <w:rPr>
                <w:szCs w:val="18"/>
              </w:rPr>
            </w:pPr>
          </w:p>
        </w:tc>
        <w:tc>
          <w:tcPr>
            <w:tcW w:w="2835" w:type="dxa"/>
            <w:vAlign w:val="center"/>
          </w:tcPr>
          <w:p w14:paraId="60D90C2D" w14:textId="77777777" w:rsidR="00E65E42" w:rsidRPr="00D403F5" w:rsidRDefault="00E65E42" w:rsidP="00E65E42">
            <w:pPr>
              <w:pStyle w:val="Para3"/>
              <w:spacing w:after="0"/>
              <w:ind w:left="0"/>
              <w:jc w:val="center"/>
              <w:rPr>
                <w:i/>
                <w:szCs w:val="18"/>
              </w:rPr>
            </w:pPr>
            <w:r w:rsidRPr="00D403F5">
              <w:rPr>
                <w:i/>
                <w:szCs w:val="18"/>
              </w:rPr>
              <w:t>Salvelinus fontinalis</w:t>
            </w:r>
          </w:p>
        </w:tc>
        <w:tc>
          <w:tcPr>
            <w:tcW w:w="3261" w:type="dxa"/>
            <w:vAlign w:val="center"/>
          </w:tcPr>
          <w:p w14:paraId="01B4FA43" w14:textId="77777777" w:rsidR="00E65E42" w:rsidRPr="00D403F5" w:rsidRDefault="00E65E42" w:rsidP="00E65E42">
            <w:pPr>
              <w:pStyle w:val="Para3"/>
              <w:spacing w:after="0"/>
              <w:ind w:left="0"/>
              <w:jc w:val="center"/>
              <w:rPr>
                <w:szCs w:val="18"/>
              </w:rPr>
            </w:pPr>
            <w:r w:rsidRPr="00D403F5">
              <w:rPr>
                <w:szCs w:val="18"/>
              </w:rPr>
              <w:t>Brook trout</w:t>
            </w:r>
          </w:p>
        </w:tc>
      </w:tr>
      <w:tr w:rsidR="00E65E42" w:rsidRPr="00D403F5" w14:paraId="24A16D4D" w14:textId="77777777" w:rsidTr="00E65E42">
        <w:tc>
          <w:tcPr>
            <w:tcW w:w="1979" w:type="dxa"/>
            <w:vMerge/>
            <w:vAlign w:val="center"/>
          </w:tcPr>
          <w:p w14:paraId="494737B5" w14:textId="77777777" w:rsidR="00E65E42" w:rsidRPr="00D403F5" w:rsidRDefault="00E65E42" w:rsidP="00E65E42">
            <w:pPr>
              <w:pStyle w:val="Para3"/>
              <w:spacing w:after="0"/>
              <w:ind w:left="0"/>
              <w:jc w:val="center"/>
              <w:rPr>
                <w:szCs w:val="18"/>
              </w:rPr>
            </w:pPr>
          </w:p>
        </w:tc>
        <w:tc>
          <w:tcPr>
            <w:tcW w:w="2835" w:type="dxa"/>
            <w:vAlign w:val="center"/>
          </w:tcPr>
          <w:p w14:paraId="4C30F7F7" w14:textId="77777777" w:rsidR="00E65E42" w:rsidRPr="00D403F5" w:rsidRDefault="00E65E42" w:rsidP="00E65E42">
            <w:pPr>
              <w:pStyle w:val="Para3"/>
              <w:spacing w:after="0"/>
              <w:ind w:left="0"/>
              <w:jc w:val="center"/>
              <w:rPr>
                <w:szCs w:val="18"/>
              </w:rPr>
            </w:pPr>
            <w:r w:rsidRPr="0014778F">
              <w:rPr>
                <w:i/>
                <w:szCs w:val="18"/>
              </w:rPr>
              <w:t>Salvelinus</w:t>
            </w:r>
            <w:r w:rsidRPr="00D403F5">
              <w:rPr>
                <w:szCs w:val="18"/>
              </w:rPr>
              <w:t xml:space="preserve"> </w:t>
            </w:r>
            <w:r w:rsidRPr="00D403F5">
              <w:rPr>
                <w:i/>
                <w:szCs w:val="18"/>
              </w:rPr>
              <w:t>namaycush</w:t>
            </w:r>
          </w:p>
        </w:tc>
        <w:tc>
          <w:tcPr>
            <w:tcW w:w="3261" w:type="dxa"/>
            <w:vAlign w:val="center"/>
          </w:tcPr>
          <w:p w14:paraId="0DA59713" w14:textId="77777777" w:rsidR="00E65E42" w:rsidRPr="00D403F5" w:rsidRDefault="00E65E42" w:rsidP="00E65E42">
            <w:pPr>
              <w:pStyle w:val="Para3"/>
              <w:spacing w:after="0"/>
              <w:ind w:left="0"/>
              <w:jc w:val="center"/>
              <w:rPr>
                <w:szCs w:val="18"/>
              </w:rPr>
            </w:pPr>
            <w:r w:rsidRPr="00D403F5">
              <w:rPr>
                <w:szCs w:val="18"/>
              </w:rPr>
              <w:t>Lake trout</w:t>
            </w:r>
          </w:p>
        </w:tc>
      </w:tr>
      <w:tr w:rsidR="00E65E42" w:rsidRPr="00D403F5" w14:paraId="38F4320A" w14:textId="77777777" w:rsidTr="00E65E42">
        <w:tc>
          <w:tcPr>
            <w:tcW w:w="1979" w:type="dxa"/>
            <w:vMerge/>
            <w:vAlign w:val="center"/>
          </w:tcPr>
          <w:p w14:paraId="5FEADBB1" w14:textId="77777777" w:rsidR="00E65E42" w:rsidRPr="00D403F5" w:rsidRDefault="00E65E42" w:rsidP="00E65E42">
            <w:pPr>
              <w:pStyle w:val="Para3"/>
              <w:spacing w:after="0"/>
              <w:ind w:left="0"/>
              <w:jc w:val="center"/>
              <w:rPr>
                <w:i/>
                <w:szCs w:val="18"/>
              </w:rPr>
            </w:pPr>
          </w:p>
        </w:tc>
        <w:tc>
          <w:tcPr>
            <w:tcW w:w="2835" w:type="dxa"/>
            <w:vAlign w:val="center"/>
          </w:tcPr>
          <w:p w14:paraId="4FFB0265" w14:textId="77777777" w:rsidR="00E65E42" w:rsidRPr="00D403F5" w:rsidRDefault="00E65E42" w:rsidP="00E65E42">
            <w:pPr>
              <w:pStyle w:val="Para3"/>
              <w:spacing w:after="0"/>
              <w:ind w:left="0"/>
              <w:jc w:val="center"/>
              <w:rPr>
                <w:szCs w:val="18"/>
              </w:rPr>
            </w:pPr>
            <w:r w:rsidRPr="00D403F5">
              <w:rPr>
                <w:i/>
                <w:szCs w:val="18"/>
              </w:rPr>
              <w:t>Oncorhynchus clarki</w:t>
            </w:r>
          </w:p>
        </w:tc>
        <w:tc>
          <w:tcPr>
            <w:tcW w:w="3261" w:type="dxa"/>
            <w:vAlign w:val="center"/>
          </w:tcPr>
          <w:p w14:paraId="6B97C883" w14:textId="77777777" w:rsidR="00E65E42" w:rsidRPr="00D403F5" w:rsidRDefault="00E65E42" w:rsidP="00E65E42">
            <w:pPr>
              <w:pStyle w:val="Para3"/>
              <w:spacing w:after="0"/>
              <w:ind w:left="0"/>
              <w:jc w:val="center"/>
              <w:rPr>
                <w:szCs w:val="18"/>
              </w:rPr>
            </w:pPr>
            <w:r w:rsidRPr="00D403F5">
              <w:rPr>
                <w:szCs w:val="18"/>
              </w:rPr>
              <w:t>Cutthroat trout</w:t>
            </w:r>
          </w:p>
        </w:tc>
      </w:tr>
      <w:tr w:rsidR="00E65E42" w:rsidRPr="00D403F5" w14:paraId="61C32ADC" w14:textId="77777777" w:rsidTr="00E65E42">
        <w:tc>
          <w:tcPr>
            <w:tcW w:w="1979" w:type="dxa"/>
            <w:vMerge/>
            <w:vAlign w:val="center"/>
          </w:tcPr>
          <w:p w14:paraId="0B308B91" w14:textId="77777777" w:rsidR="00E65E42" w:rsidRPr="00D403F5" w:rsidRDefault="00E65E42" w:rsidP="00E65E42">
            <w:pPr>
              <w:pStyle w:val="Para3"/>
              <w:spacing w:after="0"/>
              <w:ind w:left="0"/>
              <w:jc w:val="center"/>
              <w:rPr>
                <w:i/>
                <w:szCs w:val="18"/>
              </w:rPr>
            </w:pPr>
          </w:p>
        </w:tc>
        <w:tc>
          <w:tcPr>
            <w:tcW w:w="2835" w:type="dxa"/>
            <w:vAlign w:val="center"/>
          </w:tcPr>
          <w:p w14:paraId="6066FCA9" w14:textId="77777777" w:rsidR="00E65E42" w:rsidRPr="00D403F5" w:rsidRDefault="00E65E42" w:rsidP="00E65E42">
            <w:pPr>
              <w:pStyle w:val="Para3"/>
              <w:spacing w:after="0"/>
              <w:ind w:left="0"/>
              <w:jc w:val="center"/>
              <w:rPr>
                <w:szCs w:val="18"/>
              </w:rPr>
            </w:pPr>
            <w:r w:rsidRPr="00D403F5">
              <w:rPr>
                <w:i/>
                <w:szCs w:val="18"/>
              </w:rPr>
              <w:t>Oncorhynchus tshawytscha</w:t>
            </w:r>
          </w:p>
        </w:tc>
        <w:tc>
          <w:tcPr>
            <w:tcW w:w="3261" w:type="dxa"/>
            <w:vAlign w:val="center"/>
          </w:tcPr>
          <w:p w14:paraId="69F7C811" w14:textId="77777777" w:rsidR="00E65E42" w:rsidRPr="00D403F5" w:rsidRDefault="00E65E42" w:rsidP="00E65E42">
            <w:pPr>
              <w:pStyle w:val="Para3"/>
              <w:spacing w:after="0"/>
              <w:ind w:left="0"/>
              <w:jc w:val="center"/>
              <w:rPr>
                <w:szCs w:val="18"/>
              </w:rPr>
            </w:pPr>
            <w:r w:rsidRPr="00D403F5">
              <w:rPr>
                <w:szCs w:val="18"/>
              </w:rPr>
              <w:t>Chinook salmon</w:t>
            </w:r>
          </w:p>
        </w:tc>
      </w:tr>
      <w:tr w:rsidR="00E65E42" w:rsidRPr="00D403F5" w14:paraId="059A411B" w14:textId="77777777" w:rsidTr="00E65E42">
        <w:tc>
          <w:tcPr>
            <w:tcW w:w="1979" w:type="dxa"/>
            <w:vMerge/>
            <w:vAlign w:val="center"/>
          </w:tcPr>
          <w:p w14:paraId="17502F56" w14:textId="77777777" w:rsidR="00E65E42" w:rsidRPr="00D403F5" w:rsidRDefault="00E65E42" w:rsidP="00E65E42">
            <w:pPr>
              <w:pStyle w:val="Para3"/>
              <w:spacing w:after="0"/>
              <w:ind w:left="0"/>
              <w:jc w:val="center"/>
              <w:rPr>
                <w:i/>
                <w:szCs w:val="18"/>
              </w:rPr>
            </w:pPr>
          </w:p>
        </w:tc>
        <w:tc>
          <w:tcPr>
            <w:tcW w:w="2835" w:type="dxa"/>
            <w:vAlign w:val="center"/>
          </w:tcPr>
          <w:p w14:paraId="7A34C1EB" w14:textId="77777777" w:rsidR="00E65E42" w:rsidRPr="00D403F5" w:rsidRDefault="00E65E42" w:rsidP="00E65E42">
            <w:pPr>
              <w:pStyle w:val="Para3"/>
              <w:spacing w:after="0"/>
              <w:ind w:left="0"/>
              <w:jc w:val="center"/>
              <w:rPr>
                <w:szCs w:val="18"/>
              </w:rPr>
            </w:pPr>
            <w:r w:rsidRPr="00D403F5">
              <w:rPr>
                <w:i/>
                <w:szCs w:val="18"/>
              </w:rPr>
              <w:t>Oncorhynchus</w:t>
            </w:r>
            <w:r w:rsidRPr="00D403F5">
              <w:rPr>
                <w:szCs w:val="18"/>
              </w:rPr>
              <w:t xml:space="preserve"> </w:t>
            </w:r>
            <w:r w:rsidRPr="00D403F5">
              <w:rPr>
                <w:i/>
                <w:szCs w:val="18"/>
              </w:rPr>
              <w:t>keta</w:t>
            </w:r>
          </w:p>
        </w:tc>
        <w:tc>
          <w:tcPr>
            <w:tcW w:w="3261" w:type="dxa"/>
            <w:vAlign w:val="center"/>
          </w:tcPr>
          <w:p w14:paraId="55003FBE" w14:textId="77777777" w:rsidR="00E65E42" w:rsidRPr="00D403F5" w:rsidRDefault="00E65E42" w:rsidP="00E65E42">
            <w:pPr>
              <w:pStyle w:val="Para3"/>
              <w:spacing w:after="0"/>
              <w:ind w:left="0"/>
              <w:jc w:val="center"/>
              <w:rPr>
                <w:szCs w:val="18"/>
              </w:rPr>
            </w:pPr>
            <w:r w:rsidRPr="00D403F5">
              <w:rPr>
                <w:szCs w:val="18"/>
              </w:rPr>
              <w:t>Chum salmon</w:t>
            </w:r>
          </w:p>
        </w:tc>
      </w:tr>
      <w:tr w:rsidR="00E65E42" w:rsidRPr="00D403F5" w14:paraId="0344647A" w14:textId="77777777" w:rsidTr="00E65E42">
        <w:tc>
          <w:tcPr>
            <w:tcW w:w="1979" w:type="dxa"/>
            <w:vMerge/>
            <w:vAlign w:val="center"/>
          </w:tcPr>
          <w:p w14:paraId="09C05D90" w14:textId="77777777" w:rsidR="00E65E42" w:rsidRPr="00D403F5" w:rsidRDefault="00E65E42" w:rsidP="00E65E42">
            <w:pPr>
              <w:pStyle w:val="Para3"/>
              <w:spacing w:after="0"/>
              <w:ind w:left="0"/>
              <w:jc w:val="center"/>
              <w:rPr>
                <w:i/>
                <w:szCs w:val="18"/>
              </w:rPr>
            </w:pPr>
          </w:p>
        </w:tc>
        <w:tc>
          <w:tcPr>
            <w:tcW w:w="2835" w:type="dxa"/>
            <w:vAlign w:val="center"/>
          </w:tcPr>
          <w:p w14:paraId="33D20BFE" w14:textId="77777777" w:rsidR="00E65E42" w:rsidRPr="00D403F5" w:rsidRDefault="00E65E42" w:rsidP="00E65E42">
            <w:pPr>
              <w:pStyle w:val="Para3"/>
              <w:spacing w:after="0"/>
              <w:ind w:left="0"/>
              <w:jc w:val="center"/>
              <w:rPr>
                <w:szCs w:val="18"/>
              </w:rPr>
            </w:pPr>
            <w:r w:rsidRPr="00D403F5">
              <w:rPr>
                <w:i/>
                <w:szCs w:val="18"/>
              </w:rPr>
              <w:t>Oncorhynchus</w:t>
            </w:r>
            <w:r w:rsidRPr="00D403F5">
              <w:rPr>
                <w:szCs w:val="18"/>
              </w:rPr>
              <w:t xml:space="preserve"> </w:t>
            </w:r>
            <w:r w:rsidRPr="00D403F5">
              <w:rPr>
                <w:i/>
                <w:szCs w:val="18"/>
              </w:rPr>
              <w:t>kisutch</w:t>
            </w:r>
          </w:p>
        </w:tc>
        <w:tc>
          <w:tcPr>
            <w:tcW w:w="3261" w:type="dxa"/>
            <w:vAlign w:val="center"/>
          </w:tcPr>
          <w:p w14:paraId="1C22EF56" w14:textId="77777777" w:rsidR="00E65E42" w:rsidRPr="00D403F5" w:rsidRDefault="00E65E42" w:rsidP="00E65E42">
            <w:pPr>
              <w:pStyle w:val="Para3"/>
              <w:spacing w:after="0"/>
              <w:ind w:left="0"/>
              <w:jc w:val="center"/>
              <w:rPr>
                <w:szCs w:val="18"/>
              </w:rPr>
            </w:pPr>
            <w:r w:rsidRPr="00D403F5">
              <w:rPr>
                <w:szCs w:val="18"/>
              </w:rPr>
              <w:t>Coho salmon</w:t>
            </w:r>
          </w:p>
        </w:tc>
      </w:tr>
      <w:tr w:rsidR="00E65E42" w:rsidRPr="00D403F5" w14:paraId="582F3A62" w14:textId="77777777" w:rsidTr="00E65E42">
        <w:tc>
          <w:tcPr>
            <w:tcW w:w="1979" w:type="dxa"/>
            <w:vMerge/>
            <w:vAlign w:val="center"/>
          </w:tcPr>
          <w:p w14:paraId="71CF5291" w14:textId="77777777" w:rsidR="00E65E42" w:rsidRPr="00D403F5" w:rsidRDefault="00E65E42" w:rsidP="00E65E42">
            <w:pPr>
              <w:pStyle w:val="Para3"/>
              <w:spacing w:after="0"/>
              <w:ind w:left="0"/>
              <w:jc w:val="center"/>
              <w:rPr>
                <w:i/>
                <w:szCs w:val="18"/>
              </w:rPr>
            </w:pPr>
          </w:p>
        </w:tc>
        <w:tc>
          <w:tcPr>
            <w:tcW w:w="2835" w:type="dxa"/>
            <w:vAlign w:val="center"/>
          </w:tcPr>
          <w:p w14:paraId="399F7200" w14:textId="77777777" w:rsidR="00E65E42" w:rsidRPr="00D403F5" w:rsidRDefault="00E65E42" w:rsidP="00E65E42">
            <w:pPr>
              <w:pStyle w:val="Para3"/>
              <w:spacing w:after="0"/>
              <w:ind w:left="0"/>
              <w:jc w:val="center"/>
              <w:rPr>
                <w:szCs w:val="18"/>
              </w:rPr>
            </w:pPr>
            <w:r w:rsidRPr="00D403F5">
              <w:rPr>
                <w:i/>
                <w:szCs w:val="18"/>
              </w:rPr>
              <w:t>Oncorhynchus masou</w:t>
            </w:r>
          </w:p>
        </w:tc>
        <w:tc>
          <w:tcPr>
            <w:tcW w:w="3261" w:type="dxa"/>
            <w:vAlign w:val="center"/>
          </w:tcPr>
          <w:p w14:paraId="34E53501" w14:textId="77777777" w:rsidR="00E65E42" w:rsidRPr="00D403F5" w:rsidRDefault="00E65E42" w:rsidP="00E65E42">
            <w:pPr>
              <w:pStyle w:val="Para3"/>
              <w:spacing w:after="0"/>
              <w:ind w:left="0"/>
              <w:jc w:val="center"/>
              <w:rPr>
                <w:szCs w:val="18"/>
              </w:rPr>
            </w:pPr>
            <w:r w:rsidRPr="00D403F5">
              <w:rPr>
                <w:szCs w:val="18"/>
              </w:rPr>
              <w:t>Mas</w:t>
            </w:r>
            <w:r w:rsidRPr="006D11BA">
              <w:rPr>
                <w:strike/>
                <w:szCs w:val="18"/>
                <w:highlight w:val="yellow"/>
              </w:rPr>
              <w:t>o</w:t>
            </w:r>
            <w:r w:rsidRPr="00D403F5">
              <w:rPr>
                <w:szCs w:val="18"/>
              </w:rPr>
              <w:t>u salmon</w:t>
            </w:r>
          </w:p>
        </w:tc>
      </w:tr>
      <w:tr w:rsidR="00E65E42" w:rsidRPr="00D403F5" w14:paraId="6777E7A5" w14:textId="77777777" w:rsidTr="00E65E42">
        <w:tc>
          <w:tcPr>
            <w:tcW w:w="1979" w:type="dxa"/>
            <w:vMerge/>
            <w:vAlign w:val="center"/>
          </w:tcPr>
          <w:p w14:paraId="26DFA555" w14:textId="77777777" w:rsidR="00E65E42" w:rsidRPr="00D403F5" w:rsidRDefault="00E65E42" w:rsidP="00E65E42">
            <w:pPr>
              <w:pStyle w:val="Para3"/>
              <w:spacing w:after="0"/>
              <w:ind w:left="0"/>
              <w:jc w:val="center"/>
              <w:rPr>
                <w:i/>
                <w:szCs w:val="18"/>
              </w:rPr>
            </w:pPr>
          </w:p>
        </w:tc>
        <w:tc>
          <w:tcPr>
            <w:tcW w:w="2835" w:type="dxa"/>
            <w:vAlign w:val="center"/>
          </w:tcPr>
          <w:p w14:paraId="6CD67EA6" w14:textId="77777777" w:rsidR="00E65E42" w:rsidRPr="00D403F5" w:rsidRDefault="00E65E42" w:rsidP="00E65E42">
            <w:pPr>
              <w:pStyle w:val="Para3"/>
              <w:spacing w:after="0"/>
              <w:ind w:left="0"/>
              <w:jc w:val="center"/>
              <w:rPr>
                <w:szCs w:val="18"/>
              </w:rPr>
            </w:pPr>
            <w:r w:rsidRPr="00D403F5">
              <w:rPr>
                <w:i/>
                <w:szCs w:val="18"/>
              </w:rPr>
              <w:t>Oncorhynchus mykiss</w:t>
            </w:r>
          </w:p>
        </w:tc>
        <w:tc>
          <w:tcPr>
            <w:tcW w:w="3261" w:type="dxa"/>
            <w:vAlign w:val="center"/>
          </w:tcPr>
          <w:p w14:paraId="7BC59F29" w14:textId="77777777" w:rsidR="00E65E42" w:rsidRPr="00D403F5" w:rsidRDefault="00E65E42" w:rsidP="00E65E42">
            <w:pPr>
              <w:pStyle w:val="Para3"/>
              <w:spacing w:after="0"/>
              <w:ind w:left="0"/>
              <w:jc w:val="center"/>
              <w:rPr>
                <w:szCs w:val="18"/>
              </w:rPr>
            </w:pPr>
            <w:r w:rsidRPr="00D403F5">
              <w:rPr>
                <w:szCs w:val="18"/>
              </w:rPr>
              <w:t xml:space="preserve">Rainbow trout </w:t>
            </w:r>
          </w:p>
        </w:tc>
      </w:tr>
      <w:tr w:rsidR="00E65E42" w:rsidRPr="00D403F5" w14:paraId="1AC21E19" w14:textId="77777777" w:rsidTr="00E65E42">
        <w:tc>
          <w:tcPr>
            <w:tcW w:w="1979" w:type="dxa"/>
            <w:vMerge/>
            <w:vAlign w:val="center"/>
          </w:tcPr>
          <w:p w14:paraId="7DFE999A" w14:textId="77777777" w:rsidR="00E65E42" w:rsidRPr="00D403F5" w:rsidRDefault="00E65E42" w:rsidP="00E65E42">
            <w:pPr>
              <w:pStyle w:val="Para3"/>
              <w:spacing w:after="0"/>
              <w:ind w:left="0"/>
              <w:jc w:val="center"/>
              <w:rPr>
                <w:i/>
                <w:szCs w:val="18"/>
              </w:rPr>
            </w:pPr>
          </w:p>
        </w:tc>
        <w:tc>
          <w:tcPr>
            <w:tcW w:w="2835" w:type="dxa"/>
            <w:vAlign w:val="center"/>
          </w:tcPr>
          <w:p w14:paraId="2B57A208" w14:textId="77777777" w:rsidR="00E65E42" w:rsidRPr="00D403F5" w:rsidRDefault="00E65E42" w:rsidP="00E65E42">
            <w:pPr>
              <w:pStyle w:val="Para3"/>
              <w:spacing w:after="0"/>
              <w:ind w:left="0"/>
              <w:jc w:val="center"/>
              <w:rPr>
                <w:szCs w:val="18"/>
              </w:rPr>
            </w:pPr>
            <w:r w:rsidRPr="00D403F5">
              <w:rPr>
                <w:i/>
                <w:szCs w:val="18"/>
              </w:rPr>
              <w:t>Oncorhynchus nerka</w:t>
            </w:r>
          </w:p>
        </w:tc>
        <w:tc>
          <w:tcPr>
            <w:tcW w:w="3261" w:type="dxa"/>
            <w:vAlign w:val="center"/>
          </w:tcPr>
          <w:p w14:paraId="5BEFD4C3" w14:textId="77777777" w:rsidR="00E65E42" w:rsidRPr="00D403F5" w:rsidRDefault="00E65E42" w:rsidP="00E65E42">
            <w:pPr>
              <w:pStyle w:val="Para3"/>
              <w:spacing w:after="0"/>
              <w:ind w:left="0"/>
              <w:jc w:val="center"/>
              <w:rPr>
                <w:szCs w:val="18"/>
              </w:rPr>
            </w:pPr>
            <w:r w:rsidRPr="00D403F5">
              <w:rPr>
                <w:szCs w:val="18"/>
              </w:rPr>
              <w:t xml:space="preserve">Sockeye salmon </w:t>
            </w:r>
          </w:p>
        </w:tc>
      </w:tr>
    </w:tbl>
    <w:p w14:paraId="24097615" w14:textId="77777777" w:rsidR="00E65E42" w:rsidRPr="00D62973" w:rsidRDefault="00E65E42" w:rsidP="00DB4D42">
      <w:pPr>
        <w:pStyle w:val="111"/>
        <w:spacing w:before="240" w:after="240"/>
        <w:ind w:left="1276"/>
        <w:rPr>
          <w:szCs w:val="20"/>
          <w:lang w:val="en-IE"/>
        </w:rPr>
      </w:pPr>
      <w:r w:rsidRPr="00D62973">
        <w:rPr>
          <w:szCs w:val="20"/>
          <w:lang w:val="en-IE"/>
        </w:rPr>
        <w:t>2.2.2.</w:t>
      </w:r>
      <w:r w:rsidRPr="00D62973">
        <w:rPr>
          <w:szCs w:val="20"/>
          <w:lang w:val="en-IE"/>
        </w:rPr>
        <w:tab/>
        <w:t>Species with incomplete evidence for susceptibility</w:t>
      </w:r>
    </w:p>
    <w:p w14:paraId="1A03C4AB" w14:textId="77777777" w:rsidR="00E65E42" w:rsidRDefault="00E65E42" w:rsidP="00DB4D42">
      <w:pPr>
        <w:pStyle w:val="Para3"/>
        <w:spacing w:after="280"/>
        <w:ind w:left="709"/>
        <w:rPr>
          <w:rFonts w:cs="Arial"/>
          <w:iCs/>
          <w:szCs w:val="18"/>
        </w:rPr>
      </w:pPr>
      <w:r w:rsidRPr="00D403F5">
        <w:rPr>
          <w:rFonts w:cs="Arial"/>
          <w:iCs/>
          <w:szCs w:val="18"/>
        </w:rPr>
        <w:t xml:space="preserve">Species for which there is incomplete evidence to fulfil the criteria for listing as susceptible to infection </w:t>
      </w:r>
      <w:r w:rsidRPr="00D403F5">
        <w:rPr>
          <w:rFonts w:cs="Arial"/>
          <w:szCs w:val="18"/>
        </w:rPr>
        <w:t xml:space="preserve">with IHNV according to Chapter 1.5 of the </w:t>
      </w:r>
      <w:r w:rsidRPr="00D403F5">
        <w:rPr>
          <w:rFonts w:cs="Arial"/>
          <w:i/>
          <w:iCs/>
          <w:szCs w:val="18"/>
        </w:rPr>
        <w:t>Aquatic Code</w:t>
      </w:r>
      <w:r w:rsidRPr="00D403F5">
        <w:rPr>
          <w:rFonts w:cs="Arial"/>
          <w:iCs/>
          <w:szCs w:val="18"/>
        </w:rPr>
        <w:t xml:space="preserve"> are:</w:t>
      </w:r>
      <w:r w:rsidRPr="00C57404">
        <w:rPr>
          <w:szCs w:val="18"/>
        </w:rPr>
        <w:t xml:space="preserve"> </w:t>
      </w:r>
      <w:r w:rsidRPr="005846CA">
        <w:rPr>
          <w:szCs w:val="18"/>
          <w:highlight w:val="yellow"/>
          <w:u w:val="double"/>
        </w:rPr>
        <w:t>White sturgeon (</w:t>
      </w:r>
      <w:r w:rsidRPr="005846CA">
        <w:rPr>
          <w:i/>
          <w:szCs w:val="18"/>
          <w:highlight w:val="yellow"/>
          <w:u w:val="double"/>
        </w:rPr>
        <w:t>Acipenser transmontanus</w:t>
      </w:r>
      <w:r w:rsidRPr="005846CA">
        <w:rPr>
          <w:szCs w:val="18"/>
          <w:highlight w:val="yellow"/>
          <w:u w:val="double"/>
        </w:rPr>
        <w:t xml:space="preserve">), </w:t>
      </w:r>
      <w:r w:rsidRPr="005846CA">
        <w:rPr>
          <w:rFonts w:cs="Arial"/>
          <w:iCs/>
          <w:szCs w:val="18"/>
          <w:highlight w:val="yellow"/>
          <w:u w:val="double"/>
        </w:rPr>
        <w:t>European eel (</w:t>
      </w:r>
      <w:r w:rsidRPr="005846CA">
        <w:rPr>
          <w:rFonts w:cs="Arial"/>
          <w:i/>
          <w:iCs/>
          <w:szCs w:val="18"/>
          <w:highlight w:val="yellow"/>
          <w:u w:val="double"/>
        </w:rPr>
        <w:t>Anguilla anguilla</w:t>
      </w:r>
      <w:r w:rsidRPr="005846CA">
        <w:rPr>
          <w:rFonts w:cs="Arial"/>
          <w:iCs/>
          <w:szCs w:val="18"/>
          <w:highlight w:val="yellow"/>
          <w:u w:val="double"/>
        </w:rPr>
        <w:t xml:space="preserve">), </w:t>
      </w:r>
      <w:r w:rsidRPr="005846CA">
        <w:rPr>
          <w:szCs w:val="18"/>
          <w:highlight w:val="yellow"/>
          <w:u w:val="double"/>
        </w:rPr>
        <w:t>Tube-snout (</w:t>
      </w:r>
      <w:r w:rsidRPr="005846CA">
        <w:rPr>
          <w:i/>
          <w:szCs w:val="18"/>
          <w:highlight w:val="yellow"/>
          <w:u w:val="double"/>
        </w:rPr>
        <w:t>Aulorhynchus flavidus</w:t>
      </w:r>
      <w:r w:rsidRPr="005846CA">
        <w:rPr>
          <w:szCs w:val="18"/>
          <w:highlight w:val="yellow"/>
          <w:u w:val="double"/>
        </w:rPr>
        <w:t>), Pacific herring (</w:t>
      </w:r>
      <w:r w:rsidRPr="005846CA">
        <w:rPr>
          <w:i/>
          <w:szCs w:val="18"/>
          <w:highlight w:val="yellow"/>
          <w:u w:val="double"/>
        </w:rPr>
        <w:t>Clupea pallasii</w:t>
      </w:r>
      <w:r w:rsidRPr="005846CA">
        <w:rPr>
          <w:szCs w:val="18"/>
          <w:highlight w:val="yellow"/>
          <w:u w:val="double"/>
        </w:rPr>
        <w:t>), Shiner perch (</w:t>
      </w:r>
      <w:r w:rsidRPr="005846CA">
        <w:rPr>
          <w:i/>
          <w:szCs w:val="18"/>
          <w:highlight w:val="yellow"/>
          <w:u w:val="double"/>
        </w:rPr>
        <w:t>Cymatogaster aggregate</w:t>
      </w:r>
      <w:r w:rsidRPr="005846CA">
        <w:rPr>
          <w:szCs w:val="18"/>
          <w:highlight w:val="yellow"/>
          <w:u w:val="double"/>
        </w:rPr>
        <w:t>) and Turbot (</w:t>
      </w:r>
      <w:r w:rsidRPr="005846CA">
        <w:rPr>
          <w:i/>
          <w:iCs/>
          <w:color w:val="000000"/>
          <w:szCs w:val="18"/>
          <w:highlight w:val="yellow"/>
          <w:u w:val="double"/>
        </w:rPr>
        <w:t>Scophthalmus maxima</w:t>
      </w:r>
      <w:r w:rsidRPr="005846CA">
        <w:rPr>
          <w:szCs w:val="18"/>
          <w:highlight w:val="yellow"/>
          <w:u w:val="double"/>
        </w:rPr>
        <w:t>).</w:t>
      </w:r>
    </w:p>
    <w:tbl>
      <w:tblPr>
        <w:tblStyle w:val="Grilledutableau"/>
        <w:tblW w:w="8502" w:type="dxa"/>
        <w:tblInd w:w="851" w:type="dxa"/>
        <w:tblLook w:val="04A0" w:firstRow="1" w:lastRow="0" w:firstColumn="1" w:lastColumn="0" w:noHBand="0" w:noVBand="1"/>
      </w:tblPr>
      <w:tblGrid>
        <w:gridCol w:w="2695"/>
        <w:gridCol w:w="2695"/>
        <w:gridCol w:w="3112"/>
      </w:tblGrid>
      <w:tr w:rsidR="00E65E42" w:rsidRPr="00D403F5" w14:paraId="04A0EE88" w14:textId="77777777" w:rsidTr="00E65E42">
        <w:tc>
          <w:tcPr>
            <w:tcW w:w="2695" w:type="dxa"/>
            <w:vAlign w:val="center"/>
          </w:tcPr>
          <w:p w14:paraId="1D9CA113" w14:textId="77777777" w:rsidR="00E65E42" w:rsidRPr="005846CA" w:rsidRDefault="00E65E42" w:rsidP="00E65E42">
            <w:pPr>
              <w:pStyle w:val="Para3"/>
              <w:spacing w:after="0"/>
              <w:ind w:left="0"/>
              <w:jc w:val="center"/>
              <w:rPr>
                <w:b/>
                <w:strike/>
                <w:szCs w:val="18"/>
                <w:highlight w:val="yellow"/>
              </w:rPr>
            </w:pPr>
            <w:r w:rsidRPr="005846CA">
              <w:rPr>
                <w:b/>
                <w:strike/>
                <w:szCs w:val="18"/>
                <w:highlight w:val="yellow"/>
              </w:rPr>
              <w:t>Family</w:t>
            </w:r>
          </w:p>
        </w:tc>
        <w:tc>
          <w:tcPr>
            <w:tcW w:w="2695" w:type="dxa"/>
            <w:vAlign w:val="center"/>
          </w:tcPr>
          <w:p w14:paraId="1CDC1E49" w14:textId="77777777" w:rsidR="00E65E42" w:rsidRPr="005846CA" w:rsidRDefault="00E65E42" w:rsidP="00E65E42">
            <w:pPr>
              <w:pStyle w:val="Para3"/>
              <w:spacing w:after="0"/>
              <w:ind w:left="0"/>
              <w:jc w:val="center"/>
              <w:rPr>
                <w:b/>
                <w:strike/>
                <w:szCs w:val="18"/>
                <w:highlight w:val="yellow"/>
              </w:rPr>
            </w:pPr>
            <w:r w:rsidRPr="005846CA">
              <w:rPr>
                <w:b/>
                <w:strike/>
                <w:szCs w:val="18"/>
                <w:highlight w:val="yellow"/>
              </w:rPr>
              <w:t>Scientific name</w:t>
            </w:r>
          </w:p>
        </w:tc>
        <w:tc>
          <w:tcPr>
            <w:tcW w:w="3112" w:type="dxa"/>
            <w:vAlign w:val="center"/>
          </w:tcPr>
          <w:p w14:paraId="43829BD4" w14:textId="77777777" w:rsidR="00E65E42" w:rsidRPr="005846CA" w:rsidRDefault="00E65E42" w:rsidP="00E65E42">
            <w:pPr>
              <w:pStyle w:val="Para3"/>
              <w:spacing w:after="0"/>
              <w:ind w:left="0"/>
              <w:jc w:val="center"/>
              <w:rPr>
                <w:b/>
                <w:strike/>
                <w:szCs w:val="18"/>
                <w:highlight w:val="yellow"/>
              </w:rPr>
            </w:pPr>
            <w:r w:rsidRPr="005846CA">
              <w:rPr>
                <w:b/>
                <w:strike/>
                <w:szCs w:val="18"/>
                <w:highlight w:val="yellow"/>
              </w:rPr>
              <w:t>Common name</w:t>
            </w:r>
          </w:p>
        </w:tc>
      </w:tr>
      <w:tr w:rsidR="00E65E42" w:rsidRPr="00D403F5" w14:paraId="13F12DD1" w14:textId="77777777" w:rsidTr="00E65E42">
        <w:tc>
          <w:tcPr>
            <w:tcW w:w="2695" w:type="dxa"/>
            <w:vAlign w:val="center"/>
          </w:tcPr>
          <w:p w14:paraId="2CEB9B11" w14:textId="77777777" w:rsidR="00E65E42" w:rsidRPr="005846CA" w:rsidRDefault="00E65E42" w:rsidP="00E65E42">
            <w:pPr>
              <w:pStyle w:val="Para3"/>
              <w:spacing w:after="0"/>
              <w:ind w:left="0"/>
              <w:jc w:val="center"/>
              <w:rPr>
                <w:rFonts w:cs="Arial"/>
                <w:i/>
                <w:iCs/>
                <w:strike/>
                <w:szCs w:val="18"/>
                <w:highlight w:val="yellow"/>
              </w:rPr>
            </w:pPr>
            <w:r w:rsidRPr="005846CA">
              <w:rPr>
                <w:iCs/>
                <w:strike/>
                <w:szCs w:val="18"/>
                <w:highlight w:val="yellow"/>
              </w:rPr>
              <w:t>Acipenseridae</w:t>
            </w:r>
          </w:p>
        </w:tc>
        <w:tc>
          <w:tcPr>
            <w:tcW w:w="2695" w:type="dxa"/>
            <w:vAlign w:val="center"/>
          </w:tcPr>
          <w:p w14:paraId="65A8B5D6" w14:textId="77777777" w:rsidR="00E65E42" w:rsidRPr="005846CA" w:rsidRDefault="00E65E42" w:rsidP="00E65E42">
            <w:pPr>
              <w:pStyle w:val="Para3"/>
              <w:spacing w:after="0"/>
              <w:ind w:left="0"/>
              <w:jc w:val="center"/>
              <w:rPr>
                <w:rFonts w:cs="Arial"/>
                <w:i/>
                <w:iCs/>
                <w:strike/>
                <w:szCs w:val="18"/>
                <w:highlight w:val="yellow"/>
              </w:rPr>
            </w:pPr>
            <w:r w:rsidRPr="005846CA">
              <w:rPr>
                <w:i/>
                <w:strike/>
                <w:szCs w:val="18"/>
                <w:highlight w:val="yellow"/>
              </w:rPr>
              <w:t>Acipenser transmontanus</w:t>
            </w:r>
          </w:p>
        </w:tc>
        <w:tc>
          <w:tcPr>
            <w:tcW w:w="3112" w:type="dxa"/>
            <w:vAlign w:val="center"/>
          </w:tcPr>
          <w:p w14:paraId="1454CAB5" w14:textId="77777777" w:rsidR="00E65E42" w:rsidRPr="005846CA" w:rsidRDefault="00E65E42" w:rsidP="00E65E42">
            <w:pPr>
              <w:pStyle w:val="Para3"/>
              <w:spacing w:after="0"/>
              <w:ind w:left="0"/>
              <w:jc w:val="center"/>
              <w:rPr>
                <w:rFonts w:cs="Arial"/>
                <w:iCs/>
                <w:strike/>
                <w:szCs w:val="18"/>
                <w:highlight w:val="yellow"/>
              </w:rPr>
            </w:pPr>
            <w:r w:rsidRPr="005846CA">
              <w:rPr>
                <w:strike/>
                <w:szCs w:val="18"/>
                <w:highlight w:val="yellow"/>
              </w:rPr>
              <w:t>White sturgeon</w:t>
            </w:r>
          </w:p>
        </w:tc>
      </w:tr>
      <w:tr w:rsidR="00E65E42" w:rsidRPr="00D403F5" w14:paraId="31583756" w14:textId="77777777" w:rsidTr="00E65E42">
        <w:tc>
          <w:tcPr>
            <w:tcW w:w="2695" w:type="dxa"/>
            <w:vAlign w:val="center"/>
          </w:tcPr>
          <w:p w14:paraId="267756E9" w14:textId="77777777" w:rsidR="00E65E42" w:rsidRPr="005846CA" w:rsidRDefault="00E65E42" w:rsidP="00E65E42">
            <w:pPr>
              <w:pStyle w:val="Para3"/>
              <w:spacing w:after="0"/>
              <w:ind w:left="0"/>
              <w:jc w:val="center"/>
              <w:rPr>
                <w:rFonts w:cs="Arial"/>
                <w:i/>
                <w:iCs/>
                <w:strike/>
                <w:szCs w:val="18"/>
                <w:highlight w:val="yellow"/>
              </w:rPr>
            </w:pPr>
            <w:r w:rsidRPr="005846CA">
              <w:rPr>
                <w:rStyle w:val="slabel1"/>
                <w:strike/>
                <w:color w:val="000000"/>
                <w:szCs w:val="18"/>
                <w:highlight w:val="yellow"/>
              </w:rPr>
              <w:t>Anguillidae</w:t>
            </w:r>
          </w:p>
        </w:tc>
        <w:tc>
          <w:tcPr>
            <w:tcW w:w="2695" w:type="dxa"/>
            <w:vAlign w:val="center"/>
          </w:tcPr>
          <w:p w14:paraId="4B4DF406" w14:textId="77777777" w:rsidR="00E65E42" w:rsidRPr="005846CA" w:rsidRDefault="00E65E42" w:rsidP="00E65E42">
            <w:pPr>
              <w:pStyle w:val="Para3"/>
              <w:spacing w:after="0"/>
              <w:ind w:left="0"/>
              <w:jc w:val="center"/>
              <w:rPr>
                <w:rFonts w:cs="Arial"/>
                <w:i/>
                <w:iCs/>
                <w:strike/>
                <w:szCs w:val="18"/>
                <w:highlight w:val="yellow"/>
              </w:rPr>
            </w:pPr>
            <w:r w:rsidRPr="005846CA">
              <w:rPr>
                <w:rFonts w:cs="Arial"/>
                <w:i/>
                <w:iCs/>
                <w:strike/>
                <w:szCs w:val="18"/>
                <w:highlight w:val="yellow"/>
              </w:rPr>
              <w:t>Anguilla anguilla</w:t>
            </w:r>
          </w:p>
        </w:tc>
        <w:tc>
          <w:tcPr>
            <w:tcW w:w="3112" w:type="dxa"/>
            <w:vAlign w:val="center"/>
          </w:tcPr>
          <w:p w14:paraId="089759AF" w14:textId="77777777" w:rsidR="00E65E42" w:rsidRPr="005846CA" w:rsidRDefault="00E65E42" w:rsidP="00E65E42">
            <w:pPr>
              <w:pStyle w:val="Para3"/>
              <w:spacing w:after="0"/>
              <w:ind w:left="0"/>
              <w:jc w:val="center"/>
              <w:rPr>
                <w:rFonts w:cs="Arial"/>
                <w:iCs/>
                <w:strike/>
                <w:szCs w:val="18"/>
                <w:highlight w:val="yellow"/>
              </w:rPr>
            </w:pPr>
            <w:r w:rsidRPr="005846CA">
              <w:rPr>
                <w:rFonts w:cs="Arial"/>
                <w:iCs/>
                <w:strike/>
                <w:szCs w:val="18"/>
                <w:highlight w:val="yellow"/>
              </w:rPr>
              <w:t>European eel</w:t>
            </w:r>
          </w:p>
        </w:tc>
      </w:tr>
      <w:tr w:rsidR="00E65E42" w:rsidRPr="00D403F5" w14:paraId="383D288C" w14:textId="77777777" w:rsidTr="00E65E42">
        <w:tc>
          <w:tcPr>
            <w:tcW w:w="2695" w:type="dxa"/>
            <w:vAlign w:val="center"/>
          </w:tcPr>
          <w:p w14:paraId="204FB0E4" w14:textId="77777777" w:rsidR="00E65E42" w:rsidRPr="005846CA" w:rsidRDefault="00E65E42" w:rsidP="00E65E42">
            <w:pPr>
              <w:pStyle w:val="Para3"/>
              <w:spacing w:after="0"/>
              <w:ind w:left="0"/>
              <w:jc w:val="center"/>
              <w:rPr>
                <w:rFonts w:cs="Arial"/>
                <w:iCs/>
                <w:strike/>
                <w:szCs w:val="18"/>
                <w:highlight w:val="yellow"/>
              </w:rPr>
            </w:pPr>
            <w:r w:rsidRPr="005846CA">
              <w:rPr>
                <w:strike/>
                <w:szCs w:val="18"/>
                <w:highlight w:val="yellow"/>
              </w:rPr>
              <w:t>Aulorhynchidae</w:t>
            </w:r>
          </w:p>
        </w:tc>
        <w:tc>
          <w:tcPr>
            <w:tcW w:w="2695" w:type="dxa"/>
            <w:vAlign w:val="center"/>
          </w:tcPr>
          <w:p w14:paraId="2C41DBB8" w14:textId="77777777" w:rsidR="00E65E42" w:rsidRPr="005846CA" w:rsidRDefault="00E65E42" w:rsidP="00E65E42">
            <w:pPr>
              <w:pStyle w:val="Para3"/>
              <w:spacing w:after="0"/>
              <w:ind w:left="0"/>
              <w:jc w:val="center"/>
              <w:rPr>
                <w:rFonts w:cs="Arial"/>
                <w:i/>
                <w:iCs/>
                <w:strike/>
                <w:szCs w:val="18"/>
                <w:highlight w:val="yellow"/>
              </w:rPr>
            </w:pPr>
            <w:r w:rsidRPr="005846CA">
              <w:rPr>
                <w:i/>
                <w:strike/>
                <w:szCs w:val="18"/>
                <w:highlight w:val="yellow"/>
              </w:rPr>
              <w:t>Aulorhy</w:t>
            </w:r>
            <w:r w:rsidRPr="005846CA">
              <w:rPr>
                <w:i/>
                <w:strike/>
                <w:szCs w:val="18"/>
                <w:highlight w:val="yellow"/>
                <w:u w:val="double"/>
              </w:rPr>
              <w:t>n</w:t>
            </w:r>
            <w:r w:rsidRPr="005846CA">
              <w:rPr>
                <w:i/>
                <w:strike/>
                <w:szCs w:val="18"/>
                <w:highlight w:val="yellow"/>
              </w:rPr>
              <w:t>chus flavidus</w:t>
            </w:r>
          </w:p>
        </w:tc>
        <w:tc>
          <w:tcPr>
            <w:tcW w:w="3112" w:type="dxa"/>
            <w:vAlign w:val="center"/>
          </w:tcPr>
          <w:p w14:paraId="7596E0DB" w14:textId="77777777" w:rsidR="00E65E42" w:rsidRPr="005846CA" w:rsidRDefault="00E65E42" w:rsidP="00E65E42">
            <w:pPr>
              <w:pStyle w:val="Para3"/>
              <w:spacing w:after="0"/>
              <w:ind w:left="0"/>
              <w:jc w:val="center"/>
              <w:rPr>
                <w:rFonts w:cs="Arial"/>
                <w:iCs/>
                <w:strike/>
                <w:szCs w:val="18"/>
                <w:highlight w:val="yellow"/>
                <w:vertAlign w:val="superscript"/>
              </w:rPr>
            </w:pPr>
            <w:r w:rsidRPr="005846CA">
              <w:rPr>
                <w:strike/>
                <w:szCs w:val="18"/>
                <w:highlight w:val="yellow"/>
              </w:rPr>
              <w:t>Tube-snout</w:t>
            </w:r>
          </w:p>
        </w:tc>
      </w:tr>
      <w:tr w:rsidR="00E65E42" w:rsidRPr="00D403F5" w14:paraId="5BE7E982" w14:textId="77777777" w:rsidTr="00E65E42">
        <w:tc>
          <w:tcPr>
            <w:tcW w:w="2695" w:type="dxa"/>
            <w:vAlign w:val="center"/>
          </w:tcPr>
          <w:p w14:paraId="1D49476C" w14:textId="77777777" w:rsidR="00E65E42" w:rsidRPr="005846CA" w:rsidRDefault="00E65E42" w:rsidP="00E65E42">
            <w:pPr>
              <w:pStyle w:val="Para3"/>
              <w:spacing w:after="0"/>
              <w:ind w:left="0"/>
              <w:jc w:val="center"/>
              <w:rPr>
                <w:rFonts w:cs="Arial"/>
                <w:i/>
                <w:iCs/>
                <w:strike/>
                <w:szCs w:val="18"/>
                <w:highlight w:val="yellow"/>
              </w:rPr>
            </w:pPr>
            <w:r w:rsidRPr="005846CA">
              <w:rPr>
                <w:rFonts w:cs="Arial"/>
                <w:strike/>
                <w:color w:val="000000"/>
                <w:szCs w:val="18"/>
                <w:highlight w:val="yellow"/>
              </w:rPr>
              <w:t>Clupeidae</w:t>
            </w:r>
          </w:p>
        </w:tc>
        <w:tc>
          <w:tcPr>
            <w:tcW w:w="2695" w:type="dxa"/>
            <w:vAlign w:val="center"/>
          </w:tcPr>
          <w:p w14:paraId="1F45B56E" w14:textId="77777777" w:rsidR="00E65E42" w:rsidRPr="005846CA" w:rsidRDefault="00E65E42" w:rsidP="00E65E42">
            <w:pPr>
              <w:pStyle w:val="Para3"/>
              <w:spacing w:after="0"/>
              <w:ind w:left="0"/>
              <w:jc w:val="center"/>
              <w:rPr>
                <w:rFonts w:cs="Arial"/>
                <w:i/>
                <w:iCs/>
                <w:strike/>
                <w:szCs w:val="18"/>
                <w:highlight w:val="yellow"/>
              </w:rPr>
            </w:pPr>
            <w:r w:rsidRPr="005846CA">
              <w:rPr>
                <w:i/>
                <w:strike/>
                <w:szCs w:val="18"/>
                <w:highlight w:val="yellow"/>
              </w:rPr>
              <w:t>Clupea pallasii</w:t>
            </w:r>
          </w:p>
        </w:tc>
        <w:tc>
          <w:tcPr>
            <w:tcW w:w="3112" w:type="dxa"/>
            <w:vAlign w:val="center"/>
          </w:tcPr>
          <w:p w14:paraId="504E0378" w14:textId="77777777" w:rsidR="00E65E42" w:rsidRPr="005846CA" w:rsidRDefault="00E65E42" w:rsidP="00E65E42">
            <w:pPr>
              <w:pStyle w:val="Para3"/>
              <w:spacing w:after="0"/>
              <w:ind w:left="0"/>
              <w:jc w:val="center"/>
              <w:rPr>
                <w:rFonts w:cs="Arial"/>
                <w:iCs/>
                <w:strike/>
                <w:szCs w:val="18"/>
                <w:highlight w:val="yellow"/>
              </w:rPr>
            </w:pPr>
            <w:r w:rsidRPr="005846CA">
              <w:rPr>
                <w:strike/>
                <w:szCs w:val="18"/>
                <w:highlight w:val="yellow"/>
              </w:rPr>
              <w:t>Pacific herring</w:t>
            </w:r>
          </w:p>
        </w:tc>
      </w:tr>
      <w:tr w:rsidR="00E65E42" w:rsidRPr="00D403F5" w14:paraId="23B1EEBF" w14:textId="77777777" w:rsidTr="00E65E42">
        <w:tc>
          <w:tcPr>
            <w:tcW w:w="2695" w:type="dxa"/>
            <w:vAlign w:val="center"/>
          </w:tcPr>
          <w:p w14:paraId="6AF6150A" w14:textId="77777777" w:rsidR="00E65E42" w:rsidRPr="005846CA" w:rsidRDefault="00E65E42" w:rsidP="00E65E42">
            <w:pPr>
              <w:pStyle w:val="Para3"/>
              <w:spacing w:after="0"/>
              <w:ind w:left="0"/>
              <w:jc w:val="center"/>
              <w:rPr>
                <w:rFonts w:cs="Arial"/>
                <w:i/>
                <w:iCs/>
                <w:strike/>
                <w:color w:val="222222"/>
                <w:szCs w:val="18"/>
                <w:highlight w:val="yellow"/>
                <w:shd w:val="clear" w:color="auto" w:fill="FFFFFF"/>
              </w:rPr>
            </w:pPr>
            <w:r w:rsidRPr="005846CA">
              <w:rPr>
                <w:rFonts w:cs="Arial"/>
                <w:strike/>
                <w:color w:val="000000"/>
                <w:szCs w:val="18"/>
                <w:highlight w:val="yellow"/>
              </w:rPr>
              <w:t>Embiotocidae</w:t>
            </w:r>
          </w:p>
        </w:tc>
        <w:tc>
          <w:tcPr>
            <w:tcW w:w="2695" w:type="dxa"/>
            <w:vAlign w:val="center"/>
          </w:tcPr>
          <w:p w14:paraId="7D920149" w14:textId="77777777" w:rsidR="00E65E42" w:rsidRPr="005846CA" w:rsidRDefault="00E65E42" w:rsidP="00E65E42">
            <w:pPr>
              <w:pStyle w:val="Para3"/>
              <w:spacing w:after="0"/>
              <w:ind w:left="0"/>
              <w:jc w:val="center"/>
              <w:rPr>
                <w:rFonts w:cs="Arial"/>
                <w:i/>
                <w:iCs/>
                <w:strike/>
                <w:szCs w:val="18"/>
                <w:highlight w:val="yellow"/>
              </w:rPr>
            </w:pPr>
            <w:r w:rsidRPr="005846CA">
              <w:rPr>
                <w:i/>
                <w:strike/>
                <w:szCs w:val="18"/>
                <w:highlight w:val="yellow"/>
              </w:rPr>
              <w:t>Cymatogaster aggregate</w:t>
            </w:r>
          </w:p>
        </w:tc>
        <w:tc>
          <w:tcPr>
            <w:tcW w:w="3112" w:type="dxa"/>
            <w:vAlign w:val="center"/>
          </w:tcPr>
          <w:p w14:paraId="65485A02" w14:textId="77777777" w:rsidR="00E65E42" w:rsidRPr="005846CA" w:rsidRDefault="00E65E42" w:rsidP="00E65E42">
            <w:pPr>
              <w:pStyle w:val="Para3"/>
              <w:spacing w:after="0"/>
              <w:ind w:left="0"/>
              <w:jc w:val="center"/>
              <w:rPr>
                <w:rFonts w:cs="Arial"/>
                <w:iCs/>
                <w:strike/>
                <w:szCs w:val="18"/>
                <w:highlight w:val="yellow"/>
              </w:rPr>
            </w:pPr>
            <w:r w:rsidRPr="005846CA">
              <w:rPr>
                <w:strike/>
                <w:szCs w:val="18"/>
                <w:highlight w:val="yellow"/>
              </w:rPr>
              <w:t>Shiner perch</w:t>
            </w:r>
          </w:p>
        </w:tc>
      </w:tr>
      <w:tr w:rsidR="00E65E42" w:rsidRPr="00D403F5" w14:paraId="6F44592B" w14:textId="77777777" w:rsidTr="00E65E42">
        <w:tc>
          <w:tcPr>
            <w:tcW w:w="2695" w:type="dxa"/>
            <w:vAlign w:val="center"/>
          </w:tcPr>
          <w:p w14:paraId="7C20DE10" w14:textId="77777777" w:rsidR="00E65E42" w:rsidRPr="005846CA" w:rsidRDefault="00E65E42" w:rsidP="00E65E42">
            <w:pPr>
              <w:pStyle w:val="Para3"/>
              <w:spacing w:after="0"/>
              <w:ind w:left="0"/>
              <w:jc w:val="center"/>
              <w:rPr>
                <w:rFonts w:cs="Arial"/>
                <w:i/>
                <w:iCs/>
                <w:strike/>
                <w:szCs w:val="18"/>
                <w:highlight w:val="yellow"/>
              </w:rPr>
            </w:pPr>
            <w:r w:rsidRPr="005846CA">
              <w:rPr>
                <w:strike/>
                <w:color w:val="000000"/>
                <w:szCs w:val="18"/>
                <w:highlight w:val="yellow"/>
              </w:rPr>
              <w:t>Schophthalmidae</w:t>
            </w:r>
          </w:p>
        </w:tc>
        <w:tc>
          <w:tcPr>
            <w:tcW w:w="2695" w:type="dxa"/>
            <w:vAlign w:val="center"/>
          </w:tcPr>
          <w:p w14:paraId="13F4135C" w14:textId="77777777" w:rsidR="00E65E42" w:rsidRPr="005846CA" w:rsidRDefault="00E65E42" w:rsidP="00E65E42">
            <w:pPr>
              <w:pStyle w:val="Para3"/>
              <w:spacing w:after="0"/>
              <w:ind w:left="0"/>
              <w:jc w:val="center"/>
              <w:rPr>
                <w:rFonts w:cs="Arial"/>
                <w:i/>
                <w:iCs/>
                <w:strike/>
                <w:szCs w:val="18"/>
                <w:highlight w:val="yellow"/>
              </w:rPr>
            </w:pPr>
            <w:r w:rsidRPr="005846CA">
              <w:rPr>
                <w:i/>
                <w:iCs/>
                <w:strike/>
                <w:color w:val="000000"/>
                <w:szCs w:val="18"/>
                <w:highlight w:val="yellow"/>
              </w:rPr>
              <w:t>Scophthalmus maxima</w:t>
            </w:r>
          </w:p>
        </w:tc>
        <w:tc>
          <w:tcPr>
            <w:tcW w:w="3112" w:type="dxa"/>
            <w:vAlign w:val="center"/>
          </w:tcPr>
          <w:p w14:paraId="15977A87" w14:textId="77777777" w:rsidR="00E65E42" w:rsidRPr="005846CA" w:rsidRDefault="00E65E42" w:rsidP="00E65E42">
            <w:pPr>
              <w:pStyle w:val="Para3"/>
              <w:spacing w:after="0"/>
              <w:ind w:left="0"/>
              <w:jc w:val="center"/>
              <w:rPr>
                <w:rFonts w:cs="Arial"/>
                <w:iCs/>
                <w:strike/>
                <w:szCs w:val="18"/>
                <w:highlight w:val="yellow"/>
              </w:rPr>
            </w:pPr>
            <w:r w:rsidRPr="005846CA">
              <w:rPr>
                <w:strike/>
                <w:color w:val="000000"/>
                <w:szCs w:val="18"/>
                <w:highlight w:val="yellow"/>
              </w:rPr>
              <w:t>Turbot</w:t>
            </w:r>
          </w:p>
        </w:tc>
      </w:tr>
    </w:tbl>
    <w:p w14:paraId="2C1DB571" w14:textId="77777777" w:rsidR="00E65E42" w:rsidRPr="005846CA" w:rsidRDefault="00E65E42" w:rsidP="00E65E42">
      <w:pPr>
        <w:spacing w:before="240" w:after="300"/>
        <w:ind w:left="851"/>
        <w:rPr>
          <w:rFonts w:ascii="Arial" w:hAnsi="Arial" w:cs="Arial"/>
          <w:sz w:val="18"/>
          <w:szCs w:val="18"/>
        </w:rPr>
      </w:pPr>
      <w:r w:rsidRPr="005846CA">
        <w:rPr>
          <w:rFonts w:ascii="Arial" w:hAnsi="Arial" w:cs="Arial"/>
          <w:sz w:val="18"/>
          <w:szCs w:val="18"/>
        </w:rPr>
        <w:t xml:space="preserve">In addition, pathogen-specific positive polymerase chain reaction (PCR) results have been reported in the following species, but an active infection has not been demonstrated: </w:t>
      </w:r>
      <w:r w:rsidRPr="005846CA">
        <w:rPr>
          <w:rFonts w:ascii="Arial" w:hAnsi="Arial" w:cs="Arial"/>
          <w:iCs/>
          <w:sz w:val="18"/>
          <w:szCs w:val="18"/>
          <w:highlight w:val="yellow"/>
          <w:u w:val="double"/>
        </w:rPr>
        <w:t>Common carp (</w:t>
      </w:r>
      <w:r w:rsidRPr="005846CA">
        <w:rPr>
          <w:rFonts w:ascii="Arial" w:hAnsi="Arial" w:cs="Arial"/>
          <w:i/>
          <w:iCs/>
          <w:sz w:val="18"/>
          <w:szCs w:val="18"/>
          <w:highlight w:val="yellow"/>
          <w:u w:val="double"/>
        </w:rPr>
        <w:t>Cyprinus carpio</w:t>
      </w:r>
      <w:r w:rsidRPr="005846CA">
        <w:rPr>
          <w:rFonts w:ascii="Arial" w:hAnsi="Arial" w:cs="Arial"/>
          <w:iCs/>
          <w:sz w:val="18"/>
          <w:szCs w:val="18"/>
          <w:highlight w:val="yellow"/>
          <w:u w:val="double"/>
        </w:rPr>
        <w:t>) and American yellow perch (</w:t>
      </w:r>
      <w:r w:rsidRPr="005846CA">
        <w:rPr>
          <w:rFonts w:ascii="Arial" w:hAnsi="Arial" w:cs="Arial"/>
          <w:i/>
          <w:iCs/>
          <w:sz w:val="18"/>
          <w:szCs w:val="18"/>
          <w:highlight w:val="yellow"/>
          <w:u w:val="double"/>
        </w:rPr>
        <w:t>Perca flavescens</w:t>
      </w:r>
      <w:r w:rsidRPr="005846CA">
        <w:rPr>
          <w:rFonts w:ascii="Arial" w:hAnsi="Arial" w:cs="Arial"/>
          <w:iCs/>
          <w:sz w:val="18"/>
          <w:szCs w:val="18"/>
          <w:highlight w:val="yellow"/>
          <w:u w:val="double"/>
        </w:rPr>
        <w:t>).</w:t>
      </w:r>
    </w:p>
    <w:p w14:paraId="1C3B45EC" w14:textId="77777777" w:rsidR="004F1CC2" w:rsidRDefault="004F1CC2" w:rsidP="004F1CC2">
      <w:pPr>
        <w:spacing w:after="480" w:line="240" w:lineRule="auto"/>
        <w:jc w:val="right"/>
      </w:pPr>
      <w:r>
        <w:rPr>
          <w:bCs/>
        </w:rPr>
        <w:br w:type="page"/>
      </w: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tbl>
      <w:tblPr>
        <w:tblStyle w:val="Grilledutableau"/>
        <w:tblW w:w="8502" w:type="dxa"/>
        <w:tblInd w:w="851" w:type="dxa"/>
        <w:tblLook w:val="04A0" w:firstRow="1" w:lastRow="0" w:firstColumn="1" w:lastColumn="0" w:noHBand="0" w:noVBand="1"/>
      </w:tblPr>
      <w:tblGrid>
        <w:gridCol w:w="2695"/>
        <w:gridCol w:w="2695"/>
        <w:gridCol w:w="3112"/>
      </w:tblGrid>
      <w:tr w:rsidR="00E65E42" w:rsidRPr="00D403F5" w14:paraId="2D0BA8A2" w14:textId="77777777" w:rsidTr="00E65E42">
        <w:tc>
          <w:tcPr>
            <w:tcW w:w="2695" w:type="dxa"/>
            <w:vAlign w:val="center"/>
          </w:tcPr>
          <w:p w14:paraId="0AC67C68" w14:textId="7C59D522" w:rsidR="00E65E42" w:rsidRPr="005846CA" w:rsidRDefault="00E65E42" w:rsidP="00E65E42">
            <w:pPr>
              <w:pStyle w:val="Para3"/>
              <w:spacing w:after="0"/>
              <w:ind w:left="0"/>
              <w:jc w:val="center"/>
              <w:rPr>
                <w:b/>
                <w:strike/>
                <w:szCs w:val="18"/>
                <w:highlight w:val="yellow"/>
              </w:rPr>
            </w:pPr>
            <w:r w:rsidRPr="005846CA">
              <w:rPr>
                <w:b/>
                <w:strike/>
                <w:szCs w:val="18"/>
                <w:highlight w:val="yellow"/>
              </w:rPr>
              <w:t>Family</w:t>
            </w:r>
          </w:p>
        </w:tc>
        <w:tc>
          <w:tcPr>
            <w:tcW w:w="2695" w:type="dxa"/>
            <w:vAlign w:val="center"/>
          </w:tcPr>
          <w:p w14:paraId="7B9F58C6" w14:textId="77777777" w:rsidR="00E65E42" w:rsidRPr="005846CA" w:rsidRDefault="00E65E42" w:rsidP="00E65E42">
            <w:pPr>
              <w:pStyle w:val="Para3"/>
              <w:spacing w:after="0"/>
              <w:ind w:left="0"/>
              <w:jc w:val="center"/>
              <w:rPr>
                <w:b/>
                <w:strike/>
                <w:szCs w:val="18"/>
                <w:highlight w:val="yellow"/>
              </w:rPr>
            </w:pPr>
            <w:r w:rsidRPr="005846CA">
              <w:rPr>
                <w:b/>
                <w:strike/>
                <w:szCs w:val="18"/>
                <w:highlight w:val="yellow"/>
              </w:rPr>
              <w:t>Scientific name</w:t>
            </w:r>
          </w:p>
        </w:tc>
        <w:tc>
          <w:tcPr>
            <w:tcW w:w="3112" w:type="dxa"/>
            <w:vAlign w:val="center"/>
          </w:tcPr>
          <w:p w14:paraId="2B1DB092" w14:textId="77777777" w:rsidR="00E65E42" w:rsidRPr="005846CA" w:rsidRDefault="00E65E42" w:rsidP="00E65E42">
            <w:pPr>
              <w:pStyle w:val="Para3"/>
              <w:spacing w:after="0"/>
              <w:ind w:left="0"/>
              <w:jc w:val="center"/>
              <w:rPr>
                <w:b/>
                <w:strike/>
                <w:szCs w:val="18"/>
                <w:highlight w:val="yellow"/>
              </w:rPr>
            </w:pPr>
            <w:r w:rsidRPr="005846CA">
              <w:rPr>
                <w:b/>
                <w:strike/>
                <w:szCs w:val="18"/>
                <w:highlight w:val="yellow"/>
              </w:rPr>
              <w:t>Common name</w:t>
            </w:r>
          </w:p>
        </w:tc>
      </w:tr>
      <w:tr w:rsidR="00E65E42" w:rsidRPr="00D403F5" w14:paraId="36621A52" w14:textId="77777777" w:rsidTr="00E65E42">
        <w:tc>
          <w:tcPr>
            <w:tcW w:w="2695" w:type="dxa"/>
            <w:vAlign w:val="center"/>
          </w:tcPr>
          <w:p w14:paraId="33510F4A" w14:textId="77777777" w:rsidR="00E65E42" w:rsidRPr="005846CA" w:rsidRDefault="00E65E42" w:rsidP="00E65E42">
            <w:pPr>
              <w:pStyle w:val="Para3"/>
              <w:spacing w:after="0"/>
              <w:ind w:left="0"/>
              <w:jc w:val="center"/>
              <w:rPr>
                <w:b/>
                <w:strike/>
                <w:szCs w:val="18"/>
                <w:highlight w:val="yellow"/>
              </w:rPr>
            </w:pPr>
            <w:r w:rsidRPr="005846CA">
              <w:rPr>
                <w:rFonts w:cs="Arial"/>
                <w:strike/>
                <w:szCs w:val="18"/>
                <w:highlight w:val="yellow"/>
              </w:rPr>
              <w:t>Cyprinidae</w:t>
            </w:r>
          </w:p>
        </w:tc>
        <w:tc>
          <w:tcPr>
            <w:tcW w:w="2695" w:type="dxa"/>
            <w:vAlign w:val="center"/>
          </w:tcPr>
          <w:p w14:paraId="47C46BD0" w14:textId="77777777" w:rsidR="00E65E42" w:rsidRPr="005846CA" w:rsidRDefault="00E65E42" w:rsidP="00E65E42">
            <w:pPr>
              <w:pStyle w:val="Para3"/>
              <w:spacing w:after="0"/>
              <w:ind w:left="0"/>
              <w:jc w:val="center"/>
              <w:rPr>
                <w:b/>
                <w:strike/>
                <w:szCs w:val="18"/>
                <w:highlight w:val="yellow"/>
              </w:rPr>
            </w:pPr>
            <w:r w:rsidRPr="005846CA">
              <w:rPr>
                <w:rFonts w:cs="Arial"/>
                <w:i/>
                <w:iCs/>
                <w:strike/>
                <w:szCs w:val="18"/>
                <w:highlight w:val="yellow"/>
              </w:rPr>
              <w:t>Cyprinus carpio</w:t>
            </w:r>
          </w:p>
        </w:tc>
        <w:tc>
          <w:tcPr>
            <w:tcW w:w="3112" w:type="dxa"/>
            <w:vAlign w:val="center"/>
          </w:tcPr>
          <w:p w14:paraId="5568F3E9" w14:textId="77777777" w:rsidR="00E65E42" w:rsidRPr="005846CA" w:rsidRDefault="00E65E42" w:rsidP="00E65E42">
            <w:pPr>
              <w:pStyle w:val="Para3"/>
              <w:spacing w:after="0"/>
              <w:ind w:left="0"/>
              <w:jc w:val="center"/>
              <w:rPr>
                <w:b/>
                <w:strike/>
                <w:szCs w:val="18"/>
                <w:highlight w:val="yellow"/>
              </w:rPr>
            </w:pPr>
            <w:r w:rsidRPr="005846CA">
              <w:rPr>
                <w:rFonts w:cs="Arial"/>
                <w:iCs/>
                <w:strike/>
                <w:szCs w:val="18"/>
                <w:highlight w:val="yellow"/>
              </w:rPr>
              <w:t>Common carp</w:t>
            </w:r>
          </w:p>
        </w:tc>
      </w:tr>
      <w:tr w:rsidR="00E65E42" w:rsidRPr="00D403F5" w14:paraId="66E805DD" w14:textId="77777777" w:rsidTr="00E65E42">
        <w:tc>
          <w:tcPr>
            <w:tcW w:w="2695" w:type="dxa"/>
            <w:vAlign w:val="center"/>
          </w:tcPr>
          <w:p w14:paraId="6C988C1C" w14:textId="77777777" w:rsidR="00E65E42" w:rsidRPr="005846CA" w:rsidRDefault="00E65E42" w:rsidP="00E65E42">
            <w:pPr>
              <w:pStyle w:val="Para3"/>
              <w:spacing w:after="0"/>
              <w:ind w:left="0"/>
              <w:jc w:val="center"/>
              <w:rPr>
                <w:rFonts w:cs="Arial"/>
                <w:strike/>
                <w:szCs w:val="18"/>
                <w:highlight w:val="yellow"/>
              </w:rPr>
            </w:pPr>
            <w:r w:rsidRPr="005846CA">
              <w:rPr>
                <w:rFonts w:cs="Arial"/>
                <w:strike/>
                <w:szCs w:val="18"/>
                <w:highlight w:val="yellow"/>
              </w:rPr>
              <w:t>Percidae</w:t>
            </w:r>
          </w:p>
        </w:tc>
        <w:tc>
          <w:tcPr>
            <w:tcW w:w="2695" w:type="dxa"/>
            <w:vAlign w:val="center"/>
          </w:tcPr>
          <w:p w14:paraId="33440396" w14:textId="77777777" w:rsidR="00E65E42" w:rsidRPr="005846CA" w:rsidRDefault="00E65E42" w:rsidP="00E65E42">
            <w:pPr>
              <w:pStyle w:val="Para3"/>
              <w:spacing w:after="0"/>
              <w:ind w:left="0"/>
              <w:jc w:val="center"/>
              <w:rPr>
                <w:rFonts w:cs="Arial"/>
                <w:i/>
                <w:iCs/>
                <w:strike/>
                <w:szCs w:val="18"/>
                <w:highlight w:val="yellow"/>
              </w:rPr>
            </w:pPr>
            <w:r w:rsidRPr="005846CA">
              <w:rPr>
                <w:rFonts w:cs="Arial"/>
                <w:i/>
                <w:iCs/>
                <w:strike/>
                <w:szCs w:val="18"/>
                <w:highlight w:val="yellow"/>
              </w:rPr>
              <w:t>Perca flavescens</w:t>
            </w:r>
          </w:p>
        </w:tc>
        <w:tc>
          <w:tcPr>
            <w:tcW w:w="3112" w:type="dxa"/>
            <w:vAlign w:val="center"/>
          </w:tcPr>
          <w:p w14:paraId="534A5D3E" w14:textId="77777777" w:rsidR="00E65E42" w:rsidRPr="005846CA" w:rsidRDefault="00E65E42" w:rsidP="00E65E42">
            <w:pPr>
              <w:pStyle w:val="Para3"/>
              <w:spacing w:after="0"/>
              <w:ind w:left="0"/>
              <w:jc w:val="center"/>
              <w:rPr>
                <w:rFonts w:cs="Arial"/>
                <w:iCs/>
                <w:strike/>
                <w:szCs w:val="18"/>
                <w:highlight w:val="yellow"/>
              </w:rPr>
            </w:pPr>
            <w:r w:rsidRPr="005846CA">
              <w:rPr>
                <w:rFonts w:cs="Arial"/>
                <w:iCs/>
                <w:strike/>
                <w:szCs w:val="18"/>
                <w:highlight w:val="yellow"/>
              </w:rPr>
              <w:t>American yellow perch</w:t>
            </w:r>
          </w:p>
        </w:tc>
      </w:tr>
    </w:tbl>
    <w:p w14:paraId="6E35D02A" w14:textId="77777777" w:rsidR="00E65E42" w:rsidRPr="00D62973" w:rsidRDefault="00E65E42" w:rsidP="00DB4D42">
      <w:pPr>
        <w:pStyle w:val="111"/>
        <w:spacing w:before="240" w:after="240"/>
        <w:ind w:left="1276"/>
        <w:rPr>
          <w:bCs w:val="0"/>
          <w:szCs w:val="20"/>
          <w:lang w:val="en-IE"/>
        </w:rPr>
      </w:pPr>
      <w:bookmarkStart w:id="133" w:name="_Hlk21507808"/>
      <w:r w:rsidRPr="00D62973">
        <w:rPr>
          <w:bCs w:val="0"/>
          <w:szCs w:val="20"/>
          <w:lang w:val="en-IE"/>
        </w:rPr>
        <w:t>2.2.3.</w:t>
      </w:r>
      <w:r w:rsidRPr="00D62973">
        <w:rPr>
          <w:bCs w:val="0"/>
          <w:szCs w:val="20"/>
          <w:lang w:val="en-IE"/>
        </w:rPr>
        <w:tab/>
      </w:r>
      <w:r w:rsidRPr="00DB4D42">
        <w:rPr>
          <w:szCs w:val="20"/>
          <w:lang w:val="en-IE"/>
        </w:rPr>
        <w:t>Non</w:t>
      </w:r>
      <w:r w:rsidRPr="00D62973">
        <w:rPr>
          <w:bCs w:val="0"/>
          <w:szCs w:val="20"/>
          <w:lang w:val="en-IE"/>
        </w:rPr>
        <w:t>-susceptible species</w:t>
      </w:r>
    </w:p>
    <w:p w14:paraId="217FD624" w14:textId="77777777" w:rsidR="00E65E42" w:rsidRPr="00D403F5" w:rsidRDefault="00E65E42" w:rsidP="00DB4D42">
      <w:pPr>
        <w:spacing w:after="180"/>
        <w:ind w:left="709"/>
        <w:rPr>
          <w:rFonts w:ascii="Arial" w:hAnsi="Arial" w:cs="Arial"/>
          <w:bCs/>
          <w:iCs/>
          <w:sz w:val="18"/>
          <w:szCs w:val="18"/>
        </w:rPr>
      </w:pPr>
      <w:r w:rsidRPr="00D403F5">
        <w:rPr>
          <w:rFonts w:ascii="Arial" w:hAnsi="Arial" w:cs="Arial"/>
          <w:bCs/>
          <w:iCs/>
          <w:sz w:val="18"/>
          <w:szCs w:val="18"/>
        </w:rPr>
        <w:t>None known.</w:t>
      </w:r>
    </w:p>
    <w:p w14:paraId="4046F8B9" w14:textId="77777777" w:rsidR="00E65E42" w:rsidRPr="00DB4D42" w:rsidRDefault="00E65E42" w:rsidP="00DB4D42">
      <w:pPr>
        <w:pStyle w:val="111"/>
        <w:spacing w:before="240" w:after="240"/>
        <w:ind w:left="1276"/>
        <w:rPr>
          <w:szCs w:val="20"/>
          <w:lang w:val="en-IE"/>
        </w:rPr>
      </w:pPr>
      <w:bookmarkStart w:id="134" w:name="_Toc38028664"/>
      <w:bookmarkEnd w:id="133"/>
      <w:r w:rsidRPr="00DB4D42">
        <w:rPr>
          <w:szCs w:val="20"/>
          <w:lang w:val="en-IE"/>
        </w:rPr>
        <w:t>2.2.4.</w:t>
      </w:r>
      <w:r w:rsidRPr="00DB4D42">
        <w:rPr>
          <w:szCs w:val="20"/>
          <w:lang w:val="en-IE"/>
        </w:rPr>
        <w:tab/>
      </w:r>
      <w:r w:rsidRPr="00DB4D42">
        <w:rPr>
          <w:bCs w:val="0"/>
          <w:szCs w:val="20"/>
          <w:lang w:val="en-IE"/>
        </w:rPr>
        <w:t>Likelihood</w:t>
      </w:r>
      <w:r w:rsidRPr="00DB4D42">
        <w:rPr>
          <w:szCs w:val="20"/>
          <w:lang w:val="en-IE"/>
        </w:rPr>
        <w:t xml:space="preserve"> of infection by species, host </w:t>
      </w:r>
      <w:r w:rsidRPr="00DB4D42">
        <w:rPr>
          <w:szCs w:val="20"/>
          <w:highlight w:val="yellow"/>
          <w:u w:val="double"/>
          <w:lang w:val="en-IE"/>
        </w:rPr>
        <w:t>life</w:t>
      </w:r>
      <w:r w:rsidRPr="00DB4D42">
        <w:rPr>
          <w:szCs w:val="20"/>
          <w:u w:val="double"/>
          <w:lang w:val="en-IE"/>
        </w:rPr>
        <w:t xml:space="preserve"> </w:t>
      </w:r>
      <w:r w:rsidRPr="00DB4D42">
        <w:rPr>
          <w:szCs w:val="20"/>
          <w:lang w:val="en-IE"/>
        </w:rPr>
        <w:t>stage, population or sub-populations</w:t>
      </w:r>
      <w:bookmarkEnd w:id="134"/>
    </w:p>
    <w:p w14:paraId="7DC09C48" w14:textId="77777777" w:rsidR="00E65E42" w:rsidRPr="00D403F5" w:rsidRDefault="00E65E42" w:rsidP="00DB4D42">
      <w:pPr>
        <w:pStyle w:val="Para3"/>
        <w:spacing w:after="180"/>
        <w:ind w:left="709"/>
        <w:rPr>
          <w:rFonts w:cs="Arial"/>
          <w:szCs w:val="18"/>
        </w:rPr>
      </w:pPr>
      <w:r w:rsidRPr="00283641">
        <w:rPr>
          <w:rFonts w:cs="Arial"/>
          <w:szCs w:val="18"/>
          <w:lang w:eastAsia="fr-FR"/>
        </w:rPr>
        <w:t xml:space="preserve">IHNV predominantly infects </w:t>
      </w:r>
      <w:r w:rsidRPr="0014778F">
        <w:rPr>
          <w:rFonts w:cs="Arial"/>
          <w:strike/>
          <w:szCs w:val="18"/>
          <w:highlight w:val="yellow"/>
          <w:lang w:eastAsia="fr-FR"/>
        </w:rPr>
        <w:t>salmon and trout</w:t>
      </w:r>
      <w:r w:rsidRPr="0014778F">
        <w:rPr>
          <w:rFonts w:cs="Arial"/>
          <w:szCs w:val="18"/>
          <w:highlight w:val="yellow"/>
          <w:u w:val="double"/>
          <w:lang w:eastAsia="fr-FR"/>
        </w:rPr>
        <w:t>salmonid</w:t>
      </w:r>
      <w:r>
        <w:rPr>
          <w:rFonts w:cs="Arial"/>
          <w:szCs w:val="18"/>
          <w:lang w:eastAsia="fr-FR"/>
        </w:rPr>
        <w:t xml:space="preserve"> </w:t>
      </w:r>
      <w:r w:rsidRPr="00283641">
        <w:rPr>
          <w:rFonts w:cs="Arial"/>
          <w:szCs w:val="18"/>
          <w:lang w:eastAsia="fr-FR"/>
        </w:rPr>
        <w:t xml:space="preserve">species with </w:t>
      </w:r>
      <w:r w:rsidRPr="00283641">
        <w:rPr>
          <w:rFonts w:cs="Arial"/>
          <w:szCs w:val="18"/>
        </w:rPr>
        <w:t>fry being the most highly susceptible stage (LaPatra, 1998). Resistance to infection typically increases with fish age until the spawning stage. Returning</w:t>
      </w:r>
      <w:r w:rsidRPr="00D403F5">
        <w:rPr>
          <w:rFonts w:cs="Arial"/>
          <w:szCs w:val="18"/>
        </w:rPr>
        <w:t xml:space="preserve"> adult spawning salmon, can be highly infected and shed large amounts of virus in ovarian fluid and milt despite </w:t>
      </w:r>
      <w:r w:rsidRPr="0014778F">
        <w:rPr>
          <w:rFonts w:cs="Arial"/>
          <w:strike/>
          <w:szCs w:val="18"/>
          <w:highlight w:val="yellow"/>
        </w:rPr>
        <w:t>a lack</w:t>
      </w:r>
      <w:r w:rsidRPr="00D403F5">
        <w:rPr>
          <w:rFonts w:cs="Arial"/>
          <w:szCs w:val="18"/>
        </w:rPr>
        <w:t xml:space="preserve"> </w:t>
      </w:r>
      <w:r w:rsidRPr="0014778F">
        <w:rPr>
          <w:rFonts w:cs="Arial"/>
          <w:szCs w:val="18"/>
          <w:highlight w:val="yellow"/>
          <w:u w:val="double"/>
        </w:rPr>
        <w:t>the absence</w:t>
      </w:r>
      <w:r>
        <w:rPr>
          <w:rFonts w:cs="Arial"/>
          <w:szCs w:val="18"/>
        </w:rPr>
        <w:t xml:space="preserve"> </w:t>
      </w:r>
      <w:r w:rsidRPr="00D403F5">
        <w:rPr>
          <w:rFonts w:cs="Arial"/>
          <w:szCs w:val="18"/>
        </w:rPr>
        <w:t xml:space="preserve">of clinical disease </w:t>
      </w:r>
      <w:r w:rsidRPr="00D403F5">
        <w:rPr>
          <w:rFonts w:cs="Arial"/>
          <w:noProof/>
          <w:szCs w:val="18"/>
        </w:rPr>
        <w:t xml:space="preserve">(Dixon </w:t>
      </w:r>
      <w:r w:rsidRPr="00D403F5">
        <w:rPr>
          <w:rFonts w:cs="Arial"/>
          <w:i/>
          <w:noProof/>
          <w:szCs w:val="18"/>
        </w:rPr>
        <w:t>et al.,</w:t>
      </w:r>
      <w:r w:rsidRPr="00D403F5">
        <w:rPr>
          <w:rFonts w:cs="Arial"/>
          <w:noProof/>
          <w:szCs w:val="18"/>
        </w:rPr>
        <w:t xml:space="preserve"> 2016)</w:t>
      </w:r>
      <w:r w:rsidRPr="00D403F5">
        <w:rPr>
          <w:rFonts w:cs="Arial"/>
          <w:szCs w:val="18"/>
        </w:rPr>
        <w:t xml:space="preserve">. </w:t>
      </w:r>
    </w:p>
    <w:p w14:paraId="61387682" w14:textId="77777777" w:rsidR="00E65E42" w:rsidRPr="00D62973" w:rsidRDefault="00E65E42" w:rsidP="00DB4D42">
      <w:pPr>
        <w:pStyle w:val="111"/>
        <w:spacing w:after="180"/>
        <w:ind w:left="1276"/>
        <w:rPr>
          <w:szCs w:val="20"/>
          <w:lang w:val="en-IE"/>
        </w:rPr>
      </w:pPr>
      <w:r w:rsidRPr="00D62973">
        <w:rPr>
          <w:szCs w:val="20"/>
          <w:lang w:val="en-IE"/>
        </w:rPr>
        <w:t>2.2.5.</w:t>
      </w:r>
      <w:r w:rsidRPr="00D62973">
        <w:rPr>
          <w:szCs w:val="20"/>
          <w:lang w:val="en-IE"/>
        </w:rPr>
        <w:tab/>
        <w:t>Distribution of the pathogen in the host</w:t>
      </w:r>
    </w:p>
    <w:p w14:paraId="4E2738E9" w14:textId="77777777" w:rsidR="00E65E42" w:rsidRPr="00D403F5" w:rsidRDefault="00E65E42" w:rsidP="00DB4D42">
      <w:pPr>
        <w:pStyle w:val="Para3"/>
        <w:spacing w:after="180"/>
        <w:ind w:left="709"/>
        <w:rPr>
          <w:rFonts w:cs="Arial"/>
          <w:szCs w:val="18"/>
          <w:lang w:eastAsia="fr-FR"/>
        </w:rPr>
      </w:pPr>
      <w:r w:rsidRPr="00D403F5">
        <w:rPr>
          <w:rFonts w:cs="Arial"/>
          <w:szCs w:val="18"/>
          <w:lang w:eastAsia="fr-FR"/>
        </w:rPr>
        <w:t>IHNV targets haematopoietic tissue and is most commonly isolated from kidney and spleen tissues. The virus has also been isolated from gill, oesophagus, intestine, stomach, pyloric caeca, liver, brain, heart, thymus, adipose tissue, muscle, skin, fin and mucous (</w:t>
      </w:r>
      <w:r w:rsidRPr="00D403F5">
        <w:rPr>
          <w:rFonts w:cs="Arial"/>
          <w:szCs w:val="18"/>
        </w:rPr>
        <w:t xml:space="preserve">Drolet </w:t>
      </w:r>
      <w:r w:rsidRPr="00D403F5">
        <w:rPr>
          <w:rFonts w:cs="Arial"/>
          <w:i/>
          <w:szCs w:val="18"/>
        </w:rPr>
        <w:t>et al.,</w:t>
      </w:r>
      <w:r w:rsidRPr="00D403F5">
        <w:rPr>
          <w:rFonts w:cs="Arial"/>
          <w:szCs w:val="18"/>
        </w:rPr>
        <w:t xml:space="preserve"> 1994; Harmache </w:t>
      </w:r>
      <w:r w:rsidRPr="00D403F5">
        <w:rPr>
          <w:rFonts w:cs="Arial"/>
          <w:i/>
          <w:szCs w:val="18"/>
        </w:rPr>
        <w:t>et al.,</w:t>
      </w:r>
      <w:r w:rsidRPr="00D403F5">
        <w:rPr>
          <w:rFonts w:cs="Arial"/>
          <w:szCs w:val="18"/>
        </w:rPr>
        <w:t xml:space="preserve"> 2006; LaPatra </w:t>
      </w:r>
      <w:r w:rsidRPr="00D403F5">
        <w:rPr>
          <w:rFonts w:cs="Arial"/>
          <w:i/>
          <w:szCs w:val="18"/>
        </w:rPr>
        <w:t>et al.,</w:t>
      </w:r>
      <w:r w:rsidRPr="00D403F5">
        <w:rPr>
          <w:rFonts w:cs="Arial"/>
          <w:szCs w:val="18"/>
        </w:rPr>
        <w:t xml:space="preserve"> 1989; Yamamoto </w:t>
      </w:r>
      <w:r w:rsidRPr="00D403F5">
        <w:rPr>
          <w:rFonts w:cs="Arial"/>
          <w:i/>
          <w:szCs w:val="18"/>
        </w:rPr>
        <w:t>et al.,</w:t>
      </w:r>
      <w:r w:rsidRPr="00D403F5">
        <w:rPr>
          <w:rFonts w:cs="Arial"/>
          <w:szCs w:val="18"/>
        </w:rPr>
        <w:t xml:space="preserve"> 1990</w:t>
      </w:r>
      <w:r w:rsidRPr="00D403F5">
        <w:rPr>
          <w:rFonts w:cs="Arial"/>
          <w:szCs w:val="18"/>
          <w:lang w:eastAsia="fr-FR"/>
        </w:rPr>
        <w:t xml:space="preserve">). In spawning fish IHNV has also been isolated in ovarian fluid and milt </w:t>
      </w:r>
      <w:r w:rsidRPr="00D403F5">
        <w:rPr>
          <w:rFonts w:cs="Arial"/>
          <w:noProof/>
          <w:szCs w:val="18"/>
          <w:lang w:eastAsia="fr-FR"/>
        </w:rPr>
        <w:t xml:space="preserve">(Mulcahy </w:t>
      </w:r>
      <w:r w:rsidRPr="00D403F5">
        <w:rPr>
          <w:rFonts w:cs="Arial"/>
          <w:i/>
          <w:iCs/>
          <w:noProof/>
          <w:szCs w:val="18"/>
          <w:lang w:eastAsia="fr-FR"/>
        </w:rPr>
        <w:t>et al</w:t>
      </w:r>
      <w:r w:rsidRPr="00D403F5">
        <w:rPr>
          <w:rFonts w:cs="Arial"/>
          <w:noProof/>
          <w:szCs w:val="18"/>
          <w:lang w:eastAsia="fr-FR"/>
        </w:rPr>
        <w:t>., 1982)</w:t>
      </w:r>
      <w:r w:rsidRPr="00D403F5">
        <w:rPr>
          <w:rFonts w:cs="Arial"/>
          <w:szCs w:val="18"/>
          <w:lang w:eastAsia="fr-FR"/>
        </w:rPr>
        <w:t>.</w:t>
      </w:r>
    </w:p>
    <w:p w14:paraId="51BF1AC2" w14:textId="77777777" w:rsidR="00E65E42" w:rsidRPr="00D62973" w:rsidRDefault="00E65E42" w:rsidP="00DB4D42">
      <w:pPr>
        <w:pStyle w:val="111"/>
        <w:spacing w:after="180"/>
        <w:ind w:left="1276"/>
        <w:rPr>
          <w:szCs w:val="20"/>
          <w:lang w:val="en-IE"/>
        </w:rPr>
      </w:pPr>
      <w:r w:rsidRPr="00D62973">
        <w:rPr>
          <w:szCs w:val="20"/>
          <w:lang w:val="en-IE"/>
        </w:rPr>
        <w:t>2.2.6.</w:t>
      </w:r>
      <w:r w:rsidRPr="00D62973">
        <w:rPr>
          <w:szCs w:val="20"/>
          <w:lang w:val="en-IE"/>
        </w:rPr>
        <w:tab/>
        <w:t xml:space="preserve">Aquatic animal reservoirs of infection </w:t>
      </w:r>
    </w:p>
    <w:p w14:paraId="2B7275B2" w14:textId="0F7F340E" w:rsidR="00E65E42" w:rsidRPr="00D403F5" w:rsidRDefault="00E65E42" w:rsidP="00DB4D42">
      <w:pPr>
        <w:pStyle w:val="Para3"/>
        <w:spacing w:after="180"/>
        <w:ind w:left="709"/>
        <w:rPr>
          <w:szCs w:val="18"/>
          <w:lang w:eastAsia="fr-FR"/>
        </w:rPr>
      </w:pPr>
      <w:r w:rsidRPr="00D403F5">
        <w:rPr>
          <w:szCs w:val="18"/>
          <w:lang w:eastAsia="fr-FR"/>
        </w:rPr>
        <w:t xml:space="preserve">Field surveillance programmes and experimental infection trials have documented subclinical IHNV infections in various salmon and trout species </w:t>
      </w:r>
      <w:r w:rsidRPr="00D403F5">
        <w:rPr>
          <w:noProof/>
          <w:szCs w:val="18"/>
          <w:lang w:eastAsia="fr-FR"/>
        </w:rPr>
        <w:t>(</w:t>
      </w:r>
      <w:r w:rsidRPr="00D403F5">
        <w:rPr>
          <w:rFonts w:cs="Arial"/>
          <w:szCs w:val="18"/>
        </w:rPr>
        <w:t xml:space="preserve">Knusel </w:t>
      </w:r>
      <w:r w:rsidRPr="00D403F5">
        <w:rPr>
          <w:rFonts w:cs="Arial"/>
          <w:i/>
          <w:szCs w:val="18"/>
        </w:rPr>
        <w:t>et al.,</w:t>
      </w:r>
      <w:r w:rsidRPr="00D403F5">
        <w:rPr>
          <w:rFonts w:cs="Arial"/>
          <w:szCs w:val="18"/>
        </w:rPr>
        <w:t xml:space="preserve"> 2007; Mulcahy </w:t>
      </w:r>
      <w:r w:rsidRPr="00D403F5">
        <w:rPr>
          <w:rFonts w:cs="Arial"/>
          <w:i/>
          <w:szCs w:val="18"/>
        </w:rPr>
        <w:t>et al.</w:t>
      </w:r>
      <w:r w:rsidRPr="00D403F5">
        <w:rPr>
          <w:rFonts w:cs="Arial"/>
          <w:szCs w:val="18"/>
        </w:rPr>
        <w:t xml:space="preserve">, 1984; Pascoli </w:t>
      </w:r>
      <w:r w:rsidRPr="00D403F5">
        <w:rPr>
          <w:rFonts w:cs="Arial"/>
          <w:i/>
          <w:szCs w:val="18"/>
        </w:rPr>
        <w:t>et al.,</w:t>
      </w:r>
      <w:r w:rsidRPr="00D403F5">
        <w:rPr>
          <w:rFonts w:cs="Arial"/>
          <w:szCs w:val="18"/>
        </w:rPr>
        <w:t xml:space="preserve"> 2015</w:t>
      </w:r>
      <w:r w:rsidRPr="00D403F5">
        <w:rPr>
          <w:noProof/>
          <w:szCs w:val="18"/>
          <w:lang w:eastAsia="fr-FR"/>
        </w:rPr>
        <w:t xml:space="preserve">; </w:t>
      </w:r>
      <w:r w:rsidRPr="00D403F5">
        <w:rPr>
          <w:rFonts w:cs="Arial"/>
          <w:szCs w:val="18"/>
        </w:rPr>
        <w:t>St-Hilaire</w:t>
      </w:r>
      <w:r w:rsidRPr="00D403F5">
        <w:rPr>
          <w:noProof/>
          <w:szCs w:val="18"/>
          <w:lang w:eastAsia="fr-FR"/>
        </w:rPr>
        <w:t xml:space="preserve"> </w:t>
      </w:r>
      <w:r w:rsidRPr="00D403F5">
        <w:rPr>
          <w:i/>
          <w:noProof/>
          <w:szCs w:val="18"/>
          <w:lang w:eastAsia="fr-FR"/>
        </w:rPr>
        <w:t>et al.,</w:t>
      </w:r>
      <w:r w:rsidRPr="00D403F5">
        <w:rPr>
          <w:noProof/>
          <w:szCs w:val="18"/>
          <w:lang w:eastAsia="fr-FR"/>
        </w:rPr>
        <w:t xml:space="preserve"> 2001; </w:t>
      </w:r>
      <w:r w:rsidRPr="00D403F5">
        <w:rPr>
          <w:rFonts w:cs="Arial"/>
          <w:szCs w:val="18"/>
        </w:rPr>
        <w:t xml:space="preserve">Traxler </w:t>
      </w:r>
      <w:r w:rsidRPr="00D403F5">
        <w:rPr>
          <w:rFonts w:cs="Arial"/>
          <w:i/>
          <w:szCs w:val="18"/>
        </w:rPr>
        <w:t>et al.,</w:t>
      </w:r>
      <w:r w:rsidRPr="00D403F5">
        <w:rPr>
          <w:rFonts w:cs="Arial"/>
          <w:szCs w:val="18"/>
        </w:rPr>
        <w:t xml:space="preserve"> 1997)</w:t>
      </w:r>
      <w:r w:rsidRPr="00D403F5">
        <w:rPr>
          <w:szCs w:val="18"/>
          <w:lang w:eastAsia="fr-FR"/>
        </w:rPr>
        <w:t xml:space="preserve">. Survivors of laboratory exposures have demonstrated IHNV persistence for months to over </w:t>
      </w:r>
      <w:r w:rsidR="00DB4D42">
        <w:rPr>
          <w:szCs w:val="18"/>
          <w:lang w:eastAsia="fr-FR"/>
        </w:rPr>
        <w:t>one-</w:t>
      </w:r>
      <w:r w:rsidRPr="00D403F5">
        <w:rPr>
          <w:szCs w:val="18"/>
          <w:lang w:eastAsia="fr-FR"/>
        </w:rPr>
        <w:t>year post-exposure (</w:t>
      </w:r>
      <w:r w:rsidRPr="00D403F5">
        <w:rPr>
          <w:rFonts w:cs="Arial"/>
          <w:szCs w:val="18"/>
        </w:rPr>
        <w:t xml:space="preserve">Drolet </w:t>
      </w:r>
      <w:r w:rsidRPr="00D403F5">
        <w:rPr>
          <w:rFonts w:cs="Arial"/>
          <w:i/>
          <w:szCs w:val="18"/>
        </w:rPr>
        <w:t>et al.,</w:t>
      </w:r>
      <w:r w:rsidRPr="00D403F5">
        <w:rPr>
          <w:rFonts w:cs="Arial"/>
          <w:szCs w:val="18"/>
        </w:rPr>
        <w:t xml:space="preserve"> 1995; Foott </w:t>
      </w:r>
      <w:r w:rsidRPr="00D403F5">
        <w:rPr>
          <w:rFonts w:cs="Arial"/>
          <w:i/>
          <w:szCs w:val="18"/>
        </w:rPr>
        <w:t>et al.,</w:t>
      </w:r>
      <w:r w:rsidRPr="00D403F5">
        <w:rPr>
          <w:rFonts w:cs="Arial"/>
          <w:szCs w:val="18"/>
        </w:rPr>
        <w:t xml:space="preserve"> 2006;</w:t>
      </w:r>
      <w:r w:rsidRPr="00D403F5">
        <w:rPr>
          <w:szCs w:val="18"/>
          <w:lang w:eastAsia="fr-FR"/>
        </w:rPr>
        <w:t xml:space="preserve"> Kim </w:t>
      </w:r>
      <w:r w:rsidRPr="00D403F5">
        <w:rPr>
          <w:i/>
          <w:szCs w:val="18"/>
          <w:lang w:eastAsia="fr-FR"/>
        </w:rPr>
        <w:t>et al.,</w:t>
      </w:r>
      <w:r w:rsidRPr="00D403F5">
        <w:rPr>
          <w:szCs w:val="18"/>
          <w:lang w:eastAsia="fr-FR"/>
        </w:rPr>
        <w:t xml:space="preserve"> 1999; </w:t>
      </w:r>
      <w:r w:rsidRPr="00D403F5">
        <w:rPr>
          <w:rFonts w:cs="Arial"/>
          <w:szCs w:val="18"/>
        </w:rPr>
        <w:t xml:space="preserve">Muller </w:t>
      </w:r>
      <w:r w:rsidRPr="00D403F5">
        <w:rPr>
          <w:rFonts w:cs="Arial"/>
          <w:i/>
          <w:szCs w:val="18"/>
        </w:rPr>
        <w:t>et al.,</w:t>
      </w:r>
      <w:r w:rsidRPr="00D403F5">
        <w:rPr>
          <w:rFonts w:cs="Arial"/>
          <w:szCs w:val="18"/>
        </w:rPr>
        <w:t xml:space="preserve"> 2015)</w:t>
      </w:r>
      <w:r w:rsidRPr="00D403F5">
        <w:rPr>
          <w:szCs w:val="18"/>
          <w:lang w:eastAsia="fr-FR"/>
        </w:rPr>
        <w:t xml:space="preserve">. With the exception of high viral load occurring in subclinically infected spawning adult salmon, the IHNV levels associated with subclinical infections tend to be lower than in fish undergoing clinical disease. </w:t>
      </w:r>
    </w:p>
    <w:p w14:paraId="6119F2BF" w14:textId="77777777" w:rsidR="00E65E42" w:rsidRPr="00D62973" w:rsidRDefault="00E65E42" w:rsidP="00DB4D42">
      <w:pPr>
        <w:pStyle w:val="111"/>
        <w:spacing w:after="180"/>
        <w:ind w:left="1276"/>
        <w:rPr>
          <w:szCs w:val="20"/>
          <w:lang w:val="en-IE"/>
        </w:rPr>
      </w:pPr>
      <w:r w:rsidRPr="00D62973">
        <w:rPr>
          <w:szCs w:val="20"/>
          <w:lang w:val="en-IE"/>
        </w:rPr>
        <w:t>2.2.7.</w:t>
      </w:r>
      <w:r w:rsidRPr="00D62973">
        <w:rPr>
          <w:szCs w:val="20"/>
          <w:lang w:val="en-IE"/>
        </w:rPr>
        <w:tab/>
        <w:t>Vectors</w:t>
      </w:r>
    </w:p>
    <w:p w14:paraId="3B82755C" w14:textId="77777777" w:rsidR="00E65E42" w:rsidRPr="00D403F5" w:rsidRDefault="00E65E42" w:rsidP="00DB4D42">
      <w:pPr>
        <w:pStyle w:val="Para3"/>
        <w:spacing w:after="180"/>
        <w:ind w:left="709"/>
        <w:rPr>
          <w:rFonts w:cs="Arial"/>
          <w:szCs w:val="18"/>
        </w:rPr>
      </w:pPr>
      <w:r w:rsidRPr="00D403F5">
        <w:rPr>
          <w:rFonts w:cs="Arial"/>
          <w:szCs w:val="18"/>
          <w:lang w:eastAsia="fr-FR"/>
        </w:rPr>
        <w:t>A single</w:t>
      </w:r>
      <w:r w:rsidRPr="00D403F5">
        <w:rPr>
          <w:rFonts w:cs="Arial"/>
          <w:szCs w:val="18"/>
        </w:rPr>
        <w:t xml:space="preserve"> study has demonstrated that adult salmon lice, </w:t>
      </w:r>
      <w:r w:rsidRPr="00D403F5">
        <w:rPr>
          <w:rFonts w:cs="Arial"/>
          <w:i/>
          <w:szCs w:val="18"/>
        </w:rPr>
        <w:t xml:space="preserve">Lepeophtheirus salmonis </w:t>
      </w:r>
      <w:r w:rsidRPr="00D403F5">
        <w:rPr>
          <w:rFonts w:cs="Arial"/>
          <w:szCs w:val="18"/>
        </w:rPr>
        <w:t xml:space="preserve">are capable of acquiring and transmitting IHNV to naïve Atlantic salmon through parasitism </w:t>
      </w:r>
      <w:r w:rsidRPr="00D403F5">
        <w:rPr>
          <w:rFonts w:cs="Arial"/>
          <w:noProof/>
          <w:szCs w:val="18"/>
        </w:rPr>
        <w:t xml:space="preserve">(Jakob </w:t>
      </w:r>
      <w:r w:rsidRPr="00D403F5">
        <w:rPr>
          <w:rFonts w:cs="Arial"/>
          <w:i/>
          <w:noProof/>
          <w:szCs w:val="18"/>
        </w:rPr>
        <w:t>et al.,</w:t>
      </w:r>
      <w:r w:rsidRPr="00D403F5">
        <w:rPr>
          <w:rFonts w:cs="Arial"/>
          <w:noProof/>
          <w:szCs w:val="18"/>
        </w:rPr>
        <w:t xml:space="preserve"> 2011)</w:t>
      </w:r>
      <w:r w:rsidRPr="00D403F5">
        <w:rPr>
          <w:rFonts w:cs="Arial"/>
          <w:szCs w:val="18"/>
        </w:rPr>
        <w:t xml:space="preserve">. Regardless of whether salmon lice acquired </w:t>
      </w:r>
      <w:r w:rsidRPr="00D403F5">
        <w:rPr>
          <w:szCs w:val="18"/>
          <w:lang w:eastAsia="fr-FR"/>
        </w:rPr>
        <w:t>IH</w:t>
      </w:r>
      <w:r w:rsidRPr="00D403F5">
        <w:rPr>
          <w:bCs w:val="0"/>
          <w:szCs w:val="18"/>
          <w:lang w:eastAsia="fr-FR"/>
        </w:rPr>
        <w:t>N</w:t>
      </w:r>
      <w:r w:rsidRPr="00D403F5">
        <w:rPr>
          <w:szCs w:val="18"/>
          <w:lang w:eastAsia="fr-FR"/>
        </w:rPr>
        <w:t>V</w:t>
      </w:r>
      <w:r w:rsidRPr="00D403F5">
        <w:rPr>
          <w:rFonts w:cs="Arial"/>
          <w:szCs w:val="18"/>
        </w:rPr>
        <w:t xml:space="preserve"> through water bath exposure or after parasitising IHNV-infected fish, the duration of virus association with salmon lice diminished rapidly with infectious virus levels falling below cell culture detection limits within hours. IHNV has also been isolated from freshwater invertebrates (e.g. leeches, copepods, and mayflies)</w:t>
      </w:r>
      <w:r w:rsidRPr="0014778F">
        <w:rPr>
          <w:rFonts w:cs="Arial"/>
          <w:szCs w:val="18"/>
        </w:rPr>
        <w:t>,</w:t>
      </w:r>
      <w:r>
        <w:rPr>
          <w:rFonts w:cs="Arial"/>
          <w:szCs w:val="18"/>
        </w:rPr>
        <w:t xml:space="preserve"> </w:t>
      </w:r>
      <w:r w:rsidRPr="00D403F5">
        <w:rPr>
          <w:rFonts w:cs="Arial"/>
          <w:szCs w:val="18"/>
        </w:rPr>
        <w:t>however</w:t>
      </w:r>
      <w:r>
        <w:rPr>
          <w:rFonts w:cs="Arial"/>
          <w:szCs w:val="18"/>
        </w:rPr>
        <w:t xml:space="preserve">, </w:t>
      </w:r>
      <w:r w:rsidRPr="00D403F5">
        <w:rPr>
          <w:rFonts w:cs="Arial"/>
          <w:szCs w:val="18"/>
        </w:rPr>
        <w:t xml:space="preserve">their capacity to transmit virus is unknown </w:t>
      </w:r>
      <w:r w:rsidRPr="00D403F5">
        <w:rPr>
          <w:rFonts w:cs="Arial"/>
          <w:noProof/>
          <w:szCs w:val="18"/>
        </w:rPr>
        <w:t xml:space="preserve">(Dixon </w:t>
      </w:r>
      <w:r w:rsidRPr="00D403F5">
        <w:rPr>
          <w:rFonts w:cs="Arial"/>
          <w:i/>
          <w:noProof/>
          <w:szCs w:val="18"/>
        </w:rPr>
        <w:t>et al.,</w:t>
      </w:r>
      <w:r w:rsidRPr="00D403F5">
        <w:rPr>
          <w:rFonts w:cs="Arial"/>
          <w:noProof/>
          <w:szCs w:val="18"/>
        </w:rPr>
        <w:t xml:space="preserve"> 2016; </w:t>
      </w:r>
      <w:r w:rsidRPr="00D403F5">
        <w:rPr>
          <w:rFonts w:cs="Arial"/>
          <w:szCs w:val="18"/>
        </w:rPr>
        <w:t>Garver &amp; Wade, 2017).</w:t>
      </w:r>
    </w:p>
    <w:p w14:paraId="16DD1A73" w14:textId="77777777" w:rsidR="00E65E42" w:rsidRPr="00D62973" w:rsidRDefault="00E65E42" w:rsidP="004F1CC2">
      <w:pPr>
        <w:pStyle w:val="11"/>
        <w:spacing w:after="180"/>
        <w:rPr>
          <w:rFonts w:ascii="Ottawa" w:hAnsi="Ottawa"/>
          <w:sz w:val="21"/>
          <w:szCs w:val="21"/>
          <w:lang w:val="en-IE"/>
        </w:rPr>
      </w:pPr>
      <w:r w:rsidRPr="00D62973">
        <w:rPr>
          <w:rFonts w:ascii="Ottawa" w:hAnsi="Ottawa"/>
          <w:sz w:val="21"/>
          <w:szCs w:val="21"/>
          <w:lang w:val="en-IE"/>
        </w:rPr>
        <w:t>2.3.</w:t>
      </w:r>
      <w:r w:rsidRPr="00D62973">
        <w:rPr>
          <w:rFonts w:ascii="Ottawa" w:hAnsi="Ottawa"/>
          <w:sz w:val="21"/>
          <w:szCs w:val="21"/>
          <w:lang w:val="en-IE"/>
        </w:rPr>
        <w:tab/>
        <w:t>Disease pattern</w:t>
      </w:r>
    </w:p>
    <w:p w14:paraId="3B4C60F4" w14:textId="77777777" w:rsidR="00E65E42" w:rsidRPr="00D62973" w:rsidRDefault="00E65E42" w:rsidP="00DB4D42">
      <w:pPr>
        <w:pStyle w:val="111"/>
        <w:spacing w:after="180"/>
        <w:ind w:left="1276"/>
        <w:rPr>
          <w:szCs w:val="20"/>
          <w:lang w:val="en-IE"/>
        </w:rPr>
      </w:pPr>
      <w:r w:rsidRPr="00D62973">
        <w:rPr>
          <w:szCs w:val="20"/>
          <w:lang w:val="en-IE"/>
        </w:rPr>
        <w:t>2.3.1.</w:t>
      </w:r>
      <w:r w:rsidRPr="00D62973">
        <w:rPr>
          <w:szCs w:val="20"/>
          <w:lang w:val="en-IE"/>
        </w:rPr>
        <w:tab/>
        <w:t>Mortality, morbidity and prevalence</w:t>
      </w:r>
    </w:p>
    <w:p w14:paraId="7C304CCD" w14:textId="77777777" w:rsidR="00E65E42" w:rsidRPr="00D403F5" w:rsidRDefault="00E65E42" w:rsidP="00DB4D42">
      <w:pPr>
        <w:pStyle w:val="Para3"/>
        <w:spacing w:after="180"/>
        <w:ind w:left="709"/>
        <w:rPr>
          <w:szCs w:val="18"/>
        </w:rPr>
      </w:pPr>
      <w:r w:rsidRPr="00D403F5">
        <w:rPr>
          <w:szCs w:val="18"/>
        </w:rPr>
        <w:t xml:space="preserve">Depending on the species of fish, rearing conditions, temperature, and virus strain, outbreaks of infection with IHNV may range from acute to chronic. An outbreak of infection with IHNV in farmed Atlantic salmon in British Colombia resulted in cumulative losses on affected farms between </w:t>
      </w:r>
      <w:r w:rsidRPr="00030445">
        <w:rPr>
          <w:szCs w:val="18"/>
          <w:highlight w:val="yellow"/>
          <w:u w:val="double"/>
        </w:rPr>
        <w:t>of</w:t>
      </w:r>
      <w:r>
        <w:rPr>
          <w:szCs w:val="18"/>
        </w:rPr>
        <w:t xml:space="preserve"> </w:t>
      </w:r>
      <w:r w:rsidRPr="00D403F5">
        <w:rPr>
          <w:szCs w:val="18"/>
        </w:rPr>
        <w:t xml:space="preserve">20 and 94% (Saksida, 2006). In chronic cases, losses are protracted and fish in various stages of disease can be observed in the pond. The prevalence of infection in chronic cases remains unknown. The limited available data indicated that prevalence of infection with IHNV can be high (59%) in endemically infected rainbow trout farms in Europe (reviewed by Dixon </w:t>
      </w:r>
      <w:r w:rsidRPr="00D403F5">
        <w:rPr>
          <w:i/>
          <w:iCs/>
          <w:szCs w:val="18"/>
        </w:rPr>
        <w:t>et al</w:t>
      </w:r>
      <w:r w:rsidRPr="00D403F5">
        <w:rPr>
          <w:szCs w:val="18"/>
        </w:rPr>
        <w:t>., 2016).</w:t>
      </w:r>
    </w:p>
    <w:p w14:paraId="63FF3E58" w14:textId="77777777" w:rsidR="00E65E42" w:rsidRPr="00D403F5" w:rsidRDefault="00E65E42" w:rsidP="00DB4D42">
      <w:pPr>
        <w:pStyle w:val="Para3"/>
        <w:ind w:left="709"/>
        <w:rPr>
          <w:szCs w:val="18"/>
          <w:lang w:eastAsia="fr-FR"/>
        </w:rPr>
      </w:pPr>
      <w:r w:rsidRPr="00D403F5">
        <w:rPr>
          <w:szCs w:val="18"/>
          <w:lang w:eastAsia="fr-FR"/>
        </w:rPr>
        <w:t xml:space="preserve">IHNV is endemic among populations of free-ranging salmonids throughout much of its historical range along the west coast of North America. </w:t>
      </w:r>
      <w:r w:rsidRPr="006936A4">
        <w:rPr>
          <w:szCs w:val="18"/>
          <w:lang w:eastAsia="fr-FR"/>
        </w:rPr>
        <w:t xml:space="preserve">Sockeye salmon have incurred losses of up to </w:t>
      </w:r>
      <w:r w:rsidRPr="006936A4">
        <w:rPr>
          <w:strike/>
          <w:szCs w:val="18"/>
          <w:highlight w:val="yellow"/>
          <w:lang w:eastAsia="fr-FR"/>
        </w:rPr>
        <w:t>99</w:t>
      </w:r>
      <w:r w:rsidRPr="00981443">
        <w:rPr>
          <w:strike/>
          <w:szCs w:val="18"/>
          <w:highlight w:val="yellow"/>
          <w:lang w:eastAsia="fr-FR"/>
        </w:rPr>
        <w:t xml:space="preserve">% </w:t>
      </w:r>
      <w:r w:rsidRPr="00981443">
        <w:rPr>
          <w:szCs w:val="18"/>
          <w:highlight w:val="yellow"/>
          <w:u w:val="double"/>
          <w:lang w:eastAsia="fr-FR"/>
        </w:rPr>
        <w:t>36</w:t>
      </w:r>
      <w:r w:rsidRPr="006936A4">
        <w:rPr>
          <w:szCs w:val="18"/>
          <w:highlight w:val="yellow"/>
          <w:u w:val="double"/>
          <w:lang w:eastAsia="fr-FR"/>
        </w:rPr>
        <w:t>.9%</w:t>
      </w:r>
      <w:r>
        <w:rPr>
          <w:szCs w:val="18"/>
          <w:lang w:eastAsia="fr-FR"/>
        </w:rPr>
        <w:t xml:space="preserve"> </w:t>
      </w:r>
      <w:r w:rsidRPr="006936A4">
        <w:rPr>
          <w:szCs w:val="18"/>
          <w:lang w:eastAsia="fr-FR"/>
        </w:rPr>
        <w:t xml:space="preserve">at the fry stage </w:t>
      </w:r>
      <w:r w:rsidRPr="006936A4">
        <w:rPr>
          <w:noProof/>
          <w:szCs w:val="18"/>
          <w:lang w:eastAsia="fr-FR"/>
        </w:rPr>
        <w:t>(</w:t>
      </w:r>
      <w:r w:rsidRPr="006936A4">
        <w:rPr>
          <w:strike/>
          <w:noProof/>
          <w:szCs w:val="18"/>
          <w:highlight w:val="yellow"/>
          <w:lang w:eastAsia="fr-FR"/>
        </w:rPr>
        <w:t xml:space="preserve">Kurath </w:t>
      </w:r>
      <w:r w:rsidRPr="006936A4">
        <w:rPr>
          <w:i/>
          <w:iCs/>
          <w:strike/>
          <w:noProof/>
          <w:szCs w:val="18"/>
          <w:highlight w:val="yellow"/>
          <w:lang w:eastAsia="fr-FR"/>
        </w:rPr>
        <w:t>et al</w:t>
      </w:r>
      <w:r w:rsidRPr="006936A4">
        <w:rPr>
          <w:strike/>
          <w:noProof/>
          <w:szCs w:val="18"/>
          <w:highlight w:val="yellow"/>
          <w:lang w:eastAsia="fr-FR"/>
        </w:rPr>
        <w:t xml:space="preserve">., </w:t>
      </w:r>
      <w:r w:rsidRPr="00981443">
        <w:rPr>
          <w:strike/>
          <w:noProof/>
          <w:szCs w:val="18"/>
          <w:highlight w:val="yellow"/>
          <w:lang w:eastAsia="fr-FR"/>
        </w:rPr>
        <w:t xml:space="preserve">2003 </w:t>
      </w:r>
      <w:r w:rsidRPr="00981443">
        <w:rPr>
          <w:noProof/>
          <w:szCs w:val="18"/>
          <w:highlight w:val="yellow"/>
          <w:u w:val="double"/>
          <w:lang w:eastAsia="fr-FR"/>
        </w:rPr>
        <w:t xml:space="preserve">Meyers </w:t>
      </w:r>
      <w:r w:rsidRPr="006936A4">
        <w:rPr>
          <w:i/>
          <w:iCs/>
          <w:noProof/>
          <w:szCs w:val="18"/>
          <w:highlight w:val="yellow"/>
          <w:u w:val="double"/>
          <w:lang w:eastAsia="fr-FR"/>
        </w:rPr>
        <w:t>et al.</w:t>
      </w:r>
      <w:r w:rsidRPr="006936A4">
        <w:rPr>
          <w:noProof/>
          <w:szCs w:val="18"/>
          <w:highlight w:val="yellow"/>
          <w:u w:val="double"/>
          <w:lang w:eastAsia="fr-FR"/>
        </w:rPr>
        <w:t>, 2003</w:t>
      </w:r>
      <w:r w:rsidRPr="006936A4">
        <w:rPr>
          <w:noProof/>
          <w:szCs w:val="18"/>
          <w:lang w:eastAsia="fr-FR"/>
        </w:rPr>
        <w:t>)</w:t>
      </w:r>
      <w:r w:rsidRPr="006936A4">
        <w:rPr>
          <w:szCs w:val="18"/>
          <w:lang w:eastAsia="fr-FR"/>
        </w:rPr>
        <w:t xml:space="preserve">. </w:t>
      </w:r>
      <w:r w:rsidRPr="0014778F">
        <w:rPr>
          <w:strike/>
          <w:szCs w:val="18"/>
          <w:highlight w:val="yellow"/>
          <w:lang w:eastAsia="fr-FR"/>
        </w:rPr>
        <w:t>As the fish</w:t>
      </w:r>
      <w:r w:rsidRPr="0014778F">
        <w:rPr>
          <w:szCs w:val="18"/>
          <w:highlight w:val="yellow"/>
          <w:u w:val="double"/>
          <w:lang w:eastAsia="fr-FR"/>
        </w:rPr>
        <w:t>With</w:t>
      </w:r>
      <w:r>
        <w:rPr>
          <w:szCs w:val="18"/>
          <w:lang w:eastAsia="fr-FR"/>
        </w:rPr>
        <w:t xml:space="preserve"> </w:t>
      </w:r>
      <w:r w:rsidRPr="00D403F5">
        <w:rPr>
          <w:szCs w:val="18"/>
          <w:lang w:eastAsia="fr-FR"/>
        </w:rPr>
        <w:t>age</w:t>
      </w:r>
      <w:r w:rsidRPr="0014778F">
        <w:rPr>
          <w:strike/>
          <w:szCs w:val="18"/>
          <w:highlight w:val="yellow"/>
          <w:lang w:eastAsia="fr-FR"/>
        </w:rPr>
        <w:t>s</w:t>
      </w:r>
      <w:r w:rsidRPr="00D403F5">
        <w:rPr>
          <w:szCs w:val="18"/>
          <w:lang w:eastAsia="fr-FR"/>
        </w:rPr>
        <w:t xml:space="preserve">, the prevalence of infection decreases </w:t>
      </w:r>
      <w:r w:rsidRPr="0014778F">
        <w:rPr>
          <w:strike/>
          <w:szCs w:val="18"/>
          <w:highlight w:val="yellow"/>
          <w:lang w:eastAsia="fr-FR"/>
        </w:rPr>
        <w:t>with</w:t>
      </w:r>
      <w:r w:rsidRPr="00D403F5">
        <w:rPr>
          <w:szCs w:val="18"/>
          <w:lang w:eastAsia="fr-FR"/>
        </w:rPr>
        <w:t xml:space="preserve"> </w:t>
      </w:r>
      <w:r w:rsidRPr="0014778F">
        <w:rPr>
          <w:szCs w:val="18"/>
          <w:highlight w:val="yellow"/>
          <w:u w:val="double"/>
          <w:lang w:eastAsia="fr-FR"/>
        </w:rPr>
        <w:t>in</w:t>
      </w:r>
      <w:r w:rsidRPr="0014778F">
        <w:rPr>
          <w:szCs w:val="18"/>
          <w:u w:val="double"/>
          <w:lang w:eastAsia="fr-FR"/>
        </w:rPr>
        <w:t xml:space="preserve"> </w:t>
      </w:r>
      <w:r w:rsidRPr="00D403F5">
        <w:rPr>
          <w:szCs w:val="18"/>
          <w:lang w:eastAsia="fr-FR"/>
        </w:rPr>
        <w:t xml:space="preserve">marine phase sockeye salmon smolts, and </w:t>
      </w:r>
      <w:r w:rsidRPr="0014778F">
        <w:rPr>
          <w:strike/>
          <w:szCs w:val="18"/>
          <w:highlight w:val="yellow"/>
          <w:lang w:eastAsia="fr-FR"/>
        </w:rPr>
        <w:t>the prevalence of infection</w:t>
      </w:r>
      <w:r w:rsidRPr="00D403F5">
        <w:rPr>
          <w:szCs w:val="18"/>
          <w:lang w:eastAsia="fr-FR"/>
        </w:rPr>
        <w:t xml:space="preserve"> in adults is generally low (&lt;15%) to undetectable. However, the prevalence of infection can again reach high levels in</w:t>
      </w:r>
      <w:r w:rsidRPr="00D403F5">
        <w:rPr>
          <w:rFonts w:eastAsiaTheme="minorEastAsia"/>
          <w:szCs w:val="18"/>
          <w:lang w:eastAsia="zh-CN"/>
        </w:rPr>
        <w:t xml:space="preserve"> </w:t>
      </w:r>
      <w:r w:rsidRPr="00D403F5">
        <w:rPr>
          <w:szCs w:val="18"/>
          <w:lang w:eastAsia="fr-FR"/>
        </w:rPr>
        <w:t>mature adult spawning sockeye salmon, with long</w:t>
      </w:r>
      <w:r>
        <w:rPr>
          <w:szCs w:val="18"/>
          <w:lang w:eastAsia="fr-FR"/>
        </w:rPr>
        <w:t>-</w:t>
      </w:r>
      <w:r w:rsidRPr="00D403F5">
        <w:rPr>
          <w:szCs w:val="18"/>
          <w:lang w:eastAsia="fr-FR"/>
        </w:rPr>
        <w:t xml:space="preserve">term studies revealing greater than 50% prevalence in wild populations </w:t>
      </w:r>
      <w:r w:rsidRPr="00D403F5">
        <w:rPr>
          <w:noProof/>
          <w:szCs w:val="18"/>
          <w:lang w:eastAsia="fr-FR"/>
        </w:rPr>
        <w:t xml:space="preserve">(Meyers </w:t>
      </w:r>
      <w:r w:rsidRPr="00D403F5">
        <w:rPr>
          <w:i/>
          <w:noProof/>
          <w:szCs w:val="18"/>
          <w:lang w:eastAsia="fr-FR"/>
        </w:rPr>
        <w:t>et al.,</w:t>
      </w:r>
      <w:r w:rsidRPr="00D403F5">
        <w:rPr>
          <w:noProof/>
          <w:szCs w:val="18"/>
          <w:lang w:eastAsia="fr-FR"/>
        </w:rPr>
        <w:t xml:space="preserve"> 2003)</w:t>
      </w:r>
      <w:r w:rsidRPr="00D403F5">
        <w:rPr>
          <w:szCs w:val="18"/>
          <w:lang w:eastAsia="fr-FR"/>
        </w:rPr>
        <w:t xml:space="preserve">. </w:t>
      </w:r>
    </w:p>
    <w:p w14:paraId="47FF53FA" w14:textId="77777777" w:rsidR="004F1CC2" w:rsidRDefault="004F1CC2">
      <w:pPr>
        <w:rPr>
          <w:rFonts w:ascii="Ottawa" w:eastAsia="Times New Roman" w:hAnsi="Ottawa" w:cs="Times New Roman"/>
          <w:b/>
          <w:bCs/>
          <w:szCs w:val="20"/>
          <w:lang w:val="en-IE" w:eastAsia="fr-FR"/>
        </w:rPr>
      </w:pPr>
      <w:r>
        <w:rPr>
          <w:szCs w:val="20"/>
          <w:lang w:val="en-IE"/>
        </w:rPr>
        <w:br w:type="page"/>
      </w:r>
    </w:p>
    <w:p w14:paraId="0D13E60A" w14:textId="77777777" w:rsidR="004F1CC2" w:rsidRDefault="004F1CC2" w:rsidP="004F1CC2">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p w14:paraId="5207A922" w14:textId="38CDBE03" w:rsidR="00E65E42" w:rsidRPr="00D62973" w:rsidRDefault="00E65E42" w:rsidP="00DB4D42">
      <w:pPr>
        <w:pStyle w:val="111"/>
        <w:spacing w:after="180"/>
        <w:ind w:left="1276"/>
        <w:rPr>
          <w:szCs w:val="20"/>
          <w:lang w:val="en-IE"/>
        </w:rPr>
      </w:pPr>
      <w:r w:rsidRPr="00D62973">
        <w:rPr>
          <w:szCs w:val="20"/>
          <w:lang w:val="en-IE"/>
        </w:rPr>
        <w:t>2.3.2.</w:t>
      </w:r>
      <w:r w:rsidRPr="00D62973">
        <w:rPr>
          <w:szCs w:val="20"/>
          <w:lang w:val="en-IE"/>
        </w:rPr>
        <w:tab/>
        <w:t>Clinical signs, including behavioural changes</w:t>
      </w:r>
    </w:p>
    <w:p w14:paraId="0AF05E2A" w14:textId="77777777" w:rsidR="00E65E42" w:rsidRPr="00D403F5" w:rsidRDefault="00E65E42" w:rsidP="00DB4D42">
      <w:pPr>
        <w:pStyle w:val="Para3"/>
        <w:ind w:left="709"/>
        <w:rPr>
          <w:szCs w:val="18"/>
        </w:rPr>
      </w:pPr>
      <w:r w:rsidRPr="00D403F5">
        <w:rPr>
          <w:szCs w:val="18"/>
          <w:lang w:eastAsia="fr-FR"/>
        </w:rPr>
        <w:t>Fish with acute infection with IHNV can exhibit</w:t>
      </w:r>
      <w:r w:rsidRPr="00D403F5">
        <w:rPr>
          <w:szCs w:val="18"/>
        </w:rPr>
        <w:t xml:space="preserve"> lethargy interspersed with bouts of frenzied, abnormal activity. During outbreaks, fish can display spiral swimming, flashing, and have trailing faecal casts. Fish may also show darkening of the skin, exophthalmia, distended abdomen and external haemorrhaging. In instances where fish survive an outbreak, spinal deformities may become evident (</w:t>
      </w:r>
      <w:r w:rsidRPr="00D403F5">
        <w:rPr>
          <w:rFonts w:cs="Arial"/>
          <w:szCs w:val="18"/>
        </w:rPr>
        <w:t>Bootland &amp; Leong, 1999)</w:t>
      </w:r>
      <w:r w:rsidRPr="00D403F5">
        <w:rPr>
          <w:szCs w:val="18"/>
        </w:rPr>
        <w:t>.</w:t>
      </w:r>
    </w:p>
    <w:p w14:paraId="42591872" w14:textId="77777777" w:rsidR="00E65E42" w:rsidRPr="00D62973" w:rsidRDefault="00E65E42" w:rsidP="00DB4D42">
      <w:pPr>
        <w:pStyle w:val="111"/>
        <w:spacing w:after="180"/>
        <w:ind w:left="1276"/>
        <w:rPr>
          <w:szCs w:val="20"/>
          <w:lang w:val="en-IE"/>
        </w:rPr>
      </w:pPr>
      <w:r w:rsidRPr="00D62973">
        <w:rPr>
          <w:szCs w:val="20"/>
          <w:lang w:val="en-IE"/>
        </w:rPr>
        <w:t>2.3.3</w:t>
      </w:r>
      <w:r w:rsidRPr="00D62973">
        <w:rPr>
          <w:szCs w:val="20"/>
          <w:lang w:val="en-IE"/>
        </w:rPr>
        <w:tab/>
        <w:t>Gross pathology</w:t>
      </w:r>
    </w:p>
    <w:p w14:paraId="6F0BA72D" w14:textId="77777777" w:rsidR="00E65E42" w:rsidRPr="00D403F5" w:rsidRDefault="00E65E42" w:rsidP="00DB4D42">
      <w:pPr>
        <w:pStyle w:val="Para3"/>
        <w:ind w:left="709"/>
        <w:rPr>
          <w:rFonts w:cs="Arial"/>
          <w:szCs w:val="18"/>
          <w:lang w:eastAsia="fr-FR"/>
        </w:rPr>
      </w:pPr>
      <w:r w:rsidRPr="00D403F5">
        <w:rPr>
          <w:rFonts w:cs="Arial"/>
          <w:szCs w:val="18"/>
          <w:lang w:eastAsia="fr-FR"/>
        </w:rPr>
        <w:t xml:space="preserve">Gross observations are non-pathognomonic and </w:t>
      </w:r>
      <w:r w:rsidRPr="0014778F">
        <w:rPr>
          <w:rFonts w:cs="Arial"/>
          <w:strike/>
          <w:szCs w:val="18"/>
          <w:highlight w:val="yellow"/>
          <w:lang w:eastAsia="fr-FR"/>
        </w:rPr>
        <w:t>can involve</w:t>
      </w:r>
      <w:r w:rsidRPr="00D403F5">
        <w:rPr>
          <w:rFonts w:cs="Arial"/>
          <w:szCs w:val="18"/>
          <w:lang w:eastAsia="fr-FR"/>
        </w:rPr>
        <w:t xml:space="preserve"> </w:t>
      </w:r>
      <w:r w:rsidRPr="0014778F">
        <w:rPr>
          <w:rFonts w:cs="Arial"/>
          <w:szCs w:val="18"/>
          <w:highlight w:val="yellow"/>
          <w:u w:val="double"/>
          <w:lang w:eastAsia="fr-FR"/>
        </w:rPr>
        <w:t>may include</w:t>
      </w:r>
      <w:r>
        <w:rPr>
          <w:rFonts w:cs="Arial"/>
          <w:szCs w:val="18"/>
          <w:lang w:eastAsia="fr-FR"/>
        </w:rPr>
        <w:t xml:space="preserve"> </w:t>
      </w:r>
      <w:r w:rsidRPr="00D403F5">
        <w:rPr>
          <w:rFonts w:cs="Arial"/>
          <w:szCs w:val="18"/>
          <w:lang w:eastAsia="fr-FR"/>
        </w:rPr>
        <w:t xml:space="preserve">ascites, pale gills, liver, kidney and spleen, petechial haemorrhaging, yellow mucous in the intestine and a lack of food in the stomach </w:t>
      </w:r>
      <w:r w:rsidRPr="00D403F5">
        <w:rPr>
          <w:szCs w:val="18"/>
        </w:rPr>
        <w:t>(</w:t>
      </w:r>
      <w:r w:rsidRPr="00D403F5">
        <w:rPr>
          <w:rFonts w:cs="Arial"/>
          <w:szCs w:val="18"/>
        </w:rPr>
        <w:t xml:space="preserve">Bootland &amp; Leong, 1999; </w:t>
      </w:r>
      <w:r w:rsidRPr="00D403F5">
        <w:rPr>
          <w:rFonts w:cs="Arial"/>
          <w:noProof/>
          <w:szCs w:val="18"/>
          <w:lang w:eastAsia="fr-FR"/>
        </w:rPr>
        <w:t>Traxler, 1986)</w:t>
      </w:r>
      <w:r w:rsidRPr="00D403F5">
        <w:rPr>
          <w:rFonts w:cs="Arial"/>
          <w:szCs w:val="18"/>
          <w:lang w:eastAsia="fr-FR"/>
        </w:rPr>
        <w:t xml:space="preserve">. </w:t>
      </w:r>
    </w:p>
    <w:p w14:paraId="2D195A6A" w14:textId="77777777" w:rsidR="00E65E42" w:rsidRPr="00D62973" w:rsidRDefault="00E65E42" w:rsidP="00DB4D42">
      <w:pPr>
        <w:pStyle w:val="111"/>
        <w:spacing w:after="180"/>
        <w:ind w:left="1276"/>
        <w:rPr>
          <w:szCs w:val="20"/>
          <w:lang w:val="en-IE"/>
        </w:rPr>
      </w:pPr>
      <w:r w:rsidRPr="00D62973">
        <w:rPr>
          <w:szCs w:val="20"/>
          <w:lang w:val="en-IE"/>
        </w:rPr>
        <w:t>2.3.4.</w:t>
      </w:r>
      <w:r w:rsidRPr="00D62973">
        <w:rPr>
          <w:szCs w:val="20"/>
          <w:lang w:val="en-IE"/>
        </w:rPr>
        <w:tab/>
        <w:t xml:space="preserve">Modes of transmission and life cycle </w:t>
      </w:r>
    </w:p>
    <w:p w14:paraId="40AE7218" w14:textId="77777777" w:rsidR="00E65E42" w:rsidRPr="00981443" w:rsidRDefault="00E65E42" w:rsidP="00DB4D42">
      <w:pPr>
        <w:pStyle w:val="Para3"/>
        <w:ind w:left="709"/>
        <w:rPr>
          <w:szCs w:val="18"/>
        </w:rPr>
      </w:pPr>
      <w:r w:rsidRPr="00D403F5">
        <w:rPr>
          <w:szCs w:val="18"/>
        </w:rPr>
        <w:t>The transmission of IHNV between fish is primarily horizontal through direct contact with</w:t>
      </w:r>
      <w:r w:rsidRPr="00D403F5">
        <w:rPr>
          <w:rFonts w:eastAsiaTheme="minorEastAsia"/>
          <w:szCs w:val="18"/>
          <w:lang w:eastAsia="zh-CN"/>
        </w:rPr>
        <w:t xml:space="preserve"> </w:t>
      </w:r>
      <w:r w:rsidRPr="00D403F5">
        <w:rPr>
          <w:szCs w:val="18"/>
        </w:rPr>
        <w:t xml:space="preserve">virus contaminated water or via cohabitation with IHNV infected fish </w:t>
      </w:r>
      <w:r w:rsidRPr="00D403F5">
        <w:rPr>
          <w:noProof/>
          <w:szCs w:val="18"/>
        </w:rPr>
        <w:t>(</w:t>
      </w:r>
      <w:r w:rsidRPr="00D403F5">
        <w:rPr>
          <w:rFonts w:cs="Arial"/>
          <w:szCs w:val="18"/>
        </w:rPr>
        <w:t>Bootland &amp; Leong, 1999)</w:t>
      </w:r>
      <w:r w:rsidRPr="00D403F5">
        <w:rPr>
          <w:szCs w:val="18"/>
        </w:rPr>
        <w:t xml:space="preserve">. </w:t>
      </w:r>
      <w:r w:rsidRPr="00981443">
        <w:rPr>
          <w:strike/>
          <w:szCs w:val="18"/>
          <w:highlight w:val="yellow"/>
        </w:rPr>
        <w:t xml:space="preserve">However, cases of vertical or egg-associated transmission have been recorded </w:t>
      </w:r>
      <w:r w:rsidRPr="00981443">
        <w:rPr>
          <w:strike/>
          <w:noProof/>
          <w:szCs w:val="18"/>
          <w:highlight w:val="yellow"/>
        </w:rPr>
        <w:t>(</w:t>
      </w:r>
      <w:r w:rsidRPr="00981443">
        <w:rPr>
          <w:rFonts w:cs="Arial"/>
          <w:strike/>
          <w:szCs w:val="18"/>
          <w:highlight w:val="yellow"/>
        </w:rPr>
        <w:t>Mulcahy &amp; Pascho, 1985)</w:t>
      </w:r>
      <w:r w:rsidRPr="00981443">
        <w:rPr>
          <w:strike/>
          <w:szCs w:val="18"/>
          <w:highlight w:val="yellow"/>
        </w:rPr>
        <w:t xml:space="preserve">. </w:t>
      </w:r>
      <w:r w:rsidRPr="00981443">
        <w:rPr>
          <w:szCs w:val="18"/>
          <w:highlight w:val="yellow"/>
          <w:u w:val="double"/>
        </w:rPr>
        <w:t xml:space="preserve">There is insufficient evidence to demonstrate true vertical transmission. Outbreaks of IHNV as a result of egg movements likely occurred as a result of inadequate </w:t>
      </w:r>
      <w:r w:rsidRPr="006936A4">
        <w:rPr>
          <w:szCs w:val="18"/>
          <w:highlight w:val="yellow"/>
          <w:u w:val="double"/>
        </w:rPr>
        <w:t xml:space="preserve">disinfection of moderaterly infected or untested broodstock (Dixon </w:t>
      </w:r>
      <w:r w:rsidRPr="006936A4">
        <w:rPr>
          <w:i/>
          <w:iCs/>
          <w:szCs w:val="18"/>
          <w:highlight w:val="yellow"/>
          <w:u w:val="double"/>
        </w:rPr>
        <w:t>et al</w:t>
      </w:r>
      <w:r>
        <w:rPr>
          <w:szCs w:val="18"/>
          <w:highlight w:val="yellow"/>
          <w:u w:val="double"/>
        </w:rPr>
        <w:t xml:space="preserve">., </w:t>
      </w:r>
      <w:r w:rsidRPr="006936A4">
        <w:rPr>
          <w:szCs w:val="18"/>
          <w:highlight w:val="yellow"/>
          <w:u w:val="double"/>
        </w:rPr>
        <w:t>2016).</w:t>
      </w:r>
      <w:r w:rsidRPr="006936A4">
        <w:rPr>
          <w:szCs w:val="18"/>
          <w:u w:val="double"/>
        </w:rPr>
        <w:t xml:space="preserve"> </w:t>
      </w:r>
      <w:r w:rsidRPr="006936A4">
        <w:rPr>
          <w:strike/>
          <w:szCs w:val="18"/>
          <w:highlight w:val="yellow"/>
        </w:rPr>
        <w:t>While</w:t>
      </w:r>
      <w:r w:rsidRPr="006936A4">
        <w:rPr>
          <w:rFonts w:eastAsiaTheme="minorEastAsia"/>
          <w:strike/>
          <w:szCs w:val="18"/>
          <w:highlight w:val="yellow"/>
          <w:lang w:eastAsia="zh-CN"/>
        </w:rPr>
        <w:t xml:space="preserve"> </w:t>
      </w:r>
      <w:r w:rsidRPr="006936A4">
        <w:rPr>
          <w:strike/>
          <w:szCs w:val="18"/>
          <w:highlight w:val="yellow"/>
        </w:rPr>
        <w:t>egg-associated transmission is significantly reduced by the now common practice of surface disinfection of eggs with an iodophor solution</w:t>
      </w:r>
      <w:r w:rsidRPr="006936A4">
        <w:rPr>
          <w:strike/>
          <w:szCs w:val="18"/>
          <w:highlight w:val="yellow"/>
          <w:u w:val="double"/>
        </w:rPr>
        <w:t>,</w:t>
      </w:r>
      <w:r w:rsidRPr="006936A4">
        <w:rPr>
          <w:strike/>
          <w:szCs w:val="18"/>
          <w:highlight w:val="yellow"/>
        </w:rPr>
        <w:t xml:space="preserve"> it is the only mechanism accounting for the appearance of infection with IHNV in new geographical locations among fry originating from eggs that were incubated and hatched in virus-free water </w:t>
      </w:r>
      <w:r w:rsidRPr="006936A4">
        <w:rPr>
          <w:strike/>
          <w:noProof/>
          <w:szCs w:val="18"/>
          <w:highlight w:val="yellow"/>
        </w:rPr>
        <w:t xml:space="preserve">(Dixon </w:t>
      </w:r>
      <w:r w:rsidRPr="006936A4">
        <w:rPr>
          <w:i/>
          <w:strike/>
          <w:noProof/>
          <w:szCs w:val="18"/>
          <w:highlight w:val="yellow"/>
        </w:rPr>
        <w:t>et al.,</w:t>
      </w:r>
      <w:r w:rsidRPr="006936A4">
        <w:rPr>
          <w:strike/>
          <w:noProof/>
          <w:szCs w:val="18"/>
          <w:highlight w:val="yellow"/>
        </w:rPr>
        <w:t xml:space="preserve"> 2016; Winton, 1991)</w:t>
      </w:r>
      <w:r w:rsidRPr="006936A4">
        <w:rPr>
          <w:strike/>
          <w:szCs w:val="18"/>
          <w:highlight w:val="yellow"/>
        </w:rPr>
        <w:t>.</w:t>
      </w:r>
    </w:p>
    <w:p w14:paraId="7F5BD789" w14:textId="77777777" w:rsidR="00E65E42" w:rsidRPr="00D62973" w:rsidRDefault="00E65E42" w:rsidP="00DB4D42">
      <w:pPr>
        <w:pStyle w:val="111"/>
        <w:spacing w:after="180"/>
        <w:ind w:left="1276"/>
        <w:rPr>
          <w:szCs w:val="20"/>
          <w:lang w:val="en-IE"/>
        </w:rPr>
      </w:pPr>
      <w:r w:rsidRPr="00D62973">
        <w:rPr>
          <w:szCs w:val="20"/>
          <w:lang w:val="en-IE"/>
        </w:rPr>
        <w:t>2.3.5.</w:t>
      </w:r>
      <w:r w:rsidRPr="00D62973">
        <w:rPr>
          <w:szCs w:val="20"/>
          <w:lang w:val="en-IE"/>
        </w:rPr>
        <w:tab/>
        <w:t xml:space="preserve">Environmental and management factors </w:t>
      </w:r>
    </w:p>
    <w:p w14:paraId="0168944A" w14:textId="77777777" w:rsidR="00E65E42" w:rsidRPr="00D403F5" w:rsidRDefault="00E65E42" w:rsidP="00DB4D42">
      <w:pPr>
        <w:pStyle w:val="Para3"/>
        <w:ind w:left="709"/>
        <w:rPr>
          <w:szCs w:val="18"/>
        </w:rPr>
      </w:pPr>
      <w:r w:rsidRPr="00D403F5">
        <w:rPr>
          <w:szCs w:val="18"/>
        </w:rPr>
        <w:t xml:space="preserve">The most important environmental factor affecting the disease progression is water temperature. Experimental trials have demonstrated that IHNV can produce mortality </w:t>
      </w:r>
      <w:r w:rsidRPr="0014778F">
        <w:rPr>
          <w:szCs w:val="18"/>
          <w:highlight w:val="yellow"/>
          <w:u w:val="double"/>
        </w:rPr>
        <w:t>in water temperatures</w:t>
      </w:r>
      <w:r w:rsidRPr="008D6BE4">
        <w:rPr>
          <w:szCs w:val="18"/>
        </w:rPr>
        <w:t xml:space="preserve"> </w:t>
      </w:r>
      <w:r w:rsidRPr="00D403F5">
        <w:rPr>
          <w:szCs w:val="18"/>
        </w:rPr>
        <w:t xml:space="preserve">from 3°C to 18°C; however clinical disease typically occurs below 15°C under natural conditions </w:t>
      </w:r>
      <w:r w:rsidRPr="00D403F5">
        <w:rPr>
          <w:noProof/>
          <w:szCs w:val="18"/>
        </w:rPr>
        <w:t>(</w:t>
      </w:r>
      <w:r w:rsidRPr="00D403F5">
        <w:rPr>
          <w:rFonts w:cs="Arial"/>
          <w:szCs w:val="18"/>
        </w:rPr>
        <w:t>LaPatra, 1998)</w:t>
      </w:r>
      <w:r w:rsidRPr="00D403F5">
        <w:rPr>
          <w:szCs w:val="18"/>
        </w:rPr>
        <w:t>.</w:t>
      </w:r>
    </w:p>
    <w:p w14:paraId="240D958E" w14:textId="77777777" w:rsidR="00E65E42" w:rsidRPr="00D62973" w:rsidRDefault="00E65E42" w:rsidP="00DB4D42">
      <w:pPr>
        <w:pStyle w:val="111"/>
        <w:spacing w:after="180"/>
        <w:ind w:left="1276"/>
        <w:rPr>
          <w:szCs w:val="20"/>
          <w:lang w:val="en-IE"/>
        </w:rPr>
      </w:pPr>
      <w:r w:rsidRPr="00D62973">
        <w:rPr>
          <w:szCs w:val="20"/>
          <w:lang w:val="en-IE"/>
        </w:rPr>
        <w:t>2.3.6.</w:t>
      </w:r>
      <w:r w:rsidRPr="00D62973">
        <w:rPr>
          <w:szCs w:val="20"/>
          <w:lang w:val="en-IE"/>
        </w:rPr>
        <w:tab/>
        <w:t>Geographical distribution</w:t>
      </w:r>
    </w:p>
    <w:p w14:paraId="382F24AE" w14:textId="77777777" w:rsidR="00E65E42" w:rsidRDefault="00E65E42" w:rsidP="00DB4D42">
      <w:pPr>
        <w:pStyle w:val="Para3"/>
        <w:ind w:left="709"/>
        <w:rPr>
          <w:rFonts w:cs="Arial"/>
          <w:szCs w:val="18"/>
          <w:lang w:eastAsia="fr-FR"/>
        </w:rPr>
      </w:pPr>
      <w:r w:rsidRPr="00D403F5">
        <w:rPr>
          <w:rFonts w:cs="Arial"/>
          <w:szCs w:val="18"/>
          <w:lang w:eastAsia="fr-FR"/>
        </w:rPr>
        <w:t>Cases of infection with IHNV have been reported from Europe, Asia-Pacific</w:t>
      </w:r>
      <w:r w:rsidRPr="006936A4">
        <w:rPr>
          <w:rFonts w:cs="Arial"/>
          <w:szCs w:val="18"/>
          <w:highlight w:val="yellow"/>
          <w:u w:val="double"/>
          <w:lang w:eastAsia="fr-FR"/>
        </w:rPr>
        <w:t>, Africa</w:t>
      </w:r>
      <w:r w:rsidRPr="00D403F5">
        <w:rPr>
          <w:rFonts w:cs="Arial"/>
          <w:szCs w:val="18"/>
          <w:lang w:eastAsia="fr-FR"/>
        </w:rPr>
        <w:t xml:space="preserve"> and the Americas</w:t>
      </w:r>
      <w:bookmarkStart w:id="135" w:name="_Hlk34052800"/>
      <w:r w:rsidRPr="00D403F5">
        <w:rPr>
          <w:rFonts w:cs="Arial"/>
          <w:szCs w:val="18"/>
          <w:lang w:eastAsia="fr-FR"/>
        </w:rPr>
        <w:t xml:space="preserve">. For recent information on distribution at the country level </w:t>
      </w:r>
      <w:bookmarkStart w:id="136" w:name="_Hlk21012526"/>
      <w:r w:rsidRPr="00D403F5">
        <w:rPr>
          <w:rFonts w:cs="Arial"/>
          <w:szCs w:val="18"/>
          <w:lang w:eastAsia="fr-FR"/>
        </w:rPr>
        <w:t>consult the WAHIS interface</w:t>
      </w:r>
      <w:bookmarkEnd w:id="136"/>
      <w:r>
        <w:rPr>
          <w:rFonts w:cs="Arial"/>
          <w:szCs w:val="18"/>
          <w:lang w:eastAsia="fr-FR"/>
        </w:rPr>
        <w:t xml:space="preserve"> </w:t>
      </w:r>
      <w:r w:rsidRPr="006936A4">
        <w:rPr>
          <w:rFonts w:cs="Arial"/>
          <w:szCs w:val="18"/>
          <w:highlight w:val="yellow"/>
          <w:u w:val="double"/>
          <w:lang w:eastAsia="fr-FR"/>
        </w:rPr>
        <w:t>(</w:t>
      </w:r>
      <w:bookmarkStart w:id="137" w:name="_Hlk34052754"/>
      <w:r>
        <w:fldChar w:fldCharType="begin"/>
      </w:r>
      <w:r>
        <w:instrText xml:space="preserve"> HYPERLINK "https://www.oie.int/wahis_2/public/wahid.php/Wahidhome/Home/index/newlang/en" </w:instrText>
      </w:r>
      <w:r>
        <w:fldChar w:fldCharType="separate"/>
      </w:r>
      <w:r w:rsidRPr="006936A4">
        <w:rPr>
          <w:rStyle w:val="Lienhypertexte"/>
          <w:rFonts w:cs="Arial"/>
          <w:szCs w:val="18"/>
          <w:highlight w:val="yellow"/>
          <w:u w:val="double"/>
          <w:lang w:val="en-GB" w:eastAsia="fr-FR"/>
        </w:rPr>
        <w:t>https://www.oie.int/wahis_2/public/wahid.php/Wahidhome/Home/index/newlang/en</w:t>
      </w:r>
      <w:r>
        <w:rPr>
          <w:rStyle w:val="Lienhypertexte"/>
          <w:rFonts w:cs="Arial"/>
          <w:szCs w:val="18"/>
          <w:highlight w:val="yellow"/>
          <w:u w:val="double"/>
          <w:lang w:val="en-GB" w:eastAsia="fr-FR"/>
        </w:rPr>
        <w:fldChar w:fldCharType="end"/>
      </w:r>
      <w:bookmarkEnd w:id="137"/>
      <w:r w:rsidRPr="006936A4">
        <w:rPr>
          <w:rFonts w:cs="Arial"/>
          <w:szCs w:val="18"/>
          <w:highlight w:val="yellow"/>
          <w:u w:val="double"/>
          <w:lang w:eastAsia="fr-FR"/>
        </w:rPr>
        <w:t>).</w:t>
      </w:r>
      <w:bookmarkEnd w:id="135"/>
    </w:p>
    <w:p w14:paraId="039F001E" w14:textId="77777777" w:rsidR="00E65E42" w:rsidRPr="00D62973" w:rsidRDefault="00E65E42" w:rsidP="00E65E42">
      <w:pPr>
        <w:pStyle w:val="11"/>
        <w:ind w:hanging="426"/>
        <w:rPr>
          <w:rFonts w:ascii="Ottawa" w:hAnsi="Ottawa"/>
          <w:sz w:val="21"/>
          <w:szCs w:val="21"/>
          <w:lang w:val="en-IE"/>
        </w:rPr>
      </w:pPr>
      <w:r w:rsidRPr="00D62973">
        <w:rPr>
          <w:rFonts w:ascii="Ottawa" w:hAnsi="Ottawa"/>
          <w:sz w:val="21"/>
          <w:szCs w:val="21"/>
          <w:lang w:val="en-IE"/>
        </w:rPr>
        <w:t>2.4.</w:t>
      </w:r>
      <w:r w:rsidRPr="00D62973">
        <w:rPr>
          <w:rFonts w:ascii="Ottawa" w:hAnsi="Ottawa"/>
          <w:sz w:val="21"/>
          <w:szCs w:val="21"/>
          <w:lang w:val="en-IE"/>
        </w:rPr>
        <w:tab/>
        <w:t>Biosecurity and disease control strategies</w:t>
      </w:r>
    </w:p>
    <w:p w14:paraId="05D4330D" w14:textId="77777777" w:rsidR="00E65E42" w:rsidRPr="00D62973" w:rsidRDefault="00E65E42" w:rsidP="00DB4D42">
      <w:pPr>
        <w:pStyle w:val="111"/>
        <w:spacing w:after="180"/>
        <w:ind w:left="1276"/>
        <w:rPr>
          <w:szCs w:val="20"/>
          <w:lang w:val="en-IE"/>
        </w:rPr>
      </w:pPr>
      <w:r w:rsidRPr="00D62973">
        <w:rPr>
          <w:szCs w:val="20"/>
          <w:lang w:val="en-IE"/>
        </w:rPr>
        <w:t>2.4.1.</w:t>
      </w:r>
      <w:r w:rsidRPr="00D62973">
        <w:rPr>
          <w:szCs w:val="20"/>
          <w:lang w:val="en-IE"/>
        </w:rPr>
        <w:tab/>
        <w:t>Vaccination</w:t>
      </w:r>
    </w:p>
    <w:p w14:paraId="38B73D62" w14:textId="77777777" w:rsidR="00E65E42" w:rsidRDefault="00E65E42" w:rsidP="00DB4D42">
      <w:pPr>
        <w:pStyle w:val="Para3"/>
        <w:ind w:left="709"/>
        <w:rPr>
          <w:rFonts w:cs="Arial"/>
          <w:szCs w:val="18"/>
        </w:rPr>
      </w:pPr>
      <w:r w:rsidRPr="00D403F5">
        <w:rPr>
          <w:rFonts w:cs="Arial"/>
          <w:szCs w:val="18"/>
        </w:rPr>
        <w:t>Plasmid DNA vaccines containing the gene for the IHNV glycoprotein have proven highly efficacious against infection with IHNV</w:t>
      </w:r>
      <w:r w:rsidRPr="00D403F5">
        <w:rPr>
          <w:rFonts w:eastAsiaTheme="minorEastAsia" w:cs="Arial"/>
          <w:szCs w:val="18"/>
          <w:lang w:eastAsia="zh-CN"/>
        </w:rPr>
        <w:t xml:space="preserve"> </w:t>
      </w:r>
      <w:r w:rsidRPr="00D403F5">
        <w:rPr>
          <w:rFonts w:cs="Arial"/>
          <w:szCs w:val="18"/>
        </w:rPr>
        <w:t xml:space="preserve">resulting in the licensing of one for commercial use in Atlantic salmon net-pen aquaculture on the west coast of North America (Alonso &amp; Leong, 2013; Salonius </w:t>
      </w:r>
      <w:r w:rsidRPr="00D403F5">
        <w:rPr>
          <w:rFonts w:cs="Arial"/>
          <w:i/>
          <w:szCs w:val="18"/>
        </w:rPr>
        <w:t>et al.,</w:t>
      </w:r>
      <w:r w:rsidRPr="00D403F5">
        <w:rPr>
          <w:rFonts w:cs="Arial"/>
          <w:szCs w:val="18"/>
        </w:rPr>
        <w:t xml:space="preserve"> 2007). Administered via intramuscular injection, an IHNV DNA vaccine</w:t>
      </w:r>
      <w:r w:rsidRPr="00D403F5">
        <w:rPr>
          <w:rFonts w:eastAsiaTheme="minorEastAsia" w:cs="Arial"/>
          <w:szCs w:val="18"/>
          <w:lang w:eastAsia="zh-CN"/>
        </w:rPr>
        <w:t xml:space="preserve"> </w:t>
      </w:r>
      <w:r w:rsidRPr="00D403F5">
        <w:rPr>
          <w:rFonts w:cs="Arial"/>
          <w:szCs w:val="18"/>
        </w:rPr>
        <w:t>was rapidly</w:t>
      </w:r>
      <w:r w:rsidRPr="00D403F5">
        <w:rPr>
          <w:rFonts w:eastAsiaTheme="minorEastAsia" w:cs="Arial"/>
          <w:szCs w:val="18"/>
          <w:lang w:eastAsia="zh-CN"/>
        </w:rPr>
        <w:t xml:space="preserve"> </w:t>
      </w:r>
      <w:r w:rsidRPr="00D403F5">
        <w:rPr>
          <w:rFonts w:cs="Arial"/>
          <w:szCs w:val="18"/>
        </w:rPr>
        <w:t>disseminated systemically followed by</w:t>
      </w:r>
      <w:r w:rsidRPr="00D403F5">
        <w:rPr>
          <w:rFonts w:eastAsiaTheme="minorEastAsia" w:cs="Arial"/>
          <w:szCs w:val="18"/>
          <w:lang w:eastAsia="zh-CN"/>
        </w:rPr>
        <w:t xml:space="preserve"> </w:t>
      </w:r>
      <w:r w:rsidRPr="00D403F5">
        <w:rPr>
          <w:rFonts w:cs="Arial"/>
          <w:szCs w:val="18"/>
        </w:rPr>
        <w:t>plasmid persistence in muscle at the injection site</w:t>
      </w:r>
      <w:r>
        <w:rPr>
          <w:rFonts w:cs="Arial"/>
          <w:szCs w:val="18"/>
        </w:rPr>
        <w:t xml:space="preserve"> </w:t>
      </w:r>
      <w:r w:rsidRPr="006936A4">
        <w:rPr>
          <w:rFonts w:cs="Arial"/>
          <w:szCs w:val="18"/>
          <w:highlight w:val="yellow"/>
          <w:u w:val="double"/>
        </w:rPr>
        <w:t xml:space="preserve">(Garver </w:t>
      </w:r>
      <w:r w:rsidRPr="006936A4">
        <w:rPr>
          <w:rFonts w:cs="Arial"/>
          <w:i/>
          <w:szCs w:val="18"/>
          <w:highlight w:val="yellow"/>
          <w:u w:val="double"/>
        </w:rPr>
        <w:t>et al.,</w:t>
      </w:r>
      <w:r w:rsidRPr="006936A4">
        <w:rPr>
          <w:rFonts w:cs="Arial"/>
          <w:szCs w:val="18"/>
          <w:highlight w:val="yellow"/>
          <w:u w:val="double"/>
        </w:rPr>
        <w:t xml:space="preserve"> 2005</w:t>
      </w:r>
      <w:r w:rsidRPr="006936A4">
        <w:rPr>
          <w:rFonts w:cs="Arial"/>
          <w:szCs w:val="18"/>
          <w:highlight w:val="yellow"/>
        </w:rPr>
        <w:t>)</w:t>
      </w:r>
      <w:r w:rsidRPr="00D403F5">
        <w:rPr>
          <w:rFonts w:cs="Arial"/>
          <w:szCs w:val="18"/>
        </w:rPr>
        <w:t xml:space="preserve">; consequently, caution should be employed when testing fish vaccinated with the IHNV DNA vaccine as diagnostic methods targeting viral G-gene nucleotide sequence or protein have the potential to cross react with the vaccine. </w:t>
      </w:r>
    </w:p>
    <w:p w14:paraId="68BAB343" w14:textId="77777777" w:rsidR="00E65E42" w:rsidRPr="00D62973" w:rsidRDefault="00E65E42" w:rsidP="00DB4D42">
      <w:pPr>
        <w:pStyle w:val="111"/>
        <w:spacing w:after="180"/>
        <w:ind w:left="1276"/>
        <w:rPr>
          <w:szCs w:val="20"/>
          <w:lang w:val="en-IE"/>
        </w:rPr>
      </w:pPr>
      <w:r w:rsidRPr="00D62973">
        <w:rPr>
          <w:szCs w:val="20"/>
          <w:lang w:val="en-IE"/>
        </w:rPr>
        <w:t>2.4.2.</w:t>
      </w:r>
      <w:r w:rsidRPr="00D62973">
        <w:rPr>
          <w:szCs w:val="20"/>
          <w:lang w:val="en-IE"/>
        </w:rPr>
        <w:tab/>
        <w:t>Chemotherapy including blocking agents</w:t>
      </w:r>
    </w:p>
    <w:p w14:paraId="5D7C094C" w14:textId="77777777" w:rsidR="00E65E42" w:rsidRPr="00D403F5" w:rsidRDefault="00E65E42" w:rsidP="00DB4D42">
      <w:pPr>
        <w:pStyle w:val="Para3"/>
        <w:ind w:left="709"/>
        <w:rPr>
          <w:szCs w:val="18"/>
          <w:lang w:eastAsia="fr-FR"/>
        </w:rPr>
      </w:pPr>
      <w:r w:rsidRPr="00D403F5">
        <w:rPr>
          <w:szCs w:val="18"/>
          <w:lang w:eastAsia="fr-FR"/>
        </w:rPr>
        <w:t xml:space="preserve">Chemotherapeutics, including natural compounds, have been identified to have anti-IHNV properties; however, these have not found commercial use in aquaculture against IHNV </w:t>
      </w:r>
      <w:r w:rsidRPr="00D403F5">
        <w:rPr>
          <w:noProof/>
          <w:szCs w:val="18"/>
          <w:lang w:eastAsia="fr-FR"/>
        </w:rPr>
        <w:t>(Winton, 1991)</w:t>
      </w:r>
      <w:r w:rsidRPr="00D403F5">
        <w:rPr>
          <w:szCs w:val="18"/>
          <w:lang w:eastAsia="fr-FR"/>
        </w:rPr>
        <w:t xml:space="preserve">. Direct application of anti-IHNV compounds to cell cultures has caused growth inhibition and toxicity that could affect the sensitivity of detecting IHNV in affected cultures </w:t>
      </w:r>
      <w:r w:rsidRPr="00D403F5">
        <w:rPr>
          <w:noProof/>
          <w:szCs w:val="18"/>
          <w:lang w:eastAsia="fr-FR"/>
        </w:rPr>
        <w:t xml:space="preserve">(Balmer </w:t>
      </w:r>
      <w:r w:rsidRPr="00D403F5">
        <w:rPr>
          <w:i/>
          <w:noProof/>
          <w:szCs w:val="18"/>
          <w:lang w:eastAsia="fr-FR"/>
        </w:rPr>
        <w:t>et al.,</w:t>
      </w:r>
      <w:r w:rsidRPr="00D403F5">
        <w:rPr>
          <w:noProof/>
          <w:szCs w:val="18"/>
          <w:lang w:eastAsia="fr-FR"/>
        </w:rPr>
        <w:t xml:space="preserve"> 2017; </w:t>
      </w:r>
      <w:r w:rsidRPr="00D403F5">
        <w:rPr>
          <w:rFonts w:cs="Arial"/>
          <w:szCs w:val="18"/>
        </w:rPr>
        <w:t>Hasobe &amp; Saneyoshi, 1985)</w:t>
      </w:r>
      <w:r w:rsidRPr="00D403F5">
        <w:rPr>
          <w:szCs w:val="18"/>
          <w:lang w:eastAsia="fr-FR"/>
        </w:rPr>
        <w:t>.</w:t>
      </w:r>
    </w:p>
    <w:p w14:paraId="7A7DA164" w14:textId="77777777" w:rsidR="00E65E42" w:rsidRPr="00D62973" w:rsidRDefault="00E65E42" w:rsidP="00DB4D42">
      <w:pPr>
        <w:pStyle w:val="111"/>
        <w:spacing w:after="180"/>
        <w:ind w:left="1276"/>
        <w:rPr>
          <w:szCs w:val="20"/>
          <w:lang w:val="en-IE"/>
        </w:rPr>
      </w:pPr>
      <w:r w:rsidRPr="00D62973">
        <w:rPr>
          <w:szCs w:val="20"/>
          <w:lang w:val="en-IE"/>
        </w:rPr>
        <w:t>2.4.3.</w:t>
      </w:r>
      <w:r w:rsidRPr="00D62973">
        <w:rPr>
          <w:szCs w:val="20"/>
          <w:lang w:val="en-IE"/>
        </w:rPr>
        <w:tab/>
        <w:t>Immunostimulation</w:t>
      </w:r>
    </w:p>
    <w:p w14:paraId="40A5720A" w14:textId="77777777" w:rsidR="00E65E42" w:rsidRPr="00D403F5" w:rsidRDefault="00E65E42" w:rsidP="00DB4D42">
      <w:pPr>
        <w:pStyle w:val="Para3"/>
        <w:ind w:left="709"/>
        <w:rPr>
          <w:szCs w:val="18"/>
          <w:lang w:eastAsia="fr-FR"/>
        </w:rPr>
      </w:pPr>
      <w:r w:rsidRPr="00D403F5">
        <w:rPr>
          <w:szCs w:val="18"/>
          <w:lang w:eastAsia="fr-FR"/>
        </w:rPr>
        <w:t xml:space="preserve">Immunostimulants are not used commercially in aquaculture for IHNV </w:t>
      </w:r>
      <w:r w:rsidRPr="00D403F5">
        <w:rPr>
          <w:noProof/>
          <w:szCs w:val="18"/>
          <w:lang w:eastAsia="fr-FR"/>
        </w:rPr>
        <w:t xml:space="preserve">(Ooi </w:t>
      </w:r>
      <w:r w:rsidRPr="00D403F5">
        <w:rPr>
          <w:i/>
          <w:noProof/>
          <w:szCs w:val="18"/>
          <w:lang w:eastAsia="fr-FR"/>
        </w:rPr>
        <w:t>et al.,</w:t>
      </w:r>
      <w:r w:rsidRPr="00D403F5">
        <w:rPr>
          <w:noProof/>
          <w:szCs w:val="18"/>
          <w:lang w:eastAsia="fr-FR"/>
        </w:rPr>
        <w:t xml:space="preserve"> 2008)</w:t>
      </w:r>
      <w:r w:rsidRPr="00D403F5">
        <w:rPr>
          <w:szCs w:val="18"/>
          <w:lang w:eastAsia="fr-FR"/>
        </w:rPr>
        <w:t xml:space="preserve">. </w:t>
      </w:r>
    </w:p>
    <w:p w14:paraId="6934FFA9" w14:textId="77777777" w:rsidR="00DB4D42" w:rsidRDefault="00DB4D42">
      <w:pPr>
        <w:rPr>
          <w:u w:val="single"/>
        </w:rPr>
      </w:pPr>
      <w:r>
        <w:rPr>
          <w:u w:val="single"/>
        </w:rPr>
        <w:br w:type="page"/>
      </w:r>
    </w:p>
    <w:p w14:paraId="00B47C95" w14:textId="64353B68" w:rsidR="004F1CC2" w:rsidRDefault="004F1CC2" w:rsidP="004F1CC2">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p w14:paraId="2614B516" w14:textId="77777777" w:rsidR="00E65E42" w:rsidRPr="00D62973" w:rsidRDefault="00E65E42" w:rsidP="00DB4D42">
      <w:pPr>
        <w:pStyle w:val="111"/>
        <w:spacing w:after="180"/>
        <w:ind w:left="1276"/>
        <w:rPr>
          <w:szCs w:val="20"/>
          <w:lang w:val="en-IE"/>
        </w:rPr>
      </w:pPr>
      <w:r w:rsidRPr="00D62973">
        <w:rPr>
          <w:szCs w:val="20"/>
          <w:lang w:val="en-IE"/>
        </w:rPr>
        <w:t>2.4.4.</w:t>
      </w:r>
      <w:r w:rsidRPr="00D62973">
        <w:rPr>
          <w:szCs w:val="20"/>
          <w:lang w:val="en-IE"/>
        </w:rPr>
        <w:tab/>
        <w:t xml:space="preserve">Breeding resistant strains </w:t>
      </w:r>
    </w:p>
    <w:p w14:paraId="0373E377" w14:textId="77777777" w:rsidR="00E65E42" w:rsidRPr="00D403F5" w:rsidRDefault="00E65E42" w:rsidP="00DB4D42">
      <w:pPr>
        <w:pStyle w:val="Para3"/>
        <w:ind w:left="709"/>
        <w:rPr>
          <w:szCs w:val="18"/>
        </w:rPr>
      </w:pPr>
      <w:r w:rsidRPr="00D403F5">
        <w:rPr>
          <w:rFonts w:cs="Arial"/>
          <w:szCs w:val="18"/>
          <w:lang w:eastAsia="fr-FR"/>
        </w:rPr>
        <w:t xml:space="preserve">Experimental trials of triploid or inter-species hybrids have been conducted </w:t>
      </w:r>
      <w:r w:rsidRPr="00D403F5">
        <w:rPr>
          <w:noProof/>
          <w:szCs w:val="18"/>
          <w:lang w:eastAsia="fr-FR"/>
        </w:rPr>
        <w:t xml:space="preserve">(Barroso </w:t>
      </w:r>
      <w:r w:rsidRPr="00D403F5">
        <w:rPr>
          <w:i/>
          <w:noProof/>
          <w:szCs w:val="18"/>
          <w:lang w:eastAsia="fr-FR"/>
        </w:rPr>
        <w:t>et al.,</w:t>
      </w:r>
      <w:r w:rsidRPr="00D403F5">
        <w:rPr>
          <w:noProof/>
          <w:szCs w:val="18"/>
          <w:lang w:eastAsia="fr-FR"/>
        </w:rPr>
        <w:t xml:space="preserve"> 2008; Winton, 1991)</w:t>
      </w:r>
      <w:r w:rsidRPr="00D403F5">
        <w:rPr>
          <w:rFonts w:cs="Arial"/>
          <w:szCs w:val="18"/>
          <w:lang w:eastAsia="fr-FR"/>
        </w:rPr>
        <w:t xml:space="preserve"> with resistance typically </w:t>
      </w:r>
      <w:r w:rsidRPr="00D403F5">
        <w:rPr>
          <w:rFonts w:eastAsiaTheme="minorHAnsi" w:cs="Arial"/>
          <w:szCs w:val="18"/>
        </w:rPr>
        <w:t>determined early in the infection process and associated with lower early viral replication (</w:t>
      </w:r>
      <w:r w:rsidRPr="00D403F5">
        <w:rPr>
          <w:szCs w:val="18"/>
          <w:lang w:eastAsia="fr-FR"/>
        </w:rPr>
        <w:t xml:space="preserve">Purcell </w:t>
      </w:r>
      <w:r w:rsidRPr="00D403F5">
        <w:rPr>
          <w:i/>
          <w:szCs w:val="18"/>
          <w:lang w:eastAsia="fr-FR"/>
        </w:rPr>
        <w:t>et al</w:t>
      </w:r>
      <w:r w:rsidRPr="00D403F5">
        <w:rPr>
          <w:szCs w:val="18"/>
          <w:lang w:eastAsia="fr-FR"/>
        </w:rPr>
        <w:t>., 2010</w:t>
      </w:r>
      <w:r w:rsidRPr="00D403F5">
        <w:rPr>
          <w:rFonts w:eastAsiaTheme="minorHAnsi" w:cs="Arial"/>
          <w:szCs w:val="18"/>
        </w:rPr>
        <w:t>)</w:t>
      </w:r>
      <w:r w:rsidRPr="00D403F5">
        <w:rPr>
          <w:rFonts w:cs="Arial"/>
          <w:szCs w:val="18"/>
          <w:lang w:eastAsia="fr-FR"/>
        </w:rPr>
        <w:t xml:space="preserve">. </w:t>
      </w:r>
      <w:r w:rsidRPr="00D403F5">
        <w:rPr>
          <w:szCs w:val="18"/>
        </w:rPr>
        <w:t>However, no resistant strains are commercially available.</w:t>
      </w:r>
    </w:p>
    <w:p w14:paraId="0FE9F0E0" w14:textId="77777777" w:rsidR="00E65E42" w:rsidRPr="00D62973" w:rsidRDefault="00E65E42" w:rsidP="00DB4D42">
      <w:pPr>
        <w:pStyle w:val="111"/>
        <w:spacing w:after="180"/>
        <w:ind w:left="1276"/>
        <w:rPr>
          <w:szCs w:val="20"/>
          <w:lang w:val="en-IE"/>
        </w:rPr>
      </w:pPr>
      <w:r w:rsidRPr="00D62973">
        <w:rPr>
          <w:szCs w:val="20"/>
          <w:lang w:val="en-IE"/>
        </w:rPr>
        <w:t>2.4.5.</w:t>
      </w:r>
      <w:r w:rsidRPr="00D62973">
        <w:rPr>
          <w:szCs w:val="20"/>
          <w:lang w:val="en-IE"/>
        </w:rPr>
        <w:tab/>
        <w:t>Inactivation methods</w:t>
      </w:r>
    </w:p>
    <w:p w14:paraId="1CCA6E09" w14:textId="77777777" w:rsidR="00E65E42" w:rsidRPr="00D403F5" w:rsidRDefault="00E65E42" w:rsidP="00DB4D42">
      <w:pPr>
        <w:pStyle w:val="111"/>
        <w:spacing w:after="240"/>
        <w:ind w:left="709" w:firstLine="0"/>
        <w:rPr>
          <w:rFonts w:ascii="Arial" w:hAnsi="Arial" w:cs="Arial"/>
          <w:b w:val="0"/>
          <w:sz w:val="18"/>
          <w:szCs w:val="18"/>
          <w:lang w:val="en-IE"/>
        </w:rPr>
      </w:pPr>
      <w:r w:rsidRPr="004668C2">
        <w:rPr>
          <w:rFonts w:ascii="Arial" w:hAnsi="Arial" w:cs="Arial"/>
          <w:b w:val="0"/>
          <w:sz w:val="18"/>
          <w:szCs w:val="18"/>
          <w:lang w:val="en-IE"/>
        </w:rPr>
        <w:t>IHNV is readily inactivated by common disinfectants with active ingredients such as sodium h</w:t>
      </w:r>
      <w:r w:rsidRPr="00D403F5">
        <w:rPr>
          <w:rFonts w:ascii="Arial" w:hAnsi="Arial" w:cs="Arial"/>
          <w:b w:val="0"/>
          <w:sz w:val="18"/>
          <w:szCs w:val="18"/>
          <w:lang w:val="en-IE"/>
        </w:rPr>
        <w:t xml:space="preserve">ypochlorite, iodophor, benzalkonium chloride, saponated cresol, formaldehyde and potassium permanganate solution </w:t>
      </w:r>
      <w:r w:rsidRPr="00D403F5">
        <w:rPr>
          <w:rFonts w:ascii="Arial" w:hAnsi="Arial" w:cs="Arial"/>
          <w:b w:val="0"/>
          <w:noProof/>
          <w:sz w:val="18"/>
          <w:szCs w:val="18"/>
          <w:lang w:val="en-IE"/>
        </w:rPr>
        <w:t>(</w:t>
      </w:r>
      <w:r w:rsidRPr="00D403F5">
        <w:rPr>
          <w:rFonts w:ascii="Arial" w:hAnsi="Arial" w:cs="Arial"/>
          <w:b w:val="0"/>
          <w:sz w:val="18"/>
          <w:szCs w:val="18"/>
          <w:lang w:val="en-IE"/>
        </w:rPr>
        <w:t xml:space="preserve">Yoshimizu </w:t>
      </w:r>
      <w:r w:rsidRPr="00D403F5">
        <w:rPr>
          <w:rFonts w:ascii="Arial" w:hAnsi="Arial" w:cs="Arial"/>
          <w:b w:val="0"/>
          <w:i/>
          <w:sz w:val="18"/>
          <w:szCs w:val="18"/>
          <w:lang w:val="en-IE"/>
        </w:rPr>
        <w:t>et al.,</w:t>
      </w:r>
      <w:r w:rsidRPr="00D403F5">
        <w:rPr>
          <w:rFonts w:ascii="Arial" w:hAnsi="Arial" w:cs="Arial"/>
          <w:b w:val="0"/>
          <w:sz w:val="18"/>
          <w:szCs w:val="18"/>
          <w:lang w:val="en-IE"/>
        </w:rPr>
        <w:t xml:space="preserve"> 2005). As these substances have virucidal properties any carry-over on sampling equipment or contact with samples may result in reduced viral titres. </w:t>
      </w:r>
    </w:p>
    <w:p w14:paraId="1CEC0CA3" w14:textId="77777777" w:rsidR="00E65E42" w:rsidRPr="00D62973" w:rsidRDefault="00E65E42" w:rsidP="00DB4D42">
      <w:pPr>
        <w:pStyle w:val="111"/>
        <w:spacing w:after="180"/>
        <w:ind w:left="1276"/>
        <w:rPr>
          <w:szCs w:val="20"/>
          <w:lang w:val="en-IE"/>
        </w:rPr>
      </w:pPr>
      <w:r w:rsidRPr="00D62973">
        <w:rPr>
          <w:szCs w:val="20"/>
          <w:lang w:val="en-IE"/>
        </w:rPr>
        <w:t>2.4.6.</w:t>
      </w:r>
      <w:r w:rsidRPr="00D62973">
        <w:rPr>
          <w:szCs w:val="20"/>
          <w:lang w:val="en-IE"/>
        </w:rPr>
        <w:tab/>
        <w:t>Disinfection of eggs and larvae</w:t>
      </w:r>
    </w:p>
    <w:p w14:paraId="26AD99FD" w14:textId="77777777" w:rsidR="00E65E42" w:rsidRPr="00D403F5" w:rsidRDefault="00E65E42" w:rsidP="00DB4D42">
      <w:pPr>
        <w:pStyle w:val="Para3"/>
        <w:ind w:left="709"/>
        <w:rPr>
          <w:szCs w:val="18"/>
        </w:rPr>
      </w:pPr>
      <w:r w:rsidRPr="00D403F5">
        <w:rPr>
          <w:szCs w:val="18"/>
        </w:rPr>
        <w:t xml:space="preserve">Iodophor disinfection of eggs is a common practice to effectively mitigate egg-associated transmission of IHNV </w:t>
      </w:r>
      <w:r w:rsidRPr="00D403F5">
        <w:rPr>
          <w:noProof/>
          <w:szCs w:val="18"/>
        </w:rPr>
        <w:t xml:space="preserve">(Bovo </w:t>
      </w:r>
      <w:r w:rsidRPr="00D403F5">
        <w:rPr>
          <w:i/>
          <w:noProof/>
          <w:szCs w:val="18"/>
        </w:rPr>
        <w:t>et al.,</w:t>
      </w:r>
      <w:r w:rsidRPr="00D403F5">
        <w:rPr>
          <w:noProof/>
          <w:szCs w:val="18"/>
        </w:rPr>
        <w:t xml:space="preserve"> 2005)</w:t>
      </w:r>
      <w:r w:rsidRPr="00D403F5">
        <w:rPr>
          <w:szCs w:val="18"/>
        </w:rPr>
        <w:t xml:space="preserve">. Chapter 4.4. of the </w:t>
      </w:r>
      <w:r w:rsidRPr="00D403F5">
        <w:rPr>
          <w:i/>
          <w:szCs w:val="18"/>
        </w:rPr>
        <w:t>Aquatic Code</w:t>
      </w:r>
      <w:r w:rsidRPr="00D403F5">
        <w:rPr>
          <w:szCs w:val="18"/>
        </w:rPr>
        <w:t xml:space="preserve"> provides recommendations for surface disinfection of salmonid eggs. Iodine has been shown to inhibit PCRs (</w:t>
      </w:r>
      <w:r w:rsidRPr="00D403F5">
        <w:rPr>
          <w:rFonts w:cs="Arial"/>
          <w:szCs w:val="18"/>
        </w:rPr>
        <w:t xml:space="preserve">Auinger </w:t>
      </w:r>
      <w:r w:rsidRPr="00D403F5">
        <w:rPr>
          <w:rFonts w:cs="Arial"/>
          <w:i/>
          <w:szCs w:val="18"/>
        </w:rPr>
        <w:t>et al.,</w:t>
      </w:r>
      <w:r w:rsidRPr="00D403F5">
        <w:rPr>
          <w:rFonts w:cs="Arial"/>
          <w:szCs w:val="18"/>
        </w:rPr>
        <w:t xml:space="preserve"> 2008) and could affect PCR testing results of disinfected eggs</w:t>
      </w:r>
      <w:r w:rsidRPr="00D403F5">
        <w:rPr>
          <w:szCs w:val="18"/>
        </w:rPr>
        <w:t xml:space="preserve">. </w:t>
      </w:r>
    </w:p>
    <w:p w14:paraId="6CF95167" w14:textId="77777777" w:rsidR="00E65E42" w:rsidRPr="00D62973" w:rsidRDefault="00E65E42" w:rsidP="00DB4D42">
      <w:pPr>
        <w:pStyle w:val="111"/>
        <w:spacing w:after="180"/>
        <w:ind w:left="1276"/>
        <w:rPr>
          <w:szCs w:val="20"/>
          <w:lang w:val="en-IE"/>
        </w:rPr>
      </w:pPr>
      <w:r w:rsidRPr="00D62973">
        <w:rPr>
          <w:szCs w:val="20"/>
          <w:lang w:val="en-IE"/>
        </w:rPr>
        <w:t>2.4.7.</w:t>
      </w:r>
      <w:r w:rsidRPr="00D62973">
        <w:rPr>
          <w:szCs w:val="20"/>
          <w:lang w:val="en-IE"/>
        </w:rPr>
        <w:tab/>
        <w:t xml:space="preserve">General husbandry </w:t>
      </w:r>
    </w:p>
    <w:p w14:paraId="33B4DC19" w14:textId="77777777" w:rsidR="00E65E42" w:rsidRDefault="00E65E42" w:rsidP="00DB4D42">
      <w:pPr>
        <w:pStyle w:val="Para3"/>
        <w:ind w:left="709"/>
        <w:rPr>
          <w:szCs w:val="18"/>
          <w:lang w:eastAsia="fr-FR"/>
        </w:rPr>
      </w:pPr>
      <w:r w:rsidRPr="00D403F5">
        <w:rPr>
          <w:szCs w:val="18"/>
          <w:lang w:eastAsia="fr-FR"/>
        </w:rPr>
        <w:t>In addition to disinfection of eggs</w:t>
      </w:r>
      <w:r>
        <w:rPr>
          <w:szCs w:val="18"/>
          <w:lang w:eastAsia="fr-FR"/>
        </w:rPr>
        <w:t xml:space="preserve"> </w:t>
      </w:r>
      <w:r w:rsidRPr="006936A4">
        <w:rPr>
          <w:szCs w:val="18"/>
          <w:highlight w:val="yellow"/>
          <w:u w:val="double"/>
          <w:lang w:eastAsia="fr-FR"/>
        </w:rPr>
        <w:t xml:space="preserve">(according to Chapter 4.4 of the </w:t>
      </w:r>
      <w:r w:rsidRPr="006936A4">
        <w:rPr>
          <w:i/>
          <w:iCs/>
          <w:szCs w:val="18"/>
          <w:highlight w:val="yellow"/>
          <w:u w:val="double"/>
          <w:lang w:eastAsia="fr-FR"/>
        </w:rPr>
        <w:t>Aquatic Code</w:t>
      </w:r>
      <w:r w:rsidRPr="006936A4">
        <w:rPr>
          <w:szCs w:val="18"/>
          <w:highlight w:val="yellow"/>
          <w:u w:val="double"/>
          <w:lang w:eastAsia="fr-FR"/>
        </w:rPr>
        <w:t>)</w:t>
      </w:r>
      <w:r w:rsidRPr="00D403F5">
        <w:rPr>
          <w:szCs w:val="18"/>
          <w:lang w:eastAsia="fr-FR"/>
        </w:rPr>
        <w:t xml:space="preserve">, use of a virus-free water supply and decreasing rearing densities have significant positive effects in the management of </w:t>
      </w:r>
      <w:r w:rsidRPr="00D403F5">
        <w:rPr>
          <w:szCs w:val="18"/>
        </w:rPr>
        <w:t xml:space="preserve">IHNV. </w:t>
      </w:r>
      <w:r w:rsidRPr="00D403F5">
        <w:rPr>
          <w:szCs w:val="18"/>
          <w:lang w:eastAsia="fr-FR"/>
        </w:rPr>
        <w:t xml:space="preserve">Transmission of IHNV increases with host density </w:t>
      </w:r>
      <w:r w:rsidRPr="00D403F5">
        <w:rPr>
          <w:noProof/>
          <w:szCs w:val="18"/>
          <w:lang w:eastAsia="fr-FR"/>
        </w:rPr>
        <w:t>(</w:t>
      </w:r>
      <w:r w:rsidRPr="00D403F5">
        <w:rPr>
          <w:rFonts w:cs="Arial"/>
          <w:szCs w:val="18"/>
        </w:rPr>
        <w:t>Ogut &amp; Reno, 2004)</w:t>
      </w:r>
      <w:r w:rsidRPr="00D403F5">
        <w:rPr>
          <w:szCs w:val="18"/>
          <w:lang w:eastAsia="fr-FR"/>
        </w:rPr>
        <w:t>.</w:t>
      </w:r>
    </w:p>
    <w:p w14:paraId="3C6C7257" w14:textId="77777777" w:rsidR="00E65E42" w:rsidRPr="0089592E" w:rsidRDefault="00E65E42" w:rsidP="00E65E42">
      <w:pPr>
        <w:pStyle w:val="StyleTitre1Arial"/>
        <w:jc w:val="both"/>
        <w:outlineLvl w:val="9"/>
        <w:rPr>
          <w:rFonts w:ascii="Ottawa" w:hAnsi="Ottawa"/>
          <w:lang w:val="en-IE"/>
        </w:rPr>
      </w:pPr>
      <w:r w:rsidRPr="0089592E">
        <w:rPr>
          <w:rFonts w:ascii="Ottawa" w:hAnsi="Ottawa"/>
          <w:lang w:val="en-IE"/>
        </w:rPr>
        <w:t>3.</w:t>
      </w:r>
      <w:r w:rsidRPr="0089592E">
        <w:rPr>
          <w:rFonts w:ascii="Ottawa" w:hAnsi="Ottawa"/>
          <w:lang w:val="en-IE"/>
        </w:rPr>
        <w:tab/>
        <w:t xml:space="preserve">Specimen selection, sample collection, transportation and handling </w:t>
      </w:r>
    </w:p>
    <w:p w14:paraId="276B437B" w14:textId="77777777" w:rsidR="00E65E42" w:rsidRDefault="00E65E42" w:rsidP="00E65E42">
      <w:pPr>
        <w:pStyle w:val="Para10"/>
        <w:ind w:left="283"/>
        <w:rPr>
          <w:rFonts w:cs="Arial"/>
          <w:szCs w:val="18"/>
        </w:rPr>
      </w:pPr>
      <w:r w:rsidRPr="00D403F5">
        <w:rPr>
          <w:rFonts w:cs="Arial"/>
          <w:szCs w:val="18"/>
        </w:rPr>
        <w:t xml:space="preserve">This section draws on information in Sections 2.2, 2.3 and 2.4 to identify populations, individuals and samples which are most likely to be infected. </w:t>
      </w:r>
    </w:p>
    <w:p w14:paraId="59089149" w14:textId="77777777" w:rsidR="00E65E42" w:rsidRPr="0089592E" w:rsidRDefault="00E65E42" w:rsidP="00DB4D42">
      <w:pPr>
        <w:pStyle w:val="11"/>
        <w:rPr>
          <w:rFonts w:ascii="Ottawa" w:hAnsi="Ottawa"/>
          <w:sz w:val="21"/>
          <w:szCs w:val="21"/>
          <w:lang w:val="en-IE"/>
        </w:rPr>
      </w:pPr>
      <w:r w:rsidRPr="0089592E">
        <w:rPr>
          <w:rFonts w:ascii="Ottawa" w:hAnsi="Ottawa"/>
          <w:sz w:val="21"/>
          <w:szCs w:val="21"/>
          <w:lang w:val="en-IE"/>
        </w:rPr>
        <w:t>3.1.</w:t>
      </w:r>
      <w:r w:rsidRPr="0089592E">
        <w:rPr>
          <w:rFonts w:ascii="Ottawa" w:hAnsi="Ottawa"/>
          <w:sz w:val="21"/>
          <w:szCs w:val="21"/>
          <w:lang w:val="en-IE"/>
        </w:rPr>
        <w:tab/>
        <w:t>Selection of populations and individual specimens</w:t>
      </w:r>
    </w:p>
    <w:p w14:paraId="38BA81ED" w14:textId="77777777" w:rsidR="00E65E42" w:rsidRDefault="00E65E42" w:rsidP="00557B45">
      <w:pPr>
        <w:pStyle w:val="Para20"/>
        <w:ind w:left="709"/>
        <w:rPr>
          <w:rFonts w:cs="Arial"/>
          <w:szCs w:val="18"/>
          <w:lang w:val="en-GB"/>
        </w:rPr>
      </w:pPr>
      <w:r w:rsidRPr="00CE3083">
        <w:rPr>
          <w:szCs w:val="18"/>
        </w:rPr>
        <w:t xml:space="preserve">Clinical inspections </w:t>
      </w:r>
      <w:r w:rsidRPr="00CE3083">
        <w:rPr>
          <w:strike/>
          <w:szCs w:val="18"/>
          <w:highlight w:val="yellow"/>
        </w:rPr>
        <w:t xml:space="preserve">are best </w:t>
      </w:r>
      <w:r w:rsidRPr="00CE3083">
        <w:rPr>
          <w:rFonts w:eastAsia="SimSun" w:cs="Arial"/>
          <w:color w:val="000000"/>
          <w:spacing w:val="-2"/>
          <w:szCs w:val="18"/>
          <w:highlight w:val="yellow"/>
          <w:u w:val="double"/>
        </w:rPr>
        <w:t xml:space="preserve">should be </w:t>
      </w:r>
      <w:r w:rsidRPr="00CE3083">
        <w:rPr>
          <w:szCs w:val="18"/>
        </w:rPr>
        <w:t>carried out during a period when</w:t>
      </w:r>
      <w:r w:rsidRPr="00CE3083">
        <w:rPr>
          <w:strike/>
          <w:szCs w:val="18"/>
          <w:highlight w:val="yellow"/>
        </w:rPr>
        <w:t>ever</w:t>
      </w:r>
      <w:r w:rsidRPr="00CE3083">
        <w:rPr>
          <w:szCs w:val="18"/>
        </w:rPr>
        <w:t xml:space="preserve"> the water temperature is below 14°C, </w:t>
      </w:r>
      <w:bookmarkStart w:id="138" w:name="_Hlk21073267"/>
      <w:r w:rsidRPr="00CE3083">
        <w:rPr>
          <w:rFonts w:cs="Arial"/>
          <w:spacing w:val="-2"/>
          <w:szCs w:val="18"/>
          <w:lang w:val="en-GB"/>
        </w:rPr>
        <w:t>or whenever the water temperature is likely to reach its lowest annual point.</w:t>
      </w:r>
      <w:bookmarkEnd w:id="138"/>
      <w:r w:rsidRPr="00CE3083">
        <w:rPr>
          <w:szCs w:val="18"/>
        </w:rPr>
        <w:t xml:space="preserve"> All production units (ponds, tanks, net-cages, etc.) </w:t>
      </w:r>
      <w:r w:rsidRPr="00CE3083">
        <w:rPr>
          <w:strike/>
          <w:szCs w:val="18"/>
          <w:highlight w:val="yellow"/>
        </w:rPr>
        <w:t xml:space="preserve">must </w:t>
      </w:r>
      <w:r w:rsidRPr="00CE3083">
        <w:rPr>
          <w:rFonts w:eastAsia="SimSun" w:cs="Arial"/>
          <w:color w:val="000000"/>
          <w:spacing w:val="-2"/>
          <w:szCs w:val="18"/>
          <w:highlight w:val="yellow"/>
          <w:u w:val="double"/>
        </w:rPr>
        <w:t>should</w:t>
      </w:r>
      <w:r w:rsidRPr="00CE3083">
        <w:rPr>
          <w:rFonts w:eastAsia="SimSun" w:cs="Arial"/>
          <w:color w:val="000000"/>
          <w:spacing w:val="-2"/>
          <w:szCs w:val="18"/>
        </w:rPr>
        <w:t xml:space="preserve"> </w:t>
      </w:r>
      <w:r w:rsidRPr="00CE3083">
        <w:rPr>
          <w:szCs w:val="18"/>
        </w:rPr>
        <w:t>be inspected for the presence of dead, weak or abnormally behaving fish</w:t>
      </w:r>
      <w:r w:rsidRPr="00CE3083">
        <w:rPr>
          <w:strike/>
          <w:szCs w:val="18"/>
        </w:rPr>
        <w:t xml:space="preserve"> </w:t>
      </w:r>
      <w:r w:rsidRPr="00CE3083">
        <w:rPr>
          <w:rFonts w:cs="Arial"/>
          <w:strike/>
          <w:spacing w:val="-2"/>
          <w:szCs w:val="18"/>
          <w:highlight w:val="yellow"/>
          <w:lang w:val="en-GB"/>
        </w:rPr>
        <w:t>of any susceptible species, and if</w:t>
      </w:r>
      <w:r w:rsidRPr="00CE3083">
        <w:rPr>
          <w:rFonts w:cs="Arial"/>
          <w:strike/>
          <w:szCs w:val="18"/>
          <w:highlight w:val="yellow"/>
          <w:lang w:val="en-GB"/>
        </w:rPr>
        <w:t xml:space="preserve"> they are present, such fish should be selected</w:t>
      </w:r>
      <w:r w:rsidRPr="00CE3083">
        <w:rPr>
          <w:szCs w:val="18"/>
        </w:rPr>
        <w:t xml:space="preserve">. </w:t>
      </w:r>
      <w:r w:rsidRPr="00CE3083">
        <w:rPr>
          <w:rFonts w:cs="Arial"/>
          <w:spacing w:val="-2"/>
          <w:szCs w:val="18"/>
          <w:lang w:val="en-GB"/>
        </w:rPr>
        <w:t>Particular attention should be paid to the water outlet area, where weak fish tend to accumulate due to the water current.</w:t>
      </w:r>
      <w:r w:rsidRPr="00CE3083">
        <w:rPr>
          <w:rFonts w:cs="Arial"/>
          <w:szCs w:val="18"/>
          <w:lang w:val="en-GB"/>
        </w:rPr>
        <w:t xml:space="preserve"> </w:t>
      </w:r>
    </w:p>
    <w:p w14:paraId="661723DB" w14:textId="77777777" w:rsidR="00E65E42" w:rsidRPr="00CE3083" w:rsidRDefault="00E65E42" w:rsidP="00557B45">
      <w:pPr>
        <w:pStyle w:val="Para20"/>
        <w:ind w:left="709"/>
        <w:rPr>
          <w:rFonts w:cs="Arial"/>
          <w:szCs w:val="18"/>
          <w:lang w:val="en-GB"/>
        </w:rPr>
      </w:pPr>
      <w:r w:rsidRPr="00CE3083">
        <w:rPr>
          <w:rFonts w:eastAsia="SimSun" w:cs="Arial"/>
          <w:color w:val="000000"/>
          <w:szCs w:val="18"/>
          <w:highlight w:val="yellow"/>
          <w:u w:val="double"/>
        </w:rPr>
        <w:t>For the purposes of disease surveillance, fish to be sampled are selected as follows:</w:t>
      </w:r>
      <w:r w:rsidRPr="00CE3083">
        <w:rPr>
          <w:rFonts w:eastAsia="SimSun" w:cs="Arial"/>
          <w:color w:val="000000"/>
          <w:szCs w:val="18"/>
          <w:highlight w:val="yellow"/>
        </w:rPr>
        <w:t xml:space="preserve"> </w:t>
      </w:r>
      <w:r w:rsidRPr="00CE3083">
        <w:rPr>
          <w:rFonts w:cs="Arial"/>
          <w:strike/>
          <w:szCs w:val="18"/>
          <w:highlight w:val="yellow"/>
          <w:lang w:val="en-GB"/>
        </w:rPr>
        <w:t>If additional fish are required for the sample, healthy individuals should be</w:t>
      </w:r>
      <w:r w:rsidRPr="00CE3083">
        <w:rPr>
          <w:rFonts w:cs="Arial"/>
          <w:strike/>
          <w:szCs w:val="18"/>
          <w:lang w:val="en-GB"/>
        </w:rPr>
        <w:t xml:space="preserve"> </w:t>
      </w:r>
      <w:r w:rsidRPr="0014778F">
        <w:rPr>
          <w:rFonts w:cs="Arial"/>
          <w:strike/>
          <w:szCs w:val="18"/>
          <w:lang w:val="en-GB"/>
        </w:rPr>
        <w:t>selected as follows:</w:t>
      </w:r>
    </w:p>
    <w:p w14:paraId="20C782B2" w14:textId="77777777" w:rsidR="00E65E42" w:rsidRDefault="00E65E42" w:rsidP="00557B45">
      <w:pPr>
        <w:pStyle w:val="Parai2"/>
        <w:ind w:left="1134"/>
        <w:rPr>
          <w:rFonts w:cs="Arial"/>
          <w:szCs w:val="18"/>
          <w:highlight w:val="yellow"/>
          <w:lang w:val="en-GB"/>
        </w:rPr>
      </w:pPr>
      <w:r w:rsidRPr="00CE3083">
        <w:rPr>
          <w:rFonts w:cs="Arial"/>
          <w:szCs w:val="18"/>
          <w:lang w:val="en-GB"/>
        </w:rPr>
        <w:t>i)</w:t>
      </w:r>
      <w:r w:rsidRPr="00CE3083">
        <w:rPr>
          <w:rFonts w:cs="Arial"/>
          <w:szCs w:val="18"/>
          <w:lang w:val="en-GB"/>
        </w:rPr>
        <w:tab/>
      </w:r>
      <w:r w:rsidRPr="00CE3083">
        <w:rPr>
          <w:rFonts w:eastAsia="SimSun" w:cs="Arial"/>
          <w:color w:val="000000"/>
          <w:szCs w:val="18"/>
          <w:highlight w:val="yellow"/>
          <w:u w:val="double"/>
        </w:rPr>
        <w:t xml:space="preserve">Rainbow trout and </w:t>
      </w:r>
      <w:r>
        <w:rPr>
          <w:rFonts w:eastAsia="SimSun" w:cs="Arial"/>
          <w:color w:val="000000"/>
          <w:szCs w:val="18"/>
          <w:highlight w:val="yellow"/>
          <w:u w:val="double"/>
        </w:rPr>
        <w:t xml:space="preserve">the </w:t>
      </w:r>
      <w:r w:rsidRPr="00CE3083">
        <w:rPr>
          <w:rFonts w:eastAsia="SimSun" w:cs="Arial"/>
          <w:color w:val="000000"/>
          <w:szCs w:val="18"/>
          <w:highlight w:val="yellow"/>
          <w:u w:val="double"/>
        </w:rPr>
        <w:t>other susceptible species</w:t>
      </w:r>
      <w:r>
        <w:rPr>
          <w:rFonts w:eastAsia="SimSun" w:cs="Arial"/>
          <w:color w:val="000000"/>
          <w:szCs w:val="18"/>
          <w:highlight w:val="yellow"/>
          <w:u w:val="double"/>
        </w:rPr>
        <w:t xml:space="preserve"> listed</w:t>
      </w:r>
      <w:r w:rsidRPr="00CE3083">
        <w:rPr>
          <w:rFonts w:eastAsia="SimSun" w:cs="Arial"/>
          <w:color w:val="000000"/>
          <w:szCs w:val="18"/>
          <w:highlight w:val="yellow"/>
          <w:u w:val="double"/>
        </w:rPr>
        <w:t xml:space="preserve"> in </w:t>
      </w:r>
      <w:r>
        <w:rPr>
          <w:rFonts w:eastAsia="SimSun" w:cs="Arial"/>
          <w:color w:val="000000"/>
          <w:szCs w:val="18"/>
          <w:highlight w:val="yellow"/>
          <w:u w:val="double"/>
        </w:rPr>
        <w:t xml:space="preserve">Section </w:t>
      </w:r>
      <w:r w:rsidRPr="00CE3083">
        <w:rPr>
          <w:rFonts w:eastAsia="SimSun" w:cs="Arial"/>
          <w:color w:val="000000"/>
          <w:szCs w:val="18"/>
          <w:highlight w:val="yellow"/>
          <w:u w:val="double"/>
        </w:rPr>
        <w:t xml:space="preserve">2.2.1 should be sampled proportionally, or following risk-based criteria for targeted selection of lots or populations with a history of abnormal mortality or potential exposure events (e.g. via untreated surface water, wild harvest or replacement with stocks of unknown </w:t>
      </w:r>
      <w:r>
        <w:rPr>
          <w:rFonts w:eastAsia="SimSun" w:cs="Arial"/>
          <w:color w:val="000000"/>
          <w:szCs w:val="18"/>
          <w:highlight w:val="yellow"/>
          <w:u w:val="double"/>
        </w:rPr>
        <w:t>disease</w:t>
      </w:r>
      <w:r w:rsidRPr="00CE3083">
        <w:rPr>
          <w:rFonts w:eastAsia="SimSun" w:cs="Arial"/>
          <w:color w:val="000000"/>
          <w:szCs w:val="18"/>
          <w:highlight w:val="yellow"/>
          <w:u w:val="double"/>
        </w:rPr>
        <w:t xml:space="preserve"> status)</w:t>
      </w:r>
      <w:r>
        <w:rPr>
          <w:rFonts w:eastAsia="SimSun" w:cs="Arial"/>
          <w:color w:val="000000"/>
          <w:szCs w:val="18"/>
          <w:highlight w:val="yellow"/>
          <w:u w:val="double"/>
        </w:rPr>
        <w:t>.</w:t>
      </w:r>
      <w:r w:rsidRPr="00CE3083">
        <w:rPr>
          <w:rFonts w:eastAsia="SimSun" w:cs="Arial"/>
          <w:color w:val="000000"/>
          <w:szCs w:val="18"/>
          <w:highlight w:val="yellow"/>
        </w:rPr>
        <w:t xml:space="preserve"> </w:t>
      </w:r>
      <w:r w:rsidRPr="00CE3083">
        <w:rPr>
          <w:szCs w:val="18"/>
          <w:highlight w:val="yellow"/>
        </w:rPr>
        <w:t>In farms with salmonids, if rainbow trout are present, only fish of that species should be selected for sampling. If rainbow trout are not present, the sample has to be obtained from fish of all other IHNV-susceptible species.</w:t>
      </w:r>
      <w:r w:rsidRPr="00CE3083">
        <w:rPr>
          <w:rFonts w:cs="Arial"/>
          <w:szCs w:val="18"/>
          <w:lang w:val="en-GB"/>
        </w:rPr>
        <w:t xml:space="preserve"> </w:t>
      </w:r>
    </w:p>
    <w:p w14:paraId="20ED9CFD" w14:textId="77777777" w:rsidR="00E65E42" w:rsidRPr="00CE3083" w:rsidRDefault="00E65E42" w:rsidP="00557B45">
      <w:pPr>
        <w:pStyle w:val="Parai2"/>
        <w:ind w:left="1134"/>
        <w:rPr>
          <w:rFonts w:cs="Arial"/>
          <w:strike/>
          <w:szCs w:val="18"/>
          <w:highlight w:val="yellow"/>
          <w:lang w:val="en-GB"/>
        </w:rPr>
      </w:pPr>
      <w:r w:rsidRPr="00CE3083">
        <w:rPr>
          <w:rFonts w:cs="Arial"/>
          <w:strike/>
          <w:szCs w:val="18"/>
          <w:highlight w:val="yellow"/>
          <w:lang w:val="en-GB"/>
        </w:rPr>
        <w:t>ii)</w:t>
      </w:r>
      <w:r w:rsidRPr="004F1CC2">
        <w:rPr>
          <w:rFonts w:cs="Arial"/>
          <w:szCs w:val="18"/>
          <w:lang w:val="en-GB"/>
        </w:rPr>
        <w:tab/>
      </w:r>
      <w:r w:rsidRPr="00CE3083">
        <w:rPr>
          <w:rFonts w:cs="Arial"/>
          <w:strike/>
          <w:szCs w:val="18"/>
          <w:highlight w:val="yellow"/>
          <w:lang w:val="en-GB"/>
        </w:rPr>
        <w:t>Susceptible species should be sampled following risk-based criteria for targeted selection of populations with a history of abnormal mortality or potential exposure events (e.g. via untreated surface water, wild harvest or replacement with stocks of unknown risk status).</w:t>
      </w:r>
    </w:p>
    <w:p w14:paraId="56AC63D6" w14:textId="77777777" w:rsidR="00E65E42" w:rsidRDefault="00E65E42" w:rsidP="00557B45">
      <w:pPr>
        <w:pStyle w:val="Parai2"/>
        <w:ind w:left="1134"/>
        <w:rPr>
          <w:rFonts w:cs="Arial"/>
          <w:szCs w:val="18"/>
          <w:lang w:val="en-GB"/>
        </w:rPr>
      </w:pPr>
      <w:r w:rsidRPr="00CE3083">
        <w:rPr>
          <w:rFonts w:cs="Arial"/>
          <w:szCs w:val="18"/>
          <w:lang w:val="en-GB"/>
        </w:rPr>
        <w:t>ii)</w:t>
      </w:r>
      <w:r w:rsidRPr="00CE3083">
        <w:rPr>
          <w:rFonts w:cs="Arial"/>
          <w:szCs w:val="18"/>
          <w:lang w:val="en-GB"/>
        </w:rPr>
        <w:tab/>
        <w:t>If more than one water source is used for fish production, fish from all water sources should be included in the sample.</w:t>
      </w:r>
    </w:p>
    <w:p w14:paraId="2E7EDEFC" w14:textId="77777777" w:rsidR="00E65E42" w:rsidRPr="00CE3083" w:rsidRDefault="00E65E42" w:rsidP="00557B45">
      <w:pPr>
        <w:pStyle w:val="Parai2"/>
        <w:ind w:left="1134"/>
        <w:rPr>
          <w:rFonts w:eastAsia="SimSun" w:cs="Arial"/>
          <w:color w:val="000000"/>
          <w:szCs w:val="18"/>
          <w:u w:val="double"/>
        </w:rPr>
      </w:pPr>
      <w:r w:rsidRPr="00CE3083">
        <w:rPr>
          <w:rFonts w:eastAsia="SimSun" w:cs="Arial"/>
          <w:color w:val="000000"/>
          <w:szCs w:val="18"/>
          <w:highlight w:val="yellow"/>
          <w:u w:val="double"/>
        </w:rPr>
        <w:t>iii)</w:t>
      </w:r>
      <w:r w:rsidRPr="004F1CC2">
        <w:rPr>
          <w:rFonts w:eastAsia="SimSun" w:cs="Arial"/>
          <w:color w:val="000000"/>
          <w:szCs w:val="18"/>
        </w:rPr>
        <w:tab/>
      </w:r>
      <w:r w:rsidRPr="00CE3083">
        <w:rPr>
          <w:rFonts w:eastAsia="SimSun" w:cs="Arial"/>
          <w:color w:val="000000"/>
          <w:szCs w:val="18"/>
          <w:highlight w:val="yellow"/>
          <w:u w:val="double"/>
        </w:rPr>
        <w:t>If weak, abnormally behaving or freshly dead (not decomposed) fish are present, such fish should be selected. If such fish are not present, the fish selected should include normal appearing, healthy fish collected in such a way that all parts of the farm as well as all year classes are proportionally represented in the sample.</w:t>
      </w:r>
    </w:p>
    <w:p w14:paraId="6FF4071F" w14:textId="77777777" w:rsidR="00DB4D42" w:rsidRDefault="00DB4D42">
      <w:pPr>
        <w:rPr>
          <w:u w:val="single"/>
        </w:rPr>
      </w:pPr>
      <w:r>
        <w:rPr>
          <w:u w:val="single"/>
        </w:rPr>
        <w:br w:type="page"/>
      </w:r>
    </w:p>
    <w:p w14:paraId="66DA0FEB" w14:textId="069DD4A9" w:rsidR="004F1CC2" w:rsidRDefault="004F1CC2" w:rsidP="004F1CC2">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p w14:paraId="543D4602" w14:textId="77777777" w:rsidR="00E65E42" w:rsidRPr="00CE3083" w:rsidRDefault="00E65E42" w:rsidP="00557B45">
      <w:pPr>
        <w:pStyle w:val="Parai2"/>
        <w:ind w:left="709" w:firstLine="0"/>
        <w:rPr>
          <w:rFonts w:cs="Arial"/>
          <w:szCs w:val="18"/>
          <w:u w:val="double"/>
          <w:lang w:val="en-GB"/>
        </w:rPr>
      </w:pPr>
      <w:r w:rsidRPr="00CE3083">
        <w:rPr>
          <w:rFonts w:eastAsia="SimSun" w:cs="Arial"/>
          <w:color w:val="000000"/>
          <w:szCs w:val="18"/>
          <w:highlight w:val="yellow"/>
          <w:u w:val="double"/>
        </w:rPr>
        <w:t>For disease outbreak investigations, moribund fish or fish exhibiting clinical signs of infection with IHNV should be collected. Ideally fish should be collected while alive, however recently dead fish can also be selected for diagnostic testing. It should be noted however, that there will be a significant risk of contamination with environmental bacteria if the animals have been dead for some time. There may be no clinical signs or gross pathognomonic lesions in cases of sudden mortality</w:t>
      </w:r>
      <w:r>
        <w:rPr>
          <w:rFonts w:eastAsia="SimSun" w:cs="Arial"/>
          <w:color w:val="000000"/>
          <w:szCs w:val="18"/>
          <w:u w:val="double"/>
        </w:rPr>
        <w:t>.</w:t>
      </w:r>
    </w:p>
    <w:p w14:paraId="4DB39A1C" w14:textId="77777777" w:rsidR="00E65E42" w:rsidRPr="0089592E" w:rsidRDefault="00E65E42" w:rsidP="00DB4D42">
      <w:pPr>
        <w:pStyle w:val="11"/>
        <w:rPr>
          <w:rFonts w:ascii="Ottawa" w:hAnsi="Ottawa"/>
          <w:sz w:val="21"/>
          <w:szCs w:val="21"/>
          <w:lang w:val="en-IE"/>
        </w:rPr>
      </w:pPr>
      <w:r w:rsidRPr="0089592E">
        <w:rPr>
          <w:rFonts w:ascii="Ottawa" w:hAnsi="Ottawa"/>
          <w:sz w:val="21"/>
          <w:szCs w:val="21"/>
          <w:lang w:val="en-IE"/>
        </w:rPr>
        <w:t>3.2.</w:t>
      </w:r>
      <w:r w:rsidRPr="0089592E">
        <w:rPr>
          <w:rFonts w:ascii="Ottawa" w:hAnsi="Ottawa"/>
          <w:sz w:val="21"/>
          <w:szCs w:val="21"/>
          <w:lang w:val="en-IE"/>
        </w:rPr>
        <w:tab/>
        <w:t>Selection of organs or tissues</w:t>
      </w:r>
    </w:p>
    <w:p w14:paraId="7E2C06C6" w14:textId="77777777" w:rsidR="00E65E42" w:rsidRPr="00990C67" w:rsidRDefault="00E65E42" w:rsidP="00557B45">
      <w:pPr>
        <w:pStyle w:val="Para20"/>
        <w:ind w:left="709"/>
        <w:rPr>
          <w:rFonts w:cs="Arial"/>
          <w:szCs w:val="18"/>
        </w:rPr>
      </w:pPr>
      <w:r w:rsidRPr="00D403F5">
        <w:rPr>
          <w:rFonts w:cs="Arial"/>
          <w:szCs w:val="18"/>
        </w:rPr>
        <w:t xml:space="preserve">The optimal </w:t>
      </w:r>
      <w:r w:rsidRPr="00283641">
        <w:rPr>
          <w:rFonts w:cs="Arial"/>
          <w:szCs w:val="18"/>
        </w:rPr>
        <w:t>tissue</w:t>
      </w:r>
      <w:r w:rsidRPr="00283641">
        <w:rPr>
          <w:rFonts w:cs="Arial"/>
          <w:szCs w:val="18"/>
          <w:highlight w:val="yellow"/>
          <w:u w:val="double"/>
        </w:rPr>
        <w:t>s</w:t>
      </w:r>
      <w:r w:rsidRPr="00283641">
        <w:rPr>
          <w:rFonts w:cs="Arial"/>
          <w:szCs w:val="18"/>
        </w:rPr>
        <w:t xml:space="preserve"> </w:t>
      </w:r>
      <w:r w:rsidRPr="00283641">
        <w:rPr>
          <w:rFonts w:cs="Arial"/>
          <w:strike/>
          <w:szCs w:val="18"/>
          <w:highlight w:val="yellow"/>
        </w:rPr>
        <w:t>m</w:t>
      </w:r>
      <w:r w:rsidRPr="006936A4">
        <w:rPr>
          <w:rFonts w:cs="Arial"/>
          <w:strike/>
          <w:szCs w:val="18"/>
          <w:highlight w:val="yellow"/>
        </w:rPr>
        <w:t xml:space="preserve">aterial to be examined is </w:t>
      </w:r>
      <w:r w:rsidRPr="006936A4">
        <w:rPr>
          <w:rFonts w:cs="Arial"/>
          <w:szCs w:val="18"/>
          <w:highlight w:val="yellow"/>
          <w:u w:val="double"/>
        </w:rPr>
        <w:t>are</w:t>
      </w:r>
      <w:r w:rsidRPr="00990C67">
        <w:rPr>
          <w:rFonts w:cs="Arial"/>
          <w:szCs w:val="18"/>
        </w:rPr>
        <w:t xml:space="preserve"> </w:t>
      </w:r>
      <w:r w:rsidRPr="00D403F5">
        <w:rPr>
          <w:rFonts w:cs="Arial"/>
          <w:szCs w:val="18"/>
        </w:rPr>
        <w:t>spleen, anterior kidney, and either heart or brain. In the case of spawning fish, ovarian fluid and milt may be</w:t>
      </w:r>
      <w:r>
        <w:rPr>
          <w:rFonts w:cs="Arial"/>
          <w:szCs w:val="18"/>
        </w:rPr>
        <w:t xml:space="preserve"> </w:t>
      </w:r>
      <w:r w:rsidRPr="006936A4">
        <w:rPr>
          <w:rFonts w:cs="Arial"/>
          <w:szCs w:val="18"/>
          <w:highlight w:val="yellow"/>
          <w:u w:val="double"/>
        </w:rPr>
        <w:t>taken</w:t>
      </w:r>
      <w:r w:rsidRPr="006936A4">
        <w:rPr>
          <w:rFonts w:cs="Arial"/>
          <w:strike/>
          <w:szCs w:val="18"/>
          <w:highlight w:val="yellow"/>
        </w:rPr>
        <w:t xml:space="preserve"> examined</w:t>
      </w:r>
      <w:r w:rsidRPr="006936A4">
        <w:rPr>
          <w:rFonts w:cs="Arial"/>
          <w:szCs w:val="18"/>
          <w:highlight w:val="yellow"/>
        </w:rPr>
        <w:t>.</w:t>
      </w:r>
    </w:p>
    <w:p w14:paraId="7A0CDBA1" w14:textId="77777777" w:rsidR="00E65E42" w:rsidRPr="002A776F" w:rsidRDefault="00E65E42" w:rsidP="00557B45">
      <w:pPr>
        <w:pStyle w:val="Para20"/>
        <w:ind w:left="709"/>
        <w:rPr>
          <w:rFonts w:eastAsiaTheme="minorEastAsia" w:cs="Arial"/>
          <w:szCs w:val="18"/>
          <w:lang w:eastAsia="zh-CN"/>
        </w:rPr>
      </w:pPr>
      <w:r w:rsidRPr="00D403F5">
        <w:rPr>
          <w:rFonts w:cs="Arial"/>
          <w:szCs w:val="18"/>
        </w:rPr>
        <w:t xml:space="preserve">In the case of small fry, whole fish less than 4 cm long can be homogenised (using, for example, sterile scissors or a scapel) after removal of the body behind the </w:t>
      </w:r>
      <w:r w:rsidRPr="006936A4">
        <w:rPr>
          <w:rFonts w:cs="Arial"/>
          <w:szCs w:val="18"/>
          <w:highlight w:val="yellow"/>
          <w:u w:val="double"/>
        </w:rPr>
        <w:t>anal pore</w:t>
      </w:r>
      <w:r w:rsidRPr="00283641">
        <w:rPr>
          <w:rFonts w:cs="Arial"/>
          <w:strike/>
          <w:szCs w:val="18"/>
          <w:highlight w:val="yellow"/>
        </w:rPr>
        <w:t xml:space="preserve"> </w:t>
      </w:r>
      <w:r w:rsidRPr="006936A4">
        <w:rPr>
          <w:rFonts w:cs="Arial"/>
          <w:strike/>
          <w:szCs w:val="18"/>
          <w:highlight w:val="yellow"/>
        </w:rPr>
        <w:t>gut opening</w:t>
      </w:r>
      <w:r w:rsidRPr="006936A4">
        <w:rPr>
          <w:rFonts w:cs="Arial"/>
          <w:szCs w:val="18"/>
          <w:highlight w:val="yellow"/>
        </w:rPr>
        <w:t>.</w:t>
      </w:r>
      <w:r w:rsidRPr="00D403F5">
        <w:rPr>
          <w:rFonts w:cs="Arial"/>
          <w:szCs w:val="18"/>
        </w:rPr>
        <w:t xml:space="preserve"> If a sample consists of whole fish with a body length between 4 cm and 6 cm, the viscera including kidney should be collected.</w:t>
      </w:r>
      <w:r w:rsidRPr="00D403F5">
        <w:rPr>
          <w:rFonts w:cs="Arial"/>
          <w:szCs w:val="18"/>
          <w:lang w:eastAsia="fr-FR"/>
        </w:rPr>
        <w:t xml:space="preserve"> F</w:t>
      </w:r>
      <w:r w:rsidRPr="00D403F5">
        <w:rPr>
          <w:szCs w:val="18"/>
          <w:lang w:eastAsia="fr-FR"/>
        </w:rPr>
        <w:t xml:space="preserve">or larger size fish, kidney, spleen, heart, encephalon, and ovarian fluid from brood fish at the time of spawning, should be the tissues to be sampled. </w:t>
      </w:r>
      <w:r w:rsidRPr="00283641">
        <w:rPr>
          <w:strike/>
          <w:szCs w:val="18"/>
          <w:highlight w:val="yellow"/>
        </w:rPr>
        <w:t>When possible,</w:t>
      </w:r>
      <w:r w:rsidRPr="00283641">
        <w:rPr>
          <w:strike/>
          <w:szCs w:val="18"/>
        </w:rPr>
        <w:t xml:space="preserve"> </w:t>
      </w:r>
      <w:r w:rsidRPr="00D403F5">
        <w:rPr>
          <w:szCs w:val="18"/>
        </w:rPr>
        <w:t>Samples should be taken in duplicate to permit retesting if needed</w:t>
      </w:r>
      <w:r>
        <w:rPr>
          <w:szCs w:val="18"/>
        </w:rPr>
        <w:t>.</w:t>
      </w:r>
    </w:p>
    <w:p w14:paraId="5A529983" w14:textId="77777777" w:rsidR="00E65E42" w:rsidRPr="0089592E" w:rsidRDefault="00E65E42" w:rsidP="00DB4D42">
      <w:pPr>
        <w:pStyle w:val="11"/>
        <w:rPr>
          <w:rFonts w:ascii="Ottawa" w:hAnsi="Ottawa"/>
          <w:sz w:val="21"/>
          <w:szCs w:val="21"/>
          <w:lang w:val="en-IE"/>
        </w:rPr>
      </w:pPr>
      <w:r w:rsidRPr="0089592E">
        <w:rPr>
          <w:rFonts w:ascii="Ottawa" w:hAnsi="Ottawa"/>
          <w:sz w:val="21"/>
          <w:szCs w:val="21"/>
          <w:lang w:val="en-IE"/>
        </w:rPr>
        <w:t>3.3.</w:t>
      </w:r>
      <w:r w:rsidRPr="0089592E">
        <w:rPr>
          <w:rFonts w:ascii="Ottawa" w:hAnsi="Ottawa"/>
          <w:sz w:val="21"/>
          <w:szCs w:val="21"/>
          <w:lang w:val="en-IE"/>
        </w:rPr>
        <w:tab/>
        <w:t>Samples or tissues not suitable for pathogen detection</w:t>
      </w:r>
    </w:p>
    <w:p w14:paraId="2DD81154" w14:textId="77777777" w:rsidR="00E65E42" w:rsidRDefault="00E65E42" w:rsidP="00557B45">
      <w:pPr>
        <w:pStyle w:val="Para20"/>
        <w:ind w:left="709"/>
        <w:rPr>
          <w:rFonts w:cs="Arial"/>
          <w:szCs w:val="18"/>
        </w:rPr>
      </w:pPr>
      <w:r w:rsidRPr="00D403F5">
        <w:rPr>
          <w:szCs w:val="18"/>
        </w:rPr>
        <w:t xml:space="preserve">IHNV is very sensitive to enzymic degradation, therefore sampling tissues with high enzymatic activities </w:t>
      </w:r>
      <w:r w:rsidRPr="00D403F5">
        <w:rPr>
          <w:rFonts w:cs="Arial"/>
          <w:szCs w:val="18"/>
        </w:rPr>
        <w:t>or large numbers of contaminating bacteria,</w:t>
      </w:r>
      <w:r w:rsidRPr="00D403F5">
        <w:rPr>
          <w:szCs w:val="18"/>
        </w:rPr>
        <w:t xml:space="preserve"> such as </w:t>
      </w:r>
      <w:r w:rsidRPr="00D403F5">
        <w:rPr>
          <w:rFonts w:cs="Arial"/>
          <w:szCs w:val="18"/>
        </w:rPr>
        <w:t xml:space="preserve">the intestine or skin, </w:t>
      </w:r>
      <w:r w:rsidRPr="00D403F5">
        <w:rPr>
          <w:szCs w:val="18"/>
        </w:rPr>
        <w:t>should be avoided</w:t>
      </w:r>
      <w:r w:rsidRPr="00D403F5">
        <w:rPr>
          <w:rFonts w:cs="Arial"/>
          <w:szCs w:val="18"/>
        </w:rPr>
        <w:t xml:space="preserve"> when possible. Given the haematopoietic nature of IHNV, muscle tissue should be avoided as a target tissue. The yolk sac of fry has also shown toxicity to cell lines and should be removed before inoculating cells for virus isolation. Preservatives and fixatives, such as RNAlater and formaldehyde can be toxic to tissue</w:t>
      </w:r>
      <w:r w:rsidRPr="00D403F5">
        <w:rPr>
          <w:rFonts w:eastAsiaTheme="minorEastAsia" w:cs="Arial"/>
          <w:szCs w:val="18"/>
          <w:lang w:eastAsia="zh-CN"/>
        </w:rPr>
        <w:t xml:space="preserve"> </w:t>
      </w:r>
      <w:r w:rsidRPr="00D403F5">
        <w:rPr>
          <w:rFonts w:cs="Arial"/>
          <w:szCs w:val="18"/>
        </w:rPr>
        <w:t>culture cells</w:t>
      </w:r>
      <w:r w:rsidRPr="00D403F5">
        <w:rPr>
          <w:rFonts w:eastAsiaTheme="minorEastAsia" w:cs="Arial"/>
          <w:szCs w:val="18"/>
          <w:lang w:eastAsia="zh-CN"/>
        </w:rPr>
        <w:t xml:space="preserve"> </w:t>
      </w:r>
      <w:r w:rsidRPr="00D403F5">
        <w:rPr>
          <w:rFonts w:cs="Arial"/>
          <w:szCs w:val="18"/>
        </w:rPr>
        <w:t xml:space="preserve">such as epithelioma papulosum cyprini (EPC) and fathead minnow (FHM), and can impact molecular detection methods </w:t>
      </w:r>
      <w:r w:rsidRPr="00D403F5">
        <w:rPr>
          <w:rFonts w:cs="Arial"/>
          <w:noProof/>
          <w:szCs w:val="18"/>
        </w:rPr>
        <w:t>(</w:t>
      </w:r>
      <w:r w:rsidRPr="00D403F5">
        <w:rPr>
          <w:rFonts w:cs="Arial"/>
          <w:szCs w:val="18"/>
        </w:rPr>
        <w:t xml:space="preserve">Auinger </w:t>
      </w:r>
      <w:r w:rsidRPr="00D403F5">
        <w:rPr>
          <w:rFonts w:cs="Arial"/>
          <w:i/>
          <w:szCs w:val="18"/>
        </w:rPr>
        <w:t xml:space="preserve">et al., </w:t>
      </w:r>
      <w:r w:rsidRPr="00D403F5">
        <w:rPr>
          <w:rFonts w:cs="Arial"/>
          <w:szCs w:val="18"/>
        </w:rPr>
        <w:t>2008</w:t>
      </w:r>
      <w:r w:rsidRPr="00D403F5">
        <w:rPr>
          <w:rFonts w:cs="Arial"/>
          <w:noProof/>
          <w:szCs w:val="18"/>
        </w:rPr>
        <w:t xml:space="preserve">; Pham </w:t>
      </w:r>
      <w:r w:rsidRPr="00D403F5">
        <w:rPr>
          <w:rFonts w:cs="Arial"/>
          <w:i/>
          <w:noProof/>
          <w:szCs w:val="18"/>
        </w:rPr>
        <w:t>et al.,</w:t>
      </w:r>
      <w:r w:rsidRPr="00D403F5">
        <w:rPr>
          <w:rFonts w:cs="Arial"/>
          <w:noProof/>
          <w:szCs w:val="18"/>
        </w:rPr>
        <w:t xml:space="preserve"> 2018)</w:t>
      </w:r>
      <w:r w:rsidRPr="00D403F5">
        <w:rPr>
          <w:rFonts w:cs="Arial"/>
          <w:szCs w:val="18"/>
        </w:rPr>
        <w:t xml:space="preserve">. </w:t>
      </w:r>
    </w:p>
    <w:p w14:paraId="551D9C14" w14:textId="77777777" w:rsidR="00E65E42" w:rsidRPr="0089592E" w:rsidRDefault="00E65E42" w:rsidP="00DB4D42">
      <w:pPr>
        <w:pStyle w:val="11"/>
        <w:rPr>
          <w:rFonts w:ascii="Ottawa" w:hAnsi="Ottawa"/>
          <w:sz w:val="21"/>
          <w:szCs w:val="21"/>
          <w:lang w:val="en-IE"/>
        </w:rPr>
      </w:pPr>
      <w:r w:rsidRPr="0089592E">
        <w:rPr>
          <w:rFonts w:ascii="Ottawa" w:hAnsi="Ottawa"/>
          <w:sz w:val="21"/>
          <w:szCs w:val="21"/>
          <w:lang w:val="en-IE"/>
        </w:rPr>
        <w:t>3.4.</w:t>
      </w:r>
      <w:r w:rsidRPr="0089592E">
        <w:rPr>
          <w:rFonts w:ascii="Ottawa" w:hAnsi="Ottawa"/>
          <w:sz w:val="21"/>
          <w:szCs w:val="21"/>
          <w:lang w:val="en-IE"/>
        </w:rPr>
        <w:tab/>
        <w:t>Non-lethal sampling</w:t>
      </w:r>
      <w:r>
        <w:rPr>
          <w:rFonts w:ascii="Ottawa" w:hAnsi="Ottawa"/>
          <w:sz w:val="21"/>
          <w:szCs w:val="21"/>
          <w:lang w:val="en-IE"/>
        </w:rPr>
        <w:t xml:space="preserve"> </w:t>
      </w:r>
    </w:p>
    <w:p w14:paraId="6BF99FED" w14:textId="77777777" w:rsidR="00E65E42" w:rsidRPr="00D403F5" w:rsidRDefault="00E65E42" w:rsidP="00557B45">
      <w:pPr>
        <w:pStyle w:val="Para20"/>
        <w:ind w:left="709"/>
        <w:rPr>
          <w:rFonts w:cs="Arial"/>
          <w:szCs w:val="18"/>
          <w:lang w:eastAsia="fr-FR"/>
        </w:rPr>
      </w:pPr>
      <w:r w:rsidRPr="00D403F5">
        <w:rPr>
          <w:rFonts w:cs="Arial"/>
          <w:szCs w:val="18"/>
          <w:lang w:eastAsia="fr-FR"/>
        </w:rPr>
        <w:t xml:space="preserve">Ovarian fluid and milt are suitable samples for detection of IHNV in spawning adult salmon and trout (Dixon </w:t>
      </w:r>
      <w:r w:rsidRPr="00D403F5">
        <w:rPr>
          <w:rFonts w:cs="Arial"/>
          <w:i/>
          <w:szCs w:val="18"/>
          <w:lang w:eastAsia="fr-FR"/>
        </w:rPr>
        <w:t>et al.,</w:t>
      </w:r>
      <w:r w:rsidRPr="00D403F5">
        <w:rPr>
          <w:rFonts w:cs="Arial"/>
          <w:szCs w:val="18"/>
          <w:lang w:eastAsia="fr-FR"/>
        </w:rPr>
        <w:t xml:space="preserve"> 2016; </w:t>
      </w:r>
      <w:r w:rsidRPr="00D403F5">
        <w:rPr>
          <w:rFonts w:cs="Arial"/>
          <w:noProof/>
          <w:szCs w:val="18"/>
          <w:lang w:eastAsia="fr-FR"/>
        </w:rPr>
        <w:t xml:space="preserve">Meyers </w:t>
      </w:r>
      <w:r w:rsidRPr="00D403F5">
        <w:rPr>
          <w:rFonts w:cs="Arial"/>
          <w:i/>
          <w:noProof/>
          <w:szCs w:val="18"/>
          <w:lang w:eastAsia="fr-FR"/>
        </w:rPr>
        <w:t>et al.,</w:t>
      </w:r>
      <w:r w:rsidRPr="00D403F5">
        <w:rPr>
          <w:rFonts w:cs="Arial"/>
          <w:noProof/>
          <w:szCs w:val="18"/>
          <w:lang w:eastAsia="fr-FR"/>
        </w:rPr>
        <w:t xml:space="preserve"> 2003)</w:t>
      </w:r>
      <w:r w:rsidRPr="00D403F5">
        <w:rPr>
          <w:rFonts w:cs="Arial"/>
          <w:szCs w:val="18"/>
          <w:lang w:eastAsia="fr-FR"/>
        </w:rPr>
        <w:t xml:space="preserve">. There is evidence that IHNV may be isolated from gill, fin and mucous samples but detection may be impacted by the state of infection, time since exposure and sample size </w:t>
      </w:r>
      <w:r w:rsidRPr="00D403F5">
        <w:rPr>
          <w:rFonts w:cs="Arial"/>
          <w:noProof/>
          <w:szCs w:val="18"/>
          <w:lang w:eastAsia="fr-FR"/>
        </w:rPr>
        <w:t>(</w:t>
      </w:r>
      <w:r w:rsidRPr="00D403F5">
        <w:rPr>
          <w:rFonts w:cs="Arial"/>
          <w:szCs w:val="18"/>
        </w:rPr>
        <w:t xml:space="preserve">Burbank </w:t>
      </w:r>
      <w:r w:rsidRPr="00D403F5">
        <w:rPr>
          <w:rFonts w:cs="Arial"/>
          <w:i/>
          <w:szCs w:val="18"/>
        </w:rPr>
        <w:t>et al.,</w:t>
      </w:r>
      <w:r w:rsidRPr="00D403F5">
        <w:rPr>
          <w:rFonts w:cs="Arial"/>
          <w:szCs w:val="18"/>
        </w:rPr>
        <w:t xml:space="preserve"> 2017; </w:t>
      </w:r>
      <w:r w:rsidRPr="00D403F5">
        <w:rPr>
          <w:rFonts w:cs="Arial"/>
          <w:noProof/>
          <w:szCs w:val="18"/>
          <w:lang w:eastAsia="fr-FR"/>
        </w:rPr>
        <w:t xml:space="preserve">LaPatra </w:t>
      </w:r>
      <w:r w:rsidRPr="00D403F5">
        <w:rPr>
          <w:rFonts w:cs="Arial"/>
          <w:i/>
          <w:noProof/>
          <w:szCs w:val="18"/>
          <w:lang w:eastAsia="fr-FR"/>
        </w:rPr>
        <w:t>et al.,</w:t>
      </w:r>
      <w:r w:rsidRPr="00D403F5">
        <w:rPr>
          <w:rFonts w:cs="Arial"/>
          <w:noProof/>
          <w:szCs w:val="18"/>
          <w:lang w:eastAsia="fr-FR"/>
        </w:rPr>
        <w:t xml:space="preserve"> 1989)</w:t>
      </w:r>
      <w:r w:rsidRPr="00D403F5">
        <w:rPr>
          <w:rFonts w:cs="Arial"/>
          <w:szCs w:val="18"/>
          <w:lang w:eastAsia="fr-FR"/>
        </w:rPr>
        <w:t>.</w:t>
      </w:r>
    </w:p>
    <w:p w14:paraId="6279402E" w14:textId="77777777" w:rsidR="00E65E42" w:rsidRPr="0089592E" w:rsidRDefault="00E65E42" w:rsidP="00DB4D42">
      <w:pPr>
        <w:pStyle w:val="11"/>
        <w:rPr>
          <w:rFonts w:ascii="Ottawa" w:hAnsi="Ottawa"/>
          <w:sz w:val="21"/>
          <w:szCs w:val="21"/>
          <w:lang w:val="en-IE"/>
        </w:rPr>
      </w:pPr>
      <w:r w:rsidRPr="0089592E">
        <w:rPr>
          <w:rFonts w:ascii="Ottawa" w:hAnsi="Ottawa"/>
          <w:sz w:val="21"/>
          <w:szCs w:val="21"/>
          <w:lang w:val="en-IE"/>
        </w:rPr>
        <w:t>3.5.</w:t>
      </w:r>
      <w:r w:rsidRPr="0089592E">
        <w:rPr>
          <w:rFonts w:ascii="Ottawa" w:hAnsi="Ottawa"/>
          <w:sz w:val="21"/>
          <w:szCs w:val="21"/>
          <w:lang w:val="en-IE"/>
        </w:rPr>
        <w:tab/>
        <w:t>Preservation of samples for submission</w:t>
      </w:r>
    </w:p>
    <w:p w14:paraId="60A012EE" w14:textId="77777777" w:rsidR="00E65E42" w:rsidRPr="00D403F5" w:rsidRDefault="00E65E42" w:rsidP="00DB4D42">
      <w:pPr>
        <w:pStyle w:val="Para20"/>
        <w:ind w:left="709"/>
        <w:rPr>
          <w:szCs w:val="18"/>
        </w:rPr>
      </w:pPr>
      <w:r w:rsidRPr="00D403F5">
        <w:rPr>
          <w:szCs w:val="18"/>
        </w:rPr>
        <w:t>For guidance on sample preservation methods for the intended test methods, see Chapter 2.3.0.</w:t>
      </w:r>
    </w:p>
    <w:p w14:paraId="780315B7" w14:textId="77777777" w:rsidR="00E65E42" w:rsidRPr="0089592E" w:rsidRDefault="00E65E42" w:rsidP="00DB4D42">
      <w:pPr>
        <w:pStyle w:val="111"/>
        <w:spacing w:after="180"/>
        <w:ind w:left="1276"/>
        <w:rPr>
          <w:szCs w:val="20"/>
          <w:lang w:val="en-IE"/>
        </w:rPr>
      </w:pPr>
      <w:r w:rsidRPr="0089592E">
        <w:rPr>
          <w:szCs w:val="20"/>
          <w:lang w:val="en-IE"/>
        </w:rPr>
        <w:t>3.5.1.</w:t>
      </w:r>
      <w:r w:rsidRPr="0089592E">
        <w:rPr>
          <w:szCs w:val="20"/>
          <w:lang w:val="en-IE"/>
        </w:rPr>
        <w:tab/>
        <w:t xml:space="preserve">Samples for pathogen isolation </w:t>
      </w:r>
    </w:p>
    <w:p w14:paraId="296504D8" w14:textId="77777777" w:rsidR="00E65E42" w:rsidRPr="00D403F5" w:rsidRDefault="00E65E42" w:rsidP="00DB4D42">
      <w:pPr>
        <w:pStyle w:val="Para3"/>
        <w:ind w:left="709"/>
        <w:rPr>
          <w:szCs w:val="18"/>
          <w:lang w:eastAsia="fr-FR"/>
        </w:rPr>
      </w:pPr>
      <w:bookmarkStart w:id="139" w:name="_Hlk21074832"/>
      <w:r w:rsidRPr="00D403F5">
        <w:rPr>
          <w:szCs w:val="18"/>
          <w:lang w:eastAsia="fr-FR"/>
        </w:rPr>
        <w:t>The success of pathogen isolation and results of bioassay depend strongly on the quality of samples (time since collection and time in storage). Fresh specimens should be kept on ice and preferably sent to the laboratory within 24 hours of collection. Alternate storage methods should only be used after consultation with the receiving laboratory.</w:t>
      </w:r>
    </w:p>
    <w:bookmarkEnd w:id="139"/>
    <w:p w14:paraId="23779395" w14:textId="77777777" w:rsidR="00E65E42" w:rsidRPr="00D403F5" w:rsidRDefault="00E65E42" w:rsidP="00DB4D42">
      <w:pPr>
        <w:pStyle w:val="Para3"/>
        <w:ind w:left="709"/>
        <w:rPr>
          <w:szCs w:val="18"/>
          <w:lang w:eastAsia="fr-FR"/>
        </w:rPr>
      </w:pPr>
      <w:r w:rsidRPr="00D403F5">
        <w:rPr>
          <w:szCs w:val="18"/>
          <w:lang w:eastAsia="fr-FR"/>
        </w:rPr>
        <w:t>Before shipment or transfer to the laboratory, pieces of the organs to be examined should be removed from the fish with sterile dissection tools and transferred to sterile plastic tubes containing transport medium,</w:t>
      </w:r>
      <w:r w:rsidRPr="00D403F5">
        <w:rPr>
          <w:rFonts w:cs="Arial"/>
          <w:szCs w:val="18"/>
          <w:lang w:val="en-GB"/>
        </w:rPr>
        <w:t xml:space="preserve"> i.e. cell culture medium with 10% fetal calf serum (FCS) and antibiotics. The combination of 200 International Units (IU) penicillin, 200 µg streptomycin, and 200 µg kanamycin per ml are recommended, although other antibiotics of proven efficacy may also be used.</w:t>
      </w:r>
      <w:r w:rsidRPr="00D403F5">
        <w:rPr>
          <w:szCs w:val="18"/>
          <w:lang w:eastAsia="fr-FR"/>
        </w:rPr>
        <w:t xml:space="preserve"> The tissue in each sample should </w:t>
      </w:r>
      <w:r w:rsidRPr="00D403F5">
        <w:rPr>
          <w:szCs w:val="18"/>
        </w:rPr>
        <w:t>be larger than the analytical unit size required for initial laboratory testing (e.g. between 0.5 and 2 g) and taken in duplicate if retesting may be required.</w:t>
      </w:r>
    </w:p>
    <w:p w14:paraId="3D658F0D" w14:textId="77777777" w:rsidR="00E65E42" w:rsidRDefault="00E65E42" w:rsidP="00DB4D42">
      <w:pPr>
        <w:pStyle w:val="Para3"/>
        <w:ind w:left="709"/>
        <w:rPr>
          <w:rFonts w:cs="Arial"/>
          <w:szCs w:val="18"/>
          <w:lang w:val="en-GB"/>
        </w:rPr>
      </w:pPr>
      <w:r w:rsidRPr="00D403F5">
        <w:rPr>
          <w:rFonts w:cs="Arial"/>
          <w:szCs w:val="18"/>
          <w:lang w:val="en-GB"/>
        </w:rPr>
        <w:t xml:space="preserve">Tubes containing fish tissues in transport medium for cell cultivation should be placed in insulated containers, such as thick-walled polystyrene boxes, together with sufficient ice or an alternative cooling medium with the similar cooling effect to ensure chilling of the samples during transportation to the laboratory. However, freezing of the samples should be avoided. The temperature of a sample during transit must never exceed 10°C, and ice must still be present in the transport box at receipt or </w:t>
      </w:r>
      <w:r w:rsidRPr="006936A4">
        <w:rPr>
          <w:rFonts w:cs="Arial"/>
          <w:szCs w:val="18"/>
          <w:highlight w:val="yellow"/>
          <w:u w:val="double"/>
          <w:lang w:val="en-GB"/>
        </w:rPr>
        <w:t>at least</w:t>
      </w:r>
      <w:r>
        <w:rPr>
          <w:rFonts w:cs="Arial"/>
          <w:szCs w:val="18"/>
          <w:lang w:val="en-GB"/>
        </w:rPr>
        <w:t xml:space="preserve"> </w:t>
      </w:r>
      <w:r w:rsidRPr="00D403F5">
        <w:rPr>
          <w:rFonts w:cs="Arial"/>
          <w:szCs w:val="18"/>
          <w:lang w:val="en-GB"/>
        </w:rPr>
        <w:t xml:space="preserve">one </w:t>
      </w:r>
      <w:r w:rsidRPr="006936A4">
        <w:rPr>
          <w:rFonts w:cs="Arial"/>
          <w:strike/>
          <w:szCs w:val="18"/>
          <w:highlight w:val="yellow"/>
          <w:lang w:val="en-GB"/>
        </w:rPr>
        <w:t>or more</w:t>
      </w:r>
      <w:r w:rsidRPr="004C0B8D">
        <w:rPr>
          <w:rFonts w:cs="Arial"/>
          <w:strike/>
          <w:szCs w:val="18"/>
          <w:lang w:val="en-GB"/>
        </w:rPr>
        <w:t xml:space="preserve"> </w:t>
      </w:r>
      <w:r w:rsidRPr="00D403F5">
        <w:rPr>
          <w:rFonts w:cs="Arial"/>
          <w:szCs w:val="18"/>
          <w:lang w:val="en-GB"/>
        </w:rPr>
        <w:t>freeze block</w:t>
      </w:r>
      <w:r w:rsidRPr="0014778F">
        <w:rPr>
          <w:rFonts w:cs="Arial"/>
          <w:strike/>
          <w:szCs w:val="18"/>
          <w:highlight w:val="yellow"/>
          <w:lang w:val="en-GB"/>
        </w:rPr>
        <w:t>s</w:t>
      </w:r>
      <w:r w:rsidRPr="00D403F5">
        <w:rPr>
          <w:rFonts w:cs="Arial"/>
          <w:szCs w:val="18"/>
          <w:lang w:val="en-GB"/>
        </w:rPr>
        <w:t xml:space="preserve"> must still be partly or completely frozen. </w:t>
      </w:r>
    </w:p>
    <w:p w14:paraId="7A496BB3" w14:textId="77777777" w:rsidR="004F1CC2" w:rsidRDefault="004F1CC2">
      <w:pPr>
        <w:rPr>
          <w:u w:val="single"/>
        </w:rPr>
      </w:pPr>
      <w:r>
        <w:rPr>
          <w:u w:val="single"/>
        </w:rPr>
        <w:br w:type="page"/>
      </w:r>
    </w:p>
    <w:p w14:paraId="54D53827" w14:textId="1F00BC6D" w:rsidR="004F1CC2" w:rsidRDefault="004F1CC2" w:rsidP="004F1CC2">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p w14:paraId="7C2DA9FB" w14:textId="77777777" w:rsidR="00E65E42" w:rsidRPr="00D403F5" w:rsidRDefault="00E65E42" w:rsidP="00DB4D42">
      <w:pPr>
        <w:pStyle w:val="Para3"/>
        <w:spacing w:after="120"/>
        <w:ind w:left="709"/>
        <w:rPr>
          <w:rFonts w:cs="Arial"/>
          <w:szCs w:val="18"/>
          <w:lang w:val="en-GB"/>
        </w:rPr>
      </w:pPr>
      <w:r w:rsidRPr="00D403F5">
        <w:rPr>
          <w:rFonts w:cs="Arial"/>
          <w:szCs w:val="18"/>
          <w:lang w:val="en-GB"/>
        </w:rPr>
        <w:t>Whole fish may be sent to the laboratory if the temperature requirements referred to in the first paragraph during transportation can be fulfilled. Whole fish should be wrapped up in paper with absorptive capacity and enclosed in a plastic bag. Live fish may also be transported to the laboratory.</w:t>
      </w:r>
      <w:r w:rsidRPr="00D403F5">
        <w:rPr>
          <w:rFonts w:cs="Arial"/>
          <w:szCs w:val="18"/>
        </w:rPr>
        <w:t xml:space="preserve"> All packaging and labelling must be performed in accordance with present national and international transport regulations, as appropriate.</w:t>
      </w:r>
    </w:p>
    <w:p w14:paraId="7EDEEE3A" w14:textId="77777777" w:rsidR="00E65E42" w:rsidRPr="00D403F5" w:rsidRDefault="00E65E42" w:rsidP="00DB4D42">
      <w:pPr>
        <w:pStyle w:val="Para3"/>
        <w:spacing w:after="120"/>
        <w:ind w:left="709"/>
        <w:rPr>
          <w:szCs w:val="18"/>
          <w:lang w:eastAsia="fr-FR"/>
        </w:rPr>
      </w:pPr>
      <w:r w:rsidRPr="00D403F5">
        <w:rPr>
          <w:szCs w:val="18"/>
          <w:lang w:eastAsia="fr-FR"/>
        </w:rPr>
        <w:t>The virological examination on cell culture should be started as soon as possible, and no later than 48 hours after the collection of the samples. In exceptional cases, the virological examination may be started at the latest within 72 hours after the collection of the material, provided that the material to be examined is protected by a transport medium, and that the temperature requirements during transportation can be fulfilled.</w:t>
      </w:r>
    </w:p>
    <w:p w14:paraId="49662493" w14:textId="77777777" w:rsidR="00E65E42" w:rsidRPr="0089592E" w:rsidRDefault="00E65E42" w:rsidP="00DB4D42">
      <w:pPr>
        <w:pStyle w:val="111"/>
        <w:spacing w:after="180"/>
        <w:ind w:left="1276"/>
        <w:rPr>
          <w:szCs w:val="20"/>
          <w:lang w:val="en-IE"/>
        </w:rPr>
      </w:pPr>
      <w:bookmarkStart w:id="140" w:name="_Hlk20930735"/>
      <w:r w:rsidRPr="0089592E">
        <w:rPr>
          <w:szCs w:val="20"/>
          <w:lang w:val="en-IE"/>
        </w:rPr>
        <w:t>3.5.2.</w:t>
      </w:r>
      <w:r w:rsidRPr="0089592E">
        <w:rPr>
          <w:szCs w:val="20"/>
          <w:lang w:val="en-IE"/>
        </w:rPr>
        <w:tab/>
        <w:t>Preservation of samples for molecular detection</w:t>
      </w:r>
      <w:bookmarkEnd w:id="140"/>
    </w:p>
    <w:p w14:paraId="6E95FED4" w14:textId="77777777" w:rsidR="00E65E42" w:rsidRPr="00D403F5" w:rsidRDefault="00E65E42" w:rsidP="00DB4D42">
      <w:pPr>
        <w:pStyle w:val="Para3"/>
        <w:spacing w:after="120"/>
        <w:ind w:left="709"/>
        <w:rPr>
          <w:rFonts w:cs="Arial"/>
          <w:szCs w:val="18"/>
          <w:u w:val="double"/>
          <w:lang w:eastAsia="fr-FR"/>
        </w:rPr>
      </w:pPr>
      <w:r w:rsidRPr="00D403F5">
        <w:rPr>
          <w:szCs w:val="18"/>
          <w:lang w:eastAsia="fr-FR"/>
        </w:rPr>
        <w:t>Samples can be taken from the fish in accordance with the procedure described in Section 3.5.1., using a sterile instrument, and transferred to a sterile plastic tube containing transport medium.</w:t>
      </w:r>
    </w:p>
    <w:p w14:paraId="0B5E0CA5" w14:textId="77777777" w:rsidR="00E65E42" w:rsidRPr="00D403F5" w:rsidRDefault="00E65E42" w:rsidP="00DB4D42">
      <w:pPr>
        <w:pStyle w:val="Para3"/>
        <w:spacing w:after="120"/>
        <w:ind w:left="709"/>
        <w:rPr>
          <w:rFonts w:cs="Arial"/>
          <w:szCs w:val="18"/>
          <w:lang w:eastAsia="fr-FR"/>
        </w:rPr>
      </w:pPr>
      <w:r w:rsidRPr="00D403F5">
        <w:rPr>
          <w:szCs w:val="18"/>
          <w:lang w:eastAsia="fr-FR"/>
        </w:rPr>
        <w:t>Alternatively, samples may be placed in at least five volumes of RNA stabilisation reagents, according to the recommendation from the manufacturers. Samples in RNA stabilising reagents can be shipped on ice or at room temperature if transport time does not exceed 24 hours</w:t>
      </w:r>
      <w:r w:rsidRPr="00D403F5">
        <w:rPr>
          <w:rFonts w:cs="Arial"/>
          <w:szCs w:val="18"/>
          <w:lang w:eastAsia="fr-FR"/>
        </w:rPr>
        <w:t>.</w:t>
      </w:r>
    </w:p>
    <w:p w14:paraId="3217D2B6" w14:textId="77777777" w:rsidR="00E65E42" w:rsidRPr="00D403F5" w:rsidRDefault="00E65E42" w:rsidP="00DB4D42">
      <w:pPr>
        <w:pStyle w:val="Para3"/>
        <w:spacing w:after="120"/>
        <w:ind w:left="709"/>
        <w:rPr>
          <w:szCs w:val="18"/>
          <w:lang w:eastAsia="fr-FR"/>
        </w:rPr>
      </w:pPr>
      <w:r w:rsidRPr="00D403F5">
        <w:rPr>
          <w:szCs w:val="18"/>
          <w:lang w:eastAsia="fr-FR"/>
        </w:rPr>
        <w:t>Whole fish may also be sent to the laboratory (see Section 3.5.1).</w:t>
      </w:r>
    </w:p>
    <w:p w14:paraId="56FB4F81" w14:textId="77777777" w:rsidR="00E65E42" w:rsidRPr="0089592E" w:rsidRDefault="00E65E42" w:rsidP="00DB4D42">
      <w:pPr>
        <w:pStyle w:val="111"/>
        <w:spacing w:after="180"/>
        <w:ind w:left="1276"/>
        <w:rPr>
          <w:szCs w:val="20"/>
          <w:lang w:val="en-IE"/>
        </w:rPr>
      </w:pPr>
      <w:r w:rsidRPr="0089592E">
        <w:rPr>
          <w:szCs w:val="20"/>
          <w:lang w:val="en-IE"/>
        </w:rPr>
        <w:t>3.5.3.</w:t>
      </w:r>
      <w:r w:rsidRPr="0089592E">
        <w:rPr>
          <w:szCs w:val="20"/>
          <w:lang w:val="en-IE"/>
        </w:rPr>
        <w:tab/>
        <w:t xml:space="preserve">Fixed samples for histopathology, immunohistochemistry or </w:t>
      </w:r>
      <w:r w:rsidRPr="0089592E">
        <w:rPr>
          <w:i/>
          <w:szCs w:val="20"/>
          <w:lang w:val="en-IE"/>
        </w:rPr>
        <w:t>in-situ</w:t>
      </w:r>
      <w:r w:rsidRPr="0089592E">
        <w:rPr>
          <w:szCs w:val="20"/>
          <w:lang w:val="en-IE"/>
        </w:rPr>
        <w:t xml:space="preserve"> hybridisation </w:t>
      </w:r>
    </w:p>
    <w:p w14:paraId="0225FB55" w14:textId="77777777" w:rsidR="00E65E42" w:rsidRPr="00D403F5" w:rsidRDefault="00E65E42" w:rsidP="00DB4D42">
      <w:pPr>
        <w:pStyle w:val="Para3"/>
        <w:spacing w:after="120"/>
        <w:ind w:left="709"/>
        <w:rPr>
          <w:szCs w:val="18"/>
          <w:lang w:eastAsia="fr-FR"/>
        </w:rPr>
      </w:pPr>
      <w:r w:rsidRPr="00D403F5">
        <w:rPr>
          <w:szCs w:val="18"/>
          <w:lang w:eastAsia="fr-FR"/>
        </w:rPr>
        <w:t xml:space="preserve">Tissue samples for histopathology should be immediately fixed at a fixative to tissue ratio of 10:1. A suitable fixative is 10% buffered formalin. To avoid excessive cross-linking, tissue should be transferred to ethanol after 24hrs if methods other than histopathology are used e.g. </w:t>
      </w:r>
      <w:r w:rsidRPr="00D403F5">
        <w:rPr>
          <w:i/>
          <w:szCs w:val="18"/>
          <w:lang w:eastAsia="fr-FR"/>
        </w:rPr>
        <w:t>in-situ</w:t>
      </w:r>
      <w:r w:rsidRPr="00D403F5">
        <w:rPr>
          <w:szCs w:val="18"/>
          <w:lang w:eastAsia="fr-FR"/>
        </w:rPr>
        <w:t xml:space="preserve"> hybridisation.</w:t>
      </w:r>
    </w:p>
    <w:p w14:paraId="06279BD6" w14:textId="77777777" w:rsidR="00E65E42" w:rsidRPr="0089592E" w:rsidRDefault="00E65E42" w:rsidP="00DB4D42">
      <w:pPr>
        <w:pStyle w:val="111"/>
        <w:spacing w:after="180"/>
        <w:ind w:left="1276"/>
        <w:rPr>
          <w:szCs w:val="20"/>
          <w:lang w:val="en-IE"/>
        </w:rPr>
      </w:pPr>
      <w:r w:rsidRPr="0089592E">
        <w:rPr>
          <w:szCs w:val="20"/>
          <w:lang w:val="en-IE"/>
        </w:rPr>
        <w:t>3.5.4.</w:t>
      </w:r>
      <w:r w:rsidRPr="0089592E">
        <w:rPr>
          <w:szCs w:val="20"/>
          <w:lang w:val="en-IE"/>
        </w:rPr>
        <w:tab/>
        <w:t>Fixed samples for electron microscopy</w:t>
      </w:r>
    </w:p>
    <w:p w14:paraId="38921DD0" w14:textId="77777777" w:rsidR="00E65E42" w:rsidRPr="00C90CBA" w:rsidRDefault="00E65E42" w:rsidP="00DB4D42">
      <w:pPr>
        <w:pStyle w:val="Para3"/>
        <w:spacing w:after="120"/>
        <w:ind w:left="709"/>
        <w:rPr>
          <w:szCs w:val="18"/>
          <w:lang w:eastAsia="fr-FR"/>
        </w:rPr>
      </w:pPr>
      <w:r w:rsidRPr="0014778F">
        <w:rPr>
          <w:strike/>
          <w:szCs w:val="18"/>
          <w:highlight w:val="yellow"/>
          <w:lang w:eastAsia="fr-FR"/>
        </w:rPr>
        <w:t>Not relevant.</w:t>
      </w:r>
      <w:r>
        <w:rPr>
          <w:szCs w:val="18"/>
          <w:lang w:eastAsia="fr-FR"/>
        </w:rPr>
        <w:t xml:space="preserve"> </w:t>
      </w:r>
      <w:bookmarkStart w:id="141" w:name="_Hlk34047505"/>
      <w:r w:rsidRPr="006936A4">
        <w:rPr>
          <w:bCs w:val="0"/>
          <w:szCs w:val="18"/>
          <w:highlight w:val="yellow"/>
          <w:u w:val="double"/>
          <w:lang w:eastAsia="fr-FR"/>
        </w:rPr>
        <w:t>Samples for electron microscopy are not routinely required and are collected only when it is considered beneficial to facilitate further diagnostic investigation. A 2 mm cubed section from each of the appropriate organs described in section 3.2 should be fixed in glutaraldehyde; the recommended ratio of fixative to tissue is 10:1</w:t>
      </w:r>
      <w:bookmarkEnd w:id="141"/>
      <w:r>
        <w:rPr>
          <w:bCs w:val="0"/>
          <w:szCs w:val="18"/>
          <w:u w:val="double"/>
          <w:lang w:eastAsia="fr-FR"/>
        </w:rPr>
        <w:t>.</w:t>
      </w:r>
    </w:p>
    <w:p w14:paraId="588E8074" w14:textId="77777777" w:rsidR="00E65E42" w:rsidRPr="0089592E" w:rsidRDefault="00E65E42" w:rsidP="00DB4D42">
      <w:pPr>
        <w:pStyle w:val="111"/>
        <w:spacing w:after="180"/>
        <w:ind w:left="1276"/>
        <w:rPr>
          <w:szCs w:val="20"/>
          <w:lang w:val="en-IE"/>
        </w:rPr>
      </w:pPr>
      <w:r w:rsidRPr="0089592E">
        <w:rPr>
          <w:szCs w:val="20"/>
          <w:lang w:val="en-IE"/>
        </w:rPr>
        <w:t>3.5.5.</w:t>
      </w:r>
      <w:r w:rsidRPr="0089592E">
        <w:rPr>
          <w:szCs w:val="20"/>
          <w:lang w:val="en-IE"/>
        </w:rPr>
        <w:tab/>
        <w:t>Samples for other tests</w:t>
      </w:r>
    </w:p>
    <w:p w14:paraId="6DE2D321" w14:textId="77777777" w:rsidR="00E65E42" w:rsidRPr="00D403F5" w:rsidRDefault="00E65E42" w:rsidP="00DB4D42">
      <w:pPr>
        <w:pStyle w:val="Para3"/>
        <w:spacing w:after="120"/>
        <w:ind w:left="709"/>
        <w:rPr>
          <w:szCs w:val="18"/>
          <w:lang w:eastAsia="fr-FR"/>
        </w:rPr>
      </w:pPr>
      <w:r w:rsidRPr="00D403F5">
        <w:rPr>
          <w:szCs w:val="18"/>
          <w:lang w:eastAsia="fr-FR"/>
        </w:rPr>
        <w:t>Not</w:t>
      </w:r>
      <w:r w:rsidRPr="00D403F5">
        <w:rPr>
          <w:rFonts w:eastAsiaTheme="minorEastAsia"/>
          <w:szCs w:val="18"/>
          <w:lang w:eastAsia="zh-CN"/>
        </w:rPr>
        <w:t xml:space="preserve"> </w:t>
      </w:r>
      <w:r w:rsidRPr="00D403F5">
        <w:rPr>
          <w:szCs w:val="18"/>
          <w:lang w:eastAsia="fr-FR"/>
        </w:rPr>
        <w:t>relevant.</w:t>
      </w:r>
    </w:p>
    <w:p w14:paraId="31CA95E5" w14:textId="77777777" w:rsidR="00E65E42" w:rsidRPr="0089592E" w:rsidRDefault="00E65E42" w:rsidP="00DB4D42">
      <w:pPr>
        <w:pStyle w:val="11"/>
        <w:rPr>
          <w:rFonts w:ascii="Ottawa" w:hAnsi="Ottawa"/>
          <w:sz w:val="21"/>
          <w:szCs w:val="21"/>
          <w:lang w:val="en-IE"/>
        </w:rPr>
      </w:pPr>
      <w:r w:rsidRPr="0089592E">
        <w:rPr>
          <w:rFonts w:ascii="Ottawa" w:hAnsi="Ottawa"/>
          <w:sz w:val="21"/>
          <w:szCs w:val="21"/>
          <w:lang w:val="en-IE"/>
        </w:rPr>
        <w:t>3.6.</w:t>
      </w:r>
      <w:r w:rsidRPr="0089592E">
        <w:rPr>
          <w:rFonts w:ascii="Ottawa" w:hAnsi="Ottawa"/>
          <w:sz w:val="21"/>
          <w:szCs w:val="21"/>
          <w:lang w:val="en-IE"/>
        </w:rPr>
        <w:tab/>
      </w:r>
      <w:r w:rsidRPr="00DB4D42">
        <w:rPr>
          <w:rFonts w:ascii="Ottawa" w:hAnsi="Ottawa"/>
          <w:sz w:val="21"/>
          <w:szCs w:val="21"/>
          <w:lang w:val="en-IE"/>
        </w:rPr>
        <w:t>Pooling</w:t>
      </w:r>
      <w:r w:rsidRPr="0089592E">
        <w:rPr>
          <w:rFonts w:ascii="Ottawa" w:hAnsi="Ottawa"/>
          <w:sz w:val="21"/>
          <w:szCs w:val="21"/>
          <w:lang w:val="en-IE"/>
        </w:rPr>
        <w:t xml:space="preserve"> of samples</w:t>
      </w:r>
    </w:p>
    <w:p w14:paraId="43E5443D" w14:textId="77777777" w:rsidR="00E65E42" w:rsidRPr="004C0B8D" w:rsidRDefault="00E65E42" w:rsidP="00CA3459">
      <w:pPr>
        <w:pStyle w:val="Para20"/>
        <w:spacing w:after="120"/>
        <w:ind w:left="709"/>
        <w:rPr>
          <w:rFonts w:cs="Arial"/>
          <w:szCs w:val="18"/>
        </w:rPr>
      </w:pPr>
      <w:r w:rsidRPr="004C0B8D">
        <w:rPr>
          <w:rFonts w:cs="Arial"/>
          <w:strike/>
          <w:szCs w:val="18"/>
          <w:highlight w:val="yellow"/>
        </w:rPr>
        <w:t xml:space="preserve">No data are currently available concerning the effect of pooling samples on the detection of IHNV. However, small life stages such as fry can be pooled to provide the minimum amount of material needed for testing. </w:t>
      </w:r>
      <w:r w:rsidRPr="004C0B8D">
        <w:rPr>
          <w:rFonts w:cs="Arial"/>
          <w:szCs w:val="18"/>
          <w:highlight w:val="yellow"/>
          <w:u w:val="double"/>
        </w:rPr>
        <w:t>Pooling of samples from more than one individual animal for a given purpose should only be recommended where supporting data on diagnostic sensitivity and diagnostic specificity are available. However, smaller life stages (e.g. fry) can be pooled to provide a minimum amount of material for testing.</w:t>
      </w:r>
      <w:r w:rsidRPr="004C0B8D">
        <w:rPr>
          <w:rFonts w:cs="Arial"/>
          <w:szCs w:val="18"/>
          <w:u w:val="double"/>
        </w:rPr>
        <w:t xml:space="preserve"> </w:t>
      </w:r>
    </w:p>
    <w:p w14:paraId="4D77AE07" w14:textId="77777777" w:rsidR="00E65E42" w:rsidRPr="0089592E" w:rsidRDefault="00E65E42" w:rsidP="00DB4D42">
      <w:pPr>
        <w:pStyle w:val="StyleTitre1Arial"/>
        <w:spacing w:after="120"/>
        <w:outlineLvl w:val="9"/>
        <w:rPr>
          <w:rFonts w:ascii="Ottawa" w:hAnsi="Ottawa"/>
          <w:lang w:val="en-IE"/>
        </w:rPr>
      </w:pPr>
      <w:r w:rsidRPr="0089592E">
        <w:rPr>
          <w:rFonts w:ascii="Ottawa" w:hAnsi="Ottawa"/>
          <w:lang w:val="en-IE"/>
        </w:rPr>
        <w:t>4.</w:t>
      </w:r>
      <w:r w:rsidRPr="0089592E">
        <w:rPr>
          <w:rFonts w:ascii="Ottawa" w:hAnsi="Ottawa"/>
          <w:lang w:val="en-IE"/>
        </w:rPr>
        <w:tab/>
        <w:t>Diagnostic methods</w:t>
      </w:r>
    </w:p>
    <w:p w14:paraId="035C2288" w14:textId="77777777" w:rsidR="00E65E42" w:rsidRPr="00D403F5" w:rsidRDefault="00E65E42" w:rsidP="00CA3459">
      <w:pPr>
        <w:pStyle w:val="Para10"/>
        <w:spacing w:after="120"/>
        <w:ind w:left="284"/>
        <w:rPr>
          <w:rFonts w:cs="Arial"/>
          <w:szCs w:val="18"/>
        </w:rPr>
      </w:pPr>
      <w:r w:rsidRPr="00D403F5">
        <w:rPr>
          <w:rFonts w:cs="Arial"/>
          <w:szCs w:val="18"/>
        </w:rPr>
        <w:t xml:space="preserve">The methods currently available for identifying infection that can be used in i) surveillance of apparently healthy populations), ii) presumptive and iii) confirmatory diagnostic purposes are listed in Table 4.1. by life stage. The designations used in the Table indicate: </w:t>
      </w:r>
    </w:p>
    <w:p w14:paraId="00A562AC" w14:textId="77777777" w:rsidR="00E65E42" w:rsidRPr="00D403F5" w:rsidRDefault="00E65E42" w:rsidP="00CA3459">
      <w:pPr>
        <w:pStyle w:val="Textebrut"/>
        <w:ind w:left="284"/>
        <w:rPr>
          <w:rFonts w:ascii="Arial" w:hAnsi="Arial" w:cs="Arial"/>
          <w:color w:val="000000"/>
          <w:sz w:val="18"/>
          <w:szCs w:val="18"/>
          <w:lang w:val="en-IE"/>
        </w:rPr>
      </w:pPr>
      <w:r w:rsidRPr="00D403F5">
        <w:rPr>
          <w:rFonts w:ascii="Arial" w:hAnsi="Arial" w:cs="Arial"/>
          <w:color w:val="000000"/>
          <w:sz w:val="18"/>
          <w:szCs w:val="18"/>
          <w:lang w:val="en-IE"/>
        </w:rPr>
        <w:t xml:space="preserve">Key: </w:t>
      </w:r>
    </w:p>
    <w:p w14:paraId="63C71ADA" w14:textId="77777777" w:rsidR="00E65E42" w:rsidRPr="00D403F5" w:rsidRDefault="00E65E42" w:rsidP="00CA3459">
      <w:pPr>
        <w:pStyle w:val="Textebrut"/>
        <w:ind w:left="1701" w:hanging="1417"/>
        <w:rPr>
          <w:rFonts w:ascii="Arial" w:hAnsi="Arial" w:cs="Arial"/>
          <w:color w:val="000000"/>
          <w:sz w:val="18"/>
          <w:szCs w:val="18"/>
          <w:lang w:val="en-IE"/>
        </w:rPr>
      </w:pPr>
      <w:r w:rsidRPr="00D403F5">
        <w:rPr>
          <w:rFonts w:ascii="Arial" w:hAnsi="Arial" w:cs="Arial"/>
          <w:color w:val="000000"/>
          <w:sz w:val="18"/>
          <w:szCs w:val="18"/>
          <w:lang w:val="en-IE"/>
        </w:rPr>
        <w:t>+++ =</w:t>
      </w:r>
      <w:r w:rsidRPr="00D403F5">
        <w:rPr>
          <w:rFonts w:ascii="Arial" w:hAnsi="Arial" w:cs="Arial"/>
          <w:color w:val="000000"/>
          <w:sz w:val="18"/>
          <w:szCs w:val="18"/>
          <w:lang w:val="en-IE"/>
        </w:rPr>
        <w:tab/>
        <w:t>Recommended method(s) validated for the purpose shown and usually to stage 3 of the OIE Validation Pathway;</w:t>
      </w:r>
    </w:p>
    <w:p w14:paraId="685E0A24" w14:textId="77777777" w:rsidR="00E65E42" w:rsidRPr="00D403F5" w:rsidRDefault="00E65E42" w:rsidP="00CA3459">
      <w:pPr>
        <w:pStyle w:val="Textebrut"/>
        <w:ind w:left="1701" w:hanging="1417"/>
        <w:rPr>
          <w:rFonts w:ascii="Arial" w:hAnsi="Arial" w:cs="Arial"/>
          <w:color w:val="000000"/>
          <w:sz w:val="18"/>
          <w:szCs w:val="18"/>
          <w:lang w:val="en-IE"/>
        </w:rPr>
      </w:pPr>
      <w:r w:rsidRPr="00D403F5">
        <w:rPr>
          <w:rFonts w:ascii="Arial" w:hAnsi="Arial" w:cs="Arial"/>
          <w:color w:val="000000"/>
          <w:sz w:val="18"/>
          <w:szCs w:val="18"/>
          <w:lang w:val="en-IE"/>
        </w:rPr>
        <w:t xml:space="preserve">++ = </w:t>
      </w:r>
      <w:r w:rsidRPr="00D403F5">
        <w:rPr>
          <w:rFonts w:ascii="Arial" w:hAnsi="Arial" w:cs="Arial"/>
          <w:color w:val="000000"/>
          <w:sz w:val="18"/>
          <w:szCs w:val="18"/>
          <w:lang w:val="en-IE"/>
        </w:rPr>
        <w:tab/>
        <w:t xml:space="preserve">Suitable method(s) but may need further validation; </w:t>
      </w:r>
    </w:p>
    <w:p w14:paraId="7AB7F06D" w14:textId="77777777" w:rsidR="00E65E42" w:rsidRPr="00D403F5" w:rsidRDefault="00E65E42" w:rsidP="00CA3459">
      <w:pPr>
        <w:pStyle w:val="Textebrut"/>
        <w:ind w:left="1701" w:hanging="1417"/>
        <w:rPr>
          <w:rFonts w:ascii="Arial" w:hAnsi="Arial" w:cs="Arial"/>
          <w:sz w:val="18"/>
          <w:szCs w:val="18"/>
          <w:lang w:val="en-IE"/>
        </w:rPr>
      </w:pPr>
      <w:r w:rsidRPr="00D403F5">
        <w:rPr>
          <w:rFonts w:ascii="Arial" w:hAnsi="Arial" w:cs="Arial"/>
          <w:color w:val="000000"/>
          <w:sz w:val="18"/>
          <w:szCs w:val="18"/>
          <w:lang w:val="en-IE"/>
        </w:rPr>
        <w:t xml:space="preserve">+ = </w:t>
      </w:r>
      <w:r w:rsidRPr="00D403F5">
        <w:rPr>
          <w:rFonts w:ascii="Arial" w:hAnsi="Arial" w:cs="Arial"/>
          <w:color w:val="000000"/>
          <w:sz w:val="18"/>
          <w:szCs w:val="18"/>
          <w:lang w:val="en-IE"/>
        </w:rPr>
        <w:tab/>
        <w:t xml:space="preserve">May be used </w:t>
      </w:r>
      <w:r w:rsidRPr="00D403F5">
        <w:rPr>
          <w:rFonts w:ascii="Arial" w:hAnsi="Arial" w:cs="Arial"/>
          <w:sz w:val="18"/>
          <w:szCs w:val="18"/>
          <w:lang w:val="en-IE"/>
        </w:rPr>
        <w:t xml:space="preserve">in some situations, but cost, reliability, lack of validation or other factors severely limits its application; </w:t>
      </w:r>
    </w:p>
    <w:p w14:paraId="7D8F6E45" w14:textId="77777777" w:rsidR="00E65E42" w:rsidRPr="00D403F5" w:rsidRDefault="00E65E42" w:rsidP="00CA3459">
      <w:pPr>
        <w:pStyle w:val="Textebrut"/>
        <w:ind w:left="1701" w:hanging="1417"/>
        <w:rPr>
          <w:rFonts w:ascii="Arial" w:hAnsi="Arial" w:cs="Arial"/>
          <w:color w:val="000000"/>
          <w:sz w:val="18"/>
          <w:szCs w:val="18"/>
          <w:lang w:val="en-IE"/>
        </w:rPr>
      </w:pPr>
      <w:r w:rsidRPr="00D403F5">
        <w:rPr>
          <w:rFonts w:ascii="Arial" w:hAnsi="Arial" w:cs="Arial"/>
          <w:color w:val="000000"/>
          <w:sz w:val="18"/>
          <w:szCs w:val="18"/>
          <w:lang w:val="en-IE"/>
        </w:rPr>
        <w:t xml:space="preserve">Shaded boxes = </w:t>
      </w:r>
      <w:r w:rsidRPr="00D403F5">
        <w:rPr>
          <w:rFonts w:ascii="Arial" w:hAnsi="Arial" w:cs="Arial"/>
          <w:color w:val="000000"/>
          <w:sz w:val="18"/>
          <w:szCs w:val="18"/>
          <w:lang w:val="en-IE"/>
        </w:rPr>
        <w:tab/>
        <w:t>Not appropriate for this purpose.</w:t>
      </w:r>
    </w:p>
    <w:p w14:paraId="028643D5" w14:textId="77777777" w:rsidR="00E65E42" w:rsidRDefault="00E65E42" w:rsidP="00E65E42">
      <w:pPr>
        <w:pStyle w:val="Para10"/>
        <w:spacing w:after="0"/>
        <w:rPr>
          <w:rFonts w:cs="Arial"/>
          <w:szCs w:val="18"/>
        </w:rPr>
      </w:pPr>
    </w:p>
    <w:p w14:paraId="73E4F21B" w14:textId="77777777" w:rsidR="00E65E42" w:rsidRPr="00D403F5" w:rsidRDefault="00E65E42" w:rsidP="00CA3459">
      <w:pPr>
        <w:pStyle w:val="Para10"/>
        <w:spacing w:after="0"/>
        <w:ind w:left="284"/>
        <w:rPr>
          <w:rFonts w:cs="Arial"/>
          <w:szCs w:val="18"/>
        </w:rPr>
      </w:pPr>
      <w:r w:rsidRPr="00D403F5">
        <w:rPr>
          <w:rFonts w:cs="Arial"/>
          <w:szCs w:val="18"/>
        </w:rPr>
        <w:t>The selection of a test for a given purpose depends on the analytical and diagnostic sensitivities and specificities repeatability and reproducibility. OIE Reference Laboratories welcome feedback on diagnostic performance for assays, in particular PCR methods, for factors affecting assay analytical sensitivity or analytical specificity, such as tissue components inhibiting amplification, presence of nonspecific or uncertain bands, etc., and any assays that are in the +++ category.</w:t>
      </w:r>
    </w:p>
    <w:p w14:paraId="3128EAB3" w14:textId="77777777" w:rsidR="00E65E42" w:rsidRPr="00D403F5" w:rsidRDefault="00E65E42" w:rsidP="00E65E42">
      <w:pPr>
        <w:pStyle w:val="Para10"/>
        <w:spacing w:after="0"/>
        <w:rPr>
          <w:rFonts w:cs="Arial"/>
          <w:szCs w:val="18"/>
        </w:rPr>
      </w:pPr>
    </w:p>
    <w:p w14:paraId="09C0AD5F" w14:textId="77777777" w:rsidR="00E65E42" w:rsidRPr="00D403F5" w:rsidRDefault="00E65E42" w:rsidP="00E65E42">
      <w:pPr>
        <w:pStyle w:val="Tabletitle"/>
        <w:sectPr w:rsidR="00E65E42" w:rsidRPr="00D403F5" w:rsidSect="00754D87">
          <w:headerReference w:type="even" r:id="rId184"/>
          <w:headerReference w:type="default" r:id="rId185"/>
          <w:headerReference w:type="first" r:id="rId186"/>
          <w:footerReference w:type="first" r:id="rId187"/>
          <w:type w:val="oddPage"/>
          <w:pgSz w:w="11906" w:h="16838" w:code="9"/>
          <w:pgMar w:top="1304" w:right="1304" w:bottom="1304" w:left="1304" w:header="567" w:footer="567" w:gutter="0"/>
          <w:cols w:space="708"/>
          <w:titlePg/>
          <w:docGrid w:linePitch="360"/>
        </w:sectPr>
      </w:pPr>
    </w:p>
    <w:p w14:paraId="3FC7CEE8" w14:textId="77777777" w:rsidR="00E65E42" w:rsidRDefault="00E65E42" w:rsidP="00E65E42">
      <w:pPr>
        <w:pStyle w:val="Tabletitle"/>
        <w:spacing w:after="120"/>
      </w:pPr>
      <w:r w:rsidRPr="00D403F5">
        <w:lastRenderedPageBreak/>
        <w:t>Table 4.</w:t>
      </w:r>
      <w:r w:rsidRPr="00D403F5">
        <w:rPr>
          <w:noProof/>
        </w:rPr>
        <w:t>1</w:t>
      </w:r>
      <w:r w:rsidRPr="00D403F5">
        <w:t xml:space="preserve">. </w:t>
      </w:r>
      <w:r w:rsidRPr="00A85693">
        <w:rPr>
          <w:b w:val="0"/>
        </w:rPr>
        <w:t xml:space="preserve">OIE recommended diagnostic methods and their level of validation for </w:t>
      </w:r>
      <w:r w:rsidRPr="004C0B8D">
        <w:rPr>
          <w:b w:val="0"/>
        </w:rPr>
        <w:t xml:space="preserve">surveillance of </w:t>
      </w:r>
      <w:r w:rsidRPr="004C0B8D">
        <w:rPr>
          <w:b w:val="0"/>
          <w:highlight w:val="yellow"/>
          <w:u w:val="double"/>
        </w:rPr>
        <w:t>apparently</w:t>
      </w:r>
      <w:r w:rsidRPr="004C0B8D">
        <w:rPr>
          <w:b w:val="0"/>
        </w:rPr>
        <w:t xml:space="preserve"> </w:t>
      </w:r>
      <w:r w:rsidRPr="00A85693">
        <w:rPr>
          <w:b w:val="0"/>
        </w:rPr>
        <w:t xml:space="preserve">healthy animals and investigation of clinically affected animals </w:t>
      </w:r>
    </w:p>
    <w:tbl>
      <w:tblPr>
        <w:tblW w:w="12575" w:type="dxa"/>
        <w:jc w:val="center"/>
        <w:tblLayout w:type="fixed"/>
        <w:tblCellMar>
          <w:left w:w="96" w:type="dxa"/>
          <w:right w:w="96" w:type="dxa"/>
        </w:tblCellMar>
        <w:tblLook w:val="0000" w:firstRow="0" w:lastRow="0" w:firstColumn="0" w:lastColumn="0" w:noHBand="0" w:noVBand="0"/>
      </w:tblPr>
      <w:tblGrid>
        <w:gridCol w:w="2399"/>
        <w:gridCol w:w="920"/>
        <w:gridCol w:w="992"/>
        <w:gridCol w:w="709"/>
        <w:gridCol w:w="893"/>
        <w:gridCol w:w="776"/>
        <w:gridCol w:w="851"/>
        <w:gridCol w:w="708"/>
        <w:gridCol w:w="883"/>
        <w:gridCol w:w="960"/>
        <w:gridCol w:w="851"/>
        <w:gridCol w:w="708"/>
        <w:gridCol w:w="925"/>
      </w:tblGrid>
      <w:tr w:rsidR="00E65E42" w:rsidRPr="00D403F5" w14:paraId="516F78D6" w14:textId="77777777" w:rsidTr="00E65E42">
        <w:trPr>
          <w:trHeight w:val="402"/>
          <w:tblHeader/>
          <w:jc w:val="center"/>
        </w:trPr>
        <w:tc>
          <w:tcPr>
            <w:tcW w:w="2399" w:type="dxa"/>
            <w:vMerge w:val="restart"/>
            <w:tcBorders>
              <w:top w:val="single" w:sz="6" w:space="0" w:color="auto"/>
              <w:left w:val="single" w:sz="6" w:space="0" w:color="auto"/>
            </w:tcBorders>
            <w:vAlign w:val="center"/>
          </w:tcPr>
          <w:p w14:paraId="6F59795D" w14:textId="77777777" w:rsidR="00E65E42" w:rsidRPr="00D403F5" w:rsidRDefault="00E65E42" w:rsidP="00E65E42">
            <w:pPr>
              <w:pStyle w:val="TableHead"/>
              <w:spacing w:before="0" w:after="0"/>
              <w:rPr>
                <w:rFonts w:ascii="Arial Narrow" w:hAnsi="Arial Narrow" w:cs="Arial"/>
                <w:szCs w:val="18"/>
              </w:rPr>
            </w:pPr>
            <w:bookmarkStart w:id="142" w:name="_Hlk491943780"/>
            <w:r w:rsidRPr="00D403F5">
              <w:rPr>
                <w:rFonts w:ascii="Arial Narrow" w:hAnsi="Arial Narrow" w:cs="Arial"/>
                <w:szCs w:val="18"/>
              </w:rPr>
              <w:t>Method</w:t>
            </w:r>
          </w:p>
        </w:tc>
        <w:tc>
          <w:tcPr>
            <w:tcW w:w="3514" w:type="dxa"/>
            <w:gridSpan w:val="4"/>
            <w:tcBorders>
              <w:top w:val="single" w:sz="6" w:space="0" w:color="auto"/>
              <w:left w:val="single" w:sz="6" w:space="0" w:color="auto"/>
              <w:bottom w:val="single" w:sz="4" w:space="0" w:color="auto"/>
              <w:right w:val="single" w:sz="6" w:space="0" w:color="auto"/>
            </w:tcBorders>
          </w:tcPr>
          <w:p w14:paraId="5691D1E1" w14:textId="77777777" w:rsidR="00E65E42" w:rsidRPr="00D403F5" w:rsidRDefault="00E65E42" w:rsidP="00562F64">
            <w:pPr>
              <w:pStyle w:val="TableHead"/>
              <w:numPr>
                <w:ilvl w:val="0"/>
                <w:numId w:val="23"/>
              </w:numPr>
              <w:spacing w:before="0" w:after="0"/>
              <w:rPr>
                <w:rFonts w:ascii="Arial Narrow" w:hAnsi="Arial Narrow" w:cs="Arial"/>
                <w:szCs w:val="18"/>
              </w:rPr>
            </w:pPr>
            <w:r w:rsidRPr="00D403F5">
              <w:rPr>
                <w:rFonts w:ascii="Arial Narrow" w:hAnsi="Arial Narrow" w:cs="Arial"/>
                <w:szCs w:val="18"/>
              </w:rPr>
              <w:t>Surveillance of apparently healthy animals</w:t>
            </w:r>
          </w:p>
        </w:tc>
        <w:tc>
          <w:tcPr>
            <w:tcW w:w="3218" w:type="dxa"/>
            <w:gridSpan w:val="4"/>
            <w:tcBorders>
              <w:top w:val="single" w:sz="6" w:space="0" w:color="auto"/>
              <w:left w:val="single" w:sz="6" w:space="0" w:color="auto"/>
            </w:tcBorders>
          </w:tcPr>
          <w:p w14:paraId="332D9090" w14:textId="77777777" w:rsidR="00E65E42" w:rsidRPr="00D403F5" w:rsidRDefault="00E65E42" w:rsidP="00562F64">
            <w:pPr>
              <w:pStyle w:val="TableHead"/>
              <w:numPr>
                <w:ilvl w:val="0"/>
                <w:numId w:val="23"/>
              </w:numPr>
              <w:spacing w:before="0" w:after="0"/>
              <w:rPr>
                <w:rFonts w:ascii="Arial Narrow" w:hAnsi="Arial Narrow" w:cs="Arial"/>
                <w:szCs w:val="18"/>
              </w:rPr>
            </w:pPr>
            <w:r w:rsidRPr="00D403F5">
              <w:rPr>
                <w:rFonts w:ascii="Arial Narrow" w:hAnsi="Arial Narrow" w:cs="Arial"/>
                <w:szCs w:val="18"/>
              </w:rPr>
              <w:t>Presumptive diagnosis of clinically affected animals</w:t>
            </w:r>
          </w:p>
        </w:tc>
        <w:tc>
          <w:tcPr>
            <w:tcW w:w="3444" w:type="dxa"/>
            <w:gridSpan w:val="4"/>
            <w:tcBorders>
              <w:top w:val="single" w:sz="6" w:space="0" w:color="auto"/>
              <w:left w:val="single" w:sz="6" w:space="0" w:color="auto"/>
              <w:right w:val="single" w:sz="6" w:space="0" w:color="auto"/>
            </w:tcBorders>
          </w:tcPr>
          <w:p w14:paraId="760FA665" w14:textId="77777777" w:rsidR="00E65E42" w:rsidRPr="00D403F5" w:rsidRDefault="00E65E42" w:rsidP="00562F64">
            <w:pPr>
              <w:pStyle w:val="TableHead"/>
              <w:numPr>
                <w:ilvl w:val="0"/>
                <w:numId w:val="23"/>
              </w:numPr>
              <w:spacing w:before="0" w:after="0"/>
              <w:rPr>
                <w:rFonts w:ascii="Arial Narrow" w:hAnsi="Arial Narrow" w:cs="Arial"/>
                <w:szCs w:val="18"/>
              </w:rPr>
            </w:pPr>
            <w:r w:rsidRPr="00D403F5">
              <w:rPr>
                <w:rFonts w:ascii="Arial Narrow" w:hAnsi="Arial Narrow" w:cs="Arial"/>
                <w:szCs w:val="18"/>
              </w:rPr>
              <w:t>Confirmatory diagnosis</w:t>
            </w:r>
            <w:r w:rsidRPr="00D403F5">
              <w:rPr>
                <w:rFonts w:ascii="Arial Narrow" w:hAnsi="Arial Narrow" w:cs="Arial"/>
                <w:szCs w:val="18"/>
                <w:vertAlign w:val="superscript"/>
              </w:rPr>
              <w:t>1</w:t>
            </w:r>
            <w:r w:rsidRPr="00D403F5">
              <w:rPr>
                <w:rFonts w:ascii="Arial Narrow" w:hAnsi="Arial Narrow" w:cs="Arial"/>
                <w:szCs w:val="18"/>
              </w:rPr>
              <w:t xml:space="preserve"> of a suspect result </w:t>
            </w:r>
            <w:r w:rsidRPr="00D403F5">
              <w:rPr>
                <w:rFonts w:ascii="Arial Narrow" w:hAnsi="Arial Narrow"/>
                <w:szCs w:val="18"/>
              </w:rPr>
              <w:t>from surveillance or presumptive diagnosis</w:t>
            </w:r>
          </w:p>
        </w:tc>
      </w:tr>
      <w:tr w:rsidR="00E65E42" w:rsidRPr="00D403F5" w14:paraId="1DF1F666" w14:textId="77777777" w:rsidTr="00E65E42">
        <w:trPr>
          <w:trHeight w:val="402"/>
          <w:tblHeader/>
          <w:jc w:val="center"/>
        </w:trPr>
        <w:tc>
          <w:tcPr>
            <w:tcW w:w="2399" w:type="dxa"/>
            <w:vMerge/>
            <w:tcBorders>
              <w:left w:val="single" w:sz="6" w:space="0" w:color="auto"/>
            </w:tcBorders>
            <w:vAlign w:val="center"/>
          </w:tcPr>
          <w:p w14:paraId="3C7B853B" w14:textId="77777777" w:rsidR="00E65E42" w:rsidRPr="00D403F5" w:rsidRDefault="00E65E42" w:rsidP="00E65E42">
            <w:pPr>
              <w:pStyle w:val="TableHead"/>
              <w:spacing w:before="0" w:after="0"/>
              <w:rPr>
                <w:rFonts w:ascii="Arial Narrow" w:hAnsi="Arial Narrow" w:cs="Arial"/>
                <w:szCs w:val="18"/>
              </w:rPr>
            </w:pPr>
          </w:p>
        </w:tc>
        <w:tc>
          <w:tcPr>
            <w:tcW w:w="920" w:type="dxa"/>
            <w:tcBorders>
              <w:top w:val="single" w:sz="4" w:space="0" w:color="auto"/>
              <w:left w:val="single" w:sz="6" w:space="0" w:color="auto"/>
              <w:bottom w:val="single" w:sz="6" w:space="0" w:color="auto"/>
            </w:tcBorders>
            <w:vAlign w:val="center"/>
          </w:tcPr>
          <w:p w14:paraId="69B2F9F4"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Early life stages</w:t>
            </w:r>
            <w:r w:rsidRPr="00D403F5">
              <w:rPr>
                <w:rFonts w:ascii="Arial Narrow" w:hAnsi="Arial Narrow" w:cs="Arial"/>
                <w:szCs w:val="18"/>
                <w:vertAlign w:val="superscript"/>
              </w:rPr>
              <w:t>2</w:t>
            </w:r>
          </w:p>
        </w:tc>
        <w:tc>
          <w:tcPr>
            <w:tcW w:w="992" w:type="dxa"/>
            <w:tcBorders>
              <w:top w:val="single" w:sz="4" w:space="0" w:color="auto"/>
              <w:left w:val="single" w:sz="6" w:space="0" w:color="auto"/>
              <w:bottom w:val="single" w:sz="6" w:space="0" w:color="auto"/>
            </w:tcBorders>
            <w:vAlign w:val="center"/>
          </w:tcPr>
          <w:p w14:paraId="122BF776"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Juveniles</w:t>
            </w:r>
            <w:r w:rsidRPr="00D403F5">
              <w:rPr>
                <w:rFonts w:ascii="Arial Narrow" w:hAnsi="Arial Narrow" w:cs="Arial"/>
                <w:szCs w:val="18"/>
                <w:vertAlign w:val="superscript"/>
              </w:rPr>
              <w:t>2</w:t>
            </w:r>
          </w:p>
        </w:tc>
        <w:tc>
          <w:tcPr>
            <w:tcW w:w="709" w:type="dxa"/>
            <w:tcBorders>
              <w:top w:val="single" w:sz="4" w:space="0" w:color="auto"/>
              <w:left w:val="single" w:sz="6" w:space="0" w:color="auto"/>
              <w:bottom w:val="single" w:sz="6" w:space="0" w:color="auto"/>
            </w:tcBorders>
            <w:vAlign w:val="center"/>
          </w:tcPr>
          <w:p w14:paraId="3BC119F9"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Adults</w:t>
            </w:r>
          </w:p>
        </w:tc>
        <w:tc>
          <w:tcPr>
            <w:tcW w:w="893" w:type="dxa"/>
            <w:tcBorders>
              <w:top w:val="single" w:sz="4" w:space="0" w:color="auto"/>
              <w:left w:val="single" w:sz="6" w:space="0" w:color="auto"/>
              <w:bottom w:val="single" w:sz="6" w:space="0" w:color="auto"/>
              <w:right w:val="single" w:sz="6" w:space="0" w:color="auto"/>
            </w:tcBorders>
            <w:vAlign w:val="center"/>
          </w:tcPr>
          <w:p w14:paraId="7A0E3075"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LV</w:t>
            </w:r>
          </w:p>
        </w:tc>
        <w:tc>
          <w:tcPr>
            <w:tcW w:w="776" w:type="dxa"/>
            <w:tcBorders>
              <w:top w:val="single" w:sz="6" w:space="0" w:color="auto"/>
              <w:left w:val="single" w:sz="6" w:space="0" w:color="auto"/>
            </w:tcBorders>
            <w:vAlign w:val="center"/>
          </w:tcPr>
          <w:p w14:paraId="0D65F1E4"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Early life stages</w:t>
            </w:r>
            <w:r w:rsidRPr="00D403F5">
              <w:rPr>
                <w:rFonts w:ascii="Arial Narrow" w:hAnsi="Arial Narrow" w:cs="Arial"/>
                <w:szCs w:val="18"/>
                <w:vertAlign w:val="superscript"/>
              </w:rPr>
              <w:t>2</w:t>
            </w:r>
          </w:p>
        </w:tc>
        <w:tc>
          <w:tcPr>
            <w:tcW w:w="851" w:type="dxa"/>
            <w:tcBorders>
              <w:top w:val="single" w:sz="6" w:space="0" w:color="auto"/>
              <w:left w:val="single" w:sz="6" w:space="0" w:color="auto"/>
            </w:tcBorders>
            <w:vAlign w:val="center"/>
          </w:tcPr>
          <w:p w14:paraId="1AFD7532"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Juveniles</w:t>
            </w:r>
            <w:r w:rsidRPr="00D403F5">
              <w:rPr>
                <w:rFonts w:ascii="Arial Narrow" w:hAnsi="Arial Narrow" w:cs="Arial"/>
                <w:szCs w:val="18"/>
                <w:vertAlign w:val="superscript"/>
              </w:rPr>
              <w:t>2</w:t>
            </w:r>
          </w:p>
        </w:tc>
        <w:tc>
          <w:tcPr>
            <w:tcW w:w="708" w:type="dxa"/>
            <w:tcBorders>
              <w:top w:val="single" w:sz="6" w:space="0" w:color="auto"/>
              <w:left w:val="single" w:sz="6" w:space="0" w:color="auto"/>
            </w:tcBorders>
            <w:vAlign w:val="center"/>
          </w:tcPr>
          <w:p w14:paraId="0885CFF1"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Adults</w:t>
            </w:r>
          </w:p>
        </w:tc>
        <w:tc>
          <w:tcPr>
            <w:tcW w:w="883" w:type="dxa"/>
            <w:tcBorders>
              <w:top w:val="single" w:sz="4" w:space="0" w:color="auto"/>
              <w:left w:val="single" w:sz="6" w:space="0" w:color="auto"/>
              <w:right w:val="single" w:sz="6" w:space="0" w:color="auto"/>
            </w:tcBorders>
            <w:vAlign w:val="center"/>
          </w:tcPr>
          <w:p w14:paraId="1086FCB0"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LV</w:t>
            </w:r>
          </w:p>
        </w:tc>
        <w:tc>
          <w:tcPr>
            <w:tcW w:w="960" w:type="dxa"/>
            <w:tcBorders>
              <w:top w:val="single" w:sz="4" w:space="0" w:color="auto"/>
              <w:left w:val="single" w:sz="6" w:space="0" w:color="auto"/>
              <w:right w:val="single" w:sz="6" w:space="0" w:color="auto"/>
            </w:tcBorders>
            <w:vAlign w:val="center"/>
          </w:tcPr>
          <w:p w14:paraId="25989EE4"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Early life stages</w:t>
            </w:r>
            <w:r w:rsidRPr="00D403F5">
              <w:rPr>
                <w:rFonts w:ascii="Arial Narrow" w:hAnsi="Arial Narrow" w:cs="Arial"/>
                <w:szCs w:val="18"/>
                <w:vertAlign w:val="superscript"/>
              </w:rPr>
              <w:t>2</w:t>
            </w:r>
          </w:p>
        </w:tc>
        <w:tc>
          <w:tcPr>
            <w:tcW w:w="851" w:type="dxa"/>
            <w:tcBorders>
              <w:top w:val="single" w:sz="4" w:space="0" w:color="auto"/>
              <w:left w:val="single" w:sz="6" w:space="0" w:color="auto"/>
              <w:right w:val="single" w:sz="6" w:space="0" w:color="auto"/>
            </w:tcBorders>
            <w:vAlign w:val="center"/>
          </w:tcPr>
          <w:p w14:paraId="6B145815"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Juveniles</w:t>
            </w:r>
            <w:r w:rsidRPr="00D403F5">
              <w:rPr>
                <w:rFonts w:ascii="Arial Narrow" w:hAnsi="Arial Narrow" w:cs="Arial"/>
                <w:szCs w:val="18"/>
                <w:vertAlign w:val="superscript"/>
              </w:rPr>
              <w:t>2</w:t>
            </w:r>
          </w:p>
        </w:tc>
        <w:tc>
          <w:tcPr>
            <w:tcW w:w="708" w:type="dxa"/>
            <w:tcBorders>
              <w:top w:val="single" w:sz="4" w:space="0" w:color="auto"/>
              <w:left w:val="single" w:sz="6" w:space="0" w:color="auto"/>
            </w:tcBorders>
            <w:vAlign w:val="center"/>
          </w:tcPr>
          <w:p w14:paraId="068413DF"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Adults</w:t>
            </w:r>
          </w:p>
        </w:tc>
        <w:tc>
          <w:tcPr>
            <w:tcW w:w="925" w:type="dxa"/>
            <w:tcBorders>
              <w:top w:val="single" w:sz="4" w:space="0" w:color="auto"/>
              <w:left w:val="single" w:sz="6" w:space="0" w:color="auto"/>
              <w:right w:val="single" w:sz="6" w:space="0" w:color="auto"/>
            </w:tcBorders>
            <w:vAlign w:val="center"/>
          </w:tcPr>
          <w:p w14:paraId="13FAF767"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LV</w:t>
            </w:r>
          </w:p>
        </w:tc>
      </w:tr>
      <w:tr w:rsidR="00E65E42" w:rsidRPr="00D403F5" w14:paraId="1F2EFDBE" w14:textId="77777777" w:rsidTr="00E65E42">
        <w:trPr>
          <w:trHeight w:val="227"/>
          <w:jc w:val="center"/>
        </w:trPr>
        <w:tc>
          <w:tcPr>
            <w:tcW w:w="2399" w:type="dxa"/>
            <w:tcBorders>
              <w:top w:val="single" w:sz="6" w:space="0" w:color="auto"/>
              <w:left w:val="single" w:sz="6" w:space="0" w:color="auto"/>
            </w:tcBorders>
            <w:vAlign w:val="center"/>
          </w:tcPr>
          <w:p w14:paraId="66866192"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Wet mounts</w:t>
            </w:r>
          </w:p>
        </w:tc>
        <w:tc>
          <w:tcPr>
            <w:tcW w:w="920" w:type="dxa"/>
            <w:tcBorders>
              <w:top w:val="single" w:sz="6" w:space="0" w:color="auto"/>
              <w:left w:val="single" w:sz="6" w:space="0" w:color="auto"/>
            </w:tcBorders>
            <w:shd w:val="clear" w:color="auto" w:fill="D9D9D9" w:themeFill="background1" w:themeFillShade="D9"/>
            <w:vAlign w:val="center"/>
          </w:tcPr>
          <w:p w14:paraId="4C5A18EC" w14:textId="77777777" w:rsidR="00E65E42" w:rsidRPr="00D403F5" w:rsidRDefault="00E65E42" w:rsidP="00E65E42">
            <w:pPr>
              <w:pStyle w:val="TableHead"/>
              <w:spacing w:before="0" w:after="0"/>
              <w:rPr>
                <w:rFonts w:ascii="Arial Narrow" w:hAnsi="Arial Narrow" w:cs="Arial"/>
                <w:szCs w:val="18"/>
              </w:rPr>
            </w:pPr>
          </w:p>
        </w:tc>
        <w:tc>
          <w:tcPr>
            <w:tcW w:w="992" w:type="dxa"/>
            <w:tcBorders>
              <w:top w:val="single" w:sz="6" w:space="0" w:color="auto"/>
              <w:left w:val="single" w:sz="6" w:space="0" w:color="auto"/>
            </w:tcBorders>
            <w:shd w:val="clear" w:color="auto" w:fill="D9D9D9" w:themeFill="background1" w:themeFillShade="D9"/>
            <w:vAlign w:val="center"/>
          </w:tcPr>
          <w:p w14:paraId="377AEB61" w14:textId="77777777" w:rsidR="00E65E42" w:rsidRPr="00D403F5" w:rsidRDefault="00E65E42" w:rsidP="00E65E42">
            <w:pPr>
              <w:pStyle w:val="TableHead"/>
              <w:spacing w:before="0" w:after="0"/>
              <w:rPr>
                <w:rFonts w:ascii="Arial Narrow" w:hAnsi="Arial Narrow" w:cs="Arial"/>
                <w:szCs w:val="18"/>
              </w:rPr>
            </w:pPr>
          </w:p>
        </w:tc>
        <w:tc>
          <w:tcPr>
            <w:tcW w:w="709" w:type="dxa"/>
            <w:tcBorders>
              <w:top w:val="single" w:sz="6" w:space="0" w:color="auto"/>
              <w:left w:val="single" w:sz="6" w:space="0" w:color="auto"/>
            </w:tcBorders>
            <w:shd w:val="clear" w:color="auto" w:fill="D9D9D9" w:themeFill="background1" w:themeFillShade="D9"/>
            <w:vAlign w:val="center"/>
          </w:tcPr>
          <w:p w14:paraId="01A4B352" w14:textId="77777777" w:rsidR="00E65E42" w:rsidRPr="00D403F5" w:rsidRDefault="00E65E42" w:rsidP="00E65E42">
            <w:pPr>
              <w:pStyle w:val="TableHead"/>
              <w:spacing w:before="0" w:after="0"/>
              <w:rPr>
                <w:rFonts w:ascii="Arial Narrow" w:hAnsi="Arial Narrow" w:cs="Arial"/>
                <w:szCs w:val="18"/>
              </w:rPr>
            </w:pPr>
          </w:p>
        </w:tc>
        <w:tc>
          <w:tcPr>
            <w:tcW w:w="893" w:type="dxa"/>
            <w:tcBorders>
              <w:top w:val="single" w:sz="6" w:space="0" w:color="auto"/>
              <w:left w:val="single" w:sz="6" w:space="0" w:color="auto"/>
              <w:right w:val="single" w:sz="6" w:space="0" w:color="auto"/>
            </w:tcBorders>
            <w:shd w:val="clear" w:color="auto" w:fill="D9D9D9" w:themeFill="background1" w:themeFillShade="D9"/>
            <w:vAlign w:val="center"/>
          </w:tcPr>
          <w:p w14:paraId="2680046B" w14:textId="77777777" w:rsidR="00E65E42" w:rsidRPr="00D403F5" w:rsidRDefault="00E65E42" w:rsidP="00E65E42">
            <w:pPr>
              <w:pStyle w:val="TableHead"/>
              <w:spacing w:before="0" w:after="0"/>
              <w:rPr>
                <w:rFonts w:ascii="Arial Narrow" w:hAnsi="Arial Narrow" w:cs="Arial"/>
                <w:szCs w:val="18"/>
              </w:rPr>
            </w:pPr>
          </w:p>
        </w:tc>
        <w:tc>
          <w:tcPr>
            <w:tcW w:w="776" w:type="dxa"/>
            <w:tcBorders>
              <w:top w:val="single" w:sz="6" w:space="0" w:color="auto"/>
              <w:left w:val="single" w:sz="6" w:space="0" w:color="auto"/>
            </w:tcBorders>
            <w:shd w:val="clear" w:color="auto" w:fill="D9D9D9" w:themeFill="background1" w:themeFillShade="D9"/>
            <w:vAlign w:val="center"/>
          </w:tcPr>
          <w:p w14:paraId="1836361F" w14:textId="77777777" w:rsidR="00E65E42" w:rsidRPr="00D403F5" w:rsidRDefault="00E65E42" w:rsidP="00E65E42">
            <w:pPr>
              <w:pStyle w:val="Tabletext"/>
              <w:spacing w:before="0" w:after="0"/>
              <w:rPr>
                <w:rFonts w:ascii="Arial Narrow" w:hAnsi="Arial Narrow"/>
                <w:szCs w:val="18"/>
              </w:rPr>
            </w:pPr>
          </w:p>
        </w:tc>
        <w:tc>
          <w:tcPr>
            <w:tcW w:w="851" w:type="dxa"/>
            <w:tcBorders>
              <w:top w:val="single" w:sz="6" w:space="0" w:color="auto"/>
              <w:left w:val="single" w:sz="6" w:space="0" w:color="auto"/>
            </w:tcBorders>
            <w:shd w:val="clear" w:color="auto" w:fill="D9D9D9" w:themeFill="background1" w:themeFillShade="D9"/>
            <w:vAlign w:val="center"/>
          </w:tcPr>
          <w:p w14:paraId="72C6F98B" w14:textId="77777777" w:rsidR="00E65E42" w:rsidRPr="00D403F5" w:rsidRDefault="00E65E42" w:rsidP="00E65E42">
            <w:pPr>
              <w:pStyle w:val="Tabletext"/>
              <w:spacing w:before="0" w:after="0"/>
              <w:rPr>
                <w:rFonts w:ascii="Arial Narrow" w:hAnsi="Arial Narrow"/>
                <w:szCs w:val="18"/>
              </w:rPr>
            </w:pPr>
          </w:p>
        </w:tc>
        <w:tc>
          <w:tcPr>
            <w:tcW w:w="708" w:type="dxa"/>
            <w:tcBorders>
              <w:top w:val="single" w:sz="6" w:space="0" w:color="auto"/>
              <w:left w:val="single" w:sz="6" w:space="0" w:color="auto"/>
            </w:tcBorders>
            <w:shd w:val="clear" w:color="auto" w:fill="D9D9D9" w:themeFill="background1" w:themeFillShade="D9"/>
            <w:vAlign w:val="center"/>
          </w:tcPr>
          <w:p w14:paraId="56604D7B" w14:textId="77777777" w:rsidR="00E65E42" w:rsidRPr="00D403F5" w:rsidRDefault="00E65E42" w:rsidP="00E65E42">
            <w:pPr>
              <w:pStyle w:val="Tabletext"/>
              <w:spacing w:before="0" w:after="0"/>
              <w:rPr>
                <w:rFonts w:ascii="Arial Narrow" w:hAnsi="Arial Narrow"/>
                <w:szCs w:val="18"/>
              </w:rPr>
            </w:pPr>
          </w:p>
        </w:tc>
        <w:tc>
          <w:tcPr>
            <w:tcW w:w="883" w:type="dxa"/>
            <w:tcBorders>
              <w:top w:val="single" w:sz="6" w:space="0" w:color="auto"/>
              <w:left w:val="single" w:sz="6" w:space="0" w:color="auto"/>
              <w:right w:val="single" w:sz="6" w:space="0" w:color="auto"/>
            </w:tcBorders>
            <w:shd w:val="clear" w:color="auto" w:fill="D9D9D9" w:themeFill="background1" w:themeFillShade="D9"/>
            <w:vAlign w:val="center"/>
          </w:tcPr>
          <w:p w14:paraId="47895335" w14:textId="77777777" w:rsidR="00E65E42" w:rsidRPr="00D403F5" w:rsidRDefault="00E65E42" w:rsidP="00E65E42">
            <w:pPr>
              <w:pStyle w:val="Tabletext"/>
              <w:spacing w:before="0" w:after="0"/>
              <w:rPr>
                <w:rFonts w:ascii="Arial Narrow" w:hAnsi="Arial Narrow"/>
                <w:szCs w:val="18"/>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7A49E4D4" w14:textId="77777777" w:rsidR="00E65E42" w:rsidRPr="00D403F5" w:rsidRDefault="00E65E42" w:rsidP="00E65E42">
            <w:pPr>
              <w:pStyle w:val="Tabletext"/>
              <w:spacing w:before="0" w:after="0"/>
              <w:rPr>
                <w:rFonts w:ascii="Arial Narrow" w:hAnsi="Arial Narrow"/>
                <w:szCs w:val="18"/>
              </w:rPr>
            </w:pPr>
          </w:p>
        </w:tc>
        <w:tc>
          <w:tcPr>
            <w:tcW w:w="851" w:type="dxa"/>
            <w:tcBorders>
              <w:top w:val="single" w:sz="6" w:space="0" w:color="auto"/>
              <w:left w:val="single" w:sz="6" w:space="0" w:color="auto"/>
              <w:right w:val="single" w:sz="6" w:space="0" w:color="auto"/>
            </w:tcBorders>
            <w:shd w:val="clear" w:color="auto" w:fill="D9D9D9" w:themeFill="background1" w:themeFillShade="D9"/>
            <w:vAlign w:val="center"/>
          </w:tcPr>
          <w:p w14:paraId="7FDC8B47" w14:textId="77777777" w:rsidR="00E65E42" w:rsidRPr="00D403F5" w:rsidRDefault="00E65E42" w:rsidP="00E65E42">
            <w:pPr>
              <w:pStyle w:val="Tabletext"/>
              <w:spacing w:before="0" w:after="0"/>
              <w:rPr>
                <w:rFonts w:ascii="Arial Narrow" w:hAnsi="Arial Narrow"/>
                <w:szCs w:val="18"/>
              </w:rPr>
            </w:pPr>
          </w:p>
        </w:tc>
        <w:tc>
          <w:tcPr>
            <w:tcW w:w="708" w:type="dxa"/>
            <w:tcBorders>
              <w:top w:val="single" w:sz="6" w:space="0" w:color="auto"/>
              <w:left w:val="single" w:sz="6" w:space="0" w:color="auto"/>
            </w:tcBorders>
            <w:shd w:val="clear" w:color="auto" w:fill="D9D9D9" w:themeFill="background1" w:themeFillShade="D9"/>
            <w:vAlign w:val="center"/>
          </w:tcPr>
          <w:p w14:paraId="4AD82325" w14:textId="77777777" w:rsidR="00E65E42" w:rsidRPr="00D403F5" w:rsidRDefault="00E65E42" w:rsidP="00E65E42">
            <w:pPr>
              <w:pStyle w:val="Tabletext"/>
              <w:spacing w:before="0" w:after="0"/>
              <w:rPr>
                <w:rFonts w:ascii="Arial Narrow" w:hAnsi="Arial Narrow"/>
                <w:szCs w:val="18"/>
              </w:rPr>
            </w:pPr>
          </w:p>
        </w:tc>
        <w:tc>
          <w:tcPr>
            <w:tcW w:w="925" w:type="dxa"/>
            <w:tcBorders>
              <w:top w:val="single" w:sz="6" w:space="0" w:color="auto"/>
              <w:left w:val="single" w:sz="6" w:space="0" w:color="auto"/>
              <w:right w:val="single" w:sz="6" w:space="0" w:color="auto"/>
            </w:tcBorders>
            <w:shd w:val="clear" w:color="auto" w:fill="D9D9D9" w:themeFill="background1" w:themeFillShade="D9"/>
            <w:vAlign w:val="center"/>
          </w:tcPr>
          <w:p w14:paraId="60C92220" w14:textId="77777777" w:rsidR="00E65E42" w:rsidRPr="00D403F5" w:rsidRDefault="00E65E42" w:rsidP="00E65E42">
            <w:pPr>
              <w:pStyle w:val="Tabletext"/>
              <w:spacing w:before="0" w:after="0"/>
              <w:rPr>
                <w:rFonts w:ascii="Arial Narrow" w:hAnsi="Arial Narrow"/>
                <w:szCs w:val="18"/>
              </w:rPr>
            </w:pPr>
          </w:p>
        </w:tc>
      </w:tr>
      <w:tr w:rsidR="00E65E42" w:rsidRPr="00D403F5" w14:paraId="56334FA2"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68C92CE0"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Histopathology</w:t>
            </w:r>
            <w:r w:rsidRPr="00D403F5">
              <w:rPr>
                <w:rFonts w:ascii="Arial Narrow" w:hAnsi="Arial Narrow" w:cs="Arial"/>
                <w:szCs w:val="18"/>
                <w:vertAlign w:val="superscript"/>
              </w:rPr>
              <w:t>3</w:t>
            </w:r>
          </w:p>
        </w:tc>
        <w:tc>
          <w:tcPr>
            <w:tcW w:w="920" w:type="dxa"/>
            <w:tcBorders>
              <w:top w:val="single" w:sz="6" w:space="0" w:color="auto"/>
              <w:left w:val="single" w:sz="6" w:space="0" w:color="auto"/>
              <w:bottom w:val="single" w:sz="6" w:space="0" w:color="auto"/>
            </w:tcBorders>
            <w:shd w:val="clear" w:color="auto" w:fill="D9D9D9" w:themeFill="background1" w:themeFillShade="D9"/>
            <w:vAlign w:val="center"/>
          </w:tcPr>
          <w:p w14:paraId="08CB78D3" w14:textId="77777777" w:rsidR="00E65E42" w:rsidRPr="00D403F5" w:rsidRDefault="00E65E42" w:rsidP="00E65E42">
            <w:pPr>
              <w:pStyle w:val="TableHead"/>
              <w:spacing w:before="0" w:after="0"/>
              <w:rPr>
                <w:rFonts w:ascii="Arial Narrow" w:hAnsi="Arial Narrow" w:cs="Arial"/>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00E6FC44" w14:textId="77777777" w:rsidR="00E65E42" w:rsidRPr="00D403F5" w:rsidRDefault="00E65E42" w:rsidP="00E65E42">
            <w:pPr>
              <w:pStyle w:val="TableHead"/>
              <w:spacing w:before="0" w:after="0"/>
              <w:rPr>
                <w:rFonts w:ascii="Arial Narrow" w:hAnsi="Arial Narrow" w:cs="Arial"/>
                <w:szCs w:val="18"/>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3868665D" w14:textId="77777777" w:rsidR="00E65E42" w:rsidRPr="00D403F5" w:rsidRDefault="00E65E42" w:rsidP="00E65E42">
            <w:pPr>
              <w:pStyle w:val="TableHead"/>
              <w:spacing w:before="0" w:after="0"/>
              <w:rPr>
                <w:rFonts w:ascii="Arial Narrow" w:hAnsi="Arial Narrow" w:cs="Arial"/>
                <w:szCs w:val="18"/>
              </w:rPr>
            </w:pPr>
          </w:p>
        </w:tc>
        <w:tc>
          <w:tcPr>
            <w:tcW w:w="8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82BD754" w14:textId="77777777" w:rsidR="00E65E42" w:rsidRPr="00D403F5" w:rsidRDefault="00E65E42" w:rsidP="00E65E42">
            <w:pPr>
              <w:pStyle w:val="TableHead"/>
              <w:spacing w:before="0" w:after="0"/>
              <w:rPr>
                <w:rFonts w:ascii="Arial Narrow" w:hAnsi="Arial Narrow" w:cs="Arial"/>
                <w:szCs w:val="18"/>
              </w:rPr>
            </w:pPr>
          </w:p>
        </w:tc>
        <w:tc>
          <w:tcPr>
            <w:tcW w:w="776" w:type="dxa"/>
            <w:tcBorders>
              <w:top w:val="single" w:sz="6" w:space="0" w:color="auto"/>
              <w:left w:val="single" w:sz="6" w:space="0" w:color="auto"/>
              <w:bottom w:val="single" w:sz="6" w:space="0" w:color="auto"/>
            </w:tcBorders>
            <w:shd w:val="clear" w:color="auto" w:fill="D9D9D9" w:themeFill="background1" w:themeFillShade="D9"/>
            <w:vAlign w:val="center"/>
          </w:tcPr>
          <w:p w14:paraId="64F072C7" w14:textId="77777777" w:rsidR="00E65E42" w:rsidRPr="00D403F5" w:rsidRDefault="00E65E42" w:rsidP="00E65E42">
            <w:pPr>
              <w:pStyle w:val="Tabletext"/>
              <w:spacing w:before="0" w:after="0"/>
              <w:rPr>
                <w:rFonts w:ascii="Arial Narrow" w:hAnsi="Arial Narrow"/>
                <w:szCs w:val="18"/>
              </w:rPr>
            </w:pPr>
          </w:p>
        </w:tc>
        <w:tc>
          <w:tcPr>
            <w:tcW w:w="851" w:type="dxa"/>
            <w:tcBorders>
              <w:top w:val="single" w:sz="6" w:space="0" w:color="auto"/>
              <w:left w:val="single" w:sz="6" w:space="0" w:color="auto"/>
              <w:bottom w:val="single" w:sz="6" w:space="0" w:color="auto"/>
            </w:tcBorders>
            <w:shd w:val="clear" w:color="auto" w:fill="auto"/>
            <w:vAlign w:val="center"/>
          </w:tcPr>
          <w:p w14:paraId="77701E25"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shd w:val="clear" w:color="auto" w:fill="auto"/>
            <w:vAlign w:val="center"/>
          </w:tcPr>
          <w:p w14:paraId="23417A30"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tcPr>
          <w:p w14:paraId="21F949F2"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1</w:t>
            </w: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3969FD4" w14:textId="77777777" w:rsidR="00E65E42" w:rsidRPr="00D403F5" w:rsidRDefault="00E65E42" w:rsidP="00E65E42">
            <w:pPr>
              <w:pStyle w:val="Tabletext"/>
              <w:spacing w:before="0" w:after="0"/>
              <w:rPr>
                <w:rFonts w:ascii="Arial Narrow" w:hAnsi="Arial Narrow"/>
                <w:szCs w:val="18"/>
              </w:rPr>
            </w:pPr>
          </w:p>
        </w:tc>
        <w:tc>
          <w:tcPr>
            <w:tcW w:w="85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47E7CD3" w14:textId="77777777" w:rsidR="00E65E42" w:rsidRPr="00D403F5" w:rsidRDefault="00E65E42" w:rsidP="00E65E42">
            <w:pPr>
              <w:pStyle w:val="Tabletext"/>
              <w:spacing w:before="0" w:after="0"/>
              <w:rPr>
                <w:rFonts w:ascii="Arial Narrow" w:hAnsi="Arial Narrow"/>
                <w:szCs w:val="18"/>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3387B1C0" w14:textId="77777777" w:rsidR="00E65E42" w:rsidRPr="00D403F5" w:rsidRDefault="00E65E42" w:rsidP="00E65E42">
            <w:pPr>
              <w:pStyle w:val="Tabletext"/>
              <w:spacing w:before="0" w:after="0"/>
              <w:rPr>
                <w:rFonts w:ascii="Arial Narrow" w:hAnsi="Arial Narrow"/>
                <w:szCs w:val="18"/>
              </w:rPr>
            </w:pPr>
          </w:p>
        </w:tc>
        <w:tc>
          <w:tcPr>
            <w:tcW w:w="92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7BAD968" w14:textId="77777777" w:rsidR="00E65E42" w:rsidRPr="00D403F5" w:rsidRDefault="00E65E42" w:rsidP="00E65E42">
            <w:pPr>
              <w:pStyle w:val="Tabletext"/>
              <w:spacing w:before="0" w:after="0"/>
              <w:rPr>
                <w:rFonts w:ascii="Arial Narrow" w:hAnsi="Arial Narrow"/>
                <w:szCs w:val="18"/>
              </w:rPr>
            </w:pPr>
          </w:p>
        </w:tc>
      </w:tr>
      <w:tr w:rsidR="00E65E42" w:rsidRPr="00D403F5" w14:paraId="73C6B049" w14:textId="77777777" w:rsidTr="00E65E42">
        <w:trPr>
          <w:trHeight w:val="324"/>
          <w:jc w:val="center"/>
        </w:trPr>
        <w:tc>
          <w:tcPr>
            <w:tcW w:w="2399" w:type="dxa"/>
            <w:tcBorders>
              <w:top w:val="single" w:sz="6" w:space="0" w:color="auto"/>
              <w:left w:val="single" w:sz="6" w:space="0" w:color="auto"/>
            </w:tcBorders>
            <w:vAlign w:val="center"/>
          </w:tcPr>
          <w:p w14:paraId="0982E693"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Cytopathology</w:t>
            </w:r>
            <w:r w:rsidRPr="00D403F5">
              <w:rPr>
                <w:rFonts w:ascii="Arial Narrow" w:hAnsi="Arial Narrow" w:cs="Arial"/>
                <w:szCs w:val="18"/>
                <w:vertAlign w:val="superscript"/>
              </w:rPr>
              <w:t>3</w:t>
            </w:r>
          </w:p>
        </w:tc>
        <w:tc>
          <w:tcPr>
            <w:tcW w:w="920" w:type="dxa"/>
            <w:tcBorders>
              <w:top w:val="single" w:sz="6" w:space="0" w:color="auto"/>
              <w:left w:val="single" w:sz="6" w:space="0" w:color="auto"/>
            </w:tcBorders>
            <w:shd w:val="clear" w:color="auto" w:fill="D9D9D9" w:themeFill="background1" w:themeFillShade="D9"/>
            <w:vAlign w:val="center"/>
          </w:tcPr>
          <w:p w14:paraId="7DD45E61" w14:textId="77777777" w:rsidR="00E65E42" w:rsidRPr="00D403F5" w:rsidRDefault="00E65E42" w:rsidP="00E65E42">
            <w:pPr>
              <w:pStyle w:val="TableHead"/>
              <w:spacing w:before="0" w:after="0"/>
              <w:rPr>
                <w:rFonts w:ascii="Arial Narrow" w:hAnsi="Arial Narrow" w:cs="Arial"/>
                <w:szCs w:val="18"/>
              </w:rPr>
            </w:pPr>
          </w:p>
        </w:tc>
        <w:tc>
          <w:tcPr>
            <w:tcW w:w="992" w:type="dxa"/>
            <w:tcBorders>
              <w:top w:val="single" w:sz="6" w:space="0" w:color="auto"/>
              <w:left w:val="single" w:sz="6" w:space="0" w:color="auto"/>
            </w:tcBorders>
            <w:shd w:val="clear" w:color="auto" w:fill="D9D9D9" w:themeFill="background1" w:themeFillShade="D9"/>
            <w:vAlign w:val="center"/>
          </w:tcPr>
          <w:p w14:paraId="5735AC4B" w14:textId="77777777" w:rsidR="00E65E42" w:rsidRPr="00D403F5" w:rsidRDefault="00E65E42" w:rsidP="00E65E42">
            <w:pPr>
              <w:pStyle w:val="TableHead"/>
              <w:spacing w:before="0" w:after="0"/>
              <w:rPr>
                <w:rFonts w:ascii="Arial Narrow" w:hAnsi="Arial Narrow" w:cs="Arial"/>
                <w:szCs w:val="18"/>
              </w:rPr>
            </w:pPr>
          </w:p>
        </w:tc>
        <w:tc>
          <w:tcPr>
            <w:tcW w:w="709" w:type="dxa"/>
            <w:tcBorders>
              <w:top w:val="single" w:sz="6" w:space="0" w:color="auto"/>
              <w:left w:val="single" w:sz="6" w:space="0" w:color="auto"/>
            </w:tcBorders>
            <w:shd w:val="clear" w:color="auto" w:fill="D9D9D9" w:themeFill="background1" w:themeFillShade="D9"/>
            <w:vAlign w:val="center"/>
          </w:tcPr>
          <w:p w14:paraId="411F993B" w14:textId="77777777" w:rsidR="00E65E42" w:rsidRPr="00D403F5" w:rsidRDefault="00E65E42" w:rsidP="00E65E42">
            <w:pPr>
              <w:pStyle w:val="TableHead"/>
              <w:spacing w:before="0" w:after="0"/>
              <w:rPr>
                <w:rFonts w:ascii="Arial Narrow" w:hAnsi="Arial Narrow" w:cs="Arial"/>
                <w:szCs w:val="18"/>
              </w:rPr>
            </w:pPr>
          </w:p>
        </w:tc>
        <w:tc>
          <w:tcPr>
            <w:tcW w:w="893" w:type="dxa"/>
            <w:tcBorders>
              <w:top w:val="single" w:sz="6" w:space="0" w:color="auto"/>
              <w:left w:val="single" w:sz="6" w:space="0" w:color="auto"/>
              <w:right w:val="single" w:sz="6" w:space="0" w:color="auto"/>
            </w:tcBorders>
            <w:shd w:val="clear" w:color="auto" w:fill="D9D9D9" w:themeFill="background1" w:themeFillShade="D9"/>
            <w:vAlign w:val="center"/>
          </w:tcPr>
          <w:p w14:paraId="74463A0E" w14:textId="77777777" w:rsidR="00E65E42" w:rsidRPr="00D403F5" w:rsidRDefault="00E65E42" w:rsidP="00E65E42">
            <w:pPr>
              <w:pStyle w:val="TableHead"/>
              <w:spacing w:before="0" w:after="0"/>
              <w:rPr>
                <w:rFonts w:ascii="Arial Narrow" w:hAnsi="Arial Narrow" w:cs="Arial"/>
                <w:szCs w:val="18"/>
              </w:rPr>
            </w:pPr>
          </w:p>
        </w:tc>
        <w:tc>
          <w:tcPr>
            <w:tcW w:w="776" w:type="dxa"/>
            <w:tcBorders>
              <w:top w:val="single" w:sz="6" w:space="0" w:color="auto"/>
              <w:left w:val="single" w:sz="6" w:space="0" w:color="auto"/>
            </w:tcBorders>
            <w:shd w:val="clear" w:color="auto" w:fill="D9D9D9" w:themeFill="background1" w:themeFillShade="D9"/>
            <w:vAlign w:val="center"/>
          </w:tcPr>
          <w:p w14:paraId="452E322F" w14:textId="77777777" w:rsidR="00E65E42" w:rsidRPr="00D403F5" w:rsidRDefault="00E65E42" w:rsidP="00E65E42">
            <w:pPr>
              <w:pStyle w:val="Tabletext"/>
              <w:spacing w:before="0" w:after="0"/>
              <w:rPr>
                <w:rFonts w:ascii="Arial Narrow" w:hAnsi="Arial Narrow"/>
                <w:szCs w:val="18"/>
              </w:rPr>
            </w:pPr>
          </w:p>
        </w:tc>
        <w:tc>
          <w:tcPr>
            <w:tcW w:w="851" w:type="dxa"/>
            <w:tcBorders>
              <w:top w:val="single" w:sz="6" w:space="0" w:color="auto"/>
              <w:left w:val="single" w:sz="6" w:space="0" w:color="auto"/>
              <w:bottom w:val="single" w:sz="6" w:space="0" w:color="auto"/>
            </w:tcBorders>
            <w:shd w:val="clear" w:color="auto" w:fill="D9D9D9" w:themeFill="background1" w:themeFillShade="D9"/>
            <w:vAlign w:val="center"/>
          </w:tcPr>
          <w:p w14:paraId="1847FBBC" w14:textId="77777777" w:rsidR="00E65E42" w:rsidRPr="00D403F5" w:rsidRDefault="00E65E42" w:rsidP="00E65E42">
            <w:pPr>
              <w:pStyle w:val="Tabletext"/>
              <w:spacing w:before="0" w:after="0"/>
              <w:rPr>
                <w:rFonts w:ascii="Arial Narrow" w:hAnsi="Arial Narrow"/>
                <w:szCs w:val="18"/>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1C9119CA" w14:textId="77777777" w:rsidR="00E65E42" w:rsidRPr="00D403F5" w:rsidRDefault="00E65E42" w:rsidP="00E65E42">
            <w:pPr>
              <w:pStyle w:val="Tabletext"/>
              <w:spacing w:before="0" w:after="0"/>
              <w:rPr>
                <w:rFonts w:ascii="Arial Narrow" w:hAnsi="Arial Narrow"/>
                <w:szCs w:val="18"/>
              </w:rPr>
            </w:pPr>
          </w:p>
        </w:tc>
        <w:tc>
          <w:tcPr>
            <w:tcW w:w="88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5972098" w14:textId="77777777" w:rsidR="00E65E42" w:rsidRPr="00D403F5" w:rsidRDefault="00E65E42" w:rsidP="00E65E42">
            <w:pPr>
              <w:pStyle w:val="Tabletext"/>
              <w:spacing w:before="0" w:after="0"/>
              <w:rPr>
                <w:rFonts w:ascii="Arial Narrow" w:hAnsi="Arial Narrow"/>
                <w:szCs w:val="18"/>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11CA2244" w14:textId="77777777" w:rsidR="00E65E42" w:rsidRPr="00D403F5" w:rsidRDefault="00E65E42" w:rsidP="00E65E42">
            <w:pPr>
              <w:pStyle w:val="Tabletext"/>
              <w:spacing w:before="0" w:after="0"/>
              <w:rPr>
                <w:rFonts w:ascii="Arial Narrow" w:hAnsi="Arial Narrow"/>
                <w:szCs w:val="18"/>
              </w:rPr>
            </w:pPr>
          </w:p>
        </w:tc>
        <w:tc>
          <w:tcPr>
            <w:tcW w:w="851" w:type="dxa"/>
            <w:tcBorders>
              <w:top w:val="single" w:sz="6" w:space="0" w:color="auto"/>
              <w:left w:val="single" w:sz="6" w:space="0" w:color="auto"/>
              <w:right w:val="single" w:sz="6" w:space="0" w:color="auto"/>
            </w:tcBorders>
            <w:shd w:val="clear" w:color="auto" w:fill="D9D9D9" w:themeFill="background1" w:themeFillShade="D9"/>
            <w:vAlign w:val="center"/>
          </w:tcPr>
          <w:p w14:paraId="12914347" w14:textId="77777777" w:rsidR="00E65E42" w:rsidRPr="00D403F5" w:rsidRDefault="00E65E42" w:rsidP="00E65E42">
            <w:pPr>
              <w:pStyle w:val="Tabletext"/>
              <w:spacing w:before="0" w:after="0"/>
              <w:rPr>
                <w:rFonts w:ascii="Arial Narrow" w:hAnsi="Arial Narrow"/>
                <w:szCs w:val="18"/>
              </w:rPr>
            </w:pPr>
          </w:p>
        </w:tc>
        <w:tc>
          <w:tcPr>
            <w:tcW w:w="708" w:type="dxa"/>
            <w:tcBorders>
              <w:top w:val="single" w:sz="6" w:space="0" w:color="auto"/>
              <w:left w:val="single" w:sz="6" w:space="0" w:color="auto"/>
            </w:tcBorders>
            <w:shd w:val="clear" w:color="auto" w:fill="D9D9D9" w:themeFill="background1" w:themeFillShade="D9"/>
            <w:vAlign w:val="center"/>
          </w:tcPr>
          <w:p w14:paraId="69CEB396" w14:textId="77777777" w:rsidR="00E65E42" w:rsidRPr="00D403F5" w:rsidRDefault="00E65E42" w:rsidP="00E65E42">
            <w:pPr>
              <w:pStyle w:val="Tabletext"/>
              <w:spacing w:before="0" w:after="0"/>
              <w:rPr>
                <w:rFonts w:ascii="Arial Narrow" w:hAnsi="Arial Narrow"/>
                <w:szCs w:val="18"/>
              </w:rPr>
            </w:pPr>
          </w:p>
        </w:tc>
        <w:tc>
          <w:tcPr>
            <w:tcW w:w="925" w:type="dxa"/>
            <w:tcBorders>
              <w:top w:val="single" w:sz="6" w:space="0" w:color="auto"/>
              <w:left w:val="single" w:sz="6" w:space="0" w:color="auto"/>
              <w:right w:val="single" w:sz="6" w:space="0" w:color="auto"/>
            </w:tcBorders>
            <w:shd w:val="clear" w:color="auto" w:fill="D9D9D9" w:themeFill="background1" w:themeFillShade="D9"/>
            <w:vAlign w:val="center"/>
          </w:tcPr>
          <w:p w14:paraId="39CC758F" w14:textId="77777777" w:rsidR="00E65E42" w:rsidRPr="00D403F5" w:rsidRDefault="00E65E42" w:rsidP="00E65E42">
            <w:pPr>
              <w:pStyle w:val="Tabletext"/>
              <w:spacing w:before="0" w:after="0"/>
              <w:rPr>
                <w:rFonts w:ascii="Arial Narrow" w:hAnsi="Arial Narrow"/>
                <w:szCs w:val="18"/>
              </w:rPr>
            </w:pPr>
          </w:p>
        </w:tc>
      </w:tr>
      <w:tr w:rsidR="00E65E42" w:rsidRPr="00D403F5" w14:paraId="113BA20E"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2865C959"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Cell or artificial media culture</w:t>
            </w:r>
          </w:p>
        </w:tc>
        <w:tc>
          <w:tcPr>
            <w:tcW w:w="920" w:type="dxa"/>
            <w:tcBorders>
              <w:top w:val="single" w:sz="6" w:space="0" w:color="auto"/>
              <w:left w:val="single" w:sz="6" w:space="0" w:color="auto"/>
              <w:bottom w:val="single" w:sz="6" w:space="0" w:color="auto"/>
            </w:tcBorders>
            <w:vAlign w:val="center"/>
          </w:tcPr>
          <w:p w14:paraId="63EA134D" w14:textId="77777777" w:rsidR="00E65E42" w:rsidRPr="00D403F5" w:rsidRDefault="00E65E42" w:rsidP="00E65E42">
            <w:pPr>
              <w:pStyle w:val="TableHead"/>
              <w:spacing w:before="0" w:after="0"/>
              <w:rPr>
                <w:rFonts w:ascii="Arial Narrow" w:hAnsi="Arial Narrow" w:cs="Arial"/>
                <w:b w:val="0"/>
                <w:szCs w:val="18"/>
              </w:rPr>
            </w:pPr>
            <w:r w:rsidRPr="00D403F5">
              <w:rPr>
                <w:rFonts w:ascii="Arial Narrow" w:hAnsi="Arial Narrow" w:cs="Arial"/>
                <w:b w:val="0"/>
                <w:szCs w:val="18"/>
              </w:rPr>
              <w:t>+++</w:t>
            </w:r>
          </w:p>
        </w:tc>
        <w:tc>
          <w:tcPr>
            <w:tcW w:w="992" w:type="dxa"/>
            <w:tcBorders>
              <w:top w:val="single" w:sz="6" w:space="0" w:color="auto"/>
              <w:left w:val="single" w:sz="6" w:space="0" w:color="auto"/>
              <w:bottom w:val="single" w:sz="6" w:space="0" w:color="auto"/>
            </w:tcBorders>
            <w:vAlign w:val="center"/>
          </w:tcPr>
          <w:p w14:paraId="25F3651D" w14:textId="77777777" w:rsidR="00E65E42" w:rsidRPr="00D403F5" w:rsidRDefault="00E65E42" w:rsidP="00E65E42">
            <w:pPr>
              <w:pStyle w:val="TableHead"/>
              <w:spacing w:before="0" w:after="0"/>
              <w:rPr>
                <w:rFonts w:ascii="Arial Narrow" w:hAnsi="Arial Narrow" w:cs="Arial"/>
                <w:b w:val="0"/>
                <w:szCs w:val="18"/>
              </w:rPr>
            </w:pPr>
            <w:r w:rsidRPr="00D403F5">
              <w:rPr>
                <w:rFonts w:ascii="Arial Narrow" w:hAnsi="Arial Narrow" w:cs="Arial"/>
                <w:b w:val="0"/>
                <w:szCs w:val="18"/>
              </w:rPr>
              <w:t>+++</w:t>
            </w:r>
          </w:p>
        </w:tc>
        <w:tc>
          <w:tcPr>
            <w:tcW w:w="709" w:type="dxa"/>
            <w:tcBorders>
              <w:top w:val="single" w:sz="6" w:space="0" w:color="auto"/>
              <w:left w:val="single" w:sz="6" w:space="0" w:color="auto"/>
              <w:bottom w:val="single" w:sz="6" w:space="0" w:color="auto"/>
            </w:tcBorders>
            <w:vAlign w:val="center"/>
          </w:tcPr>
          <w:p w14:paraId="057AD1D8" w14:textId="77777777" w:rsidR="00E65E42" w:rsidRPr="00D403F5" w:rsidRDefault="00E65E42" w:rsidP="00E65E42">
            <w:pPr>
              <w:pStyle w:val="TableHead"/>
              <w:spacing w:before="0" w:after="0"/>
              <w:rPr>
                <w:rFonts w:ascii="Arial Narrow" w:hAnsi="Arial Narrow" w:cs="Arial"/>
                <w:b w:val="0"/>
                <w:szCs w:val="18"/>
              </w:rPr>
            </w:pPr>
            <w:r w:rsidRPr="00D403F5">
              <w:rPr>
                <w:rFonts w:ascii="Arial Narrow" w:hAnsi="Arial Narrow" w:cs="Arial"/>
                <w:b w:val="0"/>
                <w:szCs w:val="18"/>
              </w:rPr>
              <w:t>+++</w:t>
            </w:r>
          </w:p>
        </w:tc>
        <w:tc>
          <w:tcPr>
            <w:tcW w:w="893" w:type="dxa"/>
            <w:tcBorders>
              <w:top w:val="single" w:sz="6" w:space="0" w:color="auto"/>
              <w:left w:val="single" w:sz="6" w:space="0" w:color="auto"/>
              <w:bottom w:val="single" w:sz="6" w:space="0" w:color="auto"/>
              <w:right w:val="single" w:sz="6" w:space="0" w:color="auto"/>
            </w:tcBorders>
            <w:vAlign w:val="center"/>
          </w:tcPr>
          <w:p w14:paraId="53D109CF" w14:textId="77777777" w:rsidR="00E65E42" w:rsidRPr="00D403F5" w:rsidRDefault="00E65E42" w:rsidP="00E65E42">
            <w:pPr>
              <w:pStyle w:val="TableHead"/>
              <w:spacing w:before="0" w:after="0"/>
              <w:rPr>
                <w:rFonts w:ascii="Arial Narrow" w:hAnsi="Arial Narrow" w:cs="Arial"/>
                <w:b w:val="0"/>
                <w:szCs w:val="18"/>
              </w:rPr>
            </w:pPr>
            <w:r w:rsidRPr="00D403F5">
              <w:rPr>
                <w:rFonts w:ascii="Arial Narrow" w:hAnsi="Arial Narrow" w:cs="Arial"/>
                <w:b w:val="0"/>
                <w:szCs w:val="18"/>
              </w:rPr>
              <w:t>3</w:t>
            </w:r>
          </w:p>
        </w:tc>
        <w:tc>
          <w:tcPr>
            <w:tcW w:w="776" w:type="dxa"/>
            <w:tcBorders>
              <w:top w:val="single" w:sz="6" w:space="0" w:color="auto"/>
              <w:left w:val="single" w:sz="6" w:space="0" w:color="auto"/>
              <w:bottom w:val="single" w:sz="6" w:space="0" w:color="auto"/>
            </w:tcBorders>
            <w:vAlign w:val="center"/>
          </w:tcPr>
          <w:p w14:paraId="157228D6"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6" w:space="0" w:color="auto"/>
              <w:left w:val="single" w:sz="6" w:space="0" w:color="auto"/>
              <w:bottom w:val="single" w:sz="6" w:space="0" w:color="auto"/>
            </w:tcBorders>
            <w:vAlign w:val="center"/>
          </w:tcPr>
          <w:p w14:paraId="57955D07"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vAlign w:val="center"/>
          </w:tcPr>
          <w:p w14:paraId="181EB3BB"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883" w:type="dxa"/>
            <w:tcBorders>
              <w:top w:val="single" w:sz="6" w:space="0" w:color="auto"/>
              <w:left w:val="single" w:sz="6" w:space="0" w:color="auto"/>
              <w:bottom w:val="single" w:sz="6" w:space="0" w:color="auto"/>
              <w:right w:val="single" w:sz="6" w:space="0" w:color="auto"/>
            </w:tcBorders>
            <w:vAlign w:val="center"/>
          </w:tcPr>
          <w:p w14:paraId="6CE1CCC5"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b/>
                <w:szCs w:val="18"/>
              </w:rPr>
              <w:t>3</w:t>
            </w:r>
          </w:p>
        </w:tc>
        <w:tc>
          <w:tcPr>
            <w:tcW w:w="960" w:type="dxa"/>
            <w:tcBorders>
              <w:top w:val="single" w:sz="6" w:space="0" w:color="auto"/>
              <w:left w:val="single" w:sz="6" w:space="0" w:color="auto"/>
              <w:bottom w:val="single" w:sz="6" w:space="0" w:color="auto"/>
              <w:right w:val="single" w:sz="6" w:space="0" w:color="auto"/>
            </w:tcBorders>
            <w:vAlign w:val="center"/>
          </w:tcPr>
          <w:p w14:paraId="2D79987B"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6" w:space="0" w:color="auto"/>
              <w:left w:val="single" w:sz="6" w:space="0" w:color="auto"/>
              <w:bottom w:val="single" w:sz="6" w:space="0" w:color="auto"/>
              <w:right w:val="single" w:sz="6" w:space="0" w:color="auto"/>
            </w:tcBorders>
            <w:vAlign w:val="center"/>
          </w:tcPr>
          <w:p w14:paraId="2CDB645A"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vAlign w:val="center"/>
          </w:tcPr>
          <w:p w14:paraId="77A596FA"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925" w:type="dxa"/>
            <w:tcBorders>
              <w:top w:val="single" w:sz="6" w:space="0" w:color="auto"/>
              <w:left w:val="single" w:sz="6" w:space="0" w:color="auto"/>
              <w:bottom w:val="single" w:sz="6" w:space="0" w:color="auto"/>
              <w:right w:val="single" w:sz="6" w:space="0" w:color="auto"/>
            </w:tcBorders>
            <w:vAlign w:val="center"/>
          </w:tcPr>
          <w:p w14:paraId="269DDD33"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b/>
                <w:szCs w:val="18"/>
              </w:rPr>
              <w:t>3</w:t>
            </w:r>
          </w:p>
        </w:tc>
      </w:tr>
      <w:tr w:rsidR="00E65E42" w:rsidRPr="00D403F5" w14:paraId="0DAB14A4"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37C4B33A"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Real-time PCR</w:t>
            </w:r>
          </w:p>
        </w:tc>
        <w:tc>
          <w:tcPr>
            <w:tcW w:w="920" w:type="dxa"/>
            <w:tcBorders>
              <w:top w:val="single" w:sz="6" w:space="0" w:color="auto"/>
              <w:left w:val="single" w:sz="6" w:space="0" w:color="auto"/>
              <w:bottom w:val="single" w:sz="6" w:space="0" w:color="auto"/>
            </w:tcBorders>
            <w:vAlign w:val="center"/>
          </w:tcPr>
          <w:p w14:paraId="101C7E22"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b w:val="0"/>
                <w:szCs w:val="18"/>
              </w:rPr>
              <w:t>+++</w:t>
            </w:r>
          </w:p>
        </w:tc>
        <w:tc>
          <w:tcPr>
            <w:tcW w:w="992" w:type="dxa"/>
            <w:tcBorders>
              <w:top w:val="single" w:sz="6" w:space="0" w:color="auto"/>
              <w:left w:val="single" w:sz="6" w:space="0" w:color="auto"/>
              <w:bottom w:val="single" w:sz="6" w:space="0" w:color="auto"/>
            </w:tcBorders>
            <w:vAlign w:val="center"/>
          </w:tcPr>
          <w:p w14:paraId="301F8B76"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b w:val="0"/>
                <w:szCs w:val="18"/>
              </w:rPr>
              <w:t>+++</w:t>
            </w:r>
          </w:p>
        </w:tc>
        <w:tc>
          <w:tcPr>
            <w:tcW w:w="709" w:type="dxa"/>
            <w:tcBorders>
              <w:top w:val="single" w:sz="6" w:space="0" w:color="auto"/>
              <w:left w:val="single" w:sz="6" w:space="0" w:color="auto"/>
              <w:bottom w:val="single" w:sz="6" w:space="0" w:color="auto"/>
            </w:tcBorders>
            <w:vAlign w:val="center"/>
          </w:tcPr>
          <w:p w14:paraId="4535EEAE"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b w:val="0"/>
                <w:szCs w:val="18"/>
              </w:rPr>
              <w:t>+++</w:t>
            </w:r>
          </w:p>
        </w:tc>
        <w:tc>
          <w:tcPr>
            <w:tcW w:w="893" w:type="dxa"/>
            <w:tcBorders>
              <w:top w:val="single" w:sz="6" w:space="0" w:color="auto"/>
              <w:left w:val="single" w:sz="6" w:space="0" w:color="auto"/>
              <w:bottom w:val="single" w:sz="6" w:space="0" w:color="auto"/>
              <w:right w:val="single" w:sz="6" w:space="0" w:color="auto"/>
            </w:tcBorders>
            <w:vAlign w:val="center"/>
          </w:tcPr>
          <w:p w14:paraId="4112679F"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3</w:t>
            </w:r>
          </w:p>
        </w:tc>
        <w:tc>
          <w:tcPr>
            <w:tcW w:w="776" w:type="dxa"/>
            <w:tcBorders>
              <w:top w:val="single" w:sz="6" w:space="0" w:color="auto"/>
              <w:left w:val="single" w:sz="6" w:space="0" w:color="auto"/>
              <w:bottom w:val="single" w:sz="6" w:space="0" w:color="auto"/>
            </w:tcBorders>
            <w:vAlign w:val="center"/>
          </w:tcPr>
          <w:p w14:paraId="7A1E1381"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6" w:space="0" w:color="auto"/>
              <w:left w:val="single" w:sz="6" w:space="0" w:color="auto"/>
              <w:bottom w:val="single" w:sz="6" w:space="0" w:color="auto"/>
            </w:tcBorders>
            <w:vAlign w:val="center"/>
          </w:tcPr>
          <w:p w14:paraId="6EDF2669"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vAlign w:val="center"/>
          </w:tcPr>
          <w:p w14:paraId="01D16F60"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883" w:type="dxa"/>
            <w:tcBorders>
              <w:top w:val="single" w:sz="6" w:space="0" w:color="auto"/>
              <w:left w:val="single" w:sz="6" w:space="0" w:color="auto"/>
              <w:bottom w:val="single" w:sz="6" w:space="0" w:color="auto"/>
              <w:right w:val="single" w:sz="6" w:space="0" w:color="auto"/>
            </w:tcBorders>
            <w:vAlign w:val="center"/>
          </w:tcPr>
          <w:p w14:paraId="5AAA78A3"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b/>
                <w:szCs w:val="18"/>
              </w:rPr>
              <w:t>3</w:t>
            </w:r>
          </w:p>
        </w:tc>
        <w:tc>
          <w:tcPr>
            <w:tcW w:w="960" w:type="dxa"/>
            <w:tcBorders>
              <w:top w:val="single" w:sz="6" w:space="0" w:color="auto"/>
              <w:left w:val="single" w:sz="6" w:space="0" w:color="auto"/>
              <w:bottom w:val="single" w:sz="6" w:space="0" w:color="auto"/>
              <w:right w:val="single" w:sz="6" w:space="0" w:color="auto"/>
            </w:tcBorders>
            <w:vAlign w:val="center"/>
          </w:tcPr>
          <w:p w14:paraId="58E2D8FC"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6" w:space="0" w:color="auto"/>
              <w:left w:val="single" w:sz="6" w:space="0" w:color="auto"/>
              <w:bottom w:val="single" w:sz="6" w:space="0" w:color="auto"/>
              <w:right w:val="single" w:sz="6" w:space="0" w:color="auto"/>
            </w:tcBorders>
            <w:vAlign w:val="center"/>
          </w:tcPr>
          <w:p w14:paraId="11AB2F3D"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vAlign w:val="center"/>
          </w:tcPr>
          <w:p w14:paraId="6F3FFC04"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925" w:type="dxa"/>
            <w:tcBorders>
              <w:top w:val="single" w:sz="6" w:space="0" w:color="auto"/>
              <w:left w:val="single" w:sz="6" w:space="0" w:color="auto"/>
              <w:bottom w:val="single" w:sz="6" w:space="0" w:color="auto"/>
              <w:right w:val="single" w:sz="6" w:space="0" w:color="auto"/>
            </w:tcBorders>
            <w:vAlign w:val="center"/>
          </w:tcPr>
          <w:p w14:paraId="04B422E3"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b/>
                <w:szCs w:val="18"/>
              </w:rPr>
              <w:t>3</w:t>
            </w:r>
          </w:p>
        </w:tc>
      </w:tr>
      <w:tr w:rsidR="00E65E42" w:rsidRPr="00D403F5" w14:paraId="3F1D6AAF"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77439790"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Conventional PCR</w:t>
            </w:r>
          </w:p>
        </w:tc>
        <w:tc>
          <w:tcPr>
            <w:tcW w:w="920" w:type="dxa"/>
            <w:tcBorders>
              <w:top w:val="single" w:sz="6" w:space="0" w:color="auto"/>
              <w:left w:val="single" w:sz="6" w:space="0" w:color="auto"/>
              <w:bottom w:val="single" w:sz="6" w:space="0" w:color="auto"/>
            </w:tcBorders>
            <w:shd w:val="clear" w:color="auto" w:fill="D9D9D9" w:themeFill="background1" w:themeFillShade="D9"/>
            <w:vAlign w:val="center"/>
          </w:tcPr>
          <w:p w14:paraId="771A7428" w14:textId="77777777" w:rsidR="00E65E42" w:rsidRPr="00D403F5" w:rsidRDefault="00E65E42" w:rsidP="00E65E42">
            <w:pPr>
              <w:pStyle w:val="TableHead"/>
              <w:spacing w:before="0" w:after="0"/>
              <w:rPr>
                <w:rFonts w:ascii="Arial Narrow" w:hAnsi="Arial Narrow" w:cs="Arial"/>
                <w:b w:val="0"/>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4CE724AE" w14:textId="77777777" w:rsidR="00E65E42" w:rsidRPr="00D403F5" w:rsidRDefault="00E65E42" w:rsidP="00E65E42">
            <w:pPr>
              <w:pStyle w:val="TableHead"/>
              <w:spacing w:before="0" w:after="0"/>
              <w:rPr>
                <w:rFonts w:ascii="Arial Narrow" w:hAnsi="Arial Narrow" w:cs="Arial"/>
                <w:b w:val="0"/>
                <w:szCs w:val="18"/>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5A7714AE" w14:textId="77777777" w:rsidR="00E65E42" w:rsidRPr="00D403F5" w:rsidRDefault="00E65E42" w:rsidP="00E65E42">
            <w:pPr>
              <w:pStyle w:val="TableHead"/>
              <w:spacing w:before="0" w:after="0"/>
              <w:rPr>
                <w:rFonts w:ascii="Arial Narrow" w:hAnsi="Arial Narrow" w:cs="Arial"/>
                <w:b w:val="0"/>
                <w:szCs w:val="18"/>
              </w:rPr>
            </w:pPr>
          </w:p>
        </w:tc>
        <w:tc>
          <w:tcPr>
            <w:tcW w:w="8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5613F83" w14:textId="77777777" w:rsidR="00E65E42" w:rsidRPr="00D403F5" w:rsidRDefault="00E65E42" w:rsidP="00E65E42">
            <w:pPr>
              <w:pStyle w:val="TableHead"/>
              <w:spacing w:before="0" w:after="0"/>
              <w:rPr>
                <w:rFonts w:ascii="Arial Narrow" w:hAnsi="Arial Narrow" w:cs="Arial"/>
                <w:szCs w:val="18"/>
              </w:rPr>
            </w:pPr>
          </w:p>
        </w:tc>
        <w:tc>
          <w:tcPr>
            <w:tcW w:w="776" w:type="dxa"/>
            <w:tcBorders>
              <w:top w:val="single" w:sz="6" w:space="0" w:color="auto"/>
              <w:left w:val="single" w:sz="6" w:space="0" w:color="auto"/>
              <w:bottom w:val="single" w:sz="6" w:space="0" w:color="auto"/>
            </w:tcBorders>
            <w:shd w:val="clear" w:color="auto" w:fill="D9D9D9" w:themeFill="background1" w:themeFillShade="D9"/>
            <w:vAlign w:val="center"/>
          </w:tcPr>
          <w:p w14:paraId="1ECE5870" w14:textId="77777777" w:rsidR="00E65E42" w:rsidRPr="00D403F5" w:rsidRDefault="00E65E42" w:rsidP="00E65E42">
            <w:pPr>
              <w:pStyle w:val="Tabletext"/>
              <w:spacing w:before="0" w:after="0"/>
              <w:rPr>
                <w:rFonts w:ascii="Arial Narrow" w:hAnsi="Arial Narrow"/>
                <w:szCs w:val="18"/>
              </w:rPr>
            </w:pPr>
          </w:p>
        </w:tc>
        <w:tc>
          <w:tcPr>
            <w:tcW w:w="851" w:type="dxa"/>
            <w:tcBorders>
              <w:top w:val="single" w:sz="6" w:space="0" w:color="auto"/>
              <w:left w:val="single" w:sz="6" w:space="0" w:color="auto"/>
              <w:bottom w:val="single" w:sz="6" w:space="0" w:color="auto"/>
            </w:tcBorders>
            <w:shd w:val="clear" w:color="auto" w:fill="auto"/>
            <w:vAlign w:val="center"/>
          </w:tcPr>
          <w:p w14:paraId="6D237DFA"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shd w:val="clear" w:color="auto" w:fill="auto"/>
            <w:vAlign w:val="center"/>
          </w:tcPr>
          <w:p w14:paraId="05A4CFFE"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tcPr>
          <w:p w14:paraId="1ECBF39B" w14:textId="77777777" w:rsidR="00E65E42" w:rsidRPr="00B750C2" w:rsidRDefault="00E65E42" w:rsidP="00E65E42">
            <w:pPr>
              <w:pStyle w:val="Tabletext"/>
              <w:spacing w:before="0" w:after="0"/>
              <w:rPr>
                <w:rFonts w:ascii="Arial Narrow" w:hAnsi="Arial Narrow"/>
                <w:strike/>
                <w:szCs w:val="18"/>
              </w:rPr>
            </w:pPr>
            <w:r w:rsidRPr="004C0B8D">
              <w:rPr>
                <w:rFonts w:ascii="Arial Narrow" w:hAnsi="Arial Narrow"/>
                <w:strike/>
                <w:szCs w:val="18"/>
                <w:highlight w:val="yellow"/>
              </w:rPr>
              <w:t xml:space="preserve">++ </w:t>
            </w:r>
            <w:r w:rsidRPr="004C0B8D">
              <w:rPr>
                <w:rFonts w:ascii="Arial Narrow" w:hAnsi="Arial Narrow"/>
                <w:szCs w:val="18"/>
                <w:highlight w:val="yellow"/>
                <w:u w:val="double"/>
              </w:rPr>
              <w:t>2</w:t>
            </w:r>
          </w:p>
        </w:tc>
        <w:tc>
          <w:tcPr>
            <w:tcW w:w="96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14D3ADB"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AD7AA37"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shd w:val="clear" w:color="auto" w:fill="FFFFFF" w:themeFill="background1"/>
            <w:vAlign w:val="center"/>
          </w:tcPr>
          <w:p w14:paraId="1EA9E4D6"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92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6BCABF2" w14:textId="77777777" w:rsidR="00E65E42" w:rsidRPr="0037309F" w:rsidRDefault="00E65E42" w:rsidP="00E65E42">
            <w:pPr>
              <w:pStyle w:val="Tabletext"/>
              <w:spacing w:before="0" w:after="0"/>
              <w:rPr>
                <w:rFonts w:ascii="Arial Narrow" w:hAnsi="Arial Narrow"/>
                <w:szCs w:val="18"/>
                <w:highlight w:val="yellow"/>
                <w:u w:val="double"/>
              </w:rPr>
            </w:pPr>
            <w:r>
              <w:rPr>
                <w:rFonts w:ascii="Arial Narrow" w:hAnsi="Arial Narrow"/>
                <w:szCs w:val="18"/>
                <w:highlight w:val="yellow"/>
                <w:u w:val="double"/>
              </w:rPr>
              <w:t>1</w:t>
            </w:r>
          </w:p>
        </w:tc>
      </w:tr>
      <w:tr w:rsidR="00E65E42" w:rsidRPr="00D403F5" w14:paraId="7F8E0076"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66929A82"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Amplicon sequencing</w:t>
            </w:r>
            <w:r w:rsidRPr="00D403F5">
              <w:rPr>
                <w:rFonts w:ascii="Arial Narrow" w:hAnsi="Arial Narrow" w:cs="Arial"/>
                <w:szCs w:val="18"/>
                <w:vertAlign w:val="superscript"/>
              </w:rPr>
              <w:t>4</w:t>
            </w:r>
          </w:p>
        </w:tc>
        <w:tc>
          <w:tcPr>
            <w:tcW w:w="920" w:type="dxa"/>
            <w:tcBorders>
              <w:top w:val="single" w:sz="6" w:space="0" w:color="auto"/>
              <w:left w:val="single" w:sz="6" w:space="0" w:color="auto"/>
              <w:bottom w:val="single" w:sz="6" w:space="0" w:color="auto"/>
            </w:tcBorders>
            <w:shd w:val="clear" w:color="auto" w:fill="D9D9D9" w:themeFill="background1" w:themeFillShade="D9"/>
            <w:vAlign w:val="center"/>
          </w:tcPr>
          <w:p w14:paraId="213E4C63" w14:textId="77777777" w:rsidR="00E65E42" w:rsidRPr="00D403F5" w:rsidRDefault="00E65E42" w:rsidP="00E65E42">
            <w:pPr>
              <w:pStyle w:val="TableHead"/>
              <w:spacing w:before="0" w:after="0"/>
              <w:rPr>
                <w:rFonts w:ascii="Arial Narrow" w:hAnsi="Arial Narrow" w:cs="Arial"/>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6E053FAA" w14:textId="77777777" w:rsidR="00E65E42" w:rsidRPr="00D403F5" w:rsidRDefault="00E65E42" w:rsidP="00E65E42">
            <w:pPr>
              <w:pStyle w:val="TableHead"/>
              <w:spacing w:before="0" w:after="0"/>
              <w:rPr>
                <w:rFonts w:ascii="Arial Narrow" w:hAnsi="Arial Narrow" w:cs="Arial"/>
                <w:szCs w:val="18"/>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5A684475" w14:textId="77777777" w:rsidR="00E65E42" w:rsidRPr="00D403F5" w:rsidRDefault="00E65E42" w:rsidP="00E65E42">
            <w:pPr>
              <w:pStyle w:val="TableHead"/>
              <w:spacing w:before="0" w:after="0"/>
              <w:rPr>
                <w:rFonts w:ascii="Arial Narrow" w:hAnsi="Arial Narrow" w:cs="Arial"/>
                <w:szCs w:val="18"/>
              </w:rPr>
            </w:pPr>
          </w:p>
        </w:tc>
        <w:tc>
          <w:tcPr>
            <w:tcW w:w="8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D172553" w14:textId="77777777" w:rsidR="00E65E42" w:rsidRPr="00D403F5" w:rsidRDefault="00E65E42" w:rsidP="00E65E42">
            <w:pPr>
              <w:pStyle w:val="TableHead"/>
              <w:spacing w:before="0" w:after="0"/>
              <w:rPr>
                <w:rFonts w:ascii="Arial Narrow" w:hAnsi="Arial Narrow" w:cs="Arial"/>
                <w:szCs w:val="18"/>
              </w:rPr>
            </w:pPr>
          </w:p>
        </w:tc>
        <w:tc>
          <w:tcPr>
            <w:tcW w:w="776" w:type="dxa"/>
            <w:tcBorders>
              <w:top w:val="single" w:sz="6" w:space="0" w:color="auto"/>
              <w:left w:val="single" w:sz="6" w:space="0" w:color="auto"/>
              <w:bottom w:val="single" w:sz="6" w:space="0" w:color="auto"/>
            </w:tcBorders>
            <w:shd w:val="clear" w:color="auto" w:fill="D9D9D9" w:themeFill="background1" w:themeFillShade="D9"/>
            <w:vAlign w:val="center"/>
          </w:tcPr>
          <w:p w14:paraId="2BFFE5C7" w14:textId="77777777" w:rsidR="00E65E42" w:rsidRPr="00D403F5" w:rsidRDefault="00E65E42" w:rsidP="00E65E42">
            <w:pPr>
              <w:pStyle w:val="Tabletext"/>
              <w:spacing w:before="0" w:after="0"/>
              <w:rPr>
                <w:rFonts w:ascii="Arial Narrow" w:hAnsi="Arial Narrow"/>
                <w:szCs w:val="18"/>
              </w:rPr>
            </w:pPr>
          </w:p>
        </w:tc>
        <w:tc>
          <w:tcPr>
            <w:tcW w:w="851" w:type="dxa"/>
            <w:tcBorders>
              <w:top w:val="single" w:sz="6" w:space="0" w:color="auto"/>
              <w:left w:val="single" w:sz="6" w:space="0" w:color="auto"/>
              <w:bottom w:val="single" w:sz="6" w:space="0" w:color="auto"/>
            </w:tcBorders>
            <w:shd w:val="clear" w:color="auto" w:fill="D9D9D9" w:themeFill="background1" w:themeFillShade="D9"/>
            <w:vAlign w:val="center"/>
          </w:tcPr>
          <w:p w14:paraId="131ECA41" w14:textId="77777777" w:rsidR="00E65E42" w:rsidRPr="00D403F5" w:rsidRDefault="00E65E42" w:rsidP="00E65E42">
            <w:pPr>
              <w:pStyle w:val="Tabletext"/>
              <w:spacing w:before="0" w:after="0"/>
              <w:rPr>
                <w:rFonts w:ascii="Arial Narrow" w:hAnsi="Arial Narrow"/>
                <w:szCs w:val="18"/>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1F41D39E" w14:textId="77777777" w:rsidR="00E65E42" w:rsidRPr="00D403F5" w:rsidRDefault="00E65E42" w:rsidP="00E65E42">
            <w:pPr>
              <w:pStyle w:val="Tabletext"/>
              <w:spacing w:before="0" w:after="0"/>
              <w:rPr>
                <w:rFonts w:ascii="Arial Narrow" w:hAnsi="Arial Narrow"/>
                <w:szCs w:val="18"/>
              </w:rPr>
            </w:pPr>
          </w:p>
        </w:tc>
        <w:tc>
          <w:tcPr>
            <w:tcW w:w="88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B600A1F" w14:textId="77777777" w:rsidR="00E65E42" w:rsidRPr="00D403F5" w:rsidRDefault="00E65E42" w:rsidP="00E65E42">
            <w:pPr>
              <w:pStyle w:val="Tabletext"/>
              <w:spacing w:before="0" w:after="0"/>
              <w:rPr>
                <w:rFonts w:ascii="Arial Narrow" w:hAnsi="Arial Narrow"/>
                <w:szCs w:val="18"/>
              </w:rPr>
            </w:pPr>
          </w:p>
        </w:tc>
        <w:tc>
          <w:tcPr>
            <w:tcW w:w="960" w:type="dxa"/>
            <w:tcBorders>
              <w:top w:val="single" w:sz="6" w:space="0" w:color="auto"/>
              <w:left w:val="single" w:sz="6" w:space="0" w:color="auto"/>
              <w:bottom w:val="single" w:sz="6" w:space="0" w:color="auto"/>
              <w:right w:val="single" w:sz="6" w:space="0" w:color="auto"/>
            </w:tcBorders>
            <w:vAlign w:val="center"/>
          </w:tcPr>
          <w:p w14:paraId="6E712A2A"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6" w:space="0" w:color="auto"/>
              <w:left w:val="single" w:sz="6" w:space="0" w:color="auto"/>
              <w:bottom w:val="single" w:sz="6" w:space="0" w:color="auto"/>
              <w:right w:val="single" w:sz="6" w:space="0" w:color="auto"/>
            </w:tcBorders>
            <w:vAlign w:val="center"/>
          </w:tcPr>
          <w:p w14:paraId="066B8479"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vAlign w:val="center"/>
          </w:tcPr>
          <w:p w14:paraId="65C5C922"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925" w:type="dxa"/>
            <w:tcBorders>
              <w:top w:val="single" w:sz="6" w:space="0" w:color="auto"/>
              <w:left w:val="single" w:sz="6" w:space="0" w:color="auto"/>
              <w:bottom w:val="single" w:sz="6" w:space="0" w:color="auto"/>
              <w:right w:val="single" w:sz="6" w:space="0" w:color="auto"/>
            </w:tcBorders>
            <w:vAlign w:val="center"/>
          </w:tcPr>
          <w:p w14:paraId="6FC1F983" w14:textId="77777777" w:rsidR="00E65E42" w:rsidRPr="006936A4" w:rsidRDefault="00E65E42" w:rsidP="00E65E42">
            <w:pPr>
              <w:pStyle w:val="Tabletext"/>
              <w:spacing w:before="0" w:after="0"/>
              <w:rPr>
                <w:rFonts w:ascii="Arial Narrow" w:hAnsi="Arial Narrow"/>
                <w:szCs w:val="18"/>
                <w:u w:val="double"/>
              </w:rPr>
            </w:pPr>
            <w:r w:rsidRPr="0014778F">
              <w:rPr>
                <w:rFonts w:ascii="Arial Narrow" w:hAnsi="Arial Narrow"/>
                <w:szCs w:val="18"/>
                <w:highlight w:val="yellow"/>
                <w:u w:val="double"/>
              </w:rPr>
              <w:t>3</w:t>
            </w:r>
          </w:p>
        </w:tc>
      </w:tr>
      <w:tr w:rsidR="00E65E42" w:rsidRPr="00D403F5" w14:paraId="0FFD5F91" w14:textId="77777777" w:rsidTr="00E65E42">
        <w:trPr>
          <w:trHeight w:val="402"/>
          <w:jc w:val="center"/>
        </w:trPr>
        <w:tc>
          <w:tcPr>
            <w:tcW w:w="2399" w:type="dxa"/>
            <w:tcBorders>
              <w:top w:val="single" w:sz="6" w:space="0" w:color="auto"/>
              <w:left w:val="single" w:sz="6" w:space="0" w:color="auto"/>
            </w:tcBorders>
            <w:vAlign w:val="center"/>
          </w:tcPr>
          <w:p w14:paraId="05B4A209"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i/>
                <w:iCs/>
                <w:szCs w:val="18"/>
              </w:rPr>
              <w:t>In-situ</w:t>
            </w:r>
            <w:r w:rsidRPr="00D403F5">
              <w:rPr>
                <w:rFonts w:ascii="Arial Narrow" w:hAnsi="Arial Narrow" w:cs="Arial"/>
                <w:szCs w:val="18"/>
              </w:rPr>
              <w:t xml:space="preserve"> hybridisation</w:t>
            </w:r>
          </w:p>
        </w:tc>
        <w:tc>
          <w:tcPr>
            <w:tcW w:w="920" w:type="dxa"/>
            <w:tcBorders>
              <w:top w:val="single" w:sz="6" w:space="0" w:color="auto"/>
              <w:left w:val="single" w:sz="6" w:space="0" w:color="auto"/>
              <w:bottom w:val="single" w:sz="6" w:space="0" w:color="auto"/>
            </w:tcBorders>
            <w:shd w:val="clear" w:color="auto" w:fill="D9D9D9" w:themeFill="background1" w:themeFillShade="D9"/>
            <w:vAlign w:val="center"/>
          </w:tcPr>
          <w:p w14:paraId="7DB8EDC9" w14:textId="77777777" w:rsidR="00E65E42" w:rsidRPr="00D403F5" w:rsidRDefault="00E65E42" w:rsidP="00E65E42">
            <w:pPr>
              <w:pStyle w:val="TableHead"/>
              <w:spacing w:before="0" w:after="0"/>
              <w:rPr>
                <w:rFonts w:ascii="Arial Narrow" w:hAnsi="Arial Narrow" w:cs="Arial"/>
                <w:i/>
                <w:iCs/>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3A8732E7" w14:textId="77777777" w:rsidR="00E65E42" w:rsidRPr="00D403F5" w:rsidRDefault="00E65E42" w:rsidP="00E65E42">
            <w:pPr>
              <w:pStyle w:val="TableHead"/>
              <w:spacing w:before="0" w:after="0"/>
              <w:rPr>
                <w:rFonts w:ascii="Arial Narrow" w:hAnsi="Arial Narrow" w:cs="Arial"/>
                <w:i/>
                <w:iCs/>
                <w:szCs w:val="18"/>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6FB89D8F" w14:textId="77777777" w:rsidR="00E65E42" w:rsidRPr="00D403F5" w:rsidRDefault="00E65E42" w:rsidP="00E65E42">
            <w:pPr>
              <w:pStyle w:val="TableHead"/>
              <w:spacing w:before="0" w:after="0"/>
              <w:rPr>
                <w:rFonts w:ascii="Arial Narrow" w:hAnsi="Arial Narrow" w:cs="Arial"/>
                <w:szCs w:val="18"/>
              </w:rPr>
            </w:pPr>
          </w:p>
        </w:tc>
        <w:tc>
          <w:tcPr>
            <w:tcW w:w="8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8816865" w14:textId="77777777" w:rsidR="00E65E42" w:rsidRPr="00D403F5" w:rsidRDefault="00E65E42" w:rsidP="00E65E42">
            <w:pPr>
              <w:pStyle w:val="TableHead"/>
              <w:spacing w:before="0" w:after="0"/>
              <w:rPr>
                <w:rFonts w:ascii="Arial Narrow" w:hAnsi="Arial Narrow" w:cs="Arial"/>
                <w:szCs w:val="18"/>
              </w:rPr>
            </w:pPr>
          </w:p>
        </w:tc>
        <w:tc>
          <w:tcPr>
            <w:tcW w:w="776" w:type="dxa"/>
            <w:tcBorders>
              <w:top w:val="single" w:sz="6" w:space="0" w:color="auto"/>
              <w:left w:val="single" w:sz="6" w:space="0" w:color="auto"/>
            </w:tcBorders>
            <w:shd w:val="clear" w:color="auto" w:fill="D9D9D9" w:themeFill="background1" w:themeFillShade="D9"/>
            <w:vAlign w:val="center"/>
          </w:tcPr>
          <w:p w14:paraId="378E9E78" w14:textId="77777777" w:rsidR="00E65E42" w:rsidRPr="00D403F5" w:rsidRDefault="00E65E42" w:rsidP="00E65E42">
            <w:pPr>
              <w:pStyle w:val="Tabletext"/>
              <w:spacing w:before="0" w:after="0"/>
              <w:rPr>
                <w:rFonts w:ascii="Arial Narrow" w:hAnsi="Arial Narrow"/>
                <w:szCs w:val="18"/>
              </w:rPr>
            </w:pPr>
          </w:p>
        </w:tc>
        <w:tc>
          <w:tcPr>
            <w:tcW w:w="851" w:type="dxa"/>
            <w:tcBorders>
              <w:top w:val="single" w:sz="6" w:space="0" w:color="auto"/>
              <w:left w:val="single" w:sz="6" w:space="0" w:color="auto"/>
            </w:tcBorders>
            <w:shd w:val="clear" w:color="auto" w:fill="D9D9D9" w:themeFill="background1" w:themeFillShade="D9"/>
            <w:vAlign w:val="center"/>
          </w:tcPr>
          <w:p w14:paraId="756228C6" w14:textId="77777777" w:rsidR="00E65E42" w:rsidRPr="00D403F5" w:rsidRDefault="00E65E42" w:rsidP="00E65E42">
            <w:pPr>
              <w:pStyle w:val="Tabletext"/>
              <w:spacing w:before="0" w:after="0"/>
              <w:rPr>
                <w:rFonts w:ascii="Arial Narrow" w:hAnsi="Arial Narrow"/>
                <w:szCs w:val="18"/>
              </w:rPr>
            </w:pPr>
          </w:p>
        </w:tc>
        <w:tc>
          <w:tcPr>
            <w:tcW w:w="708" w:type="dxa"/>
            <w:tcBorders>
              <w:top w:val="single" w:sz="6" w:space="0" w:color="auto"/>
              <w:left w:val="single" w:sz="6" w:space="0" w:color="auto"/>
            </w:tcBorders>
            <w:shd w:val="clear" w:color="auto" w:fill="D9D9D9" w:themeFill="background1" w:themeFillShade="D9"/>
            <w:vAlign w:val="center"/>
          </w:tcPr>
          <w:p w14:paraId="51C32333" w14:textId="77777777" w:rsidR="00E65E42" w:rsidRPr="00D403F5" w:rsidRDefault="00E65E42" w:rsidP="00E65E42">
            <w:pPr>
              <w:pStyle w:val="Tabletext"/>
              <w:spacing w:before="0" w:after="0"/>
              <w:rPr>
                <w:rFonts w:ascii="Arial Narrow" w:hAnsi="Arial Narrow"/>
                <w:szCs w:val="18"/>
              </w:rPr>
            </w:pPr>
          </w:p>
        </w:tc>
        <w:tc>
          <w:tcPr>
            <w:tcW w:w="883" w:type="dxa"/>
            <w:tcBorders>
              <w:top w:val="single" w:sz="6" w:space="0" w:color="auto"/>
              <w:left w:val="single" w:sz="6" w:space="0" w:color="auto"/>
              <w:right w:val="single" w:sz="6" w:space="0" w:color="auto"/>
            </w:tcBorders>
            <w:shd w:val="clear" w:color="auto" w:fill="D9D9D9" w:themeFill="background1" w:themeFillShade="D9"/>
            <w:vAlign w:val="center"/>
          </w:tcPr>
          <w:p w14:paraId="462A2B53" w14:textId="77777777" w:rsidR="00E65E42" w:rsidRPr="00D403F5" w:rsidRDefault="00E65E42" w:rsidP="00E65E42">
            <w:pPr>
              <w:pStyle w:val="Tabletext"/>
              <w:spacing w:before="0" w:after="0"/>
              <w:rPr>
                <w:rFonts w:ascii="Arial Narrow" w:hAnsi="Arial Narrow"/>
                <w:szCs w:val="18"/>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5ACCFA26" w14:textId="77777777" w:rsidR="00E65E42" w:rsidRPr="00D403F5" w:rsidRDefault="00E65E42" w:rsidP="00E65E42">
            <w:pPr>
              <w:pStyle w:val="Tabletext"/>
              <w:spacing w:before="0" w:after="0"/>
              <w:rPr>
                <w:rFonts w:ascii="Arial Narrow" w:hAnsi="Arial Narrow"/>
                <w:szCs w:val="18"/>
                <w:highlight w:val="lightGray"/>
              </w:rPr>
            </w:pPr>
          </w:p>
        </w:tc>
        <w:tc>
          <w:tcPr>
            <w:tcW w:w="851" w:type="dxa"/>
            <w:tcBorders>
              <w:top w:val="single" w:sz="6" w:space="0" w:color="auto"/>
              <w:left w:val="single" w:sz="6" w:space="0" w:color="auto"/>
              <w:right w:val="single" w:sz="6" w:space="0" w:color="auto"/>
            </w:tcBorders>
            <w:shd w:val="clear" w:color="auto" w:fill="D9D9D9" w:themeFill="background1" w:themeFillShade="D9"/>
            <w:vAlign w:val="center"/>
          </w:tcPr>
          <w:p w14:paraId="04A56C55" w14:textId="77777777" w:rsidR="00E65E42" w:rsidRPr="00D403F5" w:rsidRDefault="00E65E42" w:rsidP="00E65E42">
            <w:pPr>
              <w:pStyle w:val="Tabletext"/>
              <w:spacing w:before="0" w:after="0"/>
              <w:rPr>
                <w:rFonts w:ascii="Arial Narrow" w:hAnsi="Arial Narrow"/>
                <w:szCs w:val="18"/>
                <w:highlight w:val="lightGray"/>
              </w:rPr>
            </w:pPr>
          </w:p>
        </w:tc>
        <w:tc>
          <w:tcPr>
            <w:tcW w:w="708" w:type="dxa"/>
            <w:tcBorders>
              <w:top w:val="single" w:sz="6" w:space="0" w:color="auto"/>
              <w:left w:val="single" w:sz="6" w:space="0" w:color="auto"/>
            </w:tcBorders>
            <w:shd w:val="clear" w:color="auto" w:fill="D9D9D9" w:themeFill="background1" w:themeFillShade="D9"/>
            <w:vAlign w:val="center"/>
          </w:tcPr>
          <w:p w14:paraId="5939BB44" w14:textId="77777777" w:rsidR="00E65E42" w:rsidRPr="00D403F5" w:rsidRDefault="00E65E42" w:rsidP="00E65E42">
            <w:pPr>
              <w:pStyle w:val="Tabletext"/>
              <w:spacing w:before="0" w:after="0"/>
              <w:rPr>
                <w:rFonts w:ascii="Arial Narrow" w:hAnsi="Arial Narrow"/>
                <w:szCs w:val="18"/>
                <w:highlight w:val="lightGray"/>
              </w:rPr>
            </w:pPr>
          </w:p>
        </w:tc>
        <w:tc>
          <w:tcPr>
            <w:tcW w:w="925" w:type="dxa"/>
            <w:tcBorders>
              <w:top w:val="single" w:sz="6" w:space="0" w:color="auto"/>
              <w:left w:val="single" w:sz="6" w:space="0" w:color="auto"/>
              <w:right w:val="single" w:sz="6" w:space="0" w:color="auto"/>
            </w:tcBorders>
            <w:shd w:val="clear" w:color="auto" w:fill="D9D9D9" w:themeFill="background1" w:themeFillShade="D9"/>
            <w:vAlign w:val="center"/>
          </w:tcPr>
          <w:p w14:paraId="16D1F6FF" w14:textId="77777777" w:rsidR="00E65E42" w:rsidRPr="00D403F5" w:rsidRDefault="00E65E42" w:rsidP="00E65E42">
            <w:pPr>
              <w:pStyle w:val="Tabletext"/>
              <w:spacing w:before="0" w:after="0"/>
              <w:rPr>
                <w:rFonts w:ascii="Arial Narrow" w:hAnsi="Arial Narrow"/>
                <w:szCs w:val="18"/>
                <w:highlight w:val="lightGray"/>
              </w:rPr>
            </w:pPr>
          </w:p>
        </w:tc>
      </w:tr>
      <w:tr w:rsidR="00E65E42" w:rsidRPr="00D403F5" w14:paraId="58F507EB" w14:textId="77777777" w:rsidTr="00E65E42">
        <w:trPr>
          <w:trHeight w:val="402"/>
          <w:jc w:val="center"/>
        </w:trPr>
        <w:tc>
          <w:tcPr>
            <w:tcW w:w="2399" w:type="dxa"/>
            <w:tcBorders>
              <w:top w:val="single" w:sz="6" w:space="0" w:color="auto"/>
              <w:left w:val="single" w:sz="6" w:space="0" w:color="auto"/>
            </w:tcBorders>
            <w:vAlign w:val="center"/>
          </w:tcPr>
          <w:p w14:paraId="064809BB"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Bioassay</w:t>
            </w:r>
          </w:p>
        </w:tc>
        <w:tc>
          <w:tcPr>
            <w:tcW w:w="920" w:type="dxa"/>
            <w:tcBorders>
              <w:top w:val="single" w:sz="6" w:space="0" w:color="auto"/>
              <w:left w:val="single" w:sz="6" w:space="0" w:color="auto"/>
              <w:bottom w:val="single" w:sz="6" w:space="0" w:color="auto"/>
            </w:tcBorders>
            <w:shd w:val="clear" w:color="auto" w:fill="D9D9D9" w:themeFill="background1" w:themeFillShade="D9"/>
            <w:vAlign w:val="center"/>
          </w:tcPr>
          <w:p w14:paraId="14AA0C6D" w14:textId="77777777" w:rsidR="00E65E42" w:rsidRPr="00D403F5" w:rsidRDefault="00E65E42" w:rsidP="00E65E42">
            <w:pPr>
              <w:pStyle w:val="TableHead"/>
              <w:spacing w:before="0" w:after="0"/>
              <w:rPr>
                <w:rFonts w:ascii="Arial Narrow" w:hAnsi="Arial Narrow" w:cs="Arial"/>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5AAB5BA2" w14:textId="77777777" w:rsidR="00E65E42" w:rsidRPr="00D403F5" w:rsidRDefault="00E65E42" w:rsidP="00E65E42">
            <w:pPr>
              <w:pStyle w:val="TableHead"/>
              <w:spacing w:before="0" w:after="0"/>
              <w:rPr>
                <w:rFonts w:ascii="Arial Narrow" w:hAnsi="Arial Narrow" w:cs="Arial"/>
                <w:szCs w:val="18"/>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7AE72BDE" w14:textId="77777777" w:rsidR="00E65E42" w:rsidRPr="00D403F5" w:rsidRDefault="00E65E42" w:rsidP="00E65E42">
            <w:pPr>
              <w:pStyle w:val="TableHead"/>
              <w:spacing w:before="0" w:after="0"/>
              <w:rPr>
                <w:rFonts w:ascii="Arial Narrow" w:hAnsi="Arial Narrow" w:cs="Arial"/>
                <w:szCs w:val="18"/>
              </w:rPr>
            </w:pPr>
          </w:p>
        </w:tc>
        <w:tc>
          <w:tcPr>
            <w:tcW w:w="8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18AD192" w14:textId="77777777" w:rsidR="00E65E42" w:rsidRPr="00D403F5" w:rsidRDefault="00E65E42" w:rsidP="00E65E42">
            <w:pPr>
              <w:pStyle w:val="TableHead"/>
              <w:spacing w:before="0" w:after="0"/>
              <w:rPr>
                <w:rFonts w:ascii="Arial Narrow" w:hAnsi="Arial Narrow" w:cs="Arial"/>
                <w:szCs w:val="18"/>
              </w:rPr>
            </w:pPr>
          </w:p>
        </w:tc>
        <w:tc>
          <w:tcPr>
            <w:tcW w:w="776" w:type="dxa"/>
            <w:tcBorders>
              <w:top w:val="single" w:sz="6" w:space="0" w:color="auto"/>
              <w:left w:val="single" w:sz="6" w:space="0" w:color="auto"/>
              <w:bottom w:val="single" w:sz="6" w:space="0" w:color="auto"/>
            </w:tcBorders>
            <w:shd w:val="clear" w:color="auto" w:fill="D9D9D9" w:themeFill="background1" w:themeFillShade="D9"/>
            <w:vAlign w:val="center"/>
          </w:tcPr>
          <w:p w14:paraId="15969380" w14:textId="77777777" w:rsidR="00E65E42" w:rsidRPr="00D403F5" w:rsidRDefault="00E65E42" w:rsidP="00E65E42">
            <w:pPr>
              <w:pStyle w:val="Tabletext"/>
              <w:spacing w:before="0" w:after="0"/>
              <w:rPr>
                <w:rFonts w:ascii="Arial Narrow" w:hAnsi="Arial Narrow"/>
                <w:szCs w:val="18"/>
              </w:rPr>
            </w:pPr>
          </w:p>
        </w:tc>
        <w:tc>
          <w:tcPr>
            <w:tcW w:w="851" w:type="dxa"/>
            <w:tcBorders>
              <w:top w:val="single" w:sz="6" w:space="0" w:color="auto"/>
              <w:left w:val="single" w:sz="6" w:space="0" w:color="auto"/>
            </w:tcBorders>
            <w:shd w:val="clear" w:color="auto" w:fill="D9D9D9" w:themeFill="background1" w:themeFillShade="D9"/>
            <w:vAlign w:val="center"/>
          </w:tcPr>
          <w:p w14:paraId="4CA55796" w14:textId="77777777" w:rsidR="00E65E42" w:rsidRPr="00D403F5" w:rsidRDefault="00E65E42" w:rsidP="00E65E42">
            <w:pPr>
              <w:pStyle w:val="Tabletext"/>
              <w:spacing w:before="0" w:after="0"/>
              <w:rPr>
                <w:rFonts w:ascii="Arial Narrow" w:hAnsi="Arial Narrow"/>
                <w:szCs w:val="18"/>
              </w:rPr>
            </w:pPr>
          </w:p>
        </w:tc>
        <w:tc>
          <w:tcPr>
            <w:tcW w:w="708" w:type="dxa"/>
            <w:tcBorders>
              <w:top w:val="single" w:sz="6" w:space="0" w:color="auto"/>
              <w:left w:val="single" w:sz="6" w:space="0" w:color="auto"/>
            </w:tcBorders>
            <w:shd w:val="clear" w:color="auto" w:fill="D9D9D9" w:themeFill="background1" w:themeFillShade="D9"/>
            <w:vAlign w:val="center"/>
          </w:tcPr>
          <w:p w14:paraId="7E1DF745" w14:textId="77777777" w:rsidR="00E65E42" w:rsidRPr="00D403F5" w:rsidRDefault="00E65E42" w:rsidP="00E65E42">
            <w:pPr>
              <w:pStyle w:val="Tabletext"/>
              <w:spacing w:before="0" w:after="0"/>
              <w:rPr>
                <w:rFonts w:ascii="Arial Narrow" w:hAnsi="Arial Narrow"/>
                <w:szCs w:val="18"/>
              </w:rPr>
            </w:pPr>
          </w:p>
        </w:tc>
        <w:tc>
          <w:tcPr>
            <w:tcW w:w="883" w:type="dxa"/>
            <w:tcBorders>
              <w:top w:val="single" w:sz="6" w:space="0" w:color="auto"/>
              <w:left w:val="single" w:sz="6" w:space="0" w:color="auto"/>
              <w:right w:val="single" w:sz="6" w:space="0" w:color="auto"/>
            </w:tcBorders>
            <w:shd w:val="clear" w:color="auto" w:fill="D9D9D9" w:themeFill="background1" w:themeFillShade="D9"/>
            <w:vAlign w:val="center"/>
          </w:tcPr>
          <w:p w14:paraId="5EA413D7" w14:textId="77777777" w:rsidR="00E65E42" w:rsidRPr="00D403F5" w:rsidRDefault="00E65E42" w:rsidP="00E65E42">
            <w:pPr>
              <w:pStyle w:val="Tabletext"/>
              <w:spacing w:before="0" w:after="0"/>
              <w:rPr>
                <w:rFonts w:ascii="Arial Narrow" w:hAnsi="Arial Narrow"/>
                <w:szCs w:val="18"/>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579A1005" w14:textId="77777777" w:rsidR="00E65E42" w:rsidRPr="00D403F5" w:rsidRDefault="00E65E42" w:rsidP="00E65E42">
            <w:pPr>
              <w:pStyle w:val="Tabletext"/>
              <w:spacing w:before="0" w:after="0"/>
              <w:rPr>
                <w:rFonts w:ascii="Arial Narrow" w:hAnsi="Arial Narrow"/>
                <w:szCs w:val="18"/>
                <w:highlight w:val="lightGray"/>
              </w:rPr>
            </w:pPr>
          </w:p>
        </w:tc>
        <w:tc>
          <w:tcPr>
            <w:tcW w:w="851" w:type="dxa"/>
            <w:tcBorders>
              <w:top w:val="single" w:sz="6" w:space="0" w:color="auto"/>
              <w:left w:val="single" w:sz="6" w:space="0" w:color="auto"/>
              <w:right w:val="single" w:sz="6" w:space="0" w:color="auto"/>
            </w:tcBorders>
            <w:shd w:val="clear" w:color="auto" w:fill="D9D9D9" w:themeFill="background1" w:themeFillShade="D9"/>
            <w:vAlign w:val="center"/>
          </w:tcPr>
          <w:p w14:paraId="4C6585C1" w14:textId="77777777" w:rsidR="00E65E42" w:rsidRPr="00D403F5" w:rsidRDefault="00E65E42" w:rsidP="00E65E42">
            <w:pPr>
              <w:pStyle w:val="Tabletext"/>
              <w:spacing w:before="0" w:after="0"/>
              <w:rPr>
                <w:rFonts w:ascii="Arial Narrow" w:hAnsi="Arial Narrow"/>
                <w:szCs w:val="18"/>
                <w:highlight w:val="lightGray"/>
              </w:rPr>
            </w:pPr>
          </w:p>
        </w:tc>
        <w:tc>
          <w:tcPr>
            <w:tcW w:w="708" w:type="dxa"/>
            <w:tcBorders>
              <w:top w:val="single" w:sz="6" w:space="0" w:color="auto"/>
              <w:left w:val="single" w:sz="6" w:space="0" w:color="auto"/>
            </w:tcBorders>
            <w:shd w:val="clear" w:color="auto" w:fill="D9D9D9" w:themeFill="background1" w:themeFillShade="D9"/>
            <w:vAlign w:val="center"/>
          </w:tcPr>
          <w:p w14:paraId="6DC91334" w14:textId="77777777" w:rsidR="00E65E42" w:rsidRPr="00D403F5" w:rsidRDefault="00E65E42" w:rsidP="00E65E42">
            <w:pPr>
              <w:pStyle w:val="Tabletext"/>
              <w:spacing w:before="0" w:after="0"/>
              <w:rPr>
                <w:rFonts w:ascii="Arial Narrow" w:hAnsi="Arial Narrow"/>
                <w:szCs w:val="18"/>
                <w:highlight w:val="lightGray"/>
              </w:rPr>
            </w:pPr>
          </w:p>
        </w:tc>
        <w:tc>
          <w:tcPr>
            <w:tcW w:w="925" w:type="dxa"/>
            <w:tcBorders>
              <w:top w:val="single" w:sz="6" w:space="0" w:color="auto"/>
              <w:left w:val="single" w:sz="6" w:space="0" w:color="auto"/>
              <w:right w:val="single" w:sz="6" w:space="0" w:color="auto"/>
            </w:tcBorders>
            <w:shd w:val="clear" w:color="auto" w:fill="D9D9D9" w:themeFill="background1" w:themeFillShade="D9"/>
            <w:vAlign w:val="center"/>
          </w:tcPr>
          <w:p w14:paraId="55F2A6C7" w14:textId="77777777" w:rsidR="00E65E42" w:rsidRPr="00D403F5" w:rsidRDefault="00E65E42" w:rsidP="00E65E42">
            <w:pPr>
              <w:pStyle w:val="Tabletext"/>
              <w:spacing w:before="0" w:after="0"/>
              <w:rPr>
                <w:rFonts w:ascii="Arial Narrow" w:hAnsi="Arial Narrow"/>
                <w:szCs w:val="18"/>
                <w:highlight w:val="lightGray"/>
              </w:rPr>
            </w:pPr>
          </w:p>
        </w:tc>
      </w:tr>
      <w:tr w:rsidR="00E65E42" w:rsidRPr="00D403F5" w14:paraId="455D8154" w14:textId="77777777" w:rsidTr="00E65E42">
        <w:trPr>
          <w:trHeight w:val="402"/>
          <w:jc w:val="center"/>
        </w:trPr>
        <w:tc>
          <w:tcPr>
            <w:tcW w:w="2399" w:type="dxa"/>
            <w:tcBorders>
              <w:top w:val="single" w:sz="6" w:space="0" w:color="auto"/>
              <w:left w:val="single" w:sz="6" w:space="0" w:color="auto"/>
              <w:bottom w:val="single" w:sz="4" w:space="0" w:color="auto"/>
            </w:tcBorders>
            <w:vAlign w:val="center"/>
          </w:tcPr>
          <w:p w14:paraId="4B3DA43A"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LAMP</w:t>
            </w:r>
          </w:p>
        </w:tc>
        <w:tc>
          <w:tcPr>
            <w:tcW w:w="920" w:type="dxa"/>
            <w:tcBorders>
              <w:top w:val="single" w:sz="6" w:space="0" w:color="auto"/>
              <w:left w:val="single" w:sz="6" w:space="0" w:color="auto"/>
              <w:bottom w:val="single" w:sz="6" w:space="0" w:color="auto"/>
            </w:tcBorders>
            <w:shd w:val="clear" w:color="auto" w:fill="D9D9D9" w:themeFill="background1" w:themeFillShade="D9"/>
            <w:vAlign w:val="center"/>
          </w:tcPr>
          <w:p w14:paraId="16D22774" w14:textId="77777777" w:rsidR="00E65E42" w:rsidRPr="00D403F5" w:rsidRDefault="00E65E42" w:rsidP="00E65E42">
            <w:pPr>
              <w:pStyle w:val="TableHead"/>
              <w:spacing w:before="0" w:after="0"/>
              <w:rPr>
                <w:rFonts w:ascii="Arial Narrow" w:hAnsi="Arial Narrow" w:cs="Arial"/>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17405393" w14:textId="77777777" w:rsidR="00E65E42" w:rsidRPr="00D403F5" w:rsidRDefault="00E65E42" w:rsidP="00E65E42">
            <w:pPr>
              <w:pStyle w:val="TableHead"/>
              <w:spacing w:before="0" w:after="0"/>
              <w:rPr>
                <w:rFonts w:ascii="Arial Narrow" w:hAnsi="Arial Narrow" w:cs="Arial"/>
                <w:szCs w:val="18"/>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19D2FE5A" w14:textId="77777777" w:rsidR="00E65E42" w:rsidRPr="00D403F5" w:rsidRDefault="00E65E42" w:rsidP="00E65E42">
            <w:pPr>
              <w:pStyle w:val="TableHead"/>
              <w:spacing w:before="0" w:after="0"/>
              <w:rPr>
                <w:rFonts w:ascii="Arial Narrow" w:hAnsi="Arial Narrow" w:cs="Arial"/>
                <w:szCs w:val="18"/>
              </w:rPr>
            </w:pPr>
          </w:p>
        </w:tc>
        <w:tc>
          <w:tcPr>
            <w:tcW w:w="8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E749544" w14:textId="77777777" w:rsidR="00E65E42" w:rsidRPr="00D403F5" w:rsidRDefault="00E65E42" w:rsidP="00E65E42">
            <w:pPr>
              <w:pStyle w:val="TableHead"/>
              <w:spacing w:before="0" w:after="0"/>
              <w:rPr>
                <w:rFonts w:ascii="Arial Narrow" w:hAnsi="Arial Narrow" w:cs="Arial"/>
                <w:szCs w:val="18"/>
              </w:rPr>
            </w:pPr>
          </w:p>
        </w:tc>
        <w:tc>
          <w:tcPr>
            <w:tcW w:w="776" w:type="dxa"/>
            <w:tcBorders>
              <w:top w:val="single" w:sz="6" w:space="0" w:color="auto"/>
              <w:left w:val="single" w:sz="6" w:space="0" w:color="auto"/>
              <w:bottom w:val="single" w:sz="4" w:space="0" w:color="auto"/>
            </w:tcBorders>
            <w:shd w:val="clear" w:color="auto" w:fill="D9D9D9" w:themeFill="background1" w:themeFillShade="D9"/>
            <w:vAlign w:val="center"/>
          </w:tcPr>
          <w:p w14:paraId="698F31FC" w14:textId="77777777" w:rsidR="00E65E42" w:rsidRPr="00D403F5" w:rsidRDefault="00E65E42" w:rsidP="00E65E42">
            <w:pPr>
              <w:pStyle w:val="Tabletext"/>
              <w:spacing w:before="0" w:after="0"/>
              <w:rPr>
                <w:rFonts w:ascii="Arial Narrow" w:hAnsi="Arial Narrow"/>
                <w:strike/>
                <w:szCs w:val="18"/>
              </w:rPr>
            </w:pPr>
          </w:p>
        </w:tc>
        <w:tc>
          <w:tcPr>
            <w:tcW w:w="851" w:type="dxa"/>
            <w:tcBorders>
              <w:top w:val="single" w:sz="6" w:space="0" w:color="auto"/>
              <w:left w:val="single" w:sz="6" w:space="0" w:color="auto"/>
              <w:bottom w:val="single" w:sz="4" w:space="0" w:color="auto"/>
            </w:tcBorders>
            <w:shd w:val="clear" w:color="auto" w:fill="D9D9D9" w:themeFill="background1" w:themeFillShade="D9"/>
            <w:vAlign w:val="center"/>
          </w:tcPr>
          <w:p w14:paraId="357D7A0C" w14:textId="77777777" w:rsidR="00E65E42" w:rsidRPr="00D403F5" w:rsidRDefault="00E65E42" w:rsidP="00E65E42">
            <w:pPr>
              <w:pStyle w:val="Tabletext"/>
              <w:spacing w:before="0" w:after="0"/>
              <w:rPr>
                <w:rFonts w:ascii="Arial Narrow" w:hAnsi="Arial Narrow"/>
                <w:strike/>
                <w:szCs w:val="18"/>
              </w:rPr>
            </w:pPr>
          </w:p>
        </w:tc>
        <w:tc>
          <w:tcPr>
            <w:tcW w:w="708" w:type="dxa"/>
            <w:tcBorders>
              <w:top w:val="single" w:sz="6" w:space="0" w:color="auto"/>
              <w:left w:val="single" w:sz="6" w:space="0" w:color="auto"/>
              <w:bottom w:val="single" w:sz="4" w:space="0" w:color="auto"/>
            </w:tcBorders>
            <w:shd w:val="clear" w:color="auto" w:fill="D9D9D9" w:themeFill="background1" w:themeFillShade="D9"/>
            <w:vAlign w:val="center"/>
          </w:tcPr>
          <w:p w14:paraId="29BFEE9C" w14:textId="77777777" w:rsidR="00E65E42" w:rsidRPr="00D403F5" w:rsidRDefault="00E65E42" w:rsidP="00E65E42">
            <w:pPr>
              <w:pStyle w:val="Tabletext"/>
              <w:spacing w:before="0" w:after="0"/>
              <w:rPr>
                <w:rFonts w:ascii="Arial Narrow" w:hAnsi="Arial Narrow"/>
                <w:strike/>
                <w:szCs w:val="18"/>
              </w:rPr>
            </w:pPr>
          </w:p>
        </w:tc>
        <w:tc>
          <w:tcPr>
            <w:tcW w:w="883"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43319EC1" w14:textId="77777777" w:rsidR="00E65E42" w:rsidRPr="00D403F5" w:rsidRDefault="00E65E42" w:rsidP="00E65E42">
            <w:pPr>
              <w:pStyle w:val="Tabletext"/>
              <w:spacing w:before="0" w:after="0"/>
              <w:rPr>
                <w:rFonts w:ascii="Arial Narrow" w:hAnsi="Arial Narrow"/>
                <w:strike/>
                <w:szCs w:val="18"/>
              </w:rPr>
            </w:pPr>
          </w:p>
        </w:tc>
        <w:tc>
          <w:tcPr>
            <w:tcW w:w="960"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61A421E9" w14:textId="77777777" w:rsidR="00E65E42" w:rsidRPr="00D403F5" w:rsidRDefault="00E65E42" w:rsidP="00E65E42">
            <w:pPr>
              <w:pStyle w:val="Tabletext"/>
              <w:spacing w:before="0" w:after="0"/>
              <w:rPr>
                <w:rFonts w:ascii="Arial Narrow" w:hAnsi="Arial Narrow"/>
                <w:strike/>
                <w:szCs w:val="18"/>
                <w:highlight w:val="lightGray"/>
              </w:rPr>
            </w:pPr>
          </w:p>
        </w:tc>
        <w:tc>
          <w:tcPr>
            <w:tcW w:w="851"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70B5D2A4" w14:textId="77777777" w:rsidR="00E65E42" w:rsidRPr="00D403F5" w:rsidRDefault="00E65E42" w:rsidP="00E65E42">
            <w:pPr>
              <w:pStyle w:val="Tabletext"/>
              <w:spacing w:before="0" w:after="0"/>
              <w:rPr>
                <w:rFonts w:ascii="Arial Narrow" w:hAnsi="Arial Narrow"/>
                <w:strike/>
                <w:szCs w:val="18"/>
                <w:highlight w:val="lightGray"/>
              </w:rPr>
            </w:pPr>
          </w:p>
        </w:tc>
        <w:tc>
          <w:tcPr>
            <w:tcW w:w="708" w:type="dxa"/>
            <w:tcBorders>
              <w:top w:val="single" w:sz="6" w:space="0" w:color="auto"/>
              <w:left w:val="single" w:sz="6" w:space="0" w:color="auto"/>
              <w:bottom w:val="single" w:sz="4" w:space="0" w:color="auto"/>
            </w:tcBorders>
            <w:shd w:val="clear" w:color="auto" w:fill="D9D9D9" w:themeFill="background1" w:themeFillShade="D9"/>
            <w:vAlign w:val="center"/>
          </w:tcPr>
          <w:p w14:paraId="0A5EC61B" w14:textId="77777777" w:rsidR="00E65E42" w:rsidRPr="00D403F5" w:rsidRDefault="00E65E42" w:rsidP="00E65E42">
            <w:pPr>
              <w:pStyle w:val="Tabletext"/>
              <w:spacing w:before="0" w:after="0"/>
              <w:rPr>
                <w:rFonts w:ascii="Arial Narrow" w:hAnsi="Arial Narrow"/>
                <w:strike/>
                <w:szCs w:val="18"/>
                <w:highlight w:val="lightGray"/>
              </w:rPr>
            </w:pPr>
          </w:p>
        </w:tc>
        <w:tc>
          <w:tcPr>
            <w:tcW w:w="925"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70E2BC44" w14:textId="77777777" w:rsidR="00E65E42" w:rsidRPr="00D403F5" w:rsidRDefault="00E65E42" w:rsidP="00E65E42">
            <w:pPr>
              <w:pStyle w:val="Tabletext"/>
              <w:spacing w:before="0" w:after="0"/>
              <w:rPr>
                <w:rFonts w:ascii="Arial Narrow" w:hAnsi="Arial Narrow"/>
                <w:strike/>
                <w:szCs w:val="18"/>
                <w:highlight w:val="lightGray"/>
              </w:rPr>
            </w:pPr>
          </w:p>
        </w:tc>
      </w:tr>
      <w:tr w:rsidR="00E65E42" w:rsidRPr="00D403F5" w14:paraId="166DBB5A" w14:textId="77777777" w:rsidTr="00E65E42">
        <w:trPr>
          <w:trHeight w:val="402"/>
          <w:jc w:val="center"/>
        </w:trPr>
        <w:tc>
          <w:tcPr>
            <w:tcW w:w="2399" w:type="dxa"/>
            <w:tcBorders>
              <w:top w:val="single" w:sz="6" w:space="0" w:color="auto"/>
              <w:left w:val="single" w:sz="6" w:space="0" w:color="auto"/>
              <w:bottom w:val="single" w:sz="4" w:space="0" w:color="auto"/>
            </w:tcBorders>
            <w:vAlign w:val="center"/>
          </w:tcPr>
          <w:p w14:paraId="2F373A79"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IFAT</w:t>
            </w:r>
          </w:p>
        </w:tc>
        <w:tc>
          <w:tcPr>
            <w:tcW w:w="920" w:type="dxa"/>
            <w:tcBorders>
              <w:top w:val="single" w:sz="6" w:space="0" w:color="auto"/>
              <w:left w:val="single" w:sz="6" w:space="0" w:color="auto"/>
              <w:bottom w:val="single" w:sz="6" w:space="0" w:color="auto"/>
            </w:tcBorders>
            <w:shd w:val="clear" w:color="auto" w:fill="D9D9D9" w:themeFill="background1" w:themeFillShade="D9"/>
            <w:vAlign w:val="center"/>
          </w:tcPr>
          <w:p w14:paraId="74CB0E51" w14:textId="77777777" w:rsidR="00E65E42" w:rsidRPr="00D403F5" w:rsidRDefault="00E65E42" w:rsidP="00E65E42">
            <w:pPr>
              <w:pStyle w:val="TableHead"/>
              <w:spacing w:before="0" w:after="0"/>
              <w:rPr>
                <w:rFonts w:ascii="Arial Narrow" w:hAnsi="Arial Narrow" w:cs="Arial"/>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2CF13BE1" w14:textId="77777777" w:rsidR="00E65E42" w:rsidRPr="00D403F5" w:rsidRDefault="00E65E42" w:rsidP="00E65E42">
            <w:pPr>
              <w:pStyle w:val="TableHead"/>
              <w:spacing w:before="0" w:after="0"/>
              <w:rPr>
                <w:rFonts w:ascii="Arial Narrow" w:hAnsi="Arial Narrow" w:cs="Arial"/>
                <w:szCs w:val="18"/>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3D92E35B" w14:textId="77777777" w:rsidR="00E65E42" w:rsidRPr="00D403F5" w:rsidRDefault="00E65E42" w:rsidP="00E65E42">
            <w:pPr>
              <w:pStyle w:val="TableHead"/>
              <w:spacing w:before="0" w:after="0"/>
              <w:rPr>
                <w:rFonts w:ascii="Arial Narrow" w:hAnsi="Arial Narrow" w:cs="Arial"/>
                <w:szCs w:val="18"/>
              </w:rPr>
            </w:pPr>
          </w:p>
        </w:tc>
        <w:tc>
          <w:tcPr>
            <w:tcW w:w="8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728F1E0" w14:textId="77777777" w:rsidR="00E65E42" w:rsidRPr="00D403F5" w:rsidRDefault="00E65E42" w:rsidP="00E65E42">
            <w:pPr>
              <w:pStyle w:val="TableHead"/>
              <w:spacing w:before="0" w:after="0"/>
              <w:rPr>
                <w:rFonts w:ascii="Arial Narrow" w:hAnsi="Arial Narrow" w:cs="Arial"/>
                <w:szCs w:val="18"/>
              </w:rPr>
            </w:pPr>
          </w:p>
        </w:tc>
        <w:tc>
          <w:tcPr>
            <w:tcW w:w="776" w:type="dxa"/>
            <w:tcBorders>
              <w:top w:val="single" w:sz="6" w:space="0" w:color="auto"/>
              <w:left w:val="single" w:sz="6" w:space="0" w:color="auto"/>
              <w:bottom w:val="single" w:sz="4" w:space="0" w:color="auto"/>
            </w:tcBorders>
            <w:shd w:val="clear" w:color="auto" w:fill="D9D9D9" w:themeFill="background1" w:themeFillShade="D9"/>
            <w:vAlign w:val="center"/>
          </w:tcPr>
          <w:p w14:paraId="08D3F3B9" w14:textId="77777777" w:rsidR="00E65E42" w:rsidRPr="00D403F5" w:rsidRDefault="00E65E42" w:rsidP="00E65E42">
            <w:pPr>
              <w:pStyle w:val="Tabletext"/>
              <w:spacing w:before="0" w:after="0"/>
              <w:rPr>
                <w:rFonts w:ascii="Arial Narrow" w:hAnsi="Arial Narrow"/>
                <w:strike/>
                <w:szCs w:val="18"/>
              </w:rPr>
            </w:pPr>
          </w:p>
        </w:tc>
        <w:tc>
          <w:tcPr>
            <w:tcW w:w="851" w:type="dxa"/>
            <w:tcBorders>
              <w:top w:val="single" w:sz="6" w:space="0" w:color="auto"/>
              <w:left w:val="single" w:sz="6" w:space="0" w:color="auto"/>
              <w:bottom w:val="single" w:sz="4" w:space="0" w:color="auto"/>
            </w:tcBorders>
            <w:shd w:val="clear" w:color="auto" w:fill="D9D9D9" w:themeFill="background1" w:themeFillShade="D9"/>
            <w:vAlign w:val="center"/>
          </w:tcPr>
          <w:p w14:paraId="4639AF69" w14:textId="77777777" w:rsidR="00E65E42" w:rsidRPr="00D403F5" w:rsidRDefault="00E65E42" w:rsidP="00E65E42">
            <w:pPr>
              <w:pStyle w:val="Tabletext"/>
              <w:spacing w:before="0" w:after="0"/>
              <w:rPr>
                <w:rFonts w:ascii="Arial Narrow" w:hAnsi="Arial Narrow"/>
                <w:strike/>
                <w:szCs w:val="18"/>
              </w:rPr>
            </w:pPr>
          </w:p>
        </w:tc>
        <w:tc>
          <w:tcPr>
            <w:tcW w:w="708" w:type="dxa"/>
            <w:tcBorders>
              <w:top w:val="single" w:sz="6" w:space="0" w:color="auto"/>
              <w:left w:val="single" w:sz="6" w:space="0" w:color="auto"/>
              <w:bottom w:val="single" w:sz="4" w:space="0" w:color="auto"/>
            </w:tcBorders>
            <w:shd w:val="clear" w:color="auto" w:fill="D9D9D9" w:themeFill="background1" w:themeFillShade="D9"/>
            <w:vAlign w:val="center"/>
          </w:tcPr>
          <w:p w14:paraId="2E0B399E" w14:textId="77777777" w:rsidR="00E65E42" w:rsidRPr="00D403F5" w:rsidRDefault="00E65E42" w:rsidP="00E65E42">
            <w:pPr>
              <w:pStyle w:val="Tabletext"/>
              <w:spacing w:before="0" w:after="0"/>
              <w:rPr>
                <w:rFonts w:ascii="Arial Narrow" w:hAnsi="Arial Narrow"/>
                <w:strike/>
                <w:szCs w:val="18"/>
              </w:rPr>
            </w:pPr>
          </w:p>
        </w:tc>
        <w:tc>
          <w:tcPr>
            <w:tcW w:w="883"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7FAE4081" w14:textId="77777777" w:rsidR="00E65E42" w:rsidRPr="00D403F5" w:rsidRDefault="00E65E42" w:rsidP="00E65E42">
            <w:pPr>
              <w:pStyle w:val="Tabletext"/>
              <w:spacing w:before="0" w:after="0"/>
              <w:rPr>
                <w:rFonts w:ascii="Arial Narrow" w:hAnsi="Arial Narrow"/>
                <w:strike/>
                <w:szCs w:val="18"/>
              </w:rPr>
            </w:pPr>
          </w:p>
        </w:tc>
        <w:tc>
          <w:tcPr>
            <w:tcW w:w="960" w:type="dxa"/>
            <w:tcBorders>
              <w:top w:val="single" w:sz="6" w:space="0" w:color="auto"/>
              <w:left w:val="single" w:sz="6" w:space="0" w:color="auto"/>
              <w:bottom w:val="single" w:sz="4" w:space="0" w:color="auto"/>
              <w:right w:val="single" w:sz="6" w:space="0" w:color="auto"/>
            </w:tcBorders>
            <w:vAlign w:val="center"/>
          </w:tcPr>
          <w:p w14:paraId="5AED9A76"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6" w:space="0" w:color="auto"/>
              <w:left w:val="single" w:sz="6" w:space="0" w:color="auto"/>
              <w:bottom w:val="single" w:sz="4" w:space="0" w:color="auto"/>
              <w:right w:val="single" w:sz="6" w:space="0" w:color="auto"/>
            </w:tcBorders>
            <w:vAlign w:val="center"/>
          </w:tcPr>
          <w:p w14:paraId="684B759C"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4" w:space="0" w:color="auto"/>
            </w:tcBorders>
            <w:vAlign w:val="center"/>
          </w:tcPr>
          <w:p w14:paraId="31EBCC39" w14:textId="77777777" w:rsidR="00E65E42" w:rsidRPr="00D403F5" w:rsidRDefault="00E65E42" w:rsidP="00E65E42">
            <w:pPr>
              <w:pStyle w:val="Tabletext"/>
              <w:spacing w:before="0" w:after="0"/>
              <w:rPr>
                <w:rFonts w:ascii="Arial Narrow" w:hAnsi="Arial Narrow"/>
                <w:strike/>
                <w:szCs w:val="18"/>
              </w:rPr>
            </w:pPr>
            <w:r w:rsidRPr="00D403F5">
              <w:rPr>
                <w:rFonts w:ascii="Arial Narrow" w:hAnsi="Arial Narrow"/>
                <w:szCs w:val="18"/>
              </w:rPr>
              <w:t>++</w:t>
            </w:r>
          </w:p>
        </w:tc>
        <w:tc>
          <w:tcPr>
            <w:tcW w:w="925" w:type="dxa"/>
            <w:tcBorders>
              <w:top w:val="single" w:sz="6" w:space="0" w:color="auto"/>
              <w:left w:val="single" w:sz="6" w:space="0" w:color="auto"/>
              <w:bottom w:val="single" w:sz="4" w:space="0" w:color="auto"/>
              <w:right w:val="single" w:sz="6" w:space="0" w:color="auto"/>
            </w:tcBorders>
            <w:vAlign w:val="center"/>
          </w:tcPr>
          <w:p w14:paraId="3E06656C"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2</w:t>
            </w:r>
          </w:p>
        </w:tc>
      </w:tr>
      <w:tr w:rsidR="00E65E42" w:rsidRPr="00D403F5" w14:paraId="1CE4F939" w14:textId="77777777" w:rsidTr="00E65E42">
        <w:trPr>
          <w:trHeight w:val="402"/>
          <w:jc w:val="center"/>
        </w:trPr>
        <w:tc>
          <w:tcPr>
            <w:tcW w:w="2399" w:type="dxa"/>
            <w:tcBorders>
              <w:top w:val="single" w:sz="4" w:space="0" w:color="auto"/>
              <w:left w:val="single" w:sz="6" w:space="0" w:color="auto"/>
            </w:tcBorders>
            <w:vAlign w:val="center"/>
          </w:tcPr>
          <w:p w14:paraId="0AB91A61"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Ag-ELISA</w:t>
            </w:r>
          </w:p>
        </w:tc>
        <w:tc>
          <w:tcPr>
            <w:tcW w:w="920" w:type="dxa"/>
            <w:tcBorders>
              <w:top w:val="single" w:sz="6" w:space="0" w:color="auto"/>
              <w:left w:val="single" w:sz="6" w:space="0" w:color="auto"/>
            </w:tcBorders>
            <w:shd w:val="clear" w:color="auto" w:fill="D9D9D9" w:themeFill="background1" w:themeFillShade="D9"/>
            <w:vAlign w:val="center"/>
          </w:tcPr>
          <w:p w14:paraId="7A35B4EE" w14:textId="77777777" w:rsidR="00E65E42" w:rsidRPr="00D403F5" w:rsidRDefault="00E65E42" w:rsidP="00E65E42">
            <w:pPr>
              <w:pStyle w:val="TableHead"/>
              <w:spacing w:before="0" w:after="0"/>
              <w:rPr>
                <w:rFonts w:ascii="Arial Narrow" w:hAnsi="Arial Narrow" w:cs="Arial"/>
                <w:szCs w:val="18"/>
              </w:rPr>
            </w:pPr>
          </w:p>
        </w:tc>
        <w:tc>
          <w:tcPr>
            <w:tcW w:w="992" w:type="dxa"/>
            <w:tcBorders>
              <w:top w:val="single" w:sz="6" w:space="0" w:color="auto"/>
              <w:left w:val="single" w:sz="6" w:space="0" w:color="auto"/>
            </w:tcBorders>
            <w:shd w:val="clear" w:color="auto" w:fill="D9D9D9" w:themeFill="background1" w:themeFillShade="D9"/>
            <w:vAlign w:val="center"/>
          </w:tcPr>
          <w:p w14:paraId="796B096A" w14:textId="77777777" w:rsidR="00E65E42" w:rsidRPr="00D403F5" w:rsidRDefault="00E65E42" w:rsidP="00E65E42">
            <w:pPr>
              <w:pStyle w:val="TableHead"/>
              <w:spacing w:before="0" w:after="0"/>
              <w:rPr>
                <w:rFonts w:ascii="Arial Narrow" w:hAnsi="Arial Narrow" w:cs="Arial"/>
                <w:szCs w:val="18"/>
              </w:rPr>
            </w:pPr>
          </w:p>
        </w:tc>
        <w:tc>
          <w:tcPr>
            <w:tcW w:w="709" w:type="dxa"/>
            <w:tcBorders>
              <w:top w:val="single" w:sz="6" w:space="0" w:color="auto"/>
              <w:left w:val="single" w:sz="6" w:space="0" w:color="auto"/>
            </w:tcBorders>
            <w:shd w:val="clear" w:color="auto" w:fill="D9D9D9" w:themeFill="background1" w:themeFillShade="D9"/>
            <w:vAlign w:val="center"/>
          </w:tcPr>
          <w:p w14:paraId="1A552A8F" w14:textId="77777777" w:rsidR="00E65E42" w:rsidRPr="00D403F5" w:rsidRDefault="00E65E42" w:rsidP="00E65E42">
            <w:pPr>
              <w:pStyle w:val="TableHead"/>
              <w:spacing w:before="0" w:after="0"/>
              <w:rPr>
                <w:rFonts w:ascii="Arial Narrow" w:hAnsi="Arial Narrow" w:cs="Arial"/>
                <w:szCs w:val="18"/>
              </w:rPr>
            </w:pPr>
          </w:p>
        </w:tc>
        <w:tc>
          <w:tcPr>
            <w:tcW w:w="893" w:type="dxa"/>
            <w:tcBorders>
              <w:top w:val="single" w:sz="6" w:space="0" w:color="auto"/>
              <w:left w:val="single" w:sz="6" w:space="0" w:color="auto"/>
              <w:right w:val="single" w:sz="6" w:space="0" w:color="auto"/>
            </w:tcBorders>
            <w:shd w:val="clear" w:color="auto" w:fill="D9D9D9" w:themeFill="background1" w:themeFillShade="D9"/>
            <w:vAlign w:val="center"/>
          </w:tcPr>
          <w:p w14:paraId="504E7DF3" w14:textId="77777777" w:rsidR="00E65E42" w:rsidRPr="00D403F5" w:rsidRDefault="00E65E42" w:rsidP="00E65E42">
            <w:pPr>
              <w:pStyle w:val="TableHead"/>
              <w:spacing w:before="0" w:after="0"/>
              <w:rPr>
                <w:rFonts w:ascii="Arial Narrow" w:hAnsi="Arial Narrow" w:cs="Arial"/>
                <w:szCs w:val="18"/>
              </w:rPr>
            </w:pPr>
          </w:p>
        </w:tc>
        <w:tc>
          <w:tcPr>
            <w:tcW w:w="776" w:type="dxa"/>
            <w:tcBorders>
              <w:top w:val="single" w:sz="4" w:space="0" w:color="auto"/>
              <w:left w:val="single" w:sz="6" w:space="0" w:color="auto"/>
            </w:tcBorders>
            <w:shd w:val="clear" w:color="auto" w:fill="D9D9D9" w:themeFill="background1" w:themeFillShade="D9"/>
            <w:vAlign w:val="center"/>
          </w:tcPr>
          <w:p w14:paraId="6E42B07C" w14:textId="77777777" w:rsidR="00E65E42" w:rsidRPr="00D403F5" w:rsidRDefault="00E65E42" w:rsidP="00E65E42">
            <w:pPr>
              <w:pStyle w:val="Tabletext"/>
              <w:spacing w:before="0" w:after="0"/>
              <w:rPr>
                <w:rFonts w:ascii="Arial Narrow" w:hAnsi="Arial Narrow"/>
                <w:szCs w:val="18"/>
              </w:rPr>
            </w:pPr>
          </w:p>
        </w:tc>
        <w:tc>
          <w:tcPr>
            <w:tcW w:w="851" w:type="dxa"/>
            <w:tcBorders>
              <w:top w:val="single" w:sz="4" w:space="0" w:color="auto"/>
              <w:left w:val="single" w:sz="6" w:space="0" w:color="auto"/>
            </w:tcBorders>
            <w:shd w:val="clear" w:color="auto" w:fill="D9D9D9" w:themeFill="background1" w:themeFillShade="D9"/>
            <w:vAlign w:val="center"/>
          </w:tcPr>
          <w:p w14:paraId="0F7983C1" w14:textId="77777777" w:rsidR="00E65E42" w:rsidRPr="00D403F5" w:rsidRDefault="00E65E42" w:rsidP="00E65E42">
            <w:pPr>
              <w:pStyle w:val="Tabletext"/>
              <w:spacing w:before="0" w:after="0"/>
              <w:rPr>
                <w:rFonts w:ascii="Arial Narrow" w:hAnsi="Arial Narrow"/>
                <w:szCs w:val="18"/>
              </w:rPr>
            </w:pPr>
          </w:p>
        </w:tc>
        <w:tc>
          <w:tcPr>
            <w:tcW w:w="708" w:type="dxa"/>
            <w:tcBorders>
              <w:top w:val="single" w:sz="4" w:space="0" w:color="auto"/>
              <w:left w:val="single" w:sz="6" w:space="0" w:color="auto"/>
            </w:tcBorders>
            <w:shd w:val="clear" w:color="auto" w:fill="D9D9D9" w:themeFill="background1" w:themeFillShade="D9"/>
            <w:vAlign w:val="center"/>
          </w:tcPr>
          <w:p w14:paraId="43C03C95" w14:textId="77777777" w:rsidR="00E65E42" w:rsidRPr="00D403F5" w:rsidRDefault="00E65E42" w:rsidP="00E65E42">
            <w:pPr>
              <w:pStyle w:val="Tabletext"/>
              <w:spacing w:before="0" w:after="0"/>
              <w:rPr>
                <w:rFonts w:ascii="Arial Narrow" w:hAnsi="Arial Narrow"/>
                <w:szCs w:val="18"/>
              </w:rPr>
            </w:pPr>
          </w:p>
        </w:tc>
        <w:tc>
          <w:tcPr>
            <w:tcW w:w="883" w:type="dxa"/>
            <w:tcBorders>
              <w:top w:val="single" w:sz="4" w:space="0" w:color="auto"/>
              <w:left w:val="single" w:sz="6" w:space="0" w:color="auto"/>
              <w:right w:val="single" w:sz="6" w:space="0" w:color="auto"/>
            </w:tcBorders>
            <w:shd w:val="clear" w:color="auto" w:fill="D9D9D9" w:themeFill="background1" w:themeFillShade="D9"/>
            <w:vAlign w:val="center"/>
          </w:tcPr>
          <w:p w14:paraId="40E1062E" w14:textId="77777777" w:rsidR="00E65E42" w:rsidRPr="00D403F5" w:rsidRDefault="00E65E42" w:rsidP="00E65E42">
            <w:pPr>
              <w:pStyle w:val="Tabletext"/>
              <w:spacing w:before="0" w:after="0"/>
              <w:rPr>
                <w:rFonts w:ascii="Arial Narrow" w:hAnsi="Arial Narrow"/>
                <w:szCs w:val="18"/>
              </w:rPr>
            </w:pPr>
          </w:p>
        </w:tc>
        <w:tc>
          <w:tcPr>
            <w:tcW w:w="960" w:type="dxa"/>
            <w:tcBorders>
              <w:top w:val="single" w:sz="4" w:space="0" w:color="auto"/>
              <w:left w:val="single" w:sz="6" w:space="0" w:color="auto"/>
              <w:bottom w:val="single" w:sz="4" w:space="0" w:color="auto"/>
              <w:right w:val="single" w:sz="6" w:space="0" w:color="auto"/>
            </w:tcBorders>
            <w:shd w:val="clear" w:color="auto" w:fill="auto"/>
            <w:vAlign w:val="center"/>
          </w:tcPr>
          <w:p w14:paraId="13B6FBB0" w14:textId="77777777" w:rsidR="00E65E42" w:rsidRPr="00D403F5" w:rsidRDefault="00E65E42" w:rsidP="00E65E42">
            <w:pPr>
              <w:pStyle w:val="Tabletext"/>
              <w:spacing w:before="0" w:after="0"/>
              <w:rPr>
                <w:rFonts w:ascii="Arial Narrow" w:hAnsi="Arial Narrow"/>
                <w:szCs w:val="18"/>
                <w:highlight w:val="lightGray"/>
              </w:rPr>
            </w:pPr>
            <w:r w:rsidRPr="00D403F5">
              <w:rPr>
                <w:rFonts w:ascii="Arial Narrow" w:hAnsi="Arial Narrow"/>
                <w:szCs w:val="18"/>
              </w:rPr>
              <w:t>++</w:t>
            </w:r>
          </w:p>
        </w:tc>
        <w:tc>
          <w:tcPr>
            <w:tcW w:w="851" w:type="dxa"/>
            <w:tcBorders>
              <w:top w:val="single" w:sz="4" w:space="0" w:color="auto"/>
              <w:left w:val="single" w:sz="6" w:space="0" w:color="auto"/>
              <w:bottom w:val="single" w:sz="4" w:space="0" w:color="auto"/>
              <w:right w:val="single" w:sz="6" w:space="0" w:color="auto"/>
            </w:tcBorders>
            <w:shd w:val="clear" w:color="auto" w:fill="auto"/>
            <w:vAlign w:val="center"/>
          </w:tcPr>
          <w:p w14:paraId="6DE254C5" w14:textId="77777777" w:rsidR="00E65E42" w:rsidRPr="00D403F5" w:rsidRDefault="00E65E42" w:rsidP="00E65E42">
            <w:pPr>
              <w:pStyle w:val="Tabletext"/>
              <w:spacing w:before="0" w:after="0"/>
              <w:rPr>
                <w:rFonts w:ascii="Arial Narrow" w:hAnsi="Arial Narrow"/>
                <w:szCs w:val="18"/>
                <w:highlight w:val="lightGray"/>
              </w:rPr>
            </w:pPr>
            <w:r w:rsidRPr="00D403F5">
              <w:rPr>
                <w:rFonts w:ascii="Arial Narrow" w:hAnsi="Arial Narrow"/>
                <w:szCs w:val="18"/>
              </w:rPr>
              <w:t>++</w:t>
            </w:r>
          </w:p>
        </w:tc>
        <w:tc>
          <w:tcPr>
            <w:tcW w:w="708" w:type="dxa"/>
            <w:tcBorders>
              <w:top w:val="single" w:sz="4" w:space="0" w:color="auto"/>
              <w:left w:val="single" w:sz="6" w:space="0" w:color="auto"/>
              <w:bottom w:val="single" w:sz="4" w:space="0" w:color="auto"/>
            </w:tcBorders>
            <w:shd w:val="clear" w:color="auto" w:fill="auto"/>
            <w:vAlign w:val="center"/>
          </w:tcPr>
          <w:p w14:paraId="1EDAEE7F" w14:textId="77777777" w:rsidR="00E65E42" w:rsidRPr="00D403F5" w:rsidRDefault="00E65E42" w:rsidP="00E65E42">
            <w:pPr>
              <w:pStyle w:val="Tabletext"/>
              <w:spacing w:before="0" w:after="0"/>
              <w:rPr>
                <w:rFonts w:ascii="Arial Narrow" w:hAnsi="Arial Narrow"/>
                <w:szCs w:val="18"/>
                <w:highlight w:val="lightGray"/>
              </w:rPr>
            </w:pPr>
            <w:r w:rsidRPr="00D403F5">
              <w:rPr>
                <w:rFonts w:ascii="Arial Narrow" w:hAnsi="Arial Narrow"/>
                <w:szCs w:val="18"/>
              </w:rPr>
              <w:t>++</w:t>
            </w:r>
          </w:p>
        </w:tc>
        <w:tc>
          <w:tcPr>
            <w:tcW w:w="925" w:type="dxa"/>
            <w:tcBorders>
              <w:top w:val="single" w:sz="4" w:space="0" w:color="auto"/>
              <w:left w:val="single" w:sz="6" w:space="0" w:color="auto"/>
              <w:bottom w:val="single" w:sz="4" w:space="0" w:color="auto"/>
              <w:right w:val="single" w:sz="6" w:space="0" w:color="auto"/>
            </w:tcBorders>
            <w:shd w:val="clear" w:color="auto" w:fill="auto"/>
            <w:vAlign w:val="center"/>
          </w:tcPr>
          <w:p w14:paraId="4FFC4B63" w14:textId="77777777" w:rsidR="00E65E42" w:rsidRPr="00D403F5" w:rsidRDefault="00E65E42" w:rsidP="00E65E42">
            <w:pPr>
              <w:pStyle w:val="Tabletext"/>
              <w:spacing w:before="0" w:after="0"/>
              <w:rPr>
                <w:rFonts w:ascii="Arial Narrow" w:hAnsi="Arial Narrow"/>
                <w:szCs w:val="18"/>
                <w:highlight w:val="lightGray"/>
              </w:rPr>
            </w:pPr>
            <w:r w:rsidRPr="00D403F5">
              <w:rPr>
                <w:rFonts w:ascii="Arial Narrow" w:hAnsi="Arial Narrow"/>
                <w:szCs w:val="18"/>
              </w:rPr>
              <w:t>2</w:t>
            </w:r>
          </w:p>
        </w:tc>
      </w:tr>
      <w:tr w:rsidR="00E65E42" w:rsidRPr="00D403F5" w14:paraId="3848E58A" w14:textId="77777777" w:rsidTr="00E65E42">
        <w:trPr>
          <w:trHeight w:val="269"/>
          <w:jc w:val="center"/>
        </w:trPr>
        <w:tc>
          <w:tcPr>
            <w:tcW w:w="2399" w:type="dxa"/>
            <w:tcBorders>
              <w:top w:val="single" w:sz="4" w:space="0" w:color="auto"/>
              <w:left w:val="single" w:sz="6" w:space="0" w:color="auto"/>
              <w:bottom w:val="single" w:sz="4" w:space="0" w:color="auto"/>
            </w:tcBorders>
            <w:vAlign w:val="center"/>
          </w:tcPr>
          <w:p w14:paraId="1739B489" w14:textId="77777777" w:rsidR="00E65E42" w:rsidRPr="00D403F5" w:rsidRDefault="00E65E42" w:rsidP="00E65E42">
            <w:pPr>
              <w:pStyle w:val="TableHead"/>
              <w:spacing w:before="0" w:after="0"/>
              <w:rPr>
                <w:rFonts w:ascii="Arial Narrow" w:hAnsi="Arial Narrow" w:cs="Arial"/>
                <w:szCs w:val="18"/>
              </w:rPr>
            </w:pPr>
            <w:r w:rsidRPr="00D403F5">
              <w:rPr>
                <w:rFonts w:ascii="Arial Narrow" w:hAnsi="Arial Narrow" w:cs="Arial"/>
                <w:szCs w:val="18"/>
              </w:rPr>
              <w:t xml:space="preserve">Neutralisation test </w:t>
            </w:r>
            <w:r w:rsidRPr="00D403F5">
              <w:rPr>
                <w:rFonts w:ascii="Arial Narrow" w:hAnsi="Arial Narrow" w:cs="Arial"/>
                <w:szCs w:val="18"/>
              </w:rPr>
              <w:br/>
              <w:t>(antibody or antiserum)</w:t>
            </w:r>
            <w:r w:rsidRPr="00D403F5">
              <w:rPr>
                <w:rFonts w:ascii="Arial Narrow" w:hAnsi="Arial Narrow" w:cs="Arial"/>
                <w:szCs w:val="18"/>
                <w:vertAlign w:val="superscript"/>
              </w:rPr>
              <w:t>5</w:t>
            </w:r>
          </w:p>
        </w:tc>
        <w:tc>
          <w:tcPr>
            <w:tcW w:w="920" w:type="dxa"/>
            <w:tcBorders>
              <w:top w:val="single" w:sz="6" w:space="0" w:color="auto"/>
              <w:left w:val="single" w:sz="6" w:space="0" w:color="auto"/>
              <w:bottom w:val="single" w:sz="4" w:space="0" w:color="auto"/>
            </w:tcBorders>
            <w:shd w:val="clear" w:color="auto" w:fill="D9D9D9" w:themeFill="background1" w:themeFillShade="D9"/>
            <w:vAlign w:val="center"/>
          </w:tcPr>
          <w:p w14:paraId="1BCFA16C" w14:textId="77777777" w:rsidR="00E65E42" w:rsidRPr="00D403F5" w:rsidRDefault="00E65E42" w:rsidP="00E65E42">
            <w:pPr>
              <w:pStyle w:val="TableHead"/>
              <w:spacing w:before="0" w:after="0"/>
              <w:rPr>
                <w:rFonts w:ascii="Arial Narrow" w:hAnsi="Arial Narrow" w:cs="Arial"/>
                <w:szCs w:val="18"/>
              </w:rPr>
            </w:pPr>
          </w:p>
        </w:tc>
        <w:tc>
          <w:tcPr>
            <w:tcW w:w="992" w:type="dxa"/>
            <w:tcBorders>
              <w:top w:val="single" w:sz="6" w:space="0" w:color="auto"/>
              <w:left w:val="single" w:sz="6" w:space="0" w:color="auto"/>
              <w:bottom w:val="single" w:sz="4" w:space="0" w:color="auto"/>
            </w:tcBorders>
            <w:shd w:val="clear" w:color="auto" w:fill="D9D9D9" w:themeFill="background1" w:themeFillShade="D9"/>
            <w:vAlign w:val="center"/>
          </w:tcPr>
          <w:p w14:paraId="077061D0" w14:textId="77777777" w:rsidR="00E65E42" w:rsidRPr="00D403F5" w:rsidRDefault="00E65E42" w:rsidP="00E65E42">
            <w:pPr>
              <w:pStyle w:val="TableHead"/>
              <w:spacing w:before="0" w:after="0"/>
              <w:rPr>
                <w:rFonts w:ascii="Arial Narrow" w:hAnsi="Arial Narrow" w:cs="Arial"/>
                <w:szCs w:val="18"/>
              </w:rPr>
            </w:pPr>
          </w:p>
        </w:tc>
        <w:tc>
          <w:tcPr>
            <w:tcW w:w="709" w:type="dxa"/>
            <w:tcBorders>
              <w:top w:val="single" w:sz="6" w:space="0" w:color="auto"/>
              <w:left w:val="single" w:sz="6" w:space="0" w:color="auto"/>
              <w:bottom w:val="single" w:sz="4" w:space="0" w:color="auto"/>
            </w:tcBorders>
            <w:shd w:val="clear" w:color="auto" w:fill="D9D9D9" w:themeFill="background1" w:themeFillShade="D9"/>
            <w:vAlign w:val="center"/>
          </w:tcPr>
          <w:p w14:paraId="7D65172A" w14:textId="77777777" w:rsidR="00E65E42" w:rsidRPr="00D403F5" w:rsidRDefault="00E65E42" w:rsidP="00E65E42">
            <w:pPr>
              <w:pStyle w:val="TableHead"/>
              <w:spacing w:before="0" w:after="0"/>
              <w:rPr>
                <w:rFonts w:ascii="Arial Narrow" w:hAnsi="Arial Narrow" w:cs="Arial"/>
                <w:szCs w:val="18"/>
              </w:rPr>
            </w:pPr>
          </w:p>
        </w:tc>
        <w:tc>
          <w:tcPr>
            <w:tcW w:w="893"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2A36A5B6" w14:textId="77777777" w:rsidR="00E65E42" w:rsidRPr="00D403F5" w:rsidRDefault="00E65E42" w:rsidP="00E65E42">
            <w:pPr>
              <w:pStyle w:val="TableHead"/>
              <w:spacing w:before="0" w:after="0"/>
              <w:rPr>
                <w:rFonts w:ascii="Arial Narrow" w:hAnsi="Arial Narrow" w:cs="Arial"/>
                <w:szCs w:val="18"/>
              </w:rPr>
            </w:pPr>
          </w:p>
        </w:tc>
        <w:tc>
          <w:tcPr>
            <w:tcW w:w="776" w:type="dxa"/>
            <w:tcBorders>
              <w:top w:val="single" w:sz="4" w:space="0" w:color="auto"/>
              <w:left w:val="single" w:sz="6" w:space="0" w:color="auto"/>
              <w:bottom w:val="single" w:sz="4" w:space="0" w:color="auto"/>
            </w:tcBorders>
            <w:shd w:val="clear" w:color="auto" w:fill="D9D9D9" w:themeFill="background1" w:themeFillShade="D9"/>
            <w:vAlign w:val="center"/>
          </w:tcPr>
          <w:p w14:paraId="0D800FE9" w14:textId="77777777" w:rsidR="00E65E42" w:rsidRPr="00D403F5" w:rsidRDefault="00E65E42" w:rsidP="00E65E42">
            <w:pPr>
              <w:pStyle w:val="Tabletext"/>
              <w:spacing w:before="0" w:after="0"/>
              <w:rPr>
                <w:rFonts w:ascii="Arial Narrow" w:hAnsi="Arial Narrow"/>
                <w:szCs w:val="18"/>
              </w:rPr>
            </w:pPr>
          </w:p>
        </w:tc>
        <w:tc>
          <w:tcPr>
            <w:tcW w:w="851" w:type="dxa"/>
            <w:tcBorders>
              <w:top w:val="single" w:sz="4" w:space="0" w:color="auto"/>
              <w:left w:val="single" w:sz="6" w:space="0" w:color="auto"/>
              <w:bottom w:val="single" w:sz="4" w:space="0" w:color="auto"/>
            </w:tcBorders>
            <w:shd w:val="clear" w:color="auto" w:fill="D9D9D9" w:themeFill="background1" w:themeFillShade="D9"/>
            <w:vAlign w:val="center"/>
          </w:tcPr>
          <w:p w14:paraId="04EF1A7E" w14:textId="77777777" w:rsidR="00E65E42" w:rsidRPr="00D403F5" w:rsidRDefault="00E65E42" w:rsidP="00E65E42">
            <w:pPr>
              <w:pStyle w:val="Tabletext"/>
              <w:spacing w:before="0" w:after="0"/>
              <w:rPr>
                <w:rFonts w:ascii="Arial Narrow" w:hAnsi="Arial Narrow"/>
                <w:szCs w:val="18"/>
              </w:rPr>
            </w:pPr>
          </w:p>
        </w:tc>
        <w:tc>
          <w:tcPr>
            <w:tcW w:w="708" w:type="dxa"/>
            <w:tcBorders>
              <w:top w:val="single" w:sz="4" w:space="0" w:color="auto"/>
              <w:left w:val="single" w:sz="6" w:space="0" w:color="auto"/>
              <w:bottom w:val="single" w:sz="4" w:space="0" w:color="auto"/>
            </w:tcBorders>
            <w:shd w:val="clear" w:color="auto" w:fill="D9D9D9" w:themeFill="background1" w:themeFillShade="D9"/>
            <w:vAlign w:val="center"/>
          </w:tcPr>
          <w:p w14:paraId="63D7F3C4" w14:textId="77777777" w:rsidR="00E65E42" w:rsidRPr="00D403F5" w:rsidRDefault="00E65E42" w:rsidP="00E65E42">
            <w:pPr>
              <w:pStyle w:val="Tabletext"/>
              <w:spacing w:before="0" w:after="0"/>
              <w:rPr>
                <w:rFonts w:ascii="Arial Narrow" w:hAnsi="Arial Narrow"/>
                <w:szCs w:val="18"/>
              </w:rPr>
            </w:pPr>
          </w:p>
        </w:tc>
        <w:tc>
          <w:tcPr>
            <w:tcW w:w="883"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6EAF958B" w14:textId="77777777" w:rsidR="00E65E42" w:rsidRPr="00D403F5" w:rsidRDefault="00E65E42" w:rsidP="00E65E42">
            <w:pPr>
              <w:pStyle w:val="Tabletext"/>
              <w:spacing w:before="0" w:after="0"/>
              <w:rPr>
                <w:rFonts w:ascii="Arial Narrow" w:hAnsi="Arial Narrow"/>
                <w:szCs w:val="18"/>
              </w:rPr>
            </w:pPr>
          </w:p>
        </w:tc>
        <w:tc>
          <w:tcPr>
            <w:tcW w:w="960" w:type="dxa"/>
            <w:tcBorders>
              <w:top w:val="single" w:sz="4" w:space="0" w:color="auto"/>
              <w:left w:val="single" w:sz="6" w:space="0" w:color="auto"/>
              <w:bottom w:val="single" w:sz="4" w:space="0" w:color="auto"/>
              <w:right w:val="single" w:sz="6" w:space="0" w:color="auto"/>
            </w:tcBorders>
            <w:shd w:val="clear" w:color="auto" w:fill="auto"/>
            <w:vAlign w:val="center"/>
          </w:tcPr>
          <w:p w14:paraId="6108F28D"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4" w:space="0" w:color="auto"/>
              <w:left w:val="single" w:sz="6" w:space="0" w:color="auto"/>
              <w:bottom w:val="single" w:sz="4" w:space="0" w:color="auto"/>
              <w:right w:val="single" w:sz="6" w:space="0" w:color="auto"/>
            </w:tcBorders>
            <w:shd w:val="clear" w:color="auto" w:fill="auto"/>
            <w:vAlign w:val="center"/>
          </w:tcPr>
          <w:p w14:paraId="2F4DEB35"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4" w:space="0" w:color="auto"/>
              <w:left w:val="single" w:sz="6" w:space="0" w:color="auto"/>
              <w:bottom w:val="single" w:sz="4" w:space="0" w:color="auto"/>
            </w:tcBorders>
            <w:shd w:val="clear" w:color="auto" w:fill="auto"/>
            <w:vAlign w:val="center"/>
          </w:tcPr>
          <w:p w14:paraId="5B451DE1"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w:t>
            </w:r>
          </w:p>
        </w:tc>
        <w:tc>
          <w:tcPr>
            <w:tcW w:w="925" w:type="dxa"/>
            <w:tcBorders>
              <w:top w:val="single" w:sz="4" w:space="0" w:color="auto"/>
              <w:left w:val="single" w:sz="6" w:space="0" w:color="auto"/>
              <w:bottom w:val="single" w:sz="4" w:space="0" w:color="auto"/>
              <w:right w:val="single" w:sz="6" w:space="0" w:color="auto"/>
            </w:tcBorders>
            <w:shd w:val="clear" w:color="auto" w:fill="auto"/>
            <w:vAlign w:val="center"/>
          </w:tcPr>
          <w:p w14:paraId="05982179" w14:textId="77777777" w:rsidR="00E65E42" w:rsidRPr="00D403F5" w:rsidRDefault="00E65E42" w:rsidP="00E65E42">
            <w:pPr>
              <w:pStyle w:val="Tabletext"/>
              <w:spacing w:before="0" w:after="0"/>
              <w:rPr>
                <w:rFonts w:ascii="Arial Narrow" w:hAnsi="Arial Narrow"/>
                <w:szCs w:val="18"/>
              </w:rPr>
            </w:pPr>
            <w:r w:rsidRPr="00D403F5">
              <w:rPr>
                <w:rFonts w:ascii="Arial Narrow" w:hAnsi="Arial Narrow"/>
                <w:szCs w:val="18"/>
              </w:rPr>
              <w:t>2</w:t>
            </w:r>
          </w:p>
        </w:tc>
      </w:tr>
    </w:tbl>
    <w:bookmarkEnd w:id="142"/>
    <w:p w14:paraId="5F9ABD04" w14:textId="77777777" w:rsidR="00E65E42" w:rsidRPr="00D403F5" w:rsidRDefault="00E65E42" w:rsidP="00E65E42">
      <w:pPr>
        <w:pStyle w:val="paraA0"/>
        <w:spacing w:before="120" w:after="0"/>
        <w:jc w:val="center"/>
        <w:rPr>
          <w:lang w:val="en-IE" w:eastAsia="en-US" w:bidi="en-US"/>
        </w:rPr>
      </w:pPr>
      <w:r w:rsidRPr="00D403F5">
        <w:rPr>
          <w:lang w:val="en-IE"/>
        </w:rPr>
        <w:t>LV = level of validation, refers to the stage of validation in the OIE Pathway (Chapter 1.1.2)</w:t>
      </w:r>
      <w:r w:rsidRPr="00D403F5">
        <w:rPr>
          <w:rFonts w:ascii="Calibri" w:hAnsi="Calibri" w:cs="Times New Roman"/>
          <w:lang w:val="en-IE" w:eastAsia="en-US" w:bidi="en-US"/>
        </w:rPr>
        <w:t xml:space="preserve">; </w:t>
      </w:r>
      <w:r w:rsidRPr="00D403F5">
        <w:rPr>
          <w:lang w:val="en-IE"/>
        </w:rPr>
        <w:t xml:space="preserve">PCR = polymerase chain reaction; </w:t>
      </w:r>
      <w:r w:rsidRPr="00D403F5">
        <w:rPr>
          <w:lang w:val="en-IE" w:bidi="en-US"/>
        </w:rPr>
        <w:t>LAMP = loop-mediated isothermal amplification.</w:t>
      </w:r>
      <w:r w:rsidRPr="00D403F5">
        <w:rPr>
          <w:lang w:val="en-IE" w:bidi="en-US"/>
        </w:rPr>
        <w:br/>
      </w:r>
      <w:r w:rsidRPr="00D403F5">
        <w:rPr>
          <w:lang w:val="en-IE"/>
        </w:rPr>
        <w:t xml:space="preserve">IFAT = indirect fluorescent antibody test; Ag-ELISA = antigen enzyme-linked immunosorbent assay. </w:t>
      </w:r>
      <w:r w:rsidRPr="00D403F5">
        <w:rPr>
          <w:vertAlign w:val="superscript"/>
          <w:lang w:val="en-IE" w:bidi="en-US"/>
        </w:rPr>
        <w:t>1</w:t>
      </w:r>
      <w:r w:rsidRPr="00D403F5">
        <w:rPr>
          <w:lang w:val="en-IE"/>
        </w:rPr>
        <w:t xml:space="preserve">For confirmatory diagnoses, methods need to be carried out in combination (see Section 6). </w:t>
      </w:r>
      <w:r w:rsidRPr="00D403F5">
        <w:rPr>
          <w:vertAlign w:val="superscript"/>
          <w:lang w:val="en-IE" w:bidi="en-US"/>
        </w:rPr>
        <w:t>2</w:t>
      </w:r>
      <w:r w:rsidRPr="00D403F5">
        <w:rPr>
          <w:lang w:val="en-IE"/>
        </w:rPr>
        <w:t xml:space="preserve">Early and juvenile life stages have been defined in Section 2.2.4. </w:t>
      </w:r>
      <w:r w:rsidRPr="00D403F5">
        <w:rPr>
          <w:lang w:val="en-IE"/>
        </w:rPr>
        <w:br/>
      </w:r>
      <w:r w:rsidRPr="00D403F5">
        <w:rPr>
          <w:vertAlign w:val="superscript"/>
          <w:lang w:val="en-IE" w:bidi="en-US"/>
        </w:rPr>
        <w:t>3</w:t>
      </w:r>
      <w:r w:rsidRPr="00D403F5">
        <w:rPr>
          <w:lang w:val="en-IE"/>
        </w:rPr>
        <w:t>Cytopathology and histopathology can be validated if the results from different operators has been statistically compared.</w:t>
      </w:r>
      <w:r>
        <w:rPr>
          <w:lang w:val="en-IE"/>
        </w:rPr>
        <w:br/>
      </w:r>
      <w:r w:rsidRPr="00D403F5">
        <w:rPr>
          <w:rFonts w:ascii="Arial Narrow" w:hAnsi="Arial Narrow"/>
          <w:vertAlign w:val="superscript"/>
          <w:lang w:val="en-IE"/>
        </w:rPr>
        <w:t>4</w:t>
      </w:r>
      <w:r w:rsidRPr="00D403F5">
        <w:rPr>
          <w:lang w:val="en-IE"/>
        </w:rPr>
        <w:t>Sequencing of the PCR product.</w:t>
      </w:r>
      <w:r w:rsidRPr="00D403F5">
        <w:rPr>
          <w:lang w:val="en-IE"/>
        </w:rPr>
        <w:br/>
      </w:r>
      <w:r w:rsidRPr="00D403F5">
        <w:rPr>
          <w:vertAlign w:val="superscript"/>
          <w:lang w:val="en-IE"/>
        </w:rPr>
        <w:t>5</w:t>
      </w:r>
      <w:r w:rsidRPr="00D403F5">
        <w:rPr>
          <w:lang w:val="en-IE"/>
        </w:rPr>
        <w:t>Specify the test used. Shading indicates the test is inappropriate or should not be used for this purpose.</w:t>
      </w:r>
    </w:p>
    <w:p w14:paraId="4E523325" w14:textId="77777777" w:rsidR="00E65E42" w:rsidRPr="00D403F5" w:rsidRDefault="00E65E42" w:rsidP="00E65E42">
      <w:pPr>
        <w:pStyle w:val="Para10"/>
        <w:spacing w:after="0"/>
        <w:jc w:val="left"/>
        <w:rPr>
          <w:rFonts w:cs="Arial"/>
          <w:szCs w:val="18"/>
        </w:rPr>
        <w:sectPr w:rsidR="00E65E42" w:rsidRPr="00D403F5" w:rsidSect="00E65E42">
          <w:headerReference w:type="even" r:id="rId188"/>
          <w:headerReference w:type="default" r:id="rId189"/>
          <w:headerReference w:type="first" r:id="rId190"/>
          <w:footerReference w:type="first" r:id="rId191"/>
          <w:pgSz w:w="16838" w:h="11906" w:orient="landscape" w:code="9"/>
          <w:pgMar w:top="1418" w:right="1418" w:bottom="1418" w:left="1418" w:header="709" w:footer="709" w:gutter="0"/>
          <w:cols w:space="708"/>
          <w:titlePg/>
          <w:docGrid w:linePitch="360"/>
        </w:sectPr>
      </w:pPr>
    </w:p>
    <w:p w14:paraId="3E563B5A" w14:textId="77777777" w:rsidR="004F1CC2" w:rsidRDefault="004F1CC2" w:rsidP="004F1CC2">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p w14:paraId="4280F379" w14:textId="77777777" w:rsidR="00E65E42" w:rsidRPr="0089592E" w:rsidRDefault="00E65E42" w:rsidP="0019616F">
      <w:pPr>
        <w:pStyle w:val="11"/>
        <w:rPr>
          <w:rFonts w:ascii="Ottawa" w:hAnsi="Ottawa" w:cs="Arial"/>
          <w:sz w:val="21"/>
          <w:szCs w:val="21"/>
          <w:lang w:val="en-IE"/>
        </w:rPr>
      </w:pPr>
      <w:r w:rsidRPr="0089592E">
        <w:rPr>
          <w:rFonts w:ascii="Ottawa" w:hAnsi="Ottawa" w:cs="Arial"/>
          <w:sz w:val="21"/>
          <w:szCs w:val="21"/>
          <w:lang w:val="en-IE"/>
        </w:rPr>
        <w:t>4.1.</w:t>
      </w:r>
      <w:r w:rsidRPr="0089592E">
        <w:rPr>
          <w:rFonts w:ascii="Ottawa" w:hAnsi="Ottawa" w:cs="Arial"/>
          <w:sz w:val="21"/>
          <w:szCs w:val="21"/>
          <w:lang w:val="en-IE"/>
        </w:rPr>
        <w:tab/>
      </w:r>
      <w:r w:rsidRPr="0019616F">
        <w:rPr>
          <w:rFonts w:ascii="Ottawa" w:hAnsi="Ottawa"/>
          <w:sz w:val="21"/>
          <w:szCs w:val="21"/>
          <w:lang w:val="en-IE"/>
        </w:rPr>
        <w:t>Wet</w:t>
      </w:r>
      <w:r w:rsidRPr="0089592E">
        <w:rPr>
          <w:rFonts w:ascii="Ottawa" w:hAnsi="Ottawa" w:cs="Arial"/>
          <w:sz w:val="21"/>
          <w:szCs w:val="21"/>
          <w:lang w:val="en-IE"/>
        </w:rPr>
        <w:t xml:space="preserve"> mounts </w:t>
      </w:r>
    </w:p>
    <w:p w14:paraId="68094B69" w14:textId="77777777" w:rsidR="00E65E42" w:rsidRPr="00D403F5" w:rsidRDefault="00E65E42" w:rsidP="00CA3459">
      <w:pPr>
        <w:pStyle w:val="Para20"/>
        <w:ind w:left="709"/>
        <w:rPr>
          <w:rFonts w:cs="Arial"/>
          <w:szCs w:val="18"/>
          <w:lang w:eastAsia="fr-FR"/>
        </w:rPr>
      </w:pPr>
      <w:r w:rsidRPr="00D403F5">
        <w:rPr>
          <w:rFonts w:cs="Arial"/>
          <w:szCs w:val="18"/>
          <w:lang w:eastAsia="fr-FR"/>
        </w:rPr>
        <w:t>Not relevant</w:t>
      </w:r>
    </w:p>
    <w:p w14:paraId="479EEEE9" w14:textId="77777777" w:rsidR="00E65E42" w:rsidRDefault="00E65E42" w:rsidP="0019616F">
      <w:pPr>
        <w:pStyle w:val="11"/>
        <w:rPr>
          <w:rFonts w:ascii="Ottawa" w:hAnsi="Ottawa" w:cs="Arial"/>
          <w:sz w:val="21"/>
          <w:szCs w:val="21"/>
          <w:lang w:val="en-IE"/>
        </w:rPr>
      </w:pPr>
      <w:r w:rsidRPr="0089592E">
        <w:rPr>
          <w:rFonts w:ascii="Ottawa" w:hAnsi="Ottawa" w:cs="Arial"/>
          <w:sz w:val="21"/>
          <w:szCs w:val="21"/>
          <w:lang w:val="en-IE"/>
        </w:rPr>
        <w:t>4.2.</w:t>
      </w:r>
      <w:r w:rsidRPr="0089592E">
        <w:rPr>
          <w:rFonts w:ascii="Ottawa" w:hAnsi="Ottawa" w:cs="Arial"/>
          <w:sz w:val="21"/>
          <w:szCs w:val="21"/>
          <w:lang w:val="en-IE"/>
        </w:rPr>
        <w:tab/>
      </w:r>
      <w:r w:rsidRPr="0019616F">
        <w:rPr>
          <w:rFonts w:ascii="Ottawa" w:hAnsi="Ottawa"/>
          <w:sz w:val="21"/>
          <w:szCs w:val="21"/>
          <w:lang w:val="en-IE"/>
        </w:rPr>
        <w:t>Histopathology</w:t>
      </w:r>
      <w:r w:rsidRPr="00500463">
        <w:rPr>
          <w:rFonts w:ascii="Ottawa" w:hAnsi="Ottawa" w:cs="Arial"/>
          <w:sz w:val="21"/>
          <w:szCs w:val="21"/>
          <w:lang w:val="en-IE"/>
        </w:rPr>
        <w:t xml:space="preserve"> </w:t>
      </w:r>
      <w:r w:rsidRPr="006936A4">
        <w:rPr>
          <w:rFonts w:ascii="Ottawa" w:hAnsi="Ottawa" w:cs="Arial"/>
          <w:sz w:val="21"/>
          <w:szCs w:val="21"/>
          <w:lang w:val="en-IE"/>
        </w:rPr>
        <w:t>and</w:t>
      </w:r>
      <w:r w:rsidRPr="00500463">
        <w:rPr>
          <w:rFonts w:ascii="Ottawa" w:hAnsi="Ottawa" w:cs="Arial"/>
          <w:sz w:val="21"/>
          <w:szCs w:val="21"/>
          <w:lang w:val="en-IE"/>
        </w:rPr>
        <w:t xml:space="preserve"> cytopathology</w:t>
      </w:r>
    </w:p>
    <w:p w14:paraId="37402C79" w14:textId="77777777" w:rsidR="00E65E42" w:rsidRPr="00D403F5" w:rsidRDefault="00E65E42" w:rsidP="00CA3459">
      <w:pPr>
        <w:pStyle w:val="Para20"/>
        <w:ind w:left="709"/>
        <w:rPr>
          <w:rFonts w:cs="Arial"/>
          <w:szCs w:val="18"/>
        </w:rPr>
      </w:pPr>
      <w:r w:rsidRPr="00D403F5">
        <w:rPr>
          <w:rFonts w:cs="Arial"/>
          <w:szCs w:val="18"/>
        </w:rPr>
        <w:t>Histopathological findings reveal degenerative necrosis in haematopoietic tissues, kidney, spleen, liver, pancreas, and digestive tract. Necrosis of eosinophilic granular cells in the intestinal wall is pathognomonic of IHNV infection (Bootland &amp; Leong, 1999).</w:t>
      </w:r>
    </w:p>
    <w:p w14:paraId="33F6F0E7" w14:textId="77777777" w:rsidR="00E65E42" w:rsidRPr="00D403F5" w:rsidRDefault="00E65E42" w:rsidP="00CA3459">
      <w:pPr>
        <w:pStyle w:val="Para20"/>
        <w:ind w:left="709"/>
        <w:rPr>
          <w:rFonts w:cs="Arial"/>
          <w:szCs w:val="18"/>
        </w:rPr>
      </w:pPr>
      <w:r w:rsidRPr="00D403F5">
        <w:rPr>
          <w:rFonts w:cs="Arial"/>
          <w:szCs w:val="18"/>
        </w:rPr>
        <w:t xml:space="preserve">The blood of affected fry shows reduced haematocrit, leukopenia, degeneration of leucocytes and thrombocytes, and large amounts of cellular debris. As with other haemorrhagic viraemias of fish, blood chemistry is altered in severe cases (Bootland &amp; Leong, 1999). </w:t>
      </w:r>
    </w:p>
    <w:p w14:paraId="2384AAAE" w14:textId="77777777" w:rsidR="00E65E42" w:rsidRPr="00D403F5" w:rsidRDefault="00E65E42" w:rsidP="00CA3459">
      <w:pPr>
        <w:pStyle w:val="Para20"/>
        <w:ind w:left="709"/>
        <w:rPr>
          <w:rFonts w:cs="Arial"/>
          <w:szCs w:val="18"/>
          <w:lang w:eastAsia="fr-FR"/>
        </w:rPr>
      </w:pPr>
      <w:r w:rsidRPr="00D403F5">
        <w:rPr>
          <w:rFonts w:cs="Arial"/>
          <w:szCs w:val="18"/>
        </w:rPr>
        <w:t xml:space="preserve">Electron microscopy of virus-infected cells reveals bullet-shaped virions of approximately 150–190 nm in length and 65–75 nm in width </w:t>
      </w:r>
      <w:r w:rsidRPr="00D403F5">
        <w:rPr>
          <w:rFonts w:cs="Arial"/>
          <w:noProof/>
          <w:szCs w:val="18"/>
        </w:rPr>
        <w:t>(Wolf, 1988)</w:t>
      </w:r>
      <w:r w:rsidRPr="00D403F5">
        <w:rPr>
          <w:rFonts w:cs="Arial"/>
          <w:szCs w:val="18"/>
        </w:rPr>
        <w:t xml:space="preserve">. </w:t>
      </w:r>
      <w:r w:rsidRPr="00B750C2">
        <w:rPr>
          <w:rFonts w:cs="Arial"/>
          <w:strike/>
          <w:szCs w:val="18"/>
          <w:highlight w:val="yellow"/>
        </w:rPr>
        <w:t>The</w:t>
      </w:r>
      <w:r w:rsidRPr="00B750C2">
        <w:rPr>
          <w:rFonts w:cs="Arial"/>
          <w:strike/>
          <w:szCs w:val="18"/>
        </w:rPr>
        <w:t xml:space="preserve"> </w:t>
      </w:r>
      <w:r w:rsidRPr="00D403F5">
        <w:rPr>
          <w:rFonts w:cs="Arial"/>
          <w:szCs w:val="18"/>
        </w:rPr>
        <w:t>Virions are visible at the cell surface or within vacuoles or intracellular spaces after budding through cellular membranes. The virion possesses an outer envelope containing host lipids and the viral glycoprotein spikes that react with immunogold staining to decorate the virion surface</w:t>
      </w:r>
    </w:p>
    <w:p w14:paraId="3394AA1B" w14:textId="77777777" w:rsidR="00E65E42" w:rsidRPr="00D403F5" w:rsidRDefault="00E65E42" w:rsidP="00CA3459">
      <w:pPr>
        <w:pStyle w:val="Para20"/>
        <w:ind w:left="709"/>
        <w:rPr>
          <w:rFonts w:cs="Arial"/>
          <w:szCs w:val="18"/>
        </w:rPr>
      </w:pPr>
      <w:r w:rsidRPr="00D403F5">
        <w:rPr>
          <w:rFonts w:cs="Arial"/>
          <w:szCs w:val="18"/>
        </w:rPr>
        <w:t>Smears are not appropriate for detection or identification of IHNV.</w:t>
      </w:r>
    </w:p>
    <w:p w14:paraId="694E9FEE" w14:textId="77777777" w:rsidR="00E65E42" w:rsidRPr="0089592E" w:rsidRDefault="00E65E42" w:rsidP="0019616F">
      <w:pPr>
        <w:pStyle w:val="11"/>
        <w:rPr>
          <w:rFonts w:ascii="Ottawa" w:hAnsi="Ottawa" w:cs="Arial"/>
          <w:sz w:val="21"/>
          <w:szCs w:val="21"/>
          <w:lang w:val="en-IE"/>
        </w:rPr>
      </w:pPr>
      <w:r w:rsidRPr="0089592E">
        <w:rPr>
          <w:rFonts w:ascii="Ottawa" w:hAnsi="Ottawa" w:cs="Arial"/>
          <w:sz w:val="21"/>
          <w:szCs w:val="21"/>
          <w:lang w:val="en-IE"/>
        </w:rPr>
        <w:t>4.3.</w:t>
      </w:r>
      <w:r w:rsidRPr="0089592E">
        <w:rPr>
          <w:rFonts w:ascii="Ottawa" w:hAnsi="Ottawa" w:cs="Arial"/>
          <w:sz w:val="21"/>
          <w:szCs w:val="21"/>
          <w:lang w:val="en-IE"/>
        </w:rPr>
        <w:tab/>
        <w:t xml:space="preserve">Cell or artificial media culture for isolation </w:t>
      </w:r>
    </w:p>
    <w:p w14:paraId="085A4A4D" w14:textId="096EDBD2" w:rsidR="00E65E42" w:rsidRPr="0089592E" w:rsidRDefault="00E65E42" w:rsidP="003B38E9">
      <w:pPr>
        <w:pStyle w:val="111"/>
        <w:spacing w:after="240"/>
        <w:ind w:left="1276"/>
        <w:rPr>
          <w:rFonts w:cs="Arial"/>
          <w:szCs w:val="20"/>
          <w:lang w:val="en-IE"/>
        </w:rPr>
      </w:pPr>
      <w:r w:rsidRPr="0089592E">
        <w:rPr>
          <w:rFonts w:cs="Arial"/>
          <w:szCs w:val="20"/>
          <w:lang w:val="en-IE"/>
        </w:rPr>
        <w:t>4.3.1.</w:t>
      </w:r>
      <w:r w:rsidRPr="0089592E">
        <w:rPr>
          <w:rFonts w:cs="Arial"/>
          <w:szCs w:val="20"/>
          <w:lang w:val="en-IE"/>
        </w:rPr>
        <w:tab/>
      </w:r>
      <w:r w:rsidR="003B38E9">
        <w:rPr>
          <w:rFonts w:cs="Arial"/>
          <w:szCs w:val="20"/>
          <w:lang w:val="en-IE"/>
        </w:rPr>
        <w:t>C</w:t>
      </w:r>
      <w:r w:rsidRPr="0089592E">
        <w:rPr>
          <w:rFonts w:cs="Arial"/>
          <w:szCs w:val="20"/>
          <w:lang w:val="en-IE"/>
        </w:rPr>
        <w:t>ell lines</w:t>
      </w:r>
    </w:p>
    <w:p w14:paraId="0AE1217A" w14:textId="77777777" w:rsidR="00E65E42" w:rsidRPr="00D403F5" w:rsidRDefault="00E65E42" w:rsidP="003B38E9">
      <w:pPr>
        <w:pStyle w:val="Para3"/>
        <w:ind w:left="709"/>
        <w:rPr>
          <w:rFonts w:cs="Arial"/>
          <w:szCs w:val="18"/>
        </w:rPr>
      </w:pPr>
      <w:r w:rsidRPr="00D403F5">
        <w:rPr>
          <w:rFonts w:cs="Arial"/>
          <w:szCs w:val="18"/>
        </w:rPr>
        <w:t>The recommended cell lines for IHNV detection are EPC or FHM. Cell lines should be monitored to ensure that susceptibility to targeted pathogens has not changed.</w:t>
      </w:r>
    </w:p>
    <w:p w14:paraId="79CDECF4" w14:textId="77777777" w:rsidR="00E65E42" w:rsidRPr="00D403F5" w:rsidRDefault="00E65E42" w:rsidP="003B38E9">
      <w:pPr>
        <w:pStyle w:val="Para3"/>
        <w:ind w:left="709"/>
        <w:rPr>
          <w:rFonts w:cs="Arial"/>
          <w:szCs w:val="18"/>
        </w:rPr>
      </w:pPr>
      <w:r w:rsidRPr="00D403F5">
        <w:rPr>
          <w:rFonts w:cs="Arial"/>
          <w:szCs w:val="18"/>
        </w:rPr>
        <w:t>EPC or FHM cells are grown at 20–30°C in suitable medium, e.g. Eagle’s minimal essential medium (MEM; or modifications thereof) with a supplement of 10% fetal bovine serum (FBS) and antibiotics in standard concentrations. When the cells are cultivated in closed vials, it is recommended to buffer the medium with bicarbonate. The medium used for cultivation of cells in open units may be buffered with Tris-HCl (23 mM) and Na-bicarbonate (6 mM). The pH must be 7.6 ± 0.2. Cell culture plates should be seeded 4–48 hours and not 100% confluent prior to inoculation. 15–30 minutes prior to sample inoculation, cells should be pre-treated with 7% (w/v) PEG-20,000 solution (10–15 µl/cm</w:t>
      </w:r>
      <w:r w:rsidRPr="00D403F5">
        <w:rPr>
          <w:rFonts w:cs="Arial"/>
          <w:szCs w:val="18"/>
          <w:vertAlign w:val="superscript"/>
        </w:rPr>
        <w:t>2</w:t>
      </w:r>
      <w:r w:rsidRPr="00D403F5">
        <w:rPr>
          <w:rFonts w:cs="Arial"/>
          <w:szCs w:val="18"/>
        </w:rPr>
        <w:t>) (Batts &amp; Winton, 1989).</w:t>
      </w:r>
    </w:p>
    <w:p w14:paraId="6C085036" w14:textId="77777777" w:rsidR="00E65E42" w:rsidRPr="0089592E" w:rsidRDefault="00E65E42" w:rsidP="003B38E9">
      <w:pPr>
        <w:pStyle w:val="111"/>
        <w:spacing w:after="240"/>
        <w:ind w:left="1276"/>
        <w:rPr>
          <w:rFonts w:cs="Arial"/>
          <w:szCs w:val="20"/>
          <w:lang w:val="en-IE"/>
        </w:rPr>
      </w:pPr>
      <w:r w:rsidRPr="0089592E">
        <w:rPr>
          <w:rFonts w:cs="Arial"/>
          <w:szCs w:val="20"/>
          <w:lang w:val="en-IE"/>
        </w:rPr>
        <w:t>4.3.2.</w:t>
      </w:r>
      <w:r w:rsidRPr="0089592E">
        <w:rPr>
          <w:rFonts w:cs="Arial"/>
          <w:szCs w:val="20"/>
          <w:lang w:val="en-IE"/>
        </w:rPr>
        <w:tab/>
        <w:t>Sample preparation and inoculation</w:t>
      </w:r>
    </w:p>
    <w:p w14:paraId="15FA2653" w14:textId="77777777" w:rsidR="00E65E42" w:rsidRPr="00D403F5" w:rsidRDefault="00E65E42" w:rsidP="003B38E9">
      <w:pPr>
        <w:pStyle w:val="Para3"/>
        <w:ind w:left="709"/>
        <w:rPr>
          <w:rFonts w:cs="Arial"/>
          <w:szCs w:val="18"/>
        </w:rPr>
      </w:pPr>
      <w:r w:rsidRPr="00D403F5">
        <w:rPr>
          <w:rFonts w:cs="Arial"/>
          <w:szCs w:val="18"/>
        </w:rPr>
        <w:t>Note: Tissue and fluid samples should be kept cool throughout sample preparation procedures.</w:t>
      </w:r>
    </w:p>
    <w:p w14:paraId="389CF7A0" w14:textId="77777777" w:rsidR="00E65E42" w:rsidRDefault="00E65E42" w:rsidP="003B38E9">
      <w:pPr>
        <w:pStyle w:val="Para3i"/>
        <w:numPr>
          <w:ilvl w:val="0"/>
          <w:numId w:val="35"/>
        </w:numPr>
        <w:spacing w:after="120"/>
        <w:ind w:left="1134" w:hanging="425"/>
        <w:rPr>
          <w:rFonts w:ascii="Arial" w:hAnsi="Arial"/>
          <w:sz w:val="18"/>
        </w:rPr>
      </w:pPr>
      <w:r w:rsidRPr="00D403F5">
        <w:rPr>
          <w:rFonts w:ascii="Arial" w:hAnsi="Arial"/>
          <w:sz w:val="18"/>
        </w:rPr>
        <w:t>Homogenise tissue samples using mortar and pestle</w:t>
      </w:r>
      <w:r>
        <w:rPr>
          <w:rFonts w:ascii="Arial" w:hAnsi="Arial"/>
          <w:sz w:val="18"/>
        </w:rPr>
        <w:t xml:space="preserve"> </w:t>
      </w:r>
      <w:r w:rsidRPr="006936A4">
        <w:rPr>
          <w:rFonts w:ascii="Arial" w:hAnsi="Arial"/>
          <w:sz w:val="18"/>
          <w:highlight w:val="yellow"/>
          <w:u w:val="double"/>
        </w:rPr>
        <w:t>or a tissue homogeniser</w:t>
      </w:r>
      <w:r w:rsidRPr="006936A4">
        <w:rPr>
          <w:rFonts w:ascii="Arial" w:hAnsi="Arial"/>
          <w:strike/>
          <w:sz w:val="18"/>
          <w:highlight w:val="yellow"/>
        </w:rPr>
        <w:t>, stomacher, polytron or equivalent</w:t>
      </w:r>
      <w:r w:rsidRPr="00D403F5">
        <w:rPr>
          <w:rFonts w:ascii="Arial" w:hAnsi="Arial"/>
          <w:sz w:val="18"/>
        </w:rPr>
        <w:t xml:space="preserve">. A small volume of media (MEM-4 or Hank’s balanced salt solution with antibiotics) may be needed to achieve complete homogenisation. </w:t>
      </w:r>
    </w:p>
    <w:p w14:paraId="78D474D0" w14:textId="77777777" w:rsidR="00E65E42" w:rsidRPr="00D403F5" w:rsidRDefault="00E65E42" w:rsidP="003B38E9">
      <w:pPr>
        <w:pStyle w:val="Para3i"/>
        <w:spacing w:after="120"/>
        <w:ind w:left="1134" w:hanging="425"/>
        <w:rPr>
          <w:rFonts w:ascii="Arial" w:hAnsi="Arial"/>
          <w:sz w:val="18"/>
        </w:rPr>
      </w:pPr>
      <w:r w:rsidRPr="00D403F5">
        <w:rPr>
          <w:rFonts w:ascii="Arial" w:hAnsi="Arial"/>
          <w:sz w:val="18"/>
        </w:rPr>
        <w:t>ii)</w:t>
      </w:r>
      <w:r w:rsidRPr="00D403F5">
        <w:rPr>
          <w:rFonts w:ascii="Arial" w:hAnsi="Arial"/>
          <w:sz w:val="18"/>
        </w:rPr>
        <w:tab/>
        <w:t>Adjust the volume of media to a final ratio of 10:1 (media:tissue) and mix thoroughly. For fluid samples adjust the volume of media to a final ratio of 1:1.</w:t>
      </w:r>
    </w:p>
    <w:p w14:paraId="0992388A" w14:textId="77777777" w:rsidR="00E65E42" w:rsidRPr="00D403F5" w:rsidRDefault="00E65E42" w:rsidP="003B38E9">
      <w:pPr>
        <w:pStyle w:val="Para3i"/>
        <w:spacing w:after="120"/>
        <w:ind w:left="1134" w:hanging="425"/>
        <w:rPr>
          <w:rFonts w:ascii="Arial" w:hAnsi="Arial"/>
          <w:sz w:val="18"/>
        </w:rPr>
      </w:pPr>
      <w:r w:rsidRPr="00D403F5">
        <w:rPr>
          <w:rFonts w:ascii="Arial" w:hAnsi="Arial"/>
          <w:sz w:val="18"/>
        </w:rPr>
        <w:t>iii)</w:t>
      </w:r>
      <w:r w:rsidRPr="00D403F5">
        <w:rPr>
          <w:rFonts w:ascii="Arial" w:hAnsi="Arial"/>
          <w:sz w:val="18"/>
        </w:rPr>
        <w:tab/>
        <w:t xml:space="preserve">Centrifuge the homogenate or fluid samples at 2000–4000 </w:t>
      </w:r>
      <w:r w:rsidRPr="00D403F5">
        <w:rPr>
          <w:rFonts w:ascii="Arial" w:hAnsi="Arial"/>
          <w:b/>
          <w:i/>
          <w:sz w:val="18"/>
        </w:rPr>
        <w:t>g</w:t>
      </w:r>
      <w:r w:rsidRPr="00D403F5">
        <w:rPr>
          <w:rFonts w:ascii="Arial" w:hAnsi="Arial"/>
          <w:sz w:val="18"/>
        </w:rPr>
        <w:t xml:space="preserve"> for 15 minutes at 2–5°C.</w:t>
      </w:r>
    </w:p>
    <w:p w14:paraId="498FCC0A" w14:textId="77777777" w:rsidR="00E65E42" w:rsidRPr="00D403F5" w:rsidRDefault="00E65E42" w:rsidP="003B38E9">
      <w:pPr>
        <w:pStyle w:val="Para3i"/>
        <w:spacing w:after="120"/>
        <w:ind w:left="1134" w:hanging="425"/>
        <w:rPr>
          <w:rFonts w:ascii="Arial" w:hAnsi="Arial"/>
          <w:sz w:val="18"/>
        </w:rPr>
      </w:pPr>
      <w:r w:rsidRPr="00D403F5">
        <w:rPr>
          <w:rFonts w:ascii="Arial" w:hAnsi="Arial"/>
          <w:sz w:val="18"/>
        </w:rPr>
        <w:t>iv)</w:t>
      </w:r>
      <w:r w:rsidRPr="00D403F5">
        <w:rPr>
          <w:rFonts w:ascii="Arial" w:hAnsi="Arial"/>
          <w:sz w:val="18"/>
        </w:rPr>
        <w:tab/>
        <w:t>Remove the supernatant and pass through a 0.45 µM membrane filter (if available).</w:t>
      </w:r>
    </w:p>
    <w:p w14:paraId="2C938788" w14:textId="77777777" w:rsidR="00E65E42" w:rsidRPr="00D403F5" w:rsidRDefault="00E65E42" w:rsidP="003B38E9">
      <w:pPr>
        <w:pStyle w:val="Para3i"/>
        <w:spacing w:after="120"/>
        <w:ind w:left="1134" w:hanging="425"/>
        <w:rPr>
          <w:rFonts w:ascii="Arial" w:hAnsi="Arial"/>
          <w:sz w:val="18"/>
        </w:rPr>
      </w:pPr>
      <w:r w:rsidRPr="00D403F5">
        <w:rPr>
          <w:rFonts w:ascii="Arial" w:hAnsi="Arial"/>
          <w:sz w:val="18"/>
        </w:rPr>
        <w:t>v)</w:t>
      </w:r>
      <w:r w:rsidRPr="00D403F5">
        <w:rPr>
          <w:rFonts w:ascii="Arial" w:hAnsi="Arial"/>
          <w:sz w:val="18"/>
        </w:rPr>
        <w:tab/>
        <w:t>If the sample cannot be inoculated within 48 hours after collection, the supernatant may be stored at –80°C provided virological examination is carried out within 14 days.</w:t>
      </w:r>
    </w:p>
    <w:p w14:paraId="32C33576" w14:textId="77777777" w:rsidR="00E65E42" w:rsidRPr="00D403F5" w:rsidRDefault="00E65E42" w:rsidP="003B38E9">
      <w:pPr>
        <w:pStyle w:val="Para3i"/>
        <w:spacing w:after="120"/>
        <w:ind w:left="1134" w:hanging="425"/>
        <w:rPr>
          <w:rFonts w:ascii="Arial" w:hAnsi="Arial"/>
          <w:sz w:val="18"/>
        </w:rPr>
      </w:pPr>
      <w:r w:rsidRPr="00D403F5">
        <w:rPr>
          <w:rFonts w:ascii="Arial" w:hAnsi="Arial"/>
          <w:sz w:val="18"/>
        </w:rPr>
        <w:t>vi)</w:t>
      </w:r>
      <w:r w:rsidRPr="00D403F5">
        <w:rPr>
          <w:rFonts w:ascii="Arial" w:hAnsi="Arial"/>
          <w:sz w:val="18"/>
        </w:rPr>
        <w:tab/>
        <w:t>If samples originate from an area where infectious pancreatic necrosis virus (IPNV) is present, supernatants may be treated with IPNV antiserum. Mix the supernatant with equal parts of a suitably diluted pool of antisera to the indigenous serotypes of IPNV and incubate for a minimum of 1 hour at 15°C or up to 18 hours at 4°C. The titre of the antiserum must be at least 1/2000 in a 50% plaque neutralisation test.</w:t>
      </w:r>
    </w:p>
    <w:p w14:paraId="4D858273" w14:textId="77777777" w:rsidR="004F1CC2" w:rsidRDefault="004F1CC2">
      <w:pPr>
        <w:rPr>
          <w:u w:val="single"/>
          <w:lang w:val="en-IE"/>
        </w:rPr>
      </w:pPr>
      <w:r>
        <w:rPr>
          <w:u w:val="single"/>
          <w:lang w:val="en-IE"/>
        </w:rPr>
        <w:br w:type="page"/>
      </w:r>
    </w:p>
    <w:p w14:paraId="1FA2460D" w14:textId="172A5181" w:rsidR="004F1CC2" w:rsidRDefault="004F1CC2" w:rsidP="004F1CC2">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p w14:paraId="05E6CD88" w14:textId="77777777" w:rsidR="00E65E42" w:rsidRPr="00D403F5" w:rsidRDefault="00E65E42" w:rsidP="003B38E9">
      <w:pPr>
        <w:pStyle w:val="Para3i"/>
        <w:spacing w:after="120"/>
        <w:ind w:left="1134" w:hanging="425"/>
        <w:rPr>
          <w:rFonts w:ascii="Arial" w:hAnsi="Arial"/>
          <w:sz w:val="18"/>
        </w:rPr>
      </w:pPr>
      <w:r w:rsidRPr="00D403F5">
        <w:rPr>
          <w:rFonts w:ascii="Arial" w:hAnsi="Arial"/>
          <w:sz w:val="18"/>
        </w:rPr>
        <w:t>vii)</w:t>
      </w:r>
      <w:r w:rsidRPr="00D403F5">
        <w:rPr>
          <w:rFonts w:ascii="Arial" w:hAnsi="Arial"/>
          <w:sz w:val="18"/>
        </w:rPr>
        <w:tab/>
        <w:t>Samples are inoculated into cell cultures in at least two dilutions, i.e. the primary dilution and a 1:10 dilution thereof, resulting in final dilutions of tissue material in cell culture medium of 1:100 and 1:1000, respectively. The ratio between inoculum size and volume of cell culture medium should be about 1:10. For each dilution and each cell line, a minimum of about 2 cm</w:t>
      </w:r>
      <w:r w:rsidRPr="00D403F5">
        <w:rPr>
          <w:rFonts w:ascii="Arial" w:hAnsi="Arial"/>
          <w:sz w:val="18"/>
          <w:vertAlign w:val="superscript"/>
        </w:rPr>
        <w:t>2</w:t>
      </w:r>
      <w:r w:rsidRPr="00D403F5">
        <w:rPr>
          <w:rFonts w:ascii="Arial" w:hAnsi="Arial"/>
          <w:sz w:val="18"/>
        </w:rPr>
        <w:t xml:space="preserve"> cell area, corresponding to one well in a 24-well cell culture tray, has to be used. Use of cell culture trays is recommended, but other units of similar or with larger growth area are acceptable as well.</w:t>
      </w:r>
    </w:p>
    <w:p w14:paraId="02678FD6" w14:textId="77777777" w:rsidR="00E65E42" w:rsidRPr="00D403F5" w:rsidRDefault="00E65E42" w:rsidP="003B38E9">
      <w:pPr>
        <w:pStyle w:val="Para3i"/>
        <w:spacing w:after="120"/>
        <w:ind w:left="1134" w:hanging="425"/>
        <w:rPr>
          <w:rFonts w:ascii="Arial" w:hAnsi="Arial"/>
          <w:sz w:val="18"/>
        </w:rPr>
      </w:pPr>
      <w:r w:rsidRPr="00D403F5">
        <w:rPr>
          <w:rFonts w:ascii="Arial" w:hAnsi="Arial"/>
          <w:sz w:val="18"/>
        </w:rPr>
        <w:t>viii)</w:t>
      </w:r>
      <w:r w:rsidRPr="00D403F5">
        <w:rPr>
          <w:rFonts w:ascii="Arial" w:hAnsi="Arial"/>
          <w:sz w:val="18"/>
        </w:rPr>
        <w:tab/>
        <w:t xml:space="preserve">Inoculated cell cultures are incubated at 15°C for 7–10 days. Using a microscope with 40–150× magnification, cultures should be inspected for toxicity the day after inoculation, particularly if supernatant was not filtered in step iv. The use of a phase-contrast microscope is recommended. </w:t>
      </w:r>
    </w:p>
    <w:p w14:paraId="5A05A569" w14:textId="77777777" w:rsidR="00E65E42" w:rsidRPr="00D403F5" w:rsidRDefault="00E65E42" w:rsidP="003B38E9">
      <w:pPr>
        <w:pStyle w:val="Para3i"/>
        <w:spacing w:after="120"/>
        <w:ind w:left="1134" w:hanging="425"/>
        <w:rPr>
          <w:rFonts w:ascii="Arial" w:hAnsi="Arial"/>
          <w:sz w:val="18"/>
        </w:rPr>
      </w:pPr>
      <w:r w:rsidRPr="00D403F5">
        <w:rPr>
          <w:rFonts w:ascii="Arial" w:hAnsi="Arial"/>
          <w:sz w:val="18"/>
        </w:rPr>
        <w:t>ix)</w:t>
      </w:r>
      <w:r w:rsidRPr="00D403F5">
        <w:rPr>
          <w:rFonts w:ascii="Arial" w:hAnsi="Arial"/>
          <w:sz w:val="18"/>
        </w:rPr>
        <w:tab/>
      </w:r>
      <w:r w:rsidRPr="006936A4">
        <w:rPr>
          <w:rFonts w:ascii="Arial" w:hAnsi="Arial"/>
          <w:strike/>
          <w:sz w:val="18"/>
          <w:highlight w:val="yellow"/>
        </w:rPr>
        <w:t>Monitor t</w:t>
      </w:r>
      <w:r w:rsidRPr="006936A4">
        <w:rPr>
          <w:rFonts w:ascii="Arial" w:hAnsi="Arial"/>
          <w:sz w:val="18"/>
          <w:highlight w:val="yellow"/>
          <w:u w:val="double"/>
        </w:rPr>
        <w:t>T</w:t>
      </w:r>
      <w:r w:rsidRPr="00D403F5">
        <w:rPr>
          <w:rFonts w:ascii="Arial" w:hAnsi="Arial"/>
          <w:sz w:val="18"/>
        </w:rPr>
        <w:t xml:space="preserve">he cells </w:t>
      </w:r>
      <w:r w:rsidRPr="006936A4">
        <w:rPr>
          <w:rFonts w:ascii="Arial" w:hAnsi="Arial"/>
          <w:sz w:val="18"/>
          <w:highlight w:val="yellow"/>
          <w:u w:val="double"/>
        </w:rPr>
        <w:t>are monitored</w:t>
      </w:r>
      <w:r>
        <w:rPr>
          <w:rFonts w:ascii="Arial" w:hAnsi="Arial"/>
          <w:sz w:val="18"/>
        </w:rPr>
        <w:t xml:space="preserve"> </w:t>
      </w:r>
      <w:r w:rsidRPr="00D403F5">
        <w:rPr>
          <w:rFonts w:ascii="Arial" w:hAnsi="Arial"/>
          <w:sz w:val="18"/>
        </w:rPr>
        <w:t>regularly (2–3 times a week) for the presence of cytopathic effect (CPE).</w:t>
      </w:r>
    </w:p>
    <w:p w14:paraId="25A78E7B" w14:textId="77777777" w:rsidR="00E65E42" w:rsidRPr="00D403F5" w:rsidRDefault="00E65E42" w:rsidP="003B38E9">
      <w:pPr>
        <w:pStyle w:val="1111"/>
        <w:keepNext w:val="0"/>
        <w:keepLines w:val="0"/>
        <w:tabs>
          <w:tab w:val="clear" w:pos="360"/>
        </w:tabs>
        <w:ind w:left="709"/>
        <w:jc w:val="both"/>
        <w:outlineLvl w:val="9"/>
        <w:rPr>
          <w:rFonts w:ascii="Arial" w:hAnsi="Arial" w:cs="Arial"/>
          <w:i/>
          <w:szCs w:val="18"/>
          <w:lang w:val="en-IE"/>
        </w:rPr>
      </w:pPr>
      <w:r w:rsidRPr="00D403F5">
        <w:rPr>
          <w:rFonts w:ascii="Arial" w:hAnsi="Arial" w:cs="Arial"/>
          <w:bCs w:val="0"/>
          <w:i/>
          <w:szCs w:val="18"/>
          <w:lang w:val="en-IE"/>
        </w:rPr>
        <w:t>Interpretation of results</w:t>
      </w:r>
    </w:p>
    <w:p w14:paraId="2811CD4A" w14:textId="77777777" w:rsidR="00E65E42" w:rsidRPr="00D403F5" w:rsidRDefault="00E65E42" w:rsidP="003B38E9">
      <w:pPr>
        <w:pStyle w:val="Para4"/>
        <w:ind w:left="709"/>
        <w:rPr>
          <w:rFonts w:cs="Arial"/>
          <w:szCs w:val="18"/>
        </w:rPr>
      </w:pPr>
      <w:r w:rsidRPr="00D403F5">
        <w:rPr>
          <w:rFonts w:cs="Arial"/>
          <w:szCs w:val="18"/>
        </w:rPr>
        <w:t>If CPE is observed, confirmatory testing is required to identify IHNV.</w:t>
      </w:r>
    </w:p>
    <w:p w14:paraId="4DFD6A19" w14:textId="77777777" w:rsidR="00E65E42" w:rsidRPr="00D403F5" w:rsidRDefault="00E65E42" w:rsidP="003B38E9">
      <w:pPr>
        <w:pStyle w:val="Para4"/>
        <w:ind w:left="709"/>
        <w:rPr>
          <w:rFonts w:cs="Arial"/>
          <w:szCs w:val="18"/>
        </w:rPr>
      </w:pPr>
      <w:r w:rsidRPr="00D403F5">
        <w:rPr>
          <w:rFonts w:cs="Arial"/>
          <w:szCs w:val="18"/>
        </w:rPr>
        <w:t>If no CPE is observed in the primary culture or subcultivation, the sample is negative.</w:t>
      </w:r>
    </w:p>
    <w:p w14:paraId="0DDC0F3C" w14:textId="77777777" w:rsidR="00E65E42" w:rsidRPr="0089592E" w:rsidRDefault="00E65E42" w:rsidP="003B38E9">
      <w:pPr>
        <w:pStyle w:val="11"/>
        <w:rPr>
          <w:rFonts w:ascii="Ottawa" w:hAnsi="Ottawa" w:cs="Arial"/>
          <w:sz w:val="21"/>
          <w:szCs w:val="21"/>
          <w:lang w:val="en-IE"/>
        </w:rPr>
      </w:pPr>
      <w:r w:rsidRPr="0089592E">
        <w:rPr>
          <w:rFonts w:ascii="Ottawa" w:hAnsi="Ottawa" w:cs="Arial"/>
          <w:sz w:val="21"/>
          <w:szCs w:val="21"/>
          <w:lang w:val="en-IE"/>
        </w:rPr>
        <w:t>4.4.</w:t>
      </w:r>
      <w:r w:rsidRPr="0089592E">
        <w:rPr>
          <w:rFonts w:ascii="Ottawa" w:hAnsi="Ottawa" w:cs="Arial"/>
          <w:sz w:val="21"/>
          <w:szCs w:val="21"/>
          <w:lang w:val="en-IE"/>
        </w:rPr>
        <w:tab/>
        <w:t>Nucleic acid amplification</w:t>
      </w:r>
    </w:p>
    <w:p w14:paraId="4E413595" w14:textId="77777777" w:rsidR="00E65E42" w:rsidRPr="0089592E" w:rsidRDefault="00E65E42" w:rsidP="003B38E9">
      <w:pPr>
        <w:pStyle w:val="111"/>
        <w:spacing w:before="240" w:after="240"/>
        <w:ind w:left="1276"/>
        <w:rPr>
          <w:rFonts w:cs="Arial"/>
          <w:szCs w:val="20"/>
          <w:lang w:val="en-IE"/>
        </w:rPr>
      </w:pPr>
      <w:r w:rsidRPr="0089592E">
        <w:rPr>
          <w:rFonts w:cs="Arial"/>
          <w:szCs w:val="20"/>
          <w:lang w:val="en-IE"/>
        </w:rPr>
        <w:t>4.4.1.</w:t>
      </w:r>
      <w:r w:rsidRPr="0089592E">
        <w:rPr>
          <w:rFonts w:cs="Arial"/>
          <w:szCs w:val="20"/>
          <w:lang w:val="en-IE"/>
        </w:rPr>
        <w:tab/>
        <w:t>Real-time PCR</w:t>
      </w:r>
    </w:p>
    <w:p w14:paraId="36B1653A" w14:textId="77777777" w:rsidR="00E65E42" w:rsidRPr="00D403F5" w:rsidRDefault="00E65E42" w:rsidP="003B38E9">
      <w:pPr>
        <w:pStyle w:val="Para3"/>
        <w:ind w:left="709"/>
        <w:rPr>
          <w:rFonts w:cs="Arial"/>
          <w:szCs w:val="18"/>
        </w:rPr>
      </w:pPr>
      <w:r w:rsidRPr="00D403F5">
        <w:rPr>
          <w:rFonts w:cs="Arial"/>
          <w:szCs w:val="18"/>
        </w:rPr>
        <w:t xml:space="preserve">There are several </w:t>
      </w:r>
      <w:r w:rsidRPr="0014778F">
        <w:rPr>
          <w:rFonts w:cs="Arial"/>
          <w:strike/>
          <w:szCs w:val="18"/>
          <w:highlight w:val="yellow"/>
        </w:rPr>
        <w:t>reverse-transcription</w:t>
      </w:r>
      <w:r w:rsidRPr="00D403F5">
        <w:rPr>
          <w:rFonts w:cs="Arial"/>
          <w:szCs w:val="18"/>
        </w:rPr>
        <w:t xml:space="preserve"> real-time </w:t>
      </w:r>
      <w:r w:rsidRPr="0014778F">
        <w:rPr>
          <w:rFonts w:cs="Arial"/>
          <w:szCs w:val="18"/>
          <w:highlight w:val="yellow"/>
          <w:u w:val="double"/>
        </w:rPr>
        <w:t>reverse-transcription (RT)</w:t>
      </w:r>
      <w:r>
        <w:rPr>
          <w:rFonts w:cs="Arial"/>
          <w:szCs w:val="18"/>
        </w:rPr>
        <w:t xml:space="preserve"> </w:t>
      </w:r>
      <w:r w:rsidRPr="00D403F5">
        <w:rPr>
          <w:rFonts w:cs="Arial"/>
          <w:szCs w:val="18"/>
        </w:rPr>
        <w:t xml:space="preserve">PCR assays available for the detection of IHNV. </w:t>
      </w:r>
      <w:r w:rsidRPr="006A6A33">
        <w:rPr>
          <w:rFonts w:cs="Arial"/>
          <w:szCs w:val="18"/>
          <w:highlight w:val="yellow"/>
          <w:u w:val="double"/>
        </w:rPr>
        <w:t>Two assays are described, a two-step real-time PCR and a one-step real-time PCR.</w:t>
      </w:r>
    </w:p>
    <w:p w14:paraId="4E854294" w14:textId="77777777" w:rsidR="00E65E42" w:rsidRPr="00D403F5" w:rsidRDefault="00E65E42" w:rsidP="003B38E9">
      <w:pPr>
        <w:pStyle w:val="Para3"/>
        <w:ind w:left="709"/>
        <w:rPr>
          <w:rFonts w:cs="Arial"/>
          <w:szCs w:val="18"/>
        </w:rPr>
      </w:pPr>
      <w:r w:rsidRPr="00D403F5">
        <w:rPr>
          <w:rFonts w:cs="Arial"/>
          <w:szCs w:val="18"/>
        </w:rPr>
        <w:t xml:space="preserve">The </w:t>
      </w:r>
      <w:r w:rsidRPr="006A6A33">
        <w:rPr>
          <w:rFonts w:cs="Arial"/>
          <w:szCs w:val="18"/>
          <w:highlight w:val="yellow"/>
          <w:u w:val="double"/>
        </w:rPr>
        <w:t>first</w:t>
      </w:r>
      <w:r>
        <w:rPr>
          <w:rFonts w:cs="Arial"/>
          <w:szCs w:val="18"/>
        </w:rPr>
        <w:t xml:space="preserve"> </w:t>
      </w:r>
      <w:r w:rsidRPr="00D403F5">
        <w:rPr>
          <w:rFonts w:cs="Arial"/>
          <w:szCs w:val="18"/>
        </w:rPr>
        <w:t xml:space="preserve">assay described is a stage 3 validated two-step real-time TaqMan PCR assay that amplifies a region of the nucleoprotein gene of all known IHNV genogroups with some E-genogroup isolates (D332-92, FV23, and FV91-40) having reduced amplification efficiency due to single nucleotide polymorphism within the probe sequence </w:t>
      </w:r>
      <w:r w:rsidRPr="00D403F5">
        <w:rPr>
          <w:rFonts w:cs="Arial"/>
          <w:noProof/>
          <w:szCs w:val="18"/>
        </w:rPr>
        <w:t xml:space="preserve">(Hoferer </w:t>
      </w:r>
      <w:r w:rsidRPr="00D403F5">
        <w:rPr>
          <w:rFonts w:cs="Arial"/>
          <w:i/>
          <w:noProof/>
          <w:szCs w:val="18"/>
        </w:rPr>
        <w:t>et al.,</w:t>
      </w:r>
      <w:r w:rsidRPr="00D403F5">
        <w:rPr>
          <w:rFonts w:cs="Arial"/>
          <w:noProof/>
          <w:szCs w:val="18"/>
        </w:rPr>
        <w:t xml:space="preserve"> 2019; Purcell </w:t>
      </w:r>
      <w:r w:rsidRPr="00D403F5">
        <w:rPr>
          <w:rFonts w:cs="Arial"/>
          <w:i/>
          <w:noProof/>
          <w:szCs w:val="18"/>
        </w:rPr>
        <w:t>et al.,</w:t>
      </w:r>
      <w:r w:rsidRPr="00D403F5">
        <w:rPr>
          <w:rFonts w:cs="Arial"/>
          <w:noProof/>
          <w:szCs w:val="18"/>
        </w:rPr>
        <w:t xml:space="preserve"> 2013).</w:t>
      </w:r>
    </w:p>
    <w:p w14:paraId="6957FFCE" w14:textId="77777777" w:rsidR="00E65E42" w:rsidRPr="00D403F5" w:rsidRDefault="00E65E42" w:rsidP="003B38E9">
      <w:pPr>
        <w:pStyle w:val="Para3"/>
        <w:ind w:left="709"/>
        <w:rPr>
          <w:rFonts w:cs="Arial"/>
          <w:szCs w:val="18"/>
        </w:rPr>
      </w:pPr>
      <w:r w:rsidRPr="00D403F5">
        <w:rPr>
          <w:rFonts w:cs="Arial"/>
          <w:szCs w:val="18"/>
        </w:rPr>
        <w:t>Positive and negative controls should be run with each stage of the assay: extraction, reverse transcription and real-time PCR. Due to the sensitive nature of PCR-based</w:t>
      </w:r>
      <w:r w:rsidRPr="00D403F5">
        <w:rPr>
          <w:rFonts w:eastAsiaTheme="minorEastAsia" w:cs="Arial"/>
          <w:szCs w:val="18"/>
          <w:lang w:eastAsia="zh-CN"/>
        </w:rPr>
        <w:t xml:space="preserve"> </w:t>
      </w:r>
      <w:r w:rsidRPr="00D403F5">
        <w:rPr>
          <w:rFonts w:cs="Arial"/>
          <w:szCs w:val="18"/>
        </w:rPr>
        <w:t xml:space="preserve">assays, it is important to be able to distinguish a true positive from the positive control material. This may be achieved using an artificial positive control as employed by Purcell </w:t>
      </w:r>
      <w:r w:rsidRPr="00D403F5">
        <w:rPr>
          <w:rFonts w:cs="Arial"/>
          <w:i/>
          <w:szCs w:val="18"/>
        </w:rPr>
        <w:t>et al.</w:t>
      </w:r>
      <w:r w:rsidRPr="00D403F5">
        <w:rPr>
          <w:rFonts w:cs="Arial"/>
          <w:szCs w:val="18"/>
        </w:rPr>
        <w:t xml:space="preserve"> (2013). It is also highly recommended that master mix, template addition and PCR amplification occur in designated hoods or spatially separated areas.</w:t>
      </w:r>
    </w:p>
    <w:p w14:paraId="6FFD6C15" w14:textId="77777777" w:rsidR="00E65E42" w:rsidRPr="00D403F5" w:rsidRDefault="00E65E42" w:rsidP="003B38E9">
      <w:pPr>
        <w:pStyle w:val="1111"/>
        <w:keepNext w:val="0"/>
        <w:keepLines w:val="0"/>
        <w:ind w:left="709"/>
        <w:jc w:val="both"/>
        <w:outlineLvl w:val="9"/>
        <w:rPr>
          <w:rFonts w:ascii="Arial" w:hAnsi="Arial" w:cs="Arial"/>
          <w:i/>
          <w:szCs w:val="18"/>
          <w:lang w:val="en-IE"/>
        </w:rPr>
      </w:pPr>
      <w:r w:rsidRPr="00D403F5">
        <w:rPr>
          <w:rFonts w:ascii="Arial" w:hAnsi="Arial" w:cs="Arial"/>
          <w:bCs w:val="0"/>
          <w:i/>
          <w:szCs w:val="18"/>
          <w:lang w:val="en-IE"/>
        </w:rPr>
        <w:t xml:space="preserve">RNA extraction and reverse-transcription </w:t>
      </w:r>
      <w:r w:rsidRPr="00D403F5">
        <w:rPr>
          <w:rFonts w:ascii="Arial" w:hAnsi="Arial" w:cs="Arial"/>
          <w:bCs w:val="0"/>
          <w:szCs w:val="18"/>
          <w:lang w:val="en-IE"/>
        </w:rPr>
        <w:t>(</w:t>
      </w:r>
      <w:r w:rsidRPr="00D403F5">
        <w:rPr>
          <w:rFonts w:ascii="Arial" w:hAnsi="Arial" w:cs="Arial"/>
          <w:bCs w:val="0"/>
          <w:i/>
          <w:szCs w:val="18"/>
          <w:lang w:val="en-IE"/>
        </w:rPr>
        <w:t>RT</w:t>
      </w:r>
      <w:r w:rsidRPr="00D403F5">
        <w:rPr>
          <w:rFonts w:ascii="Arial" w:hAnsi="Arial" w:cs="Arial"/>
          <w:bCs w:val="0"/>
          <w:szCs w:val="18"/>
          <w:lang w:val="en-IE"/>
        </w:rPr>
        <w:t>)</w:t>
      </w:r>
    </w:p>
    <w:p w14:paraId="68285132" w14:textId="77777777" w:rsidR="00E65E42" w:rsidRPr="00D403F5" w:rsidRDefault="00E65E42" w:rsidP="003B38E9">
      <w:pPr>
        <w:pStyle w:val="Para4i"/>
        <w:ind w:left="1134"/>
        <w:rPr>
          <w:rFonts w:cs="Arial"/>
          <w:szCs w:val="18"/>
        </w:rPr>
      </w:pPr>
      <w:r w:rsidRPr="00D403F5">
        <w:rPr>
          <w:rFonts w:cs="Arial"/>
          <w:szCs w:val="18"/>
        </w:rPr>
        <w:t>i)</w:t>
      </w:r>
      <w:r w:rsidRPr="00D403F5">
        <w:rPr>
          <w:rFonts w:cs="Arial"/>
          <w:szCs w:val="18"/>
        </w:rPr>
        <w:tab/>
        <w:t>Total RNA from infected cells and/or tissues is extracted using a phase-separation method (e.g. phenol-chloroform or Trizol) or by use of a commercially available RNA isolation kit used according to the manufacturer’s instructions.</w:t>
      </w:r>
    </w:p>
    <w:p w14:paraId="6DBFD6D5" w14:textId="77777777" w:rsidR="00E65E42" w:rsidRPr="00D403F5" w:rsidRDefault="00E65E42" w:rsidP="003B38E9">
      <w:pPr>
        <w:pStyle w:val="Para4i"/>
        <w:spacing w:after="240"/>
        <w:ind w:left="1134"/>
        <w:rPr>
          <w:rFonts w:cs="Arial"/>
          <w:szCs w:val="18"/>
        </w:rPr>
      </w:pPr>
      <w:r w:rsidRPr="00D403F5">
        <w:rPr>
          <w:rFonts w:cs="Arial"/>
          <w:szCs w:val="18"/>
        </w:rPr>
        <w:t>ii)</w:t>
      </w:r>
      <w:r w:rsidRPr="00D403F5">
        <w:rPr>
          <w:rFonts w:cs="Arial"/>
          <w:szCs w:val="18"/>
        </w:rPr>
        <w:tab/>
        <w:t>Extracted</w:t>
      </w:r>
      <w:r w:rsidRPr="00D403F5">
        <w:rPr>
          <w:rFonts w:eastAsiaTheme="minorEastAsia" w:cs="Arial"/>
          <w:szCs w:val="18"/>
          <w:lang w:eastAsia="zh-CN"/>
        </w:rPr>
        <w:t xml:space="preserve"> </w:t>
      </w:r>
      <w:r w:rsidRPr="00D403F5">
        <w:rPr>
          <w:rFonts w:cs="Arial"/>
          <w:szCs w:val="18"/>
        </w:rPr>
        <w:t>RNA is reverse transcribed non-discriminately into cDNA using random primers.</w:t>
      </w:r>
      <w:r w:rsidRPr="00D403F5">
        <w:rPr>
          <w:rFonts w:eastAsiaTheme="minorEastAsia" w:cs="Arial"/>
          <w:szCs w:val="18"/>
          <w:lang w:eastAsia="zh-CN"/>
        </w:rPr>
        <w:t xml:space="preserve"> </w:t>
      </w:r>
      <w:r w:rsidRPr="00D403F5">
        <w:rPr>
          <w:rFonts w:cs="Arial"/>
          <w:szCs w:val="18"/>
        </w:rPr>
        <w:t>The cDNA synthesis reactions and cycling conditions are best performed using</w:t>
      </w:r>
      <w:r w:rsidRPr="00D403F5">
        <w:rPr>
          <w:rFonts w:eastAsiaTheme="minorEastAsia" w:cs="Arial"/>
          <w:szCs w:val="18"/>
          <w:lang w:eastAsia="zh-CN"/>
        </w:rPr>
        <w:t xml:space="preserve"> the </w:t>
      </w:r>
      <w:r w:rsidRPr="00D403F5">
        <w:rPr>
          <w:rFonts w:cs="Arial"/>
          <w:szCs w:val="18"/>
        </w:rPr>
        <w:t>manufacturer’s instructions for commercially available kits which have been extensively tested with a variety of RNA templates, including GC- and AU-rich targets and RNAse expressed at low levels</w:t>
      </w:r>
      <w:r w:rsidRPr="00D403F5">
        <w:rPr>
          <w:rFonts w:cs="Arial"/>
          <w:color w:val="333333"/>
          <w:szCs w:val="18"/>
        </w:rPr>
        <w:t>.</w:t>
      </w:r>
    </w:p>
    <w:p w14:paraId="73A1AA41" w14:textId="77777777" w:rsidR="00E65E42" w:rsidRPr="00D403F5" w:rsidRDefault="00E65E42" w:rsidP="003B38E9">
      <w:pPr>
        <w:pStyle w:val="1111"/>
        <w:keepNext w:val="0"/>
        <w:keepLines w:val="0"/>
        <w:ind w:left="709"/>
        <w:jc w:val="both"/>
        <w:outlineLvl w:val="9"/>
        <w:rPr>
          <w:rFonts w:ascii="Arial" w:hAnsi="Arial" w:cs="Arial"/>
          <w:i/>
          <w:szCs w:val="18"/>
          <w:lang w:val="en-IE"/>
        </w:rPr>
      </w:pPr>
      <w:r w:rsidRPr="00D403F5">
        <w:rPr>
          <w:rFonts w:ascii="Arial" w:hAnsi="Arial" w:cs="Arial"/>
          <w:bCs w:val="0"/>
          <w:i/>
          <w:szCs w:val="18"/>
          <w:lang w:val="en-IE"/>
        </w:rPr>
        <w:t xml:space="preserve">Real-time PCR </w:t>
      </w:r>
    </w:p>
    <w:p w14:paraId="1C0D69A4" w14:textId="77777777" w:rsidR="00E65E42" w:rsidRPr="00D403F5" w:rsidRDefault="00E65E42" w:rsidP="003B38E9">
      <w:pPr>
        <w:pStyle w:val="Para4"/>
        <w:ind w:left="709"/>
        <w:rPr>
          <w:rFonts w:cs="Arial"/>
          <w:szCs w:val="18"/>
        </w:rPr>
      </w:pPr>
      <w:r w:rsidRPr="00D403F5">
        <w:rPr>
          <w:rFonts w:cs="Arial"/>
          <w:szCs w:val="18"/>
        </w:rPr>
        <w:t xml:space="preserve">The TaqMan real-time PCR assay uses forward primer IHNv N 796F (5’-AGA-GCC-AAG-GCA-CTG-TGC-G-3’), reverse primer IHNv N 875R (5’-TTC-TTT-GCG-GCT-TG-GTT-GA-3’) and FAM-labelled probe, IHNv N 818T (5’-6FAM-TGA-GAC-TGA-GCG-GGA-CA-MGBNFQ-3’). Primers are used at a final concentration of 900 nM each and the final probe concentration is 250 nM. 2.5 µl cDNA product is added to each 25 µl rPCR reaction. Thermal cycling conditions are 50°C 2 minutes, 95°C 10 minutes followed by 40 cycles of 95°C for 15 seconds and 60°C for 1 minute. </w:t>
      </w:r>
    </w:p>
    <w:p w14:paraId="499A6CF4" w14:textId="77777777" w:rsidR="00E65E42" w:rsidRDefault="00E65E42" w:rsidP="003B38E9">
      <w:pPr>
        <w:pStyle w:val="Para5"/>
        <w:ind w:left="709"/>
        <w:rPr>
          <w:rFonts w:cs="Arial"/>
          <w:szCs w:val="18"/>
        </w:rPr>
      </w:pPr>
      <w:r w:rsidRPr="00D403F5">
        <w:rPr>
          <w:rFonts w:cs="Arial"/>
          <w:szCs w:val="18"/>
        </w:rPr>
        <w:t xml:space="preserve">The sample is negative if no Ct (threshold cycle) is recorded, while samples with a Ct are considered positive for IHNV. </w:t>
      </w:r>
    </w:p>
    <w:p w14:paraId="2DD4731A" w14:textId="77777777" w:rsidR="004F1CC2" w:rsidRDefault="004F1CC2" w:rsidP="003B38E9">
      <w:pPr>
        <w:ind w:left="709"/>
        <w:rPr>
          <w:rFonts w:ascii="Arial" w:eastAsia="Times New Roman" w:hAnsi="Arial" w:cs="Arial"/>
          <w:bCs/>
          <w:i/>
          <w:iCs/>
          <w:sz w:val="18"/>
          <w:szCs w:val="18"/>
          <w:highlight w:val="yellow"/>
          <w:u w:val="double"/>
          <w:lang w:val="en-IE" w:eastAsia="zh-CN" w:bidi="en-US"/>
        </w:rPr>
      </w:pPr>
      <w:r>
        <w:rPr>
          <w:rFonts w:cs="Arial"/>
          <w:i/>
          <w:iCs/>
          <w:szCs w:val="18"/>
          <w:highlight w:val="yellow"/>
          <w:u w:val="double"/>
          <w:lang w:eastAsia="zh-CN"/>
        </w:rPr>
        <w:br w:type="page"/>
      </w:r>
    </w:p>
    <w:p w14:paraId="4D8D4654" w14:textId="77777777" w:rsidR="004F1CC2" w:rsidRDefault="004F1CC2" w:rsidP="004F1CC2">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p w14:paraId="4452A535" w14:textId="681CA435" w:rsidR="00E65E42" w:rsidRPr="006A6A33" w:rsidRDefault="00E65E42" w:rsidP="003B38E9">
      <w:pPr>
        <w:pStyle w:val="Para5"/>
        <w:ind w:left="709"/>
        <w:rPr>
          <w:rFonts w:cs="Arial"/>
          <w:i/>
          <w:iCs/>
          <w:szCs w:val="18"/>
        </w:rPr>
      </w:pPr>
      <w:r w:rsidRPr="006A6A33">
        <w:rPr>
          <w:rFonts w:cs="Arial"/>
          <w:i/>
          <w:iCs/>
          <w:szCs w:val="18"/>
          <w:highlight w:val="yellow"/>
          <w:u w:val="double"/>
          <w:lang w:eastAsia="zh-CN"/>
        </w:rPr>
        <w:t>One step real-time RT-PCR</w:t>
      </w:r>
    </w:p>
    <w:p w14:paraId="3198B08E" w14:textId="77777777" w:rsidR="00E65E42" w:rsidRPr="006A6A33" w:rsidRDefault="00E65E42" w:rsidP="003B38E9">
      <w:pPr>
        <w:autoSpaceDE w:val="0"/>
        <w:autoSpaceDN w:val="0"/>
        <w:adjustRightInd w:val="0"/>
        <w:spacing w:after="240" w:line="240" w:lineRule="auto"/>
        <w:ind w:left="709"/>
        <w:jc w:val="both"/>
        <w:rPr>
          <w:rFonts w:ascii="Arial" w:hAnsi="Arial" w:cs="Arial"/>
          <w:sz w:val="18"/>
          <w:szCs w:val="18"/>
          <w:highlight w:val="yellow"/>
          <w:u w:val="double"/>
          <w:lang w:val="en-IE" w:eastAsia="zh-CN"/>
        </w:rPr>
      </w:pPr>
      <w:r>
        <w:rPr>
          <w:rFonts w:ascii="Arial" w:hAnsi="Arial" w:cs="Arial"/>
          <w:sz w:val="18"/>
          <w:szCs w:val="18"/>
          <w:highlight w:val="yellow"/>
          <w:u w:val="double"/>
          <w:lang w:val="en-IE" w:eastAsia="zh-CN"/>
        </w:rPr>
        <w:t>The o</w:t>
      </w:r>
      <w:r w:rsidRPr="006A6A33">
        <w:rPr>
          <w:rFonts w:ascii="Arial" w:hAnsi="Arial" w:cs="Arial"/>
          <w:sz w:val="18"/>
          <w:szCs w:val="18"/>
          <w:highlight w:val="yellow"/>
          <w:u w:val="double"/>
          <w:lang w:val="en-IE" w:eastAsia="zh-CN"/>
        </w:rPr>
        <w:t xml:space="preserve">ne step </w:t>
      </w:r>
      <w:r>
        <w:rPr>
          <w:rFonts w:ascii="Arial" w:hAnsi="Arial" w:cs="Arial"/>
          <w:sz w:val="18"/>
          <w:szCs w:val="18"/>
          <w:highlight w:val="yellow"/>
          <w:u w:val="double"/>
          <w:lang w:val="en-IE" w:eastAsia="zh-CN"/>
        </w:rPr>
        <w:t>real-time RT-PCR</w:t>
      </w:r>
      <w:r w:rsidRPr="006A6A33">
        <w:rPr>
          <w:rFonts w:ascii="Arial" w:hAnsi="Arial" w:cs="Arial"/>
          <w:sz w:val="18"/>
          <w:szCs w:val="18"/>
          <w:highlight w:val="yellow"/>
          <w:u w:val="double"/>
        </w:rPr>
        <w:t xml:space="preserve"> </w:t>
      </w:r>
      <w:r>
        <w:rPr>
          <w:rFonts w:ascii="Arial" w:hAnsi="Arial" w:cs="Arial"/>
          <w:sz w:val="18"/>
          <w:szCs w:val="18"/>
          <w:highlight w:val="yellow"/>
          <w:u w:val="double"/>
        </w:rPr>
        <w:t>i</w:t>
      </w:r>
      <w:r w:rsidRPr="006A6A33">
        <w:rPr>
          <w:rFonts w:ascii="Arial" w:hAnsi="Arial" w:cs="Arial"/>
          <w:sz w:val="18"/>
          <w:szCs w:val="18"/>
          <w:highlight w:val="yellow"/>
          <w:u w:val="double"/>
        </w:rPr>
        <w:t>s performed using the SuperScript III Platinum One</w:t>
      </w:r>
      <w:r w:rsidRPr="006A6A33">
        <w:rPr>
          <w:rFonts w:ascii="Cambria Math" w:eastAsia="SimSun" w:hAnsi="Cambria Math" w:cs="Cambria Math"/>
          <w:sz w:val="18"/>
          <w:szCs w:val="18"/>
          <w:highlight w:val="yellow"/>
          <w:u w:val="double"/>
        </w:rPr>
        <w:t>‐</w:t>
      </w:r>
      <w:r w:rsidRPr="006A6A33">
        <w:rPr>
          <w:rFonts w:ascii="Arial" w:hAnsi="Arial" w:cs="Arial"/>
          <w:sz w:val="18"/>
          <w:szCs w:val="18"/>
          <w:highlight w:val="yellow"/>
          <w:u w:val="double"/>
        </w:rPr>
        <w:t>Step qRT</w:t>
      </w:r>
      <w:r w:rsidRPr="006A6A33">
        <w:rPr>
          <w:rFonts w:ascii="Cambria Math" w:eastAsia="SimSun" w:hAnsi="Cambria Math" w:cs="Cambria Math"/>
          <w:sz w:val="18"/>
          <w:szCs w:val="18"/>
          <w:highlight w:val="yellow"/>
          <w:u w:val="double"/>
        </w:rPr>
        <w:t>‐</w:t>
      </w:r>
      <w:r w:rsidRPr="006A6A33">
        <w:rPr>
          <w:rFonts w:ascii="Arial" w:hAnsi="Arial" w:cs="Arial"/>
          <w:sz w:val="18"/>
          <w:szCs w:val="18"/>
          <w:highlight w:val="yellow"/>
          <w:u w:val="double"/>
        </w:rPr>
        <w:t>PCR Kit (Thermo Fisher Scientific, Schwerte, Germany) and/or the AgPath</w:t>
      </w:r>
      <w:r w:rsidRPr="006A6A33">
        <w:rPr>
          <w:rFonts w:ascii="Cambria Math" w:eastAsia="SimSun" w:hAnsi="Cambria Math" w:cs="Cambria Math"/>
          <w:sz w:val="18"/>
          <w:szCs w:val="18"/>
          <w:highlight w:val="yellow"/>
          <w:u w:val="double"/>
        </w:rPr>
        <w:t>‐</w:t>
      </w:r>
      <w:r w:rsidRPr="006A6A33">
        <w:rPr>
          <w:rFonts w:ascii="Arial" w:hAnsi="Arial" w:cs="Arial"/>
          <w:sz w:val="18"/>
          <w:szCs w:val="18"/>
          <w:highlight w:val="yellow"/>
          <w:u w:val="double"/>
        </w:rPr>
        <w:t>ID One</w:t>
      </w:r>
      <w:r w:rsidRPr="006A6A33">
        <w:rPr>
          <w:rFonts w:ascii="Cambria Math" w:eastAsia="SimSun" w:hAnsi="Cambria Math" w:cs="Cambria Math"/>
          <w:sz w:val="18"/>
          <w:szCs w:val="18"/>
          <w:highlight w:val="yellow"/>
          <w:u w:val="double"/>
        </w:rPr>
        <w:t>‐</w:t>
      </w:r>
      <w:r w:rsidRPr="006A6A33">
        <w:rPr>
          <w:rFonts w:ascii="Arial" w:hAnsi="Arial" w:cs="Arial"/>
          <w:sz w:val="18"/>
          <w:szCs w:val="18"/>
          <w:highlight w:val="yellow"/>
          <w:u w:val="double"/>
        </w:rPr>
        <w:t>Step RT</w:t>
      </w:r>
      <w:r w:rsidRPr="006A6A33">
        <w:rPr>
          <w:rFonts w:ascii="Cambria Math" w:eastAsia="SimSun" w:hAnsi="Cambria Math" w:cs="Cambria Math"/>
          <w:sz w:val="18"/>
          <w:szCs w:val="18"/>
          <w:highlight w:val="yellow"/>
          <w:u w:val="double"/>
        </w:rPr>
        <w:t>‐</w:t>
      </w:r>
      <w:r w:rsidRPr="006A6A33">
        <w:rPr>
          <w:rFonts w:ascii="Arial" w:hAnsi="Arial" w:cs="Arial"/>
          <w:sz w:val="18"/>
          <w:szCs w:val="18"/>
          <w:highlight w:val="yellow"/>
          <w:u w:val="double"/>
        </w:rPr>
        <w:t>PCR Kit (Thermo Fisher Scientific) according to the manufacturers’ instructions. For all quantitative assays, the following unique parameters were used: (a) total volume of 25 μl consisting of 20 μl mastermix and 5 μl of RNA; (b) 900 nM of each primer; (c) 200 nM of IHNV probe and 250 nM of VHSV probe, respectively; (d) hard</w:t>
      </w:r>
      <w:r w:rsidRPr="006A6A33">
        <w:rPr>
          <w:rFonts w:ascii="Cambria Math" w:eastAsia="SimSun" w:hAnsi="Cambria Math" w:cs="Cambria Math"/>
          <w:sz w:val="18"/>
          <w:szCs w:val="18"/>
          <w:highlight w:val="yellow"/>
          <w:u w:val="double"/>
        </w:rPr>
        <w:t>‐</w:t>
      </w:r>
      <w:r w:rsidRPr="006A6A33">
        <w:rPr>
          <w:rFonts w:ascii="Arial" w:hAnsi="Arial" w:cs="Arial"/>
          <w:sz w:val="18"/>
          <w:szCs w:val="18"/>
          <w:highlight w:val="yellow"/>
          <w:u w:val="double"/>
        </w:rPr>
        <w:t>shell 96</w:t>
      </w:r>
      <w:r w:rsidRPr="006A6A33">
        <w:rPr>
          <w:rFonts w:ascii="Cambria Math" w:eastAsia="SimSun" w:hAnsi="Cambria Math" w:cs="Cambria Math"/>
          <w:sz w:val="18"/>
          <w:szCs w:val="18"/>
          <w:highlight w:val="yellow"/>
          <w:u w:val="double"/>
        </w:rPr>
        <w:t>‐</w:t>
      </w:r>
      <w:r w:rsidRPr="006A6A33">
        <w:rPr>
          <w:rFonts w:ascii="Arial" w:hAnsi="Arial" w:cs="Arial"/>
          <w:sz w:val="18"/>
          <w:szCs w:val="18"/>
          <w:highlight w:val="yellow"/>
          <w:u w:val="double"/>
        </w:rPr>
        <w:t>well skirted plates with white shell (Bio</w:t>
      </w:r>
      <w:r w:rsidRPr="006A6A33">
        <w:rPr>
          <w:rFonts w:ascii="Cambria Math" w:eastAsia="SimSun" w:hAnsi="Cambria Math" w:cs="Cambria Math"/>
          <w:sz w:val="18"/>
          <w:szCs w:val="18"/>
          <w:highlight w:val="yellow"/>
          <w:u w:val="double"/>
        </w:rPr>
        <w:t>‐</w:t>
      </w:r>
      <w:r w:rsidRPr="006A6A33">
        <w:rPr>
          <w:rFonts w:ascii="Arial" w:hAnsi="Arial" w:cs="Arial"/>
          <w:sz w:val="18"/>
          <w:szCs w:val="18"/>
          <w:highlight w:val="yellow"/>
          <w:u w:val="double"/>
        </w:rPr>
        <w:t>Rad, Munich, Germany, cat. No HSP9601); (e) Microseal B adhesive optical clear seals (Bio</w:t>
      </w:r>
      <w:r w:rsidRPr="006A6A33">
        <w:rPr>
          <w:rFonts w:ascii="Cambria Math" w:eastAsia="SimSun" w:hAnsi="Cambria Math" w:cs="Cambria Math"/>
          <w:sz w:val="18"/>
          <w:szCs w:val="18"/>
          <w:highlight w:val="yellow"/>
          <w:u w:val="double"/>
        </w:rPr>
        <w:t>‐</w:t>
      </w:r>
      <w:r w:rsidRPr="006A6A33">
        <w:rPr>
          <w:rFonts w:ascii="Arial" w:hAnsi="Arial" w:cs="Arial"/>
          <w:sz w:val="18"/>
          <w:szCs w:val="18"/>
          <w:highlight w:val="yellow"/>
          <w:u w:val="double"/>
        </w:rPr>
        <w:t>Rad, cat. no MSB 1001); (f) run on a C1000TM Thermal Cycler controlled by the CFX96TM Real</w:t>
      </w:r>
      <w:r w:rsidRPr="006A6A33">
        <w:rPr>
          <w:rFonts w:ascii="Cambria Math" w:eastAsia="SimSun" w:hAnsi="Cambria Math" w:cs="Cambria Math"/>
          <w:sz w:val="18"/>
          <w:szCs w:val="18"/>
          <w:highlight w:val="yellow"/>
          <w:u w:val="double"/>
        </w:rPr>
        <w:t>‐</w:t>
      </w:r>
      <w:r w:rsidRPr="006A6A33">
        <w:rPr>
          <w:rFonts w:ascii="Arial" w:hAnsi="Arial" w:cs="Arial"/>
          <w:sz w:val="18"/>
          <w:szCs w:val="18"/>
          <w:highlight w:val="yellow"/>
          <w:u w:val="double"/>
        </w:rPr>
        <w:t>Time PCR Detection System (Bio</w:t>
      </w:r>
      <w:r w:rsidRPr="006A6A33">
        <w:rPr>
          <w:rFonts w:ascii="Cambria Math" w:eastAsia="SimSun" w:hAnsi="Cambria Math" w:cs="Cambria Math"/>
          <w:sz w:val="18"/>
          <w:szCs w:val="18"/>
          <w:highlight w:val="yellow"/>
          <w:u w:val="double"/>
        </w:rPr>
        <w:t>‐</w:t>
      </w:r>
      <w:r w:rsidRPr="006A6A33">
        <w:rPr>
          <w:rFonts w:ascii="Arial" w:hAnsi="Arial" w:cs="Arial"/>
          <w:sz w:val="18"/>
          <w:szCs w:val="18"/>
          <w:highlight w:val="yellow"/>
          <w:u w:val="double"/>
        </w:rPr>
        <w:t>Rad); and (g) use of the CFX Manager software (Bio</w:t>
      </w:r>
      <w:r w:rsidRPr="006A6A33">
        <w:rPr>
          <w:rFonts w:ascii="Cambria Math" w:eastAsia="SimSun" w:hAnsi="Cambria Math" w:cs="Cambria Math"/>
          <w:sz w:val="18"/>
          <w:szCs w:val="18"/>
          <w:highlight w:val="yellow"/>
          <w:u w:val="double"/>
        </w:rPr>
        <w:t>‐</w:t>
      </w:r>
      <w:r w:rsidRPr="006A6A33">
        <w:rPr>
          <w:rFonts w:ascii="Arial" w:hAnsi="Arial" w:cs="Arial"/>
          <w:sz w:val="18"/>
          <w:szCs w:val="18"/>
          <w:highlight w:val="yellow"/>
          <w:u w:val="double"/>
        </w:rPr>
        <w:t xml:space="preserve">Rad) for data analysis. The threshold was set automatically </w:t>
      </w:r>
      <w:r w:rsidRPr="006A6A33">
        <w:rPr>
          <w:rFonts w:ascii="Arial" w:hAnsi="Arial" w:cs="Arial"/>
          <w:sz w:val="18"/>
          <w:szCs w:val="18"/>
          <w:highlight w:val="yellow"/>
          <w:u w:val="double"/>
          <w:lang w:eastAsia="zh-CN"/>
        </w:rPr>
        <w:t>(</w:t>
      </w:r>
      <w:r w:rsidRPr="006A6A33">
        <w:rPr>
          <w:rFonts w:ascii="Arial" w:hAnsi="Arial" w:cs="Arial"/>
          <w:sz w:val="18"/>
          <w:szCs w:val="18"/>
          <w:highlight w:val="yellow"/>
          <w:u w:val="double"/>
        </w:rPr>
        <w:t xml:space="preserve">Hoferer </w:t>
      </w:r>
      <w:r w:rsidRPr="0069754A">
        <w:rPr>
          <w:rFonts w:ascii="Arial" w:hAnsi="Arial" w:cs="Arial"/>
          <w:i/>
          <w:iCs/>
          <w:sz w:val="18"/>
          <w:szCs w:val="18"/>
          <w:highlight w:val="yellow"/>
          <w:u w:val="double"/>
        </w:rPr>
        <w:t>et al.</w:t>
      </w:r>
      <w:r w:rsidRPr="0069754A">
        <w:rPr>
          <w:rFonts w:ascii="Arial" w:hAnsi="Arial" w:cs="Arial"/>
          <w:i/>
          <w:iCs/>
          <w:sz w:val="18"/>
          <w:szCs w:val="18"/>
          <w:highlight w:val="yellow"/>
          <w:u w:val="double"/>
          <w:lang w:eastAsia="zh-CN"/>
        </w:rPr>
        <w:t>,</w:t>
      </w:r>
      <w:r w:rsidRPr="006A6A33">
        <w:rPr>
          <w:rFonts w:ascii="Arial" w:hAnsi="Arial" w:cs="Arial"/>
          <w:sz w:val="18"/>
          <w:szCs w:val="18"/>
          <w:highlight w:val="yellow"/>
          <w:u w:val="double"/>
          <w:lang w:eastAsia="zh-CN"/>
        </w:rPr>
        <w:t xml:space="preserve"> 2019)</w:t>
      </w:r>
      <w:r w:rsidRPr="006A6A33">
        <w:rPr>
          <w:rFonts w:ascii="Arial" w:hAnsi="Arial" w:cs="Arial"/>
          <w:sz w:val="18"/>
          <w:szCs w:val="18"/>
          <w:highlight w:val="yellow"/>
          <w:u w:val="double"/>
          <w:lang w:val="en-IE" w:eastAsia="zh-CN"/>
        </w:rPr>
        <w:t xml:space="preserve"> </w:t>
      </w:r>
    </w:p>
    <w:p w14:paraId="49BA0A4E" w14:textId="77777777" w:rsidR="00E65E42" w:rsidRPr="0089592E" w:rsidRDefault="00E65E42" w:rsidP="003B38E9">
      <w:pPr>
        <w:pStyle w:val="111"/>
        <w:spacing w:before="240" w:after="240"/>
        <w:ind w:left="1276"/>
        <w:rPr>
          <w:szCs w:val="20"/>
          <w:lang w:val="en-IE"/>
        </w:rPr>
      </w:pPr>
      <w:r w:rsidRPr="00A92778">
        <w:rPr>
          <w:szCs w:val="20"/>
          <w:lang w:val="en-IE"/>
        </w:rPr>
        <w:t>4.4.2.</w:t>
      </w:r>
      <w:r w:rsidRPr="00A92778">
        <w:rPr>
          <w:szCs w:val="20"/>
          <w:lang w:val="en-IE"/>
        </w:rPr>
        <w:tab/>
      </w:r>
      <w:r w:rsidRPr="003B38E9">
        <w:rPr>
          <w:rFonts w:cs="Arial"/>
          <w:szCs w:val="20"/>
          <w:lang w:val="en-IE"/>
        </w:rPr>
        <w:t>Conventional</w:t>
      </w:r>
      <w:r w:rsidRPr="00A92778">
        <w:rPr>
          <w:szCs w:val="20"/>
          <w:lang w:val="en-IE"/>
        </w:rPr>
        <w:t xml:space="preserve"> PCR</w:t>
      </w:r>
    </w:p>
    <w:p w14:paraId="012A408F" w14:textId="77777777" w:rsidR="00E65E42" w:rsidRPr="00D403F5" w:rsidRDefault="00E65E42" w:rsidP="003B38E9">
      <w:pPr>
        <w:pStyle w:val="Para3"/>
        <w:ind w:left="709"/>
        <w:rPr>
          <w:szCs w:val="18"/>
        </w:rPr>
      </w:pPr>
      <w:r w:rsidRPr="00D403F5">
        <w:rPr>
          <w:szCs w:val="18"/>
        </w:rPr>
        <w:t>Several conventional PCR assays are available with limited validation data.</w:t>
      </w:r>
    </w:p>
    <w:p w14:paraId="4CFB68D8" w14:textId="77777777" w:rsidR="00E65E42" w:rsidRPr="00D403F5" w:rsidRDefault="00E65E42" w:rsidP="003B38E9">
      <w:pPr>
        <w:pStyle w:val="Para3"/>
        <w:ind w:left="709"/>
        <w:rPr>
          <w:szCs w:val="18"/>
        </w:rPr>
      </w:pPr>
      <w:r w:rsidRPr="00D403F5">
        <w:rPr>
          <w:szCs w:val="18"/>
        </w:rPr>
        <w:t>The PCR assay described recognises</w:t>
      </w:r>
      <w:r w:rsidRPr="00D403F5">
        <w:rPr>
          <w:rFonts w:cs="Arial"/>
          <w:szCs w:val="18"/>
        </w:rPr>
        <w:t xml:space="preserve"> a broad range of genotypes</w:t>
      </w:r>
      <w:r w:rsidRPr="00D403F5">
        <w:rPr>
          <w:rFonts w:eastAsiaTheme="minorEastAsia" w:cs="Arial"/>
          <w:szCs w:val="18"/>
          <w:lang w:eastAsia="zh-CN"/>
        </w:rPr>
        <w:t xml:space="preserve"> </w:t>
      </w:r>
      <w:r w:rsidRPr="00D403F5">
        <w:rPr>
          <w:szCs w:val="18"/>
        </w:rPr>
        <w:t xml:space="preserve">by targeting a central </w:t>
      </w:r>
      <w:r w:rsidRPr="00D403F5">
        <w:rPr>
          <w:rFonts w:cs="Arial"/>
          <w:szCs w:val="18"/>
        </w:rPr>
        <w:t xml:space="preserve">region </w:t>
      </w:r>
      <w:r w:rsidRPr="00D403F5">
        <w:rPr>
          <w:szCs w:val="18"/>
        </w:rPr>
        <w:t xml:space="preserve">of the IHNV G gene </w:t>
      </w:r>
      <w:r w:rsidRPr="00D403F5">
        <w:rPr>
          <w:noProof/>
          <w:szCs w:val="18"/>
        </w:rPr>
        <w:t xml:space="preserve">(Emmenegger </w:t>
      </w:r>
      <w:r w:rsidRPr="00D403F5">
        <w:rPr>
          <w:i/>
          <w:noProof/>
          <w:szCs w:val="18"/>
        </w:rPr>
        <w:t>et al.,</w:t>
      </w:r>
      <w:r w:rsidRPr="00D403F5">
        <w:rPr>
          <w:noProof/>
          <w:szCs w:val="18"/>
        </w:rPr>
        <w:t xml:space="preserve"> 2000)</w:t>
      </w:r>
      <w:r w:rsidRPr="00D403F5">
        <w:rPr>
          <w:szCs w:val="18"/>
        </w:rPr>
        <w:t>, and produces a PCR amplicon</w:t>
      </w:r>
      <w:r w:rsidRPr="00D403F5">
        <w:rPr>
          <w:rFonts w:eastAsiaTheme="minorEastAsia"/>
          <w:szCs w:val="18"/>
          <w:lang w:eastAsia="zh-CN"/>
        </w:rPr>
        <w:t xml:space="preserve"> </w:t>
      </w:r>
      <w:r w:rsidRPr="00D403F5">
        <w:rPr>
          <w:szCs w:val="18"/>
        </w:rPr>
        <w:t>that is used</w:t>
      </w:r>
      <w:r w:rsidRPr="00D403F5">
        <w:rPr>
          <w:rFonts w:eastAsiaTheme="minorEastAsia"/>
          <w:szCs w:val="18"/>
          <w:lang w:eastAsia="zh-CN"/>
        </w:rPr>
        <w:t xml:space="preserve"> </w:t>
      </w:r>
      <w:r w:rsidRPr="00D403F5">
        <w:rPr>
          <w:rFonts w:cs="Arial"/>
          <w:szCs w:val="18"/>
        </w:rPr>
        <w:t xml:space="preserve">for identification of genetic strains and for epidemiological tracing of virus movements </w:t>
      </w:r>
      <w:r w:rsidRPr="00D403F5">
        <w:rPr>
          <w:rFonts w:cs="Arial"/>
          <w:noProof/>
          <w:szCs w:val="18"/>
        </w:rPr>
        <w:t xml:space="preserve">(Kurath </w:t>
      </w:r>
      <w:r w:rsidRPr="00D403F5">
        <w:rPr>
          <w:rFonts w:cs="Arial"/>
          <w:i/>
          <w:noProof/>
          <w:szCs w:val="18"/>
        </w:rPr>
        <w:t>et al.,</w:t>
      </w:r>
      <w:r w:rsidRPr="00D403F5">
        <w:rPr>
          <w:rFonts w:cs="Arial"/>
          <w:noProof/>
          <w:szCs w:val="18"/>
        </w:rPr>
        <w:t xml:space="preserve"> 2003)</w:t>
      </w:r>
      <w:r w:rsidRPr="00D403F5">
        <w:rPr>
          <w:szCs w:val="18"/>
        </w:rPr>
        <w:t>.</w:t>
      </w:r>
    </w:p>
    <w:p w14:paraId="63F1F777" w14:textId="77777777" w:rsidR="00E65E42" w:rsidRPr="00D403F5" w:rsidRDefault="00E65E42" w:rsidP="003B38E9">
      <w:pPr>
        <w:pStyle w:val="Para3"/>
        <w:ind w:left="709"/>
        <w:rPr>
          <w:szCs w:val="18"/>
        </w:rPr>
      </w:pPr>
      <w:r w:rsidRPr="00D403F5">
        <w:rPr>
          <w:szCs w:val="18"/>
        </w:rPr>
        <w:t>Positive and negative controls should be run with each stage of the assay: extraction, RT-PCR and second round PCR. Due to the sensitive nature of PCR-based</w:t>
      </w:r>
      <w:r w:rsidRPr="00D403F5">
        <w:rPr>
          <w:rFonts w:eastAsiaTheme="minorEastAsia"/>
          <w:szCs w:val="18"/>
          <w:lang w:eastAsia="zh-CN"/>
        </w:rPr>
        <w:t xml:space="preserve"> </w:t>
      </w:r>
      <w:r w:rsidRPr="00D403F5">
        <w:rPr>
          <w:szCs w:val="18"/>
        </w:rPr>
        <w:t>assays it is highly recommended that master mix, template addition and PCR amplification occur in designated hoods or spatially separated areas.</w:t>
      </w:r>
    </w:p>
    <w:p w14:paraId="54AF8318" w14:textId="77777777" w:rsidR="00E65E42" w:rsidRPr="00D403F5" w:rsidRDefault="00E65E42" w:rsidP="003B38E9">
      <w:pPr>
        <w:pStyle w:val="1111"/>
        <w:keepNext w:val="0"/>
        <w:keepLines w:val="0"/>
        <w:ind w:left="709"/>
        <w:jc w:val="both"/>
        <w:outlineLvl w:val="9"/>
        <w:rPr>
          <w:b/>
          <w:i/>
          <w:szCs w:val="18"/>
          <w:lang w:val="en-IE"/>
        </w:rPr>
      </w:pPr>
      <w:r w:rsidRPr="00D403F5">
        <w:rPr>
          <w:i/>
          <w:szCs w:val="18"/>
          <w:lang w:val="en-IE"/>
        </w:rPr>
        <w:t>RNA extraction</w:t>
      </w:r>
    </w:p>
    <w:p w14:paraId="6C451B04" w14:textId="77777777" w:rsidR="00E65E42" w:rsidRPr="00D403F5" w:rsidRDefault="00E65E42" w:rsidP="003B38E9">
      <w:pPr>
        <w:pStyle w:val="Para4"/>
        <w:ind w:left="709"/>
        <w:rPr>
          <w:szCs w:val="18"/>
        </w:rPr>
      </w:pPr>
      <w:r w:rsidRPr="00D403F5">
        <w:rPr>
          <w:szCs w:val="18"/>
        </w:rPr>
        <w:t>Total RNA may be prepared as described in section 4.4.1.</w:t>
      </w:r>
    </w:p>
    <w:p w14:paraId="322A467D" w14:textId="77777777" w:rsidR="00E65E42" w:rsidRPr="00D403F5" w:rsidRDefault="00E65E42" w:rsidP="003B38E9">
      <w:pPr>
        <w:pStyle w:val="1111"/>
        <w:keepNext w:val="0"/>
        <w:keepLines w:val="0"/>
        <w:ind w:left="709"/>
        <w:jc w:val="both"/>
        <w:outlineLvl w:val="9"/>
        <w:rPr>
          <w:b/>
          <w:i/>
          <w:szCs w:val="18"/>
          <w:lang w:val="en-IE"/>
        </w:rPr>
      </w:pPr>
      <w:r w:rsidRPr="00D403F5">
        <w:rPr>
          <w:i/>
          <w:szCs w:val="18"/>
          <w:lang w:val="en-IE"/>
        </w:rPr>
        <w:t xml:space="preserve">Conventional RT-PCR </w:t>
      </w:r>
      <w:r w:rsidRPr="00D403F5">
        <w:rPr>
          <w:szCs w:val="18"/>
          <w:lang w:val="en-IE"/>
        </w:rPr>
        <w:t>(</w:t>
      </w:r>
      <w:r w:rsidRPr="00D403F5">
        <w:rPr>
          <w:i/>
          <w:szCs w:val="18"/>
          <w:lang w:val="en-IE"/>
        </w:rPr>
        <w:t>Round 1</w:t>
      </w:r>
      <w:r w:rsidRPr="00D403F5">
        <w:rPr>
          <w:szCs w:val="18"/>
          <w:lang w:val="en-IE"/>
        </w:rPr>
        <w:t>)</w:t>
      </w:r>
    </w:p>
    <w:p w14:paraId="1ADF01C1" w14:textId="77777777" w:rsidR="00E65E42" w:rsidRPr="00D403F5" w:rsidRDefault="00E65E42" w:rsidP="003B38E9">
      <w:pPr>
        <w:pStyle w:val="Para4"/>
        <w:ind w:left="709"/>
        <w:rPr>
          <w:szCs w:val="18"/>
        </w:rPr>
      </w:pPr>
      <w:r w:rsidRPr="00D403F5">
        <w:rPr>
          <w:szCs w:val="18"/>
        </w:rPr>
        <w:t>The first round RT-PCR combines cDNA synthesis and PCR amplification into one step by using an IHNV-specific primer set that generates the first-strand synthesis of IHNV RNA and subsequent PCR amplification through 30 cycles. The first round PCR produces a 693 bp PCR amplicon using forward primer (5’-AGA-GAT-CCC-TAC-ACC-AGA-GAC-3’) and reverse primer (5’-GGT-GGT-GTT-GTT-TCC-GTG-CAA-3’) at a final concentration of 200 nM each. The thermal cycling conditions are one cycle of 50°C for 30 minutes; one cycle of 95°C for 2 minutes; 30 cycles of 95°C for 30 seconds, 50°C for 30 seconds, 72°C for 60 seconds; one cycle of 72°C for 7 minutes and 4°C hold.</w:t>
      </w:r>
    </w:p>
    <w:p w14:paraId="78530281" w14:textId="77777777" w:rsidR="00E65E42" w:rsidRPr="00D403F5" w:rsidRDefault="00E65E42" w:rsidP="003B38E9">
      <w:pPr>
        <w:pStyle w:val="Para5"/>
        <w:ind w:left="709"/>
        <w:rPr>
          <w:szCs w:val="18"/>
        </w:rPr>
      </w:pPr>
      <w:r w:rsidRPr="00D403F5">
        <w:rPr>
          <w:szCs w:val="18"/>
        </w:rPr>
        <w:t>A sample is IHNV positive if a 693 bp PCR amplicon is observed and no bands were observed in the negative controls. If no band is observed for a sample and the positive controls passed proceed to the second round nested PCR.</w:t>
      </w:r>
    </w:p>
    <w:p w14:paraId="23941450" w14:textId="77777777" w:rsidR="00E65E42" w:rsidRPr="00D403F5" w:rsidRDefault="00E65E42" w:rsidP="003B38E9">
      <w:pPr>
        <w:pStyle w:val="1111"/>
        <w:keepNext w:val="0"/>
        <w:keepLines w:val="0"/>
        <w:ind w:left="709"/>
        <w:jc w:val="both"/>
        <w:outlineLvl w:val="9"/>
        <w:rPr>
          <w:b/>
          <w:i/>
          <w:szCs w:val="18"/>
          <w:lang w:val="en-IE"/>
        </w:rPr>
      </w:pPr>
      <w:r w:rsidRPr="00D403F5">
        <w:rPr>
          <w:i/>
          <w:szCs w:val="18"/>
          <w:lang w:val="en-IE"/>
        </w:rPr>
        <w:t xml:space="preserve">Second round </w:t>
      </w:r>
      <w:r w:rsidRPr="00D403F5">
        <w:rPr>
          <w:szCs w:val="18"/>
          <w:lang w:val="en-IE"/>
        </w:rPr>
        <w:t>(</w:t>
      </w:r>
      <w:r w:rsidRPr="00D403F5">
        <w:rPr>
          <w:i/>
          <w:szCs w:val="18"/>
          <w:lang w:val="en-IE"/>
        </w:rPr>
        <w:t>nested PCR</w:t>
      </w:r>
      <w:r w:rsidRPr="00D403F5">
        <w:rPr>
          <w:szCs w:val="18"/>
          <w:lang w:val="en-IE"/>
        </w:rPr>
        <w:t>)</w:t>
      </w:r>
    </w:p>
    <w:p w14:paraId="02DC07E0" w14:textId="77777777" w:rsidR="00E65E42" w:rsidRPr="00D403F5" w:rsidRDefault="00E65E42" w:rsidP="003B38E9">
      <w:pPr>
        <w:pStyle w:val="Para4"/>
        <w:ind w:left="709"/>
        <w:rPr>
          <w:szCs w:val="18"/>
        </w:rPr>
      </w:pPr>
      <w:r w:rsidRPr="00D403F5">
        <w:rPr>
          <w:szCs w:val="18"/>
        </w:rPr>
        <w:t>Due to the sensitivity of the test along with the need for repetitive handling of tubes, nested PCR is prone to contamination and good sterile technique must be practiced.</w:t>
      </w:r>
    </w:p>
    <w:p w14:paraId="4E26C270" w14:textId="77777777" w:rsidR="00E65E42" w:rsidRPr="00D403F5" w:rsidRDefault="00E65E42" w:rsidP="003B38E9">
      <w:pPr>
        <w:pStyle w:val="Para4"/>
        <w:ind w:left="709"/>
        <w:rPr>
          <w:szCs w:val="18"/>
        </w:rPr>
      </w:pPr>
      <w:r w:rsidRPr="00D403F5">
        <w:rPr>
          <w:szCs w:val="18"/>
        </w:rPr>
        <w:t xml:space="preserve">The first round positive and negative controls are carried over and included with the nested PCR assay. In addition, a separate negative and positive control specific to the nested assay are required. </w:t>
      </w:r>
    </w:p>
    <w:p w14:paraId="3FFE2705" w14:textId="77777777" w:rsidR="00E65E42" w:rsidRPr="00D403F5" w:rsidRDefault="00E65E42" w:rsidP="003B38E9">
      <w:pPr>
        <w:pStyle w:val="Para4"/>
        <w:ind w:left="709"/>
        <w:rPr>
          <w:szCs w:val="18"/>
        </w:rPr>
      </w:pPr>
      <w:r w:rsidRPr="00D403F5">
        <w:rPr>
          <w:szCs w:val="18"/>
        </w:rPr>
        <w:t>The second round PCR produces a 483 bp PCR amplicon using forward primer (5’-TCA-CCC-TGC-CAG-ACT-CAT-TGG-3’) and reverse primer (5’-ATA-GAT-GGA-GCC-TTT-GTG-CAT-3’) at a final concentration of 200 nM each. The thermal cycling conditions are: 95°C for 2 minutes followed by 30 cycles of 95°C for 30 seconds, 50°C for 30 seconds, 72°C for 60 seconds; one cycle of 72°C for 7 minutes and 4°C hold.</w:t>
      </w:r>
    </w:p>
    <w:p w14:paraId="142BBD9D" w14:textId="77777777" w:rsidR="00E65E42" w:rsidRPr="00D403F5" w:rsidRDefault="00E65E42" w:rsidP="003B38E9">
      <w:pPr>
        <w:pStyle w:val="Para5"/>
        <w:ind w:left="709"/>
        <w:rPr>
          <w:szCs w:val="18"/>
        </w:rPr>
      </w:pPr>
      <w:r w:rsidRPr="00D403F5">
        <w:rPr>
          <w:szCs w:val="18"/>
        </w:rPr>
        <w:t>A sample is IHNV positive if a 483 bp PCR amplicon is observed and no band(s) are observed in the negative controls. A sample is negative if no bands are observed and positive controls passed.</w:t>
      </w:r>
    </w:p>
    <w:p w14:paraId="66AA1390" w14:textId="77777777" w:rsidR="003B38E9" w:rsidRDefault="003B38E9">
      <w:pPr>
        <w:rPr>
          <w:u w:val="single"/>
        </w:rPr>
      </w:pPr>
      <w:r>
        <w:rPr>
          <w:u w:val="single"/>
        </w:rPr>
        <w:br w:type="page"/>
      </w:r>
    </w:p>
    <w:p w14:paraId="3CF33207" w14:textId="2A03964F" w:rsidR="004F1CC2" w:rsidRDefault="004F1CC2" w:rsidP="004F1CC2">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p w14:paraId="6D15FEDB" w14:textId="77777777" w:rsidR="00E65E42" w:rsidRPr="0089592E" w:rsidRDefault="00E65E42" w:rsidP="003B38E9">
      <w:pPr>
        <w:pStyle w:val="111"/>
        <w:spacing w:before="240" w:after="240"/>
        <w:ind w:left="1276"/>
        <w:rPr>
          <w:szCs w:val="20"/>
          <w:lang w:val="en-IE"/>
        </w:rPr>
      </w:pPr>
      <w:r w:rsidRPr="0089592E">
        <w:rPr>
          <w:szCs w:val="20"/>
          <w:lang w:val="en-IE"/>
        </w:rPr>
        <w:t>4.4.3.</w:t>
      </w:r>
      <w:r w:rsidRPr="0089592E">
        <w:rPr>
          <w:szCs w:val="20"/>
          <w:lang w:val="en-IE"/>
        </w:rPr>
        <w:tab/>
        <w:t>Other nucleic acid amplification methods</w:t>
      </w:r>
    </w:p>
    <w:p w14:paraId="7FDF1B0E" w14:textId="77777777" w:rsidR="00E65E42" w:rsidRPr="00D403F5" w:rsidRDefault="00E65E42" w:rsidP="003B38E9">
      <w:pPr>
        <w:pStyle w:val="Para3"/>
        <w:ind w:left="709"/>
        <w:rPr>
          <w:szCs w:val="18"/>
        </w:rPr>
      </w:pPr>
      <w:r w:rsidRPr="00D403F5">
        <w:rPr>
          <w:szCs w:val="18"/>
        </w:rPr>
        <w:t>To date, no other nucleic acid amplification method capable of universal IHNV detection has been sufficiently validated.</w:t>
      </w:r>
    </w:p>
    <w:p w14:paraId="2D1DDFE6" w14:textId="5427CC9E" w:rsidR="00E65E42" w:rsidRPr="0089592E" w:rsidRDefault="002E2D1E" w:rsidP="002E2D1E">
      <w:pPr>
        <w:pStyle w:val="11"/>
        <w:ind w:left="567"/>
        <w:rPr>
          <w:rFonts w:ascii="Ottawa" w:hAnsi="Ottawa"/>
          <w:sz w:val="21"/>
          <w:szCs w:val="21"/>
          <w:lang w:val="en-IE"/>
        </w:rPr>
      </w:pPr>
      <w:r>
        <w:rPr>
          <w:rFonts w:ascii="Ottawa" w:hAnsi="Ottawa"/>
          <w:sz w:val="21"/>
          <w:szCs w:val="21"/>
          <w:lang w:val="en-IE"/>
        </w:rPr>
        <w:t>4.5.</w:t>
      </w:r>
      <w:r>
        <w:rPr>
          <w:rFonts w:ascii="Ottawa" w:hAnsi="Ottawa"/>
          <w:sz w:val="21"/>
          <w:szCs w:val="21"/>
          <w:lang w:val="en-IE"/>
        </w:rPr>
        <w:tab/>
      </w:r>
      <w:r w:rsidR="00E65E42" w:rsidRPr="0089592E">
        <w:rPr>
          <w:rFonts w:ascii="Ottawa" w:hAnsi="Ottawa"/>
          <w:sz w:val="21"/>
          <w:szCs w:val="21"/>
          <w:lang w:val="en-IE"/>
        </w:rPr>
        <w:t xml:space="preserve">Amplicon sequencing </w:t>
      </w:r>
    </w:p>
    <w:p w14:paraId="6E233F1D" w14:textId="77777777" w:rsidR="00E65E42" w:rsidRPr="00D403F5" w:rsidRDefault="00E65E42" w:rsidP="002E2D1E">
      <w:pPr>
        <w:pStyle w:val="Para20"/>
        <w:ind w:left="567"/>
        <w:rPr>
          <w:szCs w:val="18"/>
        </w:rPr>
      </w:pPr>
      <w:r w:rsidRPr="00D403F5">
        <w:rPr>
          <w:szCs w:val="18"/>
        </w:rPr>
        <w:t xml:space="preserve">Nucleotide sequencing of the conventional PCR product (Section 4.4.2) is recommended as one of the final steps for confirmatory diagnosis. This central region of IHNV glycoprotein gene is used for identification of genetic strains and for epidemiological study (Kurath </w:t>
      </w:r>
      <w:r w:rsidRPr="00D403F5">
        <w:rPr>
          <w:i/>
          <w:szCs w:val="18"/>
        </w:rPr>
        <w:t>et al.,</w:t>
      </w:r>
      <w:r w:rsidRPr="00D403F5">
        <w:rPr>
          <w:szCs w:val="18"/>
        </w:rPr>
        <w:t xml:space="preserve"> 2003). It is recommended to forward any sequence data obtained to the OIE Reference Laboratory, particularly in the event where isolate sequences differ from any of the target sequences of the recommended molecular assays.</w:t>
      </w:r>
    </w:p>
    <w:p w14:paraId="59391D17" w14:textId="77777777" w:rsidR="00E65E42" w:rsidRPr="0089592E" w:rsidRDefault="00E65E42" w:rsidP="002E2D1E">
      <w:pPr>
        <w:pStyle w:val="11"/>
        <w:ind w:left="567"/>
        <w:rPr>
          <w:rFonts w:ascii="Ottawa" w:hAnsi="Ottawa"/>
          <w:sz w:val="21"/>
          <w:szCs w:val="21"/>
          <w:lang w:val="en-IE"/>
        </w:rPr>
      </w:pPr>
      <w:r w:rsidRPr="0089592E">
        <w:rPr>
          <w:rFonts w:ascii="Ottawa" w:hAnsi="Ottawa"/>
          <w:sz w:val="21"/>
          <w:szCs w:val="21"/>
          <w:lang w:val="en-IE"/>
        </w:rPr>
        <w:t>4.6.</w:t>
      </w:r>
      <w:r w:rsidRPr="0089592E">
        <w:rPr>
          <w:rFonts w:ascii="Ottawa" w:hAnsi="Ottawa"/>
          <w:sz w:val="21"/>
          <w:szCs w:val="21"/>
          <w:lang w:val="en-IE"/>
        </w:rPr>
        <w:tab/>
      </w:r>
      <w:r w:rsidRPr="0089592E">
        <w:rPr>
          <w:rFonts w:ascii="Ottawa" w:hAnsi="Ottawa"/>
          <w:i/>
          <w:sz w:val="21"/>
          <w:szCs w:val="21"/>
          <w:lang w:val="en-IE"/>
        </w:rPr>
        <w:t>In-situ</w:t>
      </w:r>
      <w:r w:rsidRPr="0089592E">
        <w:rPr>
          <w:rFonts w:ascii="Ottawa" w:hAnsi="Ottawa"/>
          <w:sz w:val="21"/>
          <w:szCs w:val="21"/>
          <w:lang w:val="en-IE"/>
        </w:rPr>
        <w:t xml:space="preserve"> hybridisation</w:t>
      </w:r>
    </w:p>
    <w:p w14:paraId="7F1DE85F" w14:textId="77777777" w:rsidR="00E65E42" w:rsidRPr="00D403F5" w:rsidRDefault="00E65E42" w:rsidP="002E2D1E">
      <w:pPr>
        <w:pStyle w:val="Para20"/>
        <w:ind w:left="567"/>
        <w:rPr>
          <w:szCs w:val="18"/>
        </w:rPr>
      </w:pPr>
      <w:r w:rsidRPr="00D403F5">
        <w:rPr>
          <w:szCs w:val="18"/>
        </w:rPr>
        <w:t>Not relevant.</w:t>
      </w:r>
    </w:p>
    <w:p w14:paraId="39688FBB" w14:textId="77777777" w:rsidR="00E65E42" w:rsidRPr="0089592E" w:rsidRDefault="00E65E42" w:rsidP="002E2D1E">
      <w:pPr>
        <w:pStyle w:val="11"/>
        <w:ind w:left="567"/>
        <w:rPr>
          <w:rFonts w:ascii="Ottawa" w:hAnsi="Ottawa"/>
          <w:sz w:val="21"/>
          <w:szCs w:val="21"/>
          <w:lang w:val="en-IE"/>
        </w:rPr>
      </w:pPr>
      <w:r w:rsidRPr="0089592E">
        <w:rPr>
          <w:rFonts w:ascii="Ottawa" w:hAnsi="Ottawa"/>
          <w:sz w:val="21"/>
          <w:szCs w:val="21"/>
          <w:lang w:val="en-IE"/>
        </w:rPr>
        <w:t>4.7.</w:t>
      </w:r>
      <w:r w:rsidRPr="0089592E">
        <w:rPr>
          <w:rFonts w:ascii="Ottawa" w:hAnsi="Ottawa"/>
          <w:sz w:val="21"/>
          <w:szCs w:val="21"/>
          <w:lang w:val="en-IE"/>
        </w:rPr>
        <w:tab/>
      </w:r>
      <w:r w:rsidRPr="002E2D1E">
        <w:rPr>
          <w:rFonts w:ascii="Ottawa" w:hAnsi="Ottawa"/>
          <w:sz w:val="21"/>
          <w:szCs w:val="21"/>
          <w:lang w:val="en-IE"/>
        </w:rPr>
        <w:t>Immunohistochemistry</w:t>
      </w:r>
    </w:p>
    <w:p w14:paraId="7B5EBF4A" w14:textId="77777777" w:rsidR="00E65E42" w:rsidRPr="00D403F5" w:rsidRDefault="00E65E42" w:rsidP="002E2D1E">
      <w:pPr>
        <w:pStyle w:val="Para20"/>
        <w:ind w:left="567"/>
        <w:rPr>
          <w:szCs w:val="18"/>
        </w:rPr>
      </w:pPr>
      <w:r w:rsidRPr="00D403F5">
        <w:rPr>
          <w:szCs w:val="18"/>
        </w:rPr>
        <w:t>Not relevant.</w:t>
      </w:r>
    </w:p>
    <w:p w14:paraId="7CDD6939" w14:textId="77777777" w:rsidR="00E65E42" w:rsidRPr="0089592E" w:rsidRDefault="00E65E42" w:rsidP="002E2D1E">
      <w:pPr>
        <w:pStyle w:val="11"/>
        <w:ind w:left="567"/>
        <w:rPr>
          <w:rFonts w:ascii="Ottawa" w:hAnsi="Ottawa"/>
          <w:sz w:val="21"/>
          <w:szCs w:val="21"/>
          <w:lang w:val="en-IE"/>
        </w:rPr>
      </w:pPr>
      <w:r w:rsidRPr="0089592E">
        <w:rPr>
          <w:rFonts w:ascii="Ottawa" w:hAnsi="Ottawa"/>
          <w:sz w:val="21"/>
          <w:szCs w:val="21"/>
          <w:lang w:val="en-IE"/>
        </w:rPr>
        <w:t>4.8.</w:t>
      </w:r>
      <w:r w:rsidRPr="0089592E">
        <w:rPr>
          <w:rFonts w:ascii="Ottawa" w:hAnsi="Ottawa"/>
          <w:sz w:val="21"/>
          <w:szCs w:val="21"/>
          <w:lang w:val="en-IE"/>
        </w:rPr>
        <w:tab/>
        <w:t>Bioassay</w:t>
      </w:r>
    </w:p>
    <w:p w14:paraId="551AACE9" w14:textId="77777777" w:rsidR="00E65E42" w:rsidRPr="00D403F5" w:rsidRDefault="00E65E42" w:rsidP="002E2D1E">
      <w:pPr>
        <w:pStyle w:val="Para20"/>
        <w:ind w:left="567"/>
        <w:rPr>
          <w:b/>
          <w:szCs w:val="18"/>
        </w:rPr>
      </w:pPr>
      <w:r w:rsidRPr="00D403F5">
        <w:rPr>
          <w:szCs w:val="18"/>
        </w:rPr>
        <w:t>Not relevant.</w:t>
      </w:r>
    </w:p>
    <w:p w14:paraId="7B685490" w14:textId="77777777" w:rsidR="00E65E42" w:rsidRPr="0089592E" w:rsidRDefault="00E65E42" w:rsidP="002E2D1E">
      <w:pPr>
        <w:pStyle w:val="11"/>
        <w:ind w:left="567"/>
        <w:rPr>
          <w:rFonts w:ascii="Ottawa" w:hAnsi="Ottawa"/>
          <w:sz w:val="21"/>
          <w:szCs w:val="21"/>
          <w:lang w:val="en-IE"/>
        </w:rPr>
      </w:pPr>
      <w:r w:rsidRPr="0089592E">
        <w:rPr>
          <w:rFonts w:ascii="Ottawa" w:hAnsi="Ottawa"/>
          <w:sz w:val="21"/>
          <w:szCs w:val="21"/>
          <w:lang w:val="en-IE"/>
        </w:rPr>
        <w:t>4.9.</w:t>
      </w:r>
      <w:r w:rsidRPr="0089592E">
        <w:rPr>
          <w:rFonts w:ascii="Ottawa" w:hAnsi="Ottawa"/>
          <w:sz w:val="21"/>
          <w:szCs w:val="21"/>
          <w:lang w:val="en-IE"/>
        </w:rPr>
        <w:tab/>
        <w:t>Antibody- or antigen-based detection methods</w:t>
      </w:r>
    </w:p>
    <w:p w14:paraId="6C81040F" w14:textId="77777777" w:rsidR="00E65E42" w:rsidRPr="00D403F5" w:rsidRDefault="00E65E42" w:rsidP="002E2D1E">
      <w:pPr>
        <w:pStyle w:val="Para20"/>
        <w:ind w:left="567"/>
        <w:rPr>
          <w:szCs w:val="18"/>
        </w:rPr>
      </w:pPr>
      <w:bookmarkStart w:id="143" w:name="_Hlk34047697"/>
      <w:r w:rsidRPr="00D403F5">
        <w:rPr>
          <w:szCs w:val="18"/>
        </w:rPr>
        <w:t>Antibody</w:t>
      </w:r>
      <w:r>
        <w:rPr>
          <w:szCs w:val="18"/>
        </w:rPr>
        <w:t>-</w:t>
      </w:r>
      <w:r w:rsidRPr="00D403F5">
        <w:rPr>
          <w:szCs w:val="18"/>
        </w:rPr>
        <w:t xml:space="preserve"> and antigen-based detection methods may be used to confirm the presence of IHNV in cell culture. Kits and antibodies are commercially available and should be used according to manufacturer’s instructions. Sensitivity, specificity and sample preparation can influence the results; a negative result should be viewed with caution. </w:t>
      </w:r>
      <w:bookmarkStart w:id="144" w:name="_Hlk34047636"/>
      <w:r w:rsidRPr="00D403F5">
        <w:rPr>
          <w:szCs w:val="18"/>
        </w:rPr>
        <w:t>These techniques should not be used as a screening method</w:t>
      </w:r>
      <w:bookmarkEnd w:id="144"/>
      <w:r w:rsidRPr="00D403F5">
        <w:rPr>
          <w:szCs w:val="18"/>
        </w:rPr>
        <w:t>.</w:t>
      </w:r>
    </w:p>
    <w:p w14:paraId="2C859515" w14:textId="77777777" w:rsidR="00E65E42" w:rsidRPr="0089592E" w:rsidRDefault="00E65E42" w:rsidP="002E2D1E">
      <w:pPr>
        <w:pStyle w:val="111"/>
        <w:spacing w:before="240" w:after="240"/>
        <w:ind w:left="1134"/>
        <w:rPr>
          <w:rFonts w:cs="Arial"/>
          <w:szCs w:val="20"/>
          <w:lang w:val="en-IE"/>
        </w:rPr>
      </w:pPr>
      <w:bookmarkStart w:id="145" w:name="_Hlk24447128"/>
      <w:bookmarkEnd w:id="143"/>
      <w:r w:rsidRPr="0089592E">
        <w:rPr>
          <w:rFonts w:cs="Arial"/>
          <w:szCs w:val="20"/>
          <w:lang w:val="en-IE"/>
        </w:rPr>
        <w:t>4.9.1.</w:t>
      </w:r>
      <w:r w:rsidRPr="0089592E">
        <w:rPr>
          <w:rFonts w:cs="Arial"/>
          <w:szCs w:val="20"/>
          <w:lang w:val="en-IE"/>
        </w:rPr>
        <w:tab/>
        <w:t>Neutralisation test (identification in cell culture)</w:t>
      </w:r>
    </w:p>
    <w:bookmarkEnd w:id="145"/>
    <w:p w14:paraId="1BB5142F"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i)</w:t>
      </w:r>
      <w:r w:rsidRPr="00D403F5">
        <w:rPr>
          <w:rFonts w:ascii="Arial" w:hAnsi="Arial"/>
          <w:sz w:val="18"/>
        </w:rPr>
        <w:tab/>
        <w:t>Collect the culture medium of the cell monolayers exhibiting CPE and centrifuge an aliquot at 2000 </w:t>
      </w:r>
      <w:r w:rsidRPr="003B38E9">
        <w:rPr>
          <w:rFonts w:ascii="Arial" w:hAnsi="Arial"/>
          <w:sz w:val="18"/>
        </w:rPr>
        <w:t>g</w:t>
      </w:r>
      <w:r w:rsidRPr="00D403F5">
        <w:rPr>
          <w:rFonts w:ascii="Arial" w:hAnsi="Arial"/>
          <w:sz w:val="18"/>
        </w:rPr>
        <w:t xml:space="preserve"> for 15 minutes at 4°C, or filter through a 0.45 µm (or 450 nm) pore membrane to remove cell debris.</w:t>
      </w:r>
    </w:p>
    <w:p w14:paraId="0CD4027A"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ii)</w:t>
      </w:r>
      <w:r w:rsidRPr="00D403F5">
        <w:rPr>
          <w:rFonts w:ascii="Arial" w:hAnsi="Arial"/>
          <w:sz w:val="18"/>
        </w:rPr>
        <w:tab/>
        <w:t>Dilute virus-containing medium from 10</w:t>
      </w:r>
      <w:r w:rsidRPr="00D403F5">
        <w:rPr>
          <w:rFonts w:ascii="Arial" w:hAnsi="Arial"/>
          <w:sz w:val="18"/>
          <w:vertAlign w:val="superscript"/>
        </w:rPr>
        <w:t>2</w:t>
      </w:r>
      <w:r w:rsidRPr="00D403F5">
        <w:rPr>
          <w:rFonts w:ascii="Arial" w:hAnsi="Arial"/>
          <w:sz w:val="18"/>
        </w:rPr>
        <w:t>–10</w:t>
      </w:r>
      <w:r w:rsidRPr="00D403F5">
        <w:rPr>
          <w:rFonts w:ascii="Arial" w:hAnsi="Arial"/>
          <w:sz w:val="18"/>
          <w:vertAlign w:val="superscript"/>
        </w:rPr>
        <w:t>4</w:t>
      </w:r>
      <w:r w:rsidRPr="00D403F5">
        <w:rPr>
          <w:rFonts w:ascii="Arial" w:hAnsi="Arial"/>
          <w:sz w:val="18"/>
        </w:rPr>
        <w:t>.</w:t>
      </w:r>
    </w:p>
    <w:p w14:paraId="3C6FCD06"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iii)</w:t>
      </w:r>
      <w:r w:rsidRPr="00D403F5">
        <w:rPr>
          <w:rFonts w:ascii="Arial" w:hAnsi="Arial"/>
          <w:sz w:val="18"/>
        </w:rPr>
        <w:tab/>
        <w:t>Mix aliquots (for example 200 µl) of each dilution with equal volumes of an IHNV antibody solution. The neutralising antibody solution must have a 50% plaque reduction titre of at least 2000. Likewise, treat a set of aliquots of each virus dilution with cell culture medium to provide a non-neutralised control.</w:t>
      </w:r>
    </w:p>
    <w:p w14:paraId="28193CB1"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iv)</w:t>
      </w:r>
      <w:r w:rsidRPr="00D403F5">
        <w:rPr>
          <w:rFonts w:ascii="Arial" w:hAnsi="Arial"/>
          <w:sz w:val="18"/>
        </w:rPr>
        <w:tab/>
        <w:t>In parallel, a neutralisation test must be performed against a homologous IHNV strain (positive neutralisation test) to confirm the reactivity of the antiserum.</w:t>
      </w:r>
    </w:p>
    <w:p w14:paraId="6B3A2026"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v)</w:t>
      </w:r>
      <w:r w:rsidRPr="00D403F5">
        <w:rPr>
          <w:rFonts w:ascii="Arial" w:hAnsi="Arial"/>
          <w:sz w:val="18"/>
        </w:rPr>
        <w:tab/>
        <w:t>Incubate all the mixtures at 15°C for 1 hour.</w:t>
      </w:r>
    </w:p>
    <w:p w14:paraId="2FF04772"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vi)</w:t>
      </w:r>
      <w:r w:rsidRPr="00D403F5">
        <w:rPr>
          <w:rFonts w:ascii="Arial" w:hAnsi="Arial"/>
          <w:sz w:val="18"/>
        </w:rPr>
        <w:tab/>
        <w:t>Transfer aliquots of each of the above mixtures on to 24-hour-old monolayers overlaid with cell culture medium containing 10% FBS (inoculate two wells per dilution) and incubate at 15°C; 24- or 12-well cell culture plates are suitable for this purpose, using a 50 µl inoculum.</w:t>
      </w:r>
    </w:p>
    <w:p w14:paraId="2FF19AC9"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vii)</w:t>
      </w:r>
      <w:r w:rsidRPr="00D403F5">
        <w:rPr>
          <w:rFonts w:ascii="Arial" w:hAnsi="Arial"/>
          <w:sz w:val="18"/>
        </w:rPr>
        <w:tab/>
        <w:t>Check the cell cultures for the onset of CPE and read the results for each suspect IHNV sample and compare to the occurrence of CPE of non-neutralised controls. Results are recorded either after a simple microscopic examination (phase contrast preferable) or after discarding the cell culture medium and staining cell monolayers with a solution of 1% crystal violet in 20% ethanol.</w:t>
      </w:r>
    </w:p>
    <w:p w14:paraId="62CBD79A"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viii)</w:t>
      </w:r>
      <w:r w:rsidRPr="00D403F5">
        <w:rPr>
          <w:rFonts w:ascii="Arial" w:hAnsi="Arial"/>
          <w:sz w:val="18"/>
        </w:rPr>
        <w:tab/>
        <w:t>The tested virus is identified as IHNV when CPE is prevented or noticeably delayed in the cell cultures that received the virus suspension treated with the IHNV-specific antibody, whereas CPE is evident in all other cell cultures.</w:t>
      </w:r>
    </w:p>
    <w:p w14:paraId="6447779A" w14:textId="77777777" w:rsidR="003B38E9" w:rsidRDefault="003B38E9">
      <w:pPr>
        <w:rPr>
          <w:u w:val="single"/>
        </w:rPr>
      </w:pPr>
      <w:r>
        <w:rPr>
          <w:u w:val="single"/>
        </w:rPr>
        <w:br w:type="page"/>
      </w:r>
    </w:p>
    <w:p w14:paraId="32C8C7D2" w14:textId="799F031D" w:rsidR="004F1CC2" w:rsidRDefault="004F1CC2" w:rsidP="002E2D1E">
      <w:pPr>
        <w:spacing w:after="480" w:line="240" w:lineRule="auto"/>
        <w:ind w:left="567"/>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p w14:paraId="411B0CD5" w14:textId="77777777" w:rsidR="00E65E42" w:rsidRPr="00D403F5" w:rsidRDefault="00E65E42" w:rsidP="002E2D1E">
      <w:pPr>
        <w:pStyle w:val="Para3"/>
        <w:ind w:left="567"/>
        <w:rPr>
          <w:rFonts w:cs="Arial"/>
          <w:szCs w:val="18"/>
        </w:rPr>
      </w:pPr>
      <w:r w:rsidRPr="00D403F5">
        <w:rPr>
          <w:rFonts w:cs="Arial"/>
          <w:szCs w:val="18"/>
        </w:rPr>
        <w:t>Other neutralisation tests of demonstrated performance may be used instead.</w:t>
      </w:r>
    </w:p>
    <w:p w14:paraId="45C811B5" w14:textId="77777777" w:rsidR="00E65E42" w:rsidRPr="0089592E" w:rsidRDefault="00E65E42" w:rsidP="002E2D1E">
      <w:pPr>
        <w:pStyle w:val="111"/>
        <w:spacing w:before="240" w:after="240"/>
        <w:ind w:left="1134"/>
        <w:rPr>
          <w:rFonts w:cs="Arial"/>
          <w:szCs w:val="20"/>
          <w:lang w:val="en-IE"/>
        </w:rPr>
      </w:pPr>
      <w:r w:rsidRPr="0089592E">
        <w:rPr>
          <w:rFonts w:cs="Arial"/>
          <w:szCs w:val="20"/>
          <w:lang w:val="en-IE"/>
        </w:rPr>
        <w:t>4.9.2.</w:t>
      </w:r>
      <w:r w:rsidRPr="0089592E">
        <w:rPr>
          <w:rFonts w:cs="Arial"/>
          <w:szCs w:val="20"/>
          <w:lang w:val="en-IE"/>
        </w:rPr>
        <w:tab/>
        <w:t>Indirect fluorescent antibody test (IFAT)</w:t>
      </w:r>
      <w:r w:rsidRPr="0089592E">
        <w:rPr>
          <w:rFonts w:cs="Arial"/>
          <w:i/>
          <w:szCs w:val="20"/>
          <w:lang w:val="en-IE"/>
        </w:rPr>
        <w:t xml:space="preserve"> </w:t>
      </w:r>
      <w:r w:rsidRPr="0089592E">
        <w:rPr>
          <w:rFonts w:cs="Arial"/>
          <w:szCs w:val="20"/>
          <w:lang w:val="en-IE"/>
        </w:rPr>
        <w:t>(identification in cell culture)</w:t>
      </w:r>
    </w:p>
    <w:p w14:paraId="275C2DCA"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i)</w:t>
      </w:r>
      <w:r w:rsidRPr="00D403F5">
        <w:rPr>
          <w:rFonts w:ascii="Arial" w:hAnsi="Arial"/>
          <w:sz w:val="18"/>
        </w:rPr>
        <w:tab/>
        <w:t>Prepare monolayers of cells in 2 cm</w:t>
      </w:r>
      <w:r w:rsidRPr="00D403F5">
        <w:rPr>
          <w:rFonts w:ascii="Arial" w:hAnsi="Arial"/>
          <w:sz w:val="18"/>
          <w:vertAlign w:val="superscript"/>
        </w:rPr>
        <w:t>2</w:t>
      </w:r>
      <w:r w:rsidRPr="00D403F5">
        <w:rPr>
          <w:rFonts w:ascii="Arial" w:hAnsi="Arial"/>
          <w:sz w:val="18"/>
        </w:rPr>
        <w:t xml:space="preserve"> wells of cell culture plastic plates or on cover slips in order to reach around 80% confluency, which is usually achieved within 24 hours of incubation at </w:t>
      </w:r>
      <w:bookmarkStart w:id="146" w:name="_Hlk33784659"/>
      <w:r w:rsidRPr="006936A4">
        <w:rPr>
          <w:rFonts w:ascii="Arial" w:hAnsi="Arial"/>
          <w:strike/>
          <w:sz w:val="18"/>
          <w:highlight w:val="yellow"/>
        </w:rPr>
        <w:t>22°C</w:t>
      </w:r>
      <w:r>
        <w:rPr>
          <w:rFonts w:ascii="Arial" w:hAnsi="Arial"/>
          <w:strike/>
          <w:sz w:val="18"/>
        </w:rPr>
        <w:t xml:space="preserve"> </w:t>
      </w:r>
      <w:bookmarkEnd w:id="146"/>
      <w:r w:rsidRPr="006936A4">
        <w:rPr>
          <w:rFonts w:ascii="Arial" w:hAnsi="Arial"/>
          <w:sz w:val="18"/>
          <w:highlight w:val="yellow"/>
          <w:u w:val="double"/>
        </w:rPr>
        <w:t>the optimal temperature of the cell line in question (e.g. 26°C for EPC and 20°C for RTG)</w:t>
      </w:r>
      <w:r w:rsidRPr="00D403F5">
        <w:rPr>
          <w:rFonts w:ascii="Arial" w:hAnsi="Arial"/>
          <w:sz w:val="18"/>
        </w:rPr>
        <w:t xml:space="preserve"> (seed six cell monolayers per virus isolate to be identified, plus two for positive and two for negative controls). The FBS content of the cell culture medium can be reduced to 2–4%. If numerous virus isolates have to be identified, the use of black 96-well plates for immunofluorescence is recommended.</w:t>
      </w:r>
    </w:p>
    <w:p w14:paraId="16555A7A" w14:textId="77777777" w:rsidR="00E65E42" w:rsidRPr="00D403F5" w:rsidRDefault="00E65E42" w:rsidP="002E2D1E">
      <w:pPr>
        <w:pStyle w:val="Para3i"/>
        <w:spacing w:before="120" w:after="120"/>
        <w:ind w:left="993" w:hanging="426"/>
        <w:rPr>
          <w:rFonts w:ascii="Arial" w:hAnsi="Arial"/>
          <w:sz w:val="18"/>
        </w:rPr>
      </w:pPr>
      <w:r w:rsidRPr="00D403F5">
        <w:rPr>
          <w:rFonts w:ascii="Arial" w:hAnsi="Arial"/>
          <w:sz w:val="18"/>
        </w:rPr>
        <w:t>ii)</w:t>
      </w:r>
      <w:r w:rsidRPr="00D403F5">
        <w:rPr>
          <w:rFonts w:ascii="Arial" w:hAnsi="Arial"/>
          <w:sz w:val="18"/>
        </w:rPr>
        <w:tab/>
        <w:t>When the cell monolayers are ready for infection (i.e. on the same day or on the day after seeding) inoculate the virus suspensions to be identified by making tenfold dilution steps directly in the cell culture wells or flasks.</w:t>
      </w:r>
    </w:p>
    <w:p w14:paraId="637CC7B8"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iii)</w:t>
      </w:r>
      <w:r w:rsidRPr="00D403F5">
        <w:rPr>
          <w:rFonts w:ascii="Arial" w:hAnsi="Arial"/>
          <w:sz w:val="18"/>
        </w:rPr>
        <w:tab/>
        <w:t>Dilute the control virus suspension of IHNV in a similar way, in order to obtain a virus titre of about 5,000–10,000 plaque-forming units (PFU)/ml in the cell culture medium.</w:t>
      </w:r>
    </w:p>
    <w:p w14:paraId="4506D009"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iv)</w:t>
      </w:r>
      <w:r w:rsidRPr="00D403F5">
        <w:rPr>
          <w:rFonts w:ascii="Arial" w:hAnsi="Arial"/>
          <w:sz w:val="18"/>
        </w:rPr>
        <w:tab/>
        <w:t>Incubate at 15°C for 24 hours.</w:t>
      </w:r>
    </w:p>
    <w:p w14:paraId="3167BC37"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v)</w:t>
      </w:r>
      <w:r w:rsidRPr="00D403F5">
        <w:rPr>
          <w:rFonts w:ascii="Arial" w:hAnsi="Arial"/>
          <w:sz w:val="18"/>
        </w:rPr>
        <w:tab/>
        <w:t>Remove the cell culture medium, rinse once with 0.01 M phosphate buffered saline (PBS), pH 7.2, then three times briefly with a cold mixture of acetone 30%/ethanol 70% (v/v) (stored at –20°C).</w:t>
      </w:r>
    </w:p>
    <w:p w14:paraId="73AC66BD"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vi)</w:t>
      </w:r>
      <w:r w:rsidRPr="00D403F5">
        <w:rPr>
          <w:rFonts w:ascii="Arial" w:hAnsi="Arial"/>
          <w:sz w:val="18"/>
        </w:rPr>
        <w:tab/>
        <w:t>Let the fixative act for 15 minutes. A volume of 0.5 ml is adequate for 2 cm</w:t>
      </w:r>
      <w:r w:rsidRPr="00D403F5">
        <w:rPr>
          <w:rFonts w:ascii="Arial" w:hAnsi="Arial"/>
          <w:sz w:val="18"/>
          <w:vertAlign w:val="superscript"/>
        </w:rPr>
        <w:t>2</w:t>
      </w:r>
      <w:r w:rsidRPr="00D403F5">
        <w:rPr>
          <w:rFonts w:ascii="Arial" w:hAnsi="Arial"/>
          <w:sz w:val="18"/>
        </w:rPr>
        <w:t xml:space="preserve"> of cell monolayer.</w:t>
      </w:r>
    </w:p>
    <w:p w14:paraId="37EE5BEB"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vii)</w:t>
      </w:r>
      <w:r w:rsidRPr="00D403F5">
        <w:rPr>
          <w:rFonts w:ascii="Arial" w:hAnsi="Arial"/>
          <w:sz w:val="18"/>
        </w:rPr>
        <w:tab/>
        <w:t xml:space="preserve">Allow the cell monolayers to air-dry for at least 30 minutes and process immediately or freeze at </w:t>
      </w:r>
      <w:r w:rsidRPr="00D403F5">
        <w:rPr>
          <w:rFonts w:ascii="Arial" w:hAnsi="Arial"/>
          <w:sz w:val="18"/>
        </w:rPr>
        <w:br/>
        <w:t>–20°C.</w:t>
      </w:r>
    </w:p>
    <w:p w14:paraId="4E491891"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viii)</w:t>
      </w:r>
      <w:r w:rsidRPr="00D403F5">
        <w:rPr>
          <w:rFonts w:ascii="Arial" w:hAnsi="Arial"/>
          <w:sz w:val="18"/>
        </w:rPr>
        <w:tab/>
        <w:t>Prepare a solution of purified IHNV antibody or serum in 0.01 M PBS, pH 7.2, containing 0.05% Tween-80 (PBST), at the appropriate dilution (which has been established previously or is given by the reagent supplier).</w:t>
      </w:r>
    </w:p>
    <w:p w14:paraId="6540567A"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ix)</w:t>
      </w:r>
      <w:r w:rsidRPr="00D403F5">
        <w:rPr>
          <w:rFonts w:ascii="Arial" w:hAnsi="Arial"/>
          <w:sz w:val="18"/>
        </w:rPr>
        <w:tab/>
        <w:t>Rehydrate the dried cell monolayers by four rinsing steps with the PBST solution and remove this buffer completely after the last rinsing.</w:t>
      </w:r>
    </w:p>
    <w:p w14:paraId="7042846C"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x)</w:t>
      </w:r>
      <w:r w:rsidRPr="00D403F5">
        <w:rPr>
          <w:rFonts w:ascii="Arial" w:hAnsi="Arial"/>
          <w:sz w:val="18"/>
        </w:rPr>
        <w:tab/>
        <w:t>Treat the cell monolayers with the antibody solution for 1 hour at 37°C in a humid chamber and do not allow evaporation to occur (e.g. by adding a piece of wet cotton to the humid chamber). The volume of solution to be used is 0.25 ml/2 cm</w:t>
      </w:r>
      <w:r w:rsidRPr="00D403F5">
        <w:rPr>
          <w:rFonts w:ascii="Arial" w:hAnsi="Arial"/>
          <w:sz w:val="18"/>
          <w:vertAlign w:val="superscript"/>
        </w:rPr>
        <w:t>2</w:t>
      </w:r>
      <w:r w:rsidRPr="00D403F5">
        <w:rPr>
          <w:rFonts w:ascii="Arial" w:hAnsi="Arial"/>
          <w:sz w:val="18"/>
        </w:rPr>
        <w:t xml:space="preserve"> well.</w:t>
      </w:r>
    </w:p>
    <w:p w14:paraId="42DF17F9"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xi)</w:t>
      </w:r>
      <w:r w:rsidRPr="00D403F5">
        <w:rPr>
          <w:rFonts w:ascii="Arial" w:hAnsi="Arial"/>
          <w:sz w:val="18"/>
        </w:rPr>
        <w:tab/>
        <w:t>Rinse four times with PBST as above.</w:t>
      </w:r>
    </w:p>
    <w:p w14:paraId="03A7854D"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xii)</w:t>
      </w:r>
      <w:r w:rsidRPr="00D403F5">
        <w:rPr>
          <w:rFonts w:ascii="Arial" w:hAnsi="Arial"/>
          <w:sz w:val="18"/>
        </w:rPr>
        <w:tab/>
        <w:t>Treat the cell monolayers for 1 hour at 37°C with a solution of fluorescein isothiocyanate- or tetramethylrhodamine-5-(and-6-) isothiocyanate-conjugated antibody to the immunoglobulin used in the first layer and prepared according to the instructions of the supplier. These conjugated antibodies are most often rabbit or goat antibodies.</w:t>
      </w:r>
    </w:p>
    <w:p w14:paraId="4CB18648"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xiii)</w:t>
      </w:r>
      <w:r w:rsidRPr="00D403F5">
        <w:rPr>
          <w:rFonts w:ascii="Arial" w:hAnsi="Arial"/>
          <w:sz w:val="18"/>
        </w:rPr>
        <w:tab/>
        <w:t>Rinse four times with PBST.</w:t>
      </w:r>
    </w:p>
    <w:p w14:paraId="5179518C"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xiv)</w:t>
      </w:r>
      <w:r w:rsidRPr="00D403F5">
        <w:rPr>
          <w:rFonts w:ascii="Arial" w:hAnsi="Arial"/>
          <w:sz w:val="18"/>
        </w:rPr>
        <w:tab/>
        <w:t>Examine the treated cell monolayers on plastic plates immediately, or mount the cover slips using, for example, glycerol saline, pH 8.5 prior to microscopic observation.</w:t>
      </w:r>
    </w:p>
    <w:p w14:paraId="363A3616"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xv)</w:t>
      </w:r>
      <w:r w:rsidRPr="00D403F5">
        <w:rPr>
          <w:rFonts w:ascii="Arial" w:hAnsi="Arial"/>
          <w:sz w:val="18"/>
        </w:rPr>
        <w:tab/>
        <w:t>Examine under incident UV light using a microscope with × 10 eye pieces and × 20–40 objective lens having numerical aperture &gt;0.65 and &gt;1.3, respectively. Positive and negative controls must be found to give the expected results prior to any other observation.</w:t>
      </w:r>
    </w:p>
    <w:p w14:paraId="7239B5BE" w14:textId="77777777" w:rsidR="00E65E42" w:rsidRPr="00D403F5" w:rsidRDefault="00E65E42" w:rsidP="002E2D1E">
      <w:pPr>
        <w:pStyle w:val="Para3"/>
        <w:ind w:left="567"/>
        <w:rPr>
          <w:rFonts w:cs="Arial"/>
          <w:szCs w:val="18"/>
        </w:rPr>
      </w:pPr>
      <w:r w:rsidRPr="00D403F5">
        <w:rPr>
          <w:rFonts w:cs="Arial"/>
          <w:szCs w:val="18"/>
        </w:rPr>
        <w:t>Other IFAT or immunocytochemical (alkaline phosphatase or peroxidase) techniques of demonstrated performance may be used instead.</w:t>
      </w:r>
    </w:p>
    <w:p w14:paraId="2AFE2C5E" w14:textId="77777777" w:rsidR="00E65E42" w:rsidRPr="0089592E" w:rsidRDefault="00E65E42" w:rsidP="002E2D1E">
      <w:pPr>
        <w:pStyle w:val="111"/>
        <w:spacing w:before="240" w:after="240"/>
        <w:ind w:left="1134"/>
        <w:rPr>
          <w:rFonts w:cs="Arial"/>
          <w:szCs w:val="20"/>
          <w:lang w:val="en-IE"/>
        </w:rPr>
      </w:pPr>
      <w:r w:rsidRPr="0089592E">
        <w:rPr>
          <w:rFonts w:cs="Arial"/>
          <w:szCs w:val="20"/>
          <w:lang w:val="en-IE"/>
        </w:rPr>
        <w:t>4.9.3.</w:t>
      </w:r>
      <w:r w:rsidRPr="0089592E">
        <w:rPr>
          <w:rFonts w:cs="Arial"/>
          <w:szCs w:val="20"/>
          <w:lang w:val="en-IE"/>
        </w:rPr>
        <w:tab/>
        <w:t>Enzyme-linked immunosorbent assay (ELISA)</w:t>
      </w:r>
    </w:p>
    <w:p w14:paraId="73F8CCD0"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i)</w:t>
      </w:r>
      <w:r w:rsidRPr="00D403F5">
        <w:rPr>
          <w:rFonts w:ascii="Arial" w:hAnsi="Arial"/>
          <w:sz w:val="18"/>
        </w:rPr>
        <w:tab/>
        <w:t>Coat the wells of microplates designed for ELISAs with appropriate dilutions of purified immunoglobulins (Ig) or serum specific for IHNV, in 0.01 M PBS, pH 7.2 (200 µl/well).</w:t>
      </w:r>
    </w:p>
    <w:p w14:paraId="2AD65062"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ii)</w:t>
      </w:r>
      <w:r w:rsidRPr="00D403F5">
        <w:rPr>
          <w:rFonts w:ascii="Arial" w:hAnsi="Arial"/>
          <w:sz w:val="18"/>
        </w:rPr>
        <w:tab/>
        <w:t>Incubate overnight at 4°C.</w:t>
      </w:r>
    </w:p>
    <w:p w14:paraId="7AD68D26"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iii)</w:t>
      </w:r>
      <w:r w:rsidRPr="00D403F5">
        <w:rPr>
          <w:rFonts w:ascii="Arial" w:hAnsi="Arial"/>
          <w:sz w:val="18"/>
        </w:rPr>
        <w:tab/>
        <w:t>Rinse four times with 0.01 M PBS containing 0.05% Tween-20 (PBST).</w:t>
      </w:r>
    </w:p>
    <w:p w14:paraId="13F1EAEF"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iv)</w:t>
      </w:r>
      <w:r w:rsidRPr="00D403F5">
        <w:rPr>
          <w:rFonts w:ascii="Arial" w:hAnsi="Arial"/>
          <w:sz w:val="18"/>
        </w:rPr>
        <w:tab/>
        <w:t>Block with skim milk (5% in PBST) or other blocking solution for 1 hour at 37°C (200 µl/well).</w:t>
      </w:r>
    </w:p>
    <w:p w14:paraId="438107B0" w14:textId="77777777" w:rsidR="003B38E9" w:rsidRDefault="003B38E9" w:rsidP="002E2D1E">
      <w:pPr>
        <w:ind w:left="993" w:hanging="426"/>
        <w:rPr>
          <w:u w:val="single"/>
        </w:rPr>
      </w:pPr>
      <w:r>
        <w:rPr>
          <w:u w:val="single"/>
        </w:rPr>
        <w:br w:type="page"/>
      </w:r>
    </w:p>
    <w:p w14:paraId="16036B5B" w14:textId="6FD1178A" w:rsidR="004F1CC2" w:rsidRDefault="004F1CC2" w:rsidP="004F1CC2">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p w14:paraId="42CE9DAE"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v)</w:t>
      </w:r>
      <w:r w:rsidRPr="00D403F5">
        <w:rPr>
          <w:rFonts w:ascii="Arial" w:hAnsi="Arial"/>
          <w:sz w:val="18"/>
        </w:rPr>
        <w:tab/>
        <w:t>Rinse four times with PBST.</w:t>
      </w:r>
    </w:p>
    <w:p w14:paraId="0B83E14C"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vi)</w:t>
      </w:r>
      <w:r w:rsidRPr="00D403F5">
        <w:rPr>
          <w:rFonts w:ascii="Arial" w:hAnsi="Arial"/>
          <w:sz w:val="18"/>
        </w:rPr>
        <w:tab/>
        <w:t>Add 2% Triton X-100 to the virus suspension to be identified.</w:t>
      </w:r>
    </w:p>
    <w:p w14:paraId="5D66E637"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vii)</w:t>
      </w:r>
      <w:r w:rsidRPr="00D403F5">
        <w:rPr>
          <w:rFonts w:ascii="Arial" w:hAnsi="Arial"/>
          <w:sz w:val="18"/>
        </w:rPr>
        <w:tab/>
        <w:t>Dispense 100 µl/well of two- or four-step dilutions of the virus to be identified and of IHNV control virus, and a heterologous virus control (e.g. viral haemorrhagic septicaemia virus). Allow the samples to react with the coated antibody to IHNV for 1 hour at 20°C.</w:t>
      </w:r>
    </w:p>
    <w:p w14:paraId="4F9AC25E"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viii)</w:t>
      </w:r>
      <w:r w:rsidRPr="00D403F5">
        <w:rPr>
          <w:rFonts w:ascii="Arial" w:hAnsi="Arial"/>
          <w:sz w:val="18"/>
        </w:rPr>
        <w:tab/>
        <w:t>Rinse four times with PBST.</w:t>
      </w:r>
    </w:p>
    <w:p w14:paraId="7F1F69AF"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ix)</w:t>
      </w:r>
      <w:r w:rsidRPr="00D403F5">
        <w:rPr>
          <w:rFonts w:ascii="Arial" w:hAnsi="Arial"/>
          <w:sz w:val="18"/>
        </w:rPr>
        <w:tab/>
        <w:t>Add to the wells either biotinylated polyclonal IHNV antiserum or MAb to N protein specific for a domain different from the one of the coating MAb and previously conjugated with biotin.</w:t>
      </w:r>
    </w:p>
    <w:p w14:paraId="73266119"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x)</w:t>
      </w:r>
      <w:r w:rsidRPr="00D403F5">
        <w:rPr>
          <w:rFonts w:ascii="Arial" w:hAnsi="Arial"/>
          <w:sz w:val="18"/>
        </w:rPr>
        <w:tab/>
        <w:t>Incubate for 1 hour at 37°C.</w:t>
      </w:r>
    </w:p>
    <w:p w14:paraId="2267E61C"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xi)</w:t>
      </w:r>
      <w:r w:rsidRPr="00D403F5">
        <w:rPr>
          <w:rFonts w:ascii="Arial" w:hAnsi="Arial"/>
          <w:sz w:val="18"/>
        </w:rPr>
        <w:tab/>
        <w:t>Rinse four times with PBST.</w:t>
      </w:r>
    </w:p>
    <w:p w14:paraId="06F3748D" w14:textId="77777777" w:rsidR="00E65E42" w:rsidRPr="00D403F5" w:rsidRDefault="00E65E42" w:rsidP="002E2D1E">
      <w:pPr>
        <w:pStyle w:val="Para3i"/>
        <w:spacing w:after="120"/>
        <w:ind w:left="993" w:hanging="426"/>
        <w:rPr>
          <w:rFonts w:ascii="Arial" w:hAnsi="Arial"/>
          <w:sz w:val="18"/>
        </w:rPr>
      </w:pPr>
      <w:r w:rsidRPr="00D403F5">
        <w:rPr>
          <w:rFonts w:ascii="Arial" w:hAnsi="Arial"/>
          <w:sz w:val="18"/>
        </w:rPr>
        <w:t>xii)</w:t>
      </w:r>
      <w:r w:rsidRPr="00D403F5">
        <w:rPr>
          <w:rFonts w:ascii="Arial" w:hAnsi="Arial"/>
          <w:sz w:val="18"/>
        </w:rPr>
        <w:tab/>
        <w:t>Add streptavidin-conjugated horseradish peroxidase to those wells that have received the biotin-conjugated antibody, and incubate for 1 hour at 20°C.</w:t>
      </w:r>
    </w:p>
    <w:p w14:paraId="44CAF76D" w14:textId="77777777" w:rsidR="00E65E42" w:rsidRPr="006237A8" w:rsidRDefault="00E65E42" w:rsidP="002E2D1E">
      <w:pPr>
        <w:pStyle w:val="Para3i"/>
        <w:spacing w:after="120"/>
        <w:ind w:left="993" w:hanging="426"/>
        <w:rPr>
          <w:rFonts w:ascii="Arial" w:hAnsi="Arial"/>
          <w:sz w:val="18"/>
        </w:rPr>
      </w:pPr>
      <w:r w:rsidRPr="00D403F5">
        <w:rPr>
          <w:rFonts w:ascii="Arial" w:hAnsi="Arial"/>
          <w:sz w:val="18"/>
        </w:rPr>
        <w:t>xiii)</w:t>
      </w:r>
      <w:r w:rsidRPr="00D403F5">
        <w:rPr>
          <w:rFonts w:ascii="Arial" w:hAnsi="Arial"/>
          <w:sz w:val="18"/>
        </w:rPr>
        <w:tab/>
        <w:t xml:space="preserve">Rinse four times with PBST. Add the substrate and chromogen. Stop the course of the test </w:t>
      </w:r>
      <w:r w:rsidRPr="006237A8">
        <w:rPr>
          <w:rFonts w:ascii="Arial" w:hAnsi="Arial"/>
          <w:sz w:val="18"/>
        </w:rPr>
        <w:t>when positive controls react and read the results.</w:t>
      </w:r>
    </w:p>
    <w:p w14:paraId="3982DEE6" w14:textId="77777777" w:rsidR="00E65E42" w:rsidRPr="006237A8" w:rsidRDefault="00E65E42" w:rsidP="002E2D1E">
      <w:pPr>
        <w:pStyle w:val="Para3i"/>
        <w:spacing w:after="160"/>
        <w:ind w:left="993" w:hanging="426"/>
        <w:rPr>
          <w:rFonts w:ascii="Arial" w:hAnsi="Arial"/>
          <w:sz w:val="18"/>
        </w:rPr>
      </w:pPr>
      <w:r w:rsidRPr="006237A8">
        <w:rPr>
          <w:rFonts w:ascii="Arial" w:hAnsi="Arial"/>
          <w:sz w:val="18"/>
        </w:rPr>
        <w:t>xiv)</w:t>
      </w:r>
      <w:r w:rsidRPr="006237A8">
        <w:rPr>
          <w:rFonts w:ascii="Arial" w:hAnsi="Arial"/>
          <w:sz w:val="18"/>
        </w:rPr>
        <w:tab/>
        <w:t xml:space="preserve">Interpretation of the results is according to the optical absorbencies achieved by negative and positive controls and must follow the guidelines for each test, e.g. absorbency at 450 nm of positive control must be minimum 5–10 × A450 of negative control. </w:t>
      </w:r>
    </w:p>
    <w:p w14:paraId="6CADF046" w14:textId="77777777" w:rsidR="00E65E42" w:rsidRPr="006237A8" w:rsidRDefault="00E65E42" w:rsidP="002E2D1E">
      <w:pPr>
        <w:pStyle w:val="Para3"/>
        <w:spacing w:after="160"/>
        <w:ind w:left="567"/>
        <w:rPr>
          <w:rFonts w:cs="Arial"/>
          <w:szCs w:val="18"/>
        </w:rPr>
      </w:pPr>
      <w:r w:rsidRPr="006237A8">
        <w:rPr>
          <w:rFonts w:cs="Arial"/>
          <w:szCs w:val="18"/>
        </w:rPr>
        <w:t>The above biotin–avidin-based ELISA version is given as an example. Other ELISA versions of demonstrated performance may be used instead.</w:t>
      </w:r>
    </w:p>
    <w:p w14:paraId="67E79BA6" w14:textId="77777777" w:rsidR="00E65E42" w:rsidRPr="00BD2E1E" w:rsidRDefault="00E65E42" w:rsidP="002E2D1E">
      <w:pPr>
        <w:pStyle w:val="11"/>
        <w:ind w:left="851" w:hanging="567"/>
        <w:rPr>
          <w:rFonts w:ascii="Ottawa" w:hAnsi="Ottawa"/>
          <w:sz w:val="21"/>
          <w:szCs w:val="21"/>
          <w:lang w:bidi="en-US"/>
        </w:rPr>
      </w:pPr>
      <w:r w:rsidRPr="00BD2E1E">
        <w:rPr>
          <w:rFonts w:ascii="Ottawa" w:hAnsi="Ottawa"/>
          <w:sz w:val="21"/>
          <w:szCs w:val="21"/>
          <w:lang w:bidi="en-US"/>
        </w:rPr>
        <w:t>4.10.</w:t>
      </w:r>
      <w:r w:rsidRPr="00BD2E1E">
        <w:rPr>
          <w:rFonts w:ascii="Ottawa" w:hAnsi="Ottawa"/>
          <w:sz w:val="21"/>
          <w:szCs w:val="21"/>
          <w:lang w:bidi="en-US"/>
        </w:rPr>
        <w:tab/>
      </w:r>
      <w:r w:rsidRPr="002E2D1E">
        <w:rPr>
          <w:rFonts w:ascii="Ottawa" w:hAnsi="Ottawa"/>
          <w:sz w:val="21"/>
          <w:szCs w:val="21"/>
          <w:lang w:val="en-IE"/>
        </w:rPr>
        <w:t>Other</w:t>
      </w:r>
      <w:r w:rsidRPr="00BD2E1E">
        <w:rPr>
          <w:rFonts w:ascii="Ottawa" w:hAnsi="Ottawa"/>
          <w:sz w:val="21"/>
          <w:szCs w:val="21"/>
          <w:lang w:bidi="en-US"/>
        </w:rPr>
        <w:t xml:space="preserve"> </w:t>
      </w:r>
      <w:r w:rsidRPr="006936A4">
        <w:rPr>
          <w:rFonts w:ascii="Ottawa" w:hAnsi="Ottawa"/>
          <w:strike/>
          <w:sz w:val="21"/>
          <w:szCs w:val="21"/>
          <w:highlight w:val="yellow"/>
          <w:lang w:bidi="en-US"/>
        </w:rPr>
        <w:t>serological</w:t>
      </w:r>
      <w:r w:rsidRPr="006936A4">
        <w:rPr>
          <w:rFonts w:ascii="Ottawa" w:hAnsi="Ottawa"/>
          <w:sz w:val="21"/>
          <w:szCs w:val="21"/>
          <w:lang w:bidi="en-US"/>
        </w:rPr>
        <w:t xml:space="preserve"> </w:t>
      </w:r>
      <w:r w:rsidRPr="00BD2E1E">
        <w:rPr>
          <w:rFonts w:ascii="Ottawa" w:hAnsi="Ottawa"/>
          <w:sz w:val="21"/>
          <w:szCs w:val="21"/>
          <w:lang w:bidi="en-US"/>
        </w:rPr>
        <w:t>methods</w:t>
      </w:r>
    </w:p>
    <w:p w14:paraId="3B4B10A3" w14:textId="77777777" w:rsidR="00E65E42" w:rsidRDefault="00E65E42" w:rsidP="002E2D1E">
      <w:pPr>
        <w:spacing w:after="240"/>
        <w:ind w:left="284"/>
        <w:jc w:val="both"/>
        <w:rPr>
          <w:rFonts w:ascii="Arial" w:hAnsi="Arial"/>
          <w:bCs/>
          <w:sz w:val="18"/>
          <w:szCs w:val="18"/>
          <w:lang w:val="en-IE" w:bidi="en-US"/>
        </w:rPr>
      </w:pPr>
      <w:r w:rsidRPr="00D403F5">
        <w:rPr>
          <w:rFonts w:ascii="Arial" w:hAnsi="Arial"/>
          <w:bCs/>
          <w:sz w:val="18"/>
          <w:szCs w:val="18"/>
          <w:lang w:val="en-IE" w:bidi="en-US"/>
        </w:rPr>
        <w:t>Not applicable</w:t>
      </w:r>
    </w:p>
    <w:p w14:paraId="49CA152E" w14:textId="77777777" w:rsidR="00E65E42" w:rsidRPr="0089592E" w:rsidRDefault="00E65E42" w:rsidP="00E65E42">
      <w:pPr>
        <w:pStyle w:val="10"/>
        <w:spacing w:after="160"/>
        <w:rPr>
          <w:rFonts w:ascii="Ottawa" w:hAnsi="Ottawa"/>
          <w:sz w:val="22"/>
          <w:szCs w:val="22"/>
          <w:lang w:val="en-IE"/>
        </w:rPr>
      </w:pPr>
      <w:r w:rsidRPr="0089592E">
        <w:rPr>
          <w:rFonts w:ascii="Ottawa" w:hAnsi="Ottawa"/>
          <w:sz w:val="22"/>
          <w:szCs w:val="22"/>
          <w:lang w:val="en-IE"/>
        </w:rPr>
        <w:t>5.</w:t>
      </w:r>
      <w:r w:rsidRPr="0089592E">
        <w:rPr>
          <w:rFonts w:ascii="Ottawa" w:hAnsi="Ottawa"/>
          <w:sz w:val="22"/>
          <w:szCs w:val="22"/>
          <w:lang w:val="en-IE"/>
        </w:rPr>
        <w:tab/>
        <w:t>Test(s) recommended for surveillance to demonstrate freedom in apparently healthy populations</w:t>
      </w:r>
    </w:p>
    <w:p w14:paraId="689B68FD" w14:textId="77777777" w:rsidR="00E65E42" w:rsidRPr="006237A8" w:rsidRDefault="00E65E42" w:rsidP="00CA3459">
      <w:pPr>
        <w:pStyle w:val="Para10"/>
        <w:spacing w:after="160"/>
        <w:ind w:left="284"/>
        <w:rPr>
          <w:rFonts w:cs="Arial"/>
          <w:szCs w:val="18"/>
        </w:rPr>
      </w:pPr>
      <w:r w:rsidRPr="006237A8">
        <w:rPr>
          <w:rFonts w:cs="Arial"/>
          <w:szCs w:val="18"/>
        </w:rPr>
        <w:t>Virus isolation in cell culture or real-time RT-PCR are the recommended tests for surveillance to demonstrate freedom from infection with IHNV.</w:t>
      </w:r>
    </w:p>
    <w:p w14:paraId="2D17A59A" w14:textId="77777777" w:rsidR="00E65E42" w:rsidRPr="0089592E" w:rsidRDefault="00E65E42" w:rsidP="00E65E42">
      <w:pPr>
        <w:pStyle w:val="10"/>
        <w:spacing w:after="160"/>
        <w:rPr>
          <w:rFonts w:ascii="Ottawa" w:hAnsi="Ottawa"/>
          <w:sz w:val="22"/>
          <w:szCs w:val="22"/>
          <w:lang w:val="en-IE"/>
        </w:rPr>
      </w:pPr>
      <w:r w:rsidRPr="0089592E">
        <w:rPr>
          <w:rFonts w:ascii="Ottawa" w:hAnsi="Ottawa"/>
          <w:sz w:val="22"/>
          <w:szCs w:val="22"/>
          <w:lang w:val="en-IE"/>
        </w:rPr>
        <w:t>6.</w:t>
      </w:r>
      <w:r w:rsidRPr="0089592E">
        <w:rPr>
          <w:rFonts w:ascii="Ottawa" w:hAnsi="Ottawa"/>
          <w:sz w:val="22"/>
          <w:szCs w:val="22"/>
          <w:lang w:val="en-IE"/>
        </w:rPr>
        <w:tab/>
        <w:t xml:space="preserve">Corroborative diagnostic criteria </w:t>
      </w:r>
    </w:p>
    <w:p w14:paraId="7F38C9CD" w14:textId="77777777" w:rsidR="00E65E42" w:rsidRPr="006237A8" w:rsidRDefault="00E65E42" w:rsidP="00CA3459">
      <w:pPr>
        <w:pStyle w:val="Para10"/>
        <w:spacing w:after="160"/>
        <w:ind w:left="284"/>
        <w:rPr>
          <w:rFonts w:cs="Arial"/>
          <w:szCs w:val="18"/>
        </w:rPr>
      </w:pPr>
      <w:r w:rsidRPr="006237A8">
        <w:rPr>
          <w:rFonts w:cs="Arial"/>
          <w:szCs w:val="18"/>
        </w:rPr>
        <w:t>This section only addresses the diagnostic test results for detection of infection in the absence (Section 6.1.) or in the presence of clinical signs (Section 6.2.) but does not evaluate whether the infectious agent is the cause of the clinical event.</w:t>
      </w:r>
    </w:p>
    <w:p w14:paraId="40A2BAE7" w14:textId="77777777" w:rsidR="00E65E42" w:rsidRPr="006237A8" w:rsidRDefault="00E65E42" w:rsidP="00CA3459">
      <w:pPr>
        <w:pStyle w:val="Para10"/>
        <w:spacing w:after="160"/>
        <w:ind w:left="284"/>
        <w:rPr>
          <w:rFonts w:cs="Arial"/>
          <w:szCs w:val="18"/>
        </w:rPr>
      </w:pPr>
      <w:r w:rsidRPr="006237A8">
        <w:rPr>
          <w:rFonts w:cs="Arial"/>
          <w:szCs w:val="18"/>
        </w:rPr>
        <w:t>The case definitions for a suspect and confirmed case have been developed to support decision making related to trade and confirmation of disease status at the country, zone or compartment level. Case definitions for disease confirmation in endemically affected areas may be less stringent. It is recommended that all samples that yield suspect positive test results in an otherwise pathogen-free country or zone or compartment should be referred immediately to the OIE Reference Laboratory for confirmation, whether or not clinical signs are associated with the case. If a laboratory does not have the capacity to undertake the necessary diagnostic tests it should seek advice from the appropriate OIE Reference Laboratory.</w:t>
      </w:r>
    </w:p>
    <w:p w14:paraId="3DE90C74" w14:textId="77777777" w:rsidR="00E65E42" w:rsidRPr="0089592E" w:rsidRDefault="00E65E42" w:rsidP="002E2D1E">
      <w:pPr>
        <w:pStyle w:val="11"/>
        <w:rPr>
          <w:rFonts w:ascii="Ottawa" w:hAnsi="Ottawa" w:cs="Arial"/>
          <w:sz w:val="21"/>
          <w:szCs w:val="21"/>
          <w:lang w:val="en-IE"/>
        </w:rPr>
      </w:pPr>
      <w:r w:rsidRPr="0089592E">
        <w:rPr>
          <w:rFonts w:ascii="Ottawa" w:hAnsi="Ottawa" w:cs="Arial"/>
          <w:sz w:val="21"/>
          <w:szCs w:val="21"/>
          <w:lang w:val="en-IE"/>
        </w:rPr>
        <w:t>6.1.</w:t>
      </w:r>
      <w:r w:rsidRPr="0089592E">
        <w:rPr>
          <w:rFonts w:ascii="Ottawa" w:hAnsi="Ottawa" w:cs="Arial"/>
          <w:sz w:val="21"/>
          <w:szCs w:val="21"/>
          <w:lang w:val="en-IE"/>
        </w:rPr>
        <w:tab/>
      </w:r>
      <w:r w:rsidRPr="002E2D1E">
        <w:rPr>
          <w:rFonts w:ascii="Ottawa" w:hAnsi="Ottawa"/>
          <w:sz w:val="21"/>
          <w:szCs w:val="21"/>
          <w:lang w:val="en-IE"/>
        </w:rPr>
        <w:t>Apparently</w:t>
      </w:r>
      <w:r w:rsidRPr="0089592E">
        <w:rPr>
          <w:rFonts w:ascii="Ottawa" w:hAnsi="Ottawa" w:cs="Arial"/>
          <w:sz w:val="21"/>
          <w:szCs w:val="21"/>
          <w:lang w:val="en-IE"/>
        </w:rPr>
        <w:t xml:space="preserve"> healthy animals or animals of unknown health status</w:t>
      </w:r>
      <w:r w:rsidRPr="0089592E">
        <w:rPr>
          <w:rStyle w:val="Appelnotedebasdep"/>
          <w:rFonts w:ascii="Ottawa" w:hAnsi="Ottawa" w:cs="Arial"/>
          <w:sz w:val="21"/>
          <w:szCs w:val="21"/>
          <w:lang w:val="en-IE"/>
        </w:rPr>
        <w:footnoteReference w:id="3"/>
      </w:r>
    </w:p>
    <w:p w14:paraId="308FA47E" w14:textId="77777777" w:rsidR="00E65E42" w:rsidRDefault="00E65E42" w:rsidP="002E2D1E">
      <w:pPr>
        <w:pStyle w:val="Para20"/>
        <w:ind w:left="709"/>
        <w:rPr>
          <w:rFonts w:cs="Arial"/>
          <w:szCs w:val="18"/>
        </w:rPr>
      </w:pPr>
      <w:r w:rsidRPr="006237A8">
        <w:rPr>
          <w:rFonts w:cs="Arial"/>
          <w:szCs w:val="18"/>
        </w:rPr>
        <w:t xml:space="preserve">Apparently healthy populations may fall under suspicion, and therefore be sampled, </w:t>
      </w:r>
      <w:r w:rsidRPr="006936A4">
        <w:rPr>
          <w:rFonts w:cs="Arial"/>
          <w:szCs w:val="18"/>
        </w:rPr>
        <w:t>if there is an epidemiological link to an infected population.</w:t>
      </w:r>
      <w:r w:rsidRPr="006237A8">
        <w:rPr>
          <w:rFonts w:cs="Arial"/>
          <w:szCs w:val="18"/>
        </w:rPr>
        <w:t xml:space="preserve"> Geographic proximity to, or movement of animals or animal products or equipment, etc., from a known infected</w:t>
      </w:r>
      <w:r w:rsidRPr="006237A8">
        <w:rPr>
          <w:rFonts w:eastAsiaTheme="minorEastAsia" w:cs="Arial"/>
          <w:szCs w:val="18"/>
          <w:lang w:eastAsia="zh-CN"/>
        </w:rPr>
        <w:t xml:space="preserve"> </w:t>
      </w:r>
      <w:r w:rsidRPr="006237A8">
        <w:rPr>
          <w:rFonts w:cs="Arial"/>
          <w:szCs w:val="18"/>
        </w:rPr>
        <w:t>population equate to an epidemiological link. Alternatively, healthy populations are sampled in surveys to demonstrate disease freedom.</w:t>
      </w:r>
    </w:p>
    <w:p w14:paraId="33D8C640" w14:textId="77777777" w:rsidR="004F1CC2" w:rsidRDefault="004F1CC2">
      <w:pPr>
        <w:rPr>
          <w:rFonts w:ascii="Ottawa" w:eastAsia="Times New Roman" w:hAnsi="Ottawa" w:cs="Arial"/>
          <w:b/>
          <w:bCs/>
          <w:szCs w:val="20"/>
          <w:lang w:val="en-IE" w:eastAsia="fr-FR"/>
        </w:rPr>
      </w:pPr>
      <w:bookmarkStart w:id="147" w:name="_Hlk20639542"/>
      <w:r>
        <w:rPr>
          <w:rFonts w:cs="Arial"/>
          <w:szCs w:val="20"/>
          <w:lang w:val="en-IE"/>
        </w:rPr>
        <w:br w:type="page"/>
      </w:r>
    </w:p>
    <w:p w14:paraId="47881D4E" w14:textId="77777777" w:rsidR="004F1CC2" w:rsidRDefault="004F1CC2" w:rsidP="004F1CC2">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p w14:paraId="11A65443" w14:textId="40DB304D" w:rsidR="00E65E42" w:rsidRPr="0089592E" w:rsidRDefault="00E65E42" w:rsidP="002E2D1E">
      <w:pPr>
        <w:pStyle w:val="111"/>
        <w:ind w:left="1276"/>
        <w:rPr>
          <w:rFonts w:cs="Arial"/>
          <w:szCs w:val="20"/>
          <w:lang w:val="en-IE"/>
        </w:rPr>
      </w:pPr>
      <w:r w:rsidRPr="0089592E">
        <w:rPr>
          <w:rFonts w:cs="Arial"/>
          <w:szCs w:val="20"/>
          <w:lang w:val="en-IE"/>
        </w:rPr>
        <w:t>6.1.1.</w:t>
      </w:r>
      <w:r w:rsidRPr="0089592E">
        <w:rPr>
          <w:rFonts w:cs="Arial"/>
          <w:szCs w:val="20"/>
          <w:lang w:val="en-IE"/>
        </w:rPr>
        <w:tab/>
        <w:t>Definition of suspect case in apparently healthy animals</w:t>
      </w:r>
    </w:p>
    <w:p w14:paraId="34FB43B1" w14:textId="77777777" w:rsidR="00E65E42" w:rsidRPr="006237A8" w:rsidRDefault="00E65E42" w:rsidP="002E2D1E">
      <w:pPr>
        <w:pStyle w:val="Para3"/>
        <w:ind w:left="709"/>
        <w:rPr>
          <w:rFonts w:cs="Arial"/>
          <w:szCs w:val="18"/>
        </w:rPr>
      </w:pPr>
      <w:r w:rsidRPr="006237A8">
        <w:rPr>
          <w:rFonts w:cs="Arial"/>
          <w:szCs w:val="18"/>
        </w:rPr>
        <w:t xml:space="preserve">The presence of infection </w:t>
      </w:r>
      <w:r w:rsidRPr="00876AA3">
        <w:rPr>
          <w:szCs w:val="18"/>
          <w:highlight w:val="yellow"/>
          <w:u w:val="double"/>
        </w:rPr>
        <w:t xml:space="preserve">with </w:t>
      </w:r>
      <w:r>
        <w:rPr>
          <w:szCs w:val="18"/>
          <w:highlight w:val="yellow"/>
          <w:u w:val="double"/>
        </w:rPr>
        <w:t>IHNV</w:t>
      </w:r>
      <w:r w:rsidRPr="00E65137">
        <w:rPr>
          <w:szCs w:val="18"/>
        </w:rPr>
        <w:t xml:space="preserve"> </w:t>
      </w:r>
      <w:r w:rsidRPr="006237A8">
        <w:rPr>
          <w:rFonts w:cs="Arial"/>
          <w:szCs w:val="18"/>
        </w:rPr>
        <w:t>shall be suspected if at least one of the following criteria is met:</w:t>
      </w:r>
    </w:p>
    <w:p w14:paraId="26609D5E" w14:textId="77777777" w:rsidR="00E65E42" w:rsidRPr="006237A8" w:rsidRDefault="00E65E42" w:rsidP="002E2D1E">
      <w:pPr>
        <w:pStyle w:val="Para3i"/>
        <w:ind w:left="1134" w:hanging="425"/>
        <w:rPr>
          <w:rFonts w:ascii="Arial" w:hAnsi="Arial"/>
          <w:sz w:val="18"/>
        </w:rPr>
      </w:pPr>
      <w:r w:rsidRPr="006237A8">
        <w:rPr>
          <w:rFonts w:ascii="Arial" w:hAnsi="Arial"/>
          <w:sz w:val="18"/>
        </w:rPr>
        <w:t>i)</w:t>
      </w:r>
      <w:r w:rsidRPr="006237A8">
        <w:rPr>
          <w:rFonts w:ascii="Arial" w:hAnsi="Arial"/>
          <w:sz w:val="18"/>
        </w:rPr>
        <w:tab/>
        <w:t>Positive result by real-time RT-PCR;</w:t>
      </w:r>
    </w:p>
    <w:p w14:paraId="6381DE3C" w14:textId="77777777" w:rsidR="00E65E42" w:rsidRPr="006936A4" w:rsidRDefault="00E65E42" w:rsidP="002E2D1E">
      <w:pPr>
        <w:pStyle w:val="Para3i"/>
        <w:ind w:left="1134" w:hanging="425"/>
        <w:rPr>
          <w:rFonts w:ascii="Arial" w:hAnsi="Arial"/>
          <w:sz w:val="18"/>
        </w:rPr>
      </w:pPr>
      <w:r w:rsidRPr="006936A4">
        <w:rPr>
          <w:rFonts w:ascii="Arial" w:hAnsi="Arial"/>
          <w:sz w:val="18"/>
        </w:rPr>
        <w:t>ii)</w:t>
      </w:r>
      <w:r w:rsidRPr="006936A4">
        <w:rPr>
          <w:rFonts w:ascii="Arial" w:hAnsi="Arial"/>
          <w:sz w:val="18"/>
        </w:rPr>
        <w:tab/>
      </w:r>
      <w:r w:rsidRPr="006936A4">
        <w:rPr>
          <w:rFonts w:ascii="Arial" w:hAnsi="Arial"/>
          <w:sz w:val="18"/>
          <w:highlight w:val="yellow"/>
          <w:u w:val="double"/>
        </w:rPr>
        <w:t>IHNV-typical CPE</w:t>
      </w:r>
      <w:r w:rsidRPr="006E2307">
        <w:rPr>
          <w:rFonts w:ascii="Arial" w:hAnsi="Arial"/>
          <w:sz w:val="18"/>
          <w:highlight w:val="yellow"/>
        </w:rPr>
        <w:t xml:space="preserve"> </w:t>
      </w:r>
      <w:r w:rsidRPr="006936A4">
        <w:rPr>
          <w:rFonts w:ascii="Arial" w:hAnsi="Arial"/>
          <w:strike/>
          <w:sz w:val="18"/>
          <w:highlight w:val="yellow"/>
        </w:rPr>
        <w:t>Cytopathic effect</w:t>
      </w:r>
      <w:r w:rsidRPr="006936A4">
        <w:rPr>
          <w:rFonts w:ascii="Arial" w:hAnsi="Arial"/>
          <w:strike/>
          <w:sz w:val="18"/>
        </w:rPr>
        <w:t xml:space="preserve"> </w:t>
      </w:r>
      <w:r w:rsidRPr="006936A4">
        <w:rPr>
          <w:rFonts w:ascii="Arial" w:hAnsi="Arial"/>
          <w:sz w:val="18"/>
        </w:rPr>
        <w:t>in cell culture.</w:t>
      </w:r>
    </w:p>
    <w:p w14:paraId="0837A1C1" w14:textId="77777777" w:rsidR="00E65E42" w:rsidRPr="0089592E" w:rsidRDefault="00E65E42" w:rsidP="002E2D1E">
      <w:pPr>
        <w:pStyle w:val="111"/>
        <w:ind w:left="1276"/>
        <w:rPr>
          <w:rFonts w:cs="Arial"/>
          <w:szCs w:val="20"/>
          <w:lang w:val="en-IE"/>
        </w:rPr>
      </w:pPr>
      <w:r w:rsidRPr="0089592E">
        <w:rPr>
          <w:rFonts w:cs="Arial"/>
          <w:szCs w:val="20"/>
          <w:lang w:val="en-IE"/>
        </w:rPr>
        <w:t>6.1.2.</w:t>
      </w:r>
      <w:r w:rsidRPr="0089592E">
        <w:rPr>
          <w:rFonts w:cs="Arial"/>
          <w:szCs w:val="20"/>
          <w:lang w:val="en-IE"/>
        </w:rPr>
        <w:tab/>
        <w:t>Definition of confirmed case in apparently healthy animals</w:t>
      </w:r>
    </w:p>
    <w:p w14:paraId="5945298D" w14:textId="77777777" w:rsidR="00E65E42" w:rsidRPr="00D403F5" w:rsidRDefault="00E65E42" w:rsidP="002E2D1E">
      <w:pPr>
        <w:spacing w:after="240" w:line="240" w:lineRule="auto"/>
        <w:ind w:left="709"/>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 xml:space="preserve">The presence of infection </w:t>
      </w:r>
      <w:r w:rsidRPr="00876AA3">
        <w:rPr>
          <w:rFonts w:ascii="Arial" w:eastAsia="Times New Roman" w:hAnsi="Arial" w:cs="Times New Roman"/>
          <w:bCs/>
          <w:sz w:val="18"/>
          <w:szCs w:val="18"/>
          <w:highlight w:val="yellow"/>
          <w:u w:val="double"/>
          <w:lang w:val="en-IE"/>
        </w:rPr>
        <w:t xml:space="preserve">with </w:t>
      </w:r>
      <w:r>
        <w:rPr>
          <w:rFonts w:ascii="Arial" w:eastAsia="Times New Roman" w:hAnsi="Arial" w:cs="Times New Roman"/>
          <w:bCs/>
          <w:sz w:val="18"/>
          <w:szCs w:val="18"/>
          <w:highlight w:val="yellow"/>
          <w:u w:val="double"/>
          <w:lang w:val="en-IE"/>
        </w:rPr>
        <w:t>IHNV</w:t>
      </w:r>
      <w:r w:rsidRPr="00876AA3">
        <w:rPr>
          <w:rFonts w:ascii="Arial" w:eastAsia="Times New Roman" w:hAnsi="Arial" w:cs="Times New Roman"/>
          <w:bCs/>
          <w:sz w:val="18"/>
          <w:szCs w:val="18"/>
          <w:highlight w:val="yellow"/>
          <w:u w:val="double"/>
          <w:lang w:val="en-IE"/>
        </w:rPr>
        <w:t xml:space="preserve"> is considered to</w:t>
      </w:r>
      <w:r w:rsidRPr="00876AA3">
        <w:rPr>
          <w:rFonts w:ascii="Arial" w:eastAsia="Times New Roman" w:hAnsi="Arial" w:cs="Times New Roman"/>
          <w:bCs/>
          <w:sz w:val="18"/>
          <w:szCs w:val="18"/>
          <w:highlight w:val="yellow"/>
          <w:lang w:val="en-IE"/>
        </w:rPr>
        <w:t xml:space="preserve"> </w:t>
      </w:r>
      <w:r w:rsidRPr="00876AA3">
        <w:rPr>
          <w:rFonts w:ascii="Arial" w:eastAsia="Times New Roman" w:hAnsi="Arial" w:cs="Times New Roman"/>
          <w:bCs/>
          <w:strike/>
          <w:sz w:val="18"/>
          <w:szCs w:val="18"/>
          <w:highlight w:val="yellow"/>
          <w:lang w:val="en-IE"/>
        </w:rPr>
        <w:t>shall</w:t>
      </w:r>
      <w:r w:rsidRPr="00876AA3">
        <w:rPr>
          <w:rFonts w:ascii="Arial" w:eastAsia="Times New Roman" w:hAnsi="Arial" w:cs="Times New Roman"/>
          <w:bCs/>
          <w:strike/>
          <w:sz w:val="18"/>
          <w:szCs w:val="18"/>
          <w:lang w:val="en-IE"/>
        </w:rPr>
        <w:t xml:space="preserve"> </w:t>
      </w:r>
      <w:r w:rsidRPr="00D403F5">
        <w:rPr>
          <w:rFonts w:ascii="Arial" w:eastAsia="Times New Roman" w:hAnsi="Arial" w:cs="Times New Roman"/>
          <w:bCs/>
          <w:sz w:val="18"/>
          <w:szCs w:val="18"/>
          <w:lang w:val="en-IE"/>
        </w:rPr>
        <w:t>be confirmed if</w:t>
      </w:r>
      <w:r w:rsidRPr="00876AA3">
        <w:rPr>
          <w:rFonts w:ascii="Arial" w:eastAsia="Times New Roman" w:hAnsi="Arial" w:cs="Times New Roman"/>
          <w:bCs/>
          <w:sz w:val="18"/>
          <w:szCs w:val="18"/>
          <w:highlight w:val="yellow"/>
          <w:u w:val="double"/>
          <w:lang w:val="en-IE"/>
        </w:rPr>
        <w:t>,</w:t>
      </w:r>
      <w:r w:rsidRPr="00D403F5">
        <w:rPr>
          <w:rFonts w:ascii="Arial" w:eastAsia="Times New Roman" w:hAnsi="Arial" w:cs="Times New Roman"/>
          <w:bCs/>
          <w:sz w:val="18"/>
          <w:szCs w:val="18"/>
          <w:lang w:val="en-IE"/>
        </w:rPr>
        <w:t xml:space="preserve"> </w:t>
      </w:r>
      <w:r w:rsidRPr="00876AA3">
        <w:rPr>
          <w:rFonts w:ascii="Arial" w:eastAsia="Times New Roman" w:hAnsi="Arial" w:cs="Times New Roman"/>
          <w:bCs/>
          <w:sz w:val="18"/>
          <w:szCs w:val="18"/>
          <w:highlight w:val="yellow"/>
          <w:u w:val="double"/>
          <w:lang w:val="en-IE"/>
        </w:rPr>
        <w:t xml:space="preserve">in addition to the criteria in </w:t>
      </w:r>
      <w:r w:rsidRPr="00876AA3">
        <w:rPr>
          <w:rFonts w:ascii="Arial" w:eastAsia="Times New Roman" w:hAnsi="Arial" w:cs="Times New Roman"/>
          <w:bCs/>
          <w:spacing w:val="-2"/>
          <w:sz w:val="18"/>
          <w:szCs w:val="18"/>
          <w:highlight w:val="yellow"/>
          <w:u w:val="double"/>
          <w:lang w:val="en-IE"/>
        </w:rPr>
        <w:t>Section 6.1.1.</w:t>
      </w:r>
      <w:r w:rsidRPr="00876AA3">
        <w:rPr>
          <w:rFonts w:ascii="Arial" w:eastAsia="Times New Roman" w:hAnsi="Arial" w:cs="Times New Roman"/>
          <w:bCs/>
          <w:sz w:val="18"/>
          <w:szCs w:val="18"/>
          <w:highlight w:val="yellow"/>
          <w:u w:val="double"/>
          <w:lang w:val="en-IE"/>
        </w:rPr>
        <w:t>,</w:t>
      </w:r>
      <w:r w:rsidRPr="004253F3">
        <w:rPr>
          <w:rFonts w:ascii="Arial" w:eastAsia="Times New Roman" w:hAnsi="Arial" w:cs="Times New Roman"/>
          <w:bCs/>
          <w:sz w:val="18"/>
          <w:szCs w:val="18"/>
          <w:lang w:val="en-IE"/>
        </w:rPr>
        <w:t xml:space="preserve"> </w:t>
      </w:r>
      <w:r w:rsidRPr="00D403F5">
        <w:rPr>
          <w:rFonts w:ascii="Arial" w:hAnsi="Arial"/>
          <w:bCs/>
          <w:strike/>
          <w:sz w:val="18"/>
          <w:szCs w:val="18"/>
          <w:lang w:val="en-IE"/>
        </w:rPr>
        <w:t>positive results has been obtained on at least one animal from two test used in the following combination</w:t>
      </w:r>
      <w:r w:rsidRPr="006E2307">
        <w:rPr>
          <w:rFonts w:ascii="Arial" w:hAnsi="Arial"/>
          <w:bCs/>
          <w:strike/>
          <w:sz w:val="18"/>
          <w:szCs w:val="18"/>
          <w:lang w:val="en-IE"/>
        </w:rPr>
        <w:t xml:space="preserve"> </w:t>
      </w:r>
      <w:r>
        <w:rPr>
          <w:rFonts w:ascii="Arial" w:hAnsi="Arial"/>
          <w:bCs/>
          <w:sz w:val="18"/>
          <w:szCs w:val="18"/>
          <w:u w:val="double"/>
          <w:lang w:val="en-IE"/>
        </w:rPr>
        <w:t>one or more of the</w:t>
      </w:r>
      <w:r w:rsidRPr="00D403F5">
        <w:rPr>
          <w:rFonts w:ascii="Arial" w:hAnsi="Arial"/>
          <w:bCs/>
          <w:sz w:val="18"/>
          <w:szCs w:val="18"/>
          <w:u w:val="double"/>
          <w:lang w:val="en-IE"/>
        </w:rPr>
        <w:t xml:space="preserve"> following criteri</w:t>
      </w:r>
      <w:r>
        <w:rPr>
          <w:rFonts w:ascii="Arial" w:hAnsi="Arial"/>
          <w:bCs/>
          <w:sz w:val="18"/>
          <w:szCs w:val="18"/>
          <w:u w:val="double"/>
          <w:lang w:val="en-IE"/>
        </w:rPr>
        <w:t>a</w:t>
      </w:r>
      <w:r w:rsidRPr="00D403F5">
        <w:rPr>
          <w:rFonts w:ascii="Arial" w:hAnsi="Arial"/>
          <w:bCs/>
          <w:sz w:val="18"/>
          <w:szCs w:val="18"/>
          <w:u w:val="double"/>
          <w:lang w:val="en-IE"/>
        </w:rPr>
        <w:t xml:space="preserve"> is met</w:t>
      </w:r>
      <w:r w:rsidRPr="00D403F5">
        <w:rPr>
          <w:rFonts w:ascii="Arial" w:eastAsia="Times New Roman" w:hAnsi="Arial" w:cs="Times New Roman"/>
          <w:bCs/>
          <w:sz w:val="18"/>
          <w:szCs w:val="18"/>
          <w:lang w:val="en-IE"/>
        </w:rPr>
        <w:t>:</w:t>
      </w:r>
    </w:p>
    <w:p w14:paraId="4D57E827" w14:textId="77777777" w:rsidR="00E65E42" w:rsidRPr="006237A8" w:rsidRDefault="00E65E42" w:rsidP="002E2D1E">
      <w:pPr>
        <w:pStyle w:val="Para3i"/>
        <w:ind w:left="1134" w:hanging="425"/>
        <w:rPr>
          <w:rFonts w:ascii="Arial" w:hAnsi="Arial"/>
          <w:sz w:val="18"/>
        </w:rPr>
      </w:pPr>
      <w:r w:rsidRPr="006237A8">
        <w:rPr>
          <w:rFonts w:ascii="Arial" w:hAnsi="Arial"/>
          <w:sz w:val="18"/>
        </w:rPr>
        <w:t>i)</w:t>
      </w:r>
      <w:r w:rsidRPr="006237A8">
        <w:rPr>
          <w:rFonts w:ascii="Arial" w:hAnsi="Arial"/>
          <w:sz w:val="18"/>
        </w:rPr>
        <w:tab/>
        <w:t xml:space="preserve">Positive result by real-time </w:t>
      </w:r>
      <w:r w:rsidRPr="0014778F">
        <w:rPr>
          <w:rFonts w:ascii="Arial" w:hAnsi="Arial"/>
          <w:strike/>
          <w:sz w:val="18"/>
          <w:highlight w:val="yellow"/>
        </w:rPr>
        <w:t>RT</w:t>
      </w:r>
      <w:r w:rsidRPr="0014778F">
        <w:rPr>
          <w:rFonts w:ascii="Arial" w:hAnsi="Arial"/>
          <w:strike/>
          <w:sz w:val="18"/>
        </w:rPr>
        <w:t xml:space="preserve"> </w:t>
      </w:r>
      <w:r w:rsidRPr="0014778F">
        <w:rPr>
          <w:rFonts w:ascii="Arial" w:hAnsi="Arial"/>
          <w:sz w:val="18"/>
          <w:highlight w:val="yellow"/>
          <w:u w:val="double"/>
        </w:rPr>
        <w:t>RT-</w:t>
      </w:r>
      <w:r w:rsidRPr="006237A8">
        <w:rPr>
          <w:rFonts w:ascii="Arial" w:hAnsi="Arial"/>
          <w:sz w:val="18"/>
        </w:rPr>
        <w:t xml:space="preserve">PCR </w:t>
      </w:r>
      <w:r w:rsidRPr="0014778F">
        <w:rPr>
          <w:rFonts w:ascii="Arial" w:hAnsi="Arial"/>
          <w:strike/>
          <w:sz w:val="18"/>
          <w:highlight w:val="yellow"/>
        </w:rPr>
        <w:t>followed by</w:t>
      </w:r>
      <w:r w:rsidRPr="0014778F">
        <w:rPr>
          <w:rFonts w:ascii="Arial" w:hAnsi="Arial"/>
          <w:sz w:val="18"/>
          <w:highlight w:val="yellow"/>
          <w:u w:val="double"/>
        </w:rPr>
        <w:t>and</w:t>
      </w:r>
      <w:r w:rsidRPr="006237A8">
        <w:rPr>
          <w:rFonts w:ascii="Arial" w:hAnsi="Arial"/>
          <w:sz w:val="18"/>
        </w:rPr>
        <w:t xml:space="preserve"> </w:t>
      </w:r>
      <w:r w:rsidRPr="00B97D87">
        <w:rPr>
          <w:rFonts w:ascii="Arial" w:hAnsi="Arial"/>
          <w:sz w:val="18"/>
          <w:highlight w:val="yellow"/>
          <w:u w:val="double"/>
        </w:rPr>
        <w:t xml:space="preserve">detection of IHNV in a tissue sample </w:t>
      </w:r>
      <w:r>
        <w:rPr>
          <w:rFonts w:ascii="Arial" w:hAnsi="Arial"/>
          <w:sz w:val="18"/>
          <w:highlight w:val="yellow"/>
          <w:u w:val="double"/>
        </w:rPr>
        <w:t xml:space="preserve">by </w:t>
      </w:r>
      <w:r w:rsidRPr="00B97D87">
        <w:rPr>
          <w:rFonts w:ascii="Arial" w:hAnsi="Arial"/>
          <w:strike/>
          <w:sz w:val="18"/>
          <w:highlight w:val="yellow"/>
        </w:rPr>
        <w:t>a positive result from a</w:t>
      </w:r>
      <w:r w:rsidRPr="00B97D87">
        <w:rPr>
          <w:rFonts w:ascii="Arial" w:hAnsi="Arial"/>
          <w:strike/>
          <w:sz w:val="18"/>
        </w:rPr>
        <w:t xml:space="preserve"> </w:t>
      </w:r>
      <w:r w:rsidRPr="006237A8">
        <w:rPr>
          <w:rFonts w:ascii="Arial" w:hAnsi="Arial"/>
          <w:sz w:val="18"/>
        </w:rPr>
        <w:t xml:space="preserve">conventional PCR targeting a non-overlapping region of the genome and amplicon sequencing; </w:t>
      </w:r>
    </w:p>
    <w:p w14:paraId="40720984" w14:textId="77777777" w:rsidR="00E65E42" w:rsidRPr="006237A8" w:rsidRDefault="00E65E42" w:rsidP="002E2D1E">
      <w:pPr>
        <w:pStyle w:val="Para3i"/>
        <w:ind w:left="1134" w:hanging="425"/>
        <w:rPr>
          <w:rFonts w:ascii="Arial" w:hAnsi="Arial"/>
          <w:sz w:val="18"/>
        </w:rPr>
      </w:pPr>
      <w:r w:rsidRPr="006237A8">
        <w:rPr>
          <w:rFonts w:ascii="Arial" w:hAnsi="Arial"/>
          <w:sz w:val="18"/>
        </w:rPr>
        <w:t>ii)</w:t>
      </w:r>
      <w:r w:rsidRPr="006237A8">
        <w:rPr>
          <w:rFonts w:ascii="Arial" w:hAnsi="Arial"/>
          <w:sz w:val="18"/>
        </w:rPr>
        <w:tab/>
      </w:r>
      <w:r w:rsidRPr="00B97D87">
        <w:rPr>
          <w:rFonts w:ascii="Arial" w:hAnsi="Arial"/>
          <w:sz w:val="18"/>
          <w:highlight w:val="yellow"/>
          <w:u w:val="double"/>
        </w:rPr>
        <w:t>CPE</w:t>
      </w:r>
      <w:r w:rsidRPr="00B97D87">
        <w:rPr>
          <w:rFonts w:ascii="Arial" w:hAnsi="Arial"/>
          <w:strike/>
          <w:sz w:val="18"/>
          <w:highlight w:val="yellow"/>
        </w:rPr>
        <w:t xml:space="preserve"> Isolation of virus</w:t>
      </w:r>
      <w:r w:rsidRPr="006237A8">
        <w:rPr>
          <w:rFonts w:ascii="Arial" w:hAnsi="Arial"/>
          <w:sz w:val="18"/>
        </w:rPr>
        <w:t xml:space="preserve"> in cell culture </w:t>
      </w:r>
      <w:r w:rsidRPr="00B97D87">
        <w:rPr>
          <w:rFonts w:ascii="Arial" w:hAnsi="Arial"/>
          <w:strike/>
          <w:sz w:val="18"/>
          <w:highlight w:val="yellow"/>
        </w:rPr>
        <w:t xml:space="preserve">confirmed by </w:t>
      </w:r>
      <w:r w:rsidRPr="00B97D87">
        <w:rPr>
          <w:rFonts w:ascii="Arial" w:hAnsi="Arial"/>
          <w:sz w:val="18"/>
          <w:highlight w:val="yellow"/>
          <w:u w:val="double"/>
        </w:rPr>
        <w:t>identified as IHNV by real-time RT-PCR, conventional PCR,</w:t>
      </w:r>
      <w:r w:rsidRPr="00CE3083">
        <w:rPr>
          <w:rFonts w:ascii="Arial" w:hAnsi="Arial"/>
          <w:sz w:val="18"/>
        </w:rPr>
        <w:t xml:space="preserve"> </w:t>
      </w:r>
      <w:r w:rsidRPr="006237A8">
        <w:rPr>
          <w:rFonts w:ascii="Arial" w:hAnsi="Arial"/>
          <w:sz w:val="18"/>
        </w:rPr>
        <w:t>IFAT</w:t>
      </w:r>
      <w:r w:rsidRPr="00B97D87">
        <w:rPr>
          <w:rFonts w:ascii="Arial" w:hAnsi="Arial"/>
          <w:sz w:val="18"/>
          <w:highlight w:val="yellow"/>
          <w:u w:val="double"/>
        </w:rPr>
        <w:t>,</w:t>
      </w:r>
      <w:r w:rsidRPr="00B97D87">
        <w:rPr>
          <w:rFonts w:ascii="Arial" w:hAnsi="Arial"/>
          <w:sz w:val="18"/>
          <w:highlight w:val="yellow"/>
        </w:rPr>
        <w:t xml:space="preserve"> </w:t>
      </w:r>
      <w:r w:rsidRPr="00B97D87">
        <w:rPr>
          <w:rFonts w:ascii="Arial" w:hAnsi="Arial"/>
          <w:strike/>
          <w:sz w:val="18"/>
          <w:highlight w:val="yellow"/>
        </w:rPr>
        <w:t>or</w:t>
      </w:r>
      <w:r w:rsidRPr="00B97D87">
        <w:rPr>
          <w:rFonts w:ascii="Arial" w:hAnsi="Arial"/>
          <w:strike/>
          <w:sz w:val="18"/>
        </w:rPr>
        <w:t xml:space="preserve"> </w:t>
      </w:r>
      <w:r w:rsidRPr="006237A8">
        <w:rPr>
          <w:rFonts w:ascii="Arial" w:hAnsi="Arial"/>
          <w:sz w:val="18"/>
        </w:rPr>
        <w:t>Ag-ELISA</w:t>
      </w:r>
      <w:r w:rsidRPr="00B97D87">
        <w:rPr>
          <w:rFonts w:ascii="Arial" w:hAnsi="Arial"/>
          <w:sz w:val="18"/>
          <w:highlight w:val="yellow"/>
          <w:u w:val="double"/>
        </w:rPr>
        <w:t>,</w:t>
      </w:r>
      <w:r w:rsidRPr="00B97D87">
        <w:rPr>
          <w:rFonts w:ascii="Arial" w:hAnsi="Arial"/>
          <w:sz w:val="18"/>
        </w:rPr>
        <w:t xml:space="preserve"> </w:t>
      </w:r>
      <w:r w:rsidRPr="006237A8">
        <w:rPr>
          <w:rFonts w:ascii="Arial" w:hAnsi="Arial"/>
          <w:sz w:val="18"/>
        </w:rPr>
        <w:t xml:space="preserve">or by a neutralisation test </w:t>
      </w:r>
      <w:r w:rsidRPr="00B97D87">
        <w:rPr>
          <w:rFonts w:ascii="Arial" w:hAnsi="Arial"/>
          <w:strike/>
          <w:sz w:val="18"/>
          <w:highlight w:val="yellow"/>
        </w:rPr>
        <w:t xml:space="preserve">and a positive result </w:t>
      </w:r>
      <w:r w:rsidRPr="0014778F">
        <w:rPr>
          <w:rFonts w:ascii="Arial" w:hAnsi="Arial"/>
          <w:strike/>
          <w:sz w:val="18"/>
          <w:highlight w:val="yellow"/>
          <w:u w:val="double"/>
        </w:rPr>
        <w:t>followed by</w:t>
      </w:r>
      <w:r>
        <w:rPr>
          <w:rFonts w:ascii="Arial" w:hAnsi="Arial"/>
          <w:sz w:val="18"/>
          <w:highlight w:val="yellow"/>
          <w:u w:val="double"/>
        </w:rPr>
        <w:t>and</w:t>
      </w:r>
      <w:r w:rsidRPr="00B97D87">
        <w:rPr>
          <w:rFonts w:ascii="Arial" w:hAnsi="Arial"/>
          <w:sz w:val="18"/>
          <w:highlight w:val="yellow"/>
          <w:u w:val="double"/>
        </w:rPr>
        <w:t xml:space="preserve"> detection of IHNV in a tissue sample</w:t>
      </w:r>
      <w:r w:rsidRPr="00B97D87">
        <w:rPr>
          <w:rFonts w:ascii="Arial" w:hAnsi="Arial"/>
          <w:sz w:val="18"/>
          <w:highlight w:val="yellow"/>
        </w:rPr>
        <w:t xml:space="preserve"> </w:t>
      </w:r>
      <w:r w:rsidRPr="006237A8">
        <w:rPr>
          <w:rFonts w:ascii="Arial" w:hAnsi="Arial"/>
          <w:sz w:val="18"/>
        </w:rPr>
        <w:t>by real-time RT-PCR;</w:t>
      </w:r>
    </w:p>
    <w:p w14:paraId="71E3F5A0" w14:textId="77777777" w:rsidR="00E65E42" w:rsidRPr="00D403F5" w:rsidRDefault="00E65E42" w:rsidP="002E2D1E">
      <w:pPr>
        <w:pStyle w:val="Para3i"/>
        <w:ind w:left="1134" w:hanging="425"/>
        <w:rPr>
          <w:rFonts w:ascii="Arial" w:hAnsi="Arial"/>
          <w:sz w:val="18"/>
        </w:rPr>
      </w:pPr>
      <w:r w:rsidRPr="00D403F5">
        <w:rPr>
          <w:rFonts w:ascii="Arial" w:hAnsi="Arial"/>
          <w:sz w:val="18"/>
        </w:rPr>
        <w:t>iii)</w:t>
      </w:r>
      <w:r w:rsidRPr="00D403F5">
        <w:rPr>
          <w:rFonts w:ascii="Arial" w:hAnsi="Arial"/>
          <w:sz w:val="18"/>
        </w:rPr>
        <w:tab/>
      </w:r>
      <w:r w:rsidRPr="00B97D87">
        <w:rPr>
          <w:rFonts w:ascii="Arial" w:hAnsi="Arial"/>
          <w:sz w:val="18"/>
          <w:highlight w:val="yellow"/>
          <w:u w:val="double"/>
        </w:rPr>
        <w:t>CPE</w:t>
      </w:r>
      <w:r w:rsidRPr="00B97D87">
        <w:rPr>
          <w:rFonts w:ascii="Arial" w:hAnsi="Arial"/>
          <w:strike/>
          <w:sz w:val="18"/>
          <w:highlight w:val="yellow"/>
        </w:rPr>
        <w:t xml:space="preserve"> Isolation of virus</w:t>
      </w:r>
      <w:r w:rsidRPr="006237A8">
        <w:rPr>
          <w:rFonts w:ascii="Arial" w:hAnsi="Arial"/>
          <w:sz w:val="18"/>
        </w:rPr>
        <w:t xml:space="preserve"> </w:t>
      </w:r>
      <w:r w:rsidRPr="00D403F5">
        <w:rPr>
          <w:rFonts w:ascii="Arial" w:hAnsi="Arial"/>
          <w:sz w:val="18"/>
        </w:rPr>
        <w:t xml:space="preserve">in cell culture </w:t>
      </w:r>
      <w:r w:rsidRPr="00AB5F09">
        <w:rPr>
          <w:rFonts w:ascii="Arial" w:hAnsi="Arial"/>
          <w:strike/>
          <w:sz w:val="18"/>
          <w:highlight w:val="yellow"/>
        </w:rPr>
        <w:t>confirmed by</w:t>
      </w:r>
      <w:r w:rsidRPr="00CE3083">
        <w:rPr>
          <w:rFonts w:ascii="Arial" w:hAnsi="Arial"/>
          <w:strike/>
          <w:sz w:val="18"/>
          <w:highlight w:val="yellow"/>
        </w:rPr>
        <w:t xml:space="preserve"> </w:t>
      </w:r>
      <w:r w:rsidRPr="00B97D87">
        <w:rPr>
          <w:rFonts w:ascii="Arial" w:hAnsi="Arial"/>
          <w:sz w:val="18"/>
          <w:highlight w:val="yellow"/>
          <w:u w:val="double"/>
        </w:rPr>
        <w:t xml:space="preserve">identified as IHNV by real-time RT-PCR, conventional PCR, </w:t>
      </w:r>
      <w:r w:rsidRPr="00D403F5">
        <w:rPr>
          <w:rFonts w:ascii="Arial" w:hAnsi="Arial"/>
          <w:sz w:val="18"/>
        </w:rPr>
        <w:t>IFAT</w:t>
      </w:r>
      <w:r w:rsidRPr="00AB5F09">
        <w:rPr>
          <w:rFonts w:ascii="Arial" w:hAnsi="Arial"/>
          <w:sz w:val="18"/>
          <w:highlight w:val="yellow"/>
          <w:u w:val="double"/>
        </w:rPr>
        <w:t>,</w:t>
      </w:r>
      <w:r w:rsidRPr="00D403F5">
        <w:rPr>
          <w:rFonts w:ascii="Arial" w:hAnsi="Arial"/>
          <w:sz w:val="18"/>
        </w:rPr>
        <w:t xml:space="preserve"> </w:t>
      </w:r>
      <w:r w:rsidRPr="00AB5F09">
        <w:rPr>
          <w:rFonts w:ascii="Arial" w:hAnsi="Arial"/>
          <w:strike/>
          <w:sz w:val="18"/>
          <w:highlight w:val="yellow"/>
        </w:rPr>
        <w:t>or</w:t>
      </w:r>
      <w:r w:rsidRPr="00AB5F09">
        <w:rPr>
          <w:rFonts w:ascii="Arial" w:hAnsi="Arial"/>
          <w:strike/>
          <w:sz w:val="18"/>
        </w:rPr>
        <w:t xml:space="preserve"> </w:t>
      </w:r>
      <w:r w:rsidRPr="00D403F5">
        <w:rPr>
          <w:rFonts w:ascii="Arial" w:hAnsi="Arial"/>
          <w:sz w:val="18"/>
        </w:rPr>
        <w:t>Ag-ELISA</w:t>
      </w:r>
      <w:r w:rsidRPr="00AB5F09">
        <w:rPr>
          <w:rFonts w:ascii="Arial" w:hAnsi="Arial"/>
          <w:sz w:val="18"/>
          <w:highlight w:val="yellow"/>
          <w:u w:val="double"/>
        </w:rPr>
        <w:t>,</w:t>
      </w:r>
      <w:r w:rsidRPr="00D403F5">
        <w:rPr>
          <w:rFonts w:ascii="Arial" w:hAnsi="Arial"/>
          <w:sz w:val="18"/>
        </w:rPr>
        <w:t xml:space="preserve"> or by a neutralisation test </w:t>
      </w:r>
      <w:r w:rsidRPr="00AB5F09">
        <w:rPr>
          <w:rFonts w:ascii="Arial" w:hAnsi="Arial"/>
          <w:strike/>
          <w:sz w:val="18"/>
          <w:highlight w:val="yellow"/>
        </w:rPr>
        <w:t xml:space="preserve">and </w:t>
      </w:r>
      <w:r w:rsidRPr="0014778F">
        <w:rPr>
          <w:rFonts w:ascii="Arial" w:hAnsi="Arial"/>
          <w:strike/>
          <w:sz w:val="18"/>
          <w:highlight w:val="yellow"/>
          <w:u w:val="double"/>
        </w:rPr>
        <w:t>followed by</w:t>
      </w:r>
      <w:r>
        <w:rPr>
          <w:rFonts w:ascii="Arial" w:hAnsi="Arial"/>
          <w:sz w:val="18"/>
          <w:highlight w:val="yellow"/>
          <w:u w:val="double"/>
        </w:rPr>
        <w:t>and</w:t>
      </w:r>
      <w:r w:rsidRPr="00B97D87">
        <w:rPr>
          <w:rFonts w:ascii="Arial" w:hAnsi="Arial"/>
          <w:sz w:val="18"/>
          <w:highlight w:val="yellow"/>
          <w:u w:val="double"/>
        </w:rPr>
        <w:t xml:space="preserve"> detection of IHNV in a tissue sample by</w:t>
      </w:r>
      <w:r w:rsidRPr="00CE3083">
        <w:rPr>
          <w:rFonts w:ascii="Arial" w:hAnsi="Arial"/>
          <w:sz w:val="18"/>
        </w:rPr>
        <w:t xml:space="preserve"> </w:t>
      </w:r>
      <w:r w:rsidRPr="00D403F5">
        <w:rPr>
          <w:rFonts w:ascii="Arial" w:hAnsi="Arial"/>
          <w:sz w:val="18"/>
        </w:rPr>
        <w:t>conventional PCR and amplicon sequencing;</w:t>
      </w:r>
    </w:p>
    <w:p w14:paraId="5152F1D0" w14:textId="77777777" w:rsidR="00E65E42" w:rsidRPr="00D403F5" w:rsidRDefault="00E65E42" w:rsidP="002E2D1E">
      <w:pPr>
        <w:pStyle w:val="Para3i"/>
        <w:ind w:left="1134" w:hanging="425"/>
        <w:rPr>
          <w:rFonts w:ascii="Arial" w:hAnsi="Arial"/>
          <w:sz w:val="18"/>
        </w:rPr>
      </w:pPr>
      <w:r w:rsidRPr="0014778F">
        <w:rPr>
          <w:rFonts w:ascii="Arial" w:hAnsi="Arial"/>
          <w:strike/>
          <w:sz w:val="18"/>
          <w:highlight w:val="yellow"/>
        </w:rPr>
        <w:t>iv)</w:t>
      </w:r>
      <w:r w:rsidRPr="00D403F5">
        <w:rPr>
          <w:rFonts w:ascii="Arial" w:hAnsi="Arial"/>
          <w:sz w:val="18"/>
        </w:rPr>
        <w:tab/>
      </w:r>
      <w:r w:rsidRPr="0014778F">
        <w:rPr>
          <w:rFonts w:ascii="Arial" w:hAnsi="Arial"/>
          <w:strike/>
          <w:sz w:val="18"/>
          <w:highlight w:val="yellow"/>
          <w:u w:val="double"/>
        </w:rPr>
        <w:t xml:space="preserve">Positive result by real-time RT-PCR followed by </w:t>
      </w:r>
      <w:r w:rsidRPr="0014778F">
        <w:rPr>
          <w:rFonts w:ascii="Arial" w:hAnsi="Arial"/>
          <w:strike/>
          <w:sz w:val="18"/>
          <w:highlight w:val="yellow"/>
        </w:rPr>
        <w:t xml:space="preserve">isolation of virus in cell culture </w:t>
      </w:r>
      <w:r w:rsidRPr="00DA6378">
        <w:rPr>
          <w:rFonts w:ascii="Arial" w:hAnsi="Arial"/>
          <w:strike/>
          <w:sz w:val="18"/>
          <w:highlight w:val="yellow"/>
        </w:rPr>
        <w:t>confirmed by</w:t>
      </w:r>
      <w:r w:rsidRPr="00DA6378">
        <w:rPr>
          <w:rFonts w:ascii="Arial" w:hAnsi="Arial"/>
          <w:strike/>
          <w:sz w:val="18"/>
          <w:highlight w:val="yellow"/>
          <w:u w:val="double"/>
        </w:rPr>
        <w:t xml:space="preserve"> </w:t>
      </w:r>
      <w:r w:rsidRPr="0014778F">
        <w:rPr>
          <w:rFonts w:ascii="Arial" w:hAnsi="Arial"/>
          <w:strike/>
          <w:sz w:val="18"/>
          <w:highlight w:val="yellow"/>
          <w:u w:val="double"/>
        </w:rPr>
        <w:t>identified as IHNV by real-time RT-PCR,</w:t>
      </w:r>
      <w:r w:rsidRPr="0014778F">
        <w:rPr>
          <w:rFonts w:ascii="Arial" w:hAnsi="Arial"/>
          <w:strike/>
          <w:sz w:val="18"/>
          <w:highlight w:val="yellow"/>
        </w:rPr>
        <w:t xml:space="preserve"> conventional PCR</w:t>
      </w:r>
      <w:r w:rsidRPr="0014778F">
        <w:rPr>
          <w:rFonts w:ascii="Arial" w:hAnsi="Arial"/>
          <w:strike/>
          <w:sz w:val="18"/>
          <w:highlight w:val="yellow"/>
          <w:u w:val="double"/>
        </w:rPr>
        <w:t>, IFAT, Ag-ELISA, or by a neutralisation test</w:t>
      </w:r>
      <w:r w:rsidRPr="00DA6378">
        <w:rPr>
          <w:rFonts w:ascii="Arial" w:hAnsi="Arial"/>
          <w:strike/>
          <w:sz w:val="18"/>
          <w:highlight w:val="yellow"/>
        </w:rPr>
        <w:t xml:space="preserve"> and amplicon sequencing</w:t>
      </w:r>
      <w:r w:rsidRPr="0014778F">
        <w:rPr>
          <w:rFonts w:ascii="Arial" w:hAnsi="Arial"/>
          <w:strike/>
          <w:sz w:val="18"/>
          <w:highlight w:val="yellow"/>
        </w:rPr>
        <w:t>.</w:t>
      </w:r>
    </w:p>
    <w:p w14:paraId="7613879C" w14:textId="77777777" w:rsidR="00E65E42" w:rsidRPr="00D403F5" w:rsidRDefault="00E65E42" w:rsidP="002E2D1E">
      <w:pPr>
        <w:pStyle w:val="Para3"/>
        <w:spacing w:after="180"/>
        <w:ind w:left="709"/>
        <w:rPr>
          <w:rFonts w:cs="Arial"/>
          <w:szCs w:val="18"/>
        </w:rPr>
      </w:pPr>
      <w:r w:rsidRPr="00D403F5">
        <w:rPr>
          <w:rFonts w:cs="Arial"/>
          <w:szCs w:val="18"/>
        </w:rPr>
        <w:t>Reference Laboratories should be contacted for specimen referral when testing laboratories cannot undertake any of the recommended test methods and testing is being undertaken that will result in notification to the OIE.</w:t>
      </w:r>
    </w:p>
    <w:p w14:paraId="66465DB6" w14:textId="77777777" w:rsidR="00E65E42" w:rsidRPr="0089592E" w:rsidRDefault="00E65E42" w:rsidP="002E2D1E">
      <w:pPr>
        <w:pStyle w:val="11"/>
        <w:rPr>
          <w:rFonts w:ascii="Ottawa" w:hAnsi="Ottawa" w:cs="Arial"/>
          <w:sz w:val="21"/>
          <w:szCs w:val="21"/>
          <w:lang w:val="en-IE"/>
        </w:rPr>
      </w:pPr>
      <w:r w:rsidRPr="0089592E">
        <w:rPr>
          <w:rFonts w:ascii="Ottawa" w:hAnsi="Ottawa" w:cs="Arial"/>
          <w:sz w:val="21"/>
          <w:szCs w:val="21"/>
          <w:lang w:val="en-IE"/>
        </w:rPr>
        <w:t>6.2</w:t>
      </w:r>
      <w:r>
        <w:rPr>
          <w:rFonts w:ascii="Ottawa" w:hAnsi="Ottawa" w:cs="Arial"/>
          <w:sz w:val="21"/>
          <w:szCs w:val="21"/>
          <w:lang w:val="en-IE"/>
        </w:rPr>
        <w:t>.</w:t>
      </w:r>
      <w:r w:rsidRPr="0089592E">
        <w:rPr>
          <w:rFonts w:ascii="Ottawa" w:hAnsi="Ottawa" w:cs="Arial"/>
          <w:sz w:val="21"/>
          <w:szCs w:val="21"/>
          <w:lang w:val="en-IE"/>
        </w:rPr>
        <w:tab/>
      </w:r>
      <w:r w:rsidRPr="002E2D1E">
        <w:rPr>
          <w:rFonts w:ascii="Ottawa" w:hAnsi="Ottawa"/>
          <w:sz w:val="21"/>
          <w:szCs w:val="21"/>
          <w:lang w:val="en-IE"/>
        </w:rPr>
        <w:t>Clinically</w:t>
      </w:r>
      <w:r w:rsidRPr="0089592E">
        <w:rPr>
          <w:rFonts w:ascii="Ottawa" w:hAnsi="Ottawa" w:cs="Arial"/>
          <w:sz w:val="21"/>
          <w:szCs w:val="21"/>
          <w:lang w:val="en-IE"/>
        </w:rPr>
        <w:t xml:space="preserve"> affected animals</w:t>
      </w:r>
    </w:p>
    <w:p w14:paraId="3485FAA4" w14:textId="77777777" w:rsidR="00E65E42" w:rsidRPr="00D403F5" w:rsidRDefault="00E65E42" w:rsidP="002E2D1E">
      <w:pPr>
        <w:pStyle w:val="Para20"/>
        <w:ind w:left="709"/>
        <w:rPr>
          <w:rFonts w:cs="Arial"/>
          <w:szCs w:val="18"/>
        </w:rPr>
      </w:pPr>
      <w:r w:rsidRPr="00D403F5">
        <w:rPr>
          <w:rFonts w:cs="Arial"/>
          <w:szCs w:val="18"/>
        </w:rPr>
        <w:t>Clinical signs are not pathognomonic for a single disease; however, they may narrow the range of possible diagnoses.</w:t>
      </w:r>
    </w:p>
    <w:p w14:paraId="12ED3228" w14:textId="77777777" w:rsidR="00E65E42" w:rsidRPr="0089592E" w:rsidRDefault="00E65E42" w:rsidP="002E2D1E">
      <w:pPr>
        <w:pStyle w:val="111"/>
        <w:spacing w:after="180"/>
        <w:ind w:left="1276"/>
        <w:rPr>
          <w:rFonts w:cs="Arial"/>
          <w:szCs w:val="20"/>
          <w:lang w:val="en-IE"/>
        </w:rPr>
      </w:pPr>
      <w:r w:rsidRPr="0089592E">
        <w:rPr>
          <w:rFonts w:cs="Arial"/>
          <w:szCs w:val="20"/>
          <w:lang w:val="en-IE"/>
        </w:rPr>
        <w:t>6.2.1.</w:t>
      </w:r>
      <w:r w:rsidRPr="0089592E">
        <w:rPr>
          <w:rFonts w:cs="Arial"/>
          <w:szCs w:val="20"/>
          <w:lang w:val="en-IE"/>
        </w:rPr>
        <w:tab/>
        <w:t>Definition of suspect case in clinically affected animals</w:t>
      </w:r>
    </w:p>
    <w:p w14:paraId="30A9F46F" w14:textId="77777777" w:rsidR="00E65E42" w:rsidRDefault="00E65E42" w:rsidP="002E2D1E">
      <w:pPr>
        <w:pStyle w:val="Para3"/>
        <w:ind w:left="709"/>
        <w:rPr>
          <w:rFonts w:cs="Arial"/>
          <w:szCs w:val="18"/>
        </w:rPr>
      </w:pPr>
      <w:r w:rsidRPr="00D403F5">
        <w:rPr>
          <w:rFonts w:cs="Arial"/>
          <w:szCs w:val="18"/>
        </w:rPr>
        <w:t xml:space="preserve">The presence of infection </w:t>
      </w:r>
      <w:r w:rsidRPr="00807EFC">
        <w:rPr>
          <w:rFonts w:cs="Arial"/>
          <w:szCs w:val="18"/>
          <w:highlight w:val="yellow"/>
          <w:u w:val="double"/>
        </w:rPr>
        <w:t>with IHNV</w:t>
      </w:r>
      <w:r>
        <w:rPr>
          <w:rFonts w:cs="Arial"/>
          <w:szCs w:val="18"/>
        </w:rPr>
        <w:t xml:space="preserve"> </w:t>
      </w:r>
      <w:r w:rsidRPr="00D403F5">
        <w:rPr>
          <w:rFonts w:cs="Arial"/>
          <w:szCs w:val="18"/>
        </w:rPr>
        <w:t>shall be suspected if at least one of the following criteria is met:</w:t>
      </w:r>
    </w:p>
    <w:p w14:paraId="0313203E" w14:textId="77777777" w:rsidR="00E65E42" w:rsidRPr="00D403F5" w:rsidRDefault="00E65E42" w:rsidP="002E2D1E">
      <w:pPr>
        <w:pStyle w:val="Para3i"/>
        <w:ind w:left="1134" w:hanging="425"/>
        <w:rPr>
          <w:rFonts w:ascii="Arial" w:hAnsi="Arial"/>
          <w:sz w:val="18"/>
        </w:rPr>
      </w:pPr>
      <w:r w:rsidRPr="00D403F5">
        <w:rPr>
          <w:rFonts w:ascii="Arial" w:hAnsi="Arial"/>
          <w:sz w:val="18"/>
        </w:rPr>
        <w:t>i)</w:t>
      </w:r>
      <w:r w:rsidRPr="00D403F5">
        <w:rPr>
          <w:rFonts w:ascii="Arial" w:hAnsi="Arial"/>
          <w:sz w:val="18"/>
        </w:rPr>
        <w:tab/>
      </w:r>
      <w:r w:rsidRPr="00D403F5">
        <w:rPr>
          <w:rFonts w:ascii="Arial" w:hAnsi="Arial"/>
          <w:sz w:val="18"/>
          <w:lang w:bidi="en-US"/>
        </w:rPr>
        <w:t>Gross pathology or clinical signs associated with the disease as described in this chapter, with or without elevated mortality;</w:t>
      </w:r>
    </w:p>
    <w:p w14:paraId="0FC89CCE" w14:textId="77777777" w:rsidR="00E65E42" w:rsidRPr="00D403F5" w:rsidRDefault="00E65E42" w:rsidP="002E2D1E">
      <w:pPr>
        <w:pStyle w:val="Para3i"/>
        <w:ind w:left="1134" w:hanging="425"/>
        <w:rPr>
          <w:rFonts w:ascii="Arial" w:hAnsi="Arial"/>
          <w:sz w:val="18"/>
        </w:rPr>
      </w:pPr>
      <w:r w:rsidRPr="00D403F5">
        <w:rPr>
          <w:rFonts w:ascii="Arial" w:hAnsi="Arial"/>
          <w:sz w:val="18"/>
        </w:rPr>
        <w:t>ii)</w:t>
      </w:r>
      <w:r w:rsidRPr="00D403F5">
        <w:rPr>
          <w:rFonts w:ascii="Arial" w:hAnsi="Arial"/>
          <w:sz w:val="18"/>
        </w:rPr>
        <w:tab/>
        <w:t>Positive result by real-time RT-PCR;</w:t>
      </w:r>
    </w:p>
    <w:p w14:paraId="1E3439BF" w14:textId="77777777" w:rsidR="00E65E42" w:rsidRPr="00D403F5" w:rsidRDefault="00E65E42" w:rsidP="002E2D1E">
      <w:pPr>
        <w:pStyle w:val="Para3i"/>
        <w:ind w:left="1134" w:hanging="425"/>
        <w:rPr>
          <w:rFonts w:ascii="Arial" w:hAnsi="Arial"/>
          <w:sz w:val="18"/>
        </w:rPr>
      </w:pPr>
      <w:r w:rsidRPr="00D403F5">
        <w:rPr>
          <w:rFonts w:ascii="Arial" w:hAnsi="Arial"/>
          <w:sz w:val="18"/>
        </w:rPr>
        <w:t>iii)</w:t>
      </w:r>
      <w:r w:rsidRPr="00D403F5">
        <w:rPr>
          <w:rFonts w:ascii="Arial" w:hAnsi="Arial"/>
          <w:sz w:val="18"/>
        </w:rPr>
        <w:tab/>
      </w:r>
      <w:r w:rsidRPr="006936A4">
        <w:rPr>
          <w:rFonts w:ascii="Arial" w:hAnsi="Arial"/>
          <w:sz w:val="18"/>
          <w:highlight w:val="yellow"/>
          <w:u w:val="double"/>
        </w:rPr>
        <w:t>IHNV</w:t>
      </w:r>
      <w:r>
        <w:rPr>
          <w:rFonts w:ascii="Arial" w:hAnsi="Arial"/>
          <w:sz w:val="18"/>
          <w:highlight w:val="yellow"/>
          <w:u w:val="double"/>
        </w:rPr>
        <w:t>-</w:t>
      </w:r>
      <w:r w:rsidRPr="006936A4">
        <w:rPr>
          <w:rFonts w:ascii="Arial" w:hAnsi="Arial"/>
          <w:sz w:val="18"/>
          <w:highlight w:val="yellow"/>
          <w:u w:val="double"/>
        </w:rPr>
        <w:t>typical</w:t>
      </w:r>
      <w:r>
        <w:rPr>
          <w:rFonts w:ascii="Arial" w:hAnsi="Arial"/>
          <w:sz w:val="18"/>
          <w:highlight w:val="yellow"/>
          <w:u w:val="double"/>
        </w:rPr>
        <w:t xml:space="preserve"> </w:t>
      </w:r>
      <w:r w:rsidRPr="006936A4">
        <w:rPr>
          <w:rFonts w:ascii="Arial" w:hAnsi="Arial"/>
          <w:sz w:val="18"/>
          <w:highlight w:val="yellow"/>
          <w:u w:val="double"/>
        </w:rPr>
        <w:t>CPE</w:t>
      </w:r>
      <w:r w:rsidRPr="006E2307">
        <w:rPr>
          <w:rFonts w:ascii="Arial" w:hAnsi="Arial"/>
          <w:sz w:val="18"/>
          <w:highlight w:val="yellow"/>
        </w:rPr>
        <w:t xml:space="preserve"> </w:t>
      </w:r>
      <w:r w:rsidRPr="006936A4">
        <w:rPr>
          <w:rFonts w:ascii="Arial" w:hAnsi="Arial"/>
          <w:strike/>
          <w:sz w:val="18"/>
          <w:highlight w:val="yellow"/>
        </w:rPr>
        <w:t>Cytopathic effect</w:t>
      </w:r>
      <w:r w:rsidRPr="006936A4">
        <w:rPr>
          <w:rFonts w:ascii="Arial" w:hAnsi="Arial"/>
          <w:strike/>
          <w:sz w:val="18"/>
        </w:rPr>
        <w:t xml:space="preserve"> </w:t>
      </w:r>
      <w:r w:rsidRPr="00D403F5">
        <w:rPr>
          <w:rFonts w:ascii="Arial" w:hAnsi="Arial"/>
          <w:sz w:val="18"/>
        </w:rPr>
        <w:t>in cell culture.</w:t>
      </w:r>
    </w:p>
    <w:p w14:paraId="549813A0" w14:textId="77777777" w:rsidR="00E65E42" w:rsidRPr="0089592E" w:rsidRDefault="00E65E42" w:rsidP="002E2D1E">
      <w:pPr>
        <w:pStyle w:val="111"/>
        <w:spacing w:after="180"/>
        <w:ind w:left="1276"/>
        <w:rPr>
          <w:rFonts w:cs="Arial"/>
          <w:szCs w:val="20"/>
          <w:lang w:val="en-IE"/>
        </w:rPr>
      </w:pPr>
      <w:r w:rsidRPr="0089592E">
        <w:rPr>
          <w:rFonts w:cs="Arial"/>
          <w:szCs w:val="20"/>
          <w:lang w:val="en-IE"/>
        </w:rPr>
        <w:t>6.2.2.</w:t>
      </w:r>
      <w:r w:rsidRPr="0089592E">
        <w:rPr>
          <w:rFonts w:cs="Arial"/>
          <w:szCs w:val="20"/>
          <w:lang w:val="en-IE"/>
        </w:rPr>
        <w:tab/>
        <w:t>Definition of confirmed case in clinically affected animals</w:t>
      </w:r>
    </w:p>
    <w:p w14:paraId="6935C6A7" w14:textId="77777777" w:rsidR="00E65E42" w:rsidRPr="00D403F5" w:rsidRDefault="00E65E42" w:rsidP="002E2D1E">
      <w:pPr>
        <w:spacing w:after="240" w:line="240" w:lineRule="auto"/>
        <w:ind w:left="709"/>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 xml:space="preserve">The presence of infection </w:t>
      </w:r>
      <w:r w:rsidRPr="00FA52C1">
        <w:rPr>
          <w:rFonts w:ascii="Arial" w:eastAsia="Times New Roman" w:hAnsi="Arial" w:cs="Arial"/>
          <w:bCs/>
          <w:sz w:val="18"/>
          <w:szCs w:val="18"/>
          <w:highlight w:val="yellow"/>
          <w:u w:val="double"/>
          <w:lang w:val="en-IE"/>
        </w:rPr>
        <w:t>with IHNV</w:t>
      </w:r>
      <w:r w:rsidRPr="00FA52C1">
        <w:rPr>
          <w:rFonts w:ascii="Arial" w:hAnsi="Arial" w:cs="Arial"/>
          <w:sz w:val="18"/>
          <w:szCs w:val="18"/>
          <w:highlight w:val="yellow"/>
          <w:u w:val="double"/>
        </w:rPr>
        <w:t xml:space="preserve"> is considered to </w:t>
      </w:r>
      <w:r w:rsidRPr="00FA52C1">
        <w:rPr>
          <w:rFonts w:ascii="Arial" w:eastAsia="Times New Roman" w:hAnsi="Arial" w:cs="Arial"/>
          <w:bCs/>
          <w:strike/>
          <w:sz w:val="18"/>
          <w:szCs w:val="18"/>
          <w:lang w:val="en-IE"/>
        </w:rPr>
        <w:t xml:space="preserve">shall </w:t>
      </w:r>
      <w:r w:rsidRPr="00FA52C1">
        <w:rPr>
          <w:rFonts w:ascii="Arial" w:eastAsia="Times New Roman" w:hAnsi="Arial" w:cs="Arial"/>
          <w:bCs/>
          <w:sz w:val="18"/>
          <w:szCs w:val="18"/>
          <w:lang w:val="en-IE"/>
        </w:rPr>
        <w:t>be confirmed</w:t>
      </w:r>
      <w:r w:rsidRPr="00FA52C1">
        <w:rPr>
          <w:rFonts w:ascii="Arial" w:eastAsia="Times New Roman" w:hAnsi="Arial" w:cs="Times New Roman"/>
          <w:bCs/>
          <w:sz w:val="18"/>
          <w:szCs w:val="18"/>
          <w:lang w:val="en-IE"/>
        </w:rPr>
        <w:t xml:space="preserve"> </w:t>
      </w:r>
      <w:r w:rsidRPr="00D403F5">
        <w:rPr>
          <w:rFonts w:ascii="Arial" w:eastAsia="Times New Roman" w:hAnsi="Arial" w:cs="Times New Roman"/>
          <w:bCs/>
          <w:sz w:val="18"/>
          <w:szCs w:val="18"/>
          <w:lang w:val="en-IE"/>
        </w:rPr>
        <w:t>if</w:t>
      </w:r>
      <w:r w:rsidRPr="00BF51FB">
        <w:rPr>
          <w:rFonts w:ascii="Arial" w:eastAsia="Times New Roman" w:hAnsi="Arial" w:cs="Times New Roman"/>
          <w:bCs/>
          <w:sz w:val="18"/>
          <w:szCs w:val="18"/>
          <w:highlight w:val="yellow"/>
          <w:u w:val="double"/>
          <w:lang w:val="en-IE"/>
        </w:rPr>
        <w:t>, in addition to the criteria in Section 6.2</w:t>
      </w:r>
      <w:r w:rsidRPr="00807EFC">
        <w:rPr>
          <w:rFonts w:ascii="Arial" w:eastAsia="Times New Roman" w:hAnsi="Arial" w:cs="Times New Roman"/>
          <w:bCs/>
          <w:sz w:val="18"/>
          <w:szCs w:val="18"/>
          <w:highlight w:val="yellow"/>
          <w:u w:val="double"/>
          <w:lang w:val="en-IE"/>
        </w:rPr>
        <w:t>.1.,</w:t>
      </w:r>
      <w:r w:rsidRPr="00807EFC">
        <w:rPr>
          <w:rFonts w:ascii="Arial" w:eastAsia="Times New Roman" w:hAnsi="Arial" w:cs="Times New Roman"/>
          <w:bCs/>
          <w:sz w:val="18"/>
          <w:szCs w:val="18"/>
          <w:highlight w:val="yellow"/>
          <w:lang w:val="en-IE"/>
        </w:rPr>
        <w:t xml:space="preserve"> </w:t>
      </w:r>
      <w:r w:rsidRPr="00807EFC">
        <w:rPr>
          <w:rFonts w:ascii="Arial" w:eastAsia="Times New Roman" w:hAnsi="Arial" w:cs="Times New Roman"/>
          <w:bCs/>
          <w:strike/>
          <w:sz w:val="18"/>
          <w:szCs w:val="18"/>
          <w:highlight w:val="yellow"/>
          <w:lang w:val="en-IE"/>
        </w:rPr>
        <w:t xml:space="preserve">positive </w:t>
      </w:r>
      <w:r w:rsidRPr="00BF51FB">
        <w:rPr>
          <w:rFonts w:ascii="Arial" w:eastAsia="Times New Roman" w:hAnsi="Arial" w:cs="Times New Roman"/>
          <w:bCs/>
          <w:strike/>
          <w:sz w:val="18"/>
          <w:szCs w:val="18"/>
          <w:highlight w:val="yellow"/>
          <w:lang w:val="en-IE"/>
        </w:rPr>
        <w:t>results has been obtained on at least one animal from two tests used in the following combination</w:t>
      </w:r>
      <w:r>
        <w:rPr>
          <w:rFonts w:ascii="Arial" w:eastAsia="Times New Roman" w:hAnsi="Arial" w:cs="Times New Roman"/>
          <w:bCs/>
          <w:strike/>
          <w:sz w:val="18"/>
          <w:szCs w:val="18"/>
          <w:highlight w:val="yellow"/>
          <w:lang w:val="en-IE"/>
        </w:rPr>
        <w:t xml:space="preserve"> </w:t>
      </w:r>
      <w:r w:rsidRPr="00BF51FB">
        <w:rPr>
          <w:rFonts w:ascii="Arial" w:eastAsia="Times New Roman" w:hAnsi="Arial" w:cs="Times New Roman"/>
          <w:bCs/>
          <w:sz w:val="18"/>
          <w:szCs w:val="18"/>
          <w:highlight w:val="yellow"/>
          <w:u w:val="double"/>
          <w:lang w:val="en-IE"/>
        </w:rPr>
        <w:t xml:space="preserve">one or more of the following criteria </w:t>
      </w:r>
      <w:r>
        <w:rPr>
          <w:rFonts w:ascii="Arial" w:eastAsia="Times New Roman" w:hAnsi="Arial" w:cs="Times New Roman"/>
          <w:bCs/>
          <w:sz w:val="18"/>
          <w:szCs w:val="18"/>
          <w:highlight w:val="yellow"/>
          <w:u w:val="double"/>
          <w:lang w:val="en-IE"/>
        </w:rPr>
        <w:t>is</w:t>
      </w:r>
      <w:r w:rsidRPr="00BF51FB">
        <w:rPr>
          <w:rFonts w:ascii="Arial" w:eastAsia="Times New Roman" w:hAnsi="Arial" w:cs="Times New Roman"/>
          <w:bCs/>
          <w:sz w:val="18"/>
          <w:szCs w:val="18"/>
          <w:highlight w:val="yellow"/>
          <w:u w:val="double"/>
          <w:lang w:val="en-IE"/>
        </w:rPr>
        <w:t xml:space="preserve"> met:</w:t>
      </w:r>
    </w:p>
    <w:p w14:paraId="4F12D33A" w14:textId="77777777" w:rsidR="00E65E42" w:rsidRPr="006237A8" w:rsidRDefault="00E65E42" w:rsidP="002E2D1E">
      <w:pPr>
        <w:pStyle w:val="Para3i"/>
        <w:ind w:left="1134" w:hanging="425"/>
        <w:rPr>
          <w:rFonts w:ascii="Arial" w:hAnsi="Arial"/>
          <w:sz w:val="18"/>
        </w:rPr>
      </w:pPr>
      <w:r w:rsidRPr="006237A8">
        <w:rPr>
          <w:rFonts w:ascii="Arial" w:hAnsi="Arial"/>
          <w:sz w:val="18"/>
        </w:rPr>
        <w:t>i)</w:t>
      </w:r>
      <w:r w:rsidRPr="006237A8">
        <w:rPr>
          <w:rFonts w:ascii="Arial" w:hAnsi="Arial"/>
          <w:sz w:val="18"/>
        </w:rPr>
        <w:tab/>
        <w:t xml:space="preserve">Positive result by real-time </w:t>
      </w:r>
      <w:r w:rsidRPr="0014778F">
        <w:rPr>
          <w:rFonts w:ascii="Arial" w:hAnsi="Arial"/>
          <w:strike/>
          <w:sz w:val="18"/>
          <w:highlight w:val="yellow"/>
        </w:rPr>
        <w:t>RT</w:t>
      </w:r>
      <w:r w:rsidRPr="0014778F">
        <w:rPr>
          <w:rFonts w:ascii="Arial" w:hAnsi="Arial"/>
          <w:strike/>
          <w:sz w:val="18"/>
        </w:rPr>
        <w:t xml:space="preserve"> </w:t>
      </w:r>
      <w:r w:rsidRPr="0014778F">
        <w:rPr>
          <w:rFonts w:ascii="Arial" w:hAnsi="Arial"/>
          <w:sz w:val="18"/>
          <w:highlight w:val="yellow"/>
          <w:u w:val="double"/>
        </w:rPr>
        <w:t>RT-</w:t>
      </w:r>
      <w:r w:rsidRPr="006237A8">
        <w:rPr>
          <w:rFonts w:ascii="Arial" w:hAnsi="Arial"/>
          <w:sz w:val="18"/>
        </w:rPr>
        <w:t xml:space="preserve">PCR </w:t>
      </w:r>
      <w:r w:rsidRPr="0014778F">
        <w:rPr>
          <w:rFonts w:ascii="Arial" w:hAnsi="Arial"/>
          <w:strike/>
          <w:sz w:val="18"/>
          <w:highlight w:val="yellow"/>
        </w:rPr>
        <w:t>followed by</w:t>
      </w:r>
      <w:r w:rsidRPr="0014778F">
        <w:rPr>
          <w:rFonts w:ascii="Arial" w:hAnsi="Arial"/>
          <w:sz w:val="18"/>
          <w:highlight w:val="yellow"/>
          <w:u w:val="double"/>
        </w:rPr>
        <w:t>and</w:t>
      </w:r>
      <w:r w:rsidRPr="006237A8">
        <w:rPr>
          <w:rFonts w:ascii="Arial" w:hAnsi="Arial"/>
          <w:sz w:val="18"/>
        </w:rPr>
        <w:t xml:space="preserve"> </w:t>
      </w:r>
      <w:r w:rsidRPr="00B97D87">
        <w:rPr>
          <w:rFonts w:ascii="Arial" w:hAnsi="Arial"/>
          <w:sz w:val="18"/>
          <w:highlight w:val="yellow"/>
          <w:u w:val="double"/>
        </w:rPr>
        <w:t xml:space="preserve">detection of IHNV in a tissue sample </w:t>
      </w:r>
      <w:r w:rsidRPr="00B97D87">
        <w:rPr>
          <w:rFonts w:ascii="Arial" w:hAnsi="Arial"/>
          <w:strike/>
          <w:sz w:val="18"/>
          <w:highlight w:val="yellow"/>
        </w:rPr>
        <w:t>a positive result from a</w:t>
      </w:r>
      <w:r w:rsidRPr="00B97D87">
        <w:rPr>
          <w:rFonts w:ascii="Arial" w:hAnsi="Arial"/>
          <w:strike/>
          <w:sz w:val="18"/>
        </w:rPr>
        <w:t xml:space="preserve"> </w:t>
      </w:r>
      <w:r w:rsidRPr="006237A8">
        <w:rPr>
          <w:rFonts w:ascii="Arial" w:hAnsi="Arial"/>
          <w:sz w:val="18"/>
        </w:rPr>
        <w:t xml:space="preserve">conventional PCR targeting a non-overlapping region of the genome and amplicon sequencing; </w:t>
      </w:r>
    </w:p>
    <w:p w14:paraId="03C3F7EA" w14:textId="77777777" w:rsidR="004F1CC2" w:rsidRDefault="004F1CC2">
      <w:pPr>
        <w:rPr>
          <w:u w:val="single"/>
          <w:lang w:val="en-IE"/>
        </w:rPr>
      </w:pPr>
      <w:r>
        <w:rPr>
          <w:u w:val="single"/>
          <w:lang w:val="en-IE"/>
        </w:rPr>
        <w:br w:type="page"/>
      </w:r>
    </w:p>
    <w:p w14:paraId="7D7C14B7" w14:textId="23761302" w:rsidR="004F1CC2" w:rsidRDefault="004F1CC2" w:rsidP="004F1CC2">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p w14:paraId="203E3AC1" w14:textId="77777777" w:rsidR="00E65E42" w:rsidRPr="006237A8" w:rsidRDefault="00E65E42" w:rsidP="002E2D1E">
      <w:pPr>
        <w:pStyle w:val="Para3i"/>
        <w:ind w:left="1134" w:hanging="425"/>
        <w:rPr>
          <w:rFonts w:ascii="Arial" w:hAnsi="Arial"/>
          <w:sz w:val="18"/>
        </w:rPr>
      </w:pPr>
      <w:r w:rsidRPr="006237A8">
        <w:rPr>
          <w:rFonts w:ascii="Arial" w:hAnsi="Arial"/>
          <w:sz w:val="18"/>
        </w:rPr>
        <w:t>ii)</w:t>
      </w:r>
      <w:r w:rsidRPr="006237A8">
        <w:rPr>
          <w:rFonts w:ascii="Arial" w:hAnsi="Arial"/>
          <w:sz w:val="18"/>
        </w:rPr>
        <w:tab/>
      </w:r>
      <w:r w:rsidRPr="00B97D87">
        <w:rPr>
          <w:rFonts w:ascii="Arial" w:hAnsi="Arial"/>
          <w:sz w:val="18"/>
          <w:highlight w:val="yellow"/>
          <w:u w:val="double"/>
        </w:rPr>
        <w:t>CPE</w:t>
      </w:r>
      <w:r w:rsidRPr="00B97D87">
        <w:rPr>
          <w:rFonts w:ascii="Arial" w:hAnsi="Arial"/>
          <w:strike/>
          <w:sz w:val="18"/>
          <w:highlight w:val="yellow"/>
        </w:rPr>
        <w:t xml:space="preserve"> Isolation of virus</w:t>
      </w:r>
      <w:r w:rsidRPr="006237A8">
        <w:rPr>
          <w:rFonts w:ascii="Arial" w:hAnsi="Arial"/>
          <w:sz w:val="18"/>
        </w:rPr>
        <w:t xml:space="preserve"> in cell culture </w:t>
      </w:r>
      <w:r w:rsidRPr="00B97D87">
        <w:rPr>
          <w:rFonts w:ascii="Arial" w:hAnsi="Arial"/>
          <w:strike/>
          <w:sz w:val="18"/>
          <w:highlight w:val="yellow"/>
        </w:rPr>
        <w:t xml:space="preserve">confirmed by </w:t>
      </w:r>
      <w:r w:rsidRPr="00B97D87">
        <w:rPr>
          <w:rFonts w:ascii="Arial" w:hAnsi="Arial"/>
          <w:sz w:val="18"/>
          <w:highlight w:val="yellow"/>
          <w:u w:val="double"/>
        </w:rPr>
        <w:t>identified as IHNV by real-time RT-PCR, conventional PCR,</w:t>
      </w:r>
      <w:r w:rsidRPr="00CE3083">
        <w:rPr>
          <w:rFonts w:ascii="Arial" w:hAnsi="Arial"/>
          <w:sz w:val="18"/>
        </w:rPr>
        <w:t xml:space="preserve"> </w:t>
      </w:r>
      <w:r w:rsidRPr="006237A8">
        <w:rPr>
          <w:rFonts w:ascii="Arial" w:hAnsi="Arial"/>
          <w:sz w:val="18"/>
        </w:rPr>
        <w:t>IFAT</w:t>
      </w:r>
      <w:r w:rsidRPr="00B97D87">
        <w:rPr>
          <w:rFonts w:ascii="Arial" w:hAnsi="Arial"/>
          <w:sz w:val="18"/>
          <w:highlight w:val="yellow"/>
          <w:u w:val="double"/>
        </w:rPr>
        <w:t>,</w:t>
      </w:r>
      <w:r w:rsidRPr="00B97D87">
        <w:rPr>
          <w:rFonts w:ascii="Arial" w:hAnsi="Arial"/>
          <w:sz w:val="18"/>
          <w:highlight w:val="yellow"/>
        </w:rPr>
        <w:t xml:space="preserve"> </w:t>
      </w:r>
      <w:r w:rsidRPr="00B97D87">
        <w:rPr>
          <w:rFonts w:ascii="Arial" w:hAnsi="Arial"/>
          <w:strike/>
          <w:sz w:val="18"/>
          <w:highlight w:val="yellow"/>
        </w:rPr>
        <w:t>or</w:t>
      </w:r>
      <w:r w:rsidRPr="00B97D87">
        <w:rPr>
          <w:rFonts w:ascii="Arial" w:hAnsi="Arial"/>
          <w:strike/>
          <w:sz w:val="18"/>
        </w:rPr>
        <w:t xml:space="preserve"> </w:t>
      </w:r>
      <w:r w:rsidRPr="006237A8">
        <w:rPr>
          <w:rFonts w:ascii="Arial" w:hAnsi="Arial"/>
          <w:sz w:val="18"/>
        </w:rPr>
        <w:t>Ag-ELISA</w:t>
      </w:r>
      <w:r w:rsidRPr="00B97D87">
        <w:rPr>
          <w:rFonts w:ascii="Arial" w:hAnsi="Arial"/>
          <w:sz w:val="18"/>
          <w:highlight w:val="yellow"/>
          <w:u w:val="double"/>
        </w:rPr>
        <w:t>,</w:t>
      </w:r>
      <w:r w:rsidRPr="00B97D87">
        <w:rPr>
          <w:rFonts w:ascii="Arial" w:hAnsi="Arial"/>
          <w:sz w:val="18"/>
        </w:rPr>
        <w:t xml:space="preserve"> </w:t>
      </w:r>
      <w:r w:rsidRPr="006237A8">
        <w:rPr>
          <w:rFonts w:ascii="Arial" w:hAnsi="Arial"/>
          <w:sz w:val="18"/>
        </w:rPr>
        <w:t xml:space="preserve">or by a neutralisation test </w:t>
      </w:r>
      <w:r w:rsidRPr="00B97D87">
        <w:rPr>
          <w:rFonts w:ascii="Arial" w:hAnsi="Arial"/>
          <w:strike/>
          <w:sz w:val="18"/>
          <w:highlight w:val="yellow"/>
        </w:rPr>
        <w:t xml:space="preserve">and a positive result </w:t>
      </w:r>
      <w:r w:rsidRPr="0014778F">
        <w:rPr>
          <w:rFonts w:ascii="Arial" w:hAnsi="Arial"/>
          <w:strike/>
          <w:sz w:val="18"/>
          <w:highlight w:val="yellow"/>
          <w:u w:val="double"/>
        </w:rPr>
        <w:t>followed by</w:t>
      </w:r>
      <w:r>
        <w:rPr>
          <w:rFonts w:ascii="Arial" w:hAnsi="Arial"/>
          <w:sz w:val="18"/>
          <w:highlight w:val="yellow"/>
          <w:u w:val="double"/>
        </w:rPr>
        <w:t>and</w:t>
      </w:r>
      <w:r w:rsidRPr="00B97D87">
        <w:rPr>
          <w:rFonts w:ascii="Arial" w:hAnsi="Arial"/>
          <w:sz w:val="18"/>
          <w:highlight w:val="yellow"/>
          <w:u w:val="double"/>
        </w:rPr>
        <w:t xml:space="preserve"> detection of IHNV in a tissue sample</w:t>
      </w:r>
      <w:r w:rsidRPr="00B97D87">
        <w:rPr>
          <w:rFonts w:ascii="Arial" w:hAnsi="Arial"/>
          <w:sz w:val="18"/>
          <w:highlight w:val="yellow"/>
        </w:rPr>
        <w:t xml:space="preserve"> </w:t>
      </w:r>
      <w:r w:rsidRPr="006237A8">
        <w:rPr>
          <w:rFonts w:ascii="Arial" w:hAnsi="Arial"/>
          <w:sz w:val="18"/>
        </w:rPr>
        <w:t>by real-time RT-PCR;</w:t>
      </w:r>
    </w:p>
    <w:p w14:paraId="0E60BA0F" w14:textId="77777777" w:rsidR="00E65E42" w:rsidRPr="00D403F5" w:rsidRDefault="00E65E42" w:rsidP="002E2D1E">
      <w:pPr>
        <w:pStyle w:val="Para3i"/>
        <w:ind w:left="1134" w:hanging="425"/>
        <w:rPr>
          <w:rFonts w:ascii="Arial" w:hAnsi="Arial"/>
          <w:sz w:val="18"/>
        </w:rPr>
      </w:pPr>
      <w:r w:rsidRPr="00D403F5">
        <w:rPr>
          <w:rFonts w:ascii="Arial" w:hAnsi="Arial"/>
          <w:sz w:val="18"/>
        </w:rPr>
        <w:t>iii)</w:t>
      </w:r>
      <w:r w:rsidRPr="00D403F5">
        <w:rPr>
          <w:rFonts w:ascii="Arial" w:hAnsi="Arial"/>
          <w:sz w:val="18"/>
        </w:rPr>
        <w:tab/>
      </w:r>
      <w:r w:rsidRPr="00B97D87">
        <w:rPr>
          <w:rFonts w:ascii="Arial" w:hAnsi="Arial"/>
          <w:sz w:val="18"/>
          <w:highlight w:val="yellow"/>
          <w:u w:val="double"/>
        </w:rPr>
        <w:t>CPE</w:t>
      </w:r>
      <w:r w:rsidRPr="00B97D87">
        <w:rPr>
          <w:rFonts w:ascii="Arial" w:hAnsi="Arial"/>
          <w:strike/>
          <w:sz w:val="18"/>
          <w:highlight w:val="yellow"/>
        </w:rPr>
        <w:t xml:space="preserve"> Isolation of virus</w:t>
      </w:r>
      <w:r w:rsidRPr="006237A8">
        <w:rPr>
          <w:rFonts w:ascii="Arial" w:hAnsi="Arial"/>
          <w:sz w:val="18"/>
        </w:rPr>
        <w:t xml:space="preserve"> </w:t>
      </w:r>
      <w:r w:rsidRPr="00D403F5">
        <w:rPr>
          <w:rFonts w:ascii="Arial" w:hAnsi="Arial"/>
          <w:sz w:val="18"/>
        </w:rPr>
        <w:t xml:space="preserve">in cell culture </w:t>
      </w:r>
      <w:r w:rsidRPr="00AB5F09">
        <w:rPr>
          <w:rFonts w:ascii="Arial" w:hAnsi="Arial"/>
          <w:strike/>
          <w:sz w:val="18"/>
          <w:highlight w:val="yellow"/>
        </w:rPr>
        <w:t>confirmed by</w:t>
      </w:r>
      <w:r w:rsidRPr="00AB5F09">
        <w:rPr>
          <w:rFonts w:ascii="Arial" w:hAnsi="Arial"/>
          <w:sz w:val="18"/>
          <w:highlight w:val="yellow"/>
          <w:u w:val="double"/>
        </w:rPr>
        <w:t xml:space="preserve"> </w:t>
      </w:r>
      <w:r w:rsidRPr="00B97D87">
        <w:rPr>
          <w:rFonts w:ascii="Arial" w:hAnsi="Arial"/>
          <w:sz w:val="18"/>
          <w:highlight w:val="yellow"/>
          <w:u w:val="double"/>
        </w:rPr>
        <w:t xml:space="preserve">identified as IHNV by real-time RT-PCR, conventional PCR, </w:t>
      </w:r>
      <w:r w:rsidRPr="00D403F5">
        <w:rPr>
          <w:rFonts w:ascii="Arial" w:hAnsi="Arial"/>
          <w:sz w:val="18"/>
        </w:rPr>
        <w:t>IFAT</w:t>
      </w:r>
      <w:r w:rsidRPr="00AB5F09">
        <w:rPr>
          <w:rFonts w:ascii="Arial" w:hAnsi="Arial"/>
          <w:sz w:val="18"/>
          <w:highlight w:val="yellow"/>
          <w:u w:val="double"/>
        </w:rPr>
        <w:t>,</w:t>
      </w:r>
      <w:r w:rsidRPr="00D403F5">
        <w:rPr>
          <w:rFonts w:ascii="Arial" w:hAnsi="Arial"/>
          <w:sz w:val="18"/>
        </w:rPr>
        <w:t xml:space="preserve"> </w:t>
      </w:r>
      <w:r w:rsidRPr="00AB5F09">
        <w:rPr>
          <w:rFonts w:ascii="Arial" w:hAnsi="Arial"/>
          <w:strike/>
          <w:sz w:val="18"/>
          <w:highlight w:val="yellow"/>
        </w:rPr>
        <w:t>or</w:t>
      </w:r>
      <w:r w:rsidRPr="00AB5F09">
        <w:rPr>
          <w:rFonts w:ascii="Arial" w:hAnsi="Arial"/>
          <w:strike/>
          <w:sz w:val="18"/>
        </w:rPr>
        <w:t xml:space="preserve"> </w:t>
      </w:r>
      <w:r w:rsidRPr="00D403F5">
        <w:rPr>
          <w:rFonts w:ascii="Arial" w:hAnsi="Arial"/>
          <w:sz w:val="18"/>
        </w:rPr>
        <w:t>Ag-ELISA</w:t>
      </w:r>
      <w:r w:rsidRPr="00AB5F09">
        <w:rPr>
          <w:rFonts w:ascii="Arial" w:hAnsi="Arial"/>
          <w:sz w:val="18"/>
          <w:highlight w:val="yellow"/>
          <w:u w:val="double"/>
        </w:rPr>
        <w:t>,</w:t>
      </w:r>
      <w:r w:rsidRPr="00D403F5">
        <w:rPr>
          <w:rFonts w:ascii="Arial" w:hAnsi="Arial"/>
          <w:sz w:val="18"/>
        </w:rPr>
        <w:t xml:space="preserve"> or by a neutralisation test </w:t>
      </w:r>
      <w:r w:rsidRPr="00AB5F09">
        <w:rPr>
          <w:rFonts w:ascii="Arial" w:hAnsi="Arial"/>
          <w:strike/>
          <w:sz w:val="18"/>
          <w:highlight w:val="yellow"/>
        </w:rPr>
        <w:t xml:space="preserve">and </w:t>
      </w:r>
      <w:r w:rsidRPr="0014778F">
        <w:rPr>
          <w:rFonts w:ascii="Arial" w:hAnsi="Arial"/>
          <w:strike/>
          <w:sz w:val="18"/>
          <w:highlight w:val="yellow"/>
          <w:u w:val="double"/>
        </w:rPr>
        <w:t>followed by</w:t>
      </w:r>
      <w:r w:rsidRPr="00A8144C">
        <w:rPr>
          <w:rFonts w:ascii="Arial" w:hAnsi="Arial"/>
          <w:sz w:val="18"/>
          <w:highlight w:val="yellow"/>
          <w:u w:val="double"/>
        </w:rPr>
        <w:t xml:space="preserve">and </w:t>
      </w:r>
      <w:r w:rsidRPr="00B97D87">
        <w:rPr>
          <w:rFonts w:ascii="Arial" w:hAnsi="Arial"/>
          <w:sz w:val="18"/>
          <w:highlight w:val="yellow"/>
          <w:u w:val="double"/>
        </w:rPr>
        <w:t xml:space="preserve">detection of IHNV in a tissue sample by </w:t>
      </w:r>
      <w:r w:rsidRPr="00D403F5">
        <w:rPr>
          <w:rFonts w:ascii="Arial" w:hAnsi="Arial"/>
          <w:sz w:val="18"/>
        </w:rPr>
        <w:t>conventional PCR and amplicon sequencing;</w:t>
      </w:r>
    </w:p>
    <w:p w14:paraId="2FCE90EA" w14:textId="77777777" w:rsidR="00E65E42" w:rsidRPr="00D403F5" w:rsidRDefault="00E65E42" w:rsidP="002E2D1E">
      <w:pPr>
        <w:pStyle w:val="Para3i"/>
        <w:ind w:left="1134" w:hanging="425"/>
        <w:rPr>
          <w:rFonts w:ascii="Arial" w:hAnsi="Arial"/>
          <w:sz w:val="18"/>
        </w:rPr>
      </w:pPr>
      <w:r w:rsidRPr="0014778F">
        <w:rPr>
          <w:rFonts w:ascii="Arial" w:hAnsi="Arial"/>
          <w:strike/>
          <w:sz w:val="18"/>
          <w:highlight w:val="yellow"/>
        </w:rPr>
        <w:t>iv)</w:t>
      </w:r>
      <w:r w:rsidRPr="00D403F5">
        <w:rPr>
          <w:rFonts w:ascii="Arial" w:hAnsi="Arial"/>
          <w:sz w:val="18"/>
        </w:rPr>
        <w:tab/>
      </w:r>
      <w:r w:rsidRPr="0014778F">
        <w:rPr>
          <w:rFonts w:ascii="Arial" w:hAnsi="Arial"/>
          <w:strike/>
          <w:sz w:val="18"/>
          <w:highlight w:val="yellow"/>
          <w:u w:val="double"/>
        </w:rPr>
        <w:t xml:space="preserve">Positive result by real-time RT-PCR followed by </w:t>
      </w:r>
      <w:r w:rsidRPr="0014778F">
        <w:rPr>
          <w:rFonts w:ascii="Arial" w:hAnsi="Arial"/>
          <w:strike/>
          <w:sz w:val="18"/>
          <w:highlight w:val="yellow"/>
        </w:rPr>
        <w:t xml:space="preserve">isolation of virus in cell culture </w:t>
      </w:r>
      <w:r w:rsidRPr="00A8144C">
        <w:rPr>
          <w:rFonts w:ascii="Arial" w:hAnsi="Arial"/>
          <w:strike/>
          <w:sz w:val="18"/>
          <w:highlight w:val="yellow"/>
        </w:rPr>
        <w:t>confirmed by</w:t>
      </w:r>
      <w:r w:rsidRPr="00A8144C">
        <w:rPr>
          <w:rFonts w:ascii="Arial" w:hAnsi="Arial"/>
          <w:strike/>
          <w:sz w:val="18"/>
          <w:highlight w:val="yellow"/>
          <w:u w:val="double"/>
        </w:rPr>
        <w:t xml:space="preserve"> </w:t>
      </w:r>
      <w:r w:rsidRPr="0014778F">
        <w:rPr>
          <w:rFonts w:ascii="Arial" w:hAnsi="Arial"/>
          <w:strike/>
          <w:sz w:val="18"/>
          <w:highlight w:val="yellow"/>
          <w:u w:val="double"/>
        </w:rPr>
        <w:t>identified as IHNV by real-time RT-PCR,</w:t>
      </w:r>
      <w:r w:rsidRPr="0014778F">
        <w:rPr>
          <w:rFonts w:ascii="Arial" w:hAnsi="Arial"/>
          <w:strike/>
          <w:sz w:val="18"/>
          <w:highlight w:val="yellow"/>
        </w:rPr>
        <w:t xml:space="preserve"> conventional PCR</w:t>
      </w:r>
      <w:r w:rsidRPr="0014778F">
        <w:rPr>
          <w:rFonts w:ascii="Arial" w:hAnsi="Arial"/>
          <w:strike/>
          <w:sz w:val="18"/>
          <w:highlight w:val="yellow"/>
          <w:u w:val="double"/>
        </w:rPr>
        <w:t>, IFAT, Ag-ELISA, or by a neutralisation test</w:t>
      </w:r>
      <w:r w:rsidRPr="00A8144C">
        <w:rPr>
          <w:rFonts w:ascii="Arial" w:hAnsi="Arial"/>
          <w:strike/>
          <w:sz w:val="18"/>
          <w:highlight w:val="yellow"/>
        </w:rPr>
        <w:t xml:space="preserve"> and amplicon sequencing</w:t>
      </w:r>
      <w:r w:rsidRPr="00D403F5">
        <w:rPr>
          <w:rFonts w:ascii="Arial" w:hAnsi="Arial"/>
          <w:sz w:val="18"/>
        </w:rPr>
        <w:t>.</w:t>
      </w:r>
    </w:p>
    <w:p w14:paraId="229A3514" w14:textId="77777777" w:rsidR="00E65E42" w:rsidRPr="00D403F5" w:rsidRDefault="00E65E42" w:rsidP="002E2D1E">
      <w:pPr>
        <w:pStyle w:val="Para3"/>
        <w:ind w:left="709"/>
        <w:rPr>
          <w:rFonts w:cs="Arial"/>
          <w:szCs w:val="18"/>
        </w:rPr>
      </w:pPr>
      <w:r w:rsidRPr="00D403F5">
        <w:rPr>
          <w:rFonts w:cs="Arial"/>
          <w:szCs w:val="18"/>
        </w:rPr>
        <w:t>Reference Laboratories should be contacted for specimen referral when testing laboratories cannot undertake any of the recommended test methods and testing is being undertaken that will result in notification to the OIE.</w:t>
      </w:r>
    </w:p>
    <w:bookmarkEnd w:id="147"/>
    <w:p w14:paraId="10F31277" w14:textId="77777777" w:rsidR="00E65E42" w:rsidRPr="00685B5C" w:rsidRDefault="00E65E42" w:rsidP="004108B6">
      <w:pPr>
        <w:pStyle w:val="11"/>
        <w:rPr>
          <w:rFonts w:ascii="Ottawa" w:hAnsi="Ottawa" w:cs="Arial"/>
          <w:sz w:val="21"/>
          <w:szCs w:val="21"/>
          <w:lang w:val="en-IE"/>
        </w:rPr>
      </w:pPr>
      <w:r w:rsidRPr="00685B5C">
        <w:rPr>
          <w:rFonts w:ascii="Ottawa" w:hAnsi="Ottawa" w:cs="Arial"/>
          <w:sz w:val="21"/>
          <w:szCs w:val="21"/>
          <w:lang w:val="en-IE"/>
        </w:rPr>
        <w:t>6.3.</w:t>
      </w:r>
      <w:r w:rsidRPr="00685B5C">
        <w:rPr>
          <w:rFonts w:ascii="Ottawa" w:hAnsi="Ottawa" w:cs="Arial"/>
          <w:sz w:val="21"/>
          <w:szCs w:val="21"/>
          <w:lang w:val="en-IE"/>
        </w:rPr>
        <w:tab/>
      </w:r>
      <w:r w:rsidRPr="00924E7F">
        <w:rPr>
          <w:rFonts w:ascii="Ottawa" w:hAnsi="Ottawa" w:cs="Arial"/>
          <w:sz w:val="21"/>
          <w:szCs w:val="21"/>
          <w:lang w:val="en-IE"/>
        </w:rPr>
        <w:t>Diagnostic</w:t>
      </w:r>
      <w:r w:rsidRPr="00685B5C">
        <w:rPr>
          <w:rFonts w:ascii="Ottawa" w:hAnsi="Ottawa" w:cs="Arial"/>
          <w:sz w:val="21"/>
          <w:szCs w:val="21"/>
          <w:lang w:val="en-IE"/>
        </w:rPr>
        <w:t xml:space="preserve"> sensitivity and specificity for diagnostic tests</w:t>
      </w:r>
    </w:p>
    <w:p w14:paraId="58181CAC" w14:textId="77777777" w:rsidR="00E65E42" w:rsidRPr="00842D3D" w:rsidRDefault="00E65E42" w:rsidP="005D2EAA">
      <w:pPr>
        <w:keepNext/>
        <w:keepLines/>
        <w:spacing w:after="120"/>
        <w:ind w:left="709" w:firstLine="1"/>
        <w:jc w:val="both"/>
        <w:rPr>
          <w:rFonts w:ascii="Arial" w:hAnsi="Arial"/>
          <w:bCs/>
          <w:sz w:val="18"/>
          <w:szCs w:val="18"/>
          <w:u w:val="double"/>
          <w:lang w:val="en-IE"/>
        </w:rPr>
      </w:pPr>
      <w:r w:rsidRPr="00842D3D">
        <w:rPr>
          <w:rFonts w:ascii="Arial" w:hAnsi="Arial"/>
          <w:bCs/>
          <w:sz w:val="18"/>
          <w:szCs w:val="18"/>
          <w:highlight w:val="yellow"/>
          <w:u w:val="double"/>
          <w:lang w:val="en-IE"/>
        </w:rPr>
        <w:t>The diagnostic performance of tests recommended for surveillance or diagnosis of infection with IHNV are provided in Table 6.3. This information can be used for the design of surveys for infection with IHNV, however, it should be noted that diagnostic performance is specific to the circumstances of each diagnostic accuracy study (including the test purpose, source population, tissue sample types and host species) and diagnostic performance may vary under different conditions. Data is only presented where tests are validated to atleast level two of the validation pathway described in Chapter 1.1.2. and the information is available within published diagnostic accuracy studies.</w:t>
      </w:r>
    </w:p>
    <w:p w14:paraId="3010CA3A" w14:textId="77777777" w:rsidR="00E65E42" w:rsidRDefault="00E65E42" w:rsidP="00E65E42">
      <w:pPr>
        <w:keepNext/>
        <w:keepLines/>
        <w:spacing w:after="120"/>
        <w:ind w:firstLine="1"/>
        <w:rPr>
          <w:rFonts w:ascii="Arial" w:hAnsi="Arial"/>
          <w:bCs/>
          <w:sz w:val="18"/>
          <w:szCs w:val="18"/>
          <w:lang w:val="en-IE"/>
        </w:rPr>
      </w:pPr>
    </w:p>
    <w:p w14:paraId="0F2AE173" w14:textId="77777777" w:rsidR="00E65E42" w:rsidRPr="00842D3D" w:rsidRDefault="00E65E42" w:rsidP="00E65E42">
      <w:pPr>
        <w:keepNext/>
        <w:keepLines/>
        <w:spacing w:after="120"/>
        <w:ind w:firstLine="1"/>
        <w:jc w:val="center"/>
        <w:rPr>
          <w:rFonts w:ascii="Ottawa" w:hAnsi="Ottawa"/>
          <w:bCs/>
          <w:i/>
          <w:sz w:val="18"/>
          <w:szCs w:val="18"/>
          <w:u w:val="double"/>
          <w:lang w:val="en-IE" w:bidi="en-US"/>
        </w:rPr>
      </w:pPr>
      <w:r w:rsidRPr="00842D3D">
        <w:rPr>
          <w:rFonts w:ascii="Ottawa" w:hAnsi="Ottawa"/>
          <w:b/>
          <w:bCs/>
          <w:i/>
          <w:sz w:val="18"/>
          <w:szCs w:val="18"/>
          <w:highlight w:val="yellow"/>
          <w:u w:val="double"/>
          <w:lang w:val="en-IE" w:bidi="en-US"/>
        </w:rPr>
        <w:t>Table 6.</w:t>
      </w:r>
      <w:r>
        <w:rPr>
          <w:rFonts w:ascii="Ottawa" w:hAnsi="Ottawa"/>
          <w:b/>
          <w:bCs/>
          <w:i/>
          <w:sz w:val="18"/>
          <w:szCs w:val="18"/>
          <w:highlight w:val="yellow"/>
          <w:u w:val="double"/>
          <w:lang w:val="en-IE" w:bidi="en-US"/>
        </w:rPr>
        <w:t>1</w:t>
      </w:r>
      <w:r w:rsidRPr="00842D3D">
        <w:rPr>
          <w:rFonts w:ascii="Ottawa" w:hAnsi="Ottawa"/>
          <w:b/>
          <w:bCs/>
          <w:i/>
          <w:sz w:val="18"/>
          <w:szCs w:val="18"/>
          <w:highlight w:val="yellow"/>
          <w:u w:val="double"/>
          <w:lang w:val="en-IE" w:bidi="en-US"/>
        </w:rPr>
        <w:t>.</w:t>
      </w:r>
      <w:r w:rsidRPr="00842D3D">
        <w:rPr>
          <w:rFonts w:ascii="Ottawa" w:hAnsi="Ottawa"/>
          <w:bCs/>
          <w:i/>
          <w:sz w:val="18"/>
          <w:szCs w:val="18"/>
          <w:highlight w:val="yellow"/>
          <w:u w:val="double"/>
          <w:lang w:val="en-IE" w:bidi="en-US"/>
        </w:rPr>
        <w:t xml:space="preserve"> Diagnostic performance of tests recommended for surveillance or diagnosis</w:t>
      </w:r>
    </w:p>
    <w:tbl>
      <w:tblPr>
        <w:tblW w:w="9232" w:type="dxa"/>
        <w:tblInd w:w="108" w:type="dxa"/>
        <w:tblCellMar>
          <w:left w:w="0" w:type="dxa"/>
          <w:right w:w="0" w:type="dxa"/>
        </w:tblCellMar>
        <w:tblLook w:val="04A0" w:firstRow="1" w:lastRow="0" w:firstColumn="1" w:lastColumn="0" w:noHBand="0" w:noVBand="1"/>
      </w:tblPr>
      <w:tblGrid>
        <w:gridCol w:w="911"/>
        <w:gridCol w:w="1172"/>
        <w:gridCol w:w="1175"/>
        <w:gridCol w:w="1136"/>
        <w:gridCol w:w="1279"/>
        <w:gridCol w:w="660"/>
        <w:gridCol w:w="660"/>
        <w:gridCol w:w="1255"/>
        <w:gridCol w:w="984"/>
      </w:tblGrid>
      <w:tr w:rsidR="00E65E42" w:rsidRPr="00D403F5" w14:paraId="1FC76F77" w14:textId="77777777" w:rsidTr="00E65E42">
        <w:tc>
          <w:tcPr>
            <w:tcW w:w="9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B17AC1A"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Test type</w:t>
            </w:r>
          </w:p>
        </w:tc>
        <w:tc>
          <w:tcPr>
            <w:tcW w:w="117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6324B8B"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Test purpose</w:t>
            </w:r>
          </w:p>
        </w:tc>
        <w:tc>
          <w:tcPr>
            <w:tcW w:w="11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288F520"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Source populations</w:t>
            </w:r>
          </w:p>
        </w:tc>
        <w:tc>
          <w:tcPr>
            <w:tcW w:w="113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B30C077"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Tissue or sample types</w:t>
            </w:r>
          </w:p>
        </w:tc>
        <w:tc>
          <w:tcPr>
            <w:tcW w:w="127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546806"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Species</w:t>
            </w:r>
          </w:p>
        </w:tc>
        <w:tc>
          <w:tcPr>
            <w:tcW w:w="6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927A35E"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DSe (</w:t>
            </w:r>
            <w:r w:rsidRPr="00D403F5">
              <w:rPr>
                <w:rFonts w:ascii="Arial Narrow" w:hAnsi="Arial Narrow"/>
                <w:b/>
                <w:bCs/>
                <w:i/>
                <w:iCs/>
                <w:sz w:val="18"/>
                <w:szCs w:val="18"/>
                <w:lang w:val="en-IE" w:eastAsia="fr-FR"/>
              </w:rPr>
              <w:t>n</w:t>
            </w:r>
            <w:r w:rsidRPr="00D403F5">
              <w:rPr>
                <w:rFonts w:ascii="Arial Narrow" w:hAnsi="Arial Narrow"/>
                <w:b/>
                <w:bCs/>
                <w:sz w:val="18"/>
                <w:szCs w:val="18"/>
                <w:lang w:val="en-IE" w:eastAsia="fr-FR"/>
              </w:rPr>
              <w:t>)</w:t>
            </w:r>
          </w:p>
        </w:tc>
        <w:tc>
          <w:tcPr>
            <w:tcW w:w="6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0B32A49"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DSp (</w:t>
            </w:r>
            <w:r w:rsidRPr="00D403F5">
              <w:rPr>
                <w:rFonts w:ascii="Arial Narrow" w:hAnsi="Arial Narrow"/>
                <w:b/>
                <w:bCs/>
                <w:i/>
                <w:iCs/>
                <w:sz w:val="18"/>
                <w:szCs w:val="18"/>
                <w:lang w:val="en-IE" w:eastAsia="fr-FR"/>
              </w:rPr>
              <w:t>n</w:t>
            </w:r>
            <w:r w:rsidRPr="00D403F5">
              <w:rPr>
                <w:rFonts w:ascii="Arial Narrow" w:hAnsi="Arial Narrow"/>
                <w:b/>
                <w:bCs/>
                <w:sz w:val="18"/>
                <w:szCs w:val="18"/>
                <w:lang w:val="en-IE" w:eastAsia="fr-FR"/>
              </w:rPr>
              <w:t>)</w:t>
            </w:r>
          </w:p>
        </w:tc>
        <w:tc>
          <w:tcPr>
            <w:tcW w:w="12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46A03E5"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Reference test</w:t>
            </w:r>
          </w:p>
        </w:tc>
        <w:tc>
          <w:tcPr>
            <w:tcW w:w="9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22425B5"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Citation</w:t>
            </w:r>
          </w:p>
        </w:tc>
      </w:tr>
      <w:tr w:rsidR="00E65E42" w:rsidRPr="00D403F5" w14:paraId="688B00BA" w14:textId="77777777" w:rsidTr="00E65E42">
        <w:tc>
          <w:tcPr>
            <w:tcW w:w="91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410BF27C"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Real-time RT-PCR</w:t>
            </w:r>
          </w:p>
        </w:tc>
        <w:tc>
          <w:tcPr>
            <w:tcW w:w="1172"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0262591D"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Diagnosis</w:t>
            </w:r>
          </w:p>
        </w:tc>
        <w:tc>
          <w:tcPr>
            <w:tcW w:w="1175"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12016DC0"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Experimentally infected salmon</w:t>
            </w:r>
          </w:p>
        </w:tc>
        <w:tc>
          <w:tcPr>
            <w:tcW w:w="1136"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5BDC2BC7"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Kidney</w:t>
            </w:r>
          </w:p>
        </w:tc>
        <w:tc>
          <w:tcPr>
            <w:tcW w:w="1279"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288857A6"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Steelhead (</w:t>
            </w:r>
            <w:r w:rsidRPr="00D403F5">
              <w:rPr>
                <w:rFonts w:ascii="Arial Narrow" w:hAnsi="Arial Narrow"/>
                <w:i/>
                <w:sz w:val="18"/>
                <w:szCs w:val="18"/>
                <w:lang w:val="en-IE" w:eastAsia="fr-FR"/>
              </w:rPr>
              <w:t>Oncorhynchus mykiss</w:t>
            </w:r>
            <w:r w:rsidRPr="00D403F5">
              <w:rPr>
                <w:rFonts w:ascii="Arial Narrow" w:hAnsi="Arial Narrow"/>
                <w:sz w:val="18"/>
                <w:szCs w:val="18"/>
                <w:lang w:val="en-IE" w:eastAsia="fr-FR"/>
              </w:rPr>
              <w:t>)</w:t>
            </w:r>
          </w:p>
        </w:tc>
        <w:tc>
          <w:tcPr>
            <w:tcW w:w="660"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1197336E"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100 (50)</w:t>
            </w:r>
          </w:p>
        </w:tc>
        <w:tc>
          <w:tcPr>
            <w:tcW w:w="660"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709CB84F"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100 (50)</w:t>
            </w:r>
          </w:p>
        </w:tc>
        <w:tc>
          <w:tcPr>
            <w:tcW w:w="1255"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47579520"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Animals of known infection status</w:t>
            </w:r>
          </w:p>
        </w:tc>
        <w:tc>
          <w:tcPr>
            <w:tcW w:w="984"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0600D228"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noProof/>
                <w:sz w:val="18"/>
                <w:szCs w:val="18"/>
                <w:lang w:val="en-IE" w:eastAsia="fr-FR"/>
              </w:rPr>
              <w:t xml:space="preserve">Purcell </w:t>
            </w:r>
            <w:r w:rsidRPr="00D403F5">
              <w:rPr>
                <w:rFonts w:ascii="Arial Narrow" w:hAnsi="Arial Narrow"/>
                <w:i/>
                <w:noProof/>
                <w:sz w:val="18"/>
                <w:szCs w:val="18"/>
                <w:lang w:val="en-IE" w:eastAsia="fr-FR"/>
              </w:rPr>
              <w:t>et al.,</w:t>
            </w:r>
            <w:r w:rsidRPr="00D403F5">
              <w:rPr>
                <w:rFonts w:ascii="Arial Narrow" w:hAnsi="Arial Narrow"/>
                <w:noProof/>
                <w:sz w:val="18"/>
                <w:szCs w:val="18"/>
                <w:lang w:val="en-IE" w:eastAsia="fr-FR"/>
              </w:rPr>
              <w:t xml:space="preserve"> 2013</w:t>
            </w:r>
          </w:p>
        </w:tc>
      </w:tr>
      <w:tr w:rsidR="00E65E42" w:rsidRPr="00D403F5" w14:paraId="5FAD750B" w14:textId="77777777" w:rsidTr="00E65E42">
        <w:tc>
          <w:tcPr>
            <w:tcW w:w="91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37A7C240"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RT-PCR (single step)</w:t>
            </w:r>
          </w:p>
        </w:tc>
        <w:tc>
          <w:tcPr>
            <w:tcW w:w="1172" w:type="dxa"/>
            <w:tcBorders>
              <w:top w:val="nil"/>
              <w:left w:val="nil"/>
              <w:bottom w:val="single" w:sz="4" w:space="0" w:color="auto"/>
              <w:right w:val="single" w:sz="8" w:space="0" w:color="auto"/>
            </w:tcBorders>
            <w:tcMar>
              <w:top w:w="0" w:type="dxa"/>
              <w:left w:w="108" w:type="dxa"/>
              <w:bottom w:w="0" w:type="dxa"/>
              <w:right w:w="108" w:type="dxa"/>
            </w:tcMar>
            <w:vAlign w:val="center"/>
          </w:tcPr>
          <w:p w14:paraId="39D3F38E"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Diagnosis</w:t>
            </w:r>
          </w:p>
        </w:tc>
        <w:tc>
          <w:tcPr>
            <w:tcW w:w="1175" w:type="dxa"/>
            <w:tcBorders>
              <w:top w:val="nil"/>
              <w:left w:val="nil"/>
              <w:bottom w:val="single" w:sz="4" w:space="0" w:color="auto"/>
              <w:right w:val="single" w:sz="8" w:space="0" w:color="auto"/>
            </w:tcBorders>
            <w:tcMar>
              <w:top w:w="0" w:type="dxa"/>
              <w:left w:w="108" w:type="dxa"/>
              <w:bottom w:w="0" w:type="dxa"/>
              <w:right w:w="108" w:type="dxa"/>
            </w:tcMar>
            <w:vAlign w:val="center"/>
          </w:tcPr>
          <w:p w14:paraId="1333746B"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Experimentally infected salmon</w:t>
            </w:r>
          </w:p>
        </w:tc>
        <w:tc>
          <w:tcPr>
            <w:tcW w:w="1136" w:type="dxa"/>
            <w:tcBorders>
              <w:top w:val="nil"/>
              <w:left w:val="nil"/>
              <w:bottom w:val="single" w:sz="4" w:space="0" w:color="auto"/>
              <w:right w:val="single" w:sz="8" w:space="0" w:color="auto"/>
            </w:tcBorders>
            <w:tcMar>
              <w:top w:w="0" w:type="dxa"/>
              <w:left w:w="108" w:type="dxa"/>
              <w:bottom w:w="0" w:type="dxa"/>
              <w:right w:w="108" w:type="dxa"/>
            </w:tcMar>
            <w:vAlign w:val="center"/>
          </w:tcPr>
          <w:p w14:paraId="3805DA94"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Kidney</w:t>
            </w:r>
          </w:p>
        </w:tc>
        <w:tc>
          <w:tcPr>
            <w:tcW w:w="1279" w:type="dxa"/>
            <w:tcBorders>
              <w:top w:val="nil"/>
              <w:left w:val="nil"/>
              <w:bottom w:val="single" w:sz="4" w:space="0" w:color="auto"/>
              <w:right w:val="single" w:sz="8" w:space="0" w:color="auto"/>
            </w:tcBorders>
            <w:tcMar>
              <w:top w:w="0" w:type="dxa"/>
              <w:left w:w="108" w:type="dxa"/>
              <w:bottom w:w="0" w:type="dxa"/>
              <w:right w:w="108" w:type="dxa"/>
            </w:tcMar>
            <w:vAlign w:val="center"/>
          </w:tcPr>
          <w:p w14:paraId="539F31F6"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Steelhead (</w:t>
            </w:r>
            <w:r w:rsidRPr="00D403F5">
              <w:rPr>
                <w:rFonts w:ascii="Arial Narrow" w:hAnsi="Arial Narrow"/>
                <w:i/>
                <w:sz w:val="18"/>
                <w:szCs w:val="18"/>
                <w:lang w:val="en-IE" w:eastAsia="fr-FR"/>
              </w:rPr>
              <w:t>Oncorhynchus mykiss</w:t>
            </w:r>
            <w:r w:rsidRPr="00D403F5">
              <w:rPr>
                <w:rFonts w:ascii="Arial Narrow" w:hAnsi="Arial Narrow"/>
                <w:sz w:val="18"/>
                <w:szCs w:val="18"/>
                <w:lang w:val="en-IE" w:eastAsia="fr-FR"/>
              </w:rPr>
              <w:t>)</w:t>
            </w:r>
          </w:p>
        </w:tc>
        <w:tc>
          <w:tcPr>
            <w:tcW w:w="660" w:type="dxa"/>
            <w:tcBorders>
              <w:top w:val="nil"/>
              <w:left w:val="nil"/>
              <w:bottom w:val="single" w:sz="4" w:space="0" w:color="auto"/>
              <w:right w:val="single" w:sz="8" w:space="0" w:color="auto"/>
            </w:tcBorders>
            <w:tcMar>
              <w:top w:w="0" w:type="dxa"/>
              <w:left w:w="108" w:type="dxa"/>
              <w:bottom w:w="0" w:type="dxa"/>
              <w:right w:w="108" w:type="dxa"/>
            </w:tcMar>
            <w:vAlign w:val="center"/>
          </w:tcPr>
          <w:p w14:paraId="1D4C8E2D"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58 (50)</w:t>
            </w:r>
          </w:p>
        </w:tc>
        <w:tc>
          <w:tcPr>
            <w:tcW w:w="660" w:type="dxa"/>
            <w:tcBorders>
              <w:top w:val="nil"/>
              <w:left w:val="nil"/>
              <w:bottom w:val="single" w:sz="4" w:space="0" w:color="auto"/>
              <w:right w:val="single" w:sz="8" w:space="0" w:color="auto"/>
            </w:tcBorders>
            <w:tcMar>
              <w:top w:w="0" w:type="dxa"/>
              <w:left w:w="108" w:type="dxa"/>
              <w:bottom w:w="0" w:type="dxa"/>
              <w:right w:w="108" w:type="dxa"/>
            </w:tcMar>
            <w:vAlign w:val="center"/>
          </w:tcPr>
          <w:p w14:paraId="1CF705BA"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100 (50)</w:t>
            </w:r>
          </w:p>
        </w:tc>
        <w:tc>
          <w:tcPr>
            <w:tcW w:w="1255" w:type="dxa"/>
            <w:tcBorders>
              <w:top w:val="nil"/>
              <w:left w:val="nil"/>
              <w:bottom w:val="single" w:sz="4" w:space="0" w:color="auto"/>
              <w:right w:val="single" w:sz="8" w:space="0" w:color="auto"/>
            </w:tcBorders>
            <w:tcMar>
              <w:top w:w="0" w:type="dxa"/>
              <w:left w:w="108" w:type="dxa"/>
              <w:bottom w:w="0" w:type="dxa"/>
              <w:right w:w="108" w:type="dxa"/>
            </w:tcMar>
            <w:vAlign w:val="center"/>
          </w:tcPr>
          <w:p w14:paraId="4BA37EF2"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Animals of known infection status</w:t>
            </w:r>
          </w:p>
        </w:tc>
        <w:tc>
          <w:tcPr>
            <w:tcW w:w="984" w:type="dxa"/>
            <w:tcBorders>
              <w:top w:val="nil"/>
              <w:left w:val="nil"/>
              <w:bottom w:val="single" w:sz="4" w:space="0" w:color="auto"/>
              <w:right w:val="single" w:sz="8" w:space="0" w:color="auto"/>
            </w:tcBorders>
            <w:tcMar>
              <w:top w:w="0" w:type="dxa"/>
              <w:left w:w="108" w:type="dxa"/>
              <w:bottom w:w="0" w:type="dxa"/>
              <w:right w:w="108" w:type="dxa"/>
            </w:tcMar>
            <w:vAlign w:val="center"/>
          </w:tcPr>
          <w:p w14:paraId="5A49E39A" w14:textId="77777777" w:rsidR="00E65E42" w:rsidRPr="00D403F5" w:rsidRDefault="00E65E42" w:rsidP="00E65E42">
            <w:pPr>
              <w:spacing w:after="0"/>
              <w:ind w:left="-57"/>
              <w:jc w:val="center"/>
              <w:rPr>
                <w:rFonts w:ascii="Arial Narrow" w:hAnsi="Arial Narrow"/>
                <w:noProof/>
                <w:sz w:val="18"/>
                <w:szCs w:val="18"/>
                <w:lang w:val="en-IE" w:eastAsia="fr-FR"/>
              </w:rPr>
            </w:pPr>
            <w:r w:rsidRPr="00D403F5">
              <w:rPr>
                <w:rFonts w:ascii="Arial Narrow" w:hAnsi="Arial Narrow"/>
                <w:noProof/>
                <w:sz w:val="18"/>
                <w:szCs w:val="18"/>
                <w:lang w:val="en-IE" w:eastAsia="fr-FR"/>
              </w:rPr>
              <w:t xml:space="preserve">Purcell </w:t>
            </w:r>
            <w:r w:rsidRPr="00D403F5">
              <w:rPr>
                <w:rFonts w:ascii="Arial Narrow" w:hAnsi="Arial Narrow"/>
                <w:i/>
                <w:noProof/>
                <w:sz w:val="18"/>
                <w:szCs w:val="18"/>
                <w:lang w:val="en-IE" w:eastAsia="fr-FR"/>
              </w:rPr>
              <w:t>et al.,</w:t>
            </w:r>
            <w:r w:rsidRPr="00D403F5">
              <w:rPr>
                <w:rFonts w:ascii="Arial Narrow" w:hAnsi="Arial Narrow"/>
                <w:noProof/>
                <w:sz w:val="18"/>
                <w:szCs w:val="18"/>
                <w:lang w:val="en-IE" w:eastAsia="fr-FR"/>
              </w:rPr>
              <w:t xml:space="preserve"> 2013</w:t>
            </w:r>
          </w:p>
        </w:tc>
      </w:tr>
      <w:tr w:rsidR="00E65E42" w:rsidRPr="00D403F5" w14:paraId="78EE95D9" w14:textId="77777777" w:rsidTr="00E65E42">
        <w:tc>
          <w:tcPr>
            <w:tcW w:w="911" w:type="dxa"/>
            <w:vMerge w:val="restart"/>
            <w:tcBorders>
              <w:top w:val="single" w:sz="4" w:space="0" w:color="auto"/>
              <w:left w:val="single" w:sz="8" w:space="0" w:color="auto"/>
              <w:right w:val="single" w:sz="8" w:space="0" w:color="auto"/>
            </w:tcBorders>
            <w:tcMar>
              <w:top w:w="0" w:type="dxa"/>
              <w:left w:w="108" w:type="dxa"/>
              <w:bottom w:w="0" w:type="dxa"/>
              <w:right w:w="108" w:type="dxa"/>
            </w:tcMar>
            <w:vAlign w:val="center"/>
          </w:tcPr>
          <w:p w14:paraId="1C7008A1"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Virus Isolation</w:t>
            </w:r>
          </w:p>
        </w:tc>
        <w:tc>
          <w:tcPr>
            <w:tcW w:w="1172" w:type="dxa"/>
            <w:vMerge w:val="restart"/>
            <w:tcBorders>
              <w:top w:val="single" w:sz="4" w:space="0" w:color="auto"/>
              <w:left w:val="nil"/>
              <w:right w:val="single" w:sz="8" w:space="0" w:color="auto"/>
            </w:tcBorders>
            <w:tcMar>
              <w:top w:w="0" w:type="dxa"/>
              <w:left w:w="108" w:type="dxa"/>
              <w:bottom w:w="0" w:type="dxa"/>
              <w:right w:w="108" w:type="dxa"/>
            </w:tcMar>
            <w:vAlign w:val="center"/>
          </w:tcPr>
          <w:p w14:paraId="1107D5F8"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Diagnosis</w:t>
            </w:r>
          </w:p>
        </w:tc>
        <w:tc>
          <w:tcPr>
            <w:tcW w:w="1175"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4A83786"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Experimentally infected salmon</w:t>
            </w:r>
          </w:p>
        </w:tc>
        <w:tc>
          <w:tcPr>
            <w:tcW w:w="113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46704DD"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Kidney</w:t>
            </w:r>
          </w:p>
        </w:tc>
        <w:tc>
          <w:tcPr>
            <w:tcW w:w="127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F3295C9"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Steelhead (</w:t>
            </w:r>
            <w:r w:rsidRPr="00D403F5">
              <w:rPr>
                <w:rFonts w:ascii="Arial Narrow" w:hAnsi="Arial Narrow"/>
                <w:i/>
                <w:sz w:val="18"/>
                <w:szCs w:val="18"/>
                <w:lang w:val="en-IE" w:eastAsia="fr-FR"/>
              </w:rPr>
              <w:t>Oncorhynchus mykiss</w:t>
            </w:r>
            <w:r w:rsidRPr="00D403F5">
              <w:rPr>
                <w:rFonts w:ascii="Arial Narrow" w:hAnsi="Arial Narrow"/>
                <w:sz w:val="18"/>
                <w:szCs w:val="18"/>
                <w:lang w:val="en-IE" w:eastAsia="fr-FR"/>
              </w:rPr>
              <w:t>)</w:t>
            </w:r>
          </w:p>
        </w:tc>
        <w:tc>
          <w:tcPr>
            <w:tcW w:w="660"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2A91177"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84 (50)</w:t>
            </w:r>
          </w:p>
        </w:tc>
        <w:tc>
          <w:tcPr>
            <w:tcW w:w="660"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B0FED13"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100 (50)</w:t>
            </w:r>
          </w:p>
        </w:tc>
        <w:tc>
          <w:tcPr>
            <w:tcW w:w="1255"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D06F2DA"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Animals of known infection status</w:t>
            </w:r>
          </w:p>
        </w:tc>
        <w:tc>
          <w:tcPr>
            <w:tcW w:w="98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E9F8642" w14:textId="77777777" w:rsidR="00E65E42" w:rsidRPr="00D403F5" w:rsidRDefault="00E65E42" w:rsidP="00E65E42">
            <w:pPr>
              <w:spacing w:after="0"/>
              <w:ind w:left="-57"/>
              <w:jc w:val="center"/>
              <w:rPr>
                <w:rFonts w:ascii="Calibri" w:eastAsia="Calibri" w:hAnsi="Calibri"/>
                <w:sz w:val="18"/>
                <w:szCs w:val="18"/>
                <w:lang w:val="en-IE"/>
              </w:rPr>
            </w:pPr>
            <w:r w:rsidRPr="00D403F5">
              <w:rPr>
                <w:rFonts w:ascii="Arial Narrow" w:hAnsi="Arial Narrow"/>
                <w:noProof/>
                <w:sz w:val="18"/>
                <w:szCs w:val="18"/>
                <w:lang w:val="en-IE" w:eastAsia="fr-FR"/>
              </w:rPr>
              <w:t xml:space="preserve">Purcell </w:t>
            </w:r>
            <w:r w:rsidRPr="00D403F5">
              <w:rPr>
                <w:rFonts w:ascii="Arial Narrow" w:hAnsi="Arial Narrow"/>
                <w:i/>
                <w:noProof/>
                <w:sz w:val="18"/>
                <w:szCs w:val="18"/>
                <w:lang w:val="en-IE" w:eastAsia="fr-FR"/>
              </w:rPr>
              <w:t>et al.,</w:t>
            </w:r>
            <w:r w:rsidRPr="00D403F5">
              <w:rPr>
                <w:rFonts w:ascii="Arial Narrow" w:hAnsi="Arial Narrow"/>
                <w:noProof/>
                <w:sz w:val="18"/>
                <w:szCs w:val="18"/>
                <w:lang w:val="en-IE" w:eastAsia="fr-FR"/>
              </w:rPr>
              <w:t xml:space="preserve"> 2013</w:t>
            </w:r>
          </w:p>
        </w:tc>
      </w:tr>
      <w:tr w:rsidR="00E65E42" w:rsidRPr="00D403F5" w14:paraId="77E445E1" w14:textId="77777777" w:rsidTr="00E65E42">
        <w:tc>
          <w:tcPr>
            <w:tcW w:w="911"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tcPr>
          <w:p w14:paraId="73F79A0B" w14:textId="77777777" w:rsidR="00E65E42" w:rsidRPr="00D403F5" w:rsidRDefault="00E65E42" w:rsidP="00E65E42">
            <w:pPr>
              <w:spacing w:after="0"/>
              <w:ind w:left="-57"/>
              <w:jc w:val="center"/>
              <w:rPr>
                <w:rFonts w:ascii="Arial Narrow" w:hAnsi="Arial Narrow"/>
                <w:sz w:val="18"/>
                <w:szCs w:val="18"/>
                <w:lang w:val="en-IE" w:eastAsia="fr-FR"/>
              </w:rPr>
            </w:pPr>
          </w:p>
        </w:tc>
        <w:tc>
          <w:tcPr>
            <w:tcW w:w="1172" w:type="dxa"/>
            <w:vMerge/>
            <w:tcBorders>
              <w:left w:val="nil"/>
              <w:bottom w:val="single" w:sz="8" w:space="0" w:color="auto"/>
              <w:right w:val="single" w:sz="8" w:space="0" w:color="auto"/>
            </w:tcBorders>
            <w:tcMar>
              <w:top w:w="0" w:type="dxa"/>
              <w:left w:w="108" w:type="dxa"/>
              <w:bottom w:w="0" w:type="dxa"/>
              <w:right w:w="108" w:type="dxa"/>
            </w:tcMar>
            <w:vAlign w:val="center"/>
          </w:tcPr>
          <w:p w14:paraId="7CDD8DB4" w14:textId="77777777" w:rsidR="00E65E42" w:rsidRPr="00D403F5" w:rsidRDefault="00E65E42" w:rsidP="00E65E42">
            <w:pPr>
              <w:spacing w:after="0"/>
              <w:ind w:left="-57"/>
              <w:jc w:val="center"/>
              <w:rPr>
                <w:rFonts w:ascii="Arial Narrow" w:hAnsi="Arial Narrow"/>
                <w:sz w:val="18"/>
                <w:szCs w:val="18"/>
                <w:lang w:val="en-IE" w:eastAsia="fr-FR"/>
              </w:rPr>
            </w:pPr>
          </w:p>
        </w:tc>
        <w:tc>
          <w:tcPr>
            <w:tcW w:w="117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5A924061"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Field samples</w:t>
            </w:r>
          </w:p>
        </w:tc>
        <w:tc>
          <w:tcPr>
            <w:tcW w:w="113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7BCAB2C"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Kidney and spleen</w:t>
            </w:r>
          </w:p>
        </w:tc>
        <w:tc>
          <w:tcPr>
            <w:tcW w:w="127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5BFF79F8"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Atlantic salmon</w:t>
            </w:r>
            <w:r w:rsidRPr="00D403F5">
              <w:rPr>
                <w:rFonts w:ascii="Arial Narrow" w:hAnsi="Arial Narrow"/>
                <w:sz w:val="18"/>
                <w:szCs w:val="18"/>
                <w:lang w:val="en-IE" w:eastAsia="fr-FR"/>
              </w:rPr>
              <w:br/>
              <w:t>(</w:t>
            </w:r>
            <w:r w:rsidRPr="00D403F5">
              <w:rPr>
                <w:rFonts w:ascii="Arial Narrow" w:hAnsi="Arial Narrow"/>
                <w:i/>
                <w:sz w:val="18"/>
                <w:szCs w:val="18"/>
                <w:lang w:val="en-IE" w:eastAsia="fr-FR"/>
              </w:rPr>
              <w:t>Salmo salar</w:t>
            </w:r>
            <w:r w:rsidRPr="00D403F5">
              <w:rPr>
                <w:rFonts w:ascii="Arial Narrow" w:hAnsi="Arial Narrow"/>
                <w:sz w:val="18"/>
                <w:szCs w:val="18"/>
                <w:lang w:val="en-IE" w:eastAsia="fr-FR"/>
              </w:rPr>
              <w:t>)</w:t>
            </w:r>
          </w:p>
        </w:tc>
        <w:tc>
          <w:tcPr>
            <w:tcW w:w="66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2F707C4"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80-86 (50)</w:t>
            </w:r>
          </w:p>
        </w:tc>
        <w:tc>
          <w:tcPr>
            <w:tcW w:w="66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09F1E0E5"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100 (50)</w:t>
            </w:r>
          </w:p>
        </w:tc>
        <w:tc>
          <w:tcPr>
            <w:tcW w:w="125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F4D59E1"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Clinical signs – history</w:t>
            </w:r>
          </w:p>
        </w:tc>
        <w:tc>
          <w:tcPr>
            <w:tcW w:w="984"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57DD86A" w14:textId="77777777" w:rsidR="00E65E42" w:rsidRPr="00D403F5" w:rsidRDefault="00E65E42" w:rsidP="00E65E42">
            <w:pPr>
              <w:spacing w:after="0"/>
              <w:ind w:left="-57"/>
              <w:jc w:val="center"/>
              <w:rPr>
                <w:rFonts w:ascii="Arial Narrow" w:hAnsi="Arial Narrow"/>
                <w:sz w:val="18"/>
                <w:szCs w:val="18"/>
                <w:lang w:val="en-IE" w:eastAsia="fr-FR"/>
              </w:rPr>
            </w:pPr>
            <w:r w:rsidRPr="00D403F5">
              <w:rPr>
                <w:rFonts w:ascii="Arial Narrow" w:hAnsi="Arial Narrow"/>
                <w:noProof/>
                <w:sz w:val="18"/>
                <w:szCs w:val="18"/>
                <w:lang w:val="en-IE" w:eastAsia="fr-FR"/>
              </w:rPr>
              <w:t xml:space="preserve">McClure </w:t>
            </w:r>
            <w:r w:rsidRPr="00D403F5">
              <w:rPr>
                <w:rFonts w:ascii="Arial Narrow" w:hAnsi="Arial Narrow"/>
                <w:noProof/>
                <w:sz w:val="18"/>
                <w:szCs w:val="18"/>
                <w:lang w:val="en-IE" w:eastAsia="fr-FR"/>
              </w:rPr>
              <w:br/>
            </w:r>
            <w:r w:rsidRPr="00D403F5">
              <w:rPr>
                <w:rFonts w:ascii="Arial Narrow" w:hAnsi="Arial Narrow"/>
                <w:i/>
                <w:noProof/>
                <w:sz w:val="18"/>
                <w:szCs w:val="18"/>
                <w:lang w:val="en-IE" w:eastAsia="fr-FR"/>
              </w:rPr>
              <w:t>et al.,</w:t>
            </w:r>
            <w:r w:rsidRPr="00D403F5">
              <w:rPr>
                <w:rFonts w:ascii="Arial Narrow" w:hAnsi="Arial Narrow"/>
                <w:noProof/>
                <w:sz w:val="18"/>
                <w:szCs w:val="18"/>
                <w:lang w:val="en-IE" w:eastAsia="fr-FR"/>
              </w:rPr>
              <w:t xml:space="preserve"> 2008</w:t>
            </w:r>
          </w:p>
        </w:tc>
      </w:tr>
    </w:tbl>
    <w:p w14:paraId="0B59ADD2" w14:textId="77777777" w:rsidR="00E65E42" w:rsidRPr="0014778F" w:rsidRDefault="00E65E42" w:rsidP="00E65E42">
      <w:pPr>
        <w:spacing w:before="120" w:after="240" w:line="240" w:lineRule="auto"/>
        <w:jc w:val="center"/>
        <w:rPr>
          <w:rFonts w:ascii="Arial" w:hAnsi="Arial" w:cs="Arial"/>
          <w:b/>
          <w:strike/>
          <w:sz w:val="16"/>
          <w:szCs w:val="16"/>
        </w:rPr>
      </w:pPr>
      <w:bookmarkStart w:id="148" w:name="_Hlk18398484"/>
      <w:r w:rsidRPr="000712D1">
        <w:rPr>
          <w:rFonts w:ascii="Arial" w:hAnsi="Arial" w:cs="Arial"/>
          <w:sz w:val="16"/>
          <w:szCs w:val="16"/>
        </w:rPr>
        <w:t>DSe = diagnostic sensitivity</w:t>
      </w:r>
      <w:r>
        <w:rPr>
          <w:rFonts w:ascii="Arial" w:hAnsi="Arial" w:cs="Arial"/>
          <w:sz w:val="16"/>
          <w:szCs w:val="16"/>
        </w:rPr>
        <w:t>;</w:t>
      </w:r>
      <w:r w:rsidRPr="000712D1">
        <w:rPr>
          <w:rFonts w:ascii="Arial" w:hAnsi="Arial" w:cs="Arial"/>
          <w:sz w:val="16"/>
          <w:szCs w:val="16"/>
        </w:rPr>
        <w:t xml:space="preserve"> DSp = diagnostic specificity</w:t>
      </w:r>
      <w:r>
        <w:rPr>
          <w:rFonts w:ascii="Arial" w:hAnsi="Arial" w:cs="Arial"/>
          <w:sz w:val="16"/>
          <w:szCs w:val="16"/>
        </w:rPr>
        <w:t>;</w:t>
      </w:r>
      <w:r w:rsidRPr="000712D1">
        <w:rPr>
          <w:rFonts w:ascii="Arial" w:hAnsi="Arial" w:cs="Arial"/>
          <w:sz w:val="16"/>
          <w:szCs w:val="16"/>
        </w:rPr>
        <w:t xml:space="preserve"> </w:t>
      </w:r>
      <w:r w:rsidRPr="00C734E2">
        <w:rPr>
          <w:rFonts w:ascii="Arial" w:hAnsi="Arial"/>
          <w:i/>
          <w:iCs/>
          <w:sz w:val="16"/>
          <w:szCs w:val="16"/>
          <w:highlight w:val="yellow"/>
          <w:u w:val="double"/>
        </w:rPr>
        <w:t>n</w:t>
      </w:r>
      <w:r w:rsidRPr="00C734E2">
        <w:rPr>
          <w:rFonts w:ascii="Arial" w:hAnsi="Arial"/>
          <w:sz w:val="16"/>
          <w:szCs w:val="16"/>
          <w:highlight w:val="yellow"/>
          <w:u w:val="double"/>
        </w:rPr>
        <w:t xml:space="preserve"> = number of samples used in the study</w:t>
      </w:r>
      <w:r>
        <w:rPr>
          <w:rFonts w:ascii="Arial" w:hAnsi="Arial"/>
          <w:sz w:val="16"/>
          <w:szCs w:val="16"/>
          <w:u w:val="double"/>
        </w:rPr>
        <w:t>;</w:t>
      </w:r>
      <w:r w:rsidRPr="000712D1">
        <w:rPr>
          <w:rFonts w:ascii="Arial" w:hAnsi="Arial" w:cs="Arial"/>
          <w:sz w:val="16"/>
          <w:szCs w:val="16"/>
        </w:rPr>
        <w:br/>
      </w:r>
      <w:r w:rsidRPr="0014778F">
        <w:rPr>
          <w:rFonts w:ascii="Arial" w:hAnsi="Arial" w:cs="Arial"/>
          <w:strike/>
          <w:sz w:val="16"/>
          <w:szCs w:val="16"/>
          <w:highlight w:val="yellow"/>
        </w:rPr>
        <w:t xml:space="preserve">RT-LAMP: = real-time </w:t>
      </w:r>
      <w:r w:rsidRPr="0014778F">
        <w:rPr>
          <w:rFonts w:ascii="Arial" w:hAnsi="Arial" w:cs="Arial"/>
          <w:strike/>
          <w:sz w:val="16"/>
          <w:szCs w:val="16"/>
          <w:highlight w:val="yellow"/>
          <w:lang w:val="en-IE"/>
        </w:rPr>
        <w:t>loop mediated isothermal amplification</w:t>
      </w:r>
      <w:r w:rsidRPr="0014778F">
        <w:rPr>
          <w:rFonts w:ascii="Arial" w:hAnsi="Arial" w:cs="Arial"/>
          <w:strike/>
          <w:sz w:val="16"/>
          <w:szCs w:val="16"/>
          <w:highlight w:val="yellow"/>
        </w:rPr>
        <w:t>. *Listed as suitable test</w:t>
      </w:r>
    </w:p>
    <w:p w14:paraId="0A6E061E" w14:textId="77777777" w:rsidR="00E65E42" w:rsidRPr="0089592E" w:rsidRDefault="00E65E42" w:rsidP="00E65E42">
      <w:pPr>
        <w:pStyle w:val="10"/>
        <w:spacing w:before="240"/>
        <w:rPr>
          <w:rFonts w:ascii="Ottawa" w:hAnsi="Ottawa"/>
          <w:sz w:val="22"/>
          <w:szCs w:val="22"/>
          <w:lang w:val="en-IE" w:bidi="en-US"/>
        </w:rPr>
      </w:pPr>
      <w:r w:rsidRPr="0089592E">
        <w:rPr>
          <w:rFonts w:ascii="Ottawa" w:hAnsi="Ottawa"/>
          <w:sz w:val="22"/>
          <w:szCs w:val="22"/>
          <w:lang w:val="en-IE" w:bidi="en-US"/>
        </w:rPr>
        <w:t>7.</w:t>
      </w:r>
      <w:r w:rsidRPr="0089592E">
        <w:rPr>
          <w:rFonts w:ascii="Ottawa" w:hAnsi="Ottawa"/>
          <w:sz w:val="22"/>
          <w:szCs w:val="22"/>
          <w:lang w:val="en-IE" w:bidi="en-US"/>
        </w:rPr>
        <w:tab/>
        <w:t>References</w:t>
      </w:r>
    </w:p>
    <w:p w14:paraId="39ED628C" w14:textId="77777777" w:rsidR="00E65E42" w:rsidRPr="00D403F5" w:rsidRDefault="00E65E42" w:rsidP="00CA3459">
      <w:pPr>
        <w:pStyle w:val="REF"/>
        <w:ind w:left="284"/>
        <w:rPr>
          <w:szCs w:val="18"/>
        </w:rPr>
      </w:pPr>
      <w:bookmarkStart w:id="149" w:name="_Hlk491953918"/>
      <w:r w:rsidRPr="00D403F5">
        <w:rPr>
          <w:smallCaps/>
          <w:szCs w:val="18"/>
        </w:rPr>
        <w:t>Alonso M. &amp; Leong J.</w:t>
      </w:r>
      <w:r w:rsidRPr="00D403F5">
        <w:rPr>
          <w:szCs w:val="18"/>
        </w:rPr>
        <w:t xml:space="preserve"> (2013). Licensed DNA vaccines against infectious hematopoietic necrosis virus (IHNV). </w:t>
      </w:r>
      <w:r w:rsidRPr="00D403F5">
        <w:rPr>
          <w:i/>
          <w:szCs w:val="18"/>
        </w:rPr>
        <w:t xml:space="preserve">Recent Pat. DNA Gene Seq., </w:t>
      </w:r>
      <w:r w:rsidRPr="00D403F5">
        <w:rPr>
          <w:b/>
          <w:szCs w:val="18"/>
        </w:rPr>
        <w:t>7</w:t>
      </w:r>
      <w:r w:rsidRPr="00D403F5">
        <w:rPr>
          <w:szCs w:val="18"/>
        </w:rPr>
        <w:t>, 62–65.</w:t>
      </w:r>
    </w:p>
    <w:p w14:paraId="62EA70CB" w14:textId="77777777" w:rsidR="00E65E42" w:rsidRPr="00D403F5" w:rsidRDefault="00E65E42" w:rsidP="00CA3459">
      <w:pPr>
        <w:pStyle w:val="REF"/>
        <w:ind w:left="284"/>
        <w:rPr>
          <w:szCs w:val="18"/>
        </w:rPr>
      </w:pPr>
      <w:r w:rsidRPr="00E65E42">
        <w:rPr>
          <w:smallCaps/>
          <w:szCs w:val="18"/>
          <w:lang w:val="en-US"/>
        </w:rPr>
        <w:t>Auinger B.M., Pfandl K. &amp; Boenigk J.</w:t>
      </w:r>
      <w:r w:rsidRPr="00E65E42">
        <w:rPr>
          <w:szCs w:val="18"/>
          <w:lang w:val="en-US"/>
        </w:rPr>
        <w:t xml:space="preserve"> (2008). </w:t>
      </w:r>
      <w:r w:rsidRPr="00D403F5">
        <w:rPr>
          <w:szCs w:val="18"/>
        </w:rPr>
        <w:t xml:space="preserve">Improved methodology for identification of protists and microalgae from plankton samples preserved in Lugol’s iodine solution: combining microscopic analysis with single-cell PCR. </w:t>
      </w:r>
      <w:r w:rsidRPr="00D403F5">
        <w:rPr>
          <w:i/>
          <w:szCs w:val="18"/>
        </w:rPr>
        <w:t xml:space="preserve">Appl. Environ. Microbiol., </w:t>
      </w:r>
      <w:r w:rsidRPr="00D403F5">
        <w:rPr>
          <w:b/>
          <w:szCs w:val="18"/>
        </w:rPr>
        <w:t>74</w:t>
      </w:r>
      <w:r w:rsidRPr="00D403F5">
        <w:rPr>
          <w:szCs w:val="18"/>
        </w:rPr>
        <w:t>, 2505–2510.</w:t>
      </w:r>
    </w:p>
    <w:p w14:paraId="56F61714" w14:textId="77777777" w:rsidR="00E65E42" w:rsidRPr="00D403F5" w:rsidRDefault="00E65E42" w:rsidP="00CA3459">
      <w:pPr>
        <w:pStyle w:val="REF"/>
        <w:ind w:left="284"/>
        <w:rPr>
          <w:szCs w:val="18"/>
        </w:rPr>
      </w:pPr>
      <w:r w:rsidRPr="00D403F5">
        <w:rPr>
          <w:smallCaps/>
          <w:szCs w:val="18"/>
        </w:rPr>
        <w:t>Balmer B.F., Powers R.L., Zhang T.-H., Lee J., Vigant F., Lee B., Jung M.E., Purcell M.K., Snekvik K. &amp; Aguilar H.C.</w:t>
      </w:r>
      <w:r w:rsidRPr="00D403F5">
        <w:rPr>
          <w:szCs w:val="18"/>
        </w:rPr>
        <w:t xml:space="preserve"> (2017). Inhibition of an aquatic rhabdovirus demonstrates promise of a broad-spectrum antiviral for use in aquaculture. </w:t>
      </w:r>
      <w:r w:rsidRPr="00D403F5">
        <w:rPr>
          <w:i/>
          <w:szCs w:val="18"/>
        </w:rPr>
        <w:t xml:space="preserve">J. Virol., </w:t>
      </w:r>
      <w:r w:rsidRPr="00D403F5">
        <w:rPr>
          <w:b/>
          <w:szCs w:val="18"/>
        </w:rPr>
        <w:t>91</w:t>
      </w:r>
      <w:r w:rsidRPr="00D403F5">
        <w:rPr>
          <w:szCs w:val="18"/>
        </w:rPr>
        <w:t xml:space="preserve"> (4), e02181–02116.</w:t>
      </w:r>
    </w:p>
    <w:p w14:paraId="62B449CC" w14:textId="77777777" w:rsidR="004F1CC2" w:rsidRDefault="004F1CC2">
      <w:pPr>
        <w:rPr>
          <w:u w:val="single"/>
        </w:rPr>
      </w:pPr>
      <w:r>
        <w:rPr>
          <w:u w:val="single"/>
        </w:rPr>
        <w:br w:type="page"/>
      </w:r>
    </w:p>
    <w:p w14:paraId="559A4C45" w14:textId="5C2DC390" w:rsidR="004F1CC2" w:rsidRDefault="004F1CC2" w:rsidP="004F1CC2">
      <w:pPr>
        <w:spacing w:after="480" w:line="240" w:lineRule="auto"/>
        <w:jc w:val="right"/>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p w14:paraId="39E0335B" w14:textId="77777777" w:rsidR="00E65E42" w:rsidRPr="00D403F5" w:rsidRDefault="00E65E42" w:rsidP="00CA3459">
      <w:pPr>
        <w:pStyle w:val="REF"/>
        <w:ind w:left="284"/>
        <w:rPr>
          <w:szCs w:val="18"/>
        </w:rPr>
      </w:pPr>
      <w:r w:rsidRPr="00D403F5">
        <w:rPr>
          <w:smallCaps/>
          <w:szCs w:val="18"/>
        </w:rPr>
        <w:t>Barlic-Maganja D., Strancar M., Hostnik P., Jencic V. &amp; Grom J</w:t>
      </w:r>
      <w:r w:rsidRPr="00D403F5">
        <w:rPr>
          <w:szCs w:val="18"/>
        </w:rPr>
        <w:t xml:space="preserve">. (2002). Comparison of the efficiency and sensitivity of virus isolation and molecular methods for routine diagnosis of infectious haematopoietic necrosis virus and infectious pancreatic necrosis virus. </w:t>
      </w:r>
      <w:r w:rsidRPr="00D403F5">
        <w:rPr>
          <w:i/>
          <w:szCs w:val="18"/>
        </w:rPr>
        <w:t xml:space="preserve">J. Fish Dis., </w:t>
      </w:r>
      <w:r w:rsidRPr="00D403F5">
        <w:rPr>
          <w:b/>
          <w:szCs w:val="18"/>
        </w:rPr>
        <w:t>25</w:t>
      </w:r>
      <w:r w:rsidRPr="00D403F5">
        <w:rPr>
          <w:szCs w:val="18"/>
        </w:rPr>
        <w:t>, 73–80.</w:t>
      </w:r>
    </w:p>
    <w:p w14:paraId="691F02C6" w14:textId="77777777" w:rsidR="00E65E42" w:rsidRPr="00D403F5" w:rsidRDefault="00E65E42" w:rsidP="00CA3459">
      <w:pPr>
        <w:pStyle w:val="REF"/>
        <w:ind w:left="284"/>
        <w:rPr>
          <w:szCs w:val="18"/>
        </w:rPr>
      </w:pPr>
      <w:r w:rsidRPr="00D403F5">
        <w:rPr>
          <w:smallCaps/>
          <w:szCs w:val="18"/>
        </w:rPr>
        <w:t xml:space="preserve">Barroso R.M., Wheeler P.A., LaPatra S.E., Drew R.E. &amp; Thorgaard G.H. (2008). </w:t>
      </w:r>
      <w:r w:rsidRPr="00D403F5">
        <w:rPr>
          <w:szCs w:val="18"/>
        </w:rPr>
        <w:t>QTL for IHNV resistance and growth identified in a rainbow trout (</w:t>
      </w:r>
      <w:r w:rsidRPr="00D403F5">
        <w:rPr>
          <w:i/>
          <w:szCs w:val="18"/>
        </w:rPr>
        <w:t>Oncorhynchus mykiss</w:t>
      </w:r>
      <w:r w:rsidRPr="00D403F5">
        <w:rPr>
          <w:szCs w:val="18"/>
        </w:rPr>
        <w:t>) X Yellowstone cutthroat (</w:t>
      </w:r>
      <w:r w:rsidRPr="00D403F5">
        <w:rPr>
          <w:i/>
          <w:szCs w:val="18"/>
        </w:rPr>
        <w:t>Oncorhynchus clarki bouvieri</w:t>
      </w:r>
      <w:r w:rsidRPr="00D403F5">
        <w:rPr>
          <w:szCs w:val="18"/>
        </w:rPr>
        <w:t xml:space="preserve">) trout cross. </w:t>
      </w:r>
      <w:r w:rsidRPr="00D403F5">
        <w:rPr>
          <w:i/>
          <w:szCs w:val="18"/>
        </w:rPr>
        <w:t>Aquaculture,</w:t>
      </w:r>
      <w:r w:rsidRPr="00D403F5">
        <w:rPr>
          <w:szCs w:val="18"/>
        </w:rPr>
        <w:t xml:space="preserve"> </w:t>
      </w:r>
      <w:r w:rsidRPr="00D403F5">
        <w:rPr>
          <w:b/>
          <w:szCs w:val="18"/>
        </w:rPr>
        <w:t>277</w:t>
      </w:r>
      <w:r w:rsidRPr="00D403F5">
        <w:rPr>
          <w:szCs w:val="18"/>
        </w:rPr>
        <w:t>, 156–163.</w:t>
      </w:r>
    </w:p>
    <w:p w14:paraId="65BA422A" w14:textId="77777777" w:rsidR="00E65E42" w:rsidRPr="00D403F5" w:rsidRDefault="00E65E42" w:rsidP="00CA3459">
      <w:pPr>
        <w:pStyle w:val="REF"/>
        <w:ind w:left="284"/>
        <w:rPr>
          <w:szCs w:val="18"/>
        </w:rPr>
      </w:pPr>
      <w:r w:rsidRPr="00D403F5">
        <w:rPr>
          <w:smallCaps/>
          <w:szCs w:val="18"/>
        </w:rPr>
        <w:t>Batts W.N. &amp; Winton J.R</w:t>
      </w:r>
      <w:r w:rsidRPr="00D403F5">
        <w:rPr>
          <w:szCs w:val="18"/>
        </w:rPr>
        <w:t xml:space="preserve">. (1989). Concentration of infectious hematopoietic necrosis virus from water samples by tangential flow filtration and polyethylene glycol precipitation. </w:t>
      </w:r>
      <w:r w:rsidRPr="00D403F5">
        <w:rPr>
          <w:i/>
          <w:szCs w:val="18"/>
        </w:rPr>
        <w:t xml:space="preserve">Can. J. Fish. Aquat. Sci., </w:t>
      </w:r>
      <w:r w:rsidRPr="00D403F5">
        <w:rPr>
          <w:b/>
          <w:szCs w:val="18"/>
        </w:rPr>
        <w:t>46</w:t>
      </w:r>
      <w:r w:rsidRPr="00D403F5">
        <w:rPr>
          <w:szCs w:val="18"/>
        </w:rPr>
        <w:t>, 964–968.</w:t>
      </w:r>
    </w:p>
    <w:p w14:paraId="3589361A" w14:textId="77777777" w:rsidR="00E65E42" w:rsidRPr="00D403F5" w:rsidRDefault="00E65E42" w:rsidP="00CA3459">
      <w:pPr>
        <w:pStyle w:val="REF"/>
        <w:ind w:left="284"/>
        <w:rPr>
          <w:szCs w:val="18"/>
        </w:rPr>
      </w:pPr>
      <w:r w:rsidRPr="00D403F5">
        <w:rPr>
          <w:smallCaps/>
          <w:szCs w:val="18"/>
        </w:rPr>
        <w:t xml:space="preserve">Bootland L.M. &amp; Leong J.C. (1999). </w:t>
      </w:r>
      <w:r w:rsidRPr="00D403F5">
        <w:rPr>
          <w:szCs w:val="18"/>
        </w:rPr>
        <w:t xml:space="preserve">Infectious hematopoietic necrosis virus. </w:t>
      </w:r>
      <w:r w:rsidRPr="00D403F5">
        <w:rPr>
          <w:i/>
          <w:szCs w:val="18"/>
        </w:rPr>
        <w:t xml:space="preserve">In: </w:t>
      </w:r>
      <w:r w:rsidRPr="00D403F5">
        <w:rPr>
          <w:szCs w:val="18"/>
        </w:rPr>
        <w:t>Fish Diseases and Disorders, Volume 3: Viral, Bacterial and Fungal Infections, Woo P.T.K. &amp; Bruno D.W., eds. CAB International, Oxon, UK, 57–121.</w:t>
      </w:r>
    </w:p>
    <w:p w14:paraId="6BED4C0C" w14:textId="77777777" w:rsidR="00E65E42" w:rsidRPr="00D403F5" w:rsidRDefault="00E65E42" w:rsidP="00CA3459">
      <w:pPr>
        <w:pStyle w:val="REF"/>
        <w:ind w:left="284"/>
        <w:rPr>
          <w:szCs w:val="18"/>
        </w:rPr>
      </w:pPr>
      <w:r w:rsidRPr="00D403F5">
        <w:rPr>
          <w:smallCaps/>
          <w:szCs w:val="18"/>
        </w:rPr>
        <w:t>Bovo G., Håstein T., Hill B., LaPatra S.E., Michel C., Olesen N.J., Shchelkunov I., Storset A., Wollfrom T. &amp; Midtlying P.J.</w:t>
      </w:r>
      <w:r w:rsidRPr="00D403F5">
        <w:rPr>
          <w:szCs w:val="18"/>
        </w:rPr>
        <w:t xml:space="preserve"> (2005). Hazard identification for vertical transfer of fish disease agents. Available at: </w:t>
      </w:r>
      <w:hyperlink r:id="rId192" w:history="1">
        <w:r w:rsidRPr="00C7404A">
          <w:rPr>
            <w:rStyle w:val="Lienhypertexte"/>
            <w:rFonts w:cs="Arial"/>
            <w:color w:val="0000FF"/>
            <w:szCs w:val="18"/>
          </w:rPr>
          <w:t>http://www.crl-fish.eu/upload/sites/crl-fish/reports/links/fisheggtrade%20wp1.pdf</w:t>
        </w:r>
      </w:hyperlink>
      <w:r w:rsidRPr="00C7404A">
        <w:rPr>
          <w:color w:val="0000FF"/>
          <w:szCs w:val="18"/>
        </w:rPr>
        <w:t xml:space="preserve"> </w:t>
      </w:r>
    </w:p>
    <w:p w14:paraId="098B68F1" w14:textId="77777777" w:rsidR="00E65E42" w:rsidRPr="00D403F5" w:rsidRDefault="00E65E42" w:rsidP="00CA3459">
      <w:pPr>
        <w:pStyle w:val="REF"/>
        <w:ind w:left="284"/>
        <w:rPr>
          <w:szCs w:val="18"/>
        </w:rPr>
      </w:pPr>
      <w:r w:rsidRPr="00D403F5">
        <w:rPr>
          <w:smallCaps/>
          <w:szCs w:val="18"/>
        </w:rPr>
        <w:t>Burbank D.R., Fehringer T.R. &amp; Chiaramonte L.V.</w:t>
      </w:r>
      <w:r w:rsidRPr="00D403F5">
        <w:rPr>
          <w:szCs w:val="18"/>
        </w:rPr>
        <w:t xml:space="preserve"> (2017). Comparison of selected nonlethal samples from adult steelhead for detection of infectious hematopoietic necrosis virus using cell culture. </w:t>
      </w:r>
      <w:r w:rsidRPr="00D403F5">
        <w:rPr>
          <w:i/>
          <w:szCs w:val="18"/>
        </w:rPr>
        <w:t xml:space="preserve">J. Aquat. Anim. Health, </w:t>
      </w:r>
      <w:r w:rsidRPr="00D403F5">
        <w:rPr>
          <w:b/>
          <w:szCs w:val="18"/>
        </w:rPr>
        <w:t>29</w:t>
      </w:r>
      <w:r w:rsidRPr="00D403F5">
        <w:rPr>
          <w:szCs w:val="18"/>
        </w:rPr>
        <w:t>, 67–73.</w:t>
      </w:r>
    </w:p>
    <w:p w14:paraId="44458D56" w14:textId="77777777" w:rsidR="00E65E42" w:rsidRPr="00D403F5" w:rsidRDefault="00E65E42" w:rsidP="00CA3459">
      <w:pPr>
        <w:pStyle w:val="REF"/>
        <w:ind w:left="284"/>
        <w:rPr>
          <w:szCs w:val="18"/>
        </w:rPr>
      </w:pPr>
      <w:r w:rsidRPr="00D403F5">
        <w:rPr>
          <w:smallCaps/>
          <w:szCs w:val="18"/>
        </w:rPr>
        <w:t>Burke J. &amp; Mulcahy D.</w:t>
      </w:r>
      <w:r w:rsidRPr="00D403F5">
        <w:rPr>
          <w:szCs w:val="18"/>
        </w:rPr>
        <w:t xml:space="preserve"> (1983). Retention of infectious haematopoietic necrosis virus infectivity in fish tissue homogenates and fluids stored at three temperatures. </w:t>
      </w:r>
      <w:r w:rsidRPr="00D403F5">
        <w:rPr>
          <w:i/>
          <w:szCs w:val="18"/>
        </w:rPr>
        <w:t xml:space="preserve">J. Fish Dis., </w:t>
      </w:r>
      <w:r w:rsidRPr="00D403F5">
        <w:rPr>
          <w:b/>
          <w:szCs w:val="18"/>
        </w:rPr>
        <w:t>6</w:t>
      </w:r>
      <w:r w:rsidRPr="00D403F5">
        <w:rPr>
          <w:szCs w:val="18"/>
        </w:rPr>
        <w:t>, 543–547.</w:t>
      </w:r>
    </w:p>
    <w:p w14:paraId="3B4C0764" w14:textId="77777777" w:rsidR="00E65E42" w:rsidRPr="00D403F5" w:rsidRDefault="00E65E42" w:rsidP="00CA3459">
      <w:pPr>
        <w:pStyle w:val="REF"/>
        <w:ind w:left="284"/>
        <w:rPr>
          <w:szCs w:val="18"/>
          <w:lang w:val="es-ES"/>
        </w:rPr>
      </w:pPr>
      <w:r w:rsidRPr="00D403F5">
        <w:rPr>
          <w:smallCaps/>
          <w:szCs w:val="18"/>
        </w:rPr>
        <w:t>Cieslak M., Wahli T., Diserens N., Haenen O.L.M. &amp; Schutze H.</w:t>
      </w:r>
      <w:r w:rsidRPr="00D403F5">
        <w:rPr>
          <w:szCs w:val="18"/>
        </w:rPr>
        <w:t xml:space="preserve"> (2017). Phylogeny of the infectious hematopoietic necrosis virus in European aquaculture. </w:t>
      </w:r>
      <w:r w:rsidRPr="00D403F5">
        <w:rPr>
          <w:i/>
          <w:szCs w:val="18"/>
          <w:lang w:val="es-ES"/>
        </w:rPr>
        <w:t xml:space="preserve">PloS one, </w:t>
      </w:r>
      <w:r w:rsidRPr="00D403F5">
        <w:rPr>
          <w:b/>
          <w:szCs w:val="18"/>
          <w:lang w:val="es-ES"/>
        </w:rPr>
        <w:t>12</w:t>
      </w:r>
      <w:r w:rsidRPr="00D403F5">
        <w:rPr>
          <w:szCs w:val="18"/>
          <w:lang w:val="es-ES"/>
        </w:rPr>
        <w:t xml:space="preserve"> (9), e0184490.</w:t>
      </w:r>
    </w:p>
    <w:p w14:paraId="6EC4576D" w14:textId="77777777" w:rsidR="00E65E42" w:rsidRPr="00D403F5" w:rsidRDefault="00E65E42" w:rsidP="00CA3459">
      <w:pPr>
        <w:pStyle w:val="REF"/>
        <w:ind w:left="284"/>
        <w:rPr>
          <w:szCs w:val="18"/>
        </w:rPr>
      </w:pPr>
      <w:r w:rsidRPr="00D403F5">
        <w:rPr>
          <w:smallCaps/>
          <w:szCs w:val="18"/>
          <w:lang w:val="es-ES"/>
        </w:rPr>
        <w:t>Dixon P., Paley R., Alegria-Moran R. &amp; Oidtmann B.</w:t>
      </w:r>
      <w:r w:rsidRPr="00D403F5">
        <w:rPr>
          <w:szCs w:val="18"/>
          <w:lang w:val="es-ES"/>
        </w:rPr>
        <w:t xml:space="preserve"> (2016). </w:t>
      </w:r>
      <w:r w:rsidRPr="00D403F5">
        <w:rPr>
          <w:szCs w:val="18"/>
        </w:rPr>
        <w:t xml:space="preserve">Epidemiological characteristics of infectious hematopoietic necrosis virus (IHNV): a review. </w:t>
      </w:r>
      <w:r w:rsidRPr="00D403F5">
        <w:rPr>
          <w:i/>
          <w:szCs w:val="18"/>
        </w:rPr>
        <w:t xml:space="preserve">Vet. Res., </w:t>
      </w:r>
      <w:r w:rsidRPr="00D403F5">
        <w:rPr>
          <w:b/>
          <w:szCs w:val="18"/>
        </w:rPr>
        <w:t>47</w:t>
      </w:r>
      <w:r w:rsidRPr="00D403F5">
        <w:rPr>
          <w:szCs w:val="18"/>
        </w:rPr>
        <w:t>, 63.</w:t>
      </w:r>
    </w:p>
    <w:p w14:paraId="7D5AD11A" w14:textId="77777777" w:rsidR="00E65E42" w:rsidRPr="00D403F5" w:rsidRDefault="00E65E42" w:rsidP="00CA3459">
      <w:pPr>
        <w:pStyle w:val="REF"/>
        <w:ind w:left="284"/>
        <w:rPr>
          <w:szCs w:val="18"/>
        </w:rPr>
      </w:pPr>
      <w:r w:rsidRPr="00D403F5">
        <w:rPr>
          <w:smallCaps/>
          <w:szCs w:val="18"/>
        </w:rPr>
        <w:t>Drolet B.S., Chiou P.P., Heidel J. &amp; Leong J.A.</w:t>
      </w:r>
      <w:r w:rsidRPr="00D403F5">
        <w:rPr>
          <w:szCs w:val="18"/>
        </w:rPr>
        <w:t xml:space="preserve"> (1995). Detection of truncated virus particles in a persistent RNA virus infection </w:t>
      </w:r>
      <w:r w:rsidRPr="00D403F5">
        <w:rPr>
          <w:i/>
          <w:szCs w:val="18"/>
        </w:rPr>
        <w:t>in vivo</w:t>
      </w:r>
      <w:r w:rsidRPr="00D403F5">
        <w:rPr>
          <w:szCs w:val="18"/>
        </w:rPr>
        <w:t xml:space="preserve">. </w:t>
      </w:r>
      <w:r w:rsidRPr="00D403F5">
        <w:rPr>
          <w:i/>
          <w:szCs w:val="18"/>
        </w:rPr>
        <w:t xml:space="preserve">J. Virol., </w:t>
      </w:r>
      <w:r w:rsidRPr="00D403F5">
        <w:rPr>
          <w:b/>
          <w:szCs w:val="18"/>
        </w:rPr>
        <w:t>69</w:t>
      </w:r>
      <w:r w:rsidRPr="00D403F5">
        <w:rPr>
          <w:szCs w:val="18"/>
        </w:rPr>
        <w:t>, 2140–2147.</w:t>
      </w:r>
    </w:p>
    <w:p w14:paraId="2014D0DA" w14:textId="77777777" w:rsidR="00E65E42" w:rsidRPr="00D403F5" w:rsidRDefault="00E65E42" w:rsidP="00CA3459">
      <w:pPr>
        <w:pStyle w:val="REF"/>
        <w:ind w:left="284"/>
        <w:rPr>
          <w:szCs w:val="18"/>
        </w:rPr>
      </w:pPr>
      <w:r w:rsidRPr="00D403F5">
        <w:rPr>
          <w:smallCaps/>
          <w:szCs w:val="18"/>
        </w:rPr>
        <w:t>Drolet B.S., Rohovec J.S. &amp; Leong J.C</w:t>
      </w:r>
      <w:r w:rsidRPr="00D403F5">
        <w:rPr>
          <w:szCs w:val="18"/>
        </w:rPr>
        <w:t xml:space="preserve">. (1994). The route of entry and progression of infectious haematopoietic necrosis virus in </w:t>
      </w:r>
      <w:r w:rsidRPr="00D403F5">
        <w:rPr>
          <w:i/>
          <w:szCs w:val="18"/>
        </w:rPr>
        <w:t>Oncorhynchus mykiss</w:t>
      </w:r>
      <w:r w:rsidRPr="00D403F5">
        <w:rPr>
          <w:szCs w:val="18"/>
        </w:rPr>
        <w:t xml:space="preserve"> (Walbaum): a sequential immunohistochemical study. </w:t>
      </w:r>
      <w:r w:rsidRPr="00D403F5">
        <w:rPr>
          <w:i/>
          <w:szCs w:val="18"/>
        </w:rPr>
        <w:t xml:space="preserve">J. Fish Dis., </w:t>
      </w:r>
      <w:r w:rsidRPr="00D403F5">
        <w:rPr>
          <w:b/>
          <w:szCs w:val="18"/>
        </w:rPr>
        <w:t>17</w:t>
      </w:r>
      <w:r w:rsidRPr="00D403F5">
        <w:rPr>
          <w:szCs w:val="18"/>
        </w:rPr>
        <w:t>, 337–347.</w:t>
      </w:r>
    </w:p>
    <w:p w14:paraId="599CFF27" w14:textId="77777777" w:rsidR="00E65E42" w:rsidRPr="00D403F5" w:rsidRDefault="00E65E42" w:rsidP="00CA3459">
      <w:pPr>
        <w:pStyle w:val="REF"/>
        <w:ind w:left="284"/>
        <w:rPr>
          <w:szCs w:val="18"/>
        </w:rPr>
      </w:pPr>
      <w:r w:rsidRPr="00D403F5">
        <w:rPr>
          <w:smallCaps/>
          <w:szCs w:val="18"/>
        </w:rPr>
        <w:t xml:space="preserve">Emmenegger E.J., Meyers T.R., Burton T.O. &amp; Kurath G. (2000). </w:t>
      </w:r>
      <w:r w:rsidRPr="00D403F5">
        <w:rPr>
          <w:szCs w:val="18"/>
        </w:rPr>
        <w:t xml:space="preserve">Genetic diversity and epidemiology of infectious hematopoietic necrosis virus in Alaska. </w:t>
      </w:r>
      <w:r w:rsidRPr="00D403F5">
        <w:rPr>
          <w:i/>
          <w:szCs w:val="18"/>
        </w:rPr>
        <w:t>Dis. Aquat. Org.</w:t>
      </w:r>
      <w:r w:rsidRPr="00D403F5">
        <w:rPr>
          <w:szCs w:val="18"/>
        </w:rPr>
        <w:t xml:space="preserve">, </w:t>
      </w:r>
      <w:r w:rsidRPr="00D403F5">
        <w:rPr>
          <w:b/>
          <w:szCs w:val="18"/>
        </w:rPr>
        <w:t>40</w:t>
      </w:r>
      <w:r w:rsidRPr="00D403F5">
        <w:rPr>
          <w:szCs w:val="18"/>
        </w:rPr>
        <w:t>, 163–176.</w:t>
      </w:r>
    </w:p>
    <w:p w14:paraId="76F571B4" w14:textId="77777777" w:rsidR="00E65E42" w:rsidRPr="00D403F5" w:rsidRDefault="00E65E42" w:rsidP="00CA3459">
      <w:pPr>
        <w:pStyle w:val="REF"/>
        <w:ind w:left="284"/>
        <w:rPr>
          <w:szCs w:val="18"/>
          <w:lang w:val="nb-NO"/>
        </w:rPr>
      </w:pPr>
      <w:r w:rsidRPr="00D403F5">
        <w:rPr>
          <w:smallCaps/>
          <w:szCs w:val="18"/>
        </w:rPr>
        <w:t>Enzmann P.J., Castric J., Bovo G., Thiery R., Fichtner D., Schütze H. &amp;</w:t>
      </w:r>
      <w:r w:rsidRPr="00D403F5">
        <w:rPr>
          <w:szCs w:val="18"/>
        </w:rPr>
        <w:t xml:space="preserve"> </w:t>
      </w:r>
      <w:r w:rsidRPr="00D403F5">
        <w:rPr>
          <w:smallCaps/>
          <w:szCs w:val="18"/>
        </w:rPr>
        <w:t>Wahli</w:t>
      </w:r>
      <w:r w:rsidRPr="00D403F5">
        <w:rPr>
          <w:szCs w:val="18"/>
        </w:rPr>
        <w:t xml:space="preserve"> T. (2010). Evolution of infectious hematopoietic necrosis virus (IHNV), a fish rhabdovirus, in Europe over 20 years: implications for control. </w:t>
      </w:r>
      <w:r w:rsidRPr="00D403F5">
        <w:rPr>
          <w:i/>
          <w:szCs w:val="18"/>
          <w:lang w:val="nb-NO"/>
        </w:rPr>
        <w:t>Dis. Aquat. Org.,</w:t>
      </w:r>
      <w:r w:rsidRPr="00D403F5">
        <w:rPr>
          <w:szCs w:val="18"/>
          <w:lang w:val="nb-NO"/>
        </w:rPr>
        <w:t xml:space="preserve"> </w:t>
      </w:r>
      <w:r w:rsidRPr="00D403F5">
        <w:rPr>
          <w:b/>
          <w:szCs w:val="18"/>
          <w:lang w:val="nb-NO"/>
        </w:rPr>
        <w:t>89</w:t>
      </w:r>
      <w:r w:rsidRPr="00D403F5">
        <w:rPr>
          <w:szCs w:val="18"/>
          <w:lang w:val="nb-NO"/>
        </w:rPr>
        <w:t>, 9–15.</w:t>
      </w:r>
    </w:p>
    <w:p w14:paraId="4117EDDE" w14:textId="77777777" w:rsidR="00E65E42" w:rsidRPr="00D403F5" w:rsidRDefault="00E65E42" w:rsidP="00CA3459">
      <w:pPr>
        <w:pStyle w:val="REF"/>
        <w:ind w:left="284"/>
        <w:rPr>
          <w:szCs w:val="18"/>
        </w:rPr>
      </w:pPr>
      <w:r w:rsidRPr="00D403F5">
        <w:rPr>
          <w:smallCaps/>
          <w:szCs w:val="18"/>
          <w:lang w:val="nb-NO"/>
        </w:rPr>
        <w:t xml:space="preserve">Enzmann P.J., Kurath G., Fichtner D. &amp; Bergmann S.M. (2005). </w:t>
      </w:r>
      <w:r w:rsidRPr="00D403F5">
        <w:rPr>
          <w:szCs w:val="18"/>
        </w:rPr>
        <w:t xml:space="preserve">Infectious hematopoietic necrosis virus: Monophyletic origin of European IHNV isolates from North-American genogroup M. </w:t>
      </w:r>
      <w:r w:rsidRPr="00D403F5">
        <w:rPr>
          <w:i/>
          <w:szCs w:val="18"/>
        </w:rPr>
        <w:t>Dis. Aquat. Org</w:t>
      </w:r>
      <w:r w:rsidRPr="00D403F5">
        <w:rPr>
          <w:szCs w:val="18"/>
        </w:rPr>
        <w:t xml:space="preserve">., </w:t>
      </w:r>
      <w:r w:rsidRPr="00D403F5">
        <w:rPr>
          <w:b/>
          <w:szCs w:val="18"/>
        </w:rPr>
        <w:t>66</w:t>
      </w:r>
      <w:r w:rsidRPr="00D403F5">
        <w:rPr>
          <w:szCs w:val="18"/>
        </w:rPr>
        <w:t>, 187–195.</w:t>
      </w:r>
    </w:p>
    <w:p w14:paraId="4E0D31A4" w14:textId="77777777" w:rsidR="00E65E42" w:rsidRDefault="00E65E42" w:rsidP="00CA3459">
      <w:pPr>
        <w:pStyle w:val="REF"/>
        <w:ind w:left="284"/>
        <w:rPr>
          <w:szCs w:val="18"/>
        </w:rPr>
      </w:pPr>
      <w:r w:rsidRPr="00D403F5">
        <w:rPr>
          <w:smallCaps/>
          <w:szCs w:val="18"/>
        </w:rPr>
        <w:t>Foott J.S., Free D., McDowell T., Arkush K.D. &amp; Hedrick R.P.</w:t>
      </w:r>
      <w:r w:rsidRPr="00D403F5">
        <w:rPr>
          <w:szCs w:val="18"/>
        </w:rPr>
        <w:t xml:space="preserve"> (2006). Infectious hematopoietic necrosis virus transmission and disease among juvenile Chinook salmon exposed in culture compared to environmentally relevant conditions. </w:t>
      </w:r>
      <w:r w:rsidRPr="00D403F5">
        <w:rPr>
          <w:i/>
          <w:szCs w:val="18"/>
        </w:rPr>
        <w:t xml:space="preserve">San Franc. Estuary Watershed Sci., </w:t>
      </w:r>
      <w:r w:rsidRPr="00D403F5">
        <w:rPr>
          <w:b/>
          <w:szCs w:val="18"/>
        </w:rPr>
        <w:t>4</w:t>
      </w:r>
      <w:r w:rsidRPr="00D403F5">
        <w:rPr>
          <w:szCs w:val="18"/>
        </w:rPr>
        <w:t xml:space="preserve"> (1).</w:t>
      </w:r>
    </w:p>
    <w:p w14:paraId="6B36522B" w14:textId="77777777" w:rsidR="00E65E42" w:rsidRPr="006936A4" w:rsidRDefault="00E65E42" w:rsidP="00CA3459">
      <w:pPr>
        <w:pStyle w:val="REF"/>
        <w:ind w:left="284"/>
        <w:rPr>
          <w:szCs w:val="18"/>
          <w:u w:val="double"/>
        </w:rPr>
      </w:pPr>
      <w:r w:rsidRPr="00C94228">
        <w:rPr>
          <w:smallCaps/>
          <w:szCs w:val="18"/>
          <w:highlight w:val="yellow"/>
          <w:u w:val="double"/>
          <w:lang w:val="en-US"/>
        </w:rPr>
        <w:t>Garver K.A., Conway C.M., Elliott D.G. &amp; Kurath G</w:t>
      </w:r>
      <w:r w:rsidRPr="00C94228">
        <w:rPr>
          <w:szCs w:val="18"/>
          <w:highlight w:val="yellow"/>
          <w:u w:val="double"/>
          <w:lang w:val="en-US"/>
        </w:rPr>
        <w:t xml:space="preserve">. (2005). </w:t>
      </w:r>
      <w:r w:rsidRPr="006936A4">
        <w:rPr>
          <w:szCs w:val="18"/>
          <w:highlight w:val="yellow"/>
          <w:u w:val="double"/>
        </w:rPr>
        <w:t xml:space="preserve">Analysis of DNA-vaccinated fish reveals viral antigen in muscle, kidney and thymus, and transient histopathologic changes. </w:t>
      </w:r>
      <w:r w:rsidRPr="00981443">
        <w:rPr>
          <w:i/>
          <w:iCs/>
          <w:szCs w:val="18"/>
          <w:highlight w:val="yellow"/>
          <w:u w:val="double"/>
        </w:rPr>
        <w:t>Mar. Biotechnol</w:t>
      </w:r>
      <w:r w:rsidRPr="006936A4">
        <w:rPr>
          <w:szCs w:val="18"/>
          <w:highlight w:val="yellow"/>
          <w:u w:val="double"/>
        </w:rPr>
        <w:t xml:space="preserve">., </w:t>
      </w:r>
      <w:r w:rsidRPr="00981443">
        <w:rPr>
          <w:b/>
          <w:bCs/>
          <w:szCs w:val="18"/>
          <w:highlight w:val="yellow"/>
          <w:u w:val="double"/>
        </w:rPr>
        <w:t>7</w:t>
      </w:r>
      <w:r w:rsidRPr="006936A4">
        <w:rPr>
          <w:szCs w:val="18"/>
          <w:highlight w:val="yellow"/>
          <w:u w:val="double"/>
        </w:rPr>
        <w:t>, 540</w:t>
      </w:r>
      <w:r>
        <w:rPr>
          <w:szCs w:val="18"/>
          <w:highlight w:val="yellow"/>
          <w:u w:val="double"/>
        </w:rPr>
        <w:t>–553</w:t>
      </w:r>
      <w:r w:rsidRPr="006936A4">
        <w:rPr>
          <w:szCs w:val="18"/>
          <w:highlight w:val="yellow"/>
          <w:u w:val="double"/>
        </w:rPr>
        <w:t>. https://doi.org/10.1007/s10126-004-5129</w:t>
      </w:r>
    </w:p>
    <w:p w14:paraId="1DFB238D" w14:textId="77777777" w:rsidR="00E65E42" w:rsidRPr="00D403F5" w:rsidRDefault="00E65E42" w:rsidP="00CA3459">
      <w:pPr>
        <w:pStyle w:val="REF"/>
        <w:ind w:left="284"/>
        <w:rPr>
          <w:szCs w:val="18"/>
        </w:rPr>
      </w:pPr>
      <w:r w:rsidRPr="00D403F5">
        <w:rPr>
          <w:smallCaps/>
          <w:szCs w:val="18"/>
        </w:rPr>
        <w:t xml:space="preserve">Garver K.A., Batts W.N. &amp; Kurath G. (2006). </w:t>
      </w:r>
      <w:r w:rsidRPr="00D403F5">
        <w:rPr>
          <w:szCs w:val="18"/>
        </w:rPr>
        <w:t xml:space="preserve">Virulence comparisons of infectious hematopoietic necrosis virus (IHNV) U and M genogroups in sockeye salmon and rainbow trout. </w:t>
      </w:r>
      <w:r w:rsidRPr="00D403F5">
        <w:rPr>
          <w:i/>
          <w:szCs w:val="18"/>
        </w:rPr>
        <w:t>J. Aquat. Anim. Health</w:t>
      </w:r>
      <w:r w:rsidRPr="00D403F5">
        <w:rPr>
          <w:szCs w:val="18"/>
        </w:rPr>
        <w:t xml:space="preserve">, </w:t>
      </w:r>
      <w:r w:rsidRPr="00D403F5">
        <w:rPr>
          <w:b/>
          <w:szCs w:val="18"/>
        </w:rPr>
        <w:t>18</w:t>
      </w:r>
      <w:r w:rsidRPr="00D403F5">
        <w:rPr>
          <w:szCs w:val="18"/>
        </w:rPr>
        <w:t>, 232–243. doi: 10.1577/h05-038.</w:t>
      </w:r>
    </w:p>
    <w:p w14:paraId="1B4CA355" w14:textId="77777777" w:rsidR="004F1CC2" w:rsidRDefault="004F1CC2" w:rsidP="004F1CC2">
      <w:pPr>
        <w:spacing w:after="480" w:line="240" w:lineRule="auto"/>
      </w:pPr>
      <w:r w:rsidRPr="00233054">
        <w:rPr>
          <w:u w:val="single"/>
        </w:rPr>
        <w:lastRenderedPageBreak/>
        <w:t>A</w:t>
      </w:r>
      <w:r w:rsidRPr="00233054">
        <w:rPr>
          <w:rFonts w:cs="Times New Roman"/>
          <w:bCs/>
          <w:iCs/>
          <w:szCs w:val="20"/>
          <w:u w:val="single"/>
        </w:rPr>
        <w:t>nnex</w:t>
      </w:r>
      <w:r w:rsidRPr="00886D7F">
        <w:rPr>
          <w:rFonts w:cs="Times New Roman"/>
          <w:bCs/>
          <w:iCs/>
          <w:szCs w:val="20"/>
          <w:u w:val="single"/>
        </w:rPr>
        <w:t xml:space="preserve"> </w:t>
      </w:r>
      <w:r>
        <w:rPr>
          <w:rFonts w:cs="Times New Roman"/>
          <w:bCs/>
          <w:iCs/>
          <w:szCs w:val="20"/>
          <w:u w:val="single"/>
        </w:rPr>
        <w:t>13</w:t>
      </w:r>
      <w:r w:rsidRPr="00DB0A8D">
        <w:rPr>
          <w:rFonts w:cs="Times New Roman"/>
          <w:bCs/>
          <w:iCs/>
          <w:szCs w:val="20"/>
        </w:rPr>
        <w:t xml:space="preserve"> (contd)</w:t>
      </w:r>
    </w:p>
    <w:p w14:paraId="468F894D" w14:textId="77777777" w:rsidR="00E65E42" w:rsidRPr="00D403F5" w:rsidRDefault="00E65E42" w:rsidP="00CA3459">
      <w:pPr>
        <w:pStyle w:val="REF"/>
        <w:ind w:left="284"/>
        <w:rPr>
          <w:szCs w:val="18"/>
        </w:rPr>
      </w:pPr>
      <w:r w:rsidRPr="00D403F5">
        <w:rPr>
          <w:smallCaps/>
          <w:szCs w:val="18"/>
        </w:rPr>
        <w:t>Garver K.A., Mahony-Grant A.M., Stucchi D.J., Richard J., Van Woensel C. &amp; Foreman M.G.G.</w:t>
      </w:r>
      <w:r w:rsidRPr="00D403F5">
        <w:rPr>
          <w:szCs w:val="18"/>
        </w:rPr>
        <w:t xml:space="preserve"> (2013). Estimation of parameters influencing waterborne transmission of Infectious Hematopoietic Necrosis Virus (IHNV) in Atlantic Salmon (</w:t>
      </w:r>
      <w:r w:rsidRPr="00D403F5">
        <w:rPr>
          <w:i/>
          <w:szCs w:val="18"/>
        </w:rPr>
        <w:t>Salmo salar</w:t>
      </w:r>
      <w:r w:rsidRPr="00D403F5">
        <w:rPr>
          <w:szCs w:val="18"/>
        </w:rPr>
        <w:t xml:space="preserve">). </w:t>
      </w:r>
      <w:r w:rsidRPr="00D403F5">
        <w:rPr>
          <w:i/>
          <w:szCs w:val="18"/>
        </w:rPr>
        <w:t xml:space="preserve">PLoS One, </w:t>
      </w:r>
      <w:r w:rsidRPr="00D403F5">
        <w:rPr>
          <w:b/>
          <w:szCs w:val="18"/>
        </w:rPr>
        <w:t>8</w:t>
      </w:r>
      <w:r w:rsidRPr="00D403F5">
        <w:rPr>
          <w:szCs w:val="18"/>
        </w:rPr>
        <w:t xml:space="preserve"> (12), e82296. doi: 10.1371/journal.pone.0082296. pmid:24340016.</w:t>
      </w:r>
    </w:p>
    <w:p w14:paraId="0B9327D7" w14:textId="77777777" w:rsidR="00E65E42" w:rsidRPr="00D403F5" w:rsidRDefault="00E65E42" w:rsidP="00CA3459">
      <w:pPr>
        <w:pStyle w:val="REF"/>
        <w:ind w:left="284"/>
        <w:rPr>
          <w:szCs w:val="18"/>
        </w:rPr>
      </w:pPr>
      <w:r w:rsidRPr="00D403F5">
        <w:rPr>
          <w:smallCaps/>
          <w:szCs w:val="18"/>
        </w:rPr>
        <w:t>Garver K.A. &amp; Wade J.</w:t>
      </w:r>
      <w:r w:rsidRPr="00D403F5">
        <w:rPr>
          <w:szCs w:val="18"/>
        </w:rPr>
        <w:t xml:space="preserve"> (2017). Characterization of Infectious Hematopoietic Necrosis Virus (IHNV). </w:t>
      </w:r>
      <w:r w:rsidRPr="00D403F5">
        <w:rPr>
          <w:i/>
          <w:szCs w:val="18"/>
        </w:rPr>
        <w:t xml:space="preserve">Canadian Science Advisory Secretariat </w:t>
      </w:r>
      <w:r w:rsidRPr="00D403F5">
        <w:rPr>
          <w:szCs w:val="18"/>
        </w:rPr>
        <w:t>(</w:t>
      </w:r>
      <w:r w:rsidRPr="00D403F5">
        <w:rPr>
          <w:i/>
          <w:szCs w:val="18"/>
        </w:rPr>
        <w:t>CSAS</w:t>
      </w:r>
      <w:r w:rsidRPr="00D403F5">
        <w:rPr>
          <w:szCs w:val="18"/>
        </w:rPr>
        <w:t>),</w:t>
      </w:r>
      <w:r w:rsidRPr="00D403F5">
        <w:rPr>
          <w:i/>
          <w:szCs w:val="18"/>
        </w:rPr>
        <w:t xml:space="preserve"> </w:t>
      </w:r>
      <w:r w:rsidRPr="00D403F5">
        <w:rPr>
          <w:b/>
          <w:szCs w:val="18"/>
        </w:rPr>
        <w:t>073</w:t>
      </w:r>
      <w:r w:rsidRPr="00D403F5">
        <w:rPr>
          <w:szCs w:val="18"/>
        </w:rPr>
        <w:t>.</w:t>
      </w:r>
    </w:p>
    <w:p w14:paraId="276C26EB" w14:textId="77777777" w:rsidR="00E65E42" w:rsidRPr="00D403F5" w:rsidRDefault="00E65E42" w:rsidP="00CA3459">
      <w:pPr>
        <w:pStyle w:val="REF"/>
        <w:ind w:left="284"/>
        <w:rPr>
          <w:szCs w:val="18"/>
          <w:lang w:val="fr-FR"/>
        </w:rPr>
      </w:pPr>
      <w:r w:rsidRPr="00D403F5">
        <w:rPr>
          <w:smallCaps/>
          <w:szCs w:val="18"/>
        </w:rPr>
        <w:t>Gosting L.H. &amp; Gould R.W.</w:t>
      </w:r>
      <w:r w:rsidRPr="00D403F5">
        <w:rPr>
          <w:szCs w:val="18"/>
        </w:rPr>
        <w:t xml:space="preserve"> (1981). Thermal inactivation of infectious hematopoietic necrosis and infectious pancreatic necrosis viruses. </w:t>
      </w:r>
      <w:r w:rsidRPr="00D403F5">
        <w:rPr>
          <w:i/>
          <w:szCs w:val="18"/>
          <w:lang w:val="fr-FR"/>
        </w:rPr>
        <w:t xml:space="preserve">Appl. Environ. Microbiol., </w:t>
      </w:r>
      <w:r w:rsidRPr="00D403F5">
        <w:rPr>
          <w:b/>
          <w:szCs w:val="18"/>
          <w:lang w:val="fr-FR"/>
        </w:rPr>
        <w:t>41</w:t>
      </w:r>
      <w:r w:rsidRPr="00D403F5">
        <w:rPr>
          <w:szCs w:val="18"/>
          <w:lang w:val="fr-FR"/>
        </w:rPr>
        <w:t>, 1081–1082.</w:t>
      </w:r>
    </w:p>
    <w:p w14:paraId="7B1DC79B" w14:textId="77777777" w:rsidR="00E65E42" w:rsidRPr="00D403F5" w:rsidRDefault="00E65E42" w:rsidP="00CA3459">
      <w:pPr>
        <w:pStyle w:val="REF"/>
        <w:ind w:left="284"/>
        <w:rPr>
          <w:szCs w:val="18"/>
        </w:rPr>
      </w:pPr>
      <w:r w:rsidRPr="00D403F5">
        <w:rPr>
          <w:smallCaps/>
          <w:szCs w:val="18"/>
          <w:lang w:val="fr-FR"/>
        </w:rPr>
        <w:t>Harmache A., LeBerre M., Droineau S., Giovannini M. &amp; Bremont M</w:t>
      </w:r>
      <w:r w:rsidRPr="00D403F5">
        <w:rPr>
          <w:szCs w:val="18"/>
          <w:lang w:val="fr-FR"/>
        </w:rPr>
        <w:t xml:space="preserve">. (2006). </w:t>
      </w:r>
      <w:r w:rsidRPr="00D403F5">
        <w:rPr>
          <w:szCs w:val="18"/>
        </w:rPr>
        <w:t xml:space="preserve">Bioluminescence imaging of live infected salmonids reveals that the fin bases are the major portal of entry for Novirhabdovirus. </w:t>
      </w:r>
      <w:r w:rsidRPr="00D403F5">
        <w:rPr>
          <w:i/>
          <w:szCs w:val="18"/>
        </w:rPr>
        <w:t xml:space="preserve">J. Virol., </w:t>
      </w:r>
      <w:r w:rsidRPr="00D403F5">
        <w:rPr>
          <w:b/>
          <w:szCs w:val="18"/>
        </w:rPr>
        <w:t>80</w:t>
      </w:r>
      <w:r w:rsidRPr="00D403F5">
        <w:rPr>
          <w:szCs w:val="18"/>
        </w:rPr>
        <w:t>, 3655–3659.</w:t>
      </w:r>
    </w:p>
    <w:p w14:paraId="407F7507" w14:textId="77777777" w:rsidR="00E65E42" w:rsidRPr="00D403F5" w:rsidRDefault="00E65E42" w:rsidP="00CA3459">
      <w:pPr>
        <w:pStyle w:val="REF"/>
        <w:ind w:left="284"/>
        <w:rPr>
          <w:szCs w:val="18"/>
        </w:rPr>
      </w:pPr>
      <w:r w:rsidRPr="00D403F5">
        <w:rPr>
          <w:smallCaps/>
          <w:szCs w:val="18"/>
        </w:rPr>
        <w:t>Hasobe M. &amp; Saneyoshi M</w:t>
      </w:r>
      <w:r w:rsidRPr="00D403F5">
        <w:rPr>
          <w:szCs w:val="18"/>
        </w:rPr>
        <w:t xml:space="preserve">. (1985). On the approach to the viral chemotherapy against infectious hematopoietic necrosis virus (IHNV) </w:t>
      </w:r>
      <w:r w:rsidRPr="00D403F5">
        <w:rPr>
          <w:i/>
          <w:szCs w:val="18"/>
        </w:rPr>
        <w:t>in vitro</w:t>
      </w:r>
      <w:r w:rsidRPr="00D403F5">
        <w:rPr>
          <w:szCs w:val="18"/>
        </w:rPr>
        <w:t xml:space="preserve"> and </w:t>
      </w:r>
      <w:r w:rsidRPr="00D403F5">
        <w:rPr>
          <w:i/>
          <w:szCs w:val="18"/>
        </w:rPr>
        <w:t>in vivo</w:t>
      </w:r>
      <w:r w:rsidRPr="00D403F5">
        <w:rPr>
          <w:szCs w:val="18"/>
        </w:rPr>
        <w:t xml:space="preserve"> on salmonid fishes. </w:t>
      </w:r>
      <w:r w:rsidRPr="00D403F5">
        <w:rPr>
          <w:i/>
          <w:szCs w:val="18"/>
        </w:rPr>
        <w:t xml:space="preserve">Fish Pathol., </w:t>
      </w:r>
      <w:r w:rsidRPr="00D403F5">
        <w:rPr>
          <w:b/>
          <w:szCs w:val="18"/>
        </w:rPr>
        <w:t>20</w:t>
      </w:r>
      <w:r w:rsidRPr="00D403F5">
        <w:rPr>
          <w:szCs w:val="18"/>
        </w:rPr>
        <w:t>, 343–351.</w:t>
      </w:r>
    </w:p>
    <w:p w14:paraId="74B960C9" w14:textId="77777777" w:rsidR="00E65E42" w:rsidRPr="00D403F5" w:rsidRDefault="00E65E42" w:rsidP="00CA3459">
      <w:pPr>
        <w:pStyle w:val="REF"/>
        <w:ind w:left="284"/>
        <w:rPr>
          <w:szCs w:val="18"/>
        </w:rPr>
      </w:pPr>
      <w:r w:rsidRPr="00D403F5">
        <w:rPr>
          <w:smallCaps/>
          <w:szCs w:val="18"/>
        </w:rPr>
        <w:t>Hoferer M., Akimkin V., Skrypski J., Schütze H. &amp; Sting R.</w:t>
      </w:r>
      <w:r w:rsidRPr="00D403F5">
        <w:rPr>
          <w:szCs w:val="18"/>
        </w:rPr>
        <w:t xml:space="preserve"> (2019). Improvement of a diagnostic procedure in surveillance of the listed fish diseases IHN and VHS. </w:t>
      </w:r>
      <w:r w:rsidRPr="00D403F5">
        <w:rPr>
          <w:i/>
          <w:szCs w:val="18"/>
        </w:rPr>
        <w:t xml:space="preserve">J. Fish Dis., </w:t>
      </w:r>
      <w:r w:rsidRPr="00D403F5">
        <w:rPr>
          <w:b/>
          <w:szCs w:val="18"/>
        </w:rPr>
        <w:t>42</w:t>
      </w:r>
      <w:r w:rsidRPr="00D403F5">
        <w:rPr>
          <w:szCs w:val="18"/>
        </w:rPr>
        <w:t>, 559–572.</w:t>
      </w:r>
    </w:p>
    <w:p w14:paraId="06C2F7A8" w14:textId="77777777" w:rsidR="00E65E42" w:rsidRPr="00D403F5" w:rsidRDefault="00E65E42" w:rsidP="00CA3459">
      <w:pPr>
        <w:pStyle w:val="REF"/>
        <w:ind w:left="284"/>
        <w:rPr>
          <w:szCs w:val="18"/>
          <w:lang w:val="nb-NO"/>
        </w:rPr>
      </w:pPr>
      <w:r w:rsidRPr="00D403F5">
        <w:rPr>
          <w:smallCaps/>
          <w:szCs w:val="18"/>
          <w:lang w:val="nb-NO"/>
        </w:rPr>
        <w:t>Hostnik P., Barlic-Maganja D., Strancar M., Jencic V., Toplak I. &amp; Grom J.</w:t>
      </w:r>
      <w:r w:rsidRPr="00D403F5">
        <w:rPr>
          <w:szCs w:val="18"/>
          <w:lang w:val="nb-NO"/>
        </w:rPr>
        <w:t xml:space="preserve"> (2002). </w:t>
      </w:r>
      <w:r w:rsidRPr="00D403F5">
        <w:rPr>
          <w:szCs w:val="18"/>
        </w:rPr>
        <w:t xml:space="preserve">Influence of storage temperature on infectious hematopoietic necrosis virus detection by cell culture isolation and RT-PCR methods. </w:t>
      </w:r>
      <w:r w:rsidRPr="00D403F5">
        <w:rPr>
          <w:i/>
          <w:szCs w:val="18"/>
          <w:lang w:val="nb-NO"/>
        </w:rPr>
        <w:t xml:space="preserve">Dis. Aquat. Org., </w:t>
      </w:r>
      <w:r w:rsidRPr="00D403F5">
        <w:rPr>
          <w:b/>
          <w:szCs w:val="18"/>
          <w:lang w:val="nb-NO"/>
        </w:rPr>
        <w:t>52</w:t>
      </w:r>
      <w:r w:rsidRPr="00D403F5">
        <w:rPr>
          <w:szCs w:val="18"/>
          <w:lang w:val="nb-NO"/>
        </w:rPr>
        <w:t>, 179–184.</w:t>
      </w:r>
    </w:p>
    <w:p w14:paraId="00A3AC98" w14:textId="77777777" w:rsidR="00E65E42" w:rsidRPr="00D403F5" w:rsidRDefault="00E65E42" w:rsidP="00CA3459">
      <w:pPr>
        <w:pStyle w:val="REF"/>
        <w:ind w:left="284"/>
        <w:rPr>
          <w:szCs w:val="18"/>
        </w:rPr>
      </w:pPr>
      <w:r w:rsidRPr="00D403F5">
        <w:rPr>
          <w:rStyle w:val="auteurs"/>
          <w:smallCaps/>
          <w:szCs w:val="18"/>
          <w:lang w:val="nb-NO"/>
        </w:rPr>
        <w:t>Jakob E., Barker D.S. &amp; Garver K.A</w:t>
      </w:r>
      <w:r w:rsidRPr="00D403F5">
        <w:rPr>
          <w:rStyle w:val="auteurs"/>
          <w:rFonts w:cs="Arial"/>
          <w:szCs w:val="18"/>
          <w:lang w:val="nb-NO"/>
        </w:rPr>
        <w:t>.</w:t>
      </w:r>
      <w:r w:rsidRPr="00D403F5">
        <w:rPr>
          <w:szCs w:val="18"/>
          <w:lang w:val="nb-NO"/>
        </w:rPr>
        <w:t xml:space="preserve"> (2011). </w:t>
      </w:r>
      <w:r w:rsidRPr="00D403F5">
        <w:rPr>
          <w:szCs w:val="18"/>
        </w:rPr>
        <w:t xml:space="preserve">Vector potential of the salmon louse Lepeophtheirus salmonis in the transmission of infectious haematopoietic necrosis virus (IHNV). </w:t>
      </w:r>
      <w:r w:rsidRPr="00D403F5">
        <w:rPr>
          <w:rStyle w:val="nom-revue"/>
          <w:rFonts w:eastAsia="Calibri" w:cs="Arial"/>
          <w:i/>
          <w:szCs w:val="18"/>
        </w:rPr>
        <w:t>Dis. Aquat. Org</w:t>
      </w:r>
      <w:r w:rsidRPr="00D403F5">
        <w:rPr>
          <w:rStyle w:val="nom-revue"/>
          <w:rFonts w:eastAsia="Calibri" w:cs="Arial"/>
          <w:szCs w:val="18"/>
        </w:rPr>
        <w:t>.</w:t>
      </w:r>
      <w:r w:rsidRPr="00D403F5">
        <w:rPr>
          <w:szCs w:val="18"/>
        </w:rPr>
        <w:t xml:space="preserve">, </w:t>
      </w:r>
      <w:r w:rsidRPr="00D403F5">
        <w:rPr>
          <w:rStyle w:val="num-revue"/>
          <w:rFonts w:cs="Arial"/>
          <w:b/>
          <w:szCs w:val="18"/>
        </w:rPr>
        <w:t>97</w:t>
      </w:r>
      <w:r w:rsidRPr="00D403F5">
        <w:rPr>
          <w:szCs w:val="18"/>
        </w:rPr>
        <w:t>, 155–165.</w:t>
      </w:r>
    </w:p>
    <w:p w14:paraId="2220FE6A" w14:textId="77777777" w:rsidR="00E65E42" w:rsidRPr="00D403F5" w:rsidRDefault="00E65E42" w:rsidP="00CA3459">
      <w:pPr>
        <w:pStyle w:val="REF"/>
        <w:ind w:left="284"/>
        <w:rPr>
          <w:szCs w:val="18"/>
        </w:rPr>
      </w:pPr>
      <w:r w:rsidRPr="00D403F5">
        <w:rPr>
          <w:smallCaps/>
          <w:szCs w:val="18"/>
        </w:rPr>
        <w:t>Johansson T., Einer-Jensen K., Batts W.N., Ahrens P., Björkblom C., Kurath G., Björklund H. &amp; Lorenzen N</w:t>
      </w:r>
      <w:r w:rsidRPr="00D403F5">
        <w:rPr>
          <w:szCs w:val="18"/>
        </w:rPr>
        <w:t xml:space="preserve">. (2009). Genetic and serological typing of European infectious haematopoietic necrosis virus (IHNV) isolates. </w:t>
      </w:r>
      <w:r w:rsidRPr="00D403F5">
        <w:rPr>
          <w:i/>
          <w:szCs w:val="18"/>
        </w:rPr>
        <w:t>Dis. Aquat. Org</w:t>
      </w:r>
      <w:r w:rsidRPr="00D403F5">
        <w:rPr>
          <w:szCs w:val="18"/>
        </w:rPr>
        <w:t xml:space="preserve">., </w:t>
      </w:r>
      <w:r w:rsidRPr="00D403F5">
        <w:rPr>
          <w:b/>
          <w:szCs w:val="18"/>
        </w:rPr>
        <w:t>86</w:t>
      </w:r>
      <w:r w:rsidRPr="00D403F5">
        <w:rPr>
          <w:szCs w:val="18"/>
        </w:rPr>
        <w:t>, 213–221.</w:t>
      </w:r>
    </w:p>
    <w:p w14:paraId="66CCEF04" w14:textId="77777777" w:rsidR="00E65E42" w:rsidRPr="00D403F5" w:rsidRDefault="00E65E42" w:rsidP="00CA3459">
      <w:pPr>
        <w:pStyle w:val="REF"/>
        <w:ind w:left="284"/>
        <w:rPr>
          <w:szCs w:val="18"/>
        </w:rPr>
      </w:pPr>
      <w:r w:rsidRPr="00D403F5">
        <w:rPr>
          <w:smallCaps/>
          <w:szCs w:val="18"/>
        </w:rPr>
        <w:t>Kamei Y., Yoshimizu M., Ezura Y. &amp; Kimura T.</w:t>
      </w:r>
      <w:r w:rsidRPr="00D403F5">
        <w:rPr>
          <w:szCs w:val="18"/>
        </w:rPr>
        <w:t xml:space="preserve"> (1987). Effects of estuarine and marine waters on the infectivities of infectious hematopoietic necrosis virus (IHNV) and infectious pancreatic necrosis virus (IPNV). </w:t>
      </w:r>
      <w:r w:rsidRPr="00D403F5">
        <w:rPr>
          <w:i/>
          <w:szCs w:val="18"/>
        </w:rPr>
        <w:t xml:space="preserve">Bull. Fac. Fish. Hokkaido Uni., </w:t>
      </w:r>
      <w:r w:rsidRPr="00D403F5">
        <w:rPr>
          <w:b/>
          <w:szCs w:val="18"/>
        </w:rPr>
        <w:t>38</w:t>
      </w:r>
      <w:r w:rsidRPr="00D403F5">
        <w:rPr>
          <w:szCs w:val="18"/>
        </w:rPr>
        <w:t>, 271–285.</w:t>
      </w:r>
    </w:p>
    <w:p w14:paraId="5EFA4EDF" w14:textId="77777777" w:rsidR="00E65E42" w:rsidRPr="00D403F5" w:rsidRDefault="00E65E42" w:rsidP="00CA3459">
      <w:pPr>
        <w:pStyle w:val="REF"/>
        <w:ind w:left="284"/>
        <w:rPr>
          <w:szCs w:val="18"/>
        </w:rPr>
      </w:pPr>
      <w:r w:rsidRPr="00D403F5">
        <w:rPr>
          <w:smallCaps/>
          <w:szCs w:val="18"/>
        </w:rPr>
        <w:t>Kell A.M., Wargo A.R. &amp; Kurath G.</w:t>
      </w:r>
      <w:r w:rsidRPr="00D403F5">
        <w:rPr>
          <w:szCs w:val="18"/>
        </w:rPr>
        <w:t xml:space="preserve"> (2014). Viral fitness does not correlate with three genotype displacement events involving infectious hematopoietic necrosis virus. </w:t>
      </w:r>
      <w:r w:rsidRPr="00D403F5">
        <w:rPr>
          <w:i/>
          <w:szCs w:val="18"/>
        </w:rPr>
        <w:t xml:space="preserve">Virology, </w:t>
      </w:r>
      <w:r w:rsidRPr="00D403F5">
        <w:rPr>
          <w:b/>
          <w:szCs w:val="18"/>
        </w:rPr>
        <w:t>464</w:t>
      </w:r>
      <w:r w:rsidRPr="00D403F5">
        <w:rPr>
          <w:szCs w:val="18"/>
        </w:rPr>
        <w:t>, 146–155.</w:t>
      </w:r>
    </w:p>
    <w:p w14:paraId="43B09E13" w14:textId="77777777" w:rsidR="00E65E42" w:rsidRPr="00D403F5" w:rsidRDefault="00E65E42" w:rsidP="00CA3459">
      <w:pPr>
        <w:pStyle w:val="REF"/>
        <w:ind w:left="284"/>
        <w:rPr>
          <w:szCs w:val="18"/>
          <w:lang w:val="nb-NO"/>
        </w:rPr>
      </w:pPr>
      <w:r w:rsidRPr="00D403F5">
        <w:rPr>
          <w:smallCaps/>
          <w:szCs w:val="18"/>
        </w:rPr>
        <w:t>Kim C.H., Dummer D.M., Chiou P.P. &amp; Leong J.A.</w:t>
      </w:r>
      <w:r w:rsidRPr="00D403F5">
        <w:rPr>
          <w:szCs w:val="18"/>
        </w:rPr>
        <w:t xml:space="preserve"> (1999). Truncated particles produced in fish surviving infectious hematopoietic necrosis virus infection: mediators of persistence? </w:t>
      </w:r>
      <w:r w:rsidRPr="00D403F5">
        <w:rPr>
          <w:i/>
          <w:szCs w:val="18"/>
          <w:lang w:val="nb-NO"/>
        </w:rPr>
        <w:t xml:space="preserve">J. Virol., </w:t>
      </w:r>
      <w:r w:rsidRPr="00D403F5">
        <w:rPr>
          <w:b/>
          <w:szCs w:val="18"/>
          <w:lang w:val="nb-NO"/>
        </w:rPr>
        <w:t>73</w:t>
      </w:r>
      <w:r w:rsidRPr="00D403F5">
        <w:rPr>
          <w:szCs w:val="18"/>
          <w:lang w:val="nb-NO"/>
        </w:rPr>
        <w:t>, 843–849.</w:t>
      </w:r>
    </w:p>
    <w:p w14:paraId="69AD094E" w14:textId="77777777" w:rsidR="00E65E42" w:rsidRPr="00D403F5" w:rsidRDefault="00E65E42" w:rsidP="00CA3459">
      <w:pPr>
        <w:pStyle w:val="REF"/>
        <w:ind w:left="284"/>
        <w:rPr>
          <w:szCs w:val="18"/>
        </w:rPr>
      </w:pPr>
      <w:r w:rsidRPr="00D403F5">
        <w:rPr>
          <w:smallCaps/>
          <w:szCs w:val="18"/>
          <w:lang w:val="nb-NO"/>
        </w:rPr>
        <w:t>Knusel R., Bergmann S.M., Einer-Jensen K., Casey J., Segner H. &amp; Wahli T.</w:t>
      </w:r>
      <w:r w:rsidRPr="00D403F5">
        <w:rPr>
          <w:szCs w:val="18"/>
          <w:lang w:val="nb-NO"/>
        </w:rPr>
        <w:t xml:space="preserve"> (2007). </w:t>
      </w:r>
      <w:r w:rsidRPr="00D403F5">
        <w:rPr>
          <w:szCs w:val="18"/>
        </w:rPr>
        <w:t xml:space="preserve">Virus isolation vs RT-PCR: which method is more successful in detecting VHSV and IHNV in fish tissue sampled under field conditions? </w:t>
      </w:r>
      <w:r w:rsidRPr="00D403F5">
        <w:rPr>
          <w:i/>
          <w:szCs w:val="18"/>
        </w:rPr>
        <w:t xml:space="preserve">J. Fish Dis., </w:t>
      </w:r>
      <w:r w:rsidRPr="00D403F5">
        <w:rPr>
          <w:b/>
          <w:szCs w:val="18"/>
        </w:rPr>
        <w:t>30</w:t>
      </w:r>
      <w:r w:rsidRPr="00D403F5">
        <w:rPr>
          <w:szCs w:val="18"/>
        </w:rPr>
        <w:t>, 559–568. doi: JFD842 [pii]</w:t>
      </w:r>
    </w:p>
    <w:p w14:paraId="2E4ADD56" w14:textId="77777777" w:rsidR="00E65E42" w:rsidRPr="00D403F5" w:rsidRDefault="00E65E42" w:rsidP="00CA3459">
      <w:pPr>
        <w:pStyle w:val="REF"/>
        <w:ind w:left="284"/>
        <w:rPr>
          <w:szCs w:val="18"/>
          <w:lang w:val="nb-NO"/>
        </w:rPr>
      </w:pPr>
      <w:r w:rsidRPr="00D403F5">
        <w:rPr>
          <w:smallCaps/>
          <w:szCs w:val="18"/>
        </w:rPr>
        <w:t>Kolodziejek J., Schachner O., Durrwald R., Latif M. &amp; Nowotny N</w:t>
      </w:r>
      <w:r w:rsidRPr="00D403F5">
        <w:rPr>
          <w:szCs w:val="18"/>
        </w:rPr>
        <w:t xml:space="preserve">. (2008). “Mid-G” region sequences of the glycoprotein gene of Austrian infectious hematopoietic necrosis virus isolates form two lineages within European isolates and are distinct from American and Asian lineages. </w:t>
      </w:r>
      <w:r w:rsidRPr="00D403F5">
        <w:rPr>
          <w:i/>
          <w:szCs w:val="18"/>
          <w:lang w:val="nb-NO"/>
        </w:rPr>
        <w:t xml:space="preserve">J. Clin. Microbiol., </w:t>
      </w:r>
      <w:r w:rsidRPr="00D403F5">
        <w:rPr>
          <w:b/>
          <w:szCs w:val="18"/>
          <w:lang w:val="nb-NO"/>
        </w:rPr>
        <w:t>46</w:t>
      </w:r>
      <w:r w:rsidRPr="00D403F5">
        <w:rPr>
          <w:szCs w:val="18"/>
          <w:lang w:val="nb-NO"/>
        </w:rPr>
        <w:t>, 22–30.</w:t>
      </w:r>
    </w:p>
    <w:p w14:paraId="091A0A95" w14:textId="77777777" w:rsidR="00E65E42" w:rsidRPr="00D403F5" w:rsidRDefault="00E65E42" w:rsidP="00CA3459">
      <w:pPr>
        <w:pStyle w:val="REF"/>
        <w:ind w:left="284"/>
        <w:rPr>
          <w:szCs w:val="18"/>
        </w:rPr>
      </w:pPr>
      <w:r w:rsidRPr="00D403F5">
        <w:rPr>
          <w:smallCaps/>
          <w:szCs w:val="18"/>
          <w:lang w:val="nb-NO"/>
        </w:rPr>
        <w:t xml:space="preserve">Kurath G., Garver K.A., Troyer R.M., Emmenegger E.J., Einer-Jensen K. &amp; Andersen E.D. (2003). </w:t>
      </w:r>
      <w:r w:rsidRPr="00D403F5">
        <w:rPr>
          <w:szCs w:val="18"/>
        </w:rPr>
        <w:t xml:space="preserve">Phylogeography of infectious haematopoietic necrosis virus in North America. </w:t>
      </w:r>
      <w:r w:rsidRPr="00D403F5">
        <w:rPr>
          <w:i/>
          <w:szCs w:val="18"/>
        </w:rPr>
        <w:t>J. Gen. Virol.</w:t>
      </w:r>
      <w:r w:rsidRPr="00D403F5">
        <w:rPr>
          <w:szCs w:val="18"/>
        </w:rPr>
        <w:t xml:space="preserve">, </w:t>
      </w:r>
      <w:r w:rsidRPr="00D403F5">
        <w:rPr>
          <w:b/>
          <w:szCs w:val="18"/>
        </w:rPr>
        <w:t>84</w:t>
      </w:r>
      <w:r w:rsidRPr="00D403F5">
        <w:rPr>
          <w:szCs w:val="18"/>
        </w:rPr>
        <w:t>, 803–814.</w:t>
      </w:r>
    </w:p>
    <w:p w14:paraId="47149D8B" w14:textId="77777777" w:rsidR="00E65E42" w:rsidRPr="00D403F5" w:rsidRDefault="00E65E42" w:rsidP="00CA3459">
      <w:pPr>
        <w:pStyle w:val="REF"/>
        <w:ind w:left="284"/>
        <w:rPr>
          <w:szCs w:val="18"/>
        </w:rPr>
      </w:pPr>
      <w:r w:rsidRPr="00D403F5">
        <w:rPr>
          <w:smallCaps/>
          <w:szCs w:val="18"/>
        </w:rPr>
        <w:t>LaPatra S.E</w:t>
      </w:r>
      <w:r w:rsidRPr="00D403F5">
        <w:rPr>
          <w:szCs w:val="18"/>
        </w:rPr>
        <w:t xml:space="preserve">. (1998). Factors affecting pathogenicity of infectious hematopoietic necrosis virus (IHNV) for salmonid fish. </w:t>
      </w:r>
      <w:r w:rsidRPr="00D403F5">
        <w:rPr>
          <w:i/>
          <w:szCs w:val="18"/>
        </w:rPr>
        <w:t xml:space="preserve">J Aquat Anim Health, </w:t>
      </w:r>
      <w:r w:rsidRPr="00D403F5">
        <w:rPr>
          <w:b/>
          <w:szCs w:val="18"/>
        </w:rPr>
        <w:t>10</w:t>
      </w:r>
      <w:r w:rsidRPr="00D403F5">
        <w:rPr>
          <w:szCs w:val="18"/>
        </w:rPr>
        <w:t>, 121–131.</w:t>
      </w:r>
    </w:p>
    <w:p w14:paraId="7CECA5CC" w14:textId="77777777" w:rsidR="00E65E42" w:rsidRPr="00D403F5" w:rsidRDefault="00E65E42" w:rsidP="00CA3459">
      <w:pPr>
        <w:pStyle w:val="REF"/>
        <w:ind w:left="284"/>
        <w:rPr>
          <w:szCs w:val="18"/>
        </w:rPr>
      </w:pPr>
      <w:r w:rsidRPr="00D403F5">
        <w:rPr>
          <w:smallCaps/>
          <w:szCs w:val="18"/>
        </w:rPr>
        <w:t>LaPatra S.E., Rohovec J.S. &amp; Fryer J.L</w:t>
      </w:r>
      <w:r w:rsidRPr="00D403F5">
        <w:rPr>
          <w:szCs w:val="18"/>
        </w:rPr>
        <w:t xml:space="preserve">. (1989). Detection of infectious hematopoietic necrosis virus in fish mucus. </w:t>
      </w:r>
      <w:r w:rsidRPr="00D403F5">
        <w:rPr>
          <w:i/>
          <w:szCs w:val="18"/>
        </w:rPr>
        <w:t xml:space="preserve">Fish Pathol., </w:t>
      </w:r>
      <w:r w:rsidRPr="00D403F5">
        <w:rPr>
          <w:b/>
          <w:szCs w:val="18"/>
        </w:rPr>
        <w:t>24</w:t>
      </w:r>
      <w:r w:rsidRPr="00D403F5">
        <w:rPr>
          <w:szCs w:val="18"/>
        </w:rPr>
        <w:t>, 197–202.</w:t>
      </w:r>
    </w:p>
    <w:p w14:paraId="35B0D46E" w14:textId="77777777" w:rsidR="004F1CC2" w:rsidRDefault="004F1CC2">
      <w:pPr>
        <w:rPr>
          <w:rFonts w:ascii="Arial" w:eastAsia="Times New Roman" w:hAnsi="Arial" w:cs="Times New Roman"/>
          <w:smallCaps/>
          <w:sz w:val="18"/>
          <w:szCs w:val="18"/>
          <w:lang w:val="en-IE" w:bidi="en-US"/>
        </w:rPr>
      </w:pPr>
      <w:r>
        <w:rPr>
          <w:smallCaps/>
          <w:szCs w:val="18"/>
        </w:rPr>
        <w:br w:type="page"/>
      </w:r>
    </w:p>
    <w:p w14:paraId="0EE0FE0B" w14:textId="77777777" w:rsidR="004F1CC2" w:rsidRPr="000D7670" w:rsidRDefault="004F1CC2" w:rsidP="004F1CC2">
      <w:pPr>
        <w:spacing w:after="480" w:line="240" w:lineRule="auto"/>
        <w:jc w:val="right"/>
      </w:pPr>
      <w:r w:rsidRPr="000D7670">
        <w:rPr>
          <w:u w:val="single"/>
        </w:rPr>
        <w:lastRenderedPageBreak/>
        <w:t>A</w:t>
      </w:r>
      <w:r w:rsidRPr="000D7670">
        <w:rPr>
          <w:rFonts w:cs="Times New Roman"/>
          <w:bCs/>
          <w:iCs/>
          <w:szCs w:val="20"/>
          <w:u w:val="single"/>
        </w:rPr>
        <w:t>nnex 13</w:t>
      </w:r>
      <w:r w:rsidRPr="000D7670">
        <w:rPr>
          <w:rFonts w:cs="Times New Roman"/>
          <w:bCs/>
          <w:iCs/>
          <w:szCs w:val="20"/>
        </w:rPr>
        <w:t xml:space="preserve"> (contd)</w:t>
      </w:r>
    </w:p>
    <w:p w14:paraId="1DA18E2E" w14:textId="3C30C2E0" w:rsidR="00E65E42" w:rsidRPr="00D403F5" w:rsidRDefault="00E65E42" w:rsidP="00CA3459">
      <w:pPr>
        <w:pStyle w:val="REF"/>
        <w:ind w:left="284"/>
        <w:rPr>
          <w:szCs w:val="18"/>
        </w:rPr>
      </w:pPr>
      <w:r w:rsidRPr="000D7670">
        <w:rPr>
          <w:smallCaps/>
          <w:szCs w:val="18"/>
          <w:lang w:val="en-GB"/>
        </w:rPr>
        <w:t>McClure C., Saksida S., Karreman G., Constantine J., Robinson J., Traxler G. &amp; Hammell L.</w:t>
      </w:r>
      <w:r w:rsidRPr="000D7670">
        <w:rPr>
          <w:szCs w:val="18"/>
          <w:lang w:val="en-GB"/>
        </w:rPr>
        <w:t xml:space="preserve"> (2008). </w:t>
      </w:r>
      <w:r w:rsidRPr="00D403F5">
        <w:rPr>
          <w:szCs w:val="18"/>
        </w:rPr>
        <w:t xml:space="preserve">Evaluation of a reverse transcriptase polymerase chain reaction test and virus isolation on field samples collected for the diagnosis of infectious hematopoietic necrosis virus in cultured Atlantic salmon in British Columbia. </w:t>
      </w:r>
      <w:r w:rsidRPr="00D403F5">
        <w:rPr>
          <w:i/>
          <w:szCs w:val="18"/>
        </w:rPr>
        <w:t xml:space="preserve">J. Aquat. Anim. Health, </w:t>
      </w:r>
      <w:r w:rsidRPr="00D403F5">
        <w:rPr>
          <w:b/>
          <w:szCs w:val="18"/>
        </w:rPr>
        <w:t>20</w:t>
      </w:r>
      <w:r w:rsidRPr="00D403F5">
        <w:rPr>
          <w:szCs w:val="18"/>
        </w:rPr>
        <w:t>, 12–18.</w:t>
      </w:r>
    </w:p>
    <w:p w14:paraId="59D832FB" w14:textId="77777777" w:rsidR="00E65E42" w:rsidRPr="00D403F5" w:rsidRDefault="00E65E42" w:rsidP="00CA3459">
      <w:pPr>
        <w:pStyle w:val="REF"/>
        <w:ind w:left="284"/>
        <w:rPr>
          <w:szCs w:val="18"/>
        </w:rPr>
      </w:pPr>
      <w:r w:rsidRPr="00D403F5">
        <w:rPr>
          <w:smallCaps/>
          <w:szCs w:val="18"/>
        </w:rPr>
        <w:t>Meyers T.R., Korn D., Burton T.M., Glass K., Follett J.E., Thomas J.B., Sullivan J., Starkey N., Short S. &amp; Lipson K.</w:t>
      </w:r>
      <w:r w:rsidRPr="00D403F5">
        <w:rPr>
          <w:szCs w:val="18"/>
        </w:rPr>
        <w:t xml:space="preserve"> (2003). Infectious hematopoietic necrosis virus (IHNV) in Alaskan sockeye salmon culture from 1973 to 2000: annual virus prevalences and titers in broodstocks compared with juvenile losses. </w:t>
      </w:r>
      <w:r w:rsidRPr="00D403F5">
        <w:rPr>
          <w:i/>
          <w:szCs w:val="18"/>
        </w:rPr>
        <w:t xml:space="preserve">J. Aquat. Anim. Health, </w:t>
      </w:r>
      <w:r w:rsidRPr="00D403F5">
        <w:rPr>
          <w:b/>
          <w:szCs w:val="18"/>
        </w:rPr>
        <w:t>15</w:t>
      </w:r>
      <w:r w:rsidRPr="00D403F5">
        <w:rPr>
          <w:szCs w:val="18"/>
        </w:rPr>
        <w:t>, 21–30.</w:t>
      </w:r>
    </w:p>
    <w:p w14:paraId="5628B0D5" w14:textId="77777777" w:rsidR="00E65E42" w:rsidRPr="00D403F5" w:rsidRDefault="00E65E42" w:rsidP="00CA3459">
      <w:pPr>
        <w:pStyle w:val="REF"/>
        <w:ind w:left="284"/>
        <w:rPr>
          <w:szCs w:val="18"/>
        </w:rPr>
      </w:pPr>
      <w:r w:rsidRPr="00D403F5">
        <w:rPr>
          <w:smallCaps/>
          <w:szCs w:val="18"/>
        </w:rPr>
        <w:t>Morzunov S.P., Winton J.R. &amp; Nichol S.T.</w:t>
      </w:r>
      <w:r w:rsidRPr="00D403F5">
        <w:rPr>
          <w:szCs w:val="18"/>
        </w:rPr>
        <w:t xml:space="preserve"> (1995). The complete genome structure and phylogenetic relationship of infectious hematopoietic necrosis virus. </w:t>
      </w:r>
      <w:r w:rsidRPr="00D403F5">
        <w:rPr>
          <w:i/>
          <w:szCs w:val="18"/>
        </w:rPr>
        <w:t>Virus Res</w:t>
      </w:r>
      <w:r w:rsidRPr="00D403F5">
        <w:rPr>
          <w:szCs w:val="18"/>
        </w:rPr>
        <w:t xml:space="preserve">., </w:t>
      </w:r>
      <w:r w:rsidRPr="00D403F5">
        <w:rPr>
          <w:b/>
          <w:szCs w:val="18"/>
        </w:rPr>
        <w:t>38</w:t>
      </w:r>
      <w:r w:rsidRPr="00D403F5">
        <w:rPr>
          <w:szCs w:val="18"/>
        </w:rPr>
        <w:t>, 175–192.</w:t>
      </w:r>
    </w:p>
    <w:p w14:paraId="7214B990" w14:textId="77777777" w:rsidR="00E65E42" w:rsidRPr="00D403F5" w:rsidRDefault="00E65E42" w:rsidP="00CA3459">
      <w:pPr>
        <w:pStyle w:val="REF"/>
        <w:ind w:left="284"/>
        <w:rPr>
          <w:szCs w:val="18"/>
        </w:rPr>
      </w:pPr>
      <w:r w:rsidRPr="00D403F5">
        <w:rPr>
          <w:smallCaps/>
          <w:szCs w:val="18"/>
        </w:rPr>
        <w:t>Mulcahy D., Burke J., Pascho R. &amp; Jenes C.K.</w:t>
      </w:r>
      <w:r w:rsidRPr="00D403F5">
        <w:rPr>
          <w:szCs w:val="18"/>
        </w:rPr>
        <w:t xml:space="preserve"> (1982). Pathogenesis of infectious hematopoietic necrosis virus in spawning sockeye salmon (</w:t>
      </w:r>
      <w:r w:rsidRPr="00D403F5">
        <w:rPr>
          <w:i/>
          <w:szCs w:val="18"/>
        </w:rPr>
        <w:t>Oncorhynchus nerka</w:t>
      </w:r>
      <w:r w:rsidRPr="00D403F5">
        <w:rPr>
          <w:szCs w:val="18"/>
        </w:rPr>
        <w:t xml:space="preserve">). </w:t>
      </w:r>
      <w:r w:rsidRPr="00D403F5">
        <w:rPr>
          <w:i/>
          <w:szCs w:val="18"/>
        </w:rPr>
        <w:t xml:space="preserve">Can. J. Fish. Aquat. Sci, </w:t>
      </w:r>
      <w:r w:rsidRPr="00D403F5">
        <w:rPr>
          <w:b/>
          <w:szCs w:val="18"/>
        </w:rPr>
        <w:t>39</w:t>
      </w:r>
      <w:r w:rsidRPr="00D403F5">
        <w:rPr>
          <w:szCs w:val="18"/>
        </w:rPr>
        <w:t>, 1144–1149. 10.1111/j.1365-2761.2007.00842.x.</w:t>
      </w:r>
    </w:p>
    <w:p w14:paraId="201FAF84" w14:textId="77777777" w:rsidR="00E65E42" w:rsidRPr="00D403F5" w:rsidRDefault="00E65E42" w:rsidP="00CA3459">
      <w:pPr>
        <w:pStyle w:val="REF"/>
        <w:ind w:left="284"/>
        <w:rPr>
          <w:szCs w:val="18"/>
        </w:rPr>
      </w:pPr>
      <w:r w:rsidRPr="00D403F5">
        <w:rPr>
          <w:smallCaps/>
          <w:szCs w:val="18"/>
        </w:rPr>
        <w:t>Mulcahy D., Jenes C.K. &amp; Pascho R.</w:t>
      </w:r>
      <w:r w:rsidRPr="00D403F5">
        <w:rPr>
          <w:szCs w:val="18"/>
        </w:rPr>
        <w:t xml:space="preserve"> (1984). Appearance and quantification of infectious hematopoietic necrosis virus in female sockeye salmon (</w:t>
      </w:r>
      <w:r w:rsidRPr="00D403F5">
        <w:rPr>
          <w:i/>
          <w:szCs w:val="18"/>
        </w:rPr>
        <w:t>Oncorhynchus nerka</w:t>
      </w:r>
      <w:r w:rsidRPr="00D403F5">
        <w:rPr>
          <w:szCs w:val="18"/>
        </w:rPr>
        <w:t xml:space="preserve">) during their spawning migration. </w:t>
      </w:r>
      <w:r w:rsidRPr="00D403F5">
        <w:rPr>
          <w:i/>
          <w:szCs w:val="18"/>
        </w:rPr>
        <w:t xml:space="preserve">Arch. Virol., </w:t>
      </w:r>
      <w:r w:rsidRPr="00D403F5">
        <w:rPr>
          <w:b/>
          <w:szCs w:val="18"/>
        </w:rPr>
        <w:t>80</w:t>
      </w:r>
      <w:r w:rsidRPr="00D403F5">
        <w:rPr>
          <w:szCs w:val="18"/>
        </w:rPr>
        <w:t>, 171–181.</w:t>
      </w:r>
    </w:p>
    <w:p w14:paraId="7A9D2B7F" w14:textId="77777777" w:rsidR="00E65E42" w:rsidRPr="00F35E5A" w:rsidRDefault="00E65E42" w:rsidP="00CA3459">
      <w:pPr>
        <w:pStyle w:val="REF"/>
        <w:ind w:left="284"/>
        <w:rPr>
          <w:strike/>
          <w:szCs w:val="18"/>
        </w:rPr>
      </w:pPr>
      <w:r w:rsidRPr="00F35E5A">
        <w:rPr>
          <w:smallCaps/>
          <w:strike/>
          <w:szCs w:val="18"/>
          <w:highlight w:val="yellow"/>
        </w:rPr>
        <w:t>Mulcahy D. &amp; Pascho R.J.</w:t>
      </w:r>
      <w:r w:rsidRPr="00F35E5A">
        <w:rPr>
          <w:strike/>
          <w:szCs w:val="18"/>
          <w:highlight w:val="yellow"/>
        </w:rPr>
        <w:t xml:space="preserve"> (1985). Vertical transmission of infectious haematopoietic necrosis virus in sockeye salmon, </w:t>
      </w:r>
      <w:r w:rsidRPr="00F35E5A">
        <w:rPr>
          <w:i/>
          <w:strike/>
          <w:szCs w:val="18"/>
          <w:highlight w:val="yellow"/>
        </w:rPr>
        <w:t>Oncorhynchus nerka</w:t>
      </w:r>
      <w:r w:rsidRPr="00F35E5A">
        <w:rPr>
          <w:strike/>
          <w:szCs w:val="18"/>
          <w:highlight w:val="yellow"/>
        </w:rPr>
        <w:t xml:space="preserve"> (Walbaum): isolation of virus from dead eggs and fry. </w:t>
      </w:r>
      <w:r w:rsidRPr="00F35E5A">
        <w:rPr>
          <w:i/>
          <w:strike/>
          <w:szCs w:val="18"/>
          <w:highlight w:val="yellow"/>
        </w:rPr>
        <w:t xml:space="preserve">J Fish Dis, </w:t>
      </w:r>
      <w:r w:rsidRPr="00F35E5A">
        <w:rPr>
          <w:b/>
          <w:strike/>
          <w:szCs w:val="18"/>
          <w:highlight w:val="yellow"/>
        </w:rPr>
        <w:t>8</w:t>
      </w:r>
      <w:r w:rsidRPr="00F35E5A">
        <w:rPr>
          <w:strike/>
          <w:szCs w:val="18"/>
          <w:highlight w:val="yellow"/>
        </w:rPr>
        <w:t>, 393–396.</w:t>
      </w:r>
    </w:p>
    <w:p w14:paraId="7A9AB173" w14:textId="77777777" w:rsidR="00E65E42" w:rsidRPr="00C57404" w:rsidRDefault="00E65E42" w:rsidP="00CA3459">
      <w:pPr>
        <w:pStyle w:val="REF"/>
        <w:ind w:left="284"/>
        <w:rPr>
          <w:szCs w:val="18"/>
          <w:u w:val="double"/>
        </w:rPr>
      </w:pPr>
      <w:r w:rsidRPr="00C57404">
        <w:rPr>
          <w:rFonts w:cs="Arial"/>
          <w:smallCaps/>
          <w:szCs w:val="18"/>
          <w:highlight w:val="yellow"/>
          <w:u w:val="double"/>
        </w:rPr>
        <w:t>Mulei I.R., Nyaga P.N., Mbuthia P.G., Waruiru R.M., Xu C., Evensen Ø. &amp; Mutoloki S</w:t>
      </w:r>
      <w:r w:rsidRPr="00C57404">
        <w:rPr>
          <w:rFonts w:cs="Arial"/>
          <w:szCs w:val="18"/>
          <w:highlight w:val="yellow"/>
          <w:u w:val="double"/>
        </w:rPr>
        <w:t xml:space="preserve">. (2019). First detection and isolation of infectious haematopoietic necrosis virus from farmed rainbow trout in Nyeri County, Kenya. </w:t>
      </w:r>
      <w:r w:rsidRPr="00807EFC">
        <w:rPr>
          <w:rStyle w:val="jrnl"/>
          <w:rFonts w:cs="Arial"/>
          <w:i/>
          <w:iCs/>
          <w:szCs w:val="18"/>
          <w:highlight w:val="yellow"/>
          <w:u w:val="double"/>
        </w:rPr>
        <w:t>J. Fish Dis</w:t>
      </w:r>
      <w:r w:rsidRPr="00807EFC">
        <w:rPr>
          <w:rFonts w:cs="Arial"/>
          <w:szCs w:val="18"/>
          <w:highlight w:val="yellow"/>
          <w:u w:val="double"/>
        </w:rPr>
        <w:t xml:space="preserve">., </w:t>
      </w:r>
      <w:r w:rsidRPr="00807EFC">
        <w:rPr>
          <w:rFonts w:cs="Arial"/>
          <w:b/>
          <w:bCs/>
          <w:szCs w:val="18"/>
          <w:highlight w:val="yellow"/>
          <w:u w:val="double"/>
        </w:rPr>
        <w:t>42</w:t>
      </w:r>
      <w:r w:rsidRPr="00807EFC">
        <w:rPr>
          <w:rFonts w:cs="Arial"/>
          <w:szCs w:val="18"/>
          <w:highlight w:val="yellow"/>
          <w:u w:val="double"/>
        </w:rPr>
        <w:t xml:space="preserve">, 751–758. doi: 10.1111/jfd.12979. </w:t>
      </w:r>
      <w:r w:rsidRPr="00C57404">
        <w:rPr>
          <w:rFonts w:cs="Arial"/>
          <w:szCs w:val="18"/>
          <w:highlight w:val="yellow"/>
          <w:u w:val="double"/>
        </w:rPr>
        <w:t>Epub 2019 Feb 26.</w:t>
      </w:r>
    </w:p>
    <w:p w14:paraId="1B9694F9" w14:textId="77777777" w:rsidR="00E65E42" w:rsidRPr="00D403F5" w:rsidRDefault="00E65E42" w:rsidP="00CA3459">
      <w:pPr>
        <w:pStyle w:val="REF"/>
        <w:ind w:left="284"/>
        <w:rPr>
          <w:szCs w:val="18"/>
        </w:rPr>
      </w:pPr>
      <w:r w:rsidRPr="00D403F5">
        <w:rPr>
          <w:smallCaps/>
          <w:szCs w:val="18"/>
        </w:rPr>
        <w:t>Muller A., Sutherland B.J.G., Koop B.F., Johnson S.C. &amp; Garver K.A</w:t>
      </w:r>
      <w:r w:rsidRPr="00D403F5">
        <w:rPr>
          <w:szCs w:val="18"/>
        </w:rPr>
        <w:t xml:space="preserve">. (2015). Infectious hematopoietic necrosis virus (IHNV) persistence in Sockeye Salmon: influence on brain transcriptome and subsequent response to the viral mimic poly(I:C). </w:t>
      </w:r>
      <w:r w:rsidRPr="00D403F5">
        <w:rPr>
          <w:i/>
          <w:szCs w:val="18"/>
        </w:rPr>
        <w:t xml:space="preserve">BMC Genomics, </w:t>
      </w:r>
      <w:r w:rsidRPr="00D403F5">
        <w:rPr>
          <w:b/>
          <w:szCs w:val="18"/>
        </w:rPr>
        <w:t>16</w:t>
      </w:r>
      <w:r w:rsidRPr="00D403F5">
        <w:rPr>
          <w:szCs w:val="18"/>
        </w:rPr>
        <w:t>, 1–19.</w:t>
      </w:r>
    </w:p>
    <w:p w14:paraId="7ADDC23C" w14:textId="77777777" w:rsidR="00E65E42" w:rsidRPr="00D403F5" w:rsidRDefault="00E65E42" w:rsidP="00CA3459">
      <w:pPr>
        <w:pStyle w:val="REF"/>
        <w:ind w:left="284"/>
        <w:rPr>
          <w:szCs w:val="18"/>
        </w:rPr>
      </w:pPr>
      <w:r w:rsidRPr="00C57404">
        <w:rPr>
          <w:rStyle w:val="rfrencesChar"/>
          <w:rFonts w:ascii="Arial" w:hAnsi="Arial" w:cs="Arial"/>
          <w:smallCaps/>
          <w:szCs w:val="18"/>
          <w:lang w:val="en-IE"/>
        </w:rPr>
        <w:t>Nishizawa T., Kinoshita S., Kim W.S., Higashi S. &amp; Yoshimizu</w:t>
      </w:r>
      <w:r w:rsidRPr="00C57404">
        <w:rPr>
          <w:rFonts w:cs="Arial"/>
          <w:smallCaps/>
          <w:szCs w:val="18"/>
        </w:rPr>
        <w:t xml:space="preserve"> </w:t>
      </w:r>
      <w:r w:rsidRPr="00D403F5">
        <w:rPr>
          <w:smallCaps/>
          <w:szCs w:val="18"/>
        </w:rPr>
        <w:t>M.</w:t>
      </w:r>
      <w:r w:rsidRPr="00D403F5">
        <w:rPr>
          <w:szCs w:val="18"/>
        </w:rPr>
        <w:t xml:space="preserve"> (2006). Nucleotide diversity of Japanese isolates of infectious hematopoietic necrosis virus (IHNV) based on the glycoprotein gene. </w:t>
      </w:r>
      <w:r w:rsidRPr="00D403F5">
        <w:rPr>
          <w:i/>
          <w:szCs w:val="18"/>
        </w:rPr>
        <w:t>Dis. Aquat. Org</w:t>
      </w:r>
      <w:r w:rsidRPr="00D403F5">
        <w:rPr>
          <w:szCs w:val="18"/>
        </w:rPr>
        <w:t xml:space="preserve">., </w:t>
      </w:r>
      <w:r w:rsidRPr="00D403F5">
        <w:rPr>
          <w:b/>
          <w:szCs w:val="18"/>
        </w:rPr>
        <w:t>71</w:t>
      </w:r>
      <w:r w:rsidRPr="00D403F5">
        <w:rPr>
          <w:szCs w:val="18"/>
        </w:rPr>
        <w:t>, 267–272.</w:t>
      </w:r>
    </w:p>
    <w:p w14:paraId="28717754" w14:textId="77777777" w:rsidR="00E65E42" w:rsidRPr="00D403F5" w:rsidRDefault="00E65E42" w:rsidP="00CA3459">
      <w:pPr>
        <w:pStyle w:val="REF"/>
        <w:ind w:left="284"/>
        <w:rPr>
          <w:szCs w:val="18"/>
        </w:rPr>
      </w:pPr>
      <w:r w:rsidRPr="00D403F5">
        <w:rPr>
          <w:smallCaps/>
          <w:szCs w:val="18"/>
        </w:rPr>
        <w:t>Ogut H. &amp; Reno P.</w:t>
      </w:r>
      <w:r w:rsidRPr="00D403F5">
        <w:rPr>
          <w:szCs w:val="18"/>
        </w:rPr>
        <w:t xml:space="preserve"> (2004). Effects of fish density on spread of infectious hematopoietic necrosis virus (IHNV) in rainbow trout, </w:t>
      </w:r>
      <w:r w:rsidRPr="00D403F5">
        <w:rPr>
          <w:i/>
          <w:szCs w:val="18"/>
        </w:rPr>
        <w:t>Oncorhynchus mykiss</w:t>
      </w:r>
      <w:r w:rsidRPr="00D403F5">
        <w:rPr>
          <w:szCs w:val="18"/>
        </w:rPr>
        <w:t xml:space="preserve">. </w:t>
      </w:r>
      <w:r w:rsidRPr="00D403F5">
        <w:rPr>
          <w:i/>
          <w:szCs w:val="18"/>
        </w:rPr>
        <w:t>Israeli J. Aquaculture</w:t>
      </w:r>
      <w:r w:rsidRPr="00D403F5">
        <w:rPr>
          <w:szCs w:val="18"/>
        </w:rPr>
        <w:t xml:space="preserve">, </w:t>
      </w:r>
      <w:r w:rsidRPr="00D403F5">
        <w:rPr>
          <w:b/>
          <w:szCs w:val="18"/>
        </w:rPr>
        <w:t>56</w:t>
      </w:r>
      <w:r w:rsidRPr="00D403F5">
        <w:rPr>
          <w:szCs w:val="18"/>
        </w:rPr>
        <w:t>, 218–225.</w:t>
      </w:r>
    </w:p>
    <w:p w14:paraId="23FB8AFD" w14:textId="77777777" w:rsidR="00E65E42" w:rsidRPr="00D403F5" w:rsidRDefault="00E65E42" w:rsidP="00CA3459">
      <w:pPr>
        <w:pStyle w:val="REF"/>
        <w:ind w:left="284"/>
        <w:rPr>
          <w:szCs w:val="18"/>
        </w:rPr>
      </w:pPr>
      <w:r w:rsidRPr="00D403F5">
        <w:rPr>
          <w:smallCaps/>
          <w:szCs w:val="18"/>
        </w:rPr>
        <w:t>Ooi E.L., Verjana N., Haraguchia I., Oshima T., Kondo H., Hirono I, Aoki T., Kiyono H &amp; Yuki Y.</w:t>
      </w:r>
      <w:r w:rsidRPr="00D403F5">
        <w:rPr>
          <w:szCs w:val="18"/>
        </w:rPr>
        <w:t xml:space="preserve"> (2008). Innate immunomodulation with recombinant interferon-alpha enhances resistance of rainbow trout (</w:t>
      </w:r>
      <w:r w:rsidRPr="00D403F5">
        <w:rPr>
          <w:i/>
          <w:szCs w:val="18"/>
        </w:rPr>
        <w:t>Oncorhynchus mykiss</w:t>
      </w:r>
      <w:r w:rsidRPr="00D403F5">
        <w:rPr>
          <w:szCs w:val="18"/>
        </w:rPr>
        <w:t xml:space="preserve">) to infectious hematopoietic necrosis virus. </w:t>
      </w:r>
      <w:r w:rsidRPr="00D403F5">
        <w:rPr>
          <w:i/>
          <w:szCs w:val="18"/>
        </w:rPr>
        <w:t xml:space="preserve">Dev. Comp. Immunol., </w:t>
      </w:r>
      <w:r w:rsidRPr="00D403F5">
        <w:rPr>
          <w:b/>
          <w:szCs w:val="18"/>
        </w:rPr>
        <w:t>32</w:t>
      </w:r>
      <w:r w:rsidRPr="00D403F5">
        <w:rPr>
          <w:szCs w:val="18"/>
        </w:rPr>
        <w:t>, 1211–1220.</w:t>
      </w:r>
    </w:p>
    <w:p w14:paraId="040FCB9A" w14:textId="77777777" w:rsidR="00E65E42" w:rsidRPr="00D403F5" w:rsidRDefault="00E65E42" w:rsidP="00CA3459">
      <w:pPr>
        <w:pStyle w:val="REF"/>
        <w:ind w:left="284"/>
        <w:rPr>
          <w:szCs w:val="18"/>
        </w:rPr>
      </w:pPr>
      <w:r w:rsidRPr="00D329D6">
        <w:rPr>
          <w:smallCaps/>
          <w:szCs w:val="18"/>
        </w:rPr>
        <w:t>Pascoli F., Bilo F., Marzano F.N., Borghesan F., Mancin M., Manfrin A. &amp; Toffan A</w:t>
      </w:r>
      <w:r w:rsidRPr="00D329D6">
        <w:rPr>
          <w:szCs w:val="18"/>
        </w:rPr>
        <w:t xml:space="preserve">. (2015). </w:t>
      </w:r>
      <w:r w:rsidRPr="00D403F5">
        <w:rPr>
          <w:szCs w:val="18"/>
        </w:rPr>
        <w:t xml:space="preserve">Susceptibility of genotyped marble trout Salmo marmoratus (Cuvier, 1829) strains to experimental challenge with European viral hemorrhagic septicemia virus (VHSV) and infectious hematopoietic necrosis virus (IHNV). </w:t>
      </w:r>
      <w:r w:rsidRPr="00D403F5">
        <w:rPr>
          <w:i/>
          <w:szCs w:val="18"/>
        </w:rPr>
        <w:t xml:space="preserve">Aquaculture, </w:t>
      </w:r>
      <w:r w:rsidRPr="00D403F5">
        <w:rPr>
          <w:b/>
          <w:szCs w:val="18"/>
        </w:rPr>
        <w:t>435</w:t>
      </w:r>
      <w:r w:rsidRPr="00D403F5">
        <w:rPr>
          <w:szCs w:val="18"/>
        </w:rPr>
        <w:t>, 152–156.</w:t>
      </w:r>
    </w:p>
    <w:p w14:paraId="6D02958E" w14:textId="77777777" w:rsidR="00E65E42" w:rsidRPr="00D403F5" w:rsidRDefault="00E65E42" w:rsidP="00CA3459">
      <w:pPr>
        <w:pStyle w:val="REF"/>
        <w:ind w:left="284"/>
        <w:rPr>
          <w:szCs w:val="18"/>
        </w:rPr>
      </w:pPr>
      <w:r w:rsidRPr="00D403F5">
        <w:rPr>
          <w:smallCaps/>
          <w:szCs w:val="18"/>
        </w:rPr>
        <w:t>Pham P.H., Sokeechand B.S., Garver K.A., Jones G., Lumsden J.S. &amp; Bols N.C.</w:t>
      </w:r>
      <w:r w:rsidRPr="00D403F5">
        <w:rPr>
          <w:szCs w:val="18"/>
        </w:rPr>
        <w:t xml:space="preserve"> (2018). Fish viruses stored in RNAlater can remain infectious and even be temporarily protected from inactivation by heat or by tissue homogenates. </w:t>
      </w:r>
      <w:r w:rsidRPr="00D403F5">
        <w:rPr>
          <w:i/>
          <w:szCs w:val="18"/>
        </w:rPr>
        <w:t xml:space="preserve">J. Virol. Methods, </w:t>
      </w:r>
      <w:r w:rsidRPr="00D403F5">
        <w:rPr>
          <w:b/>
          <w:szCs w:val="18"/>
        </w:rPr>
        <w:t>253</w:t>
      </w:r>
      <w:r w:rsidRPr="00D403F5">
        <w:rPr>
          <w:szCs w:val="18"/>
        </w:rPr>
        <w:t>, 31–37.</w:t>
      </w:r>
    </w:p>
    <w:p w14:paraId="173054C9" w14:textId="77777777" w:rsidR="00E65E42" w:rsidRPr="00D403F5" w:rsidRDefault="00E65E42" w:rsidP="00CA3459">
      <w:pPr>
        <w:pStyle w:val="REF"/>
        <w:ind w:left="284"/>
        <w:rPr>
          <w:szCs w:val="18"/>
        </w:rPr>
      </w:pPr>
      <w:r w:rsidRPr="00D403F5">
        <w:rPr>
          <w:smallCaps/>
          <w:szCs w:val="18"/>
        </w:rPr>
        <w:t xml:space="preserve">Pietsch J.P., Amend D.F. &amp; Miller C.M. </w:t>
      </w:r>
      <w:r w:rsidRPr="00D403F5">
        <w:rPr>
          <w:szCs w:val="18"/>
        </w:rPr>
        <w:t xml:space="preserve">(1977). Survival of infectious hematopoietic necrosis virus held under various environmental conditions. </w:t>
      </w:r>
      <w:r w:rsidRPr="00D403F5">
        <w:rPr>
          <w:i/>
          <w:szCs w:val="18"/>
        </w:rPr>
        <w:t xml:space="preserve">J. Fish. Res. Board Can., </w:t>
      </w:r>
      <w:r w:rsidRPr="00D403F5">
        <w:rPr>
          <w:b/>
          <w:szCs w:val="18"/>
        </w:rPr>
        <w:t>34</w:t>
      </w:r>
      <w:r w:rsidRPr="00D403F5">
        <w:rPr>
          <w:szCs w:val="18"/>
        </w:rPr>
        <w:t>, 1360–1364.</w:t>
      </w:r>
    </w:p>
    <w:p w14:paraId="34316196" w14:textId="77777777" w:rsidR="00E65E42" w:rsidRPr="00D403F5" w:rsidRDefault="00E65E42" w:rsidP="00CA3459">
      <w:pPr>
        <w:pStyle w:val="REF"/>
        <w:ind w:left="284"/>
        <w:rPr>
          <w:szCs w:val="18"/>
        </w:rPr>
      </w:pPr>
      <w:r w:rsidRPr="00D403F5">
        <w:rPr>
          <w:smallCaps/>
          <w:szCs w:val="18"/>
        </w:rPr>
        <w:t>Purcell M.K., LaPatra S.E., Woodson J.C., Kurath G. &amp; Winton J.R.</w:t>
      </w:r>
      <w:r w:rsidRPr="00D403F5">
        <w:rPr>
          <w:szCs w:val="18"/>
        </w:rPr>
        <w:t xml:space="preserve"> (2010). Early viral replication and induced or constitutive immunity in rainbow trout families with differential resistance to Infectious hematopieticnecrosis virus (IHNV). </w:t>
      </w:r>
      <w:r w:rsidRPr="00D403F5">
        <w:rPr>
          <w:i/>
          <w:szCs w:val="18"/>
        </w:rPr>
        <w:t>Fish Shellfish Immunol</w:t>
      </w:r>
      <w:r w:rsidRPr="00D403F5">
        <w:rPr>
          <w:szCs w:val="18"/>
        </w:rPr>
        <w:t xml:space="preserve">., </w:t>
      </w:r>
      <w:r w:rsidRPr="00D403F5">
        <w:rPr>
          <w:b/>
          <w:szCs w:val="18"/>
        </w:rPr>
        <w:t>28</w:t>
      </w:r>
      <w:r w:rsidRPr="00D403F5">
        <w:rPr>
          <w:szCs w:val="18"/>
        </w:rPr>
        <w:t>, 98–105.</w:t>
      </w:r>
    </w:p>
    <w:p w14:paraId="02FEA3F1" w14:textId="77777777" w:rsidR="00CA3459" w:rsidRDefault="00CA3459">
      <w:pPr>
        <w:rPr>
          <w:u w:val="single"/>
        </w:rPr>
      </w:pPr>
      <w:r>
        <w:rPr>
          <w:u w:val="single"/>
        </w:rPr>
        <w:br w:type="page"/>
      </w:r>
    </w:p>
    <w:p w14:paraId="21288F9D" w14:textId="04A32CE9" w:rsidR="00CA3459" w:rsidRPr="000D7670" w:rsidRDefault="00CA3459" w:rsidP="00CA3459">
      <w:pPr>
        <w:spacing w:after="480" w:line="240" w:lineRule="auto"/>
      </w:pPr>
      <w:r w:rsidRPr="000D7670">
        <w:rPr>
          <w:u w:val="single"/>
        </w:rPr>
        <w:lastRenderedPageBreak/>
        <w:t>A</w:t>
      </w:r>
      <w:r w:rsidRPr="000D7670">
        <w:rPr>
          <w:rFonts w:cs="Times New Roman"/>
          <w:bCs/>
          <w:iCs/>
          <w:szCs w:val="20"/>
          <w:u w:val="single"/>
        </w:rPr>
        <w:t>nnex 13</w:t>
      </w:r>
      <w:r w:rsidRPr="000D7670">
        <w:rPr>
          <w:rFonts w:cs="Times New Roman"/>
          <w:bCs/>
          <w:iCs/>
          <w:szCs w:val="20"/>
        </w:rPr>
        <w:t xml:space="preserve"> (contd)</w:t>
      </w:r>
    </w:p>
    <w:p w14:paraId="657984AB" w14:textId="77777777" w:rsidR="00E65E42" w:rsidRPr="00D403F5" w:rsidRDefault="00E65E42" w:rsidP="00CA3459">
      <w:pPr>
        <w:pStyle w:val="REF"/>
        <w:ind w:left="284"/>
        <w:rPr>
          <w:szCs w:val="18"/>
        </w:rPr>
      </w:pPr>
      <w:r w:rsidRPr="00D403F5">
        <w:rPr>
          <w:smallCaps/>
          <w:szCs w:val="18"/>
        </w:rPr>
        <w:t xml:space="preserve">Purcell M.K., Thompson R., Garver K.A., Hawley L.M., Batts W.N., Sprague L., Sampson C. &amp; Winton J.R. </w:t>
      </w:r>
      <w:r w:rsidRPr="00D403F5">
        <w:rPr>
          <w:szCs w:val="18"/>
        </w:rPr>
        <w:t xml:space="preserve">(2013). Universal reverse-transcriptase real-time PCR for infectious hematopoietic necrosis virus (IHNV). </w:t>
      </w:r>
      <w:r w:rsidRPr="00D403F5">
        <w:rPr>
          <w:i/>
          <w:szCs w:val="18"/>
        </w:rPr>
        <w:t xml:space="preserve">Dis. Aquat. Org., </w:t>
      </w:r>
      <w:r w:rsidRPr="00D403F5">
        <w:rPr>
          <w:b/>
          <w:szCs w:val="18"/>
        </w:rPr>
        <w:t>106</w:t>
      </w:r>
      <w:r w:rsidRPr="00D403F5">
        <w:rPr>
          <w:szCs w:val="18"/>
        </w:rPr>
        <w:t>, 103–115.</w:t>
      </w:r>
    </w:p>
    <w:p w14:paraId="01E37169" w14:textId="77777777" w:rsidR="00E65E42" w:rsidRPr="00D403F5" w:rsidRDefault="00E65E42" w:rsidP="00CA3459">
      <w:pPr>
        <w:pStyle w:val="desc"/>
        <w:spacing w:before="0" w:beforeAutospacing="0" w:after="240" w:afterAutospacing="0"/>
        <w:ind w:left="284"/>
        <w:rPr>
          <w:rFonts w:ascii="Arial" w:hAnsi="Arial" w:cs="Arial"/>
          <w:sz w:val="18"/>
          <w:szCs w:val="18"/>
        </w:rPr>
      </w:pPr>
      <w:r w:rsidRPr="000D7670">
        <w:rPr>
          <w:rFonts w:ascii="Arial" w:hAnsi="Arial" w:cs="Arial"/>
          <w:bCs/>
          <w:smallCaps/>
          <w:sz w:val="18"/>
          <w:szCs w:val="18"/>
        </w:rPr>
        <w:t>Saksida</w:t>
      </w:r>
      <w:r w:rsidRPr="000D7670">
        <w:rPr>
          <w:rFonts w:ascii="Arial" w:hAnsi="Arial" w:cs="Arial"/>
          <w:sz w:val="18"/>
          <w:szCs w:val="18"/>
        </w:rPr>
        <w:t xml:space="preserve"> S.M. (2006). </w:t>
      </w:r>
      <w:r w:rsidRPr="00D403F5">
        <w:rPr>
          <w:rFonts w:ascii="Arial" w:hAnsi="Arial" w:cs="Arial"/>
          <w:sz w:val="18"/>
          <w:szCs w:val="18"/>
        </w:rPr>
        <w:t xml:space="preserve">Infectious haematopoietic necrosis epidemic (2001 to 2003) in farmed </w:t>
      </w:r>
      <w:r w:rsidRPr="00D403F5">
        <w:rPr>
          <w:rFonts w:ascii="Arial" w:hAnsi="Arial" w:cs="Arial"/>
          <w:bCs/>
          <w:sz w:val="18"/>
          <w:szCs w:val="18"/>
        </w:rPr>
        <w:t>Atlantic salmon</w:t>
      </w:r>
      <w:r w:rsidRPr="00D403F5">
        <w:rPr>
          <w:rFonts w:ascii="Arial" w:hAnsi="Arial" w:cs="Arial"/>
          <w:sz w:val="18"/>
          <w:szCs w:val="18"/>
        </w:rPr>
        <w:t xml:space="preserve"> </w:t>
      </w:r>
      <w:r w:rsidRPr="00D403F5">
        <w:rPr>
          <w:rFonts w:ascii="Arial" w:hAnsi="Arial" w:cs="Arial"/>
          <w:i/>
          <w:sz w:val="18"/>
          <w:szCs w:val="18"/>
        </w:rPr>
        <w:t>Salmo salar</w:t>
      </w:r>
      <w:r w:rsidRPr="00D403F5">
        <w:rPr>
          <w:rFonts w:ascii="Arial" w:hAnsi="Arial" w:cs="Arial"/>
          <w:sz w:val="18"/>
          <w:szCs w:val="18"/>
        </w:rPr>
        <w:t xml:space="preserve"> in British Columbia.</w:t>
      </w:r>
      <w:r w:rsidRPr="00D403F5">
        <w:rPr>
          <w:rStyle w:val="jrnl"/>
          <w:rFonts w:ascii="Arial" w:hAnsi="Arial" w:cs="Arial"/>
          <w:sz w:val="18"/>
          <w:szCs w:val="18"/>
        </w:rPr>
        <w:t xml:space="preserve"> </w:t>
      </w:r>
      <w:r w:rsidRPr="00D403F5">
        <w:rPr>
          <w:rStyle w:val="jrnl"/>
          <w:rFonts w:ascii="Arial" w:hAnsi="Arial" w:cs="Arial"/>
          <w:i/>
          <w:sz w:val="18"/>
          <w:szCs w:val="18"/>
        </w:rPr>
        <w:t>Dis. Aquat. Org</w:t>
      </w:r>
      <w:r w:rsidRPr="00D403F5">
        <w:rPr>
          <w:rFonts w:ascii="Arial" w:hAnsi="Arial" w:cs="Arial"/>
          <w:sz w:val="18"/>
          <w:szCs w:val="18"/>
        </w:rPr>
        <w:t xml:space="preserve">., </w:t>
      </w:r>
      <w:r w:rsidRPr="00D403F5">
        <w:rPr>
          <w:rFonts w:ascii="Arial" w:hAnsi="Arial" w:cs="Arial"/>
          <w:b/>
          <w:sz w:val="18"/>
          <w:szCs w:val="18"/>
        </w:rPr>
        <w:t>72</w:t>
      </w:r>
      <w:r w:rsidRPr="00D403F5">
        <w:rPr>
          <w:rFonts w:ascii="Arial" w:hAnsi="Arial" w:cs="Arial"/>
          <w:sz w:val="18"/>
          <w:szCs w:val="18"/>
        </w:rPr>
        <w:t>, 213–223.</w:t>
      </w:r>
    </w:p>
    <w:p w14:paraId="0D828218" w14:textId="77777777" w:rsidR="00E65E42" w:rsidRPr="00D403F5" w:rsidRDefault="00E65E42" w:rsidP="00CA3459">
      <w:pPr>
        <w:pStyle w:val="REF"/>
        <w:ind w:left="284"/>
        <w:rPr>
          <w:szCs w:val="18"/>
        </w:rPr>
      </w:pPr>
      <w:r w:rsidRPr="00D403F5">
        <w:rPr>
          <w:smallCaps/>
          <w:szCs w:val="18"/>
        </w:rPr>
        <w:t>Salonius K., Simard N., Harland R. &amp; Ulmer J.B.</w:t>
      </w:r>
      <w:r w:rsidRPr="00D403F5">
        <w:rPr>
          <w:szCs w:val="18"/>
        </w:rPr>
        <w:t xml:space="preserve"> (2007). The road to licensure of a DNA vaccine. </w:t>
      </w:r>
      <w:r w:rsidRPr="00D403F5">
        <w:rPr>
          <w:i/>
          <w:szCs w:val="18"/>
        </w:rPr>
        <w:t xml:space="preserve">Curr. Opin. Invest. Drugs, </w:t>
      </w:r>
      <w:r w:rsidRPr="00D403F5">
        <w:rPr>
          <w:b/>
          <w:szCs w:val="18"/>
        </w:rPr>
        <w:t>8</w:t>
      </w:r>
      <w:r w:rsidRPr="00D403F5">
        <w:rPr>
          <w:szCs w:val="18"/>
        </w:rPr>
        <w:t>, 635–641.</w:t>
      </w:r>
    </w:p>
    <w:p w14:paraId="62C587FE" w14:textId="77777777" w:rsidR="00E65E42" w:rsidRPr="00D403F5" w:rsidRDefault="00E65E42" w:rsidP="00CA3459">
      <w:pPr>
        <w:pStyle w:val="REF"/>
        <w:ind w:left="284"/>
        <w:rPr>
          <w:szCs w:val="18"/>
        </w:rPr>
      </w:pPr>
      <w:r w:rsidRPr="00D403F5">
        <w:rPr>
          <w:smallCaps/>
          <w:szCs w:val="18"/>
        </w:rPr>
        <w:t xml:space="preserve">St-Hilaire S., Ribble C., Traxler G., Davies T. &amp; Kent M.L. </w:t>
      </w:r>
      <w:r w:rsidRPr="00D403F5">
        <w:rPr>
          <w:szCs w:val="18"/>
        </w:rPr>
        <w:t xml:space="preserve">(2001). Evidence for a carrier state of infectious hematopoietic necrosis virus in chinook salmon </w:t>
      </w:r>
      <w:r w:rsidRPr="00D403F5">
        <w:rPr>
          <w:i/>
          <w:szCs w:val="18"/>
        </w:rPr>
        <w:t>Oncorhynchus tshawytscha</w:t>
      </w:r>
      <w:r w:rsidRPr="00D403F5">
        <w:rPr>
          <w:szCs w:val="18"/>
        </w:rPr>
        <w:t xml:space="preserve">. </w:t>
      </w:r>
      <w:r w:rsidRPr="00D403F5">
        <w:rPr>
          <w:i/>
          <w:szCs w:val="18"/>
        </w:rPr>
        <w:t xml:space="preserve">Dis. Aquat. Org., </w:t>
      </w:r>
      <w:r w:rsidRPr="00D403F5">
        <w:rPr>
          <w:b/>
          <w:szCs w:val="18"/>
        </w:rPr>
        <w:t>46</w:t>
      </w:r>
      <w:r w:rsidRPr="00D403F5">
        <w:rPr>
          <w:szCs w:val="18"/>
        </w:rPr>
        <w:t>, 173–179.</w:t>
      </w:r>
    </w:p>
    <w:p w14:paraId="4EFF11BC" w14:textId="77777777" w:rsidR="00E65E42" w:rsidRPr="00D403F5" w:rsidRDefault="00E65E42" w:rsidP="00CA3459">
      <w:pPr>
        <w:pStyle w:val="REF"/>
        <w:ind w:left="284"/>
        <w:rPr>
          <w:szCs w:val="18"/>
        </w:rPr>
      </w:pPr>
      <w:r w:rsidRPr="00D403F5">
        <w:rPr>
          <w:smallCaps/>
          <w:szCs w:val="18"/>
        </w:rPr>
        <w:t>Traxler G.S.</w:t>
      </w:r>
      <w:r w:rsidRPr="00D403F5">
        <w:rPr>
          <w:szCs w:val="18"/>
        </w:rPr>
        <w:t xml:space="preserve"> (1986). An epizootic of infectious hematopoietic necrosis in 2-year-old kokanee, </w:t>
      </w:r>
      <w:r w:rsidRPr="00D403F5">
        <w:rPr>
          <w:i/>
          <w:szCs w:val="18"/>
        </w:rPr>
        <w:t>Oncorhynchus nerka</w:t>
      </w:r>
      <w:r w:rsidRPr="00D403F5">
        <w:rPr>
          <w:szCs w:val="18"/>
        </w:rPr>
        <w:t xml:space="preserve"> (Walbaum) at Lake Cowichan, British Columbia. </w:t>
      </w:r>
      <w:r w:rsidRPr="00D403F5">
        <w:rPr>
          <w:i/>
          <w:szCs w:val="18"/>
        </w:rPr>
        <w:t xml:space="preserve">J. Fish Dis., </w:t>
      </w:r>
      <w:r w:rsidRPr="00D403F5">
        <w:rPr>
          <w:b/>
          <w:szCs w:val="18"/>
        </w:rPr>
        <w:t>9</w:t>
      </w:r>
      <w:r w:rsidRPr="00D403F5">
        <w:rPr>
          <w:szCs w:val="18"/>
        </w:rPr>
        <w:t>, 545–549.</w:t>
      </w:r>
    </w:p>
    <w:p w14:paraId="2A5839CE" w14:textId="77777777" w:rsidR="00E65E42" w:rsidRPr="00D403F5" w:rsidRDefault="00E65E42" w:rsidP="00CA3459">
      <w:pPr>
        <w:pStyle w:val="REF"/>
        <w:ind w:left="284"/>
        <w:rPr>
          <w:szCs w:val="18"/>
        </w:rPr>
      </w:pPr>
      <w:r w:rsidRPr="00D403F5">
        <w:rPr>
          <w:smallCaps/>
          <w:szCs w:val="18"/>
        </w:rPr>
        <w:t>Traxler G.S., Roome J.R., Lauda K.A. &amp; LaPatra S</w:t>
      </w:r>
      <w:r w:rsidRPr="00D403F5">
        <w:rPr>
          <w:szCs w:val="18"/>
        </w:rPr>
        <w:t xml:space="preserve">. (1997). Appearance of infectious hematopoietic necrosis virus (IHNV) and neutralizing antibodies in sockeye salmon </w:t>
      </w:r>
      <w:r w:rsidRPr="00D403F5">
        <w:rPr>
          <w:i/>
          <w:szCs w:val="18"/>
        </w:rPr>
        <w:t>Oncorhynchus nerka</w:t>
      </w:r>
      <w:r w:rsidRPr="00D403F5">
        <w:rPr>
          <w:szCs w:val="18"/>
        </w:rPr>
        <w:t xml:space="preserve"> during their migration and maturation period. </w:t>
      </w:r>
      <w:r w:rsidRPr="00D403F5">
        <w:rPr>
          <w:i/>
          <w:szCs w:val="18"/>
        </w:rPr>
        <w:t xml:space="preserve">Dis. Aquat. Org., </w:t>
      </w:r>
      <w:r w:rsidRPr="00D403F5">
        <w:rPr>
          <w:b/>
          <w:szCs w:val="18"/>
        </w:rPr>
        <w:t>28</w:t>
      </w:r>
      <w:r w:rsidRPr="00D403F5">
        <w:rPr>
          <w:szCs w:val="18"/>
        </w:rPr>
        <w:t>, 31–38.</w:t>
      </w:r>
    </w:p>
    <w:p w14:paraId="15AE6BE1" w14:textId="77777777" w:rsidR="00E65E42" w:rsidRPr="00D403F5" w:rsidRDefault="00E65E42" w:rsidP="00CA3459">
      <w:pPr>
        <w:pStyle w:val="REF"/>
        <w:ind w:left="284"/>
        <w:rPr>
          <w:szCs w:val="18"/>
        </w:rPr>
      </w:pPr>
      <w:r w:rsidRPr="00D403F5">
        <w:rPr>
          <w:smallCaps/>
          <w:szCs w:val="18"/>
        </w:rPr>
        <w:t xml:space="preserve">Winton J.R. (1991). </w:t>
      </w:r>
      <w:r w:rsidRPr="00D403F5">
        <w:rPr>
          <w:szCs w:val="18"/>
        </w:rPr>
        <w:t xml:space="preserve">Recent advances in the detection and control of infectious hematopoietic necrosis virus (IHNV) in aquaculture. </w:t>
      </w:r>
      <w:r w:rsidRPr="00D403F5">
        <w:rPr>
          <w:i/>
          <w:szCs w:val="18"/>
        </w:rPr>
        <w:t>Ann. Rev. Fish Dis</w:t>
      </w:r>
      <w:r w:rsidRPr="00D403F5">
        <w:rPr>
          <w:szCs w:val="18"/>
        </w:rPr>
        <w:t xml:space="preserve">., </w:t>
      </w:r>
      <w:r w:rsidRPr="00D403F5">
        <w:rPr>
          <w:b/>
          <w:szCs w:val="18"/>
        </w:rPr>
        <w:t>1</w:t>
      </w:r>
      <w:r w:rsidRPr="00D403F5">
        <w:rPr>
          <w:szCs w:val="18"/>
        </w:rPr>
        <w:t>, 83–93.</w:t>
      </w:r>
    </w:p>
    <w:p w14:paraId="5F6D5A9F" w14:textId="77777777" w:rsidR="00E65E42" w:rsidRPr="00D403F5" w:rsidRDefault="00E65E42" w:rsidP="00CA3459">
      <w:pPr>
        <w:pStyle w:val="REF"/>
        <w:ind w:left="284"/>
        <w:rPr>
          <w:szCs w:val="18"/>
        </w:rPr>
      </w:pPr>
      <w:r w:rsidRPr="00D403F5">
        <w:rPr>
          <w:smallCaps/>
          <w:szCs w:val="18"/>
        </w:rPr>
        <w:t>Winton J.R. &amp; Einer-Jensen K. (2002).</w:t>
      </w:r>
      <w:r w:rsidRPr="00D403F5">
        <w:rPr>
          <w:szCs w:val="18"/>
        </w:rPr>
        <w:t xml:space="preserve"> Molecular diagnosis of infectious hematopoietic necrosis and viral hemorrhagic septicemia. </w:t>
      </w:r>
      <w:r w:rsidRPr="00D403F5">
        <w:rPr>
          <w:i/>
          <w:szCs w:val="18"/>
        </w:rPr>
        <w:t xml:space="preserve">In: </w:t>
      </w:r>
      <w:r w:rsidRPr="00D403F5">
        <w:rPr>
          <w:szCs w:val="18"/>
        </w:rPr>
        <w:t>Molecular Diagnosis of Salmonid Diseases, Cunningham C.O., ed. Kluwer, Dordrecht, The Netherlands, pp. 49–79.</w:t>
      </w:r>
    </w:p>
    <w:p w14:paraId="013A7556" w14:textId="77777777" w:rsidR="00E65E42" w:rsidRPr="00D403F5" w:rsidRDefault="00E65E42" w:rsidP="00CA3459">
      <w:pPr>
        <w:pStyle w:val="REF"/>
        <w:ind w:left="284"/>
        <w:rPr>
          <w:szCs w:val="18"/>
        </w:rPr>
      </w:pPr>
      <w:r w:rsidRPr="00D403F5">
        <w:rPr>
          <w:smallCaps/>
          <w:szCs w:val="18"/>
        </w:rPr>
        <w:t xml:space="preserve">Wolf K. (1988). </w:t>
      </w:r>
      <w:r w:rsidRPr="00D403F5">
        <w:rPr>
          <w:szCs w:val="18"/>
        </w:rPr>
        <w:t xml:space="preserve">Infectious hematopoietic necrosis. </w:t>
      </w:r>
      <w:r w:rsidRPr="00D403F5">
        <w:rPr>
          <w:i/>
          <w:szCs w:val="18"/>
        </w:rPr>
        <w:t xml:space="preserve">In: </w:t>
      </w:r>
      <w:r w:rsidRPr="00D403F5">
        <w:rPr>
          <w:szCs w:val="18"/>
        </w:rPr>
        <w:t>Fish Viruses and Fish Viral Diseases. Cornell University Press, Ithaca, New York, USA, pp. 83–114.</w:t>
      </w:r>
    </w:p>
    <w:p w14:paraId="3AB4031D" w14:textId="77777777" w:rsidR="00E65E42" w:rsidRPr="00D403F5" w:rsidRDefault="00E65E42" w:rsidP="00CA3459">
      <w:pPr>
        <w:pStyle w:val="REF"/>
        <w:ind w:left="284"/>
        <w:rPr>
          <w:szCs w:val="18"/>
        </w:rPr>
      </w:pPr>
      <w:r w:rsidRPr="00D403F5">
        <w:rPr>
          <w:smallCaps/>
          <w:szCs w:val="18"/>
        </w:rPr>
        <w:t>Yamamoto T., Batts W.N., Arakawa C.K. &amp; Winton J.R.</w:t>
      </w:r>
      <w:r w:rsidRPr="00D403F5">
        <w:rPr>
          <w:szCs w:val="18"/>
        </w:rPr>
        <w:t xml:space="preserve"> (1990). Multiplication of infectious hematopoietic necrosis virus in rainbow trout following immersion infection: Whole-body assay and immunohistochemistry. </w:t>
      </w:r>
      <w:r w:rsidRPr="00D403F5">
        <w:rPr>
          <w:i/>
          <w:szCs w:val="18"/>
        </w:rPr>
        <w:t xml:space="preserve">J. Aquat. Anim. Health, </w:t>
      </w:r>
      <w:r w:rsidRPr="00D403F5">
        <w:rPr>
          <w:b/>
          <w:szCs w:val="18"/>
        </w:rPr>
        <w:t>2</w:t>
      </w:r>
      <w:r w:rsidRPr="00D403F5">
        <w:rPr>
          <w:szCs w:val="18"/>
        </w:rPr>
        <w:t>, 271–280.</w:t>
      </w:r>
    </w:p>
    <w:p w14:paraId="26E84315" w14:textId="77777777" w:rsidR="00E65E42" w:rsidRPr="00D403F5" w:rsidRDefault="00E65E42" w:rsidP="00CA3459">
      <w:pPr>
        <w:pStyle w:val="REF"/>
        <w:ind w:left="284"/>
        <w:rPr>
          <w:szCs w:val="18"/>
        </w:rPr>
      </w:pPr>
      <w:r w:rsidRPr="00E65E42">
        <w:rPr>
          <w:smallCaps/>
          <w:szCs w:val="18"/>
          <w:lang w:val="en-US"/>
        </w:rPr>
        <w:t xml:space="preserve">Yoshimizu M., Yoshinaka T., Hatori S. &amp; Kasai H. </w:t>
      </w:r>
      <w:r w:rsidRPr="00E65E42">
        <w:rPr>
          <w:szCs w:val="18"/>
          <w:lang w:val="en-US"/>
        </w:rPr>
        <w:t xml:space="preserve">(2005). </w:t>
      </w:r>
      <w:r w:rsidRPr="00D403F5">
        <w:rPr>
          <w:szCs w:val="18"/>
        </w:rPr>
        <w:t xml:space="preserve">Survivability of fish pathogenic viruses in environmental water, and inactivation of fish viruses. </w:t>
      </w:r>
      <w:r w:rsidRPr="00D403F5">
        <w:rPr>
          <w:i/>
          <w:szCs w:val="18"/>
        </w:rPr>
        <w:t xml:space="preserve">Bull. Fish Res. Agency, </w:t>
      </w:r>
      <w:r w:rsidRPr="00D403F5">
        <w:rPr>
          <w:b/>
          <w:szCs w:val="18"/>
        </w:rPr>
        <w:t>2</w:t>
      </w:r>
      <w:r w:rsidRPr="00D403F5">
        <w:rPr>
          <w:szCs w:val="18"/>
        </w:rPr>
        <w:t>, 47–54.</w:t>
      </w:r>
    </w:p>
    <w:bookmarkEnd w:id="148"/>
    <w:p w14:paraId="37624FE0" w14:textId="77777777" w:rsidR="00E65E42" w:rsidRPr="00D403F5" w:rsidRDefault="00E65E42" w:rsidP="00E65E42">
      <w:pPr>
        <w:pStyle w:val="Para10"/>
        <w:spacing w:after="0"/>
        <w:jc w:val="center"/>
        <w:rPr>
          <w:rFonts w:cs="Arial"/>
          <w:szCs w:val="18"/>
        </w:rPr>
      </w:pPr>
      <w:r w:rsidRPr="00D403F5">
        <w:rPr>
          <w:rFonts w:cs="Arial"/>
          <w:szCs w:val="18"/>
        </w:rPr>
        <w:t>*</w:t>
      </w:r>
      <w:r w:rsidRPr="00D403F5">
        <w:rPr>
          <w:rFonts w:cs="Arial"/>
          <w:szCs w:val="18"/>
        </w:rPr>
        <w:br/>
        <w:t>*   *</w:t>
      </w:r>
    </w:p>
    <w:p w14:paraId="519F16A5" w14:textId="77777777" w:rsidR="00E65E42" w:rsidRPr="00D403F5" w:rsidRDefault="00E65E42" w:rsidP="00E65E42">
      <w:pPr>
        <w:pStyle w:val="Paragraphedeliste"/>
        <w:spacing w:after="240"/>
        <w:ind w:left="0"/>
        <w:contextualSpacing w:val="0"/>
        <w:jc w:val="center"/>
        <w:rPr>
          <w:rFonts w:ascii="Arial" w:hAnsi="Arial" w:cs="Arial"/>
          <w:sz w:val="18"/>
          <w:szCs w:val="18"/>
          <w:lang w:val="en-IE"/>
        </w:rPr>
      </w:pPr>
      <w:r w:rsidRPr="00D403F5">
        <w:rPr>
          <w:rStyle w:val="ReflabnoteCar"/>
          <w:rFonts w:eastAsia="Calibri"/>
          <w:lang w:val="en-IE"/>
        </w:rPr>
        <w:t xml:space="preserve">NB: There </w:t>
      </w:r>
      <w:r w:rsidRPr="00D403F5">
        <w:rPr>
          <w:rFonts w:ascii="Arial" w:hAnsi="Arial" w:cs="Arial"/>
          <w:sz w:val="18"/>
          <w:szCs w:val="18"/>
          <w:lang w:val="en-IE"/>
        </w:rPr>
        <w:t>are OIE Reference Laboratories for Infection with infectious haematopoietic necrosis virus</w:t>
      </w:r>
      <w:r w:rsidRPr="00D403F5">
        <w:rPr>
          <w:rStyle w:val="ReflabnoteCar"/>
          <w:rFonts w:eastAsia="Calibri"/>
          <w:lang w:val="en-IE"/>
        </w:rPr>
        <w:br/>
        <w:t xml:space="preserve">(see </w:t>
      </w:r>
      <w:r w:rsidRPr="00D403F5">
        <w:rPr>
          <w:rFonts w:ascii="Arial" w:hAnsi="Arial" w:cs="Arial"/>
          <w:sz w:val="18"/>
          <w:szCs w:val="18"/>
          <w:lang w:val="en-IE"/>
        </w:rPr>
        <w:t xml:space="preserve">Table at the end of this </w:t>
      </w:r>
      <w:r w:rsidRPr="00D403F5">
        <w:rPr>
          <w:rFonts w:ascii="Arial" w:hAnsi="Arial" w:cs="Arial"/>
          <w:i/>
          <w:iCs/>
          <w:sz w:val="18"/>
          <w:szCs w:val="18"/>
          <w:lang w:val="en-IE"/>
        </w:rPr>
        <w:t>Aquatic Manual</w:t>
      </w:r>
      <w:r w:rsidRPr="00D403F5">
        <w:rPr>
          <w:rFonts w:ascii="Arial" w:hAnsi="Arial" w:cs="Arial"/>
          <w:sz w:val="18"/>
          <w:szCs w:val="18"/>
          <w:lang w:val="en-IE"/>
        </w:rPr>
        <w:t xml:space="preserve"> or </w:t>
      </w:r>
      <w:r w:rsidRPr="00D403F5">
        <w:rPr>
          <w:rStyle w:val="ReflabnoteCar"/>
          <w:rFonts w:eastAsia="Calibri"/>
          <w:lang w:val="en-IE"/>
        </w:rPr>
        <w:t xml:space="preserve">consult the OIE web site for the most up-to-date list: </w:t>
      </w:r>
      <w:hyperlink r:id="rId193" w:history="1">
        <w:r w:rsidRPr="00C7404A">
          <w:rPr>
            <w:rStyle w:val="Lienhypertexte"/>
            <w:rFonts w:ascii="Arial" w:hAnsi="Arial" w:cs="Arial"/>
            <w:color w:val="0000FF"/>
            <w:sz w:val="18"/>
            <w:szCs w:val="18"/>
            <w:lang w:val="en-IE"/>
          </w:rPr>
          <w:t>http://www.oie.int/en/scientific-expertise/reference-laboratories/list-of-laboratories/</w:t>
        </w:r>
      </w:hyperlink>
      <w:r w:rsidRPr="00C7404A">
        <w:rPr>
          <w:rStyle w:val="ReflabnoteCar"/>
          <w:rFonts w:eastAsia="Calibri"/>
          <w:color w:val="0000FF"/>
          <w:lang w:val="en-IE"/>
        </w:rPr>
        <w:t xml:space="preserve"> </w:t>
      </w:r>
      <w:hyperlink r:id="rId194" w:history="1"/>
      <w:r w:rsidRPr="00D403F5">
        <w:rPr>
          <w:rStyle w:val="ReflabnoteCar"/>
          <w:rFonts w:eastAsia="Calibri"/>
          <w:lang w:val="en-IE"/>
        </w:rPr>
        <w:t xml:space="preserve">). </w:t>
      </w:r>
      <w:r w:rsidRPr="00D403F5">
        <w:rPr>
          <w:rStyle w:val="ReflabnoteCar"/>
          <w:rFonts w:eastAsia="Calibri"/>
          <w:lang w:val="en-IE"/>
        </w:rPr>
        <w:br/>
      </w:r>
      <w:r w:rsidRPr="00D403F5">
        <w:rPr>
          <w:rFonts w:ascii="Arial" w:hAnsi="Arial" w:cs="Arial"/>
          <w:sz w:val="18"/>
          <w:szCs w:val="18"/>
          <w:lang w:val="en-IE"/>
        </w:rPr>
        <w:t xml:space="preserve">Please contact the OIE Reference Laboratories for any further information on infection with </w:t>
      </w:r>
      <w:r w:rsidRPr="00D403F5">
        <w:rPr>
          <w:rFonts w:ascii="Arial" w:hAnsi="Arial" w:cs="Arial"/>
          <w:sz w:val="18"/>
          <w:szCs w:val="18"/>
          <w:lang w:val="en-IE"/>
        </w:rPr>
        <w:br/>
        <w:t>viral haemorrhagic septicaemia virus</w:t>
      </w:r>
    </w:p>
    <w:p w14:paraId="5F34A2B6" w14:textId="77777777" w:rsidR="00E65E42" w:rsidRDefault="00E65E42" w:rsidP="00E65E42">
      <w:pPr>
        <w:pStyle w:val="Para3"/>
        <w:spacing w:after="0"/>
        <w:ind w:left="0"/>
        <w:jc w:val="center"/>
        <w:rPr>
          <w:rFonts w:cs="Arial"/>
          <w:smallCaps/>
          <w:szCs w:val="18"/>
        </w:rPr>
      </w:pPr>
      <w:r w:rsidRPr="00D403F5">
        <w:rPr>
          <w:rFonts w:cs="Arial"/>
          <w:b/>
          <w:smallCaps/>
          <w:szCs w:val="18"/>
        </w:rPr>
        <w:t>NB:</w:t>
      </w:r>
      <w:r w:rsidRPr="00D403F5">
        <w:rPr>
          <w:rFonts w:cs="Arial"/>
          <w:smallCaps/>
          <w:szCs w:val="18"/>
        </w:rPr>
        <w:t xml:space="preserve"> First adopted in 1995 as infectious haematopoietic necrosis;</w:t>
      </w:r>
      <w:r w:rsidRPr="00D403F5">
        <w:rPr>
          <w:rFonts w:cs="Arial"/>
          <w:smallCaps/>
          <w:szCs w:val="18"/>
        </w:rPr>
        <w:br/>
        <w:t>most recent updates adopted in 2019.</w:t>
      </w:r>
      <w:bookmarkEnd w:id="149"/>
    </w:p>
    <w:p w14:paraId="01531A1B" w14:textId="77777777" w:rsidR="00E65E42" w:rsidRDefault="00E65E42" w:rsidP="00E65E42">
      <w:pPr>
        <w:pStyle w:val="Para3"/>
        <w:spacing w:after="0"/>
        <w:ind w:left="0"/>
        <w:jc w:val="center"/>
        <w:rPr>
          <w:rFonts w:cs="Arial"/>
          <w:smallCaps/>
          <w:szCs w:val="18"/>
        </w:rPr>
      </w:pPr>
    </w:p>
    <w:p w14:paraId="6C1D2631" w14:textId="77777777" w:rsidR="00E65E42" w:rsidRDefault="00E65E42" w:rsidP="00E65E42">
      <w:pPr>
        <w:pStyle w:val="Para3"/>
        <w:spacing w:after="0"/>
        <w:ind w:left="0"/>
        <w:jc w:val="center"/>
        <w:rPr>
          <w:rFonts w:cs="Arial"/>
          <w:smallCaps/>
          <w:szCs w:val="18"/>
        </w:rPr>
      </w:pPr>
    </w:p>
    <w:p w14:paraId="66078819" w14:textId="77777777" w:rsidR="00E65E42" w:rsidRPr="00D403F5" w:rsidRDefault="00E65E42" w:rsidP="00E65E42">
      <w:pPr>
        <w:pStyle w:val="Titre2"/>
        <w:spacing w:after="480"/>
        <w:jc w:val="right"/>
        <w:rPr>
          <w:rFonts w:ascii="Arial" w:hAnsi="Arial" w:cs="Arial"/>
          <w:sz w:val="18"/>
          <w:szCs w:val="18"/>
        </w:rPr>
      </w:pPr>
    </w:p>
    <w:p w14:paraId="13620A2D" w14:textId="77777777" w:rsidR="00E65E42" w:rsidRDefault="00E65E42" w:rsidP="00E65E42">
      <w:pPr>
        <w:pStyle w:val="Titre2"/>
        <w:spacing w:after="480"/>
        <w:rPr>
          <w:rFonts w:ascii="Arial" w:hAnsi="Arial" w:cs="Arial"/>
          <w:sz w:val="18"/>
          <w:szCs w:val="18"/>
        </w:rPr>
        <w:sectPr w:rsidR="00E65E42">
          <w:headerReference w:type="even" r:id="rId195"/>
          <w:headerReference w:type="default" r:id="rId196"/>
          <w:footerReference w:type="default" r:id="rId197"/>
          <w:headerReference w:type="first" r:id="rId198"/>
          <w:pgSz w:w="11906" w:h="16838"/>
          <w:pgMar w:top="1440" w:right="1440" w:bottom="1440" w:left="1440" w:header="708" w:footer="708" w:gutter="0"/>
          <w:cols w:space="708"/>
          <w:docGrid w:linePitch="360"/>
        </w:sectPr>
      </w:pPr>
    </w:p>
    <w:p w14:paraId="733486AE" w14:textId="6FA032CE" w:rsidR="004F1CC2" w:rsidRPr="006A2D15" w:rsidRDefault="004F1CC2" w:rsidP="006A2D15">
      <w:pPr>
        <w:pStyle w:val="Titre4"/>
        <w:spacing w:before="0" w:after="480" w:line="240" w:lineRule="auto"/>
        <w:ind w:left="720"/>
        <w:jc w:val="right"/>
        <w:rPr>
          <w:rFonts w:ascii="Times New Roman" w:hAnsi="Times New Roman" w:cs="Times New Roman"/>
          <w:i w:val="0"/>
          <w:color w:val="auto"/>
        </w:rPr>
      </w:pPr>
      <w:bookmarkStart w:id="150" w:name="_Annex_14"/>
      <w:bookmarkEnd w:id="150"/>
      <w:r w:rsidRPr="006A2D15">
        <w:rPr>
          <w:rFonts w:ascii="Times New Roman" w:hAnsi="Times New Roman" w:cs="Times New Roman"/>
          <w:i w:val="0"/>
          <w:color w:val="auto"/>
          <w:u w:val="single"/>
        </w:rPr>
        <w:lastRenderedPageBreak/>
        <w:t>A</w:t>
      </w:r>
      <w:r w:rsidRPr="006A2D15">
        <w:rPr>
          <w:rFonts w:ascii="Times New Roman" w:hAnsi="Times New Roman" w:cs="Times New Roman"/>
          <w:bCs/>
          <w:i w:val="0"/>
          <w:iCs w:val="0"/>
          <w:color w:val="auto"/>
          <w:szCs w:val="20"/>
          <w:u w:val="single"/>
        </w:rPr>
        <w:t>nnex 14</w:t>
      </w:r>
    </w:p>
    <w:p w14:paraId="6434301A" w14:textId="77777777" w:rsidR="00E65E42" w:rsidRPr="00D62973" w:rsidRDefault="00E65E42" w:rsidP="00E65E42">
      <w:pPr>
        <w:pBdr>
          <w:bottom w:val="single" w:sz="6" w:space="6" w:color="auto"/>
        </w:pBdr>
        <w:spacing w:after="0" w:line="240" w:lineRule="auto"/>
        <w:jc w:val="center"/>
        <w:rPr>
          <w:rFonts w:ascii="Ottawa" w:eastAsia="Times New Roman" w:hAnsi="Ottawa" w:cs="Arial"/>
          <w:b/>
          <w:bCs/>
          <w:iCs/>
          <w:caps/>
          <w:spacing w:val="40"/>
          <w:sz w:val="32"/>
          <w:szCs w:val="32"/>
          <w:lang w:val="en-IE" w:bidi="en-US"/>
        </w:rPr>
      </w:pPr>
      <w:r w:rsidRPr="00A63C15">
        <w:rPr>
          <w:rFonts w:ascii="Ottawa" w:eastAsia="Times New Roman" w:hAnsi="Ottawa" w:cs="Arial"/>
          <w:bCs/>
          <w:iCs/>
          <w:caps/>
          <w:spacing w:val="40"/>
          <w:sz w:val="24"/>
          <w:szCs w:val="24"/>
          <w:lang w:val="en-IE" w:bidi="en-US"/>
        </w:rPr>
        <w:t>CHAPTER 2.3.10.</w:t>
      </w:r>
      <w:r w:rsidRPr="00A63C15">
        <w:rPr>
          <w:rFonts w:ascii="Ottawa" w:eastAsia="Times New Roman" w:hAnsi="Ottawa" w:cs="Arial"/>
          <w:bCs/>
          <w:iCs/>
          <w:caps/>
          <w:spacing w:val="40"/>
          <w:sz w:val="24"/>
          <w:szCs w:val="24"/>
          <w:lang w:val="en-IE" w:bidi="en-US"/>
        </w:rPr>
        <w:br/>
      </w:r>
      <w:r w:rsidRPr="00A63C15">
        <w:rPr>
          <w:rFonts w:ascii="Ottawa" w:eastAsia="Times New Roman" w:hAnsi="Ottawa" w:cs="Arial"/>
          <w:bCs/>
          <w:iCs/>
          <w:caps/>
          <w:spacing w:val="40"/>
          <w:sz w:val="24"/>
          <w:szCs w:val="24"/>
          <w:lang w:val="en-IE" w:bidi="en-US"/>
        </w:rPr>
        <w:br/>
      </w:r>
      <w:r w:rsidRPr="00D62973">
        <w:rPr>
          <w:rFonts w:ascii="Ottawa" w:eastAsia="Times New Roman" w:hAnsi="Ottawa" w:cs="Arial"/>
          <w:b/>
          <w:bCs/>
          <w:iCs/>
          <w:caps/>
          <w:spacing w:val="40"/>
          <w:sz w:val="32"/>
          <w:szCs w:val="32"/>
          <w:lang w:val="en-IE" w:bidi="en-US"/>
        </w:rPr>
        <w:t xml:space="preserve">infection with viral </w:t>
      </w:r>
      <w:r w:rsidRPr="00D62973">
        <w:rPr>
          <w:rFonts w:ascii="Ottawa" w:eastAsia="Times New Roman" w:hAnsi="Ottawa" w:cs="Arial"/>
          <w:b/>
          <w:bCs/>
          <w:iCs/>
          <w:caps/>
          <w:spacing w:val="40"/>
          <w:sz w:val="32"/>
          <w:szCs w:val="32"/>
          <w:lang w:val="en-IE" w:bidi="en-US"/>
        </w:rPr>
        <w:br/>
        <w:t>haemorrhagic septicaemia virus</w:t>
      </w:r>
    </w:p>
    <w:p w14:paraId="41263894" w14:textId="77777777" w:rsidR="00E65E42" w:rsidRPr="00F97268" w:rsidRDefault="00E65E42" w:rsidP="008A67C2">
      <w:pPr>
        <w:spacing w:before="100" w:beforeAutospacing="1" w:after="120" w:line="240" w:lineRule="auto"/>
        <w:ind w:left="284" w:hanging="284"/>
        <w:jc w:val="both"/>
        <w:rPr>
          <w:rFonts w:ascii="Ottawa" w:eastAsia="MS Mincho" w:hAnsi="Ottawa" w:cs="Times New Roman"/>
          <w:b/>
          <w:sz w:val="22"/>
          <w:lang w:eastAsia="fr-FR"/>
        </w:rPr>
      </w:pPr>
      <w:r w:rsidRPr="00F97268">
        <w:rPr>
          <w:rFonts w:ascii="Ottawa" w:eastAsia="MS Mincho" w:hAnsi="Ottawa" w:cs="Times New Roman"/>
          <w:b/>
          <w:sz w:val="22"/>
          <w:lang w:eastAsia="fr-FR"/>
        </w:rPr>
        <w:t>1.</w:t>
      </w:r>
      <w:r w:rsidRPr="00F97268">
        <w:rPr>
          <w:rFonts w:ascii="Ottawa" w:eastAsia="MS Mincho" w:hAnsi="Ottawa" w:cs="Times New Roman"/>
          <w:b/>
          <w:sz w:val="22"/>
          <w:lang w:eastAsia="fr-FR"/>
        </w:rPr>
        <w:tab/>
        <w:t>Scope</w:t>
      </w:r>
    </w:p>
    <w:p w14:paraId="72555C28" w14:textId="77777777" w:rsidR="00E65E42" w:rsidRPr="00D403F5" w:rsidRDefault="00E65E42" w:rsidP="00CA3459">
      <w:pPr>
        <w:tabs>
          <w:tab w:val="left" w:pos="142"/>
        </w:tabs>
        <w:spacing w:after="120" w:line="240" w:lineRule="auto"/>
        <w:ind w:left="284"/>
        <w:jc w:val="both"/>
        <w:rPr>
          <w:rFonts w:ascii="Arial" w:eastAsia="Times New Roman" w:hAnsi="Arial" w:cs="Arial"/>
          <w:sz w:val="18"/>
          <w:szCs w:val="18"/>
          <w:lang w:bidi="en-US"/>
        </w:rPr>
      </w:pPr>
      <w:r w:rsidRPr="00D403F5">
        <w:rPr>
          <w:rFonts w:ascii="Arial" w:eastAsia="Times New Roman" w:hAnsi="Arial" w:cs="Times New Roman"/>
          <w:sz w:val="18"/>
          <w:szCs w:val="18"/>
          <w:lang w:val="en-IE" w:bidi="en-US"/>
        </w:rPr>
        <w:t xml:space="preserve">Infection with </w:t>
      </w:r>
      <w:r w:rsidRPr="00D403F5">
        <w:rPr>
          <w:rFonts w:ascii="Arial" w:eastAsia="Times New Roman" w:hAnsi="Arial" w:cs="Times New Roman"/>
          <w:sz w:val="18"/>
          <w:szCs w:val="18"/>
          <w:lang w:bidi="en-US"/>
        </w:rPr>
        <w:t xml:space="preserve">viral haemorrhagic septicaemia virus (VHSV) </w:t>
      </w:r>
      <w:r w:rsidRPr="00D403F5">
        <w:rPr>
          <w:rFonts w:ascii="Arial" w:eastAsia="Times New Roman" w:hAnsi="Arial" w:cs="Times New Roman"/>
          <w:sz w:val="18"/>
          <w:szCs w:val="18"/>
          <w:lang w:val="en-IE" w:bidi="en-US"/>
        </w:rPr>
        <w:t xml:space="preserve">means infection with the pathogenic agent </w:t>
      </w:r>
      <w:r w:rsidRPr="00D403F5">
        <w:rPr>
          <w:rFonts w:ascii="Arial" w:eastAsia="Times New Roman" w:hAnsi="Arial" w:cs="Times New Roman"/>
          <w:sz w:val="18"/>
          <w:szCs w:val="18"/>
          <w:lang w:bidi="en-US"/>
        </w:rPr>
        <w:t>viral haemorrhagic septicaemia virus</w:t>
      </w:r>
      <w:r w:rsidRPr="00D403F5">
        <w:rPr>
          <w:rFonts w:ascii="Arial" w:eastAsia="Times New Roman" w:hAnsi="Arial" w:cs="Times New Roman"/>
          <w:sz w:val="18"/>
          <w:szCs w:val="18"/>
          <w:lang w:val="en-IE" w:bidi="en-US"/>
        </w:rPr>
        <w:t xml:space="preserve"> of</w:t>
      </w:r>
      <w:r w:rsidRPr="00D403F5">
        <w:rPr>
          <w:rFonts w:ascii="Arial" w:eastAsia="Times New Roman" w:hAnsi="Arial" w:cs="Times New Roman"/>
          <w:sz w:val="18"/>
          <w:szCs w:val="18"/>
          <w:lang w:val="en-US" w:bidi="en-US"/>
        </w:rPr>
        <w:t xml:space="preserve"> the Genus </w:t>
      </w:r>
      <w:r w:rsidRPr="00D403F5">
        <w:rPr>
          <w:rFonts w:ascii="Arial" w:eastAsia="Times New Roman" w:hAnsi="Arial" w:cs="Arial"/>
          <w:i/>
          <w:sz w:val="18"/>
          <w:szCs w:val="18"/>
          <w:lang w:bidi="en-US"/>
        </w:rPr>
        <w:t>Novirhabdovirus</w:t>
      </w:r>
      <w:r w:rsidRPr="00D403F5">
        <w:rPr>
          <w:rFonts w:ascii="Arial" w:eastAsia="Times New Roman" w:hAnsi="Arial" w:cs="Arial"/>
          <w:sz w:val="18"/>
          <w:szCs w:val="18"/>
          <w:lang w:bidi="en-US"/>
        </w:rPr>
        <w:t xml:space="preserve"> and Family </w:t>
      </w:r>
      <w:r w:rsidRPr="00D403F5">
        <w:rPr>
          <w:rFonts w:ascii="Arial" w:eastAsia="Times New Roman" w:hAnsi="Arial" w:cs="Arial"/>
          <w:i/>
          <w:sz w:val="18"/>
          <w:szCs w:val="18"/>
          <w:lang w:bidi="en-US"/>
        </w:rPr>
        <w:t>Rhabdoviridae.</w:t>
      </w:r>
    </w:p>
    <w:p w14:paraId="4FBD54EE" w14:textId="77777777" w:rsidR="00E65E42" w:rsidRPr="00F97268" w:rsidRDefault="00E65E42" w:rsidP="008A67C2">
      <w:pPr>
        <w:spacing w:after="120" w:line="240" w:lineRule="auto"/>
        <w:ind w:left="284" w:hanging="284"/>
        <w:jc w:val="both"/>
        <w:rPr>
          <w:rFonts w:ascii="Ottawa" w:eastAsia="MS Mincho" w:hAnsi="Ottawa" w:cs="Times New Roman"/>
          <w:b/>
          <w:sz w:val="22"/>
          <w:lang w:eastAsia="fr-FR"/>
        </w:rPr>
      </w:pPr>
      <w:r w:rsidRPr="00F97268">
        <w:rPr>
          <w:rFonts w:ascii="Ottawa" w:eastAsia="MS Mincho" w:hAnsi="Ottawa" w:cs="Times New Roman"/>
          <w:b/>
          <w:sz w:val="22"/>
          <w:lang w:eastAsia="fr-FR"/>
        </w:rPr>
        <w:t>2.</w:t>
      </w:r>
      <w:r w:rsidRPr="00F97268">
        <w:rPr>
          <w:rFonts w:ascii="Ottawa" w:eastAsia="MS Mincho" w:hAnsi="Ottawa" w:cs="Times New Roman"/>
          <w:b/>
          <w:sz w:val="22"/>
          <w:lang w:eastAsia="fr-FR"/>
        </w:rPr>
        <w:tab/>
        <w:t>Disease information</w:t>
      </w:r>
    </w:p>
    <w:p w14:paraId="2D70059B" w14:textId="77777777" w:rsidR="00E65E42" w:rsidRPr="00D62973" w:rsidRDefault="00E65E42" w:rsidP="000A4E1E">
      <w:pPr>
        <w:tabs>
          <w:tab w:val="left" w:pos="1418"/>
        </w:tabs>
        <w:spacing w:after="120" w:line="240" w:lineRule="auto"/>
        <w:ind w:left="709" w:hanging="425"/>
        <w:jc w:val="both"/>
        <w:rPr>
          <w:rFonts w:ascii="Ottawa" w:eastAsia="MS Mincho" w:hAnsi="Ottawa" w:cs="Times New Roman"/>
          <w:b/>
          <w:sz w:val="21"/>
          <w:szCs w:val="21"/>
          <w:lang w:val="da-DK" w:eastAsia="da-DK"/>
        </w:rPr>
      </w:pPr>
      <w:r w:rsidRPr="00D62973">
        <w:rPr>
          <w:rFonts w:ascii="Ottawa" w:eastAsia="MS Mincho" w:hAnsi="Ottawa" w:cs="Times New Roman"/>
          <w:b/>
          <w:sz w:val="21"/>
          <w:szCs w:val="21"/>
          <w:lang w:val="da-DK" w:eastAsia="da-DK"/>
        </w:rPr>
        <w:t>2.1.</w:t>
      </w:r>
      <w:r w:rsidRPr="00D62973">
        <w:rPr>
          <w:rFonts w:ascii="Ottawa" w:eastAsia="MS Mincho" w:hAnsi="Ottawa" w:cs="Times New Roman"/>
          <w:b/>
          <w:sz w:val="21"/>
          <w:szCs w:val="21"/>
          <w:lang w:val="da-DK" w:eastAsia="da-DK"/>
        </w:rPr>
        <w:tab/>
        <w:t>Agent factors</w:t>
      </w:r>
    </w:p>
    <w:p w14:paraId="3D93C84D"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2.1.1.</w:t>
      </w:r>
      <w:r w:rsidRPr="00BC2337">
        <w:rPr>
          <w:rFonts w:ascii="Ottawa" w:eastAsia="Times New Roman" w:hAnsi="Ottawa" w:cs="Times New Roman"/>
          <w:b/>
          <w:bCs/>
          <w:szCs w:val="20"/>
          <w:lang w:val="en-IE" w:eastAsia="fr-FR"/>
        </w:rPr>
        <w:tab/>
        <w:t>Aetiological agent</w:t>
      </w:r>
    </w:p>
    <w:p w14:paraId="69780644" w14:textId="77777777" w:rsidR="00E65E42" w:rsidRPr="007B73F2" w:rsidRDefault="00E65E42" w:rsidP="000A4E1E">
      <w:pPr>
        <w:spacing w:after="80" w:line="240" w:lineRule="auto"/>
        <w:ind w:left="709"/>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VHSV is a bullet-shaped particle, approximately 70 nm in diameter and 180 nm in length, that contains a negative-sense, single-stranded RNA genome of approximately 11,000 nucleotides, and possesses an envelope that contains the membrane glycoprotein, which is the neutralising surface antigen. The genome encodes six proteins: a nucleoprotein N; a phosphoprotein P (formerly designated M1); a matrix protein M (formerly designated M2); a glycoprotein G; a non-virion protein NV and a polymerase L (</w:t>
      </w:r>
      <w:r w:rsidRPr="007B73F2">
        <w:rPr>
          <w:rFonts w:ascii="Arial" w:eastAsia="Times New Roman" w:hAnsi="Arial" w:cs="Arial"/>
          <w:bCs/>
          <w:sz w:val="18"/>
          <w:szCs w:val="18"/>
          <w:lang w:val="en-IE"/>
        </w:rPr>
        <w:t xml:space="preserve">Walker </w:t>
      </w:r>
      <w:r w:rsidRPr="007B73F2">
        <w:rPr>
          <w:rFonts w:ascii="Arial" w:eastAsia="Times New Roman" w:hAnsi="Arial" w:cs="Arial"/>
          <w:bCs/>
          <w:i/>
          <w:sz w:val="18"/>
          <w:szCs w:val="18"/>
          <w:lang w:val="en-IE"/>
        </w:rPr>
        <w:t>et al</w:t>
      </w:r>
      <w:r w:rsidRPr="007B73F2">
        <w:rPr>
          <w:rFonts w:ascii="Arial" w:eastAsia="Times New Roman" w:hAnsi="Arial" w:cs="Arial"/>
          <w:bCs/>
          <w:sz w:val="18"/>
          <w:szCs w:val="18"/>
          <w:lang w:val="en-IE"/>
        </w:rPr>
        <w:t>., 2000).</w:t>
      </w:r>
    </w:p>
    <w:p w14:paraId="3C9545CE" w14:textId="77777777" w:rsidR="00E65E42" w:rsidRPr="00D403F5" w:rsidRDefault="00E65E42" w:rsidP="000A4E1E">
      <w:pPr>
        <w:spacing w:after="80" w:line="240" w:lineRule="auto"/>
        <w:ind w:left="709"/>
        <w:jc w:val="both"/>
        <w:rPr>
          <w:rFonts w:ascii="Arial" w:eastAsia="Times New Roman" w:hAnsi="Arial" w:cs="Arial"/>
          <w:bCs/>
          <w:sz w:val="18"/>
          <w:szCs w:val="18"/>
        </w:rPr>
      </w:pPr>
      <w:r w:rsidRPr="007B73F2">
        <w:rPr>
          <w:rFonts w:ascii="Arial" w:eastAsia="Times New Roman" w:hAnsi="Arial" w:cs="Arial"/>
          <w:bCs/>
          <w:sz w:val="18"/>
          <w:szCs w:val="18"/>
        </w:rPr>
        <w:t xml:space="preserve">G-gene nucleotide sequences have been used to classify VHSV isolates into four major genotypes (I, II, III and IV) and nine subtypes (Ia–Ie and IVa-IVd) with almost distinct geographical distributions (Einer-Jensen </w:t>
      </w:r>
      <w:r w:rsidRPr="007B73F2">
        <w:rPr>
          <w:rFonts w:ascii="Arial" w:eastAsia="Times New Roman" w:hAnsi="Arial" w:cs="Arial"/>
          <w:bCs/>
          <w:i/>
          <w:sz w:val="18"/>
          <w:szCs w:val="18"/>
        </w:rPr>
        <w:t>et al</w:t>
      </w:r>
      <w:r w:rsidRPr="007B73F2">
        <w:rPr>
          <w:rFonts w:ascii="Arial" w:eastAsia="Times New Roman" w:hAnsi="Arial" w:cs="Arial"/>
          <w:bCs/>
          <w:sz w:val="18"/>
          <w:szCs w:val="18"/>
        </w:rPr>
        <w:t xml:space="preserve">., 2004; Elsayed </w:t>
      </w:r>
      <w:r w:rsidRPr="007B73F2">
        <w:rPr>
          <w:rFonts w:ascii="Arial" w:eastAsia="Times New Roman" w:hAnsi="Arial" w:cs="Arial"/>
          <w:bCs/>
          <w:i/>
          <w:sz w:val="18"/>
          <w:szCs w:val="18"/>
        </w:rPr>
        <w:t>et al</w:t>
      </w:r>
      <w:r w:rsidRPr="007B73F2">
        <w:rPr>
          <w:rFonts w:ascii="Arial" w:eastAsia="Times New Roman" w:hAnsi="Arial" w:cs="Arial"/>
          <w:bCs/>
          <w:sz w:val="18"/>
          <w:szCs w:val="18"/>
        </w:rPr>
        <w:t>., 2006). The host range and the pathogenicity appear, at least to some extent, to be linked to the genotype of VHSV.</w:t>
      </w:r>
      <w:r w:rsidRPr="00D403F5">
        <w:rPr>
          <w:rFonts w:ascii="Arial" w:eastAsia="Times New Roman" w:hAnsi="Arial" w:cs="Arial"/>
          <w:bCs/>
          <w:sz w:val="18"/>
          <w:szCs w:val="18"/>
        </w:rPr>
        <w:t xml:space="preserve"> </w:t>
      </w:r>
    </w:p>
    <w:p w14:paraId="45A3C747" w14:textId="77777777" w:rsidR="00E65E42" w:rsidRPr="00D403F5" w:rsidRDefault="00E65E42" w:rsidP="000A4E1E">
      <w:pPr>
        <w:spacing w:after="80" w:line="240" w:lineRule="auto"/>
        <w:ind w:left="1134"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Genotype Ia</w:t>
      </w:r>
    </w:p>
    <w:p w14:paraId="3720C7A9" w14:textId="77777777" w:rsidR="00E65E42" w:rsidRDefault="00E65E42" w:rsidP="000A4E1E">
      <w:pPr>
        <w:spacing w:after="80" w:line="240" w:lineRule="auto"/>
        <w:ind w:left="1134"/>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Almost all VHSV isolates causing outbreaks in European rainbow trout (</w:t>
      </w:r>
      <w:r w:rsidRPr="00D403F5">
        <w:rPr>
          <w:rFonts w:ascii="Arial" w:eastAsia="Times New Roman" w:hAnsi="Arial" w:cs="Times New Roman"/>
          <w:bCs/>
          <w:i/>
          <w:sz w:val="18"/>
          <w:szCs w:val="18"/>
          <w:lang w:bidi="en-US"/>
        </w:rPr>
        <w:t>Oncorhynchus mykiss</w:t>
      </w:r>
      <w:r w:rsidRPr="00D403F5">
        <w:rPr>
          <w:rFonts w:ascii="Arial" w:eastAsia="Times New Roman" w:hAnsi="Arial" w:cs="Times New Roman"/>
          <w:bCs/>
          <w:sz w:val="18"/>
          <w:szCs w:val="18"/>
          <w:lang w:bidi="en-US"/>
        </w:rPr>
        <w:t>)</w:t>
      </w:r>
      <w:r w:rsidRPr="00D403F5">
        <w:rPr>
          <w:rFonts w:ascii="Arial" w:eastAsia="Times New Roman" w:hAnsi="Arial" w:cs="Times New Roman"/>
          <w:bCs/>
          <w:sz w:val="18"/>
          <w:szCs w:val="18"/>
          <w:lang w:val="en-IE" w:bidi="en-US"/>
        </w:rPr>
        <w:t xml:space="preserve"> farms cluster in sub-lineage Ia, of which isolates have been reported from most continental European countries (</w:t>
      </w:r>
      <w:r w:rsidRPr="007B73F2">
        <w:rPr>
          <w:rFonts w:ascii="Arial" w:eastAsia="Times New Roman" w:hAnsi="Arial" w:cs="Times New Roman"/>
          <w:bCs/>
          <w:sz w:val="18"/>
          <w:szCs w:val="18"/>
          <w:lang w:val="en-IE" w:bidi="en-US"/>
        </w:rPr>
        <w:t xml:space="preserve">Einer-Jensen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2004; Kahns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2012; Snow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2004; Toplak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2010).</w:t>
      </w:r>
      <w:r w:rsidRPr="00D403F5">
        <w:rPr>
          <w:rFonts w:ascii="Arial" w:eastAsia="Times New Roman" w:hAnsi="Arial" w:cs="Times New Roman"/>
          <w:bCs/>
          <w:sz w:val="18"/>
          <w:szCs w:val="18"/>
          <w:lang w:val="en-IE" w:bidi="en-US"/>
        </w:rPr>
        <w:t xml:space="preserve"> However, genotype Ia isolates have also been detected in other species </w:t>
      </w:r>
      <w:r w:rsidRPr="000E5424">
        <w:rPr>
          <w:rFonts w:ascii="Arial" w:eastAsia="Times New Roman" w:hAnsi="Arial" w:cs="Times New Roman"/>
          <w:bCs/>
          <w:sz w:val="18"/>
          <w:szCs w:val="18"/>
          <w:highlight w:val="yellow"/>
          <w:u w:val="double"/>
          <w:lang w:val="en-IE" w:bidi="en-US"/>
        </w:rPr>
        <w:t>in Europe</w:t>
      </w:r>
      <w:r w:rsidRPr="000E5424">
        <w:rPr>
          <w:rFonts w:ascii="Arial" w:eastAsia="Times New Roman" w:hAnsi="Arial" w:cs="Times New Roman"/>
          <w:bCs/>
          <w:sz w:val="18"/>
          <w:szCs w:val="18"/>
          <w:lang w:val="en-IE" w:bidi="en-US"/>
        </w:rPr>
        <w:t xml:space="preserve"> </w:t>
      </w:r>
      <w:r w:rsidRPr="00D403F5">
        <w:rPr>
          <w:rFonts w:ascii="Arial" w:eastAsia="Times New Roman" w:hAnsi="Arial" w:cs="Times New Roman"/>
          <w:bCs/>
          <w:sz w:val="18"/>
          <w:szCs w:val="18"/>
          <w:lang w:val="en-IE" w:bidi="en-US"/>
        </w:rPr>
        <w:t>such as brown trout (</w:t>
      </w:r>
      <w:r w:rsidRPr="00D403F5">
        <w:rPr>
          <w:rFonts w:ascii="Arial" w:eastAsia="Times New Roman" w:hAnsi="Arial" w:cs="Times New Roman"/>
          <w:bCs/>
          <w:i/>
          <w:sz w:val="18"/>
          <w:szCs w:val="18"/>
          <w:lang w:val="en-IE" w:bidi="en-US"/>
        </w:rPr>
        <w:t>Salmo trutta</w:t>
      </w:r>
      <w:r w:rsidRPr="00D403F5">
        <w:rPr>
          <w:rFonts w:ascii="Arial" w:eastAsia="Times New Roman" w:hAnsi="Arial" w:cs="Times New Roman"/>
          <w:bCs/>
          <w:sz w:val="18"/>
          <w:szCs w:val="18"/>
          <w:lang w:val="en-IE" w:bidi="en-US"/>
        </w:rPr>
        <w:t>), pike (</w:t>
      </w:r>
      <w:r w:rsidRPr="00D403F5">
        <w:rPr>
          <w:rFonts w:ascii="Arial" w:eastAsia="Times New Roman" w:hAnsi="Arial" w:cs="Times New Roman"/>
          <w:bCs/>
          <w:i/>
          <w:sz w:val="18"/>
          <w:szCs w:val="18"/>
          <w:lang w:val="en-IE" w:bidi="en-US"/>
        </w:rPr>
        <w:t>Esox lucius</w:t>
      </w:r>
      <w:r w:rsidRPr="00D403F5">
        <w:rPr>
          <w:rFonts w:ascii="Arial" w:eastAsia="Times New Roman" w:hAnsi="Arial" w:cs="Times New Roman"/>
          <w:bCs/>
          <w:sz w:val="18"/>
          <w:szCs w:val="18"/>
          <w:lang w:val="en-IE" w:bidi="en-US"/>
        </w:rPr>
        <w:t>) and grayling (</w:t>
      </w:r>
      <w:r w:rsidRPr="00D403F5">
        <w:rPr>
          <w:rFonts w:ascii="Arial" w:eastAsia="Times New Roman" w:hAnsi="Arial" w:cs="Times New Roman"/>
          <w:bCs/>
          <w:i/>
          <w:sz w:val="18"/>
          <w:szCs w:val="18"/>
          <w:lang w:val="en-IE" w:bidi="en-US"/>
        </w:rPr>
        <w:t>Thymallus thymallus</w:t>
      </w:r>
      <w:r w:rsidRPr="00D403F5">
        <w:rPr>
          <w:rFonts w:ascii="Arial" w:eastAsia="Times New Roman" w:hAnsi="Arial" w:cs="Times New Roman"/>
          <w:bCs/>
          <w:sz w:val="18"/>
          <w:szCs w:val="18"/>
          <w:lang w:val="en-IE" w:bidi="en-US"/>
        </w:rPr>
        <w:t>) (</w:t>
      </w:r>
      <w:r w:rsidRPr="007B73F2">
        <w:rPr>
          <w:rFonts w:ascii="Arial" w:eastAsia="Times New Roman" w:hAnsi="Arial" w:cs="Times New Roman"/>
          <w:bCs/>
          <w:sz w:val="18"/>
          <w:szCs w:val="18"/>
          <w:lang w:val="en-IE" w:bidi="en-US"/>
        </w:rPr>
        <w:t xml:space="preserve">de Kinkelin &amp; Le Berre, 1977; Jonstrup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2009</w:t>
      </w:r>
      <w:r w:rsidRPr="00D403F5">
        <w:rPr>
          <w:rFonts w:ascii="Arial" w:eastAsia="Times New Roman" w:hAnsi="Arial" w:cs="Times New Roman"/>
          <w:bCs/>
          <w:sz w:val="18"/>
          <w:szCs w:val="18"/>
          <w:lang w:val="en-IE" w:bidi="en-US"/>
        </w:rPr>
        <w:t xml:space="preserve">). Genotype Ia isolates have generally caused outbreaks in </w:t>
      </w:r>
      <w:r w:rsidRPr="000E5424">
        <w:rPr>
          <w:rFonts w:ascii="Arial" w:eastAsia="Times New Roman" w:hAnsi="Arial" w:cs="Times New Roman"/>
          <w:bCs/>
          <w:sz w:val="18"/>
          <w:szCs w:val="18"/>
          <w:highlight w:val="yellow"/>
          <w:u w:val="double"/>
          <w:lang w:val="en-IE" w:bidi="en-US"/>
        </w:rPr>
        <w:t>European</w:t>
      </w:r>
      <w:r w:rsidRPr="008663CD">
        <w:rPr>
          <w:rFonts w:ascii="Arial" w:eastAsia="Times New Roman" w:hAnsi="Arial" w:cs="Times New Roman"/>
          <w:bCs/>
          <w:sz w:val="18"/>
          <w:szCs w:val="18"/>
          <w:lang w:val="en-IE" w:bidi="en-US"/>
        </w:rPr>
        <w:t xml:space="preserve"> </w:t>
      </w:r>
      <w:r w:rsidRPr="00D403F5">
        <w:rPr>
          <w:rFonts w:ascii="Arial" w:eastAsia="Times New Roman" w:hAnsi="Arial" w:cs="Times New Roman"/>
          <w:bCs/>
          <w:sz w:val="18"/>
          <w:szCs w:val="18"/>
          <w:lang w:val="en-IE" w:bidi="en-US"/>
        </w:rPr>
        <w:t xml:space="preserve">freshwater farms, but isolates have also been obtained from rainbow trout in seawater net pens and turbot </w:t>
      </w:r>
      <w:r w:rsidRPr="00D403F5">
        <w:rPr>
          <w:rFonts w:ascii="Arial" w:eastAsia="Times New Roman" w:hAnsi="Arial" w:cs="Arial"/>
          <w:bCs/>
          <w:color w:val="222222"/>
          <w:sz w:val="18"/>
          <w:szCs w:val="18"/>
          <w:shd w:val="clear" w:color="auto" w:fill="FFFFFF"/>
          <w:lang w:val="en-IE" w:bidi="en-US"/>
        </w:rPr>
        <w:t>(</w:t>
      </w:r>
      <w:r w:rsidRPr="00D403F5">
        <w:rPr>
          <w:rFonts w:ascii="Arial" w:eastAsia="Times New Roman" w:hAnsi="Arial" w:cs="Arial"/>
          <w:bCs/>
          <w:i/>
          <w:iCs/>
          <w:color w:val="222222"/>
          <w:sz w:val="18"/>
          <w:szCs w:val="18"/>
          <w:shd w:val="clear" w:color="auto" w:fill="FFFFFF"/>
          <w:lang w:val="en-IE" w:bidi="en-US"/>
        </w:rPr>
        <w:t>Scophthalmus maximus</w:t>
      </w:r>
      <w:r w:rsidRPr="004A34F2">
        <w:rPr>
          <w:rFonts w:ascii="Arial" w:eastAsia="Times New Roman" w:hAnsi="Arial" w:cs="Arial"/>
          <w:bCs/>
          <w:i/>
          <w:iCs/>
          <w:strike/>
          <w:color w:val="222222"/>
          <w:sz w:val="18"/>
          <w:szCs w:val="18"/>
          <w:shd w:val="clear" w:color="auto" w:fill="FFFFFF"/>
          <w:lang w:val="en-IE" w:bidi="en-US"/>
        </w:rPr>
        <w:t xml:space="preserve"> </w:t>
      </w:r>
      <w:r w:rsidRPr="00E33627">
        <w:rPr>
          <w:rFonts w:ascii="Arial" w:eastAsia="Times New Roman" w:hAnsi="Arial" w:cs="Arial"/>
          <w:bCs/>
          <w:iCs/>
          <w:strike/>
          <w:sz w:val="18"/>
          <w:szCs w:val="18"/>
          <w:highlight w:val="yellow"/>
          <w:shd w:val="clear" w:color="auto" w:fill="FFFFFF"/>
          <w:lang w:val="en-IE" w:bidi="en-US"/>
        </w:rPr>
        <w:t xml:space="preserve">syn. </w:t>
      </w:r>
      <w:r w:rsidRPr="00E33627">
        <w:rPr>
          <w:rFonts w:ascii="Arial" w:eastAsia="Times New Roman" w:hAnsi="Arial" w:cs="Arial"/>
          <w:bCs/>
          <w:i/>
          <w:iCs/>
          <w:strike/>
          <w:sz w:val="18"/>
          <w:szCs w:val="18"/>
          <w:highlight w:val="yellow"/>
          <w:shd w:val="clear" w:color="auto" w:fill="FFFFFF"/>
          <w:lang w:bidi="en-US"/>
        </w:rPr>
        <w:t>Psetta maxima</w:t>
      </w:r>
      <w:r w:rsidRPr="00D403F5">
        <w:rPr>
          <w:rFonts w:ascii="Arial" w:eastAsia="Times New Roman" w:hAnsi="Arial" w:cs="Arial"/>
          <w:bCs/>
          <w:color w:val="222222"/>
          <w:sz w:val="18"/>
          <w:szCs w:val="18"/>
          <w:shd w:val="clear" w:color="auto" w:fill="FFFFFF"/>
          <w:lang w:val="en-IE" w:bidi="en-US"/>
        </w:rPr>
        <w:t>)</w:t>
      </w:r>
      <w:r w:rsidRPr="00D403F5">
        <w:rPr>
          <w:rFonts w:ascii="Arial" w:eastAsia="Times New Roman" w:hAnsi="Arial" w:cs="Times New Roman"/>
          <w:bCs/>
          <w:sz w:val="18"/>
          <w:szCs w:val="18"/>
          <w:lang w:val="en-IE" w:bidi="en-US"/>
        </w:rPr>
        <w:t xml:space="preserve"> (</w:t>
      </w:r>
      <w:r w:rsidRPr="007B73F2">
        <w:rPr>
          <w:rFonts w:ascii="Arial" w:eastAsia="Times New Roman" w:hAnsi="Arial" w:cs="Times New Roman"/>
          <w:bCs/>
          <w:sz w:val="18"/>
          <w:szCs w:val="18"/>
          <w:lang w:val="en-IE" w:bidi="en-US"/>
        </w:rPr>
        <w:t xml:space="preserve">Schlotfeldt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1991; Snow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2004</w:t>
      </w:r>
      <w:r w:rsidRPr="00D403F5">
        <w:rPr>
          <w:rFonts w:ascii="Arial" w:eastAsia="Times New Roman" w:hAnsi="Arial" w:cs="Times New Roman"/>
          <w:bCs/>
          <w:sz w:val="18"/>
          <w:szCs w:val="18"/>
          <w:lang w:val="en-IE" w:bidi="en-US"/>
        </w:rPr>
        <w:t>)</w:t>
      </w:r>
      <w:r w:rsidRPr="00E33627">
        <w:rPr>
          <w:rFonts w:ascii="Arial" w:eastAsia="Times New Roman" w:hAnsi="Arial" w:cs="Times New Roman"/>
          <w:bCs/>
          <w:sz w:val="18"/>
          <w:szCs w:val="18"/>
          <w:lang w:val="en-IE" w:bidi="en-US"/>
        </w:rPr>
        <w:t>.</w:t>
      </w:r>
      <w:r w:rsidRPr="00D403F5">
        <w:rPr>
          <w:rFonts w:ascii="Arial" w:eastAsia="Times New Roman" w:hAnsi="Arial" w:cs="Times New Roman"/>
          <w:bCs/>
          <w:sz w:val="18"/>
          <w:szCs w:val="18"/>
          <w:lang w:val="en-IE" w:bidi="en-US"/>
        </w:rPr>
        <w:t xml:space="preserve"> Genotype Ia can be further subdivided into two major subpopulations, Ia-1 and Ia-2, with a distinct geographic distribution within Europe (</w:t>
      </w:r>
      <w:r w:rsidRPr="007B73F2">
        <w:rPr>
          <w:rFonts w:ascii="Arial" w:eastAsia="Times New Roman" w:hAnsi="Arial" w:cs="Times New Roman"/>
          <w:bCs/>
          <w:sz w:val="18"/>
          <w:szCs w:val="18"/>
          <w:lang w:val="en-IE" w:bidi="en-US"/>
        </w:rPr>
        <w:t xml:space="preserve">Kahns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2012</w:t>
      </w:r>
      <w:r w:rsidRPr="00D403F5">
        <w:rPr>
          <w:rFonts w:ascii="Arial" w:eastAsia="Times New Roman" w:hAnsi="Arial" w:cs="Times New Roman"/>
          <w:bCs/>
          <w:sz w:val="18"/>
          <w:szCs w:val="18"/>
          <w:lang w:val="en-IE" w:bidi="en-US"/>
        </w:rPr>
        <w:t>).</w:t>
      </w:r>
    </w:p>
    <w:p w14:paraId="7F986233" w14:textId="77777777" w:rsidR="00E65E42" w:rsidRPr="00D403F5" w:rsidRDefault="00E65E42" w:rsidP="000A4E1E">
      <w:pPr>
        <w:spacing w:after="80" w:line="240" w:lineRule="auto"/>
        <w:ind w:left="1134"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Genotype Ib</w:t>
      </w:r>
    </w:p>
    <w:p w14:paraId="13FC4D7E" w14:textId="77777777" w:rsidR="00E65E42" w:rsidRPr="00D403F5" w:rsidRDefault="00E65E42" w:rsidP="000A4E1E">
      <w:pPr>
        <w:spacing w:after="80" w:line="240" w:lineRule="auto"/>
        <w:ind w:left="1134"/>
        <w:jc w:val="both"/>
        <w:rPr>
          <w:rFonts w:ascii="Arial" w:eastAsia="Times New Roman" w:hAnsi="Arial" w:cs="Times New Roman"/>
          <w:bCs/>
          <w:sz w:val="18"/>
          <w:szCs w:val="18"/>
          <w:lang w:val="en-IE" w:bidi="en-US"/>
        </w:rPr>
      </w:pPr>
      <w:r w:rsidRPr="00D83BCC">
        <w:rPr>
          <w:rFonts w:ascii="Arial" w:eastAsia="Times New Roman" w:hAnsi="Arial" w:cs="Times New Roman"/>
          <w:bCs/>
          <w:sz w:val="18"/>
          <w:szCs w:val="18"/>
          <w:highlight w:val="yellow"/>
          <w:u w:val="double"/>
          <w:lang w:val="en-IE" w:bidi="en-US"/>
        </w:rPr>
        <w:t xml:space="preserve">The isolates included in this </w:t>
      </w:r>
      <w:r w:rsidRPr="004A34F2">
        <w:rPr>
          <w:rFonts w:ascii="Arial" w:eastAsia="Times New Roman" w:hAnsi="Arial" w:cs="Times New Roman"/>
          <w:bCs/>
          <w:sz w:val="18"/>
          <w:szCs w:val="18"/>
          <w:highlight w:val="yellow"/>
          <w:u w:val="double"/>
          <w:lang w:val="en-IE" w:bidi="en-US"/>
        </w:rPr>
        <w:t>genotype</w:t>
      </w:r>
      <w:r w:rsidRPr="004A34F2">
        <w:rPr>
          <w:rFonts w:ascii="Arial" w:eastAsia="Times New Roman" w:hAnsi="Arial" w:cs="Times New Roman"/>
          <w:bCs/>
          <w:strike/>
          <w:sz w:val="18"/>
          <w:szCs w:val="18"/>
          <w:highlight w:val="yellow"/>
          <w:lang w:val="en-IE" w:bidi="en-US"/>
        </w:rPr>
        <w:t xml:space="preserve"> Viruses</w:t>
      </w:r>
      <w:r w:rsidRPr="00D403F5">
        <w:rPr>
          <w:rFonts w:ascii="Arial" w:eastAsia="Times New Roman" w:hAnsi="Arial" w:cs="Times New Roman"/>
          <w:bCs/>
          <w:sz w:val="18"/>
          <w:szCs w:val="18"/>
          <w:lang w:val="en-IE" w:bidi="en-US"/>
        </w:rPr>
        <w:t xml:space="preserve"> have been </w:t>
      </w:r>
      <w:r w:rsidRPr="004A34F2">
        <w:rPr>
          <w:rFonts w:ascii="Arial" w:eastAsia="Times New Roman" w:hAnsi="Arial" w:cs="Times New Roman"/>
          <w:bCs/>
          <w:strike/>
          <w:sz w:val="18"/>
          <w:szCs w:val="18"/>
          <w:highlight w:val="yellow"/>
          <w:lang w:val="en-IE" w:bidi="en-US"/>
        </w:rPr>
        <w:t xml:space="preserve">isolated </w:t>
      </w:r>
      <w:r w:rsidRPr="004A34F2">
        <w:rPr>
          <w:rFonts w:ascii="Arial" w:eastAsia="Times New Roman" w:hAnsi="Arial" w:cs="Times New Roman"/>
          <w:bCs/>
          <w:sz w:val="18"/>
          <w:szCs w:val="18"/>
          <w:highlight w:val="yellow"/>
          <w:u w:val="double"/>
          <w:lang w:val="en-IE" w:bidi="en-US"/>
        </w:rPr>
        <w:t>obtained</w:t>
      </w:r>
      <w:r w:rsidRPr="00D403F5">
        <w:rPr>
          <w:rFonts w:ascii="Arial" w:eastAsia="Times New Roman" w:hAnsi="Arial" w:cs="Times New Roman"/>
          <w:bCs/>
          <w:sz w:val="18"/>
          <w:szCs w:val="18"/>
          <w:lang w:val="en-IE" w:bidi="en-US"/>
        </w:rPr>
        <w:t xml:space="preserve"> from fish in the marine environment in the Baltic Sea, Kattegat, Skagerrak, the North Sea and the English Channel (</w:t>
      </w:r>
      <w:r w:rsidRPr="007B73F2">
        <w:rPr>
          <w:rFonts w:ascii="Arial" w:eastAsia="Times New Roman" w:hAnsi="Arial" w:cs="Times New Roman"/>
          <w:bCs/>
          <w:sz w:val="18"/>
          <w:szCs w:val="18"/>
          <w:lang w:val="en-IE" w:bidi="en-US"/>
        </w:rPr>
        <w:t xml:space="preserve">Einer-Jensen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2004; Skall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2005</w:t>
      </w:r>
      <w:r w:rsidRPr="00E33627">
        <w:rPr>
          <w:rFonts w:ascii="Arial" w:eastAsia="Times New Roman" w:hAnsi="Arial" w:cs="Times New Roman"/>
          <w:bCs/>
          <w:sz w:val="18"/>
          <w:szCs w:val="18"/>
          <w:highlight w:val="yellow"/>
          <w:u w:val="double"/>
          <w:lang w:val="en-IE" w:bidi="en-US"/>
        </w:rPr>
        <w:t>b</w:t>
      </w:r>
      <w:r w:rsidRPr="00D403F5">
        <w:rPr>
          <w:rFonts w:ascii="Arial" w:eastAsia="Times New Roman" w:hAnsi="Arial" w:cs="Times New Roman"/>
          <w:bCs/>
          <w:sz w:val="18"/>
          <w:szCs w:val="18"/>
          <w:lang w:val="en-IE" w:bidi="en-US"/>
        </w:rPr>
        <w:t xml:space="preserve">; </w:t>
      </w:r>
      <w:r w:rsidRPr="007B73F2">
        <w:rPr>
          <w:rFonts w:ascii="Arial" w:eastAsia="Times New Roman" w:hAnsi="Arial" w:cs="Times New Roman"/>
          <w:bCs/>
          <w:sz w:val="18"/>
          <w:szCs w:val="18"/>
          <w:lang w:val="en-IE" w:bidi="en-US"/>
        </w:rPr>
        <w:t xml:space="preserve">Snow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2004</w:t>
      </w:r>
      <w:r w:rsidRPr="00D403F5">
        <w:rPr>
          <w:rFonts w:ascii="Arial" w:eastAsia="Times New Roman" w:hAnsi="Arial" w:cs="Times New Roman"/>
          <w:bCs/>
          <w:sz w:val="18"/>
          <w:szCs w:val="18"/>
          <w:lang w:val="en-IE" w:bidi="en-US"/>
        </w:rPr>
        <w:t>) and as far north as latitude 70°N close to Nordkapp in Norway (</w:t>
      </w:r>
      <w:r w:rsidRPr="007B73F2">
        <w:rPr>
          <w:rFonts w:ascii="Arial" w:eastAsia="Times New Roman" w:hAnsi="Arial" w:cs="Times New Roman"/>
          <w:bCs/>
          <w:sz w:val="18"/>
          <w:szCs w:val="18"/>
          <w:lang w:val="en-IE" w:bidi="en-US"/>
        </w:rPr>
        <w:t xml:space="preserve">Sandlund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2014</w:t>
      </w:r>
      <w:r w:rsidRPr="00D403F5">
        <w:rPr>
          <w:rFonts w:ascii="Arial" w:eastAsia="Times New Roman" w:hAnsi="Arial" w:cs="Times New Roman"/>
          <w:bCs/>
          <w:sz w:val="18"/>
          <w:szCs w:val="18"/>
          <w:lang w:val="en-IE" w:bidi="en-US"/>
        </w:rPr>
        <w:t>). A single case was observed in Japan (</w:t>
      </w:r>
      <w:r w:rsidRPr="007B73F2">
        <w:rPr>
          <w:rFonts w:ascii="Arial" w:eastAsia="Times New Roman" w:hAnsi="Arial" w:cs="Times New Roman"/>
          <w:bCs/>
          <w:sz w:val="18"/>
          <w:szCs w:val="18"/>
          <w:lang w:val="en-IE" w:bidi="en-US"/>
        </w:rPr>
        <w:t xml:space="preserve">Nishizawa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2002). None of the isolations from wild fish has been associated with clinical disease outbreaks (Johansen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2013). Genotype Ib has been associated with evidence of transfer between wild fish and farmed rainbow trout in only two cases in pen-reared rainbow trout in Sweden in 1998 and 2000 (Nordblom, 1998; Nordblom &amp; Norell, 2000; Skall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2005</w:t>
      </w:r>
      <w:r w:rsidRPr="00E33627">
        <w:rPr>
          <w:rFonts w:ascii="Arial" w:eastAsia="Times New Roman" w:hAnsi="Arial" w:cs="Times New Roman"/>
          <w:bCs/>
          <w:sz w:val="18"/>
          <w:szCs w:val="18"/>
          <w:highlight w:val="yellow"/>
          <w:u w:val="double"/>
          <w:lang w:val="en-IE" w:bidi="en-US"/>
        </w:rPr>
        <w:t>a</w:t>
      </w:r>
      <w:r w:rsidRPr="00D403F5">
        <w:rPr>
          <w:rFonts w:ascii="Arial" w:eastAsia="Times New Roman" w:hAnsi="Arial" w:cs="Times New Roman"/>
          <w:bCs/>
          <w:sz w:val="18"/>
          <w:szCs w:val="18"/>
          <w:lang w:val="en-IE" w:bidi="en-US"/>
        </w:rPr>
        <w:t>).</w:t>
      </w:r>
    </w:p>
    <w:p w14:paraId="5135A421" w14:textId="77777777" w:rsidR="00E65E42" w:rsidRPr="00D403F5" w:rsidRDefault="00E65E42" w:rsidP="000A4E1E">
      <w:pPr>
        <w:spacing w:after="80" w:line="240" w:lineRule="auto"/>
        <w:ind w:left="1134" w:hanging="283"/>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Genotype Ic</w:t>
      </w:r>
    </w:p>
    <w:p w14:paraId="11E65929" w14:textId="77777777" w:rsidR="00E65E42" w:rsidRPr="00D403F5" w:rsidRDefault="00E65E42" w:rsidP="000A4E1E">
      <w:pPr>
        <w:spacing w:after="80" w:line="240" w:lineRule="auto"/>
        <w:ind w:left="1134"/>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 xml:space="preserve">This genotype </w:t>
      </w:r>
      <w:r w:rsidRPr="0052754B">
        <w:rPr>
          <w:rFonts w:ascii="Arial" w:eastAsia="Times New Roman" w:hAnsi="Arial" w:cs="Times New Roman"/>
          <w:bCs/>
          <w:sz w:val="18"/>
          <w:szCs w:val="18"/>
          <w:highlight w:val="yellow"/>
          <w:u w:val="double"/>
          <w:lang w:val="en-IE" w:bidi="en-US"/>
        </w:rPr>
        <w:t>consists of</w:t>
      </w:r>
      <w:r w:rsidRPr="0052754B">
        <w:rPr>
          <w:rFonts w:ascii="Arial" w:eastAsia="Times New Roman" w:hAnsi="Arial" w:cs="Times New Roman"/>
          <w:bCs/>
          <w:sz w:val="18"/>
          <w:szCs w:val="18"/>
          <w:highlight w:val="yellow"/>
          <w:lang w:val="en-IE" w:bidi="en-US"/>
        </w:rPr>
        <w:t xml:space="preserve"> </w:t>
      </w:r>
      <w:r w:rsidRPr="0052754B">
        <w:rPr>
          <w:rFonts w:ascii="Arial" w:eastAsia="Times New Roman" w:hAnsi="Arial" w:cs="Times New Roman"/>
          <w:bCs/>
          <w:strike/>
          <w:sz w:val="18"/>
          <w:szCs w:val="18"/>
          <w:highlight w:val="yellow"/>
          <w:lang w:val="en-IE" w:bidi="en-US"/>
        </w:rPr>
        <w:t>is</w:t>
      </w:r>
      <w:r w:rsidRPr="004A34F2">
        <w:rPr>
          <w:rFonts w:ascii="Arial" w:eastAsia="Times New Roman" w:hAnsi="Arial" w:cs="Times New Roman"/>
          <w:bCs/>
          <w:strike/>
          <w:sz w:val="18"/>
          <w:szCs w:val="18"/>
          <w:lang w:val="en-IE" w:bidi="en-US"/>
        </w:rPr>
        <w:t xml:space="preserve"> </w:t>
      </w:r>
      <w:r w:rsidRPr="00D403F5">
        <w:rPr>
          <w:rFonts w:ascii="Arial" w:eastAsia="Times New Roman" w:hAnsi="Arial" w:cs="Times New Roman"/>
          <w:bCs/>
          <w:sz w:val="18"/>
          <w:szCs w:val="18"/>
          <w:lang w:val="en-IE" w:bidi="en-US"/>
        </w:rPr>
        <w:t xml:space="preserve">a smaller group </w:t>
      </w:r>
      <w:r w:rsidRPr="00BF51FB">
        <w:rPr>
          <w:rFonts w:ascii="Arial" w:eastAsia="Times New Roman" w:hAnsi="Arial" w:cs="Times New Roman"/>
          <w:bCs/>
          <w:strike/>
          <w:sz w:val="18"/>
          <w:szCs w:val="18"/>
          <w:highlight w:val="yellow"/>
          <w:lang w:val="en-IE" w:bidi="en-US"/>
        </w:rPr>
        <w:t>consisting</w:t>
      </w:r>
      <w:r w:rsidRPr="00BF51FB">
        <w:rPr>
          <w:rFonts w:ascii="Arial" w:eastAsia="Times New Roman" w:hAnsi="Arial" w:cs="Times New Roman"/>
          <w:bCs/>
          <w:strike/>
          <w:sz w:val="18"/>
          <w:szCs w:val="18"/>
          <w:lang w:val="en-IE" w:bidi="en-US"/>
        </w:rPr>
        <w:t xml:space="preserve"> </w:t>
      </w:r>
      <w:r w:rsidRPr="00BF51FB">
        <w:rPr>
          <w:rFonts w:ascii="Arial" w:eastAsia="Times New Roman" w:hAnsi="Arial" w:cs="Times New Roman"/>
          <w:bCs/>
          <w:sz w:val="18"/>
          <w:szCs w:val="18"/>
          <w:lang w:val="en-IE" w:bidi="en-US"/>
        </w:rPr>
        <w:t xml:space="preserve">of </w:t>
      </w:r>
      <w:r w:rsidRPr="00D403F5">
        <w:rPr>
          <w:rFonts w:ascii="Arial" w:eastAsia="Times New Roman" w:hAnsi="Arial" w:cs="Times New Roman"/>
          <w:bCs/>
          <w:sz w:val="18"/>
          <w:szCs w:val="18"/>
          <w:lang w:val="en-IE" w:bidi="en-US"/>
        </w:rPr>
        <w:t xml:space="preserve">Danish </w:t>
      </w:r>
      <w:r w:rsidRPr="0052754B">
        <w:rPr>
          <w:rFonts w:ascii="Arial" w:eastAsia="Times New Roman" w:hAnsi="Arial" w:cs="Times New Roman"/>
          <w:bCs/>
          <w:sz w:val="18"/>
          <w:szCs w:val="18"/>
          <w:highlight w:val="yellow"/>
          <w:u w:val="double"/>
          <w:lang w:val="en-IE" w:bidi="en-US"/>
        </w:rPr>
        <w:t>isolates</w:t>
      </w:r>
      <w:r w:rsidRPr="0052754B">
        <w:rPr>
          <w:rFonts w:ascii="Arial" w:eastAsia="Times New Roman" w:hAnsi="Arial" w:cs="Times New Roman"/>
          <w:bCs/>
          <w:sz w:val="18"/>
          <w:szCs w:val="18"/>
          <w:lang w:val="en-IE" w:bidi="en-US"/>
        </w:rPr>
        <w:t xml:space="preserve"> </w:t>
      </w:r>
      <w:r>
        <w:rPr>
          <w:rFonts w:ascii="Arial" w:eastAsia="Times New Roman" w:hAnsi="Arial" w:cs="Times New Roman"/>
          <w:bCs/>
          <w:sz w:val="18"/>
          <w:szCs w:val="18"/>
          <w:lang w:val="en-IE" w:bidi="en-US"/>
        </w:rPr>
        <w:t xml:space="preserve">from </w:t>
      </w:r>
      <w:r w:rsidRPr="00D403F5">
        <w:rPr>
          <w:rFonts w:ascii="Arial" w:eastAsia="Times New Roman" w:hAnsi="Arial" w:cs="Times New Roman"/>
          <w:bCs/>
          <w:sz w:val="18"/>
          <w:szCs w:val="18"/>
          <w:lang w:val="en-IE" w:bidi="en-US"/>
        </w:rPr>
        <w:t xml:space="preserve">farmed rainbow trout </w:t>
      </w:r>
      <w:r w:rsidRPr="0052754B">
        <w:rPr>
          <w:rFonts w:ascii="Arial" w:eastAsia="Times New Roman" w:hAnsi="Arial" w:cs="Times New Roman"/>
          <w:bCs/>
          <w:strike/>
          <w:sz w:val="18"/>
          <w:szCs w:val="18"/>
          <w:highlight w:val="yellow"/>
          <w:lang w:val="en-IE" w:bidi="en-US"/>
        </w:rPr>
        <w:t>isolates from earlier dates</w:t>
      </w:r>
      <w:r w:rsidRPr="00D403F5">
        <w:rPr>
          <w:rFonts w:ascii="Arial" w:eastAsia="Times New Roman" w:hAnsi="Arial" w:cs="Times New Roman"/>
          <w:bCs/>
          <w:sz w:val="18"/>
          <w:szCs w:val="18"/>
          <w:lang w:val="en-IE" w:bidi="en-US"/>
        </w:rPr>
        <w:t xml:space="preserve">. Isolates of this genotype have also been </w:t>
      </w:r>
      <w:r w:rsidRPr="0052754B">
        <w:rPr>
          <w:rFonts w:ascii="Arial" w:eastAsia="Times New Roman" w:hAnsi="Arial" w:cs="Times New Roman"/>
          <w:bCs/>
          <w:strike/>
          <w:sz w:val="18"/>
          <w:szCs w:val="18"/>
          <w:highlight w:val="yellow"/>
          <w:lang w:val="en-IE" w:bidi="en-US"/>
        </w:rPr>
        <w:t>identified</w:t>
      </w:r>
      <w:r w:rsidRPr="004A34F2">
        <w:rPr>
          <w:rFonts w:ascii="Arial" w:eastAsia="Times New Roman" w:hAnsi="Arial" w:cs="Times New Roman"/>
          <w:bCs/>
          <w:strike/>
          <w:sz w:val="18"/>
          <w:szCs w:val="18"/>
          <w:highlight w:val="yellow"/>
          <w:lang w:val="en-IE" w:bidi="en-US"/>
        </w:rPr>
        <w:t xml:space="preserve"> </w:t>
      </w:r>
      <w:r w:rsidRPr="0052754B">
        <w:rPr>
          <w:rFonts w:ascii="Arial" w:eastAsia="Times New Roman" w:hAnsi="Arial" w:cs="Times New Roman"/>
          <w:bCs/>
          <w:sz w:val="18"/>
          <w:szCs w:val="18"/>
          <w:highlight w:val="yellow"/>
          <w:u w:val="double"/>
          <w:lang w:val="en-IE" w:bidi="en-US"/>
        </w:rPr>
        <w:t>detected</w:t>
      </w:r>
      <w:r w:rsidRPr="0052754B">
        <w:rPr>
          <w:rFonts w:ascii="Arial" w:eastAsia="Times New Roman" w:hAnsi="Arial" w:cs="Times New Roman"/>
          <w:bCs/>
          <w:sz w:val="18"/>
          <w:szCs w:val="18"/>
          <w:lang w:val="en-IE" w:bidi="en-US"/>
        </w:rPr>
        <w:t xml:space="preserve"> </w:t>
      </w:r>
      <w:r w:rsidRPr="00D403F5">
        <w:rPr>
          <w:rFonts w:ascii="Arial" w:eastAsia="Times New Roman" w:hAnsi="Arial" w:cs="Times New Roman"/>
          <w:bCs/>
          <w:sz w:val="18"/>
          <w:szCs w:val="18"/>
          <w:lang w:val="en-IE" w:bidi="en-US"/>
        </w:rPr>
        <w:t>in Germany and Austria (</w:t>
      </w:r>
      <w:r w:rsidRPr="007B73F2">
        <w:rPr>
          <w:rFonts w:ascii="Arial" w:eastAsia="Times New Roman" w:hAnsi="Arial" w:cs="Times New Roman"/>
          <w:bCs/>
          <w:sz w:val="18"/>
          <w:szCs w:val="18"/>
          <w:lang w:val="en-IE" w:bidi="en-US"/>
        </w:rPr>
        <w:t xml:space="preserve">Jonstrup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2009).</w:t>
      </w:r>
    </w:p>
    <w:p w14:paraId="4CF74532" w14:textId="77777777" w:rsidR="00E65E42" w:rsidRPr="00D403F5" w:rsidRDefault="00E65E42" w:rsidP="000A4E1E">
      <w:pPr>
        <w:spacing w:after="80" w:line="240" w:lineRule="auto"/>
        <w:ind w:left="1134" w:hanging="283"/>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Genotype Id</w:t>
      </w:r>
    </w:p>
    <w:p w14:paraId="45267E0F" w14:textId="77777777" w:rsidR="00E65E42" w:rsidRPr="00D403F5" w:rsidRDefault="00E65E42" w:rsidP="000A4E1E">
      <w:pPr>
        <w:spacing w:after="200" w:line="240" w:lineRule="auto"/>
        <w:ind w:left="1134"/>
        <w:jc w:val="both"/>
        <w:rPr>
          <w:rFonts w:ascii="Arial" w:eastAsia="Times New Roman" w:hAnsi="Arial" w:cs="Times New Roman"/>
          <w:bCs/>
          <w:sz w:val="18"/>
          <w:szCs w:val="18"/>
          <w:lang w:val="en-IE" w:bidi="en-US"/>
        </w:rPr>
      </w:pPr>
      <w:r w:rsidRPr="004A34F2">
        <w:rPr>
          <w:rFonts w:ascii="Arial" w:eastAsia="Times New Roman" w:hAnsi="Arial" w:cs="Times New Roman"/>
          <w:bCs/>
          <w:strike/>
          <w:sz w:val="18"/>
          <w:szCs w:val="18"/>
          <w:highlight w:val="yellow"/>
          <w:lang w:val="en-IE" w:bidi="en-US"/>
        </w:rPr>
        <w:t xml:space="preserve">This group </w:t>
      </w:r>
      <w:r w:rsidRPr="004A34F2">
        <w:rPr>
          <w:rFonts w:ascii="Arial" w:eastAsia="Times New Roman" w:hAnsi="Arial" w:cs="Times New Roman"/>
          <w:bCs/>
          <w:sz w:val="18"/>
          <w:szCs w:val="18"/>
          <w:highlight w:val="yellow"/>
          <w:u w:val="double"/>
          <w:lang w:val="en-IE" w:bidi="en-US"/>
        </w:rPr>
        <w:t xml:space="preserve">The </w:t>
      </w:r>
      <w:r w:rsidRPr="00AA4EDC">
        <w:rPr>
          <w:rFonts w:ascii="Arial" w:eastAsia="Times New Roman" w:hAnsi="Arial" w:cs="Times New Roman"/>
          <w:bCs/>
          <w:sz w:val="18"/>
          <w:szCs w:val="18"/>
          <w:highlight w:val="yellow"/>
          <w:u w:val="double"/>
          <w:lang w:val="en-IE" w:bidi="en-US"/>
        </w:rPr>
        <w:t>isolates included in this genotype</w:t>
      </w:r>
      <w:r w:rsidRPr="004A34F2">
        <w:rPr>
          <w:rFonts w:ascii="Arial" w:eastAsia="Times New Roman" w:hAnsi="Arial" w:cs="Times New Roman"/>
          <w:bCs/>
          <w:sz w:val="18"/>
          <w:szCs w:val="18"/>
          <w:lang w:val="en-IE" w:bidi="en-US"/>
        </w:rPr>
        <w:t xml:space="preserve"> consists of som</w:t>
      </w:r>
      <w:r w:rsidRPr="00F247CF">
        <w:rPr>
          <w:rFonts w:ascii="Arial" w:eastAsia="Times New Roman" w:hAnsi="Arial" w:cs="Times New Roman"/>
          <w:bCs/>
          <w:sz w:val="18"/>
          <w:szCs w:val="18"/>
          <w:lang w:val="en-IE" w:bidi="en-US"/>
        </w:rPr>
        <w:t xml:space="preserve">e old Scandinavian isolates from the 1960s until the first </w:t>
      </w:r>
      <w:r w:rsidRPr="005B6712">
        <w:rPr>
          <w:rFonts w:ascii="Arial" w:eastAsia="Times New Roman" w:hAnsi="Arial" w:cs="Times New Roman"/>
          <w:bCs/>
          <w:strike/>
          <w:sz w:val="18"/>
          <w:szCs w:val="18"/>
          <w:highlight w:val="yellow"/>
          <w:lang w:val="en-IE" w:bidi="en-US"/>
        </w:rPr>
        <w:t>VHS</w:t>
      </w:r>
      <w:r w:rsidRPr="004A34F2">
        <w:rPr>
          <w:rFonts w:ascii="Arial" w:eastAsia="Times New Roman" w:hAnsi="Arial" w:cs="Times New Roman"/>
          <w:bCs/>
          <w:strike/>
          <w:sz w:val="18"/>
          <w:szCs w:val="18"/>
          <w:lang w:val="en-IE" w:bidi="en-US"/>
        </w:rPr>
        <w:t xml:space="preserve"> </w:t>
      </w:r>
      <w:r w:rsidRPr="00F247CF">
        <w:rPr>
          <w:rFonts w:ascii="Arial" w:eastAsia="Times New Roman" w:hAnsi="Arial" w:cs="Times New Roman"/>
          <w:bCs/>
          <w:sz w:val="18"/>
          <w:szCs w:val="18"/>
          <w:lang w:val="en-IE" w:bidi="en-US"/>
        </w:rPr>
        <w:t xml:space="preserve">outbreaks </w:t>
      </w:r>
      <w:r w:rsidRPr="005B6712">
        <w:rPr>
          <w:rFonts w:ascii="Arial" w:eastAsia="Times New Roman" w:hAnsi="Arial" w:cs="Times New Roman"/>
          <w:bCs/>
          <w:sz w:val="18"/>
          <w:szCs w:val="18"/>
          <w:highlight w:val="yellow"/>
          <w:u w:val="double"/>
          <w:lang w:val="en-IE" w:bidi="en-US"/>
        </w:rPr>
        <w:t>of infection with VHSV</w:t>
      </w:r>
      <w:r>
        <w:rPr>
          <w:rFonts w:ascii="Arial" w:eastAsia="Times New Roman" w:hAnsi="Arial" w:cs="Times New Roman"/>
          <w:bCs/>
          <w:sz w:val="18"/>
          <w:szCs w:val="18"/>
          <w:lang w:val="en-IE" w:bidi="en-US"/>
        </w:rPr>
        <w:t xml:space="preserve"> </w:t>
      </w:r>
      <w:r w:rsidRPr="00F247CF">
        <w:rPr>
          <w:rFonts w:ascii="Arial" w:eastAsia="Times New Roman" w:hAnsi="Arial" w:cs="Times New Roman"/>
          <w:bCs/>
          <w:sz w:val="18"/>
          <w:szCs w:val="18"/>
          <w:lang w:val="en-IE" w:bidi="en-US"/>
        </w:rPr>
        <w:t>occurred in Finland in sea-reared rainbow trout in 2000</w:t>
      </w:r>
      <w:r w:rsidRPr="005B6712">
        <w:rPr>
          <w:rFonts w:ascii="Arial" w:eastAsia="Times New Roman" w:hAnsi="Arial" w:cs="Times New Roman"/>
          <w:bCs/>
          <w:sz w:val="18"/>
          <w:szCs w:val="18"/>
          <w:highlight w:val="yellow"/>
          <w:u w:val="double"/>
          <w:lang w:val="en-IE" w:bidi="en-US"/>
        </w:rPr>
        <w:t xml:space="preserve">. These outbreaks </w:t>
      </w:r>
      <w:r w:rsidRPr="00BF51FB">
        <w:rPr>
          <w:rFonts w:ascii="Arial" w:eastAsia="Times New Roman" w:hAnsi="Arial" w:cs="Times New Roman"/>
          <w:bCs/>
          <w:sz w:val="18"/>
          <w:szCs w:val="18"/>
          <w:highlight w:val="yellow"/>
          <w:u w:val="double"/>
          <w:lang w:val="en-IE" w:bidi="en-US"/>
        </w:rPr>
        <w:t>occurred in</w:t>
      </w:r>
      <w:r w:rsidRPr="00BF51FB">
        <w:rPr>
          <w:rFonts w:ascii="Arial" w:eastAsia="Times New Roman" w:hAnsi="Arial" w:cs="Times New Roman"/>
          <w:bCs/>
          <w:sz w:val="18"/>
          <w:szCs w:val="18"/>
          <w:highlight w:val="yellow"/>
          <w:lang w:val="en-IE" w:bidi="en-US"/>
        </w:rPr>
        <w:t xml:space="preserve"> </w:t>
      </w:r>
      <w:r w:rsidRPr="00BF51FB">
        <w:rPr>
          <w:rFonts w:ascii="Arial" w:eastAsia="Times New Roman" w:hAnsi="Arial" w:cs="Times New Roman"/>
          <w:bCs/>
          <w:strike/>
          <w:sz w:val="18"/>
          <w:szCs w:val="18"/>
          <w:highlight w:val="yellow"/>
          <w:lang w:val="en-IE" w:bidi="en-US"/>
        </w:rPr>
        <w:t>at</w:t>
      </w:r>
      <w:r w:rsidRPr="00BF51FB">
        <w:rPr>
          <w:rFonts w:ascii="Arial" w:eastAsia="Times New Roman" w:hAnsi="Arial" w:cs="Times New Roman"/>
          <w:bCs/>
          <w:strike/>
          <w:sz w:val="18"/>
          <w:szCs w:val="18"/>
          <w:lang w:val="en-IE" w:bidi="en-US"/>
        </w:rPr>
        <w:t xml:space="preserve"> </w:t>
      </w:r>
      <w:r w:rsidRPr="00F247CF">
        <w:rPr>
          <w:rFonts w:ascii="Arial" w:eastAsia="Times New Roman" w:hAnsi="Arial" w:cs="Times New Roman"/>
          <w:bCs/>
          <w:sz w:val="18"/>
          <w:szCs w:val="18"/>
          <w:lang w:val="en-IE" w:bidi="en-US"/>
        </w:rPr>
        <w:t xml:space="preserve">two different areas </w:t>
      </w:r>
      <w:r w:rsidRPr="005B6712">
        <w:rPr>
          <w:rFonts w:ascii="Arial" w:eastAsia="Times New Roman" w:hAnsi="Arial" w:cs="Times New Roman"/>
          <w:bCs/>
          <w:strike/>
          <w:sz w:val="18"/>
          <w:szCs w:val="18"/>
          <w:highlight w:val="yellow"/>
          <w:lang w:val="en-IE" w:bidi="en-US"/>
        </w:rPr>
        <w:t>where</w:t>
      </w:r>
      <w:r w:rsidRPr="004A34F2">
        <w:rPr>
          <w:rFonts w:ascii="Arial" w:eastAsia="Times New Roman" w:hAnsi="Arial" w:cs="Times New Roman"/>
          <w:bCs/>
          <w:strike/>
          <w:sz w:val="18"/>
          <w:szCs w:val="18"/>
          <w:highlight w:val="yellow"/>
          <w:lang w:val="en-IE" w:bidi="en-US"/>
        </w:rPr>
        <w:t xml:space="preserve"> </w:t>
      </w:r>
      <w:r w:rsidRPr="005B6712">
        <w:rPr>
          <w:rFonts w:ascii="Arial" w:eastAsia="Times New Roman" w:hAnsi="Arial" w:cs="Times New Roman"/>
          <w:bCs/>
          <w:sz w:val="18"/>
          <w:szCs w:val="18"/>
          <w:highlight w:val="yellow"/>
          <w:u w:val="double"/>
          <w:lang w:val="en-IE" w:bidi="en-US"/>
        </w:rPr>
        <w:t>and</w:t>
      </w:r>
      <w:r w:rsidRPr="005B6712">
        <w:rPr>
          <w:rFonts w:ascii="Arial" w:eastAsia="Times New Roman" w:hAnsi="Arial" w:cs="Times New Roman"/>
          <w:bCs/>
          <w:sz w:val="18"/>
          <w:szCs w:val="18"/>
          <w:lang w:val="en-IE" w:bidi="en-US"/>
        </w:rPr>
        <w:t xml:space="preserve"> </w:t>
      </w:r>
      <w:r w:rsidRPr="00F247CF">
        <w:rPr>
          <w:rFonts w:ascii="Arial" w:eastAsia="Times New Roman" w:hAnsi="Arial" w:cs="Times New Roman"/>
          <w:bCs/>
          <w:sz w:val="18"/>
          <w:szCs w:val="18"/>
          <w:lang w:val="en-IE" w:bidi="en-US"/>
        </w:rPr>
        <w:t xml:space="preserve">all </w:t>
      </w:r>
      <w:r w:rsidRPr="005B6712">
        <w:rPr>
          <w:rFonts w:ascii="Arial" w:eastAsia="Times New Roman" w:hAnsi="Arial" w:cs="Times New Roman"/>
          <w:bCs/>
          <w:sz w:val="18"/>
          <w:szCs w:val="18"/>
          <w:highlight w:val="yellow"/>
          <w:u w:val="double"/>
          <w:lang w:val="en-IE" w:bidi="en-US"/>
        </w:rPr>
        <w:t>of the</w:t>
      </w:r>
      <w:r w:rsidRPr="005B6712">
        <w:rPr>
          <w:rFonts w:ascii="Arial" w:eastAsia="Times New Roman" w:hAnsi="Arial" w:cs="Times New Roman"/>
          <w:bCs/>
          <w:sz w:val="18"/>
          <w:szCs w:val="18"/>
          <w:lang w:val="en-IE" w:bidi="en-US"/>
        </w:rPr>
        <w:t xml:space="preserve"> </w:t>
      </w:r>
      <w:r w:rsidRPr="00F247CF">
        <w:rPr>
          <w:rFonts w:ascii="Arial" w:eastAsia="Times New Roman" w:hAnsi="Arial" w:cs="Times New Roman"/>
          <w:bCs/>
          <w:sz w:val="18"/>
          <w:szCs w:val="18"/>
          <w:lang w:val="en-IE" w:bidi="en-US"/>
        </w:rPr>
        <w:t xml:space="preserve">isolates sampled </w:t>
      </w:r>
      <w:r w:rsidRPr="005B6712">
        <w:rPr>
          <w:rFonts w:ascii="Arial" w:eastAsia="Times New Roman" w:hAnsi="Arial" w:cs="Times New Roman"/>
          <w:bCs/>
          <w:sz w:val="18"/>
          <w:szCs w:val="18"/>
          <w:highlight w:val="yellow"/>
          <w:u w:val="double"/>
          <w:lang w:val="en-IE" w:bidi="en-US"/>
        </w:rPr>
        <w:t>were</w:t>
      </w:r>
      <w:r w:rsidRPr="005B6712">
        <w:rPr>
          <w:rFonts w:ascii="Arial" w:eastAsia="Times New Roman" w:hAnsi="Arial" w:cs="Times New Roman"/>
          <w:bCs/>
          <w:sz w:val="18"/>
          <w:szCs w:val="18"/>
          <w:highlight w:val="yellow"/>
          <w:lang w:val="en-IE" w:bidi="en-US"/>
        </w:rPr>
        <w:t xml:space="preserve"> </w:t>
      </w:r>
      <w:r w:rsidRPr="004A34F2">
        <w:rPr>
          <w:rFonts w:ascii="Arial" w:eastAsia="Times New Roman" w:hAnsi="Arial" w:cs="Times New Roman"/>
          <w:bCs/>
          <w:strike/>
          <w:sz w:val="18"/>
          <w:szCs w:val="18"/>
          <w:highlight w:val="yellow"/>
          <w:lang w:val="en-IE" w:bidi="en-US"/>
        </w:rPr>
        <w:t>proved to</w:t>
      </w:r>
      <w:r w:rsidRPr="004A34F2">
        <w:rPr>
          <w:rFonts w:ascii="Arial" w:eastAsia="Times New Roman" w:hAnsi="Arial" w:cs="Times New Roman"/>
          <w:bCs/>
          <w:strike/>
          <w:sz w:val="18"/>
          <w:szCs w:val="18"/>
          <w:lang w:val="en-IE" w:bidi="en-US"/>
        </w:rPr>
        <w:t xml:space="preserve"> </w:t>
      </w:r>
      <w:r w:rsidRPr="00F247CF">
        <w:rPr>
          <w:rFonts w:ascii="Arial" w:eastAsia="Times New Roman" w:hAnsi="Arial" w:cs="Times New Roman"/>
          <w:bCs/>
          <w:sz w:val="18"/>
          <w:szCs w:val="18"/>
          <w:lang w:val="en-IE" w:bidi="en-US"/>
        </w:rPr>
        <w:t>cluster</w:t>
      </w:r>
      <w:r w:rsidRPr="00E07C9E">
        <w:rPr>
          <w:rFonts w:ascii="Arial" w:eastAsia="Times New Roman" w:hAnsi="Arial" w:cs="Times New Roman"/>
          <w:bCs/>
          <w:sz w:val="18"/>
          <w:szCs w:val="18"/>
          <w:highlight w:val="yellow"/>
          <w:u w:val="double"/>
          <w:lang w:val="en-IE" w:bidi="en-US"/>
        </w:rPr>
        <w:t>ed</w:t>
      </w:r>
      <w:r w:rsidRPr="00F247CF">
        <w:rPr>
          <w:rFonts w:ascii="Arial" w:eastAsia="Times New Roman" w:hAnsi="Arial" w:cs="Times New Roman"/>
          <w:bCs/>
          <w:sz w:val="18"/>
          <w:szCs w:val="18"/>
          <w:lang w:val="en-IE" w:bidi="en-US"/>
        </w:rPr>
        <w:t xml:space="preserve"> in the Id genotype </w:t>
      </w:r>
      <w:r w:rsidRPr="00E07C9E">
        <w:rPr>
          <w:rFonts w:ascii="Arial" w:eastAsia="Times New Roman" w:hAnsi="Arial" w:cs="Times New Roman"/>
          <w:bCs/>
          <w:sz w:val="18"/>
          <w:szCs w:val="18"/>
          <w:highlight w:val="yellow"/>
          <w:u w:val="double"/>
          <w:lang w:val="en-IE" w:bidi="en-US"/>
        </w:rPr>
        <w:t>group</w:t>
      </w:r>
      <w:r w:rsidRPr="00E07C9E">
        <w:rPr>
          <w:rFonts w:ascii="Arial" w:eastAsia="Times New Roman" w:hAnsi="Arial" w:cs="Times New Roman"/>
          <w:bCs/>
          <w:sz w:val="18"/>
          <w:szCs w:val="18"/>
          <w:highlight w:val="yellow"/>
          <w:lang w:val="en-IE" w:bidi="en-US"/>
        </w:rPr>
        <w:t>.</w:t>
      </w:r>
      <w:r w:rsidRPr="00F247CF">
        <w:rPr>
          <w:rFonts w:ascii="Arial" w:eastAsia="Times New Roman" w:hAnsi="Arial" w:cs="Times New Roman"/>
          <w:bCs/>
          <w:sz w:val="18"/>
          <w:szCs w:val="18"/>
          <w:lang w:val="en-IE" w:bidi="en-US"/>
        </w:rPr>
        <w:t xml:space="preserve"> In infection trials, it was demonstrated that the isolates were pathogenic to rainbow trout, but less virulent</w:t>
      </w:r>
      <w:r w:rsidRPr="00D403F5">
        <w:rPr>
          <w:rFonts w:ascii="Arial" w:eastAsia="Times New Roman" w:hAnsi="Arial" w:cs="Times New Roman"/>
          <w:bCs/>
          <w:sz w:val="18"/>
          <w:szCs w:val="18"/>
          <w:lang w:val="en-IE" w:bidi="en-US"/>
        </w:rPr>
        <w:t xml:space="preserve"> than most Ia isolates (</w:t>
      </w:r>
      <w:r w:rsidRPr="007B73F2">
        <w:rPr>
          <w:rFonts w:ascii="Arial" w:eastAsia="Times New Roman" w:hAnsi="Arial" w:cs="Times New Roman"/>
          <w:bCs/>
          <w:sz w:val="18"/>
          <w:szCs w:val="18"/>
          <w:lang w:val="en-IE" w:bidi="en-US"/>
        </w:rPr>
        <w:t xml:space="preserve">Raja-Halli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2006).</w:t>
      </w:r>
    </w:p>
    <w:p w14:paraId="7D617B3A" w14:textId="0F4861C3" w:rsidR="008A67C2" w:rsidRPr="000D7670" w:rsidRDefault="008A67C2" w:rsidP="000A4E1E">
      <w:pPr>
        <w:spacing w:after="480" w:line="240" w:lineRule="auto"/>
      </w:pPr>
      <w:r w:rsidRPr="000D7670">
        <w:rPr>
          <w:u w:val="single"/>
        </w:rPr>
        <w:br w:type="page"/>
      </w:r>
      <w:r w:rsidRPr="000D7670">
        <w:rPr>
          <w:u w:val="single"/>
        </w:rPr>
        <w:lastRenderedPageBreak/>
        <w:t>A</w:t>
      </w:r>
      <w:r w:rsidRPr="000D7670">
        <w:rPr>
          <w:rFonts w:cs="Times New Roman"/>
          <w:bCs/>
          <w:iCs/>
          <w:szCs w:val="20"/>
          <w:u w:val="single"/>
        </w:rPr>
        <w:t>nnex 14</w:t>
      </w:r>
      <w:r w:rsidRPr="000D7670">
        <w:rPr>
          <w:rFonts w:cs="Times New Roman"/>
          <w:bCs/>
          <w:iCs/>
          <w:szCs w:val="20"/>
        </w:rPr>
        <w:t xml:space="preserve"> (contd)</w:t>
      </w:r>
    </w:p>
    <w:p w14:paraId="70BED8B1" w14:textId="77777777" w:rsidR="00E65E42" w:rsidRPr="000D7670" w:rsidRDefault="00E65E42" w:rsidP="000A4E1E">
      <w:pPr>
        <w:spacing w:after="120" w:line="240" w:lineRule="auto"/>
        <w:ind w:left="1276" w:hanging="425"/>
        <w:jc w:val="both"/>
        <w:rPr>
          <w:rFonts w:ascii="Arial" w:eastAsia="MS Mincho" w:hAnsi="Arial" w:cs="Arial"/>
          <w:sz w:val="18"/>
          <w:szCs w:val="18"/>
        </w:rPr>
      </w:pPr>
      <w:r w:rsidRPr="000D7670">
        <w:rPr>
          <w:rFonts w:ascii="Arial" w:eastAsia="MS Mincho" w:hAnsi="Arial" w:cs="Arial"/>
          <w:sz w:val="18"/>
          <w:szCs w:val="18"/>
        </w:rPr>
        <w:t>v)</w:t>
      </w:r>
      <w:r w:rsidRPr="000D7670">
        <w:rPr>
          <w:rFonts w:ascii="Arial" w:eastAsia="MS Mincho" w:hAnsi="Arial" w:cs="Arial"/>
          <w:sz w:val="18"/>
          <w:szCs w:val="18"/>
        </w:rPr>
        <w:tab/>
        <w:t>Genotype Ie</w:t>
      </w:r>
    </w:p>
    <w:p w14:paraId="648BF6EF" w14:textId="77777777" w:rsidR="00E65E42" w:rsidRPr="00BF51FB" w:rsidRDefault="00E65E42" w:rsidP="008A67C2">
      <w:pPr>
        <w:spacing w:after="120" w:line="240" w:lineRule="auto"/>
        <w:ind w:left="1276"/>
        <w:jc w:val="both"/>
        <w:rPr>
          <w:rFonts w:ascii="Arial" w:eastAsia="Times New Roman" w:hAnsi="Arial" w:cs="Times New Roman"/>
          <w:bCs/>
          <w:sz w:val="18"/>
          <w:szCs w:val="18"/>
          <w:lang w:val="en-IE" w:bidi="en-US"/>
        </w:rPr>
      </w:pPr>
      <w:r w:rsidRPr="00BF51FB">
        <w:rPr>
          <w:rFonts w:ascii="Arial" w:eastAsia="Times New Roman" w:hAnsi="Arial" w:cs="Times New Roman"/>
          <w:bCs/>
          <w:sz w:val="18"/>
          <w:szCs w:val="18"/>
          <w:lang w:val="en-IE" w:bidi="en-US"/>
        </w:rPr>
        <w:t>The</w:t>
      </w:r>
      <w:r w:rsidRPr="00BF51FB">
        <w:rPr>
          <w:rFonts w:ascii="Arial" w:eastAsia="Times New Roman" w:hAnsi="Arial" w:cs="Times New Roman"/>
          <w:bCs/>
          <w:strike/>
          <w:sz w:val="18"/>
          <w:szCs w:val="18"/>
          <w:highlight w:val="yellow"/>
          <w:lang w:val="en-IE" w:bidi="en-US"/>
        </w:rPr>
        <w:t>se</w:t>
      </w:r>
      <w:r w:rsidRPr="00BF51FB">
        <w:rPr>
          <w:rFonts w:ascii="Arial" w:eastAsia="Times New Roman" w:hAnsi="Arial" w:cs="Times New Roman"/>
          <w:bCs/>
          <w:sz w:val="18"/>
          <w:szCs w:val="18"/>
          <w:lang w:val="en-IE" w:bidi="en-US"/>
        </w:rPr>
        <w:t xml:space="preserve"> isolates </w:t>
      </w:r>
      <w:r w:rsidRPr="00BF51FB">
        <w:rPr>
          <w:rFonts w:ascii="Arial" w:eastAsia="Times New Roman" w:hAnsi="Arial" w:cs="Times New Roman"/>
          <w:bCs/>
          <w:sz w:val="18"/>
          <w:szCs w:val="18"/>
          <w:highlight w:val="yellow"/>
          <w:u w:val="double"/>
          <w:lang w:val="en-IE" w:bidi="en-US"/>
        </w:rPr>
        <w:t>included in this genotype</w:t>
      </w:r>
      <w:r w:rsidRPr="00BF51FB">
        <w:rPr>
          <w:rFonts w:ascii="Arial" w:eastAsia="Times New Roman" w:hAnsi="Arial" w:cs="Times New Roman"/>
          <w:bCs/>
          <w:sz w:val="18"/>
          <w:szCs w:val="18"/>
          <w:lang w:val="en-IE" w:bidi="en-US"/>
        </w:rPr>
        <w:t xml:space="preserve"> have been obtained from both freshwater and marine (the Black Sea) environments in Georgia and Turkey. Isolations were from both farmed and wild turbot (</w:t>
      </w:r>
      <w:r w:rsidRPr="007B73F2">
        <w:rPr>
          <w:rFonts w:ascii="Arial" w:eastAsia="Times New Roman" w:hAnsi="Arial" w:cs="Times New Roman"/>
          <w:bCs/>
          <w:sz w:val="18"/>
          <w:szCs w:val="18"/>
          <w:lang w:val="en-IE" w:bidi="en-US"/>
        </w:rPr>
        <w:t xml:space="preserve">Jonstrup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2009; Kalayci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2006; Nishizawa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2006) and from rainbow trout (Einer-Jensen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2004</w:t>
      </w:r>
      <w:r w:rsidRPr="00BF51FB">
        <w:rPr>
          <w:rFonts w:ascii="Arial" w:eastAsia="Times New Roman" w:hAnsi="Arial" w:cs="Times New Roman"/>
          <w:bCs/>
          <w:sz w:val="18"/>
          <w:szCs w:val="18"/>
          <w:lang w:val="en-IE" w:bidi="en-US"/>
        </w:rPr>
        <w:t xml:space="preserve">). VHSV Ie has also been </w:t>
      </w:r>
      <w:r w:rsidRPr="00BF51FB">
        <w:rPr>
          <w:rFonts w:ascii="Arial" w:eastAsia="Times New Roman" w:hAnsi="Arial" w:cs="Times New Roman"/>
          <w:bCs/>
          <w:strike/>
          <w:sz w:val="18"/>
          <w:szCs w:val="18"/>
          <w:highlight w:val="yellow"/>
          <w:lang w:val="en-IE" w:bidi="en-US"/>
        </w:rPr>
        <w:t xml:space="preserve">identified </w:t>
      </w:r>
      <w:r w:rsidRPr="00BF51FB">
        <w:rPr>
          <w:rFonts w:ascii="Arial" w:eastAsia="Times New Roman" w:hAnsi="Arial" w:cs="Times New Roman"/>
          <w:bCs/>
          <w:sz w:val="18"/>
          <w:szCs w:val="18"/>
          <w:highlight w:val="yellow"/>
          <w:u w:val="double"/>
          <w:lang w:val="en-IE" w:bidi="en-US"/>
        </w:rPr>
        <w:t>isolated from</w:t>
      </w:r>
      <w:r w:rsidRPr="00BF51FB">
        <w:rPr>
          <w:rFonts w:ascii="Arial" w:eastAsia="Times New Roman" w:hAnsi="Arial" w:cs="Times New Roman"/>
          <w:bCs/>
          <w:strike/>
          <w:sz w:val="18"/>
          <w:szCs w:val="18"/>
          <w:highlight w:val="yellow"/>
          <w:lang w:val="en-IE" w:bidi="en-US"/>
        </w:rPr>
        <w:t xml:space="preserve"> in</w:t>
      </w:r>
      <w:r w:rsidRPr="00BF51FB">
        <w:rPr>
          <w:rFonts w:ascii="Arial" w:eastAsia="Times New Roman" w:hAnsi="Arial" w:cs="Times New Roman"/>
          <w:bCs/>
          <w:sz w:val="18"/>
          <w:szCs w:val="18"/>
          <w:lang w:val="en-IE" w:bidi="en-US"/>
        </w:rPr>
        <w:t xml:space="preserve"> whiting (</w:t>
      </w:r>
      <w:r w:rsidRPr="00BF51FB">
        <w:rPr>
          <w:rFonts w:ascii="Arial" w:eastAsia="Times New Roman" w:hAnsi="Arial" w:cs="Times New Roman"/>
          <w:bCs/>
          <w:i/>
          <w:sz w:val="18"/>
          <w:szCs w:val="18"/>
          <w:lang w:val="en-IE" w:bidi="en-US"/>
        </w:rPr>
        <w:t>Merlangius merlangus</w:t>
      </w:r>
      <w:r w:rsidRPr="00BF51FB">
        <w:rPr>
          <w:rFonts w:ascii="Arial" w:eastAsia="Times New Roman" w:hAnsi="Arial" w:cs="Times New Roman"/>
          <w:bCs/>
          <w:sz w:val="18"/>
          <w:szCs w:val="18"/>
          <w:lang w:val="en-IE" w:bidi="en-US"/>
        </w:rPr>
        <w:t>) and sea bass (</w:t>
      </w:r>
      <w:r w:rsidRPr="00BF51FB">
        <w:rPr>
          <w:rFonts w:ascii="Arial" w:eastAsia="Times New Roman" w:hAnsi="Arial" w:cs="Times New Roman"/>
          <w:bCs/>
          <w:i/>
          <w:sz w:val="18"/>
          <w:szCs w:val="18"/>
          <w:lang w:val="en-IE" w:bidi="en-US"/>
        </w:rPr>
        <w:t>Dicentrarchus labrax</w:t>
      </w:r>
      <w:r w:rsidRPr="00BF51FB">
        <w:rPr>
          <w:rFonts w:ascii="Arial" w:eastAsia="Times New Roman" w:hAnsi="Arial" w:cs="Times New Roman"/>
          <w:bCs/>
          <w:sz w:val="18"/>
          <w:szCs w:val="18"/>
          <w:lang w:val="en-IE" w:bidi="en-US"/>
        </w:rPr>
        <w:t xml:space="preserve">) </w:t>
      </w:r>
      <w:r w:rsidRPr="00BF51FB">
        <w:rPr>
          <w:rFonts w:ascii="Arial" w:eastAsia="Times New Roman" w:hAnsi="Arial" w:cs="Times New Roman"/>
          <w:bCs/>
          <w:strike/>
          <w:sz w:val="18"/>
          <w:szCs w:val="18"/>
          <w:highlight w:val="yellow"/>
          <w:lang w:val="en-IE" w:bidi="en-US"/>
        </w:rPr>
        <w:t xml:space="preserve">from </w:t>
      </w:r>
      <w:r w:rsidRPr="00BF51FB">
        <w:rPr>
          <w:rFonts w:ascii="Arial" w:eastAsia="Times New Roman" w:hAnsi="Arial" w:cs="Times New Roman"/>
          <w:bCs/>
          <w:sz w:val="18"/>
          <w:szCs w:val="18"/>
          <w:highlight w:val="yellow"/>
          <w:u w:val="double"/>
          <w:lang w:val="en-IE" w:bidi="en-US"/>
        </w:rPr>
        <w:t>in</w:t>
      </w:r>
      <w:r w:rsidRPr="00BF51FB">
        <w:rPr>
          <w:rFonts w:ascii="Arial" w:eastAsia="Times New Roman" w:hAnsi="Arial" w:cs="Times New Roman"/>
          <w:bCs/>
          <w:sz w:val="18"/>
          <w:szCs w:val="18"/>
          <w:lang w:val="en-IE" w:bidi="en-US"/>
        </w:rPr>
        <w:t xml:space="preserve"> the Black Sea (</w:t>
      </w:r>
      <w:r w:rsidRPr="007B73F2">
        <w:rPr>
          <w:rFonts w:ascii="Arial" w:eastAsia="Times New Roman" w:hAnsi="Arial" w:cs="Times New Roman"/>
          <w:bCs/>
          <w:sz w:val="18"/>
          <w:szCs w:val="18"/>
          <w:lang w:val="en-IE" w:bidi="en-US"/>
        </w:rPr>
        <w:t>Altuntas &amp; Ogut, 2010</w:t>
      </w:r>
      <w:r w:rsidRPr="00BF51FB">
        <w:rPr>
          <w:rFonts w:ascii="Arial" w:eastAsia="Times New Roman" w:hAnsi="Arial" w:cs="Times New Roman"/>
          <w:bCs/>
          <w:sz w:val="18"/>
          <w:szCs w:val="18"/>
          <w:lang w:val="en-IE" w:bidi="en-US"/>
        </w:rPr>
        <w:t>).</w:t>
      </w:r>
    </w:p>
    <w:p w14:paraId="688D19BF" w14:textId="77777777" w:rsidR="00E65E42" w:rsidRPr="00BF51FB" w:rsidRDefault="00E65E42" w:rsidP="000A4E1E">
      <w:pPr>
        <w:spacing w:after="120" w:line="240" w:lineRule="auto"/>
        <w:ind w:left="1276" w:hanging="425"/>
        <w:jc w:val="both"/>
        <w:rPr>
          <w:rFonts w:ascii="Arial" w:eastAsia="MS Mincho" w:hAnsi="Arial" w:cs="Arial"/>
          <w:sz w:val="18"/>
          <w:szCs w:val="18"/>
          <w:lang w:val="en-IE"/>
        </w:rPr>
      </w:pPr>
      <w:r w:rsidRPr="00BF51FB">
        <w:rPr>
          <w:rFonts w:ascii="Arial" w:eastAsia="MS Mincho" w:hAnsi="Arial" w:cs="Arial"/>
          <w:sz w:val="18"/>
          <w:szCs w:val="18"/>
          <w:lang w:val="en-IE"/>
        </w:rPr>
        <w:t>vi)</w:t>
      </w:r>
      <w:r w:rsidRPr="00BF51FB">
        <w:rPr>
          <w:rFonts w:ascii="Arial" w:eastAsia="MS Mincho" w:hAnsi="Arial" w:cs="Arial"/>
          <w:sz w:val="18"/>
          <w:szCs w:val="18"/>
          <w:lang w:val="en-IE"/>
        </w:rPr>
        <w:tab/>
        <w:t>Genotype II</w:t>
      </w:r>
    </w:p>
    <w:p w14:paraId="082195F2" w14:textId="77777777" w:rsidR="00E65E42" w:rsidRPr="00BF51FB" w:rsidRDefault="00E65E42" w:rsidP="008A67C2">
      <w:pPr>
        <w:spacing w:after="120" w:line="240" w:lineRule="auto"/>
        <w:ind w:left="1276"/>
        <w:jc w:val="both"/>
        <w:rPr>
          <w:rFonts w:ascii="Arial" w:eastAsia="Times New Roman" w:hAnsi="Arial" w:cs="Arial"/>
          <w:bCs/>
          <w:sz w:val="18"/>
          <w:szCs w:val="18"/>
          <w:lang w:val="en-IE" w:bidi="en-US"/>
        </w:rPr>
      </w:pPr>
      <w:r w:rsidRPr="00BF51FB">
        <w:rPr>
          <w:rFonts w:ascii="Arial" w:eastAsia="Times New Roman" w:hAnsi="Arial" w:cs="Times New Roman"/>
          <w:bCs/>
          <w:sz w:val="18"/>
          <w:szCs w:val="18"/>
          <w:lang w:val="en-IE" w:bidi="en-US"/>
        </w:rPr>
        <w:t xml:space="preserve">The </w:t>
      </w:r>
      <w:r w:rsidRPr="00BF51FB">
        <w:rPr>
          <w:rFonts w:ascii="Arial" w:eastAsia="Times New Roman" w:hAnsi="Arial" w:cs="Times New Roman"/>
          <w:bCs/>
          <w:strike/>
          <w:sz w:val="18"/>
          <w:szCs w:val="18"/>
          <w:highlight w:val="yellow"/>
          <w:lang w:val="en-IE" w:bidi="en-US"/>
        </w:rPr>
        <w:t xml:space="preserve">members </w:t>
      </w:r>
      <w:r w:rsidRPr="00BF51FB">
        <w:rPr>
          <w:rFonts w:ascii="Arial" w:eastAsia="Times New Roman" w:hAnsi="Arial" w:cs="Times New Roman"/>
          <w:bCs/>
          <w:sz w:val="18"/>
          <w:szCs w:val="18"/>
          <w:highlight w:val="yellow"/>
          <w:u w:val="double"/>
          <w:lang w:val="en-IE" w:bidi="en-US"/>
        </w:rPr>
        <w:t>isolates</w:t>
      </w:r>
      <w:r w:rsidRPr="00BF51FB">
        <w:rPr>
          <w:rFonts w:ascii="Arial" w:eastAsia="Times New Roman" w:hAnsi="Arial" w:cs="Times New Roman"/>
          <w:bCs/>
          <w:sz w:val="18"/>
          <w:szCs w:val="18"/>
          <w:highlight w:val="yellow"/>
          <w:lang w:val="en-IE" w:bidi="en-US"/>
        </w:rPr>
        <w:t xml:space="preserve"> </w:t>
      </w:r>
      <w:r w:rsidRPr="00BF51FB">
        <w:rPr>
          <w:rFonts w:ascii="Arial" w:eastAsia="Times New Roman" w:hAnsi="Arial" w:cs="Times New Roman"/>
          <w:bCs/>
          <w:sz w:val="18"/>
          <w:szCs w:val="18"/>
          <w:highlight w:val="yellow"/>
          <w:u w:val="double"/>
          <w:lang w:val="en-IE" w:bidi="en-US"/>
        </w:rPr>
        <w:t>included in</w:t>
      </w:r>
      <w:r w:rsidRPr="00BF51FB">
        <w:rPr>
          <w:rFonts w:ascii="Arial" w:eastAsia="Times New Roman" w:hAnsi="Arial" w:cs="Times New Roman"/>
          <w:bCs/>
          <w:sz w:val="18"/>
          <w:szCs w:val="18"/>
          <w:highlight w:val="yellow"/>
          <w:lang w:val="en-IE" w:bidi="en-US"/>
        </w:rPr>
        <w:t xml:space="preserve"> </w:t>
      </w:r>
      <w:r w:rsidRPr="00BF51FB">
        <w:rPr>
          <w:rFonts w:ascii="Arial" w:eastAsia="Times New Roman" w:hAnsi="Arial" w:cs="Times New Roman"/>
          <w:bCs/>
          <w:strike/>
          <w:sz w:val="18"/>
          <w:szCs w:val="18"/>
          <w:highlight w:val="yellow"/>
          <w:lang w:val="en-IE" w:bidi="en-US"/>
        </w:rPr>
        <w:t>of</w:t>
      </w:r>
      <w:r w:rsidRPr="00BF51FB">
        <w:rPr>
          <w:rFonts w:ascii="Arial" w:eastAsia="Times New Roman" w:hAnsi="Arial" w:cs="Times New Roman"/>
          <w:bCs/>
          <w:sz w:val="18"/>
          <w:szCs w:val="18"/>
          <w:lang w:val="en-IE" w:bidi="en-US"/>
        </w:rPr>
        <w:t xml:space="preserve"> this </w:t>
      </w:r>
      <w:r w:rsidRPr="00BF51FB">
        <w:rPr>
          <w:rFonts w:ascii="Arial" w:eastAsia="Times New Roman" w:hAnsi="Arial" w:cs="Times New Roman"/>
          <w:bCs/>
          <w:strike/>
          <w:sz w:val="18"/>
          <w:szCs w:val="18"/>
          <w:highlight w:val="yellow"/>
          <w:lang w:val="en-IE" w:bidi="en-US"/>
        </w:rPr>
        <w:t xml:space="preserve">group </w:t>
      </w:r>
      <w:r w:rsidRPr="00BF51FB">
        <w:rPr>
          <w:rFonts w:ascii="Arial" w:eastAsia="Times New Roman" w:hAnsi="Arial" w:cs="Times New Roman"/>
          <w:bCs/>
          <w:sz w:val="18"/>
          <w:szCs w:val="18"/>
          <w:highlight w:val="yellow"/>
          <w:u w:val="double"/>
          <w:lang w:val="en-IE" w:bidi="en-US"/>
        </w:rPr>
        <w:t>genotype</w:t>
      </w:r>
      <w:r w:rsidRPr="00BF51FB">
        <w:rPr>
          <w:rFonts w:ascii="Arial" w:eastAsia="Times New Roman" w:hAnsi="Arial" w:cs="Times New Roman"/>
          <w:bCs/>
          <w:sz w:val="18"/>
          <w:szCs w:val="18"/>
          <w:highlight w:val="yellow"/>
          <w:lang w:val="en-IE" w:bidi="en-US"/>
        </w:rPr>
        <w:t xml:space="preserve"> </w:t>
      </w:r>
      <w:r w:rsidRPr="00BF51FB">
        <w:rPr>
          <w:rFonts w:ascii="Arial" w:eastAsia="Times New Roman" w:hAnsi="Arial" w:cs="Times New Roman"/>
          <w:bCs/>
          <w:strike/>
          <w:sz w:val="18"/>
          <w:szCs w:val="18"/>
          <w:highlight w:val="yellow"/>
          <w:lang w:val="en-IE" w:bidi="en-US"/>
        </w:rPr>
        <w:t xml:space="preserve">consist of </w:t>
      </w:r>
      <w:r w:rsidRPr="00BF51FB">
        <w:rPr>
          <w:rFonts w:ascii="Arial" w:eastAsia="Times New Roman" w:hAnsi="Arial" w:cs="Times New Roman"/>
          <w:bCs/>
          <w:sz w:val="18"/>
          <w:szCs w:val="18"/>
          <w:highlight w:val="yellow"/>
          <w:u w:val="double"/>
          <w:lang w:val="en-IE" w:bidi="en-US"/>
        </w:rPr>
        <w:t>have been primarily</w:t>
      </w:r>
      <w:r w:rsidRPr="009E0963">
        <w:rPr>
          <w:rFonts w:ascii="Arial" w:eastAsia="Times New Roman" w:hAnsi="Arial" w:cs="Times New Roman"/>
          <w:bCs/>
          <w:sz w:val="18"/>
          <w:szCs w:val="18"/>
          <w:lang w:val="en-IE" w:bidi="en-US"/>
        </w:rPr>
        <w:t xml:space="preserve"> </w:t>
      </w:r>
      <w:r w:rsidRPr="00BF51FB">
        <w:rPr>
          <w:rFonts w:ascii="Arial" w:eastAsia="Times New Roman" w:hAnsi="Arial" w:cs="Times New Roman"/>
          <w:bCs/>
          <w:sz w:val="18"/>
          <w:szCs w:val="18"/>
          <w:lang w:val="en-IE" w:bidi="en-US"/>
        </w:rPr>
        <w:t xml:space="preserve">detected in marine </w:t>
      </w:r>
      <w:r w:rsidRPr="00BF51FB">
        <w:rPr>
          <w:rFonts w:ascii="Arial" w:eastAsia="Times New Roman" w:hAnsi="Arial" w:cs="Times New Roman"/>
          <w:bCs/>
          <w:strike/>
          <w:sz w:val="18"/>
          <w:szCs w:val="18"/>
          <w:highlight w:val="yellow"/>
          <w:lang w:val="en-IE" w:bidi="en-US"/>
        </w:rPr>
        <w:t>isolates from</w:t>
      </w:r>
      <w:r w:rsidRPr="00BF51FB">
        <w:rPr>
          <w:rFonts w:ascii="Arial" w:eastAsia="Times New Roman" w:hAnsi="Arial" w:cs="Times New Roman"/>
          <w:bCs/>
          <w:strike/>
          <w:sz w:val="18"/>
          <w:szCs w:val="18"/>
          <w:lang w:val="en-IE" w:bidi="en-US"/>
        </w:rPr>
        <w:t xml:space="preserve"> </w:t>
      </w:r>
      <w:r w:rsidRPr="00BF51FB">
        <w:rPr>
          <w:rFonts w:ascii="Arial" w:eastAsia="Times New Roman" w:hAnsi="Arial" w:cs="Times New Roman"/>
          <w:bCs/>
          <w:sz w:val="18"/>
          <w:szCs w:val="18"/>
          <w:lang w:val="en-IE" w:bidi="en-US"/>
        </w:rPr>
        <w:t xml:space="preserve">wild fish, </w:t>
      </w:r>
      <w:r w:rsidRPr="00BF51FB">
        <w:rPr>
          <w:rFonts w:ascii="Arial" w:eastAsia="Times New Roman" w:hAnsi="Arial" w:cs="Times New Roman"/>
          <w:bCs/>
          <w:sz w:val="18"/>
          <w:szCs w:val="18"/>
          <w:highlight w:val="yellow"/>
          <w:u w:val="double"/>
          <w:lang w:val="en-IE" w:bidi="en-US"/>
        </w:rPr>
        <w:t>in particular</w:t>
      </w:r>
      <w:r w:rsidRPr="00BF51FB">
        <w:rPr>
          <w:rFonts w:ascii="Arial" w:eastAsia="Times New Roman" w:hAnsi="Arial" w:cs="Times New Roman"/>
          <w:bCs/>
          <w:sz w:val="18"/>
          <w:szCs w:val="18"/>
          <w:highlight w:val="yellow"/>
          <w:lang w:val="en-IE" w:bidi="en-US"/>
        </w:rPr>
        <w:t xml:space="preserve"> </w:t>
      </w:r>
      <w:r w:rsidRPr="00BF51FB">
        <w:rPr>
          <w:rFonts w:ascii="Arial" w:eastAsia="Times New Roman" w:hAnsi="Arial" w:cs="Times New Roman"/>
          <w:bCs/>
          <w:strike/>
          <w:sz w:val="18"/>
          <w:szCs w:val="18"/>
          <w:highlight w:val="yellow"/>
          <w:lang w:val="en-IE" w:bidi="en-US"/>
        </w:rPr>
        <w:t>especially from</w:t>
      </w:r>
      <w:r w:rsidRPr="00BF51FB">
        <w:rPr>
          <w:rFonts w:ascii="Arial" w:eastAsia="Times New Roman" w:hAnsi="Arial" w:cs="Times New Roman"/>
          <w:bCs/>
          <w:strike/>
          <w:sz w:val="18"/>
          <w:szCs w:val="18"/>
          <w:lang w:val="en-IE" w:bidi="en-US"/>
        </w:rPr>
        <w:t xml:space="preserve"> </w:t>
      </w:r>
      <w:r w:rsidRPr="00BF51FB">
        <w:rPr>
          <w:rFonts w:ascii="Arial" w:eastAsia="Times New Roman" w:hAnsi="Arial" w:cs="Times New Roman"/>
          <w:bCs/>
          <w:sz w:val="18"/>
          <w:szCs w:val="18"/>
          <w:lang w:val="en-IE" w:bidi="en-US"/>
        </w:rPr>
        <w:t>Atlantic herring (</w:t>
      </w:r>
      <w:r w:rsidRPr="00BF51FB">
        <w:rPr>
          <w:rFonts w:ascii="Arial" w:eastAsia="Times New Roman" w:hAnsi="Arial" w:cs="Times New Roman"/>
          <w:bCs/>
          <w:i/>
          <w:sz w:val="18"/>
          <w:szCs w:val="18"/>
          <w:lang w:val="en-IE" w:bidi="en-US"/>
        </w:rPr>
        <w:t>Clupea harengus</w:t>
      </w:r>
      <w:r w:rsidRPr="00BF51FB">
        <w:rPr>
          <w:rFonts w:ascii="Arial" w:eastAsia="Times New Roman" w:hAnsi="Arial" w:cs="Times New Roman"/>
          <w:bCs/>
          <w:sz w:val="18"/>
          <w:szCs w:val="18"/>
          <w:lang w:val="en-IE" w:bidi="en-US"/>
        </w:rPr>
        <w:t xml:space="preserve">), </w:t>
      </w:r>
      <w:r w:rsidRPr="00BF51FB">
        <w:rPr>
          <w:rFonts w:ascii="Arial" w:eastAsia="Times New Roman" w:hAnsi="Arial" w:cs="Times New Roman"/>
          <w:bCs/>
          <w:sz w:val="18"/>
          <w:szCs w:val="18"/>
          <w:highlight w:val="yellow"/>
          <w:u w:val="double"/>
          <w:lang w:val="en-IE" w:bidi="en-US"/>
        </w:rPr>
        <w:t>from</w:t>
      </w:r>
      <w:r w:rsidRPr="009E0963">
        <w:rPr>
          <w:rFonts w:ascii="Arial" w:eastAsia="Times New Roman" w:hAnsi="Arial" w:cs="Times New Roman"/>
          <w:bCs/>
          <w:sz w:val="18"/>
          <w:szCs w:val="18"/>
          <w:highlight w:val="yellow"/>
          <w:lang w:val="en-IE" w:bidi="en-US"/>
        </w:rPr>
        <w:t xml:space="preserve"> </w:t>
      </w:r>
      <w:r w:rsidRPr="00BF51FB">
        <w:rPr>
          <w:rFonts w:ascii="Arial" w:eastAsia="Times New Roman" w:hAnsi="Arial" w:cs="Times New Roman"/>
          <w:bCs/>
          <w:strike/>
          <w:sz w:val="18"/>
          <w:szCs w:val="18"/>
          <w:highlight w:val="yellow"/>
          <w:lang w:val="en-IE" w:bidi="en-US"/>
        </w:rPr>
        <w:t xml:space="preserve">in </w:t>
      </w:r>
      <w:r w:rsidRPr="00BF51FB">
        <w:rPr>
          <w:rFonts w:ascii="Arial" w:eastAsia="Times New Roman" w:hAnsi="Arial" w:cs="Times New Roman"/>
          <w:bCs/>
          <w:sz w:val="18"/>
          <w:szCs w:val="18"/>
          <w:lang w:val="en-IE" w:bidi="en-US"/>
        </w:rPr>
        <w:t>the Baltic Sea, including the Gulf of Bothnia and the Gulf of Finland, (</w:t>
      </w:r>
      <w:r w:rsidRPr="007B73F2">
        <w:rPr>
          <w:rFonts w:ascii="Arial" w:eastAsia="Times New Roman" w:hAnsi="Arial" w:cs="Times New Roman"/>
          <w:bCs/>
          <w:sz w:val="18"/>
          <w:szCs w:val="18"/>
          <w:lang w:val="en-IE" w:bidi="en-US"/>
        </w:rPr>
        <w:t xml:space="preserve">Gadd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2011; Snow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2004</w:t>
      </w:r>
      <w:r w:rsidRPr="00BF51FB">
        <w:rPr>
          <w:rFonts w:ascii="Arial" w:eastAsia="Times New Roman" w:hAnsi="Arial" w:cs="Times New Roman"/>
          <w:bCs/>
          <w:sz w:val="18"/>
          <w:szCs w:val="18"/>
          <w:lang w:val="en-IE" w:bidi="en-US"/>
        </w:rPr>
        <w:t xml:space="preserve">). </w:t>
      </w:r>
      <w:r w:rsidRPr="00BF51FB">
        <w:rPr>
          <w:rFonts w:ascii="Arial" w:eastAsia="Times New Roman" w:hAnsi="Arial" w:cs="Times New Roman"/>
          <w:bCs/>
          <w:sz w:val="18"/>
          <w:szCs w:val="18"/>
          <w:highlight w:val="yellow"/>
          <w:u w:val="double"/>
          <w:lang w:val="en-IE" w:bidi="en-US"/>
        </w:rPr>
        <w:t>Genotype II isolates have also been detected</w:t>
      </w:r>
      <w:r w:rsidRPr="00BF51FB">
        <w:rPr>
          <w:rFonts w:ascii="Arial" w:eastAsia="Times New Roman" w:hAnsi="Arial" w:cs="Times New Roman"/>
          <w:bCs/>
          <w:sz w:val="18"/>
          <w:szCs w:val="18"/>
          <w:lang w:val="en-IE" w:bidi="en-US"/>
        </w:rPr>
        <w:t xml:space="preserve"> in lamprey (</w:t>
      </w:r>
      <w:r w:rsidRPr="00BF51FB">
        <w:rPr>
          <w:rFonts w:ascii="Arial" w:eastAsia="Times New Roman" w:hAnsi="Arial" w:cs="Times New Roman"/>
          <w:bCs/>
          <w:i/>
          <w:sz w:val="18"/>
          <w:szCs w:val="18"/>
          <w:lang w:val="en-IE" w:bidi="en-US"/>
        </w:rPr>
        <w:t>Lampetra fluviatilis</w:t>
      </w:r>
      <w:r w:rsidRPr="00BF51FB">
        <w:rPr>
          <w:rFonts w:ascii="Arial" w:eastAsia="Times New Roman" w:hAnsi="Arial" w:cs="Times New Roman"/>
          <w:bCs/>
          <w:sz w:val="18"/>
          <w:szCs w:val="18"/>
          <w:lang w:val="en-IE" w:bidi="en-US"/>
        </w:rPr>
        <w:t xml:space="preserve">) </w:t>
      </w:r>
      <w:r w:rsidRPr="00BF51FB">
        <w:rPr>
          <w:rFonts w:ascii="Arial" w:eastAsia="Times New Roman" w:hAnsi="Arial" w:cs="Times New Roman"/>
          <w:bCs/>
          <w:sz w:val="18"/>
          <w:szCs w:val="18"/>
          <w:highlight w:val="yellow"/>
          <w:u w:val="double"/>
          <w:lang w:val="en-IE" w:bidi="en-US"/>
        </w:rPr>
        <w:t>caught in freshwater</w:t>
      </w:r>
      <w:r w:rsidRPr="00BF51FB">
        <w:rPr>
          <w:rFonts w:ascii="Arial" w:eastAsia="Times New Roman" w:hAnsi="Arial" w:cs="Times New Roman"/>
          <w:bCs/>
          <w:sz w:val="18"/>
          <w:szCs w:val="18"/>
          <w:lang w:val="en-IE" w:bidi="en-US"/>
        </w:rPr>
        <w:t xml:space="preserve"> from the rivers Kalajoki and Lestijoki</w:t>
      </w:r>
      <w:r>
        <w:rPr>
          <w:rFonts w:ascii="Arial" w:eastAsia="Times New Roman" w:hAnsi="Arial" w:cs="Times New Roman"/>
          <w:bCs/>
          <w:sz w:val="18"/>
          <w:szCs w:val="18"/>
          <w:lang w:val="en-IE" w:bidi="en-US"/>
        </w:rPr>
        <w:t>,</w:t>
      </w:r>
      <w:r w:rsidRPr="00BF51FB">
        <w:rPr>
          <w:rFonts w:ascii="Arial" w:eastAsia="Times New Roman" w:hAnsi="Arial" w:cs="Times New Roman"/>
          <w:bCs/>
          <w:sz w:val="18"/>
          <w:szCs w:val="18"/>
          <w:lang w:val="en-IE" w:bidi="en-US"/>
        </w:rPr>
        <w:t xml:space="preserve"> </w:t>
      </w:r>
      <w:r w:rsidRPr="00BF51FB">
        <w:rPr>
          <w:rFonts w:ascii="Arial" w:eastAsia="Times New Roman" w:hAnsi="Arial" w:cs="Times New Roman"/>
          <w:bCs/>
          <w:sz w:val="18"/>
          <w:szCs w:val="18"/>
          <w:highlight w:val="yellow"/>
          <w:u w:val="double"/>
          <w:lang w:val="en-IE" w:bidi="en-US"/>
        </w:rPr>
        <w:t>which</w:t>
      </w:r>
      <w:r w:rsidRPr="00BF51FB">
        <w:rPr>
          <w:rFonts w:ascii="Arial" w:eastAsia="Times New Roman" w:hAnsi="Arial" w:cs="Times New Roman"/>
          <w:bCs/>
          <w:sz w:val="18"/>
          <w:szCs w:val="18"/>
          <w:lang w:val="en-IE" w:bidi="en-US"/>
        </w:rPr>
        <w:t xml:space="preserve"> hav</w:t>
      </w:r>
      <w:r w:rsidRPr="00BF51FB">
        <w:rPr>
          <w:rFonts w:ascii="Arial" w:eastAsia="Times New Roman" w:hAnsi="Arial" w:cs="Times New Roman"/>
          <w:bCs/>
          <w:sz w:val="18"/>
          <w:szCs w:val="18"/>
          <w:highlight w:val="yellow"/>
          <w:u w:val="double"/>
          <w:lang w:val="en-IE" w:bidi="en-US"/>
        </w:rPr>
        <w:t>e</w:t>
      </w:r>
      <w:r w:rsidRPr="00BF51FB">
        <w:rPr>
          <w:rFonts w:ascii="Arial" w:eastAsia="Times New Roman" w:hAnsi="Arial" w:cs="Times New Roman"/>
          <w:bCs/>
          <w:strike/>
          <w:sz w:val="18"/>
          <w:szCs w:val="18"/>
          <w:highlight w:val="yellow"/>
          <w:u w:val="double"/>
          <w:lang w:val="en-IE" w:bidi="en-US"/>
        </w:rPr>
        <w:t>i</w:t>
      </w:r>
      <w:r w:rsidRPr="00BF51FB">
        <w:rPr>
          <w:rFonts w:ascii="Arial" w:eastAsia="Times New Roman" w:hAnsi="Arial" w:cs="Times New Roman"/>
          <w:bCs/>
          <w:strike/>
          <w:sz w:val="18"/>
          <w:szCs w:val="18"/>
          <w:highlight w:val="yellow"/>
          <w:lang w:val="en-IE" w:bidi="en-US"/>
        </w:rPr>
        <w:t>ng</w:t>
      </w:r>
      <w:r w:rsidRPr="00BF51FB">
        <w:rPr>
          <w:rFonts w:ascii="Arial" w:eastAsia="Times New Roman" w:hAnsi="Arial" w:cs="Times New Roman"/>
          <w:bCs/>
          <w:sz w:val="18"/>
          <w:szCs w:val="18"/>
          <w:lang w:val="en-IE" w:bidi="en-US"/>
        </w:rPr>
        <w:t xml:space="preserve"> an outlet into the Gulf of Bothnia (</w:t>
      </w:r>
      <w:r w:rsidRPr="007B73F2">
        <w:rPr>
          <w:rFonts w:ascii="Arial" w:eastAsia="Times New Roman" w:hAnsi="Arial" w:cs="Times New Roman"/>
          <w:bCs/>
          <w:sz w:val="18"/>
          <w:szCs w:val="18"/>
          <w:lang w:val="en-IE" w:bidi="en-US"/>
        </w:rPr>
        <w:t xml:space="preserve">Gadd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2010</w:t>
      </w:r>
      <w:r w:rsidRPr="00BF51FB">
        <w:rPr>
          <w:rFonts w:ascii="Arial" w:eastAsia="Times New Roman" w:hAnsi="Arial" w:cs="Times New Roman"/>
          <w:bCs/>
          <w:sz w:val="18"/>
          <w:szCs w:val="18"/>
          <w:lang w:val="en-IE" w:bidi="en-US"/>
        </w:rPr>
        <w:t>).</w:t>
      </w:r>
    </w:p>
    <w:p w14:paraId="0B822B6D" w14:textId="77777777" w:rsidR="00E65E42" w:rsidRPr="00D403F5" w:rsidRDefault="00E65E42" w:rsidP="000A4E1E">
      <w:pPr>
        <w:spacing w:after="12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vii)</w:t>
      </w:r>
      <w:r w:rsidRPr="00D403F5">
        <w:rPr>
          <w:rFonts w:ascii="Arial" w:eastAsia="MS Mincho" w:hAnsi="Arial" w:cs="Arial"/>
          <w:sz w:val="18"/>
          <w:szCs w:val="18"/>
          <w:lang w:val="en-IE"/>
        </w:rPr>
        <w:tab/>
        <w:t>Genotype III</w:t>
      </w:r>
    </w:p>
    <w:p w14:paraId="1BC8A527" w14:textId="77777777" w:rsidR="00E65E42" w:rsidRPr="00D403F5" w:rsidRDefault="00E65E42" w:rsidP="008A67C2">
      <w:pPr>
        <w:spacing w:after="120" w:line="240" w:lineRule="auto"/>
        <w:ind w:left="1276"/>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The</w:t>
      </w:r>
      <w:r w:rsidRPr="00BF51FB">
        <w:rPr>
          <w:rFonts w:ascii="Arial" w:eastAsia="Times New Roman" w:hAnsi="Arial" w:cs="Times New Roman"/>
          <w:bCs/>
          <w:strike/>
          <w:sz w:val="18"/>
          <w:szCs w:val="18"/>
          <w:highlight w:val="yellow"/>
          <w:lang w:val="en-IE" w:bidi="en-US"/>
        </w:rPr>
        <w:t>se</w:t>
      </w:r>
      <w:r w:rsidRPr="00D403F5">
        <w:rPr>
          <w:rFonts w:ascii="Arial" w:eastAsia="Times New Roman" w:hAnsi="Arial" w:cs="Times New Roman"/>
          <w:bCs/>
          <w:sz w:val="18"/>
          <w:szCs w:val="18"/>
          <w:lang w:val="en-IE" w:bidi="en-US"/>
        </w:rPr>
        <w:t xml:space="preserve"> isolates </w:t>
      </w:r>
      <w:r w:rsidRPr="00BF51FB">
        <w:rPr>
          <w:rFonts w:ascii="Arial" w:eastAsia="Times New Roman" w:hAnsi="Arial" w:cs="Times New Roman"/>
          <w:bCs/>
          <w:sz w:val="18"/>
          <w:szCs w:val="18"/>
          <w:highlight w:val="yellow"/>
          <w:u w:val="double"/>
          <w:lang w:val="en-IE" w:bidi="en-US"/>
        </w:rPr>
        <w:t>included in this genotype</w:t>
      </w:r>
      <w:r>
        <w:rPr>
          <w:rFonts w:ascii="Arial" w:eastAsia="Times New Roman" w:hAnsi="Arial" w:cs="Times New Roman"/>
          <w:bCs/>
          <w:sz w:val="18"/>
          <w:szCs w:val="18"/>
          <w:lang w:val="en-IE" w:bidi="en-US"/>
        </w:rPr>
        <w:t xml:space="preserve"> </w:t>
      </w:r>
      <w:r w:rsidRPr="00D403F5">
        <w:rPr>
          <w:rFonts w:ascii="Arial" w:eastAsia="Times New Roman" w:hAnsi="Arial" w:cs="Times New Roman"/>
          <w:bCs/>
          <w:sz w:val="18"/>
          <w:szCs w:val="18"/>
          <w:lang w:val="en-IE" w:bidi="en-US"/>
        </w:rPr>
        <w:t>originate from wild and farmed fish in the North Atlantic Sea from the Flemish Cap (</w:t>
      </w:r>
      <w:r w:rsidRPr="007B73F2">
        <w:rPr>
          <w:rFonts w:ascii="Arial" w:eastAsia="Times New Roman" w:hAnsi="Arial" w:cs="Times New Roman"/>
          <w:bCs/>
          <w:sz w:val="18"/>
          <w:szCs w:val="18"/>
          <w:lang w:val="en-IE" w:bidi="en-US"/>
        </w:rPr>
        <w:t xml:space="preserve">Lopez-Vazquez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2006b) to the Norwegian coast (Dale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2009</w:t>
      </w:r>
      <w:r w:rsidRPr="00D403F5">
        <w:rPr>
          <w:rFonts w:ascii="Arial" w:eastAsia="Times New Roman" w:hAnsi="Arial" w:cs="Times New Roman"/>
          <w:bCs/>
          <w:sz w:val="18"/>
          <w:szCs w:val="18"/>
          <w:lang w:val="en-IE" w:bidi="en-US"/>
        </w:rPr>
        <w:t xml:space="preserve">), the North Sea, around the British Isles, Skagerrak and Kattegat. </w:t>
      </w:r>
      <w:r w:rsidRPr="001E1BAA">
        <w:rPr>
          <w:rFonts w:ascii="Arial" w:eastAsia="Times New Roman" w:hAnsi="Arial" w:cs="Times New Roman"/>
          <w:bCs/>
          <w:strike/>
          <w:sz w:val="18"/>
          <w:szCs w:val="18"/>
          <w:highlight w:val="yellow"/>
          <w:lang w:val="en-IE" w:bidi="en-US"/>
        </w:rPr>
        <w:t xml:space="preserve">VHS outbreaks </w:t>
      </w:r>
      <w:r w:rsidRPr="001E1BAA">
        <w:rPr>
          <w:rFonts w:ascii="Arial" w:eastAsia="Times New Roman" w:hAnsi="Arial" w:cs="Times New Roman"/>
          <w:bCs/>
          <w:sz w:val="18"/>
          <w:szCs w:val="18"/>
          <w:highlight w:val="yellow"/>
          <w:u w:val="double"/>
          <w:lang w:val="en-IE" w:bidi="en-US"/>
        </w:rPr>
        <w:t xml:space="preserve">Outbreaks </w:t>
      </w:r>
      <w:r w:rsidRPr="00BF51FB">
        <w:rPr>
          <w:rFonts w:ascii="Arial" w:eastAsia="Times New Roman" w:hAnsi="Arial" w:cs="Times New Roman"/>
          <w:bCs/>
          <w:sz w:val="18"/>
          <w:szCs w:val="18"/>
          <w:highlight w:val="yellow"/>
          <w:u w:val="double"/>
          <w:lang w:val="en-IE" w:bidi="en-US"/>
        </w:rPr>
        <w:t>of infection with VHSV</w:t>
      </w:r>
      <w:r>
        <w:rPr>
          <w:rFonts w:ascii="Arial" w:eastAsia="Times New Roman" w:hAnsi="Arial" w:cs="Times New Roman"/>
          <w:bCs/>
          <w:sz w:val="18"/>
          <w:szCs w:val="18"/>
          <w:lang w:val="en-IE" w:bidi="en-US"/>
        </w:rPr>
        <w:t xml:space="preserve"> </w:t>
      </w:r>
      <w:r w:rsidRPr="00D403F5">
        <w:rPr>
          <w:rFonts w:ascii="Arial" w:eastAsia="Times New Roman" w:hAnsi="Arial" w:cs="Times New Roman"/>
          <w:bCs/>
          <w:sz w:val="18"/>
          <w:szCs w:val="18"/>
          <w:lang w:val="en-IE" w:bidi="en-US"/>
        </w:rPr>
        <w:t xml:space="preserve">in farmed turbot in the United Kingdom and Ireland in the 1990s were </w:t>
      </w:r>
      <w:r w:rsidRPr="001E1BAA">
        <w:rPr>
          <w:rFonts w:ascii="Arial" w:eastAsia="Times New Roman" w:hAnsi="Arial" w:cs="Times New Roman"/>
          <w:bCs/>
          <w:sz w:val="18"/>
          <w:szCs w:val="18"/>
          <w:highlight w:val="yellow"/>
          <w:u w:val="double"/>
          <w:lang w:val="en-IE" w:bidi="en-US"/>
        </w:rPr>
        <w:t>attributed</w:t>
      </w:r>
      <w:r w:rsidRPr="001E1BAA">
        <w:rPr>
          <w:rFonts w:ascii="Arial" w:eastAsia="Times New Roman" w:hAnsi="Arial" w:cs="Times New Roman"/>
          <w:bCs/>
          <w:sz w:val="18"/>
          <w:szCs w:val="18"/>
          <w:highlight w:val="yellow"/>
          <w:lang w:val="en-IE" w:bidi="en-US"/>
        </w:rPr>
        <w:t xml:space="preserve"> </w:t>
      </w:r>
      <w:r w:rsidRPr="001E1BAA">
        <w:rPr>
          <w:rFonts w:ascii="Arial" w:eastAsia="Times New Roman" w:hAnsi="Arial" w:cs="Times New Roman"/>
          <w:bCs/>
          <w:strike/>
          <w:sz w:val="18"/>
          <w:szCs w:val="18"/>
          <w:highlight w:val="yellow"/>
          <w:lang w:val="en-IE" w:bidi="en-US"/>
        </w:rPr>
        <w:t>d</w:t>
      </w:r>
      <w:r w:rsidRPr="00BF51FB">
        <w:rPr>
          <w:rFonts w:ascii="Arial" w:eastAsia="Times New Roman" w:hAnsi="Arial" w:cs="Times New Roman"/>
          <w:bCs/>
          <w:strike/>
          <w:sz w:val="18"/>
          <w:szCs w:val="18"/>
          <w:highlight w:val="yellow"/>
          <w:lang w:val="en-IE" w:bidi="en-US"/>
        </w:rPr>
        <w:t>ue</w:t>
      </w:r>
      <w:r w:rsidRPr="001E1BAA">
        <w:rPr>
          <w:rFonts w:ascii="Arial" w:eastAsia="Times New Roman" w:hAnsi="Arial" w:cs="Times New Roman"/>
          <w:bCs/>
          <w:strike/>
          <w:sz w:val="18"/>
          <w:szCs w:val="18"/>
          <w:lang w:val="en-IE" w:bidi="en-US"/>
        </w:rPr>
        <w:t xml:space="preserve"> </w:t>
      </w:r>
      <w:r w:rsidRPr="00D403F5">
        <w:rPr>
          <w:rFonts w:ascii="Arial" w:eastAsia="Times New Roman" w:hAnsi="Arial" w:cs="Times New Roman"/>
          <w:bCs/>
          <w:sz w:val="18"/>
          <w:szCs w:val="18"/>
          <w:lang w:val="en-IE" w:bidi="en-US"/>
        </w:rPr>
        <w:t xml:space="preserve">to </w:t>
      </w:r>
      <w:r w:rsidRPr="00BF51FB">
        <w:rPr>
          <w:rFonts w:ascii="Arial" w:eastAsia="Times New Roman" w:hAnsi="Arial" w:cs="Times New Roman"/>
          <w:bCs/>
          <w:sz w:val="18"/>
          <w:szCs w:val="18"/>
          <w:highlight w:val="yellow"/>
          <w:u w:val="double"/>
          <w:lang w:val="en-IE" w:bidi="en-US"/>
        </w:rPr>
        <w:t>infection with</w:t>
      </w:r>
      <w:r w:rsidRPr="00BF51FB">
        <w:rPr>
          <w:rFonts w:ascii="Arial" w:eastAsia="Times New Roman" w:hAnsi="Arial" w:cs="Times New Roman"/>
          <w:bCs/>
          <w:sz w:val="18"/>
          <w:szCs w:val="18"/>
          <w:lang w:val="en-IE" w:bidi="en-US"/>
        </w:rPr>
        <w:t xml:space="preserve"> </w:t>
      </w:r>
      <w:r w:rsidRPr="00D403F5">
        <w:rPr>
          <w:rFonts w:ascii="Arial" w:eastAsia="Times New Roman" w:hAnsi="Arial" w:cs="Times New Roman"/>
          <w:bCs/>
          <w:sz w:val="18"/>
          <w:szCs w:val="18"/>
          <w:lang w:val="en-IE" w:bidi="en-US"/>
        </w:rPr>
        <w:t xml:space="preserve">genotype III isolates, and in 2007 an outbreak in sea-reared rainbow trout at the Norwegian west coast was due to VHSV genotype III. </w:t>
      </w:r>
      <w:r w:rsidRPr="00BF51FB">
        <w:rPr>
          <w:rFonts w:ascii="Arial" w:eastAsia="Times New Roman" w:hAnsi="Arial" w:cs="Times New Roman"/>
          <w:bCs/>
          <w:strike/>
          <w:sz w:val="18"/>
          <w:szCs w:val="18"/>
          <w:highlight w:val="yellow"/>
          <w:lang w:val="en-IE" w:bidi="en-US"/>
        </w:rPr>
        <w:t xml:space="preserve">VHS </w:t>
      </w:r>
      <w:r w:rsidRPr="00BF51FB">
        <w:rPr>
          <w:rFonts w:ascii="Arial" w:eastAsia="Times New Roman" w:hAnsi="Arial" w:cs="Times New Roman"/>
          <w:bCs/>
          <w:sz w:val="18"/>
          <w:szCs w:val="18"/>
          <w:highlight w:val="yellow"/>
          <w:u w:val="double"/>
          <w:lang w:val="en-IE" w:bidi="en-US"/>
        </w:rPr>
        <w:t>O</w:t>
      </w:r>
      <w:r w:rsidRPr="00D403F5">
        <w:rPr>
          <w:rFonts w:ascii="Arial" w:eastAsia="Times New Roman" w:hAnsi="Arial" w:cs="Times New Roman"/>
          <w:bCs/>
          <w:sz w:val="18"/>
          <w:szCs w:val="18"/>
          <w:lang w:val="en-IE" w:bidi="en-US"/>
        </w:rPr>
        <w:t xml:space="preserve">utbreaks </w:t>
      </w:r>
      <w:r w:rsidRPr="00BF51FB">
        <w:rPr>
          <w:rFonts w:ascii="Arial" w:eastAsia="Times New Roman" w:hAnsi="Arial" w:cs="Times New Roman"/>
          <w:bCs/>
          <w:sz w:val="18"/>
          <w:szCs w:val="18"/>
          <w:highlight w:val="yellow"/>
          <w:u w:val="double"/>
          <w:lang w:val="en-IE" w:bidi="en-US"/>
        </w:rPr>
        <w:t>of infection with VHSV</w:t>
      </w:r>
      <w:r>
        <w:rPr>
          <w:rFonts w:ascii="Arial" w:eastAsia="Times New Roman" w:hAnsi="Arial" w:cs="Times New Roman"/>
          <w:bCs/>
          <w:sz w:val="18"/>
          <w:szCs w:val="18"/>
          <w:lang w:val="en-IE" w:bidi="en-US"/>
        </w:rPr>
        <w:t xml:space="preserve"> </w:t>
      </w:r>
      <w:r w:rsidRPr="00D403F5">
        <w:rPr>
          <w:rFonts w:ascii="Arial" w:eastAsia="Times New Roman" w:hAnsi="Arial" w:cs="Times New Roman"/>
          <w:bCs/>
          <w:sz w:val="18"/>
          <w:szCs w:val="18"/>
          <w:lang w:val="en-IE" w:bidi="en-US"/>
        </w:rPr>
        <w:t>in five species of wrasse used as cleaner fish around the Shetland Islands were also due to this genotype (</w:t>
      </w:r>
      <w:r w:rsidRPr="007B73F2">
        <w:rPr>
          <w:rFonts w:ascii="Arial" w:eastAsia="Times New Roman" w:hAnsi="Arial" w:cs="Times New Roman"/>
          <w:bCs/>
          <w:sz w:val="18"/>
          <w:szCs w:val="18"/>
          <w:lang w:val="en-IE" w:bidi="en-US"/>
        </w:rPr>
        <w:t xml:space="preserve">Munro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2015</w:t>
      </w:r>
      <w:r w:rsidRPr="00D403F5">
        <w:rPr>
          <w:rFonts w:ascii="Arial" w:eastAsia="Times New Roman" w:hAnsi="Arial" w:cs="Times New Roman"/>
          <w:bCs/>
          <w:sz w:val="18"/>
          <w:szCs w:val="18"/>
          <w:lang w:val="en-IE" w:bidi="en-US"/>
        </w:rPr>
        <w:t>).</w:t>
      </w:r>
    </w:p>
    <w:p w14:paraId="7B74979D" w14:textId="77777777" w:rsidR="00E65E42" w:rsidRPr="00D403F5" w:rsidRDefault="00E65E42" w:rsidP="000A4E1E">
      <w:pPr>
        <w:spacing w:after="12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viii)</w:t>
      </w:r>
      <w:r w:rsidRPr="00D403F5">
        <w:rPr>
          <w:rFonts w:ascii="Arial" w:eastAsia="MS Mincho" w:hAnsi="Arial" w:cs="Arial"/>
          <w:sz w:val="18"/>
          <w:szCs w:val="18"/>
          <w:lang w:val="en-IE"/>
        </w:rPr>
        <w:tab/>
        <w:t>Genotype IVa</w:t>
      </w:r>
    </w:p>
    <w:p w14:paraId="42E9690E" w14:textId="77777777" w:rsidR="00E65E42" w:rsidRPr="00D403F5" w:rsidRDefault="00E65E42" w:rsidP="008A67C2">
      <w:pPr>
        <w:spacing w:after="120" w:line="240" w:lineRule="auto"/>
        <w:ind w:left="1276"/>
        <w:jc w:val="both"/>
        <w:rPr>
          <w:rFonts w:ascii="Arial" w:eastAsia="Times New Roman" w:hAnsi="Arial" w:cs="Times New Roman"/>
          <w:bCs/>
          <w:sz w:val="18"/>
          <w:szCs w:val="18"/>
          <w:lang w:val="en-IE" w:bidi="en-US"/>
        </w:rPr>
      </w:pPr>
      <w:r w:rsidRPr="00BF51FB">
        <w:rPr>
          <w:rFonts w:ascii="Arial" w:eastAsia="Times New Roman" w:hAnsi="Arial" w:cs="Times New Roman"/>
          <w:bCs/>
          <w:sz w:val="18"/>
          <w:szCs w:val="18"/>
          <w:highlight w:val="yellow"/>
          <w:u w:val="double"/>
          <w:lang w:val="en-IE" w:bidi="en-US"/>
        </w:rPr>
        <w:t>The</w:t>
      </w:r>
      <w:r w:rsidRPr="007D71D2">
        <w:rPr>
          <w:rFonts w:ascii="Arial" w:eastAsia="Times New Roman" w:hAnsi="Arial" w:cs="Times New Roman"/>
          <w:bCs/>
          <w:sz w:val="18"/>
          <w:szCs w:val="18"/>
          <w:lang w:val="en-IE" w:bidi="en-US"/>
        </w:rPr>
        <w:t xml:space="preserve"> </w:t>
      </w:r>
      <w:r w:rsidRPr="00BF51FB">
        <w:rPr>
          <w:rFonts w:ascii="Arial" w:eastAsia="Times New Roman" w:hAnsi="Arial" w:cs="Times New Roman"/>
          <w:bCs/>
          <w:sz w:val="18"/>
          <w:szCs w:val="18"/>
          <w:u w:val="double"/>
          <w:lang w:val="en-IE" w:bidi="en-US"/>
        </w:rPr>
        <w:t>i</w:t>
      </w:r>
      <w:r w:rsidRPr="00D403F5">
        <w:rPr>
          <w:rFonts w:ascii="Arial" w:eastAsia="Times New Roman" w:hAnsi="Arial" w:cs="Times New Roman"/>
          <w:bCs/>
          <w:sz w:val="18"/>
          <w:szCs w:val="18"/>
          <w:lang w:val="en-IE" w:bidi="en-US"/>
        </w:rPr>
        <w:t xml:space="preserve">solates </w:t>
      </w:r>
      <w:r w:rsidRPr="00BF51FB">
        <w:rPr>
          <w:rFonts w:ascii="Arial" w:eastAsia="Times New Roman" w:hAnsi="Arial" w:cs="Times New Roman"/>
          <w:bCs/>
          <w:sz w:val="18"/>
          <w:szCs w:val="18"/>
          <w:highlight w:val="yellow"/>
          <w:u w:val="double"/>
          <w:lang w:val="en-IE" w:bidi="en-US"/>
        </w:rPr>
        <w:t xml:space="preserve">included </w:t>
      </w:r>
      <w:r w:rsidRPr="001E1BAA">
        <w:rPr>
          <w:rFonts w:ascii="Arial" w:eastAsia="Times New Roman" w:hAnsi="Arial" w:cs="Times New Roman"/>
          <w:bCs/>
          <w:sz w:val="18"/>
          <w:szCs w:val="18"/>
          <w:highlight w:val="yellow"/>
          <w:u w:val="double"/>
          <w:lang w:val="en-IE" w:bidi="en-US"/>
        </w:rPr>
        <w:t>in this genotype have been detected</w:t>
      </w:r>
      <w:r w:rsidRPr="001E1BAA">
        <w:rPr>
          <w:rFonts w:ascii="Arial" w:eastAsia="Times New Roman" w:hAnsi="Arial" w:cs="Times New Roman"/>
          <w:bCs/>
          <w:sz w:val="18"/>
          <w:szCs w:val="18"/>
          <w:highlight w:val="yellow"/>
          <w:lang w:val="en-IE" w:bidi="en-US"/>
        </w:rPr>
        <w:t xml:space="preserve"> </w:t>
      </w:r>
      <w:r w:rsidRPr="001E1BAA">
        <w:rPr>
          <w:rFonts w:ascii="Arial" w:eastAsia="Times New Roman" w:hAnsi="Arial" w:cs="Times New Roman"/>
          <w:bCs/>
          <w:strike/>
          <w:sz w:val="18"/>
          <w:szCs w:val="18"/>
          <w:highlight w:val="yellow"/>
          <w:lang w:val="en-IE" w:bidi="en-US"/>
        </w:rPr>
        <w:t>originate</w:t>
      </w:r>
      <w:r w:rsidRPr="009E0963">
        <w:rPr>
          <w:rFonts w:ascii="Arial" w:eastAsia="Times New Roman" w:hAnsi="Arial" w:cs="Times New Roman"/>
          <w:bCs/>
          <w:strike/>
          <w:sz w:val="18"/>
          <w:szCs w:val="18"/>
          <w:highlight w:val="yellow"/>
          <w:lang w:val="en-IE" w:bidi="en-US"/>
        </w:rPr>
        <w:t xml:space="preserve"> </w:t>
      </w:r>
      <w:r w:rsidRPr="001E1BAA">
        <w:rPr>
          <w:rFonts w:ascii="Arial" w:eastAsia="Times New Roman" w:hAnsi="Arial" w:cs="Times New Roman"/>
          <w:bCs/>
          <w:sz w:val="18"/>
          <w:szCs w:val="18"/>
          <w:highlight w:val="yellow"/>
          <w:u w:val="double"/>
          <w:lang w:val="en-IE" w:bidi="en-US"/>
        </w:rPr>
        <w:t>in finfish</w:t>
      </w:r>
      <w:r w:rsidRPr="001E1BAA">
        <w:rPr>
          <w:rFonts w:ascii="Arial" w:eastAsia="Times New Roman" w:hAnsi="Arial" w:cs="Times New Roman"/>
          <w:bCs/>
          <w:sz w:val="18"/>
          <w:szCs w:val="18"/>
          <w:lang w:val="en-IE" w:bidi="en-US"/>
        </w:rPr>
        <w:t xml:space="preserve"> </w:t>
      </w:r>
      <w:r w:rsidRPr="00D403F5">
        <w:rPr>
          <w:rFonts w:ascii="Arial" w:eastAsia="Times New Roman" w:hAnsi="Arial" w:cs="Times New Roman"/>
          <w:bCs/>
          <w:sz w:val="18"/>
          <w:szCs w:val="18"/>
          <w:lang w:val="en-IE" w:bidi="en-US"/>
        </w:rPr>
        <w:t>from both the east and west coasts of North America, as well as from the Asian countries of South Korea and Japan. Genotype IVa isolates in North America have caused severe epidemics in numerous wild marine species such as Pacific herring (</w:t>
      </w:r>
      <w:r w:rsidRPr="00D403F5">
        <w:rPr>
          <w:rFonts w:ascii="Arial" w:eastAsia="Times New Roman" w:hAnsi="Arial" w:cs="Times New Roman"/>
          <w:bCs/>
          <w:i/>
          <w:sz w:val="18"/>
          <w:szCs w:val="18"/>
          <w:lang w:val="en-IE" w:bidi="en-US"/>
        </w:rPr>
        <w:t>Clupea pallasii</w:t>
      </w:r>
      <w:r w:rsidRPr="00E16E50">
        <w:rPr>
          <w:rFonts w:ascii="Arial" w:eastAsia="Times New Roman" w:hAnsi="Arial" w:cs="Arial"/>
          <w:bCs/>
          <w:i/>
          <w:iCs/>
          <w:sz w:val="18"/>
          <w:szCs w:val="18"/>
          <w:lang w:val="en-IE" w:bidi="en-US"/>
        </w:rPr>
        <w:t xml:space="preserve"> </w:t>
      </w:r>
      <w:r w:rsidRPr="00E16E50">
        <w:rPr>
          <w:rFonts w:ascii="Arial" w:eastAsia="Times New Roman" w:hAnsi="Arial" w:cs="Arial"/>
          <w:bCs/>
          <w:i/>
          <w:iCs/>
          <w:sz w:val="18"/>
          <w:szCs w:val="18"/>
          <w:highlight w:val="yellow"/>
          <w:u w:val="double"/>
          <w:lang w:val="en-IE" w:bidi="en-US"/>
        </w:rPr>
        <w:t>pallasii</w:t>
      </w:r>
      <w:r w:rsidRPr="00D403F5">
        <w:rPr>
          <w:rFonts w:ascii="Arial" w:eastAsia="Times New Roman" w:hAnsi="Arial" w:cs="Times New Roman"/>
          <w:bCs/>
          <w:sz w:val="18"/>
          <w:szCs w:val="18"/>
          <w:lang w:val="en-IE" w:bidi="en-US"/>
        </w:rPr>
        <w:t>) (</w:t>
      </w:r>
      <w:r w:rsidRPr="007B73F2">
        <w:rPr>
          <w:rFonts w:ascii="Arial" w:eastAsia="Times New Roman" w:hAnsi="Arial" w:cs="Times New Roman"/>
          <w:bCs/>
          <w:sz w:val="18"/>
          <w:szCs w:val="18"/>
          <w:lang w:val="en-IE" w:bidi="en-US"/>
        </w:rPr>
        <w:t>Meyers &amp; Winton, 1995), which can serve as a reservoir of virus to sympatric net-pen farmed Atlantic salmon (</w:t>
      </w:r>
      <w:r w:rsidRPr="007B73F2">
        <w:rPr>
          <w:rFonts w:ascii="Arial" w:eastAsia="Times New Roman" w:hAnsi="Arial" w:cs="Times New Roman"/>
          <w:bCs/>
          <w:i/>
          <w:sz w:val="18"/>
          <w:szCs w:val="18"/>
          <w:lang w:val="en-IE" w:bidi="en-US"/>
        </w:rPr>
        <w:t>Salmo salar</w:t>
      </w:r>
      <w:r w:rsidRPr="007B73F2">
        <w:rPr>
          <w:rFonts w:ascii="Arial" w:eastAsia="Times New Roman" w:hAnsi="Arial" w:cs="Times New Roman"/>
          <w:bCs/>
          <w:sz w:val="18"/>
          <w:szCs w:val="18"/>
          <w:lang w:val="en-IE" w:bidi="en-US"/>
        </w:rPr>
        <w:t xml:space="preserve">) (Garver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2013).</w:t>
      </w:r>
      <w:r w:rsidRPr="00D403F5">
        <w:rPr>
          <w:rFonts w:ascii="Arial" w:eastAsia="Times New Roman" w:hAnsi="Arial" w:cs="Times New Roman"/>
          <w:bCs/>
          <w:sz w:val="18"/>
          <w:szCs w:val="18"/>
          <w:lang w:val="en-IE" w:bidi="en-US"/>
        </w:rPr>
        <w:t xml:space="preserve"> In Asia, genotype IVa isolates have caused disease outbreaks in </w:t>
      </w:r>
      <w:r w:rsidRPr="00BF51FB">
        <w:rPr>
          <w:rFonts w:ascii="Arial" w:eastAsia="Times New Roman" w:hAnsi="Arial" w:cs="Times New Roman"/>
          <w:bCs/>
          <w:strike/>
          <w:sz w:val="18"/>
          <w:szCs w:val="18"/>
          <w:highlight w:val="yellow"/>
          <w:lang w:val="en-IE" w:bidi="en-US"/>
        </w:rPr>
        <w:t xml:space="preserve">olive </w:t>
      </w:r>
      <w:r w:rsidRPr="009E0963">
        <w:rPr>
          <w:rFonts w:ascii="Arial" w:eastAsia="Times New Roman" w:hAnsi="Arial" w:cs="Times New Roman"/>
          <w:bCs/>
          <w:strike/>
          <w:sz w:val="18"/>
          <w:szCs w:val="18"/>
          <w:highlight w:val="yellow"/>
          <w:lang w:val="en-IE" w:bidi="en-US"/>
        </w:rPr>
        <w:t xml:space="preserve">flounder </w:t>
      </w:r>
      <w:r w:rsidRPr="00BF51FB">
        <w:rPr>
          <w:rFonts w:ascii="Arial" w:eastAsia="Times New Roman" w:hAnsi="Arial" w:cs="Times New Roman"/>
          <w:bCs/>
          <w:sz w:val="18"/>
          <w:szCs w:val="18"/>
          <w:highlight w:val="yellow"/>
          <w:u w:val="double"/>
          <w:lang w:val="en-IE" w:bidi="en-US"/>
        </w:rPr>
        <w:t>bastard halibut</w:t>
      </w:r>
      <w:r w:rsidRPr="00D403F5">
        <w:rPr>
          <w:rFonts w:ascii="Arial" w:eastAsia="Times New Roman" w:hAnsi="Arial" w:cs="Times New Roman"/>
          <w:bCs/>
          <w:sz w:val="18"/>
          <w:szCs w:val="18"/>
          <w:lang w:val="en-IE" w:bidi="en-US"/>
        </w:rPr>
        <w:t xml:space="preserve"> (</w:t>
      </w:r>
      <w:r w:rsidRPr="00D403F5">
        <w:rPr>
          <w:rFonts w:ascii="Arial" w:eastAsia="Times New Roman" w:hAnsi="Arial" w:cs="Times New Roman"/>
          <w:bCs/>
          <w:i/>
          <w:sz w:val="18"/>
          <w:szCs w:val="18"/>
          <w:lang w:val="en-IE" w:bidi="en-US"/>
        </w:rPr>
        <w:t>Paralichthys olivaceus</w:t>
      </w:r>
      <w:r w:rsidRPr="00D403F5">
        <w:rPr>
          <w:rFonts w:ascii="Arial" w:eastAsia="Times New Roman" w:hAnsi="Arial" w:cs="Times New Roman"/>
          <w:bCs/>
          <w:sz w:val="18"/>
          <w:szCs w:val="18"/>
          <w:lang w:val="en-IE" w:bidi="en-US"/>
        </w:rPr>
        <w:t>)</w:t>
      </w:r>
      <w:r w:rsidRPr="00BF51FB">
        <w:rPr>
          <w:rFonts w:ascii="Arial" w:eastAsia="Times New Roman" w:hAnsi="Arial" w:cs="Times New Roman"/>
          <w:bCs/>
          <w:sz w:val="18"/>
          <w:szCs w:val="18"/>
          <w:lang w:val="en-IE" w:bidi="en-US"/>
        </w:rPr>
        <w:t xml:space="preserve"> </w:t>
      </w:r>
      <w:r w:rsidRPr="00BF51FB">
        <w:rPr>
          <w:rFonts w:ascii="Arial" w:eastAsia="Times New Roman" w:hAnsi="Arial" w:cs="Times New Roman"/>
          <w:bCs/>
          <w:sz w:val="18"/>
          <w:szCs w:val="18"/>
          <w:highlight w:val="yellow"/>
          <w:u w:val="double"/>
          <w:lang w:val="en-IE" w:bidi="en-US"/>
        </w:rPr>
        <w:t>(</w:t>
      </w:r>
      <w:r w:rsidRPr="007B73F2">
        <w:rPr>
          <w:rFonts w:ascii="Arial" w:eastAsia="Times New Roman" w:hAnsi="Arial" w:cs="Times New Roman"/>
          <w:bCs/>
          <w:sz w:val="18"/>
          <w:szCs w:val="18"/>
          <w:highlight w:val="yellow"/>
          <w:u w:val="double"/>
          <w:lang w:val="en-IE" w:bidi="en-US"/>
        </w:rPr>
        <w:t>Ogut &amp; Altuntas</w:t>
      </w:r>
      <w:r w:rsidRPr="00BF51FB">
        <w:rPr>
          <w:rFonts w:ascii="Arial" w:eastAsia="Times New Roman" w:hAnsi="Arial" w:cs="Times New Roman"/>
          <w:bCs/>
          <w:sz w:val="18"/>
          <w:szCs w:val="18"/>
          <w:highlight w:val="yellow"/>
          <w:u w:val="double"/>
          <w:lang w:val="en-IE" w:bidi="en-US"/>
        </w:rPr>
        <w:t>, 2014)</w:t>
      </w:r>
      <w:r w:rsidRPr="00BF51FB">
        <w:rPr>
          <w:rFonts w:ascii="Arial" w:eastAsia="Times New Roman" w:hAnsi="Arial" w:cs="Times New Roman"/>
          <w:bCs/>
          <w:sz w:val="18"/>
          <w:szCs w:val="18"/>
          <w:highlight w:val="yellow"/>
          <w:lang w:val="en-IE" w:bidi="en-US"/>
        </w:rPr>
        <w:t>.</w:t>
      </w:r>
      <w:r w:rsidRPr="00BF51FB">
        <w:rPr>
          <w:rFonts w:ascii="Arial" w:eastAsia="Times New Roman" w:hAnsi="Arial" w:cs="Times New Roman"/>
          <w:bCs/>
          <w:sz w:val="18"/>
          <w:szCs w:val="18"/>
          <w:lang w:val="en-IE" w:bidi="en-US"/>
        </w:rPr>
        <w:t xml:space="preserve"> </w:t>
      </w:r>
    </w:p>
    <w:p w14:paraId="0F702437" w14:textId="77777777" w:rsidR="00E65E42" w:rsidRPr="00D403F5" w:rsidRDefault="00E65E42" w:rsidP="000A4E1E">
      <w:pPr>
        <w:spacing w:after="12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ix)</w:t>
      </w:r>
      <w:r w:rsidRPr="00D403F5">
        <w:rPr>
          <w:rFonts w:ascii="Arial" w:eastAsia="MS Mincho" w:hAnsi="Arial" w:cs="Arial"/>
          <w:sz w:val="18"/>
          <w:szCs w:val="18"/>
          <w:lang w:val="en-IE"/>
        </w:rPr>
        <w:tab/>
        <w:t>Genotype IVb</w:t>
      </w:r>
    </w:p>
    <w:p w14:paraId="5C2A1B8F" w14:textId="77777777" w:rsidR="00E65E42" w:rsidRPr="00D403F5" w:rsidRDefault="00E65E42" w:rsidP="008A67C2">
      <w:pPr>
        <w:spacing w:after="120" w:line="240" w:lineRule="auto"/>
        <w:ind w:left="1276"/>
        <w:jc w:val="both"/>
        <w:rPr>
          <w:rFonts w:ascii="Arial" w:eastAsia="Times New Roman" w:hAnsi="Arial" w:cs="Times New Roman"/>
          <w:bCs/>
          <w:sz w:val="18"/>
          <w:szCs w:val="18"/>
          <w:lang w:val="en-IE" w:bidi="en-US"/>
        </w:rPr>
      </w:pPr>
      <w:r w:rsidRPr="00BF51FB">
        <w:rPr>
          <w:rFonts w:ascii="Arial" w:eastAsia="Times New Roman" w:hAnsi="Arial" w:cs="Times New Roman"/>
          <w:bCs/>
          <w:sz w:val="18"/>
          <w:szCs w:val="18"/>
          <w:highlight w:val="yellow"/>
          <w:u w:val="double"/>
          <w:lang w:val="en-IE" w:bidi="en-US"/>
        </w:rPr>
        <w:t>The</w:t>
      </w:r>
      <w:r w:rsidRPr="007D71D2">
        <w:rPr>
          <w:rFonts w:ascii="Arial" w:eastAsia="Times New Roman" w:hAnsi="Arial" w:cs="Times New Roman"/>
          <w:bCs/>
          <w:sz w:val="18"/>
          <w:szCs w:val="18"/>
          <w:lang w:val="en-IE" w:bidi="en-US"/>
        </w:rPr>
        <w:t xml:space="preserve"> </w:t>
      </w:r>
      <w:r w:rsidRPr="00BF51FB">
        <w:rPr>
          <w:rFonts w:ascii="Arial" w:eastAsia="Times New Roman" w:hAnsi="Arial" w:cs="Times New Roman"/>
          <w:bCs/>
          <w:sz w:val="18"/>
          <w:szCs w:val="18"/>
          <w:u w:val="double"/>
          <w:lang w:val="en-IE" w:bidi="en-US"/>
        </w:rPr>
        <w:t>i</w:t>
      </w:r>
      <w:r w:rsidRPr="00D403F5">
        <w:rPr>
          <w:rFonts w:ascii="Arial" w:eastAsia="Times New Roman" w:hAnsi="Arial" w:cs="Times New Roman"/>
          <w:bCs/>
          <w:sz w:val="18"/>
          <w:szCs w:val="18"/>
          <w:lang w:val="en-IE" w:bidi="en-US"/>
        </w:rPr>
        <w:t xml:space="preserve">solates </w:t>
      </w:r>
      <w:r w:rsidRPr="00BF51FB">
        <w:rPr>
          <w:rFonts w:ascii="Arial" w:eastAsia="Times New Roman" w:hAnsi="Arial" w:cs="Times New Roman"/>
          <w:bCs/>
          <w:sz w:val="18"/>
          <w:szCs w:val="18"/>
          <w:highlight w:val="yellow"/>
          <w:u w:val="double"/>
          <w:lang w:val="en-IE" w:bidi="en-US"/>
        </w:rPr>
        <w:t xml:space="preserve">included in this genotype have been </w:t>
      </w:r>
      <w:r w:rsidRPr="009E0963">
        <w:rPr>
          <w:rFonts w:ascii="Arial" w:eastAsia="Times New Roman" w:hAnsi="Arial" w:cs="Times New Roman"/>
          <w:bCs/>
          <w:sz w:val="18"/>
          <w:szCs w:val="18"/>
          <w:highlight w:val="yellow"/>
          <w:u w:val="double"/>
          <w:lang w:val="en-IE" w:bidi="en-US"/>
        </w:rPr>
        <w:t>detected</w:t>
      </w:r>
      <w:r w:rsidRPr="009E0963">
        <w:rPr>
          <w:rFonts w:ascii="Arial" w:eastAsia="Times New Roman" w:hAnsi="Arial" w:cs="Times New Roman"/>
          <w:bCs/>
          <w:sz w:val="18"/>
          <w:szCs w:val="18"/>
          <w:highlight w:val="yellow"/>
          <w:lang w:val="en-IE" w:bidi="en-US"/>
        </w:rPr>
        <w:t xml:space="preserve"> </w:t>
      </w:r>
      <w:r w:rsidRPr="009E0963">
        <w:rPr>
          <w:rFonts w:ascii="Arial" w:eastAsia="Times New Roman" w:hAnsi="Arial" w:cs="Times New Roman"/>
          <w:bCs/>
          <w:strike/>
          <w:sz w:val="18"/>
          <w:szCs w:val="18"/>
          <w:highlight w:val="yellow"/>
          <w:lang w:val="en-IE" w:bidi="en-US"/>
        </w:rPr>
        <w:t xml:space="preserve">originate </w:t>
      </w:r>
      <w:r w:rsidRPr="009E0963">
        <w:rPr>
          <w:rFonts w:ascii="Arial" w:eastAsia="Times New Roman" w:hAnsi="Arial" w:cs="Times New Roman"/>
          <w:bCs/>
          <w:sz w:val="18"/>
          <w:szCs w:val="18"/>
          <w:highlight w:val="yellow"/>
          <w:u w:val="double"/>
          <w:lang w:val="en-IE" w:bidi="en-US"/>
        </w:rPr>
        <w:t xml:space="preserve">in </w:t>
      </w:r>
      <w:r w:rsidRPr="00BF51FB">
        <w:rPr>
          <w:rFonts w:ascii="Arial" w:eastAsia="Times New Roman" w:hAnsi="Arial" w:cs="Times New Roman"/>
          <w:bCs/>
          <w:sz w:val="18"/>
          <w:szCs w:val="18"/>
          <w:highlight w:val="yellow"/>
          <w:u w:val="double"/>
          <w:lang w:val="en-IE" w:bidi="en-US"/>
        </w:rPr>
        <w:t>finfish</w:t>
      </w:r>
      <w:r w:rsidRPr="00BF51FB">
        <w:rPr>
          <w:rFonts w:ascii="Arial" w:eastAsia="Times New Roman" w:hAnsi="Arial" w:cs="Times New Roman"/>
          <w:bCs/>
          <w:sz w:val="18"/>
          <w:szCs w:val="18"/>
          <w:highlight w:val="yellow"/>
          <w:lang w:val="en-IE" w:bidi="en-US"/>
        </w:rPr>
        <w:t xml:space="preserve"> </w:t>
      </w:r>
      <w:r w:rsidRPr="00BF51FB">
        <w:rPr>
          <w:rFonts w:ascii="Arial" w:eastAsia="Times New Roman" w:hAnsi="Arial" w:cs="Times New Roman"/>
          <w:bCs/>
          <w:strike/>
          <w:sz w:val="18"/>
          <w:szCs w:val="18"/>
          <w:highlight w:val="yellow"/>
          <w:lang w:val="en-IE" w:bidi="en-US"/>
        </w:rPr>
        <w:t>originate</w:t>
      </w:r>
      <w:r w:rsidRPr="00BF51FB">
        <w:rPr>
          <w:rFonts w:ascii="Arial" w:eastAsia="Times New Roman" w:hAnsi="Arial" w:cs="Times New Roman"/>
          <w:bCs/>
          <w:sz w:val="18"/>
          <w:szCs w:val="18"/>
          <w:lang w:val="en-IE" w:bidi="en-US"/>
        </w:rPr>
        <w:t xml:space="preserve"> </w:t>
      </w:r>
      <w:r w:rsidRPr="00D403F5">
        <w:rPr>
          <w:rFonts w:ascii="Arial" w:eastAsia="Times New Roman" w:hAnsi="Arial" w:cs="Times New Roman"/>
          <w:bCs/>
          <w:sz w:val="18"/>
          <w:szCs w:val="18"/>
          <w:lang w:val="en-IE" w:bidi="en-US"/>
        </w:rPr>
        <w:t>from the North America Laurentian Great Lakes region (</w:t>
      </w:r>
      <w:r w:rsidRPr="007B73F2">
        <w:rPr>
          <w:rFonts w:ascii="Arial" w:eastAsia="Times New Roman" w:hAnsi="Arial" w:cs="Times New Roman"/>
          <w:bCs/>
          <w:sz w:val="18"/>
          <w:szCs w:val="18"/>
          <w:lang w:val="en-IE" w:bidi="en-US"/>
        </w:rPr>
        <w:t xml:space="preserve">Gagne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2007; Thompson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2011; Winton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2008</w:t>
      </w:r>
      <w:r w:rsidRPr="00D403F5">
        <w:rPr>
          <w:rFonts w:ascii="Arial" w:eastAsia="Times New Roman" w:hAnsi="Arial" w:cs="Times New Roman"/>
          <w:bCs/>
          <w:sz w:val="18"/>
          <w:szCs w:val="18"/>
          <w:lang w:val="en-IE" w:bidi="en-US"/>
        </w:rPr>
        <w:t xml:space="preserve">) </w:t>
      </w:r>
      <w:r w:rsidRPr="00BF51FB">
        <w:rPr>
          <w:rFonts w:ascii="Arial" w:eastAsia="Times New Roman" w:hAnsi="Arial" w:cs="Times New Roman"/>
          <w:bCs/>
          <w:sz w:val="18"/>
          <w:szCs w:val="18"/>
          <w:highlight w:val="yellow"/>
          <w:u w:val="double"/>
          <w:lang w:val="en-IE" w:bidi="en-US"/>
        </w:rPr>
        <w:t>and</w:t>
      </w:r>
      <w:r w:rsidRPr="00BF51FB">
        <w:rPr>
          <w:rFonts w:ascii="Arial" w:eastAsia="Times New Roman" w:hAnsi="Arial" w:cs="Times New Roman"/>
          <w:bCs/>
          <w:sz w:val="18"/>
          <w:szCs w:val="18"/>
          <w:highlight w:val="yellow"/>
          <w:lang w:val="en-IE" w:bidi="en-US"/>
        </w:rPr>
        <w:t xml:space="preserve"> </w:t>
      </w:r>
      <w:r w:rsidRPr="00BF51FB">
        <w:rPr>
          <w:rFonts w:ascii="Arial" w:eastAsia="Times New Roman" w:hAnsi="Arial" w:cs="Times New Roman"/>
          <w:bCs/>
          <w:strike/>
          <w:sz w:val="18"/>
          <w:szCs w:val="18"/>
          <w:highlight w:val="yellow"/>
          <w:lang w:val="en-IE" w:bidi="en-US"/>
        </w:rPr>
        <w:t>where they</w:t>
      </w:r>
      <w:r w:rsidRPr="009E0963">
        <w:rPr>
          <w:rFonts w:ascii="Arial" w:eastAsia="Times New Roman" w:hAnsi="Arial" w:cs="Times New Roman"/>
          <w:bCs/>
          <w:strike/>
          <w:sz w:val="18"/>
          <w:szCs w:val="18"/>
          <w:lang w:val="en-IE" w:bidi="en-US"/>
        </w:rPr>
        <w:t xml:space="preserve"> </w:t>
      </w:r>
      <w:r w:rsidRPr="00D403F5">
        <w:rPr>
          <w:rFonts w:ascii="Arial" w:eastAsia="Times New Roman" w:hAnsi="Arial" w:cs="Times New Roman"/>
          <w:bCs/>
          <w:sz w:val="18"/>
          <w:szCs w:val="18"/>
          <w:lang w:val="en-IE" w:bidi="en-US"/>
        </w:rPr>
        <w:t xml:space="preserve">have </w:t>
      </w:r>
      <w:r w:rsidRPr="009E0963">
        <w:rPr>
          <w:rFonts w:ascii="Arial" w:eastAsia="Times New Roman" w:hAnsi="Arial" w:cs="Times New Roman"/>
          <w:bCs/>
          <w:sz w:val="18"/>
          <w:szCs w:val="18"/>
          <w:lang w:val="en-IE" w:bidi="en-US"/>
        </w:rPr>
        <w:t>caused die-off</w:t>
      </w:r>
      <w:r w:rsidRPr="009E0963">
        <w:rPr>
          <w:rFonts w:ascii="Arial" w:eastAsia="Times New Roman" w:hAnsi="Arial" w:cs="Times New Roman"/>
          <w:bCs/>
          <w:sz w:val="18"/>
          <w:szCs w:val="18"/>
          <w:highlight w:val="yellow"/>
          <w:u w:val="double"/>
          <w:lang w:val="en-IE" w:bidi="en-US"/>
        </w:rPr>
        <w:t>s</w:t>
      </w:r>
      <w:r w:rsidRPr="009E0963">
        <w:rPr>
          <w:rFonts w:ascii="Arial" w:eastAsia="Times New Roman" w:hAnsi="Arial" w:cs="Times New Roman"/>
          <w:bCs/>
          <w:sz w:val="18"/>
          <w:szCs w:val="18"/>
          <w:lang w:val="en-IE" w:bidi="en-US"/>
        </w:rPr>
        <w:t xml:space="preserve"> </w:t>
      </w:r>
      <w:r w:rsidRPr="009E0963">
        <w:rPr>
          <w:rFonts w:ascii="Arial" w:eastAsia="Times New Roman" w:hAnsi="Arial" w:cs="Times New Roman"/>
          <w:bCs/>
          <w:strike/>
          <w:sz w:val="18"/>
          <w:szCs w:val="18"/>
          <w:lang w:val="en-IE" w:bidi="en-US"/>
        </w:rPr>
        <w:t xml:space="preserve">events </w:t>
      </w:r>
      <w:r w:rsidRPr="00D403F5">
        <w:rPr>
          <w:rFonts w:ascii="Arial" w:eastAsia="Times New Roman" w:hAnsi="Arial" w:cs="Times New Roman"/>
          <w:bCs/>
          <w:sz w:val="18"/>
          <w:szCs w:val="18"/>
          <w:lang w:val="en-IE" w:bidi="en-US"/>
        </w:rPr>
        <w:t>in numerous fish species</w:t>
      </w:r>
      <w:r w:rsidRPr="009E0963">
        <w:rPr>
          <w:rFonts w:ascii="Arial" w:eastAsia="Times New Roman" w:hAnsi="Arial" w:cs="Times New Roman"/>
          <w:bCs/>
          <w:strike/>
          <w:sz w:val="18"/>
          <w:szCs w:val="18"/>
          <w:highlight w:val="yellow"/>
          <w:lang w:val="en-IE" w:bidi="en-US"/>
        </w:rPr>
        <w:t>. a</w:t>
      </w:r>
      <w:r w:rsidRPr="00BF51FB">
        <w:rPr>
          <w:rFonts w:ascii="Arial" w:eastAsia="Times New Roman" w:hAnsi="Arial" w:cs="Times New Roman"/>
          <w:bCs/>
          <w:strike/>
          <w:sz w:val="18"/>
          <w:szCs w:val="18"/>
          <w:highlight w:val="yellow"/>
          <w:lang w:val="en-IE" w:bidi="en-US"/>
        </w:rPr>
        <w:t>nd have been detected in a micro-invertebrate (</w:t>
      </w:r>
      <w:r w:rsidRPr="00BF51FB">
        <w:rPr>
          <w:rFonts w:ascii="Arial" w:eastAsia="Times New Roman" w:hAnsi="Arial" w:cs="Times New Roman"/>
          <w:bCs/>
          <w:i/>
          <w:iCs/>
          <w:strike/>
          <w:sz w:val="18"/>
          <w:szCs w:val="18"/>
          <w:highlight w:val="yellow"/>
          <w:lang w:val="en" w:bidi="en-US"/>
        </w:rPr>
        <w:t>Diporeia</w:t>
      </w:r>
      <w:r w:rsidRPr="00BF51FB">
        <w:rPr>
          <w:rFonts w:ascii="Arial" w:eastAsia="Times New Roman" w:hAnsi="Arial" w:cs="Times New Roman"/>
          <w:bCs/>
          <w:strike/>
          <w:sz w:val="18"/>
          <w:szCs w:val="18"/>
          <w:highlight w:val="yellow"/>
          <w:lang w:val="en" w:bidi="en-US"/>
        </w:rPr>
        <w:t xml:space="preserve"> spp</w:t>
      </w:r>
      <w:r>
        <w:rPr>
          <w:rFonts w:ascii="Arial" w:eastAsia="Times New Roman" w:hAnsi="Arial" w:cs="Times New Roman"/>
          <w:bCs/>
          <w:strike/>
          <w:sz w:val="18"/>
          <w:szCs w:val="18"/>
          <w:highlight w:val="yellow"/>
          <w:lang w:val="en" w:bidi="en-US"/>
        </w:rPr>
        <w:t>.</w:t>
      </w:r>
      <w:r w:rsidRPr="00BF51FB">
        <w:rPr>
          <w:rFonts w:ascii="Arial" w:eastAsia="Times New Roman" w:hAnsi="Arial" w:cs="Times New Roman"/>
          <w:bCs/>
          <w:strike/>
          <w:sz w:val="18"/>
          <w:szCs w:val="18"/>
          <w:highlight w:val="yellow"/>
          <w:lang w:val="en" w:bidi="en-US"/>
        </w:rPr>
        <w:t>)</w:t>
      </w:r>
      <w:r w:rsidRPr="00BF51FB">
        <w:rPr>
          <w:rFonts w:ascii="Arial" w:eastAsia="Times New Roman" w:hAnsi="Arial" w:cs="Times New Roman"/>
          <w:bCs/>
          <w:sz w:val="18"/>
          <w:szCs w:val="18"/>
          <w:lang w:val="en" w:bidi="en-US"/>
        </w:rPr>
        <w:t xml:space="preserve"> </w:t>
      </w:r>
      <w:r w:rsidRPr="00D403F5">
        <w:rPr>
          <w:rFonts w:ascii="Arial" w:eastAsia="Times New Roman" w:hAnsi="Arial" w:cs="Times New Roman"/>
          <w:bCs/>
          <w:color w:val="333333"/>
          <w:sz w:val="18"/>
          <w:szCs w:val="18"/>
          <w:lang w:val="en" w:bidi="en-US"/>
        </w:rPr>
        <w:t>(</w:t>
      </w:r>
      <w:r w:rsidRPr="007B73F2">
        <w:rPr>
          <w:rFonts w:ascii="Arial" w:eastAsia="Times New Roman" w:hAnsi="Arial" w:cs="Times New Roman"/>
          <w:bCs/>
          <w:color w:val="333333"/>
          <w:sz w:val="18"/>
          <w:szCs w:val="18"/>
          <w:lang w:val="en" w:bidi="en-US"/>
        </w:rPr>
        <w:t>Faisal &amp; Winters, 2011</w:t>
      </w:r>
      <w:r w:rsidRPr="00D403F5">
        <w:rPr>
          <w:rFonts w:ascii="Arial" w:eastAsia="Times New Roman" w:hAnsi="Arial" w:cs="Times New Roman"/>
          <w:bCs/>
          <w:color w:val="333333"/>
          <w:sz w:val="18"/>
          <w:szCs w:val="18"/>
          <w:lang w:val="en" w:bidi="en-US"/>
        </w:rPr>
        <w:t>)</w:t>
      </w:r>
      <w:r w:rsidRPr="00D403F5">
        <w:rPr>
          <w:rFonts w:ascii="Arial" w:eastAsia="Times New Roman" w:hAnsi="Arial" w:cs="Times New Roman"/>
          <w:bCs/>
          <w:sz w:val="18"/>
          <w:szCs w:val="18"/>
          <w:lang w:val="en-IE" w:bidi="en-US"/>
        </w:rPr>
        <w:t xml:space="preserve">. </w:t>
      </w:r>
    </w:p>
    <w:p w14:paraId="56702506" w14:textId="77777777" w:rsidR="00E65E42" w:rsidRPr="00D403F5" w:rsidRDefault="00E65E42" w:rsidP="000A4E1E">
      <w:pPr>
        <w:spacing w:after="12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w:t>
      </w:r>
      <w:r w:rsidRPr="00D403F5">
        <w:rPr>
          <w:rFonts w:ascii="Arial" w:eastAsia="MS Mincho" w:hAnsi="Arial" w:cs="Arial"/>
          <w:sz w:val="18"/>
          <w:szCs w:val="18"/>
          <w:lang w:val="en-IE"/>
        </w:rPr>
        <w:tab/>
        <w:t>Genotype IVc</w:t>
      </w:r>
    </w:p>
    <w:p w14:paraId="27493C7C" w14:textId="77777777" w:rsidR="00E65E42" w:rsidRPr="00D403F5" w:rsidRDefault="00E65E42" w:rsidP="008A67C2">
      <w:pPr>
        <w:spacing w:after="120" w:line="240" w:lineRule="auto"/>
        <w:ind w:left="1276"/>
        <w:jc w:val="both"/>
        <w:rPr>
          <w:rFonts w:ascii="Arial" w:eastAsia="Times New Roman" w:hAnsi="Arial" w:cs="Times New Roman"/>
          <w:bCs/>
          <w:sz w:val="18"/>
          <w:szCs w:val="18"/>
          <w:lang w:val="en-IE" w:bidi="en-US"/>
        </w:rPr>
      </w:pPr>
      <w:r w:rsidRPr="00BF51FB">
        <w:rPr>
          <w:rFonts w:ascii="Arial" w:eastAsia="Times New Roman" w:hAnsi="Arial" w:cs="Times New Roman"/>
          <w:bCs/>
          <w:sz w:val="18"/>
          <w:szCs w:val="18"/>
          <w:highlight w:val="yellow"/>
          <w:u w:val="double"/>
          <w:lang w:val="en-IE" w:bidi="en-US"/>
        </w:rPr>
        <w:t>The</w:t>
      </w:r>
      <w:r w:rsidRPr="007D71D2">
        <w:rPr>
          <w:rFonts w:ascii="Arial" w:eastAsia="Times New Roman" w:hAnsi="Arial" w:cs="Times New Roman"/>
          <w:bCs/>
          <w:sz w:val="18"/>
          <w:szCs w:val="18"/>
          <w:lang w:val="en-IE" w:bidi="en-US"/>
        </w:rPr>
        <w:t xml:space="preserve"> </w:t>
      </w:r>
      <w:r w:rsidRPr="00BF51FB">
        <w:rPr>
          <w:rFonts w:ascii="Arial" w:eastAsia="Times New Roman" w:hAnsi="Arial" w:cs="Times New Roman"/>
          <w:bCs/>
          <w:sz w:val="18"/>
          <w:szCs w:val="18"/>
          <w:u w:val="double"/>
          <w:lang w:val="en-IE" w:bidi="en-US"/>
        </w:rPr>
        <w:t>i</w:t>
      </w:r>
      <w:r w:rsidRPr="00D403F5">
        <w:rPr>
          <w:rFonts w:ascii="Arial" w:eastAsia="Times New Roman" w:hAnsi="Arial" w:cs="Times New Roman"/>
          <w:bCs/>
          <w:sz w:val="18"/>
          <w:szCs w:val="18"/>
          <w:lang w:val="en-IE" w:bidi="en-US"/>
        </w:rPr>
        <w:t xml:space="preserve">solates </w:t>
      </w:r>
      <w:r w:rsidRPr="00BF51FB">
        <w:rPr>
          <w:rFonts w:ascii="Arial" w:eastAsia="Times New Roman" w:hAnsi="Arial" w:cs="Times New Roman"/>
          <w:bCs/>
          <w:sz w:val="18"/>
          <w:szCs w:val="18"/>
          <w:highlight w:val="yellow"/>
          <w:u w:val="double"/>
          <w:lang w:val="en-IE" w:bidi="en-US"/>
        </w:rPr>
        <w:t xml:space="preserve">included in this </w:t>
      </w:r>
      <w:r w:rsidRPr="009E0963">
        <w:rPr>
          <w:rFonts w:ascii="Arial" w:eastAsia="Times New Roman" w:hAnsi="Arial" w:cs="Times New Roman"/>
          <w:bCs/>
          <w:sz w:val="18"/>
          <w:szCs w:val="18"/>
          <w:highlight w:val="yellow"/>
          <w:u w:val="double"/>
          <w:lang w:val="en-IE" w:bidi="en-US"/>
        </w:rPr>
        <w:t>genotype</w:t>
      </w:r>
      <w:r w:rsidRPr="009E0963">
        <w:rPr>
          <w:rFonts w:ascii="Arial" w:eastAsia="Times New Roman" w:hAnsi="Arial" w:cs="Times New Roman"/>
          <w:bCs/>
          <w:sz w:val="18"/>
          <w:szCs w:val="18"/>
          <w:highlight w:val="yellow"/>
          <w:lang w:val="en-IE" w:bidi="en-US"/>
        </w:rPr>
        <w:t xml:space="preserve"> </w:t>
      </w:r>
      <w:r w:rsidRPr="009E0963">
        <w:rPr>
          <w:rFonts w:ascii="Arial" w:eastAsia="Times New Roman" w:hAnsi="Arial" w:cs="Times New Roman"/>
          <w:bCs/>
          <w:strike/>
          <w:sz w:val="18"/>
          <w:szCs w:val="18"/>
          <w:highlight w:val="yellow"/>
          <w:lang w:val="en-IE" w:bidi="en-US"/>
        </w:rPr>
        <w:t>originate</w:t>
      </w:r>
      <w:r w:rsidRPr="009E0963">
        <w:rPr>
          <w:rFonts w:ascii="Arial" w:eastAsia="Times New Roman" w:hAnsi="Arial" w:cs="Times New Roman"/>
          <w:bCs/>
          <w:sz w:val="18"/>
          <w:szCs w:val="18"/>
          <w:highlight w:val="yellow"/>
          <w:lang w:val="en-IE" w:bidi="en-US"/>
        </w:rPr>
        <w:t xml:space="preserve"> </w:t>
      </w:r>
      <w:r w:rsidRPr="009E0963">
        <w:rPr>
          <w:rFonts w:ascii="Arial" w:eastAsia="Times New Roman" w:hAnsi="Arial" w:cs="Times New Roman"/>
          <w:bCs/>
          <w:sz w:val="18"/>
          <w:szCs w:val="18"/>
          <w:highlight w:val="yellow"/>
          <w:u w:val="double"/>
          <w:lang w:val="en-IE" w:bidi="en-US"/>
        </w:rPr>
        <w:t xml:space="preserve">have been detected </w:t>
      </w:r>
      <w:r w:rsidRPr="00BF51FB">
        <w:rPr>
          <w:rFonts w:ascii="Arial" w:eastAsia="Times New Roman" w:hAnsi="Arial" w:cs="Times New Roman"/>
          <w:bCs/>
          <w:sz w:val="18"/>
          <w:szCs w:val="18"/>
          <w:highlight w:val="yellow"/>
          <w:u w:val="double"/>
          <w:lang w:val="en-IE" w:bidi="en-US"/>
        </w:rPr>
        <w:t>from finfish</w:t>
      </w:r>
      <w:r w:rsidRPr="00123715">
        <w:rPr>
          <w:rFonts w:ascii="Arial" w:eastAsia="Times New Roman" w:hAnsi="Arial" w:cs="Times New Roman"/>
          <w:bCs/>
          <w:color w:val="FF0000"/>
          <w:sz w:val="18"/>
          <w:szCs w:val="18"/>
          <w:lang w:val="en-IE" w:bidi="en-US"/>
        </w:rPr>
        <w:t xml:space="preserve"> </w:t>
      </w:r>
      <w:r w:rsidRPr="00D403F5">
        <w:rPr>
          <w:rFonts w:ascii="Arial" w:eastAsia="Times New Roman" w:hAnsi="Arial" w:cs="Times New Roman"/>
          <w:bCs/>
          <w:sz w:val="18"/>
          <w:szCs w:val="18"/>
          <w:lang w:val="en-IE" w:bidi="en-US"/>
        </w:rPr>
        <w:t>from the estuarine waters of New Brunswick and Nova Scotia, Canada (</w:t>
      </w:r>
      <w:r w:rsidRPr="007B73F2">
        <w:rPr>
          <w:rFonts w:ascii="Arial" w:eastAsia="Times New Roman" w:hAnsi="Arial" w:cs="Times New Roman"/>
          <w:bCs/>
          <w:sz w:val="18"/>
          <w:szCs w:val="18"/>
          <w:lang w:val="en-IE" w:bidi="en-US"/>
        </w:rPr>
        <w:t xml:space="preserve">Gagne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 xml:space="preserve">., 2007; Pierce &amp; Stepien, 2012; </w:t>
      </w:r>
      <w:r w:rsidRPr="007B73F2">
        <w:rPr>
          <w:rFonts w:ascii="Arial" w:eastAsia="Times New Roman" w:hAnsi="Arial" w:cs="Times New Roman"/>
          <w:bCs/>
          <w:sz w:val="18"/>
          <w:szCs w:val="18"/>
          <w:lang w:val="en-IE" w:eastAsia="ko-KR" w:bidi="en-US"/>
        </w:rPr>
        <w:t xml:space="preserve">Stepien </w:t>
      </w:r>
      <w:r w:rsidRPr="007B73F2">
        <w:rPr>
          <w:rFonts w:ascii="Arial" w:eastAsia="Times New Roman" w:hAnsi="Arial" w:cs="Times New Roman"/>
          <w:bCs/>
          <w:i/>
          <w:sz w:val="18"/>
          <w:szCs w:val="18"/>
          <w:lang w:val="en-IE" w:eastAsia="ko-KR" w:bidi="en-US"/>
        </w:rPr>
        <w:t>et al</w:t>
      </w:r>
      <w:r w:rsidRPr="007B73F2">
        <w:rPr>
          <w:rFonts w:ascii="Arial" w:eastAsia="Times New Roman" w:hAnsi="Arial" w:cs="Times New Roman"/>
          <w:bCs/>
          <w:sz w:val="18"/>
          <w:szCs w:val="18"/>
          <w:lang w:val="en-IE" w:eastAsia="ko-KR" w:bidi="en-US"/>
        </w:rPr>
        <w:t>., 2015</w:t>
      </w:r>
      <w:r w:rsidRPr="00D403F5">
        <w:rPr>
          <w:rFonts w:ascii="Arial" w:eastAsia="Times New Roman" w:hAnsi="Arial" w:cs="Times New Roman"/>
          <w:bCs/>
          <w:sz w:val="18"/>
          <w:szCs w:val="18"/>
          <w:lang w:val="en-IE" w:bidi="en-US"/>
        </w:rPr>
        <w:t>).</w:t>
      </w:r>
    </w:p>
    <w:p w14:paraId="3FA22AB4" w14:textId="77777777" w:rsidR="00E65E42" w:rsidRPr="00D403F5" w:rsidRDefault="00E65E42" w:rsidP="000A4E1E">
      <w:pPr>
        <w:spacing w:after="12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xi)</w:t>
      </w:r>
      <w:r w:rsidRPr="00D403F5">
        <w:rPr>
          <w:rFonts w:ascii="Arial" w:eastAsia="MS Mincho" w:hAnsi="Arial" w:cs="Arial"/>
          <w:sz w:val="18"/>
          <w:szCs w:val="18"/>
          <w:lang w:val="en-IE"/>
        </w:rPr>
        <w:tab/>
        <w:t>Genotype IVd</w:t>
      </w:r>
    </w:p>
    <w:p w14:paraId="4B4D0412" w14:textId="77777777" w:rsidR="00E65E42" w:rsidRPr="00D403F5" w:rsidRDefault="00E65E42" w:rsidP="008A67C2">
      <w:pPr>
        <w:spacing w:after="120" w:line="240" w:lineRule="auto"/>
        <w:ind w:left="1276"/>
        <w:jc w:val="both"/>
        <w:rPr>
          <w:rFonts w:ascii="Arial" w:eastAsia="Times New Roman" w:hAnsi="Arial" w:cs="Times New Roman"/>
          <w:bCs/>
          <w:sz w:val="18"/>
          <w:szCs w:val="18"/>
          <w:lang w:val="en-IE" w:bidi="en-US"/>
        </w:rPr>
      </w:pPr>
      <w:r w:rsidRPr="00BF51FB">
        <w:rPr>
          <w:rFonts w:ascii="Arial" w:eastAsia="Times New Roman" w:hAnsi="Arial" w:cs="Times New Roman"/>
          <w:bCs/>
          <w:sz w:val="18"/>
          <w:szCs w:val="18"/>
          <w:highlight w:val="yellow"/>
          <w:u w:val="double"/>
          <w:lang w:val="en-IE" w:bidi="en-US"/>
        </w:rPr>
        <w:t>The</w:t>
      </w:r>
      <w:r w:rsidRPr="007D71D2">
        <w:rPr>
          <w:rFonts w:ascii="Arial" w:eastAsia="Times New Roman" w:hAnsi="Arial" w:cs="Times New Roman"/>
          <w:bCs/>
          <w:sz w:val="18"/>
          <w:szCs w:val="18"/>
          <w:lang w:val="en-IE" w:bidi="en-US"/>
        </w:rPr>
        <w:t xml:space="preserve"> </w:t>
      </w:r>
      <w:r w:rsidRPr="00BF51FB">
        <w:rPr>
          <w:rFonts w:ascii="Arial" w:eastAsia="Times New Roman" w:hAnsi="Arial" w:cs="Times New Roman"/>
          <w:bCs/>
          <w:sz w:val="18"/>
          <w:szCs w:val="18"/>
          <w:u w:val="double"/>
          <w:lang w:val="en-IE" w:bidi="en-US"/>
        </w:rPr>
        <w:t>i</w:t>
      </w:r>
      <w:r w:rsidRPr="00D403F5">
        <w:rPr>
          <w:rFonts w:ascii="Arial" w:eastAsia="Times New Roman" w:hAnsi="Arial" w:cs="Times New Roman"/>
          <w:bCs/>
          <w:sz w:val="18"/>
          <w:szCs w:val="18"/>
          <w:lang w:val="en-IE" w:bidi="en-US"/>
        </w:rPr>
        <w:t xml:space="preserve">solates </w:t>
      </w:r>
      <w:r w:rsidRPr="00BF51FB">
        <w:rPr>
          <w:rFonts w:ascii="Arial" w:eastAsia="Times New Roman" w:hAnsi="Arial" w:cs="Times New Roman"/>
          <w:bCs/>
          <w:sz w:val="18"/>
          <w:szCs w:val="18"/>
          <w:highlight w:val="yellow"/>
          <w:u w:val="double"/>
          <w:lang w:val="en-IE" w:bidi="en-US"/>
        </w:rPr>
        <w:t xml:space="preserve">included in this </w:t>
      </w:r>
      <w:r w:rsidRPr="009E0963">
        <w:rPr>
          <w:rFonts w:ascii="Arial" w:eastAsia="Times New Roman" w:hAnsi="Arial" w:cs="Times New Roman"/>
          <w:bCs/>
          <w:sz w:val="18"/>
          <w:szCs w:val="18"/>
          <w:highlight w:val="yellow"/>
          <w:u w:val="double"/>
          <w:lang w:val="en-IE" w:bidi="en-US"/>
        </w:rPr>
        <w:t>genotype</w:t>
      </w:r>
      <w:r w:rsidRPr="009E0963">
        <w:rPr>
          <w:rFonts w:ascii="Arial" w:eastAsia="Times New Roman" w:hAnsi="Arial" w:cs="Times New Roman"/>
          <w:bCs/>
          <w:sz w:val="18"/>
          <w:szCs w:val="18"/>
          <w:highlight w:val="yellow"/>
          <w:lang w:val="en-IE" w:bidi="en-US"/>
        </w:rPr>
        <w:t xml:space="preserve"> </w:t>
      </w:r>
      <w:r w:rsidRPr="009E0963">
        <w:rPr>
          <w:rFonts w:ascii="Arial" w:eastAsia="Times New Roman" w:hAnsi="Arial" w:cs="Times New Roman"/>
          <w:bCs/>
          <w:strike/>
          <w:sz w:val="18"/>
          <w:szCs w:val="18"/>
          <w:highlight w:val="yellow"/>
          <w:lang w:val="en-IE" w:bidi="en-US"/>
        </w:rPr>
        <w:t>originate</w:t>
      </w:r>
      <w:r w:rsidRPr="007D71D2">
        <w:rPr>
          <w:rFonts w:ascii="Arial" w:eastAsia="Times New Roman" w:hAnsi="Arial" w:cs="Times New Roman"/>
          <w:bCs/>
          <w:strike/>
          <w:sz w:val="18"/>
          <w:szCs w:val="18"/>
          <w:highlight w:val="yellow"/>
          <w:lang w:val="en-IE" w:bidi="en-US"/>
        </w:rPr>
        <w:t xml:space="preserve"> </w:t>
      </w:r>
      <w:r w:rsidRPr="009E0963">
        <w:rPr>
          <w:rFonts w:ascii="Arial" w:eastAsia="Times New Roman" w:hAnsi="Arial" w:cs="Times New Roman"/>
          <w:bCs/>
          <w:sz w:val="18"/>
          <w:szCs w:val="18"/>
          <w:highlight w:val="yellow"/>
          <w:u w:val="double"/>
          <w:lang w:val="en-IE" w:bidi="en-US"/>
        </w:rPr>
        <w:t xml:space="preserve">have been </w:t>
      </w:r>
      <w:r w:rsidRPr="007D71D2">
        <w:rPr>
          <w:rFonts w:ascii="Arial" w:eastAsia="Times New Roman" w:hAnsi="Arial" w:cs="Times New Roman"/>
          <w:bCs/>
          <w:sz w:val="18"/>
          <w:szCs w:val="18"/>
          <w:highlight w:val="yellow"/>
          <w:u w:val="double"/>
          <w:lang w:val="en-IE" w:bidi="en-US"/>
        </w:rPr>
        <w:t>detected in</w:t>
      </w:r>
      <w:r w:rsidRPr="007D71D2">
        <w:rPr>
          <w:rFonts w:ascii="Arial" w:eastAsia="Times New Roman" w:hAnsi="Arial" w:cs="Times New Roman"/>
          <w:bCs/>
          <w:sz w:val="18"/>
          <w:szCs w:val="18"/>
          <w:highlight w:val="yellow"/>
          <w:lang w:val="en-IE" w:bidi="en-US"/>
        </w:rPr>
        <w:t xml:space="preserve"> </w:t>
      </w:r>
      <w:r w:rsidRPr="007D71D2">
        <w:rPr>
          <w:rFonts w:ascii="Arial" w:eastAsia="Times New Roman" w:hAnsi="Arial" w:cs="Times New Roman"/>
          <w:bCs/>
          <w:strike/>
          <w:sz w:val="18"/>
          <w:szCs w:val="18"/>
          <w:highlight w:val="yellow"/>
          <w:lang w:val="en-IE" w:bidi="en-US"/>
        </w:rPr>
        <w:t>from</w:t>
      </w:r>
      <w:r w:rsidRPr="007D71D2">
        <w:rPr>
          <w:rFonts w:ascii="Arial" w:eastAsia="Times New Roman" w:hAnsi="Arial" w:cs="Times New Roman"/>
          <w:bCs/>
          <w:strike/>
          <w:sz w:val="18"/>
          <w:szCs w:val="18"/>
          <w:lang w:val="en-IE" w:bidi="en-US"/>
        </w:rPr>
        <w:t xml:space="preserve"> </w:t>
      </w:r>
      <w:r w:rsidRPr="009E0963">
        <w:rPr>
          <w:rFonts w:ascii="Arial" w:eastAsia="Times New Roman" w:hAnsi="Arial" w:cs="Times New Roman"/>
          <w:bCs/>
          <w:sz w:val="18"/>
          <w:szCs w:val="18"/>
          <w:lang w:val="en-IE" w:bidi="en-US"/>
        </w:rPr>
        <w:t xml:space="preserve">Iceland </w:t>
      </w:r>
      <w:r w:rsidRPr="00D403F5">
        <w:rPr>
          <w:rFonts w:ascii="Arial" w:eastAsia="Times New Roman" w:hAnsi="Arial" w:cs="Times New Roman"/>
          <w:bCs/>
          <w:sz w:val="18"/>
          <w:szCs w:val="18"/>
          <w:lang w:val="en-IE" w:bidi="en-US"/>
        </w:rPr>
        <w:t>where they were identified in wild and farmed lumpfish (</w:t>
      </w:r>
      <w:r w:rsidRPr="00D403F5">
        <w:rPr>
          <w:rFonts w:ascii="Arial" w:eastAsia="Times New Roman" w:hAnsi="Arial" w:cs="Times New Roman"/>
          <w:bCs/>
          <w:i/>
          <w:sz w:val="18"/>
          <w:szCs w:val="18"/>
          <w:lang w:val="en-IE" w:bidi="en-US"/>
        </w:rPr>
        <w:t>Cyclopterus lumpus</w:t>
      </w:r>
      <w:r w:rsidRPr="00D403F5">
        <w:rPr>
          <w:rFonts w:ascii="Arial" w:eastAsia="Times New Roman" w:hAnsi="Arial" w:cs="Times New Roman"/>
          <w:bCs/>
          <w:sz w:val="18"/>
          <w:szCs w:val="18"/>
          <w:lang w:val="en-IE" w:bidi="en-US"/>
        </w:rPr>
        <w:t>) (</w:t>
      </w:r>
      <w:r w:rsidRPr="007B73F2">
        <w:rPr>
          <w:rFonts w:ascii="Arial" w:eastAsia="Times New Roman" w:hAnsi="Arial" w:cs="Times New Roman"/>
          <w:bCs/>
          <w:sz w:val="18"/>
          <w:szCs w:val="18"/>
          <w:lang w:val="en-IE" w:bidi="en-US"/>
        </w:rPr>
        <w:t xml:space="preserve">Gudmundsdottir </w:t>
      </w:r>
      <w:r w:rsidRPr="007B73F2">
        <w:rPr>
          <w:rFonts w:ascii="Arial" w:eastAsia="Times New Roman" w:hAnsi="Arial" w:cs="Times New Roman"/>
          <w:bCs/>
          <w:i/>
          <w:sz w:val="18"/>
          <w:szCs w:val="18"/>
          <w:lang w:val="en-IE" w:bidi="en-US"/>
        </w:rPr>
        <w:t>et al</w:t>
      </w:r>
      <w:r w:rsidRPr="007B73F2">
        <w:rPr>
          <w:rFonts w:ascii="Arial" w:eastAsia="Times New Roman" w:hAnsi="Arial" w:cs="Times New Roman"/>
          <w:bCs/>
          <w:sz w:val="18"/>
          <w:szCs w:val="18"/>
          <w:lang w:val="en-IE" w:bidi="en-US"/>
        </w:rPr>
        <w:t>.,</w:t>
      </w:r>
      <w:r w:rsidRPr="00D403F5">
        <w:rPr>
          <w:rFonts w:ascii="Arial" w:eastAsia="Times New Roman" w:hAnsi="Arial" w:cs="Times New Roman"/>
          <w:bCs/>
          <w:sz w:val="18"/>
          <w:szCs w:val="18"/>
          <w:lang w:val="en-IE" w:bidi="en-US"/>
        </w:rPr>
        <w:t xml:space="preserve"> 2019).</w:t>
      </w:r>
    </w:p>
    <w:p w14:paraId="64A207B8"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bookmarkStart w:id="151" w:name="_Hlk33545263"/>
      <w:r w:rsidRPr="00BC2337">
        <w:rPr>
          <w:rFonts w:ascii="Ottawa" w:eastAsia="Times New Roman" w:hAnsi="Ottawa" w:cs="Times New Roman"/>
          <w:b/>
          <w:bCs/>
          <w:szCs w:val="20"/>
          <w:lang w:val="en-IE" w:eastAsia="fr-FR"/>
        </w:rPr>
        <w:t>2.1.2.</w:t>
      </w:r>
      <w:r w:rsidRPr="00BC2337">
        <w:rPr>
          <w:rFonts w:ascii="Ottawa" w:eastAsia="Times New Roman" w:hAnsi="Ottawa" w:cs="Times New Roman"/>
          <w:b/>
          <w:bCs/>
          <w:szCs w:val="20"/>
          <w:lang w:val="en-IE" w:eastAsia="fr-FR"/>
        </w:rPr>
        <w:tab/>
        <w:t>Survival and stability in processed or stored samples</w:t>
      </w:r>
    </w:p>
    <w:p w14:paraId="370F0E3D" w14:textId="77777777" w:rsidR="00E65E42" w:rsidRPr="00D403F5" w:rsidRDefault="00E65E42" w:rsidP="000A4E1E">
      <w:pPr>
        <w:spacing w:after="240" w:line="240" w:lineRule="auto"/>
        <w:ind w:left="709"/>
        <w:jc w:val="both"/>
        <w:rPr>
          <w:rFonts w:ascii="Arial" w:eastAsia="Times New Roman" w:hAnsi="Arial" w:cs="Arial"/>
          <w:bCs/>
          <w:sz w:val="18"/>
          <w:szCs w:val="18"/>
          <w:lang w:val="en-IE"/>
        </w:rPr>
      </w:pPr>
      <w:r w:rsidRPr="00D403F5">
        <w:rPr>
          <w:rFonts w:ascii="Arial" w:eastAsia="Times New Roman" w:hAnsi="Arial" w:cs="Times New Roman"/>
          <w:bCs/>
          <w:sz w:val="18"/>
          <w:szCs w:val="18"/>
          <w:lang w:val="en-IE"/>
        </w:rPr>
        <w:t xml:space="preserve">VHSV survival in host tissue is dependent on the conditions for storage. VHSV remains infectious for long time periods while stored frozen in fish tissue. However, VHSV-infected fish at commercial freezing temperatures </w:t>
      </w:r>
      <w:r w:rsidRPr="00BF51FB">
        <w:rPr>
          <w:rFonts w:ascii="Arial" w:eastAsia="Times New Roman" w:hAnsi="Arial" w:cs="Times New Roman"/>
          <w:bCs/>
          <w:sz w:val="18"/>
          <w:szCs w:val="18"/>
          <w:highlight w:val="yellow"/>
          <w:u w:val="double"/>
          <w:lang w:val="en-IE"/>
        </w:rPr>
        <w:t>(–20°C)</w:t>
      </w:r>
      <w:r>
        <w:rPr>
          <w:rFonts w:ascii="Arial" w:eastAsia="Times New Roman" w:hAnsi="Arial" w:cs="Times New Roman"/>
          <w:bCs/>
          <w:sz w:val="18"/>
          <w:szCs w:val="18"/>
          <w:lang w:val="en-IE"/>
        </w:rPr>
        <w:t xml:space="preserve"> </w:t>
      </w:r>
      <w:r w:rsidRPr="00D403F5">
        <w:rPr>
          <w:rFonts w:ascii="Arial" w:eastAsia="Times New Roman" w:hAnsi="Arial" w:cs="Times New Roman"/>
          <w:bCs/>
          <w:sz w:val="18"/>
          <w:szCs w:val="18"/>
          <w:lang w:val="en-IE"/>
        </w:rPr>
        <w:t xml:space="preserve">had a 90% reduction in viral titre after the tissue was thawed </w:t>
      </w:r>
      <w:r w:rsidRPr="007B73F2">
        <w:rPr>
          <w:rFonts w:ascii="Arial" w:eastAsia="Times New Roman" w:hAnsi="Arial" w:cs="Times New Roman"/>
          <w:bCs/>
          <w:sz w:val="18"/>
          <w:szCs w:val="18"/>
          <w:lang w:val="en-IE"/>
        </w:rPr>
        <w:t xml:space="preserve">(Arkush </w:t>
      </w:r>
      <w:r w:rsidRPr="007B73F2">
        <w:rPr>
          <w:rFonts w:ascii="Arial" w:eastAsia="Times New Roman" w:hAnsi="Arial" w:cs="Times New Roman"/>
          <w:bCs/>
          <w:i/>
          <w:sz w:val="18"/>
          <w:szCs w:val="18"/>
          <w:lang w:val="en-IE"/>
        </w:rPr>
        <w:t>et al</w:t>
      </w:r>
      <w:r w:rsidRPr="007B73F2">
        <w:rPr>
          <w:rFonts w:ascii="Arial" w:eastAsia="Times New Roman" w:hAnsi="Arial" w:cs="Times New Roman"/>
          <w:bCs/>
          <w:sz w:val="18"/>
          <w:szCs w:val="18"/>
          <w:lang w:val="en-IE"/>
        </w:rPr>
        <w:t>., 2006).</w:t>
      </w:r>
      <w:r w:rsidRPr="00D403F5">
        <w:rPr>
          <w:rFonts w:ascii="Arial" w:eastAsia="Times New Roman" w:hAnsi="Arial" w:cs="Times New Roman"/>
          <w:bCs/>
          <w:sz w:val="18"/>
          <w:szCs w:val="18"/>
          <w:lang w:val="en-IE"/>
        </w:rPr>
        <w:t xml:space="preserve"> </w:t>
      </w:r>
      <w:bookmarkEnd w:id="151"/>
      <w:r w:rsidRPr="00D403F5">
        <w:rPr>
          <w:rFonts w:ascii="Arial" w:eastAsia="Times New Roman" w:hAnsi="Arial" w:cs="Times New Roman"/>
          <w:bCs/>
          <w:sz w:val="18"/>
          <w:szCs w:val="18"/>
          <w:lang w:val="en-IE"/>
        </w:rPr>
        <w:t xml:space="preserve">VHSV is sensitive to enzymatic degradation, environments with high bacterial load and high temperatures (above 28°C). Fresh (unfrozen) muscle tissue from VHSV-infected rainbow trout could transmit </w:t>
      </w:r>
      <w:r w:rsidRPr="00BF51FB">
        <w:rPr>
          <w:rFonts w:ascii="Arial" w:eastAsia="Times New Roman" w:hAnsi="Arial" w:cs="Times New Roman"/>
          <w:bCs/>
          <w:sz w:val="18"/>
          <w:szCs w:val="18"/>
          <w:highlight w:val="yellow"/>
          <w:u w:val="double"/>
          <w:lang w:val="en-IE"/>
        </w:rPr>
        <w:t>infection with</w:t>
      </w:r>
      <w:r>
        <w:rPr>
          <w:rFonts w:ascii="Arial" w:eastAsia="Times New Roman" w:hAnsi="Arial" w:cs="Times New Roman"/>
          <w:bCs/>
          <w:sz w:val="18"/>
          <w:szCs w:val="18"/>
          <w:lang w:val="en-IE"/>
        </w:rPr>
        <w:t xml:space="preserve"> </w:t>
      </w:r>
      <w:r w:rsidRPr="00D403F5">
        <w:rPr>
          <w:rFonts w:ascii="Arial" w:eastAsia="Times New Roman" w:hAnsi="Arial" w:cs="Times New Roman"/>
          <w:bCs/>
          <w:sz w:val="18"/>
          <w:szCs w:val="18"/>
          <w:lang w:val="en-IE"/>
        </w:rPr>
        <w:t>VHS</w:t>
      </w:r>
      <w:r w:rsidRPr="00BF51FB">
        <w:rPr>
          <w:rFonts w:ascii="Arial" w:eastAsia="Times New Roman" w:hAnsi="Arial" w:cs="Times New Roman"/>
          <w:bCs/>
          <w:sz w:val="18"/>
          <w:szCs w:val="18"/>
          <w:highlight w:val="yellow"/>
          <w:u w:val="double"/>
          <w:lang w:val="en-IE"/>
        </w:rPr>
        <w:t>V</w:t>
      </w:r>
      <w:r w:rsidRPr="00D403F5">
        <w:rPr>
          <w:rFonts w:ascii="Arial" w:eastAsia="Times New Roman" w:hAnsi="Arial" w:cs="Times New Roman"/>
          <w:bCs/>
          <w:sz w:val="18"/>
          <w:szCs w:val="18"/>
          <w:lang w:val="en-IE"/>
        </w:rPr>
        <w:t xml:space="preserve"> to naïve fish (</w:t>
      </w:r>
      <w:r w:rsidRPr="007B73F2">
        <w:rPr>
          <w:rFonts w:ascii="Arial" w:eastAsia="Times New Roman" w:hAnsi="Arial" w:cs="Times New Roman"/>
          <w:bCs/>
          <w:sz w:val="18"/>
          <w:szCs w:val="18"/>
          <w:lang w:val="en-IE"/>
        </w:rPr>
        <w:t xml:space="preserve">Oidtmann </w:t>
      </w:r>
      <w:r w:rsidRPr="007B73F2">
        <w:rPr>
          <w:rFonts w:ascii="Arial" w:eastAsia="Times New Roman" w:hAnsi="Arial" w:cs="Times New Roman"/>
          <w:bCs/>
          <w:i/>
          <w:sz w:val="18"/>
          <w:szCs w:val="18"/>
          <w:lang w:val="en-IE"/>
        </w:rPr>
        <w:t>et al.,</w:t>
      </w:r>
      <w:r w:rsidRPr="007B73F2">
        <w:rPr>
          <w:rFonts w:ascii="Arial" w:eastAsia="Times New Roman" w:hAnsi="Arial" w:cs="Times New Roman"/>
          <w:bCs/>
          <w:sz w:val="18"/>
          <w:szCs w:val="18"/>
          <w:lang w:val="en-IE"/>
        </w:rPr>
        <w:t xml:space="preserve"> 2011). VHSV is also tolerant of high salt concentrations such as in brine-treated fish (Skall </w:t>
      </w:r>
      <w:r w:rsidRPr="007B73F2">
        <w:rPr>
          <w:rFonts w:ascii="Arial" w:eastAsia="Times New Roman" w:hAnsi="Arial" w:cs="Times New Roman"/>
          <w:bCs/>
          <w:i/>
          <w:sz w:val="18"/>
          <w:szCs w:val="18"/>
          <w:lang w:val="en-IE"/>
        </w:rPr>
        <w:t>et al.,</w:t>
      </w:r>
      <w:r w:rsidRPr="007B73F2">
        <w:rPr>
          <w:rFonts w:ascii="Arial" w:eastAsia="Times New Roman" w:hAnsi="Arial" w:cs="Times New Roman"/>
          <w:bCs/>
          <w:sz w:val="18"/>
          <w:szCs w:val="18"/>
          <w:lang w:val="en-IE"/>
        </w:rPr>
        <w:t xml:space="preserve"> 2015) or while stored in concentrated ammonium sulphate</w:t>
      </w:r>
      <w:r w:rsidRPr="007B73F2">
        <w:rPr>
          <w:rFonts w:ascii="Arial" w:eastAsia="Times New Roman" w:hAnsi="Arial" w:cs="Times New Roman"/>
          <w:bCs/>
          <w:sz w:val="18"/>
          <w:szCs w:val="18"/>
          <w:lang w:val="en-US"/>
        </w:rPr>
        <w:t xml:space="preserve"> solution</w:t>
      </w:r>
      <w:r w:rsidRPr="007B73F2">
        <w:rPr>
          <w:rFonts w:ascii="Arial" w:eastAsia="Times New Roman" w:hAnsi="Arial" w:cs="Times New Roman"/>
          <w:bCs/>
          <w:sz w:val="18"/>
          <w:szCs w:val="18"/>
          <w:lang w:val="en-IE"/>
        </w:rPr>
        <w:t xml:space="preserve"> (Pham </w:t>
      </w:r>
      <w:r w:rsidRPr="007B73F2">
        <w:rPr>
          <w:rFonts w:ascii="Arial" w:eastAsia="Times New Roman" w:hAnsi="Arial" w:cs="Times New Roman"/>
          <w:bCs/>
          <w:i/>
          <w:sz w:val="18"/>
          <w:szCs w:val="18"/>
          <w:lang w:val="en-IE"/>
        </w:rPr>
        <w:t>et al</w:t>
      </w:r>
      <w:r w:rsidRPr="007B73F2">
        <w:rPr>
          <w:rFonts w:ascii="Arial" w:eastAsia="Times New Roman" w:hAnsi="Arial" w:cs="Times New Roman"/>
          <w:bCs/>
          <w:sz w:val="18"/>
          <w:szCs w:val="18"/>
          <w:lang w:val="en-IE"/>
        </w:rPr>
        <w:t>., 2018). For optimal r</w:t>
      </w:r>
      <w:r w:rsidRPr="00D403F5">
        <w:rPr>
          <w:rFonts w:ascii="Arial" w:eastAsia="Times New Roman" w:hAnsi="Arial" w:cs="Times New Roman"/>
          <w:bCs/>
          <w:sz w:val="18"/>
          <w:szCs w:val="18"/>
          <w:lang w:val="en-IE"/>
        </w:rPr>
        <w:t xml:space="preserve">etention of VHSV in fish tissue, the sample should be placed in transport medium with antibiotics and kept on ice without freezing and processed within 24 hours after sampling. </w:t>
      </w:r>
    </w:p>
    <w:p w14:paraId="7A055CF8" w14:textId="77777777" w:rsidR="008A67C2" w:rsidRDefault="008A67C2">
      <w:pPr>
        <w:rPr>
          <w:rFonts w:ascii="Ottawa" w:eastAsia="Times New Roman" w:hAnsi="Ottawa" w:cs="Times New Roman"/>
          <w:b/>
          <w:bCs/>
          <w:szCs w:val="20"/>
          <w:lang w:val="en-IE" w:eastAsia="fr-FR"/>
        </w:rPr>
      </w:pPr>
      <w:r>
        <w:rPr>
          <w:rFonts w:ascii="Ottawa" w:eastAsia="Times New Roman" w:hAnsi="Ottawa" w:cs="Times New Roman"/>
          <w:b/>
          <w:bCs/>
          <w:szCs w:val="20"/>
          <w:lang w:val="en-IE" w:eastAsia="fr-FR"/>
        </w:rPr>
        <w:br w:type="page"/>
      </w:r>
    </w:p>
    <w:p w14:paraId="3D491FB8" w14:textId="77777777" w:rsidR="008A67C2" w:rsidRPr="000D7670" w:rsidRDefault="008A67C2" w:rsidP="008A67C2">
      <w:pPr>
        <w:spacing w:after="480" w:line="240" w:lineRule="auto"/>
        <w:jc w:val="right"/>
      </w:pPr>
      <w:r w:rsidRPr="000D7670">
        <w:rPr>
          <w:u w:val="single"/>
        </w:rPr>
        <w:lastRenderedPageBreak/>
        <w:t>A</w:t>
      </w:r>
      <w:r w:rsidRPr="000D7670">
        <w:rPr>
          <w:rFonts w:cs="Times New Roman"/>
          <w:bCs/>
          <w:iCs/>
          <w:szCs w:val="20"/>
          <w:u w:val="single"/>
        </w:rPr>
        <w:t>nnex 14</w:t>
      </w:r>
      <w:r w:rsidRPr="000D7670">
        <w:rPr>
          <w:rFonts w:cs="Times New Roman"/>
          <w:bCs/>
          <w:iCs/>
          <w:szCs w:val="20"/>
        </w:rPr>
        <w:t xml:space="preserve"> (contd)</w:t>
      </w:r>
    </w:p>
    <w:p w14:paraId="57A1FF51" w14:textId="654743EA"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2.1.3.</w:t>
      </w:r>
      <w:r w:rsidRPr="00BC2337">
        <w:rPr>
          <w:rFonts w:ascii="Ottawa" w:eastAsia="Times New Roman" w:hAnsi="Ottawa" w:cs="Times New Roman"/>
          <w:b/>
          <w:bCs/>
          <w:szCs w:val="20"/>
          <w:lang w:val="en-IE" w:eastAsia="fr-FR"/>
        </w:rPr>
        <w:tab/>
        <w:t xml:space="preserve">Survival and stability outside the host </w:t>
      </w:r>
    </w:p>
    <w:p w14:paraId="7CCCB95D" w14:textId="77777777" w:rsidR="00E65E42" w:rsidRPr="007B73F2" w:rsidRDefault="00E65E42" w:rsidP="000A4E1E">
      <w:pPr>
        <w:spacing w:after="120" w:line="240" w:lineRule="auto"/>
        <w:ind w:left="709"/>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VHSV survival outside the host is dependent on the physico-chemical conditions of the aqueous medium (</w:t>
      </w:r>
      <w:r w:rsidRPr="007B73F2">
        <w:rPr>
          <w:rFonts w:ascii="Arial" w:eastAsia="Times New Roman" w:hAnsi="Arial" w:cs="Arial"/>
          <w:bCs/>
          <w:sz w:val="18"/>
          <w:szCs w:val="18"/>
          <w:lang w:val="en-IE"/>
        </w:rPr>
        <w:t xml:space="preserve">Ahne, 1982) and on temperature: the virus survives for longer periods at 4°C compared with 20°C (Parry &amp; Dixon, 1997). </w:t>
      </w:r>
    </w:p>
    <w:p w14:paraId="54F0170D" w14:textId="77777777" w:rsidR="00E65E42" w:rsidRPr="007B73F2" w:rsidRDefault="00E65E42" w:rsidP="000A4E1E">
      <w:pPr>
        <w:spacing w:after="120" w:line="240" w:lineRule="auto"/>
        <w:ind w:left="709"/>
        <w:jc w:val="both"/>
        <w:rPr>
          <w:rFonts w:ascii="Arial" w:eastAsia="Times New Roman" w:hAnsi="Arial" w:cs="Arial"/>
          <w:bCs/>
          <w:sz w:val="18"/>
          <w:szCs w:val="18"/>
          <w:lang w:val="en-IE"/>
        </w:rPr>
      </w:pPr>
      <w:r w:rsidRPr="007B73F2">
        <w:rPr>
          <w:rFonts w:ascii="Arial" w:eastAsia="Times New Roman" w:hAnsi="Arial" w:cs="Arial"/>
          <w:bCs/>
          <w:sz w:val="18"/>
          <w:szCs w:val="18"/>
          <w:lang w:val="en-IE"/>
        </w:rPr>
        <w:t xml:space="preserve">VHSV is significantly more stable in freshwater than saltwater. The virus has been documented to persist in freshwater for 28–35 days at 4°C (Parry &amp; Dixon, 1997) and has been found to be infective for 1 year at 4°C in filtered freshwater (Hawley &amp; Garver, 2008). In raw freshwater at 15°C, the 99.9% inactivation time was 13 days, but in seawater the virus was inactivated within 4 days (Hawley &amp; Garver, 2008). In another study using seawater at 15°C, the infectivity of the virus was reduced by 50% after 10 hours, but could still be recovered after 40 hours (Kocan </w:t>
      </w:r>
      <w:r w:rsidRPr="007B73F2">
        <w:rPr>
          <w:rFonts w:ascii="Arial" w:eastAsia="Times New Roman" w:hAnsi="Arial" w:cs="Arial"/>
          <w:bCs/>
          <w:i/>
          <w:sz w:val="18"/>
          <w:szCs w:val="18"/>
          <w:lang w:val="en-IE"/>
        </w:rPr>
        <w:t>et al.,</w:t>
      </w:r>
      <w:r w:rsidRPr="007B73F2">
        <w:rPr>
          <w:rFonts w:ascii="Arial" w:eastAsia="Times New Roman" w:hAnsi="Arial" w:cs="Arial"/>
          <w:bCs/>
          <w:sz w:val="18"/>
          <w:szCs w:val="18"/>
          <w:lang w:val="en-IE"/>
        </w:rPr>
        <w:t xml:space="preserve"> 2001). </w:t>
      </w:r>
      <w:r w:rsidRPr="007B73F2">
        <w:rPr>
          <w:rFonts w:ascii="Arial" w:eastAsia="Times New Roman" w:hAnsi="Arial" w:cs="Times New Roman"/>
          <w:bCs/>
          <w:sz w:val="18"/>
          <w:szCs w:val="18"/>
          <w:lang w:val="en-IE"/>
        </w:rPr>
        <w:t>There appears to be no consistent correlation between the origin and stability of the virus isolates: freshwater isolates are not always the most stable in freshwater and seawater isolates are not consistently more stable in seawater (</w:t>
      </w:r>
      <w:r w:rsidRPr="007B73F2">
        <w:rPr>
          <w:rFonts w:ascii="Arial" w:eastAsia="Times New Roman" w:hAnsi="Arial" w:cs="Arial"/>
          <w:bCs/>
          <w:sz w:val="18"/>
          <w:szCs w:val="18"/>
          <w:lang w:val="en-IE"/>
        </w:rPr>
        <w:t>Hawley &amp; Garver, 2008)</w:t>
      </w:r>
      <w:r w:rsidRPr="007B73F2">
        <w:rPr>
          <w:rFonts w:ascii="Arial" w:eastAsia="Times New Roman" w:hAnsi="Arial" w:cs="Times New Roman"/>
          <w:bCs/>
          <w:sz w:val="18"/>
          <w:szCs w:val="18"/>
          <w:lang w:val="en-IE"/>
        </w:rPr>
        <w:t>.</w:t>
      </w:r>
    </w:p>
    <w:p w14:paraId="19B127B7" w14:textId="77777777" w:rsidR="00E65E42" w:rsidRPr="00D403F5" w:rsidRDefault="00E65E42" w:rsidP="000A4E1E">
      <w:pPr>
        <w:spacing w:after="120" w:line="240" w:lineRule="auto"/>
        <w:ind w:left="709"/>
        <w:jc w:val="both"/>
        <w:rPr>
          <w:rFonts w:ascii="Arial" w:eastAsia="Times New Roman" w:hAnsi="Arial" w:cs="Times New Roman"/>
          <w:bCs/>
          <w:sz w:val="18"/>
          <w:szCs w:val="18"/>
          <w:lang w:val="en-IE"/>
        </w:rPr>
      </w:pPr>
      <w:r w:rsidRPr="007B73F2">
        <w:rPr>
          <w:rFonts w:ascii="Arial" w:eastAsia="Times New Roman" w:hAnsi="Arial" w:cs="Arial"/>
          <w:bCs/>
          <w:sz w:val="18"/>
          <w:szCs w:val="18"/>
          <w:lang w:val="en-IE"/>
        </w:rPr>
        <w:t xml:space="preserve">The virus remains stable for a longer time if sterile organic materials are added to the water, such as ovarian fluids or blood products, such as bovine serum (Kocan </w:t>
      </w:r>
      <w:r w:rsidRPr="007B73F2">
        <w:rPr>
          <w:rFonts w:ascii="Arial" w:eastAsia="Times New Roman" w:hAnsi="Arial" w:cs="Arial"/>
          <w:bCs/>
          <w:i/>
          <w:sz w:val="18"/>
          <w:szCs w:val="18"/>
          <w:lang w:val="en-IE"/>
        </w:rPr>
        <w:t>et al.,</w:t>
      </w:r>
      <w:r w:rsidRPr="007B73F2">
        <w:rPr>
          <w:rFonts w:ascii="Arial" w:eastAsia="Times New Roman" w:hAnsi="Arial" w:cs="Arial"/>
          <w:bCs/>
          <w:sz w:val="18"/>
          <w:szCs w:val="18"/>
          <w:lang w:val="en-IE"/>
        </w:rPr>
        <w:t xml:space="preserve"> 2001). When the sea water was sterilised by autoclaving, or when</w:t>
      </w:r>
      <w:r w:rsidRPr="00D403F5">
        <w:rPr>
          <w:rFonts w:ascii="Arial" w:eastAsia="Times New Roman" w:hAnsi="Arial" w:cs="Arial"/>
          <w:bCs/>
          <w:sz w:val="18"/>
          <w:szCs w:val="18"/>
          <w:lang w:val="en-IE"/>
        </w:rPr>
        <w:t xml:space="preserve"> passed through a 0.22 μm membrane, virus survival was prolonged significantly (60 days at 15°C and 32 days at 20°C), suggesting the bacterial load in the water is an important factor of viral decay.</w:t>
      </w:r>
    </w:p>
    <w:p w14:paraId="3C4D50BA" w14:textId="77777777" w:rsidR="00E65E42" w:rsidRPr="00D62973" w:rsidRDefault="00E65E42" w:rsidP="000A4E1E">
      <w:pPr>
        <w:tabs>
          <w:tab w:val="left" w:pos="1418"/>
        </w:tabs>
        <w:spacing w:after="120" w:line="240" w:lineRule="auto"/>
        <w:ind w:left="709" w:hanging="425"/>
        <w:jc w:val="both"/>
        <w:rPr>
          <w:rFonts w:ascii="Ottawa" w:eastAsia="MS Mincho" w:hAnsi="Ottawa" w:cs="Times New Roman"/>
          <w:b/>
          <w:sz w:val="21"/>
          <w:szCs w:val="21"/>
          <w:lang w:val="da-DK" w:eastAsia="da-DK"/>
        </w:rPr>
      </w:pPr>
      <w:r w:rsidRPr="00D62973">
        <w:rPr>
          <w:rFonts w:ascii="Ottawa" w:eastAsia="MS Mincho" w:hAnsi="Ottawa" w:cs="Times New Roman"/>
          <w:b/>
          <w:sz w:val="21"/>
          <w:szCs w:val="21"/>
          <w:lang w:val="da-DK" w:eastAsia="da-DK"/>
        </w:rPr>
        <w:t>2.2.</w:t>
      </w:r>
      <w:r w:rsidRPr="00D62973">
        <w:rPr>
          <w:rFonts w:ascii="Ottawa" w:eastAsia="MS Mincho" w:hAnsi="Ottawa" w:cs="Times New Roman"/>
          <w:b/>
          <w:sz w:val="21"/>
          <w:szCs w:val="21"/>
          <w:lang w:val="da-DK" w:eastAsia="da-DK"/>
        </w:rPr>
        <w:tab/>
        <w:t>Host factors</w:t>
      </w:r>
    </w:p>
    <w:p w14:paraId="7D1EC0B7"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2.2.1.</w:t>
      </w:r>
      <w:r w:rsidRPr="00BC2337">
        <w:rPr>
          <w:rFonts w:ascii="Ottawa" w:eastAsia="Times New Roman" w:hAnsi="Ottawa" w:cs="Times New Roman"/>
          <w:b/>
          <w:bCs/>
          <w:szCs w:val="20"/>
          <w:lang w:val="en-IE" w:eastAsia="fr-FR"/>
        </w:rPr>
        <w:tab/>
        <w:t xml:space="preserve">Susceptible host species </w:t>
      </w:r>
    </w:p>
    <w:p w14:paraId="1FD421D2" w14:textId="77777777" w:rsidR="00E65E42" w:rsidRPr="00D403F5" w:rsidRDefault="00E65E42" w:rsidP="000A4E1E">
      <w:pPr>
        <w:spacing w:before="120" w:after="240" w:line="240" w:lineRule="auto"/>
        <w:ind w:left="709"/>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Species that fulfil the criteria for listing as susceptible to infection with VHSV according to Chapter 1.5. of the </w:t>
      </w:r>
      <w:r w:rsidRPr="00D403F5">
        <w:rPr>
          <w:rFonts w:ascii="Arial" w:eastAsia="Times New Roman" w:hAnsi="Arial" w:cs="Arial"/>
          <w:bCs/>
          <w:i/>
          <w:iCs/>
          <w:sz w:val="18"/>
          <w:szCs w:val="18"/>
          <w:lang w:val="en-IE"/>
        </w:rPr>
        <w:t>Aquatic Animal Health Code</w:t>
      </w:r>
      <w:r w:rsidRPr="00D403F5">
        <w:rPr>
          <w:rFonts w:ascii="Arial" w:eastAsia="Times New Roman" w:hAnsi="Arial" w:cs="Arial"/>
          <w:bCs/>
          <w:sz w:val="18"/>
          <w:szCs w:val="18"/>
          <w:lang w:val="en-IE"/>
        </w:rPr>
        <w:t xml:space="preserve"> (</w:t>
      </w:r>
      <w:r w:rsidRPr="00D403F5">
        <w:rPr>
          <w:rFonts w:ascii="Arial" w:eastAsia="Times New Roman" w:hAnsi="Arial" w:cs="Arial"/>
          <w:bCs/>
          <w:i/>
          <w:iCs/>
          <w:sz w:val="18"/>
          <w:szCs w:val="18"/>
          <w:lang w:val="en-IE"/>
        </w:rPr>
        <w:t>Aquatic Code</w:t>
      </w:r>
      <w:r w:rsidRPr="00D403F5">
        <w:rPr>
          <w:rFonts w:ascii="Arial" w:eastAsia="Times New Roman" w:hAnsi="Arial" w:cs="Arial"/>
          <w:bCs/>
          <w:sz w:val="18"/>
          <w:szCs w:val="18"/>
          <w:lang w:val="en-IE"/>
        </w:rPr>
        <w:t>) include:</w:t>
      </w:r>
    </w:p>
    <w:tbl>
      <w:tblPr>
        <w:tblW w:w="8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0"/>
        <w:gridCol w:w="2552"/>
        <w:gridCol w:w="2721"/>
        <w:gridCol w:w="1134"/>
      </w:tblGrid>
      <w:tr w:rsidR="00E65E42" w:rsidRPr="007D71D2" w14:paraId="7EE1A051" w14:textId="77777777" w:rsidTr="00E65E42">
        <w:trPr>
          <w:tblHeader/>
          <w:jc w:val="center"/>
        </w:trPr>
        <w:tc>
          <w:tcPr>
            <w:tcW w:w="1700" w:type="dxa"/>
            <w:tcBorders>
              <w:top w:val="single" w:sz="4" w:space="0" w:color="auto"/>
              <w:bottom w:val="single" w:sz="4" w:space="0" w:color="auto"/>
            </w:tcBorders>
            <w:vAlign w:val="center"/>
          </w:tcPr>
          <w:p w14:paraId="28223A26" w14:textId="77777777" w:rsidR="00E65E42" w:rsidRPr="007D71D2" w:rsidRDefault="00E65E42" w:rsidP="00E65E42">
            <w:pPr>
              <w:spacing w:after="0" w:line="240" w:lineRule="auto"/>
              <w:jc w:val="center"/>
              <w:rPr>
                <w:rFonts w:ascii="Ottawa" w:eastAsia="Times New Roman" w:hAnsi="Ottawa" w:cs="Arial"/>
                <w:b/>
                <w:bCs/>
                <w:sz w:val="18"/>
                <w:szCs w:val="18"/>
                <w:lang w:bidi="en-US"/>
              </w:rPr>
            </w:pPr>
            <w:r w:rsidRPr="007D71D2">
              <w:rPr>
                <w:rFonts w:ascii="Ottawa" w:eastAsia="Times New Roman" w:hAnsi="Ottawa" w:cs="Arial"/>
                <w:b/>
                <w:bCs/>
                <w:sz w:val="18"/>
                <w:szCs w:val="18"/>
                <w:lang w:bidi="en-US"/>
              </w:rPr>
              <w:t>Family</w:t>
            </w:r>
          </w:p>
        </w:tc>
        <w:tc>
          <w:tcPr>
            <w:tcW w:w="2552" w:type="dxa"/>
            <w:tcBorders>
              <w:top w:val="single" w:sz="4" w:space="0" w:color="auto"/>
              <w:bottom w:val="single" w:sz="4" w:space="0" w:color="auto"/>
            </w:tcBorders>
            <w:shd w:val="clear" w:color="auto" w:fill="auto"/>
            <w:vAlign w:val="center"/>
          </w:tcPr>
          <w:p w14:paraId="441D9ADF" w14:textId="77777777" w:rsidR="00E65E42" w:rsidRPr="007D71D2" w:rsidRDefault="00E65E42" w:rsidP="00E65E42">
            <w:pPr>
              <w:spacing w:after="0" w:line="240" w:lineRule="auto"/>
              <w:jc w:val="center"/>
              <w:rPr>
                <w:rFonts w:ascii="Ottawa" w:eastAsia="Times New Roman" w:hAnsi="Ottawa" w:cs="Arial"/>
                <w:b/>
                <w:bCs/>
                <w:sz w:val="18"/>
                <w:szCs w:val="18"/>
                <w:lang w:bidi="en-US"/>
              </w:rPr>
            </w:pPr>
            <w:r w:rsidRPr="007D71D2">
              <w:rPr>
                <w:rFonts w:ascii="Ottawa" w:eastAsia="Times New Roman" w:hAnsi="Ottawa" w:cs="Arial"/>
                <w:b/>
                <w:bCs/>
                <w:sz w:val="18"/>
                <w:szCs w:val="18"/>
                <w:lang w:bidi="en-US"/>
              </w:rPr>
              <w:t>Scientific name</w:t>
            </w:r>
          </w:p>
        </w:tc>
        <w:tc>
          <w:tcPr>
            <w:tcW w:w="2721" w:type="dxa"/>
            <w:tcBorders>
              <w:top w:val="single" w:sz="4" w:space="0" w:color="auto"/>
              <w:bottom w:val="single" w:sz="4" w:space="0" w:color="auto"/>
            </w:tcBorders>
            <w:vAlign w:val="center"/>
          </w:tcPr>
          <w:p w14:paraId="3ECB3966" w14:textId="77777777" w:rsidR="00E65E42" w:rsidRPr="007D71D2" w:rsidRDefault="00E65E42" w:rsidP="00E65E42">
            <w:pPr>
              <w:spacing w:after="0" w:line="240" w:lineRule="auto"/>
              <w:jc w:val="center"/>
              <w:rPr>
                <w:rFonts w:ascii="Ottawa" w:eastAsia="Times New Roman" w:hAnsi="Ottawa" w:cs="Arial"/>
                <w:b/>
                <w:bCs/>
                <w:sz w:val="18"/>
                <w:szCs w:val="18"/>
                <w:lang w:bidi="en-US"/>
              </w:rPr>
            </w:pPr>
            <w:r w:rsidRPr="007D71D2">
              <w:rPr>
                <w:rFonts w:ascii="Ottawa" w:eastAsia="Times New Roman" w:hAnsi="Ottawa" w:cs="Arial"/>
                <w:b/>
                <w:bCs/>
                <w:sz w:val="18"/>
                <w:szCs w:val="18"/>
                <w:lang w:bidi="en-US"/>
              </w:rPr>
              <w:t>Common name</w:t>
            </w:r>
          </w:p>
        </w:tc>
        <w:tc>
          <w:tcPr>
            <w:tcW w:w="1134" w:type="dxa"/>
            <w:tcBorders>
              <w:top w:val="single" w:sz="4" w:space="0" w:color="auto"/>
              <w:bottom w:val="single" w:sz="4" w:space="0" w:color="auto"/>
            </w:tcBorders>
          </w:tcPr>
          <w:p w14:paraId="1565D679" w14:textId="77777777" w:rsidR="00E65E42" w:rsidRPr="007D71D2" w:rsidRDefault="00E65E42" w:rsidP="00E65E42">
            <w:pPr>
              <w:spacing w:after="0" w:line="240" w:lineRule="auto"/>
              <w:jc w:val="center"/>
              <w:rPr>
                <w:rFonts w:ascii="Ottawa" w:eastAsia="Times New Roman" w:hAnsi="Ottawa" w:cs="Arial"/>
                <w:b/>
                <w:bCs/>
                <w:sz w:val="18"/>
                <w:szCs w:val="18"/>
                <w:lang w:bidi="en-US"/>
              </w:rPr>
            </w:pPr>
            <w:r w:rsidRPr="007D71D2">
              <w:rPr>
                <w:rFonts w:ascii="Ottawa" w:eastAsia="Times New Roman" w:hAnsi="Ottawa" w:cs="Arial"/>
                <w:b/>
                <w:bCs/>
                <w:sz w:val="18"/>
                <w:szCs w:val="18"/>
                <w:lang w:bidi="en-US"/>
              </w:rPr>
              <w:t>Genotype</w:t>
            </w:r>
          </w:p>
        </w:tc>
      </w:tr>
      <w:tr w:rsidR="00E65E42" w:rsidRPr="007D71D2" w14:paraId="0C368B28" w14:textId="77777777" w:rsidTr="00E65E42">
        <w:trPr>
          <w:jc w:val="center"/>
        </w:trPr>
        <w:tc>
          <w:tcPr>
            <w:tcW w:w="1700" w:type="dxa"/>
            <w:tcBorders>
              <w:top w:val="single" w:sz="4" w:space="0" w:color="auto"/>
            </w:tcBorders>
            <w:vAlign w:val="center"/>
          </w:tcPr>
          <w:p w14:paraId="30D044C1" w14:textId="77777777" w:rsidR="00E65E42" w:rsidRPr="007D71D2" w:rsidRDefault="00E65E42" w:rsidP="00E65E42">
            <w:pPr>
              <w:spacing w:after="0" w:line="240" w:lineRule="auto"/>
              <w:jc w:val="center"/>
              <w:rPr>
                <w:rFonts w:ascii="Arial" w:eastAsia="Times New Roman" w:hAnsi="Arial" w:cs="Arial"/>
                <w:sz w:val="18"/>
                <w:szCs w:val="18"/>
              </w:rPr>
            </w:pPr>
            <w:r w:rsidRPr="007D71D2">
              <w:rPr>
                <w:rFonts w:ascii="Arial" w:eastAsia="Times New Roman" w:hAnsi="Arial" w:cs="Arial"/>
                <w:sz w:val="18"/>
                <w:szCs w:val="18"/>
              </w:rPr>
              <w:t>Ammodytidae</w:t>
            </w:r>
          </w:p>
        </w:tc>
        <w:tc>
          <w:tcPr>
            <w:tcW w:w="2552" w:type="dxa"/>
            <w:tcBorders>
              <w:top w:val="single" w:sz="4" w:space="0" w:color="auto"/>
            </w:tcBorders>
            <w:shd w:val="clear" w:color="auto" w:fill="auto"/>
            <w:vAlign w:val="center"/>
          </w:tcPr>
          <w:p w14:paraId="40EA675F"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Ammodytes hexapterus</w:t>
            </w:r>
          </w:p>
        </w:tc>
        <w:tc>
          <w:tcPr>
            <w:tcW w:w="2721" w:type="dxa"/>
            <w:tcBorders>
              <w:top w:val="single" w:sz="4" w:space="0" w:color="auto"/>
            </w:tcBorders>
            <w:vAlign w:val="center"/>
          </w:tcPr>
          <w:p w14:paraId="7B8C7762"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Pacific sand lance</w:t>
            </w:r>
          </w:p>
        </w:tc>
        <w:tc>
          <w:tcPr>
            <w:tcW w:w="1134" w:type="dxa"/>
            <w:tcBorders>
              <w:top w:val="single" w:sz="4" w:space="0" w:color="auto"/>
            </w:tcBorders>
            <w:vAlign w:val="center"/>
          </w:tcPr>
          <w:p w14:paraId="56CCDC91"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IVa</w:t>
            </w:r>
          </w:p>
        </w:tc>
      </w:tr>
      <w:tr w:rsidR="00E65E42" w:rsidRPr="007D71D2" w14:paraId="38A2FBEC" w14:textId="77777777" w:rsidTr="00E65E42">
        <w:trPr>
          <w:jc w:val="center"/>
        </w:trPr>
        <w:tc>
          <w:tcPr>
            <w:tcW w:w="1700" w:type="dxa"/>
            <w:tcBorders>
              <w:top w:val="single" w:sz="4" w:space="0" w:color="auto"/>
            </w:tcBorders>
            <w:vAlign w:val="center"/>
          </w:tcPr>
          <w:p w14:paraId="23854743" w14:textId="77777777" w:rsidR="00E65E42" w:rsidRPr="007D71D2" w:rsidRDefault="00E65E42" w:rsidP="00E65E42">
            <w:pPr>
              <w:spacing w:after="0" w:line="240" w:lineRule="auto"/>
              <w:jc w:val="center"/>
              <w:rPr>
                <w:rFonts w:ascii="Arial" w:eastAsia="Times New Roman" w:hAnsi="Arial" w:cs="Arial"/>
                <w:bCs/>
                <w:sz w:val="18"/>
                <w:szCs w:val="18"/>
                <w:lang w:bidi="en-US"/>
              </w:rPr>
            </w:pPr>
            <w:r w:rsidRPr="007D71D2">
              <w:rPr>
                <w:rFonts w:ascii="Arial" w:eastAsia="Times New Roman" w:hAnsi="Arial" w:cs="Arial"/>
                <w:bCs/>
                <w:sz w:val="18"/>
                <w:szCs w:val="18"/>
                <w:lang w:val="en-IE" w:bidi="en-US"/>
              </w:rPr>
              <w:t>Aralichthyidae</w:t>
            </w:r>
          </w:p>
        </w:tc>
        <w:tc>
          <w:tcPr>
            <w:tcW w:w="2552" w:type="dxa"/>
            <w:tcBorders>
              <w:top w:val="single" w:sz="4" w:space="0" w:color="auto"/>
            </w:tcBorders>
            <w:shd w:val="clear" w:color="auto" w:fill="auto"/>
            <w:vAlign w:val="center"/>
          </w:tcPr>
          <w:p w14:paraId="4B0BA4FD"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Paralichthys olivaceus</w:t>
            </w:r>
          </w:p>
        </w:tc>
        <w:tc>
          <w:tcPr>
            <w:tcW w:w="2721" w:type="dxa"/>
            <w:tcBorders>
              <w:top w:val="single" w:sz="4" w:space="0" w:color="auto"/>
            </w:tcBorders>
            <w:vAlign w:val="center"/>
          </w:tcPr>
          <w:p w14:paraId="18C55AF9"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Bastard halibut</w:t>
            </w:r>
          </w:p>
        </w:tc>
        <w:tc>
          <w:tcPr>
            <w:tcW w:w="1134" w:type="dxa"/>
            <w:tcBorders>
              <w:top w:val="single" w:sz="4" w:space="0" w:color="auto"/>
            </w:tcBorders>
            <w:vAlign w:val="center"/>
          </w:tcPr>
          <w:p w14:paraId="663FCCDC"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IVa</w:t>
            </w:r>
          </w:p>
        </w:tc>
      </w:tr>
      <w:tr w:rsidR="00E65E42" w:rsidRPr="007D71D2" w14:paraId="03D6ABDA" w14:textId="77777777" w:rsidTr="00E65E42">
        <w:trPr>
          <w:jc w:val="center"/>
        </w:trPr>
        <w:tc>
          <w:tcPr>
            <w:tcW w:w="1700" w:type="dxa"/>
            <w:tcBorders>
              <w:top w:val="single" w:sz="4" w:space="0" w:color="auto"/>
            </w:tcBorders>
            <w:vAlign w:val="center"/>
          </w:tcPr>
          <w:p w14:paraId="5FA76B11" w14:textId="77777777" w:rsidR="00E65E42" w:rsidRPr="007D71D2" w:rsidRDefault="00E65E42" w:rsidP="00E65E42">
            <w:pPr>
              <w:spacing w:after="0" w:line="240" w:lineRule="auto"/>
              <w:jc w:val="center"/>
              <w:rPr>
                <w:rFonts w:ascii="Arial" w:eastAsia="Times New Roman" w:hAnsi="Arial" w:cs="Arial"/>
                <w:bCs/>
                <w:sz w:val="18"/>
                <w:szCs w:val="18"/>
                <w:lang w:bidi="en-US"/>
              </w:rPr>
            </w:pPr>
            <w:r w:rsidRPr="007D71D2">
              <w:rPr>
                <w:rFonts w:ascii="Arial" w:eastAsia="Times New Roman" w:hAnsi="Arial" w:cs="Arial"/>
                <w:bCs/>
                <w:sz w:val="18"/>
                <w:szCs w:val="18"/>
                <w:lang w:val="en-IE" w:bidi="en-US"/>
              </w:rPr>
              <w:t>Carangidae</w:t>
            </w:r>
          </w:p>
        </w:tc>
        <w:tc>
          <w:tcPr>
            <w:tcW w:w="2552" w:type="dxa"/>
            <w:tcBorders>
              <w:top w:val="single" w:sz="4" w:space="0" w:color="auto"/>
            </w:tcBorders>
            <w:shd w:val="clear" w:color="auto" w:fill="auto"/>
            <w:vAlign w:val="center"/>
          </w:tcPr>
          <w:p w14:paraId="34C35F51"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Trachurus mediterraneus</w:t>
            </w:r>
          </w:p>
        </w:tc>
        <w:tc>
          <w:tcPr>
            <w:tcW w:w="2721" w:type="dxa"/>
            <w:tcBorders>
              <w:top w:val="single" w:sz="4" w:space="0" w:color="auto"/>
            </w:tcBorders>
            <w:vAlign w:val="center"/>
          </w:tcPr>
          <w:p w14:paraId="462C6EBB"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 xml:space="preserve">Mediterranean horse mackerel </w:t>
            </w:r>
          </w:p>
        </w:tc>
        <w:tc>
          <w:tcPr>
            <w:tcW w:w="1134" w:type="dxa"/>
            <w:tcBorders>
              <w:top w:val="single" w:sz="4" w:space="0" w:color="auto"/>
            </w:tcBorders>
            <w:vAlign w:val="center"/>
          </w:tcPr>
          <w:p w14:paraId="31A0E0A3"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Ie</w:t>
            </w:r>
          </w:p>
        </w:tc>
      </w:tr>
      <w:tr w:rsidR="00E65E42" w:rsidRPr="007D71D2" w14:paraId="40D79EFA" w14:textId="77777777" w:rsidTr="00E65E42">
        <w:trPr>
          <w:jc w:val="center"/>
        </w:trPr>
        <w:tc>
          <w:tcPr>
            <w:tcW w:w="1700" w:type="dxa"/>
            <w:vMerge w:val="restart"/>
            <w:tcBorders>
              <w:top w:val="single" w:sz="4" w:space="0" w:color="auto"/>
            </w:tcBorders>
            <w:vAlign w:val="center"/>
          </w:tcPr>
          <w:p w14:paraId="5D8B8D7B" w14:textId="77777777" w:rsidR="00E65E42" w:rsidRPr="007D71D2" w:rsidRDefault="00E65E42" w:rsidP="00E65E42">
            <w:pPr>
              <w:spacing w:after="0" w:line="240" w:lineRule="auto"/>
              <w:jc w:val="center"/>
              <w:rPr>
                <w:rFonts w:ascii="Arial" w:eastAsia="Times New Roman" w:hAnsi="Arial" w:cs="Arial"/>
                <w:sz w:val="18"/>
                <w:szCs w:val="18"/>
              </w:rPr>
            </w:pPr>
            <w:r w:rsidRPr="007D71D2">
              <w:rPr>
                <w:rFonts w:ascii="Arial" w:eastAsia="Times New Roman" w:hAnsi="Arial" w:cs="Arial"/>
                <w:sz w:val="18"/>
                <w:szCs w:val="18"/>
              </w:rPr>
              <w:t>Centrarchidae</w:t>
            </w:r>
          </w:p>
        </w:tc>
        <w:tc>
          <w:tcPr>
            <w:tcW w:w="2552" w:type="dxa"/>
            <w:tcBorders>
              <w:top w:val="single" w:sz="4" w:space="0" w:color="auto"/>
            </w:tcBorders>
            <w:shd w:val="clear" w:color="auto" w:fill="auto"/>
            <w:vAlign w:val="center"/>
          </w:tcPr>
          <w:p w14:paraId="4DBF85DE" w14:textId="77777777" w:rsidR="00E65E42" w:rsidRPr="007D71D2" w:rsidRDefault="00E65E42" w:rsidP="00E65E42">
            <w:pPr>
              <w:spacing w:after="0" w:line="240" w:lineRule="auto"/>
              <w:jc w:val="center"/>
              <w:rPr>
                <w:rFonts w:ascii="Arial" w:eastAsia="Times New Roman" w:hAnsi="Arial" w:cs="Arial"/>
                <w:bCs/>
                <w:i/>
                <w:iCs/>
                <w:sz w:val="18"/>
                <w:szCs w:val="18"/>
                <w:lang w:val="en-IE" w:bidi="en-US"/>
              </w:rPr>
            </w:pPr>
            <w:r w:rsidRPr="007D71D2">
              <w:rPr>
                <w:rFonts w:ascii="Arial" w:eastAsia="Times New Roman" w:hAnsi="Arial" w:cs="Arial"/>
                <w:bCs/>
                <w:i/>
                <w:iCs/>
                <w:sz w:val="18"/>
                <w:szCs w:val="18"/>
                <w:lang w:val="en-IE" w:bidi="en-US"/>
              </w:rPr>
              <w:t>Ambloplites rupestris</w:t>
            </w:r>
          </w:p>
        </w:tc>
        <w:tc>
          <w:tcPr>
            <w:tcW w:w="2721" w:type="dxa"/>
            <w:tcBorders>
              <w:top w:val="single" w:sz="4" w:space="0" w:color="auto"/>
            </w:tcBorders>
            <w:vAlign w:val="center"/>
          </w:tcPr>
          <w:p w14:paraId="477F7BDA" w14:textId="77777777" w:rsidR="00E65E42" w:rsidRPr="007D71D2" w:rsidRDefault="00E65E42" w:rsidP="00E65E42">
            <w:pPr>
              <w:spacing w:after="0" w:line="240" w:lineRule="auto"/>
              <w:jc w:val="center"/>
              <w:rPr>
                <w:rFonts w:ascii="Arial" w:eastAsia="Times New Roman" w:hAnsi="Arial" w:cs="Arial"/>
                <w:bCs/>
                <w:sz w:val="18"/>
                <w:szCs w:val="18"/>
                <w:lang w:val="en-IE" w:bidi="en-US"/>
              </w:rPr>
            </w:pPr>
            <w:r w:rsidRPr="007D71D2">
              <w:rPr>
                <w:rFonts w:ascii="Arial" w:eastAsia="Times New Roman" w:hAnsi="Arial" w:cs="Arial"/>
                <w:bCs/>
                <w:sz w:val="18"/>
                <w:szCs w:val="18"/>
                <w:lang w:val="en-IE" w:bidi="en-US"/>
              </w:rPr>
              <w:t>Rock bass</w:t>
            </w:r>
          </w:p>
        </w:tc>
        <w:tc>
          <w:tcPr>
            <w:tcW w:w="1134" w:type="dxa"/>
            <w:tcBorders>
              <w:top w:val="single" w:sz="4" w:space="0" w:color="auto"/>
            </w:tcBorders>
            <w:vAlign w:val="center"/>
          </w:tcPr>
          <w:p w14:paraId="00BF2ABF"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IVb</w:t>
            </w:r>
          </w:p>
        </w:tc>
      </w:tr>
      <w:tr w:rsidR="00E65E42" w:rsidRPr="007D71D2" w14:paraId="280248FF" w14:textId="77777777" w:rsidTr="00E65E42">
        <w:trPr>
          <w:jc w:val="center"/>
        </w:trPr>
        <w:tc>
          <w:tcPr>
            <w:tcW w:w="1700" w:type="dxa"/>
            <w:vMerge/>
            <w:vAlign w:val="center"/>
          </w:tcPr>
          <w:p w14:paraId="2AFAC280" w14:textId="77777777" w:rsidR="00E65E42" w:rsidRPr="007D71D2" w:rsidRDefault="00E65E42" w:rsidP="00E65E42">
            <w:pPr>
              <w:spacing w:after="0" w:line="240" w:lineRule="auto"/>
              <w:jc w:val="center"/>
              <w:rPr>
                <w:rFonts w:ascii="Arial" w:eastAsia="Times New Roman" w:hAnsi="Arial" w:cs="Arial"/>
                <w:sz w:val="18"/>
                <w:szCs w:val="18"/>
              </w:rPr>
            </w:pPr>
          </w:p>
        </w:tc>
        <w:tc>
          <w:tcPr>
            <w:tcW w:w="2552" w:type="dxa"/>
            <w:tcBorders>
              <w:top w:val="single" w:sz="4" w:space="0" w:color="auto"/>
            </w:tcBorders>
            <w:shd w:val="clear" w:color="auto" w:fill="auto"/>
            <w:vAlign w:val="center"/>
          </w:tcPr>
          <w:p w14:paraId="71047A18" w14:textId="77777777" w:rsidR="00E65E42" w:rsidRPr="007D71D2" w:rsidRDefault="00E65E42" w:rsidP="00E65E42">
            <w:pPr>
              <w:spacing w:after="0" w:line="240" w:lineRule="auto"/>
              <w:jc w:val="center"/>
              <w:rPr>
                <w:rFonts w:ascii="Arial" w:eastAsia="Times New Roman" w:hAnsi="Arial" w:cs="Arial"/>
                <w:bCs/>
                <w:i/>
                <w:iCs/>
                <w:sz w:val="18"/>
                <w:szCs w:val="18"/>
                <w:lang w:val="en-IE" w:bidi="en-US"/>
              </w:rPr>
            </w:pPr>
            <w:r w:rsidRPr="007D71D2">
              <w:rPr>
                <w:rFonts w:ascii="Arial" w:eastAsia="Times New Roman" w:hAnsi="Arial" w:cs="Arial"/>
                <w:bCs/>
                <w:i/>
                <w:iCs/>
                <w:sz w:val="18"/>
                <w:szCs w:val="18"/>
                <w:lang w:val="en-IE" w:bidi="en-US"/>
              </w:rPr>
              <w:t>Lepomis gibbosus</w:t>
            </w:r>
          </w:p>
        </w:tc>
        <w:tc>
          <w:tcPr>
            <w:tcW w:w="2721" w:type="dxa"/>
            <w:tcBorders>
              <w:top w:val="single" w:sz="4" w:space="0" w:color="auto"/>
            </w:tcBorders>
            <w:vAlign w:val="center"/>
          </w:tcPr>
          <w:p w14:paraId="53CCE381" w14:textId="77777777" w:rsidR="00E65E42" w:rsidRPr="007D71D2" w:rsidRDefault="00E65E42" w:rsidP="00E65E42">
            <w:pPr>
              <w:spacing w:after="0" w:line="240" w:lineRule="auto"/>
              <w:jc w:val="center"/>
              <w:rPr>
                <w:rFonts w:ascii="Arial" w:eastAsia="Times New Roman" w:hAnsi="Arial" w:cs="Arial"/>
                <w:bCs/>
                <w:sz w:val="18"/>
                <w:szCs w:val="18"/>
                <w:lang w:val="en-IE" w:bidi="en-US"/>
              </w:rPr>
            </w:pPr>
            <w:r w:rsidRPr="007D71D2">
              <w:rPr>
                <w:rFonts w:ascii="Arial" w:eastAsia="Times New Roman" w:hAnsi="Arial" w:cs="Arial"/>
                <w:bCs/>
                <w:sz w:val="18"/>
                <w:szCs w:val="18"/>
                <w:lang w:val="en-IE" w:bidi="en-US"/>
              </w:rPr>
              <w:t>Pumpkinseed</w:t>
            </w:r>
          </w:p>
        </w:tc>
        <w:tc>
          <w:tcPr>
            <w:tcW w:w="1134" w:type="dxa"/>
            <w:tcBorders>
              <w:top w:val="single" w:sz="4" w:space="0" w:color="auto"/>
            </w:tcBorders>
            <w:vAlign w:val="center"/>
          </w:tcPr>
          <w:p w14:paraId="76409E35"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IVb</w:t>
            </w:r>
          </w:p>
        </w:tc>
      </w:tr>
      <w:tr w:rsidR="00E65E42" w:rsidRPr="007D71D2" w14:paraId="1AFCE9E6" w14:textId="77777777" w:rsidTr="00E65E42">
        <w:trPr>
          <w:jc w:val="center"/>
        </w:trPr>
        <w:tc>
          <w:tcPr>
            <w:tcW w:w="1700" w:type="dxa"/>
            <w:vMerge/>
            <w:vAlign w:val="center"/>
          </w:tcPr>
          <w:p w14:paraId="7AB72E48" w14:textId="77777777" w:rsidR="00E65E42" w:rsidRPr="007D71D2" w:rsidRDefault="00E65E42" w:rsidP="00E65E42">
            <w:pPr>
              <w:spacing w:after="0" w:line="240" w:lineRule="auto"/>
              <w:jc w:val="center"/>
              <w:rPr>
                <w:rFonts w:ascii="Arial" w:eastAsia="Times New Roman" w:hAnsi="Arial" w:cs="Arial"/>
                <w:sz w:val="18"/>
                <w:szCs w:val="18"/>
              </w:rPr>
            </w:pPr>
          </w:p>
        </w:tc>
        <w:tc>
          <w:tcPr>
            <w:tcW w:w="2552" w:type="dxa"/>
            <w:tcBorders>
              <w:top w:val="single" w:sz="4" w:space="0" w:color="auto"/>
            </w:tcBorders>
            <w:shd w:val="clear" w:color="auto" w:fill="auto"/>
            <w:vAlign w:val="center"/>
          </w:tcPr>
          <w:p w14:paraId="60778394" w14:textId="77777777" w:rsidR="00E65E42" w:rsidRPr="007D71D2" w:rsidRDefault="00E65E42" w:rsidP="00E65E42">
            <w:pPr>
              <w:spacing w:after="0" w:line="240" w:lineRule="auto"/>
              <w:jc w:val="center"/>
              <w:rPr>
                <w:rFonts w:ascii="Arial" w:eastAsia="Times New Roman" w:hAnsi="Arial" w:cs="Arial"/>
                <w:bCs/>
                <w:i/>
                <w:iCs/>
                <w:sz w:val="18"/>
                <w:szCs w:val="18"/>
                <w:lang w:val="en-IE" w:bidi="en-US"/>
              </w:rPr>
            </w:pPr>
            <w:r w:rsidRPr="007D71D2">
              <w:rPr>
                <w:rFonts w:ascii="Arial" w:eastAsia="Times New Roman" w:hAnsi="Arial" w:cs="Arial"/>
                <w:bCs/>
                <w:i/>
                <w:iCs/>
                <w:sz w:val="18"/>
                <w:szCs w:val="18"/>
                <w:lang w:val="en-IE" w:bidi="en-US"/>
              </w:rPr>
              <w:t>Lepomis macrochirus</w:t>
            </w:r>
          </w:p>
        </w:tc>
        <w:tc>
          <w:tcPr>
            <w:tcW w:w="2721" w:type="dxa"/>
            <w:tcBorders>
              <w:top w:val="single" w:sz="4" w:space="0" w:color="auto"/>
            </w:tcBorders>
            <w:vAlign w:val="center"/>
          </w:tcPr>
          <w:p w14:paraId="63FFB5AE" w14:textId="77777777" w:rsidR="00E65E42" w:rsidRPr="007D71D2" w:rsidRDefault="00E65E42" w:rsidP="00E65E42">
            <w:pPr>
              <w:spacing w:after="0" w:line="240" w:lineRule="auto"/>
              <w:jc w:val="center"/>
              <w:rPr>
                <w:rFonts w:ascii="Arial" w:eastAsia="Times New Roman" w:hAnsi="Arial" w:cs="Arial"/>
                <w:bCs/>
                <w:sz w:val="18"/>
                <w:szCs w:val="18"/>
                <w:lang w:val="en-IE" w:bidi="en-US"/>
              </w:rPr>
            </w:pPr>
            <w:r w:rsidRPr="007D71D2">
              <w:rPr>
                <w:rFonts w:ascii="Arial" w:eastAsia="Times New Roman" w:hAnsi="Arial" w:cs="Arial"/>
                <w:bCs/>
                <w:sz w:val="18"/>
                <w:szCs w:val="18"/>
                <w:lang w:val="en-IE" w:bidi="en-US"/>
              </w:rPr>
              <w:t>Bluegill</w:t>
            </w:r>
          </w:p>
        </w:tc>
        <w:tc>
          <w:tcPr>
            <w:tcW w:w="1134" w:type="dxa"/>
            <w:tcBorders>
              <w:top w:val="single" w:sz="4" w:space="0" w:color="auto"/>
            </w:tcBorders>
            <w:vAlign w:val="center"/>
          </w:tcPr>
          <w:p w14:paraId="63E9CA25"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 IVb</w:t>
            </w:r>
          </w:p>
        </w:tc>
      </w:tr>
      <w:tr w:rsidR="00E65E42" w:rsidRPr="007D71D2" w14:paraId="4D7C7B7A" w14:textId="77777777" w:rsidTr="00E65E42">
        <w:trPr>
          <w:jc w:val="center"/>
        </w:trPr>
        <w:tc>
          <w:tcPr>
            <w:tcW w:w="1700" w:type="dxa"/>
            <w:vMerge/>
            <w:vAlign w:val="center"/>
          </w:tcPr>
          <w:p w14:paraId="73A5EB14" w14:textId="77777777" w:rsidR="00E65E42" w:rsidRPr="007D71D2" w:rsidRDefault="00E65E42" w:rsidP="00E65E42">
            <w:pPr>
              <w:spacing w:after="0" w:line="240" w:lineRule="auto"/>
              <w:jc w:val="center"/>
              <w:rPr>
                <w:rFonts w:ascii="Arial" w:eastAsia="Times New Roman" w:hAnsi="Arial" w:cs="Arial"/>
                <w:sz w:val="18"/>
                <w:szCs w:val="18"/>
              </w:rPr>
            </w:pPr>
          </w:p>
        </w:tc>
        <w:tc>
          <w:tcPr>
            <w:tcW w:w="2552" w:type="dxa"/>
            <w:tcBorders>
              <w:top w:val="single" w:sz="4" w:space="0" w:color="auto"/>
            </w:tcBorders>
            <w:shd w:val="clear" w:color="auto" w:fill="auto"/>
            <w:vAlign w:val="center"/>
          </w:tcPr>
          <w:p w14:paraId="3F3845E4" w14:textId="77777777" w:rsidR="00E65E42" w:rsidRPr="007D71D2" w:rsidRDefault="00E65E42" w:rsidP="00E65E42">
            <w:pPr>
              <w:spacing w:after="0" w:line="240" w:lineRule="auto"/>
              <w:jc w:val="center"/>
              <w:rPr>
                <w:rFonts w:ascii="Arial" w:eastAsia="Times New Roman" w:hAnsi="Arial" w:cs="Arial"/>
                <w:bCs/>
                <w:i/>
                <w:iCs/>
                <w:sz w:val="18"/>
                <w:szCs w:val="18"/>
                <w:lang w:val="en-IE" w:bidi="en-US"/>
              </w:rPr>
            </w:pPr>
            <w:r w:rsidRPr="007D71D2">
              <w:rPr>
                <w:rFonts w:ascii="Arial" w:eastAsia="Times New Roman" w:hAnsi="Arial" w:cs="Arial"/>
                <w:bCs/>
                <w:i/>
                <w:iCs/>
                <w:sz w:val="18"/>
                <w:szCs w:val="18"/>
                <w:lang w:val="en-IE" w:bidi="en-US"/>
              </w:rPr>
              <w:t>Micropterus dolomieu</w:t>
            </w:r>
          </w:p>
        </w:tc>
        <w:tc>
          <w:tcPr>
            <w:tcW w:w="2721" w:type="dxa"/>
            <w:tcBorders>
              <w:top w:val="single" w:sz="4" w:space="0" w:color="auto"/>
            </w:tcBorders>
            <w:vAlign w:val="center"/>
          </w:tcPr>
          <w:p w14:paraId="6CDE1DC2" w14:textId="77777777" w:rsidR="00E65E42" w:rsidRPr="007D71D2" w:rsidRDefault="00E65E42" w:rsidP="00E65E42">
            <w:pPr>
              <w:spacing w:after="0" w:line="240" w:lineRule="auto"/>
              <w:jc w:val="center"/>
              <w:rPr>
                <w:rFonts w:ascii="Arial" w:eastAsia="Times New Roman" w:hAnsi="Arial" w:cs="Arial"/>
                <w:bCs/>
                <w:sz w:val="18"/>
                <w:szCs w:val="18"/>
                <w:lang w:val="en-IE" w:bidi="en-US"/>
              </w:rPr>
            </w:pPr>
            <w:r w:rsidRPr="007D71D2">
              <w:rPr>
                <w:rFonts w:ascii="Arial" w:eastAsia="Times New Roman" w:hAnsi="Arial" w:cs="Arial"/>
                <w:bCs/>
                <w:sz w:val="18"/>
                <w:szCs w:val="18"/>
                <w:lang w:val="en-IE" w:bidi="en-US"/>
              </w:rPr>
              <w:t>Smallmouth bass</w:t>
            </w:r>
          </w:p>
        </w:tc>
        <w:tc>
          <w:tcPr>
            <w:tcW w:w="1134" w:type="dxa"/>
            <w:tcBorders>
              <w:top w:val="single" w:sz="4" w:space="0" w:color="auto"/>
            </w:tcBorders>
            <w:vAlign w:val="center"/>
          </w:tcPr>
          <w:p w14:paraId="202884D4"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IVb</w:t>
            </w:r>
          </w:p>
        </w:tc>
      </w:tr>
      <w:tr w:rsidR="00E65E42" w:rsidRPr="007D71D2" w14:paraId="44C13304" w14:textId="77777777" w:rsidTr="00E65E42">
        <w:trPr>
          <w:jc w:val="center"/>
        </w:trPr>
        <w:tc>
          <w:tcPr>
            <w:tcW w:w="1700" w:type="dxa"/>
            <w:vMerge/>
            <w:vAlign w:val="center"/>
          </w:tcPr>
          <w:p w14:paraId="3B99D595" w14:textId="77777777" w:rsidR="00E65E42" w:rsidRPr="007D71D2" w:rsidRDefault="00E65E42" w:rsidP="00E65E42">
            <w:pPr>
              <w:spacing w:after="0" w:line="240" w:lineRule="auto"/>
              <w:jc w:val="center"/>
              <w:rPr>
                <w:rFonts w:ascii="Arial" w:eastAsia="Times New Roman" w:hAnsi="Arial" w:cs="Arial"/>
                <w:sz w:val="18"/>
                <w:szCs w:val="18"/>
              </w:rPr>
            </w:pPr>
          </w:p>
        </w:tc>
        <w:tc>
          <w:tcPr>
            <w:tcW w:w="2552" w:type="dxa"/>
            <w:tcBorders>
              <w:top w:val="single" w:sz="4" w:space="0" w:color="auto"/>
            </w:tcBorders>
            <w:shd w:val="clear" w:color="auto" w:fill="auto"/>
            <w:vAlign w:val="center"/>
          </w:tcPr>
          <w:p w14:paraId="17A37BF0"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Micropterus salmoides</w:t>
            </w:r>
          </w:p>
        </w:tc>
        <w:tc>
          <w:tcPr>
            <w:tcW w:w="2721" w:type="dxa"/>
            <w:tcBorders>
              <w:top w:val="single" w:sz="4" w:space="0" w:color="auto"/>
            </w:tcBorders>
            <w:vAlign w:val="center"/>
          </w:tcPr>
          <w:p w14:paraId="75D6729D"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Largemouth bass</w:t>
            </w:r>
          </w:p>
        </w:tc>
        <w:tc>
          <w:tcPr>
            <w:tcW w:w="1134" w:type="dxa"/>
            <w:tcBorders>
              <w:top w:val="single" w:sz="4" w:space="0" w:color="auto"/>
            </w:tcBorders>
            <w:vAlign w:val="center"/>
          </w:tcPr>
          <w:p w14:paraId="3EF7D55D"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IVb</w:t>
            </w:r>
          </w:p>
        </w:tc>
      </w:tr>
      <w:tr w:rsidR="00E65E42" w:rsidRPr="007D71D2" w14:paraId="24FB30A7" w14:textId="77777777" w:rsidTr="00E65E42">
        <w:trPr>
          <w:jc w:val="center"/>
        </w:trPr>
        <w:tc>
          <w:tcPr>
            <w:tcW w:w="1700" w:type="dxa"/>
            <w:vMerge/>
            <w:vAlign w:val="center"/>
          </w:tcPr>
          <w:p w14:paraId="42CEFF50" w14:textId="77777777" w:rsidR="00E65E42" w:rsidRPr="007D71D2"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tcBorders>
            <w:shd w:val="clear" w:color="auto" w:fill="auto"/>
            <w:vAlign w:val="center"/>
          </w:tcPr>
          <w:p w14:paraId="1A257841"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Pomoxis nigromaculatus</w:t>
            </w:r>
          </w:p>
        </w:tc>
        <w:tc>
          <w:tcPr>
            <w:tcW w:w="2721" w:type="dxa"/>
            <w:tcBorders>
              <w:top w:val="single" w:sz="4" w:space="0" w:color="auto"/>
            </w:tcBorders>
            <w:vAlign w:val="center"/>
          </w:tcPr>
          <w:p w14:paraId="2A832770"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Black crappie</w:t>
            </w:r>
          </w:p>
        </w:tc>
        <w:tc>
          <w:tcPr>
            <w:tcW w:w="1134" w:type="dxa"/>
            <w:tcBorders>
              <w:top w:val="single" w:sz="4" w:space="0" w:color="auto"/>
            </w:tcBorders>
            <w:vAlign w:val="center"/>
          </w:tcPr>
          <w:p w14:paraId="048CB4A7"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IVb</w:t>
            </w:r>
          </w:p>
        </w:tc>
      </w:tr>
      <w:tr w:rsidR="00E65E42" w:rsidRPr="007D71D2" w14:paraId="40CA9727" w14:textId="77777777" w:rsidTr="00E65E42">
        <w:trPr>
          <w:jc w:val="center"/>
        </w:trPr>
        <w:tc>
          <w:tcPr>
            <w:tcW w:w="1700" w:type="dxa"/>
            <w:vMerge w:val="restart"/>
            <w:vAlign w:val="center"/>
          </w:tcPr>
          <w:p w14:paraId="5386432B" w14:textId="77777777" w:rsidR="00E65E42" w:rsidRPr="007D71D2" w:rsidRDefault="00E65E42" w:rsidP="00E65E42">
            <w:pPr>
              <w:spacing w:after="0" w:line="240" w:lineRule="auto"/>
              <w:jc w:val="center"/>
              <w:rPr>
                <w:rFonts w:ascii="Arial" w:eastAsia="Times New Roman" w:hAnsi="Arial" w:cs="Arial"/>
                <w:sz w:val="18"/>
                <w:szCs w:val="18"/>
              </w:rPr>
            </w:pPr>
            <w:r w:rsidRPr="007D71D2">
              <w:rPr>
                <w:rFonts w:ascii="Arial" w:eastAsia="Times New Roman" w:hAnsi="Arial" w:cs="Arial"/>
                <w:sz w:val="18"/>
                <w:szCs w:val="18"/>
              </w:rPr>
              <w:t>Clupeidae</w:t>
            </w:r>
          </w:p>
        </w:tc>
        <w:tc>
          <w:tcPr>
            <w:tcW w:w="2552" w:type="dxa"/>
            <w:shd w:val="clear" w:color="auto" w:fill="auto"/>
            <w:vAlign w:val="center"/>
          </w:tcPr>
          <w:p w14:paraId="60CBB3EB" w14:textId="77777777" w:rsidR="00E65E42" w:rsidRPr="007D71D2" w:rsidRDefault="00E65E42" w:rsidP="00E65E42">
            <w:pPr>
              <w:spacing w:after="0" w:line="240" w:lineRule="auto"/>
              <w:jc w:val="center"/>
              <w:rPr>
                <w:rFonts w:ascii="Arial" w:eastAsia="Times New Roman" w:hAnsi="Arial" w:cs="Arial"/>
                <w:bCs/>
                <w:i/>
                <w:iCs/>
                <w:sz w:val="18"/>
                <w:szCs w:val="18"/>
                <w:lang w:val="en-IE" w:bidi="en-US"/>
              </w:rPr>
            </w:pPr>
            <w:r w:rsidRPr="007D71D2">
              <w:rPr>
                <w:rFonts w:ascii="Arial" w:eastAsia="Times New Roman" w:hAnsi="Arial" w:cs="Arial"/>
                <w:bCs/>
                <w:i/>
                <w:iCs/>
                <w:sz w:val="18"/>
                <w:szCs w:val="18"/>
                <w:lang w:val="en-IE" w:bidi="en-US"/>
              </w:rPr>
              <w:t>Alosa immaculata</w:t>
            </w:r>
          </w:p>
        </w:tc>
        <w:tc>
          <w:tcPr>
            <w:tcW w:w="2721" w:type="dxa"/>
            <w:vAlign w:val="center"/>
          </w:tcPr>
          <w:p w14:paraId="01C21C69" w14:textId="77777777" w:rsidR="00E65E42" w:rsidRPr="007D71D2" w:rsidRDefault="00E65E42" w:rsidP="00E65E42">
            <w:pPr>
              <w:spacing w:after="0" w:line="240" w:lineRule="auto"/>
              <w:jc w:val="center"/>
              <w:rPr>
                <w:rFonts w:ascii="Arial" w:eastAsia="Times New Roman" w:hAnsi="Arial" w:cs="Arial"/>
                <w:bCs/>
                <w:sz w:val="18"/>
                <w:szCs w:val="18"/>
                <w:lang w:val="en-IE" w:bidi="en-US"/>
              </w:rPr>
            </w:pPr>
            <w:r w:rsidRPr="007D71D2">
              <w:rPr>
                <w:rFonts w:ascii="Arial" w:eastAsia="Times New Roman" w:hAnsi="Arial" w:cs="Arial"/>
                <w:bCs/>
                <w:sz w:val="18"/>
                <w:szCs w:val="18"/>
                <w:lang w:val="en-IE" w:bidi="en-US"/>
              </w:rPr>
              <w:t xml:space="preserve">Pontic shad </w:t>
            </w:r>
          </w:p>
        </w:tc>
        <w:tc>
          <w:tcPr>
            <w:tcW w:w="1134" w:type="dxa"/>
            <w:vAlign w:val="center"/>
          </w:tcPr>
          <w:p w14:paraId="0EC89A0D"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Ie</w:t>
            </w:r>
          </w:p>
        </w:tc>
      </w:tr>
      <w:tr w:rsidR="00E65E42" w:rsidRPr="007D71D2" w14:paraId="03A4EDD1" w14:textId="77777777" w:rsidTr="00E65E42">
        <w:trPr>
          <w:jc w:val="center"/>
        </w:trPr>
        <w:tc>
          <w:tcPr>
            <w:tcW w:w="1700" w:type="dxa"/>
            <w:vMerge/>
            <w:vAlign w:val="center"/>
          </w:tcPr>
          <w:p w14:paraId="37158703" w14:textId="77777777" w:rsidR="00E65E42" w:rsidRPr="007D71D2" w:rsidRDefault="00E65E42" w:rsidP="00E65E42">
            <w:pPr>
              <w:spacing w:after="0" w:line="240" w:lineRule="auto"/>
              <w:jc w:val="center"/>
              <w:rPr>
                <w:rFonts w:ascii="Arial" w:eastAsia="Times New Roman" w:hAnsi="Arial" w:cs="Arial"/>
                <w:sz w:val="18"/>
                <w:szCs w:val="18"/>
              </w:rPr>
            </w:pPr>
          </w:p>
        </w:tc>
        <w:tc>
          <w:tcPr>
            <w:tcW w:w="2552" w:type="dxa"/>
            <w:shd w:val="clear" w:color="auto" w:fill="auto"/>
            <w:vAlign w:val="center"/>
          </w:tcPr>
          <w:p w14:paraId="4FE961BE" w14:textId="77777777" w:rsidR="00E65E42" w:rsidRPr="007D71D2" w:rsidRDefault="00E65E42" w:rsidP="00E65E42">
            <w:pPr>
              <w:spacing w:after="0" w:line="240" w:lineRule="auto"/>
              <w:jc w:val="center"/>
              <w:rPr>
                <w:rFonts w:ascii="Arial" w:eastAsia="Times New Roman" w:hAnsi="Arial" w:cs="Arial"/>
                <w:bCs/>
                <w:i/>
                <w:iCs/>
                <w:sz w:val="18"/>
                <w:szCs w:val="18"/>
                <w:lang w:val="en-IE" w:bidi="en-US"/>
              </w:rPr>
            </w:pPr>
            <w:r w:rsidRPr="007D71D2">
              <w:rPr>
                <w:rFonts w:ascii="Arial" w:eastAsia="Times New Roman" w:hAnsi="Arial" w:cs="Arial"/>
                <w:bCs/>
                <w:i/>
                <w:iCs/>
                <w:sz w:val="18"/>
                <w:szCs w:val="18"/>
                <w:lang w:val="en-IE" w:bidi="en-US"/>
              </w:rPr>
              <w:t>Sardina pilchardus</w:t>
            </w:r>
          </w:p>
        </w:tc>
        <w:tc>
          <w:tcPr>
            <w:tcW w:w="2721" w:type="dxa"/>
            <w:vAlign w:val="center"/>
          </w:tcPr>
          <w:p w14:paraId="4757A631" w14:textId="77777777" w:rsidR="00E65E42" w:rsidRPr="007D71D2" w:rsidRDefault="00E65E42" w:rsidP="00E65E42">
            <w:pPr>
              <w:spacing w:after="0" w:line="240" w:lineRule="auto"/>
              <w:jc w:val="center"/>
              <w:rPr>
                <w:rFonts w:ascii="Arial" w:eastAsia="Times New Roman" w:hAnsi="Arial" w:cs="Arial"/>
                <w:bCs/>
                <w:sz w:val="18"/>
                <w:szCs w:val="18"/>
                <w:lang w:val="en-IE" w:bidi="en-US"/>
              </w:rPr>
            </w:pPr>
            <w:r w:rsidRPr="007D71D2">
              <w:rPr>
                <w:rFonts w:ascii="Arial" w:eastAsia="Times New Roman" w:hAnsi="Arial" w:cs="Arial"/>
                <w:bCs/>
                <w:sz w:val="18"/>
                <w:szCs w:val="18"/>
                <w:lang w:val="en-IE" w:bidi="en-US"/>
              </w:rPr>
              <w:t xml:space="preserve">Pilchard </w:t>
            </w:r>
          </w:p>
        </w:tc>
        <w:tc>
          <w:tcPr>
            <w:tcW w:w="1134" w:type="dxa"/>
            <w:vAlign w:val="center"/>
          </w:tcPr>
          <w:p w14:paraId="088F7C6C" w14:textId="77777777" w:rsidR="00E65E42" w:rsidRPr="007D71D2" w:rsidRDefault="00E65E42" w:rsidP="00E65E42">
            <w:pPr>
              <w:spacing w:after="0" w:line="240" w:lineRule="auto"/>
              <w:jc w:val="center"/>
              <w:rPr>
                <w:rFonts w:ascii="Arial" w:eastAsia="Times New Roman" w:hAnsi="Arial" w:cs="Arial"/>
                <w:bCs/>
                <w:iCs/>
                <w:sz w:val="18"/>
                <w:szCs w:val="18"/>
                <w:u w:val="double"/>
                <w:lang w:bidi="en-US"/>
              </w:rPr>
            </w:pPr>
            <w:r w:rsidRPr="007D71D2">
              <w:rPr>
                <w:rFonts w:ascii="Arial" w:eastAsia="Times New Roman" w:hAnsi="Arial" w:cs="Arial"/>
                <w:bCs/>
                <w:iCs/>
                <w:sz w:val="18"/>
                <w:szCs w:val="18"/>
                <w:highlight w:val="yellow"/>
                <w:u w:val="double"/>
                <w:lang w:bidi="en-US"/>
              </w:rPr>
              <w:t>ND</w:t>
            </w:r>
          </w:p>
        </w:tc>
      </w:tr>
      <w:tr w:rsidR="00E65E42" w:rsidRPr="007D71D2" w14:paraId="6D43789E" w14:textId="77777777" w:rsidTr="00E65E42">
        <w:trPr>
          <w:jc w:val="center"/>
        </w:trPr>
        <w:tc>
          <w:tcPr>
            <w:tcW w:w="1700" w:type="dxa"/>
            <w:vMerge/>
            <w:vAlign w:val="center"/>
          </w:tcPr>
          <w:p w14:paraId="69440F57" w14:textId="77777777" w:rsidR="00E65E42" w:rsidRPr="007D71D2" w:rsidRDefault="00E65E42" w:rsidP="00E65E42">
            <w:pPr>
              <w:spacing w:after="0" w:line="240" w:lineRule="auto"/>
              <w:jc w:val="center"/>
              <w:rPr>
                <w:rFonts w:ascii="Arial" w:eastAsia="Times New Roman" w:hAnsi="Arial" w:cs="Arial"/>
                <w:sz w:val="18"/>
                <w:szCs w:val="18"/>
              </w:rPr>
            </w:pPr>
          </w:p>
        </w:tc>
        <w:tc>
          <w:tcPr>
            <w:tcW w:w="2552" w:type="dxa"/>
            <w:shd w:val="clear" w:color="auto" w:fill="auto"/>
            <w:vAlign w:val="center"/>
          </w:tcPr>
          <w:p w14:paraId="730D6115" w14:textId="77777777" w:rsidR="00E65E42" w:rsidRPr="007D71D2" w:rsidRDefault="00E65E42" w:rsidP="00E65E42">
            <w:pPr>
              <w:spacing w:after="0" w:line="240" w:lineRule="auto"/>
              <w:jc w:val="center"/>
              <w:rPr>
                <w:rFonts w:ascii="Arial" w:eastAsia="Times New Roman" w:hAnsi="Arial" w:cs="Arial"/>
                <w:bCs/>
                <w:i/>
                <w:iCs/>
                <w:sz w:val="18"/>
                <w:szCs w:val="18"/>
                <w:lang w:val="en-IE" w:bidi="en-US"/>
              </w:rPr>
            </w:pPr>
            <w:r w:rsidRPr="007D71D2">
              <w:rPr>
                <w:rFonts w:ascii="Arial" w:eastAsia="Times New Roman" w:hAnsi="Arial" w:cs="Arial"/>
                <w:bCs/>
                <w:i/>
                <w:iCs/>
                <w:sz w:val="18"/>
                <w:szCs w:val="18"/>
                <w:lang w:val="en-IE" w:bidi="en-US"/>
              </w:rPr>
              <w:t>Clupea harengus</w:t>
            </w:r>
          </w:p>
        </w:tc>
        <w:tc>
          <w:tcPr>
            <w:tcW w:w="2721" w:type="dxa"/>
            <w:vAlign w:val="center"/>
          </w:tcPr>
          <w:p w14:paraId="635252B8" w14:textId="77777777" w:rsidR="00E65E42" w:rsidRPr="007D71D2" w:rsidRDefault="00E65E42" w:rsidP="00E65E42">
            <w:pPr>
              <w:spacing w:after="0" w:line="240" w:lineRule="auto"/>
              <w:jc w:val="center"/>
              <w:rPr>
                <w:rFonts w:ascii="Arial" w:eastAsia="Times New Roman" w:hAnsi="Arial" w:cs="Arial"/>
                <w:bCs/>
                <w:sz w:val="18"/>
                <w:szCs w:val="18"/>
                <w:lang w:val="en-IE" w:bidi="en-US"/>
              </w:rPr>
            </w:pPr>
            <w:r w:rsidRPr="007D71D2">
              <w:rPr>
                <w:rFonts w:ascii="Arial" w:eastAsia="Times New Roman" w:hAnsi="Arial" w:cs="Arial"/>
                <w:bCs/>
                <w:sz w:val="18"/>
                <w:szCs w:val="18"/>
                <w:lang w:val="en-IE" w:bidi="en-US"/>
              </w:rPr>
              <w:t>Atlantic herring</w:t>
            </w:r>
          </w:p>
        </w:tc>
        <w:tc>
          <w:tcPr>
            <w:tcW w:w="1134" w:type="dxa"/>
            <w:vAlign w:val="center"/>
          </w:tcPr>
          <w:p w14:paraId="683C52DB" w14:textId="77777777" w:rsidR="00E65E42" w:rsidRPr="007D71D2" w:rsidRDefault="00E65E42" w:rsidP="00E65E42">
            <w:pPr>
              <w:spacing w:after="0" w:line="240" w:lineRule="auto"/>
              <w:jc w:val="center"/>
              <w:rPr>
                <w:rFonts w:ascii="Arial" w:eastAsia="Times New Roman" w:hAnsi="Arial" w:cs="Arial"/>
                <w:bCs/>
                <w:iCs/>
                <w:sz w:val="18"/>
                <w:szCs w:val="18"/>
                <w:lang w:val="en-IE" w:bidi="en-US"/>
              </w:rPr>
            </w:pPr>
            <w:r w:rsidRPr="007D71D2">
              <w:rPr>
                <w:rFonts w:ascii="Arial" w:eastAsia="Times New Roman" w:hAnsi="Arial" w:cs="Arial"/>
                <w:bCs/>
                <w:iCs/>
                <w:sz w:val="18"/>
                <w:szCs w:val="18"/>
                <w:lang w:bidi="en-US"/>
              </w:rPr>
              <w:t xml:space="preserve">Ib, III </w:t>
            </w:r>
          </w:p>
        </w:tc>
      </w:tr>
      <w:tr w:rsidR="00E65E42" w:rsidRPr="007D71D2" w14:paraId="6CD4199D" w14:textId="77777777" w:rsidTr="00E65E42">
        <w:trPr>
          <w:jc w:val="center"/>
        </w:trPr>
        <w:tc>
          <w:tcPr>
            <w:tcW w:w="1700" w:type="dxa"/>
            <w:vMerge/>
            <w:vAlign w:val="center"/>
          </w:tcPr>
          <w:p w14:paraId="5077362A" w14:textId="77777777" w:rsidR="00E65E42" w:rsidRPr="007D71D2" w:rsidRDefault="00E65E42" w:rsidP="00E65E42">
            <w:pPr>
              <w:spacing w:after="0" w:line="240" w:lineRule="auto"/>
              <w:jc w:val="center"/>
              <w:rPr>
                <w:rFonts w:ascii="Arial" w:eastAsia="Times New Roman" w:hAnsi="Arial" w:cs="Arial"/>
                <w:sz w:val="18"/>
                <w:szCs w:val="18"/>
              </w:rPr>
            </w:pPr>
          </w:p>
        </w:tc>
        <w:tc>
          <w:tcPr>
            <w:tcW w:w="2552" w:type="dxa"/>
            <w:shd w:val="clear" w:color="auto" w:fill="auto"/>
            <w:vAlign w:val="center"/>
          </w:tcPr>
          <w:p w14:paraId="0865D156" w14:textId="77777777" w:rsidR="00E65E42" w:rsidRPr="007D71D2" w:rsidRDefault="00E65E42" w:rsidP="00E65E42">
            <w:pPr>
              <w:spacing w:after="0" w:line="240" w:lineRule="auto"/>
              <w:jc w:val="center"/>
              <w:rPr>
                <w:rFonts w:ascii="Arial" w:eastAsia="Times New Roman" w:hAnsi="Arial" w:cs="Arial"/>
                <w:bCs/>
                <w:i/>
                <w:iCs/>
                <w:sz w:val="18"/>
                <w:szCs w:val="18"/>
                <w:lang w:val="en-IE" w:bidi="en-US"/>
              </w:rPr>
            </w:pPr>
            <w:r w:rsidRPr="007D71D2">
              <w:rPr>
                <w:rFonts w:ascii="Arial" w:eastAsia="Times New Roman" w:hAnsi="Arial" w:cs="Arial"/>
                <w:bCs/>
                <w:i/>
                <w:iCs/>
                <w:sz w:val="18"/>
                <w:szCs w:val="18"/>
                <w:lang w:val="en-IE" w:bidi="en-US"/>
              </w:rPr>
              <w:t xml:space="preserve">Clupea pallasii pallasii </w:t>
            </w:r>
          </w:p>
        </w:tc>
        <w:tc>
          <w:tcPr>
            <w:tcW w:w="2721" w:type="dxa"/>
            <w:vAlign w:val="center"/>
          </w:tcPr>
          <w:p w14:paraId="451C8F2F" w14:textId="77777777" w:rsidR="00E65E42" w:rsidRPr="007D71D2" w:rsidRDefault="00E65E42" w:rsidP="00E65E42">
            <w:pPr>
              <w:spacing w:after="0" w:line="240" w:lineRule="auto"/>
              <w:jc w:val="center"/>
              <w:rPr>
                <w:rFonts w:ascii="Arial" w:eastAsia="Times New Roman" w:hAnsi="Arial" w:cs="Arial"/>
                <w:bCs/>
                <w:sz w:val="18"/>
                <w:szCs w:val="18"/>
                <w:lang w:val="en-IE" w:bidi="en-US"/>
              </w:rPr>
            </w:pPr>
            <w:r w:rsidRPr="007D71D2">
              <w:rPr>
                <w:rFonts w:ascii="Arial" w:eastAsia="Times New Roman" w:hAnsi="Arial" w:cs="Arial"/>
                <w:bCs/>
                <w:sz w:val="18"/>
                <w:szCs w:val="18"/>
                <w:lang w:val="en-IE" w:bidi="en-US"/>
              </w:rPr>
              <w:t>Pacific herring</w:t>
            </w:r>
          </w:p>
        </w:tc>
        <w:tc>
          <w:tcPr>
            <w:tcW w:w="1134" w:type="dxa"/>
            <w:vAlign w:val="center"/>
          </w:tcPr>
          <w:p w14:paraId="73ADC7BA" w14:textId="77777777" w:rsidR="00E65E42" w:rsidRPr="007D71D2" w:rsidRDefault="00E65E42" w:rsidP="00E65E42">
            <w:pPr>
              <w:spacing w:after="0" w:line="240" w:lineRule="auto"/>
              <w:jc w:val="center"/>
              <w:rPr>
                <w:rFonts w:ascii="Arial" w:eastAsia="Times New Roman" w:hAnsi="Arial" w:cs="Arial"/>
                <w:bCs/>
                <w:iCs/>
                <w:sz w:val="18"/>
                <w:szCs w:val="18"/>
                <w:lang w:val="en-IE" w:bidi="en-US"/>
              </w:rPr>
            </w:pPr>
            <w:r w:rsidRPr="007D71D2">
              <w:rPr>
                <w:rFonts w:ascii="Arial" w:eastAsia="Times New Roman" w:hAnsi="Arial" w:cs="Arial"/>
                <w:bCs/>
                <w:iCs/>
                <w:sz w:val="18"/>
                <w:szCs w:val="18"/>
                <w:lang w:bidi="en-US"/>
              </w:rPr>
              <w:t>IVa</w:t>
            </w:r>
          </w:p>
        </w:tc>
      </w:tr>
      <w:tr w:rsidR="00E65E42" w:rsidRPr="007D71D2" w14:paraId="12D91BAE" w14:textId="77777777" w:rsidTr="00E65E42">
        <w:trPr>
          <w:jc w:val="center"/>
        </w:trPr>
        <w:tc>
          <w:tcPr>
            <w:tcW w:w="1700" w:type="dxa"/>
            <w:vMerge/>
            <w:vAlign w:val="center"/>
          </w:tcPr>
          <w:p w14:paraId="1FE77D5F" w14:textId="77777777" w:rsidR="00E65E42" w:rsidRPr="007D71D2" w:rsidRDefault="00E65E42" w:rsidP="00E65E42">
            <w:pPr>
              <w:spacing w:after="0" w:line="240" w:lineRule="auto"/>
              <w:jc w:val="center"/>
              <w:rPr>
                <w:rFonts w:ascii="Arial" w:eastAsia="Times New Roman" w:hAnsi="Arial" w:cs="Arial"/>
                <w:sz w:val="18"/>
                <w:szCs w:val="18"/>
              </w:rPr>
            </w:pPr>
          </w:p>
        </w:tc>
        <w:tc>
          <w:tcPr>
            <w:tcW w:w="2552" w:type="dxa"/>
            <w:shd w:val="clear" w:color="auto" w:fill="auto"/>
            <w:vAlign w:val="center"/>
          </w:tcPr>
          <w:p w14:paraId="0EC15731" w14:textId="77777777" w:rsidR="00E65E42" w:rsidRPr="007D71D2" w:rsidRDefault="00E65E42" w:rsidP="00E65E42">
            <w:pPr>
              <w:spacing w:after="0" w:line="240" w:lineRule="auto"/>
              <w:jc w:val="center"/>
              <w:rPr>
                <w:rFonts w:ascii="Arial" w:eastAsia="Times New Roman" w:hAnsi="Arial" w:cs="Arial"/>
                <w:bCs/>
                <w:i/>
                <w:iCs/>
                <w:sz w:val="18"/>
                <w:szCs w:val="18"/>
                <w:lang w:val="en-IE" w:bidi="en-US"/>
              </w:rPr>
            </w:pPr>
            <w:r w:rsidRPr="007D71D2">
              <w:rPr>
                <w:rFonts w:ascii="Arial" w:eastAsia="Times New Roman" w:hAnsi="Arial" w:cs="Arial"/>
                <w:bCs/>
                <w:i/>
                <w:iCs/>
                <w:sz w:val="18"/>
                <w:szCs w:val="18"/>
                <w:lang w:val="en-IE" w:bidi="en-US"/>
              </w:rPr>
              <w:t>Dorosoma cepedianum</w:t>
            </w:r>
          </w:p>
        </w:tc>
        <w:tc>
          <w:tcPr>
            <w:tcW w:w="2721" w:type="dxa"/>
            <w:vAlign w:val="center"/>
          </w:tcPr>
          <w:p w14:paraId="2A3AB6B0" w14:textId="77777777" w:rsidR="00E65E42" w:rsidRPr="007D71D2" w:rsidRDefault="00E65E42" w:rsidP="00E65E42">
            <w:pPr>
              <w:spacing w:after="0" w:line="240" w:lineRule="auto"/>
              <w:jc w:val="center"/>
              <w:rPr>
                <w:rFonts w:ascii="Arial" w:eastAsia="Times New Roman" w:hAnsi="Arial" w:cs="Arial"/>
                <w:bCs/>
                <w:sz w:val="18"/>
                <w:szCs w:val="18"/>
                <w:lang w:val="en-IE" w:bidi="en-US"/>
              </w:rPr>
            </w:pPr>
            <w:r w:rsidRPr="007D71D2">
              <w:rPr>
                <w:rFonts w:ascii="Arial" w:eastAsia="Times New Roman" w:hAnsi="Arial" w:cs="Arial"/>
                <w:bCs/>
                <w:sz w:val="18"/>
                <w:szCs w:val="18"/>
                <w:lang w:val="en-IE" w:bidi="en-US"/>
              </w:rPr>
              <w:t>American gizzard shad</w:t>
            </w:r>
          </w:p>
        </w:tc>
        <w:tc>
          <w:tcPr>
            <w:tcW w:w="1134" w:type="dxa"/>
            <w:vAlign w:val="center"/>
          </w:tcPr>
          <w:p w14:paraId="297F4725" w14:textId="77777777" w:rsidR="00E65E42" w:rsidRPr="007D71D2" w:rsidRDefault="00E65E42" w:rsidP="00E65E42">
            <w:pPr>
              <w:spacing w:after="0" w:line="240" w:lineRule="auto"/>
              <w:jc w:val="center"/>
              <w:rPr>
                <w:rFonts w:ascii="Arial" w:eastAsia="Times New Roman" w:hAnsi="Arial" w:cs="Arial"/>
                <w:bCs/>
                <w:iCs/>
                <w:sz w:val="18"/>
                <w:szCs w:val="18"/>
                <w:lang w:val="en-IE" w:bidi="en-US"/>
              </w:rPr>
            </w:pPr>
            <w:r w:rsidRPr="007D71D2">
              <w:rPr>
                <w:rFonts w:ascii="Arial" w:eastAsia="Times New Roman" w:hAnsi="Arial" w:cs="Arial"/>
                <w:bCs/>
                <w:iCs/>
                <w:sz w:val="18"/>
                <w:szCs w:val="18"/>
                <w:lang w:val="en-IE" w:bidi="en-US"/>
              </w:rPr>
              <w:t>IVb</w:t>
            </w:r>
          </w:p>
        </w:tc>
      </w:tr>
      <w:tr w:rsidR="00E65E42" w:rsidRPr="007D71D2" w14:paraId="22FB8844" w14:textId="77777777" w:rsidTr="00E65E42">
        <w:trPr>
          <w:jc w:val="center"/>
        </w:trPr>
        <w:tc>
          <w:tcPr>
            <w:tcW w:w="1700" w:type="dxa"/>
            <w:vMerge/>
            <w:vAlign w:val="center"/>
          </w:tcPr>
          <w:p w14:paraId="2E078F65" w14:textId="77777777" w:rsidR="00E65E42" w:rsidRPr="007D71D2" w:rsidRDefault="00E65E42" w:rsidP="00E65E42">
            <w:pPr>
              <w:spacing w:after="0" w:line="240" w:lineRule="auto"/>
              <w:jc w:val="center"/>
              <w:rPr>
                <w:rFonts w:ascii="Arial" w:eastAsia="Times New Roman" w:hAnsi="Arial" w:cs="Arial"/>
                <w:sz w:val="18"/>
                <w:szCs w:val="18"/>
              </w:rPr>
            </w:pPr>
          </w:p>
        </w:tc>
        <w:tc>
          <w:tcPr>
            <w:tcW w:w="2552" w:type="dxa"/>
            <w:shd w:val="clear" w:color="auto" w:fill="auto"/>
            <w:vAlign w:val="center"/>
          </w:tcPr>
          <w:p w14:paraId="7314DD78"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Sardinops sagax</w:t>
            </w:r>
          </w:p>
        </w:tc>
        <w:tc>
          <w:tcPr>
            <w:tcW w:w="2721" w:type="dxa"/>
            <w:vAlign w:val="center"/>
          </w:tcPr>
          <w:p w14:paraId="02814540" w14:textId="77777777" w:rsidR="00E65E42" w:rsidRPr="007D71D2" w:rsidRDefault="00E65E42" w:rsidP="00E65E42">
            <w:pPr>
              <w:spacing w:after="0" w:line="240" w:lineRule="auto"/>
              <w:jc w:val="center"/>
              <w:rPr>
                <w:rFonts w:ascii="Arial" w:eastAsia="Times New Roman" w:hAnsi="Arial" w:cs="Arial"/>
                <w:bCs/>
                <w:iCs/>
                <w:sz w:val="18"/>
                <w:szCs w:val="18"/>
                <w:lang w:val="en-IE" w:bidi="en-US"/>
              </w:rPr>
            </w:pPr>
            <w:r w:rsidRPr="007D71D2">
              <w:rPr>
                <w:rFonts w:ascii="Arial" w:eastAsia="Times New Roman" w:hAnsi="Arial" w:cs="Arial"/>
                <w:bCs/>
                <w:iCs/>
                <w:sz w:val="18"/>
                <w:szCs w:val="18"/>
                <w:lang w:val="en-IE" w:bidi="en-US"/>
              </w:rPr>
              <w:t>South American pilchard</w:t>
            </w:r>
          </w:p>
        </w:tc>
        <w:tc>
          <w:tcPr>
            <w:tcW w:w="1134" w:type="dxa"/>
            <w:vAlign w:val="center"/>
          </w:tcPr>
          <w:p w14:paraId="344A5715"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IVa</w:t>
            </w:r>
          </w:p>
        </w:tc>
      </w:tr>
      <w:tr w:rsidR="00E65E42" w:rsidRPr="007D71D2" w14:paraId="351ADA1E" w14:textId="77777777" w:rsidTr="00E65E42">
        <w:trPr>
          <w:jc w:val="center"/>
        </w:trPr>
        <w:tc>
          <w:tcPr>
            <w:tcW w:w="1700" w:type="dxa"/>
            <w:vMerge/>
            <w:vAlign w:val="center"/>
          </w:tcPr>
          <w:p w14:paraId="26A755B2" w14:textId="77777777" w:rsidR="00E65E42" w:rsidRPr="007D71D2"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7C8F61F4"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Sprattus sprattus</w:t>
            </w:r>
          </w:p>
        </w:tc>
        <w:tc>
          <w:tcPr>
            <w:tcW w:w="2721" w:type="dxa"/>
            <w:vAlign w:val="center"/>
          </w:tcPr>
          <w:p w14:paraId="23ADDB1B"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European sprat</w:t>
            </w:r>
          </w:p>
        </w:tc>
        <w:tc>
          <w:tcPr>
            <w:tcW w:w="1134" w:type="dxa"/>
            <w:vAlign w:val="center"/>
          </w:tcPr>
          <w:p w14:paraId="5FBB7240"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Ib</w:t>
            </w:r>
          </w:p>
        </w:tc>
      </w:tr>
      <w:tr w:rsidR="00E65E42" w:rsidRPr="007D71D2" w14:paraId="538E4783" w14:textId="77777777" w:rsidTr="00E65E42">
        <w:trPr>
          <w:trHeight w:val="233"/>
          <w:jc w:val="center"/>
        </w:trPr>
        <w:tc>
          <w:tcPr>
            <w:tcW w:w="1700" w:type="dxa"/>
            <w:vAlign w:val="center"/>
          </w:tcPr>
          <w:p w14:paraId="622E74B5" w14:textId="77777777" w:rsidR="00E65E42" w:rsidRPr="007D71D2" w:rsidRDefault="00E65E42" w:rsidP="00E65E42">
            <w:pPr>
              <w:spacing w:after="0" w:line="240" w:lineRule="auto"/>
              <w:jc w:val="center"/>
              <w:rPr>
                <w:rFonts w:ascii="Arial" w:eastAsia="Times New Roman" w:hAnsi="Arial" w:cs="Arial"/>
                <w:sz w:val="18"/>
                <w:szCs w:val="18"/>
              </w:rPr>
            </w:pPr>
            <w:r w:rsidRPr="007D71D2">
              <w:rPr>
                <w:rFonts w:ascii="Arial" w:eastAsia="Times New Roman" w:hAnsi="Arial" w:cs="Arial"/>
                <w:sz w:val="18"/>
                <w:szCs w:val="18"/>
              </w:rPr>
              <w:t>Cyclopteridae</w:t>
            </w:r>
          </w:p>
        </w:tc>
        <w:tc>
          <w:tcPr>
            <w:tcW w:w="2552" w:type="dxa"/>
            <w:shd w:val="clear" w:color="auto" w:fill="auto"/>
            <w:vAlign w:val="center"/>
          </w:tcPr>
          <w:p w14:paraId="2B402C5B"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Cyclopterus lumpus</w:t>
            </w:r>
          </w:p>
        </w:tc>
        <w:tc>
          <w:tcPr>
            <w:tcW w:w="2721" w:type="dxa"/>
            <w:vAlign w:val="center"/>
          </w:tcPr>
          <w:p w14:paraId="57F2686A"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Lumpfish</w:t>
            </w:r>
          </w:p>
        </w:tc>
        <w:tc>
          <w:tcPr>
            <w:tcW w:w="1134" w:type="dxa"/>
            <w:vAlign w:val="center"/>
          </w:tcPr>
          <w:p w14:paraId="099C7DAF"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IVd</w:t>
            </w:r>
          </w:p>
        </w:tc>
      </w:tr>
      <w:tr w:rsidR="00E65E42" w:rsidRPr="007D71D2" w14:paraId="2BAA7731" w14:textId="77777777" w:rsidTr="00E65E42">
        <w:trPr>
          <w:trHeight w:val="233"/>
          <w:jc w:val="center"/>
        </w:trPr>
        <w:tc>
          <w:tcPr>
            <w:tcW w:w="1700" w:type="dxa"/>
            <w:vMerge w:val="restart"/>
            <w:vAlign w:val="center"/>
          </w:tcPr>
          <w:p w14:paraId="145A5B7D" w14:textId="77777777" w:rsidR="00E65E42" w:rsidRPr="007D71D2" w:rsidRDefault="00E65E42" w:rsidP="00E65E42">
            <w:pPr>
              <w:spacing w:after="0" w:line="240" w:lineRule="auto"/>
              <w:jc w:val="center"/>
              <w:rPr>
                <w:rFonts w:ascii="Arial" w:eastAsia="Times New Roman" w:hAnsi="Arial" w:cs="Arial"/>
                <w:sz w:val="18"/>
                <w:szCs w:val="18"/>
              </w:rPr>
            </w:pPr>
            <w:r w:rsidRPr="007D71D2">
              <w:rPr>
                <w:rFonts w:ascii="Arial" w:eastAsia="Times New Roman" w:hAnsi="Arial" w:cs="Arial"/>
                <w:sz w:val="18"/>
                <w:szCs w:val="18"/>
              </w:rPr>
              <w:t>Cyprinidae</w:t>
            </w:r>
          </w:p>
        </w:tc>
        <w:tc>
          <w:tcPr>
            <w:tcW w:w="2552" w:type="dxa"/>
            <w:shd w:val="clear" w:color="auto" w:fill="auto"/>
            <w:vAlign w:val="center"/>
          </w:tcPr>
          <w:p w14:paraId="6974774A"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Danio rerio</w:t>
            </w:r>
          </w:p>
        </w:tc>
        <w:tc>
          <w:tcPr>
            <w:tcW w:w="2721" w:type="dxa"/>
            <w:vAlign w:val="center"/>
          </w:tcPr>
          <w:p w14:paraId="34114A85"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Zebra fish</w:t>
            </w:r>
          </w:p>
        </w:tc>
        <w:tc>
          <w:tcPr>
            <w:tcW w:w="1134" w:type="dxa"/>
            <w:vAlign w:val="center"/>
          </w:tcPr>
          <w:p w14:paraId="166494BB"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IVa</w:t>
            </w:r>
          </w:p>
        </w:tc>
      </w:tr>
      <w:tr w:rsidR="00E65E42" w:rsidRPr="007D71D2" w14:paraId="6B8179FA" w14:textId="77777777" w:rsidTr="00E65E42">
        <w:trPr>
          <w:jc w:val="center"/>
        </w:trPr>
        <w:tc>
          <w:tcPr>
            <w:tcW w:w="1700" w:type="dxa"/>
            <w:vMerge/>
            <w:vAlign w:val="center"/>
          </w:tcPr>
          <w:p w14:paraId="45AB618D" w14:textId="77777777" w:rsidR="00E65E42" w:rsidRPr="007D71D2"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5ACA3464"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Notropis hudsonius</w:t>
            </w:r>
          </w:p>
        </w:tc>
        <w:tc>
          <w:tcPr>
            <w:tcW w:w="2721" w:type="dxa"/>
            <w:vAlign w:val="center"/>
          </w:tcPr>
          <w:p w14:paraId="1A48B5D3"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Spottail shiner</w:t>
            </w:r>
          </w:p>
        </w:tc>
        <w:tc>
          <w:tcPr>
            <w:tcW w:w="1134" w:type="dxa"/>
            <w:vAlign w:val="center"/>
          </w:tcPr>
          <w:p w14:paraId="72741CCB"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IVb</w:t>
            </w:r>
          </w:p>
        </w:tc>
      </w:tr>
      <w:tr w:rsidR="00E65E42" w:rsidRPr="007D71D2" w14:paraId="743AB1F6" w14:textId="77777777" w:rsidTr="00E65E42">
        <w:trPr>
          <w:jc w:val="center"/>
        </w:trPr>
        <w:tc>
          <w:tcPr>
            <w:tcW w:w="1700" w:type="dxa"/>
            <w:vMerge/>
            <w:vAlign w:val="center"/>
          </w:tcPr>
          <w:p w14:paraId="61314AC1" w14:textId="77777777" w:rsidR="00E65E42" w:rsidRPr="007D71D2"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3B0DAD59"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Notropis atherinoides</w:t>
            </w:r>
          </w:p>
        </w:tc>
        <w:tc>
          <w:tcPr>
            <w:tcW w:w="2721" w:type="dxa"/>
            <w:vAlign w:val="center"/>
          </w:tcPr>
          <w:p w14:paraId="16C00401"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Emerald shiner</w:t>
            </w:r>
          </w:p>
        </w:tc>
        <w:tc>
          <w:tcPr>
            <w:tcW w:w="1134" w:type="dxa"/>
            <w:vAlign w:val="center"/>
          </w:tcPr>
          <w:p w14:paraId="5F665794"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IVb</w:t>
            </w:r>
          </w:p>
        </w:tc>
      </w:tr>
      <w:tr w:rsidR="00E65E42" w:rsidRPr="007D71D2" w14:paraId="64983686" w14:textId="77777777" w:rsidTr="00E65E42">
        <w:trPr>
          <w:jc w:val="center"/>
        </w:trPr>
        <w:tc>
          <w:tcPr>
            <w:tcW w:w="1700" w:type="dxa"/>
            <w:vMerge/>
            <w:vAlign w:val="center"/>
          </w:tcPr>
          <w:p w14:paraId="0ACA2B79" w14:textId="77777777" w:rsidR="00E65E42" w:rsidRPr="007D71D2"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08F2733D"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Pimephales notatus</w:t>
            </w:r>
          </w:p>
        </w:tc>
        <w:tc>
          <w:tcPr>
            <w:tcW w:w="2721" w:type="dxa"/>
            <w:vAlign w:val="center"/>
          </w:tcPr>
          <w:p w14:paraId="583B9A10"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Bluntnose minnow</w:t>
            </w:r>
          </w:p>
        </w:tc>
        <w:tc>
          <w:tcPr>
            <w:tcW w:w="1134" w:type="dxa"/>
            <w:vAlign w:val="center"/>
          </w:tcPr>
          <w:p w14:paraId="01924CC8"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IVb</w:t>
            </w:r>
          </w:p>
        </w:tc>
      </w:tr>
      <w:tr w:rsidR="00E65E42" w:rsidRPr="007D71D2" w14:paraId="7F2DF83B" w14:textId="77777777" w:rsidTr="00E65E42">
        <w:trPr>
          <w:jc w:val="center"/>
        </w:trPr>
        <w:tc>
          <w:tcPr>
            <w:tcW w:w="1700" w:type="dxa"/>
            <w:vMerge/>
            <w:vAlign w:val="center"/>
          </w:tcPr>
          <w:p w14:paraId="3E70906B" w14:textId="77777777" w:rsidR="00E65E42" w:rsidRPr="007D71D2"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7F6120B9" w14:textId="77777777" w:rsidR="00E65E42" w:rsidRPr="007D71D2" w:rsidRDefault="00E65E42" w:rsidP="00E65E42">
            <w:pPr>
              <w:spacing w:after="0" w:line="240" w:lineRule="auto"/>
              <w:jc w:val="center"/>
              <w:rPr>
                <w:rFonts w:ascii="Arial" w:eastAsia="Times New Roman" w:hAnsi="Arial" w:cs="Arial"/>
                <w:bCs/>
                <w:i/>
                <w:iCs/>
                <w:sz w:val="18"/>
                <w:szCs w:val="18"/>
                <w:lang w:val="en-IE" w:bidi="en-US"/>
              </w:rPr>
            </w:pPr>
            <w:r w:rsidRPr="007D71D2">
              <w:rPr>
                <w:rFonts w:ascii="Arial" w:eastAsia="Times New Roman" w:hAnsi="Arial" w:cs="Arial"/>
                <w:bCs/>
                <w:i/>
                <w:iCs/>
                <w:sz w:val="18"/>
                <w:szCs w:val="18"/>
                <w:lang w:val="en-IE" w:bidi="en-US"/>
              </w:rPr>
              <w:t>Pimephales promelas</w:t>
            </w:r>
          </w:p>
        </w:tc>
        <w:tc>
          <w:tcPr>
            <w:tcW w:w="2721" w:type="dxa"/>
            <w:vAlign w:val="center"/>
          </w:tcPr>
          <w:p w14:paraId="4C3160D4" w14:textId="77777777" w:rsidR="00E65E42" w:rsidRPr="007D71D2" w:rsidRDefault="00E65E42" w:rsidP="00E65E42">
            <w:pPr>
              <w:spacing w:after="0" w:line="240" w:lineRule="auto"/>
              <w:jc w:val="center"/>
              <w:rPr>
                <w:rFonts w:ascii="Arial" w:eastAsia="Times New Roman" w:hAnsi="Arial" w:cs="Arial"/>
                <w:bCs/>
                <w:sz w:val="18"/>
                <w:szCs w:val="18"/>
                <w:lang w:val="en-IE" w:bidi="en-US"/>
              </w:rPr>
            </w:pPr>
            <w:r w:rsidRPr="007D71D2">
              <w:rPr>
                <w:rFonts w:ascii="Arial" w:eastAsia="Times New Roman" w:hAnsi="Arial" w:cs="Arial"/>
                <w:bCs/>
                <w:sz w:val="18"/>
                <w:szCs w:val="18"/>
                <w:lang w:val="en-IE" w:bidi="en-US"/>
              </w:rPr>
              <w:t xml:space="preserve">Fathead minnow </w:t>
            </w:r>
          </w:p>
        </w:tc>
        <w:tc>
          <w:tcPr>
            <w:tcW w:w="1134" w:type="dxa"/>
            <w:vAlign w:val="center"/>
          </w:tcPr>
          <w:p w14:paraId="1D5C762A"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IVb</w:t>
            </w:r>
          </w:p>
        </w:tc>
      </w:tr>
      <w:tr w:rsidR="00E65E42" w:rsidRPr="007D71D2" w14:paraId="5A99A7BE" w14:textId="77777777" w:rsidTr="00E65E42">
        <w:trPr>
          <w:jc w:val="center"/>
        </w:trPr>
        <w:tc>
          <w:tcPr>
            <w:tcW w:w="1700" w:type="dxa"/>
            <w:vAlign w:val="center"/>
          </w:tcPr>
          <w:p w14:paraId="2198DA82" w14:textId="77777777" w:rsidR="00E65E42" w:rsidRPr="007D71D2" w:rsidRDefault="00E65E42" w:rsidP="00E65E42">
            <w:pPr>
              <w:spacing w:after="0" w:line="240" w:lineRule="auto"/>
              <w:jc w:val="center"/>
              <w:rPr>
                <w:rFonts w:ascii="Arial" w:eastAsia="Times New Roman" w:hAnsi="Arial" w:cs="Arial"/>
                <w:sz w:val="18"/>
                <w:szCs w:val="18"/>
              </w:rPr>
            </w:pPr>
            <w:r w:rsidRPr="007D71D2">
              <w:rPr>
                <w:rFonts w:ascii="Arial" w:eastAsia="Times New Roman" w:hAnsi="Arial" w:cs="Arial"/>
                <w:sz w:val="18"/>
                <w:szCs w:val="18"/>
              </w:rPr>
              <w:t>Embiotocidae</w:t>
            </w:r>
          </w:p>
        </w:tc>
        <w:tc>
          <w:tcPr>
            <w:tcW w:w="2552" w:type="dxa"/>
            <w:shd w:val="clear" w:color="auto" w:fill="auto"/>
            <w:vAlign w:val="center"/>
          </w:tcPr>
          <w:p w14:paraId="00037670"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Cymatogaster aggregata</w:t>
            </w:r>
          </w:p>
        </w:tc>
        <w:tc>
          <w:tcPr>
            <w:tcW w:w="2721" w:type="dxa"/>
            <w:vAlign w:val="center"/>
          </w:tcPr>
          <w:p w14:paraId="1FE3458F"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Shiner perch</w:t>
            </w:r>
          </w:p>
        </w:tc>
        <w:tc>
          <w:tcPr>
            <w:tcW w:w="1134" w:type="dxa"/>
            <w:vAlign w:val="center"/>
          </w:tcPr>
          <w:p w14:paraId="6CF0527E"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IVa</w:t>
            </w:r>
          </w:p>
        </w:tc>
      </w:tr>
      <w:tr w:rsidR="00E65E42" w:rsidRPr="007D71D2" w14:paraId="0537424B" w14:textId="77777777" w:rsidTr="00E65E42">
        <w:trPr>
          <w:jc w:val="center"/>
        </w:trPr>
        <w:tc>
          <w:tcPr>
            <w:tcW w:w="1700" w:type="dxa"/>
            <w:vAlign w:val="center"/>
          </w:tcPr>
          <w:p w14:paraId="53C4FEE9" w14:textId="77777777" w:rsidR="00E65E42" w:rsidRPr="007D71D2" w:rsidRDefault="00E65E42" w:rsidP="00E65E42">
            <w:pPr>
              <w:spacing w:after="0" w:line="240" w:lineRule="auto"/>
              <w:jc w:val="center"/>
              <w:rPr>
                <w:rFonts w:ascii="Arial" w:eastAsia="Times New Roman" w:hAnsi="Arial" w:cs="Arial"/>
                <w:sz w:val="18"/>
                <w:szCs w:val="18"/>
              </w:rPr>
            </w:pPr>
            <w:r w:rsidRPr="007D71D2">
              <w:rPr>
                <w:rFonts w:ascii="Arial" w:eastAsia="Times New Roman" w:hAnsi="Arial" w:cs="Arial"/>
                <w:sz w:val="18"/>
                <w:szCs w:val="18"/>
              </w:rPr>
              <w:t>Engraulidae</w:t>
            </w:r>
          </w:p>
        </w:tc>
        <w:tc>
          <w:tcPr>
            <w:tcW w:w="2552" w:type="dxa"/>
            <w:shd w:val="clear" w:color="auto" w:fill="auto"/>
            <w:vAlign w:val="center"/>
          </w:tcPr>
          <w:p w14:paraId="47741725"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Engraulis encrasicolus</w:t>
            </w:r>
          </w:p>
        </w:tc>
        <w:tc>
          <w:tcPr>
            <w:tcW w:w="2721" w:type="dxa"/>
            <w:vAlign w:val="center"/>
          </w:tcPr>
          <w:p w14:paraId="4BA8D2DD"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European anchovy</w:t>
            </w:r>
          </w:p>
        </w:tc>
        <w:tc>
          <w:tcPr>
            <w:tcW w:w="1134" w:type="dxa"/>
            <w:vAlign w:val="center"/>
          </w:tcPr>
          <w:p w14:paraId="26AE3BC2"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Ie</w:t>
            </w:r>
          </w:p>
        </w:tc>
      </w:tr>
      <w:tr w:rsidR="00E65E42" w:rsidRPr="007D71D2" w14:paraId="054DB052" w14:textId="77777777" w:rsidTr="00E65E42">
        <w:trPr>
          <w:jc w:val="center"/>
        </w:trPr>
        <w:tc>
          <w:tcPr>
            <w:tcW w:w="1700" w:type="dxa"/>
            <w:vMerge w:val="restart"/>
            <w:vAlign w:val="center"/>
          </w:tcPr>
          <w:p w14:paraId="33F6EF4B" w14:textId="77777777" w:rsidR="00E65E42" w:rsidRPr="007D71D2" w:rsidRDefault="00E65E42" w:rsidP="00E65E42">
            <w:pPr>
              <w:spacing w:after="0" w:line="240" w:lineRule="auto"/>
              <w:jc w:val="center"/>
              <w:rPr>
                <w:rFonts w:ascii="Arial" w:eastAsia="Times New Roman" w:hAnsi="Arial" w:cs="Arial"/>
                <w:sz w:val="18"/>
                <w:szCs w:val="18"/>
              </w:rPr>
            </w:pPr>
            <w:r w:rsidRPr="007D71D2">
              <w:rPr>
                <w:rFonts w:ascii="Arial" w:eastAsia="Times New Roman" w:hAnsi="Arial" w:cs="Arial"/>
                <w:sz w:val="18"/>
                <w:szCs w:val="18"/>
              </w:rPr>
              <w:t>Esocidae</w:t>
            </w:r>
          </w:p>
        </w:tc>
        <w:tc>
          <w:tcPr>
            <w:tcW w:w="2552" w:type="dxa"/>
            <w:shd w:val="clear" w:color="auto" w:fill="auto"/>
            <w:vAlign w:val="center"/>
          </w:tcPr>
          <w:p w14:paraId="2346E4FE" w14:textId="77777777" w:rsidR="00E65E42" w:rsidRPr="007D71D2" w:rsidRDefault="00E65E42" w:rsidP="00E65E42">
            <w:pPr>
              <w:spacing w:after="0" w:line="240" w:lineRule="auto"/>
              <w:jc w:val="center"/>
              <w:rPr>
                <w:rFonts w:ascii="Arial" w:eastAsia="Times New Roman" w:hAnsi="Arial" w:cs="Arial"/>
                <w:b/>
                <w:i/>
                <w:sz w:val="18"/>
                <w:szCs w:val="18"/>
                <w:lang w:bidi="en-US"/>
              </w:rPr>
            </w:pPr>
            <w:r w:rsidRPr="007D71D2">
              <w:rPr>
                <w:rFonts w:ascii="Arial" w:eastAsia="Times New Roman" w:hAnsi="Arial" w:cs="Arial"/>
                <w:bCs/>
                <w:i/>
                <w:iCs/>
                <w:sz w:val="18"/>
                <w:szCs w:val="18"/>
                <w:lang w:val="en-IE" w:bidi="en-US"/>
              </w:rPr>
              <w:t>Esox lucius</w:t>
            </w:r>
          </w:p>
        </w:tc>
        <w:tc>
          <w:tcPr>
            <w:tcW w:w="2721" w:type="dxa"/>
            <w:vAlign w:val="center"/>
          </w:tcPr>
          <w:p w14:paraId="71CBA875"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Northern pike</w:t>
            </w:r>
          </w:p>
        </w:tc>
        <w:tc>
          <w:tcPr>
            <w:tcW w:w="1134" w:type="dxa"/>
            <w:vAlign w:val="center"/>
          </w:tcPr>
          <w:p w14:paraId="2D0A7595"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IVb</w:t>
            </w:r>
          </w:p>
        </w:tc>
      </w:tr>
      <w:tr w:rsidR="00E65E42" w:rsidRPr="007D71D2" w14:paraId="4E8B84A8" w14:textId="77777777" w:rsidTr="00E65E42">
        <w:trPr>
          <w:jc w:val="center"/>
        </w:trPr>
        <w:tc>
          <w:tcPr>
            <w:tcW w:w="1700" w:type="dxa"/>
            <w:vMerge/>
            <w:vAlign w:val="center"/>
          </w:tcPr>
          <w:p w14:paraId="1071EF71" w14:textId="77777777" w:rsidR="00E65E42" w:rsidRPr="007D71D2" w:rsidRDefault="00E65E42" w:rsidP="00E65E42">
            <w:pPr>
              <w:spacing w:after="0" w:line="240" w:lineRule="auto"/>
              <w:jc w:val="center"/>
              <w:rPr>
                <w:rFonts w:ascii="Arial" w:eastAsia="Times New Roman" w:hAnsi="Arial" w:cs="Arial"/>
                <w:sz w:val="18"/>
                <w:szCs w:val="18"/>
              </w:rPr>
            </w:pPr>
          </w:p>
        </w:tc>
        <w:tc>
          <w:tcPr>
            <w:tcW w:w="2552" w:type="dxa"/>
            <w:shd w:val="clear" w:color="auto" w:fill="auto"/>
            <w:vAlign w:val="center"/>
          </w:tcPr>
          <w:p w14:paraId="7DFB779F" w14:textId="77777777" w:rsidR="00E65E42" w:rsidRPr="007D71D2" w:rsidRDefault="00E65E42" w:rsidP="00E65E42">
            <w:pPr>
              <w:spacing w:after="0" w:line="240" w:lineRule="auto"/>
              <w:jc w:val="center"/>
              <w:rPr>
                <w:rFonts w:ascii="Arial" w:eastAsia="Times New Roman" w:hAnsi="Arial" w:cs="Arial"/>
                <w:bCs/>
                <w:i/>
                <w:iCs/>
                <w:sz w:val="18"/>
                <w:szCs w:val="18"/>
                <w:lang w:val="en-IE" w:bidi="en-US"/>
              </w:rPr>
            </w:pPr>
            <w:r w:rsidRPr="007D71D2">
              <w:rPr>
                <w:rFonts w:ascii="Arial" w:eastAsia="Times New Roman" w:hAnsi="Arial" w:cs="Arial"/>
                <w:bCs/>
                <w:i/>
                <w:iCs/>
                <w:sz w:val="18"/>
                <w:szCs w:val="18"/>
                <w:lang w:val="en-IE" w:bidi="en-US"/>
              </w:rPr>
              <w:t>Esox masquinongy</w:t>
            </w:r>
          </w:p>
        </w:tc>
        <w:tc>
          <w:tcPr>
            <w:tcW w:w="2721" w:type="dxa"/>
            <w:vAlign w:val="center"/>
          </w:tcPr>
          <w:p w14:paraId="33290A18" w14:textId="77777777" w:rsidR="00E65E42" w:rsidRPr="007D71D2" w:rsidRDefault="00E65E42" w:rsidP="00E65E42">
            <w:pPr>
              <w:spacing w:after="0" w:line="240" w:lineRule="auto"/>
              <w:jc w:val="center"/>
              <w:rPr>
                <w:rFonts w:ascii="Arial" w:eastAsia="Times New Roman" w:hAnsi="Arial" w:cs="Arial"/>
                <w:bCs/>
                <w:sz w:val="18"/>
                <w:szCs w:val="18"/>
                <w:lang w:val="en-IE" w:bidi="en-US"/>
              </w:rPr>
            </w:pPr>
            <w:r w:rsidRPr="007D71D2">
              <w:rPr>
                <w:rFonts w:ascii="Arial" w:eastAsia="Times New Roman" w:hAnsi="Arial" w:cs="Arial"/>
                <w:bCs/>
                <w:sz w:val="18"/>
                <w:szCs w:val="18"/>
                <w:lang w:val="en-IE" w:bidi="en-US"/>
              </w:rPr>
              <w:t>Muskellunge</w:t>
            </w:r>
          </w:p>
        </w:tc>
        <w:tc>
          <w:tcPr>
            <w:tcW w:w="1134" w:type="dxa"/>
            <w:vAlign w:val="center"/>
          </w:tcPr>
          <w:p w14:paraId="487513F5"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IVb</w:t>
            </w:r>
          </w:p>
        </w:tc>
      </w:tr>
      <w:tr w:rsidR="00E65E42" w:rsidRPr="007D71D2" w14:paraId="299B3920" w14:textId="77777777" w:rsidTr="00E65E42">
        <w:trPr>
          <w:jc w:val="center"/>
        </w:trPr>
        <w:tc>
          <w:tcPr>
            <w:tcW w:w="1700" w:type="dxa"/>
            <w:vAlign w:val="center"/>
          </w:tcPr>
          <w:p w14:paraId="596CF506" w14:textId="77777777" w:rsidR="00E65E42" w:rsidRPr="007D71D2" w:rsidRDefault="00E65E42" w:rsidP="00E65E42">
            <w:pPr>
              <w:spacing w:after="0" w:line="240" w:lineRule="auto"/>
              <w:jc w:val="center"/>
              <w:rPr>
                <w:rFonts w:ascii="Arial" w:eastAsia="Times New Roman" w:hAnsi="Arial" w:cs="Arial"/>
                <w:sz w:val="18"/>
                <w:szCs w:val="18"/>
              </w:rPr>
            </w:pPr>
            <w:r w:rsidRPr="007D71D2">
              <w:rPr>
                <w:rFonts w:ascii="Arial" w:eastAsia="Times New Roman" w:hAnsi="Arial" w:cs="Arial"/>
                <w:sz w:val="18"/>
                <w:szCs w:val="18"/>
              </w:rPr>
              <w:t>Fundulidae</w:t>
            </w:r>
          </w:p>
        </w:tc>
        <w:tc>
          <w:tcPr>
            <w:tcW w:w="2552" w:type="dxa"/>
            <w:shd w:val="clear" w:color="auto" w:fill="auto"/>
            <w:vAlign w:val="center"/>
          </w:tcPr>
          <w:p w14:paraId="4400D8C5" w14:textId="77777777" w:rsidR="00E65E42" w:rsidRPr="007D71D2" w:rsidRDefault="00E65E42" w:rsidP="00E65E42">
            <w:pPr>
              <w:spacing w:after="0" w:line="240" w:lineRule="auto"/>
              <w:jc w:val="center"/>
              <w:rPr>
                <w:rFonts w:ascii="Arial" w:eastAsia="Times New Roman" w:hAnsi="Arial" w:cs="Arial"/>
                <w:bCs/>
                <w:i/>
                <w:iCs/>
                <w:sz w:val="18"/>
                <w:szCs w:val="18"/>
                <w:lang w:val="en-IE" w:bidi="en-US"/>
              </w:rPr>
            </w:pPr>
            <w:r w:rsidRPr="007D71D2">
              <w:rPr>
                <w:rFonts w:ascii="Arial" w:eastAsia="Times New Roman" w:hAnsi="Arial" w:cs="Arial"/>
                <w:bCs/>
                <w:i/>
                <w:iCs/>
                <w:sz w:val="18"/>
                <w:szCs w:val="18"/>
                <w:lang w:val="en-IE" w:bidi="en-US"/>
              </w:rPr>
              <w:t>Fundulus heteroclitus</w:t>
            </w:r>
          </w:p>
        </w:tc>
        <w:tc>
          <w:tcPr>
            <w:tcW w:w="2721" w:type="dxa"/>
            <w:vAlign w:val="center"/>
          </w:tcPr>
          <w:p w14:paraId="6F88E57D" w14:textId="77777777" w:rsidR="00E65E42" w:rsidRPr="007D71D2" w:rsidRDefault="00E65E42" w:rsidP="00E65E42">
            <w:pPr>
              <w:spacing w:after="0" w:line="240" w:lineRule="auto"/>
              <w:jc w:val="center"/>
              <w:rPr>
                <w:rFonts w:ascii="Arial" w:eastAsia="Times New Roman" w:hAnsi="Arial" w:cs="Arial"/>
                <w:bCs/>
                <w:sz w:val="18"/>
                <w:szCs w:val="18"/>
                <w:lang w:val="en-IE" w:bidi="en-US"/>
              </w:rPr>
            </w:pPr>
            <w:r w:rsidRPr="007D71D2">
              <w:rPr>
                <w:rFonts w:ascii="Arial" w:eastAsia="Times New Roman" w:hAnsi="Arial" w:cs="Arial"/>
                <w:bCs/>
                <w:sz w:val="18"/>
                <w:szCs w:val="18"/>
                <w:lang w:val="en-IE" w:bidi="en-US"/>
              </w:rPr>
              <w:t>Mummichog</w:t>
            </w:r>
          </w:p>
        </w:tc>
        <w:tc>
          <w:tcPr>
            <w:tcW w:w="1134" w:type="dxa"/>
            <w:vAlign w:val="center"/>
          </w:tcPr>
          <w:p w14:paraId="71D8EA23"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IVc</w:t>
            </w:r>
          </w:p>
        </w:tc>
      </w:tr>
      <w:tr w:rsidR="00E65E42" w:rsidRPr="007D71D2" w14:paraId="4D934BA9" w14:textId="77777777" w:rsidTr="00E65E42">
        <w:trPr>
          <w:jc w:val="center"/>
        </w:trPr>
        <w:tc>
          <w:tcPr>
            <w:tcW w:w="1700" w:type="dxa"/>
            <w:vMerge w:val="restart"/>
            <w:vAlign w:val="center"/>
          </w:tcPr>
          <w:p w14:paraId="42EB5691" w14:textId="77777777" w:rsidR="00E65E42" w:rsidRPr="007D71D2" w:rsidRDefault="00E65E42" w:rsidP="00E65E42">
            <w:pPr>
              <w:spacing w:after="0" w:line="240" w:lineRule="auto"/>
              <w:jc w:val="center"/>
              <w:rPr>
                <w:rFonts w:ascii="Arial" w:eastAsia="Times New Roman" w:hAnsi="Arial" w:cs="Arial"/>
                <w:sz w:val="18"/>
                <w:szCs w:val="18"/>
              </w:rPr>
            </w:pPr>
            <w:r w:rsidRPr="007D71D2">
              <w:rPr>
                <w:rFonts w:ascii="Arial" w:eastAsia="Times New Roman" w:hAnsi="Arial" w:cs="Arial"/>
                <w:sz w:val="18"/>
                <w:szCs w:val="18"/>
              </w:rPr>
              <w:t>Gadidae</w:t>
            </w:r>
          </w:p>
        </w:tc>
        <w:tc>
          <w:tcPr>
            <w:tcW w:w="2552" w:type="dxa"/>
            <w:shd w:val="clear" w:color="auto" w:fill="auto"/>
            <w:vAlign w:val="center"/>
          </w:tcPr>
          <w:p w14:paraId="5964DFA0"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Gadus macrocephalus</w:t>
            </w:r>
          </w:p>
        </w:tc>
        <w:tc>
          <w:tcPr>
            <w:tcW w:w="2721" w:type="dxa"/>
            <w:vAlign w:val="center"/>
          </w:tcPr>
          <w:p w14:paraId="0DE3ECFF"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Pacific cod</w:t>
            </w:r>
          </w:p>
        </w:tc>
        <w:tc>
          <w:tcPr>
            <w:tcW w:w="1134" w:type="dxa"/>
            <w:vAlign w:val="center"/>
          </w:tcPr>
          <w:p w14:paraId="7C07AD61"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IVa</w:t>
            </w:r>
          </w:p>
        </w:tc>
      </w:tr>
      <w:tr w:rsidR="00E65E42" w:rsidRPr="007D71D2" w14:paraId="1218776F" w14:textId="77777777" w:rsidTr="00E65E42">
        <w:trPr>
          <w:jc w:val="center"/>
        </w:trPr>
        <w:tc>
          <w:tcPr>
            <w:tcW w:w="1700" w:type="dxa"/>
            <w:vMerge/>
            <w:vAlign w:val="center"/>
          </w:tcPr>
          <w:p w14:paraId="26CA821D" w14:textId="77777777" w:rsidR="00E65E42" w:rsidRPr="007D71D2"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41EE65B5"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Gadus morhua</w:t>
            </w:r>
          </w:p>
        </w:tc>
        <w:tc>
          <w:tcPr>
            <w:tcW w:w="2721" w:type="dxa"/>
            <w:vAlign w:val="center"/>
          </w:tcPr>
          <w:p w14:paraId="71C09C0E"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Atlantic cod</w:t>
            </w:r>
          </w:p>
        </w:tc>
        <w:tc>
          <w:tcPr>
            <w:tcW w:w="1134" w:type="dxa"/>
            <w:vAlign w:val="center"/>
          </w:tcPr>
          <w:p w14:paraId="052FB3FC"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Ib, III</w:t>
            </w:r>
          </w:p>
        </w:tc>
      </w:tr>
      <w:tr w:rsidR="00E65E42" w:rsidRPr="007D71D2" w14:paraId="658208CA" w14:textId="77777777" w:rsidTr="00E65E42">
        <w:trPr>
          <w:jc w:val="center"/>
        </w:trPr>
        <w:tc>
          <w:tcPr>
            <w:tcW w:w="1700" w:type="dxa"/>
            <w:vMerge/>
            <w:vAlign w:val="center"/>
          </w:tcPr>
          <w:p w14:paraId="4FAA893B" w14:textId="77777777" w:rsidR="00E65E42" w:rsidRPr="007D71D2"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5C5F8734"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Merlangius merlangus</w:t>
            </w:r>
          </w:p>
        </w:tc>
        <w:tc>
          <w:tcPr>
            <w:tcW w:w="2721" w:type="dxa"/>
            <w:vAlign w:val="center"/>
          </w:tcPr>
          <w:p w14:paraId="57D2CFDF"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Whiting</w:t>
            </w:r>
          </w:p>
        </w:tc>
        <w:tc>
          <w:tcPr>
            <w:tcW w:w="1134" w:type="dxa"/>
            <w:vAlign w:val="center"/>
          </w:tcPr>
          <w:p w14:paraId="4D7D9320"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Ie</w:t>
            </w:r>
          </w:p>
        </w:tc>
      </w:tr>
      <w:tr w:rsidR="00E65E42" w:rsidRPr="007D71D2" w14:paraId="2C3814C2" w14:textId="77777777" w:rsidTr="00E65E42">
        <w:trPr>
          <w:jc w:val="center"/>
        </w:trPr>
        <w:tc>
          <w:tcPr>
            <w:tcW w:w="1700" w:type="dxa"/>
            <w:vMerge/>
            <w:vAlign w:val="center"/>
          </w:tcPr>
          <w:p w14:paraId="4898293D" w14:textId="77777777" w:rsidR="00E65E42" w:rsidRPr="007D71D2"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1072ECAB" w14:textId="77777777" w:rsidR="00E65E42" w:rsidRPr="007D71D2" w:rsidRDefault="00E65E42" w:rsidP="00E65E42">
            <w:pPr>
              <w:spacing w:after="0" w:line="240" w:lineRule="auto"/>
              <w:jc w:val="center"/>
              <w:rPr>
                <w:rFonts w:ascii="Arial" w:eastAsia="Times New Roman" w:hAnsi="Arial" w:cs="Arial"/>
                <w:bCs/>
                <w:i/>
                <w:iCs/>
                <w:sz w:val="18"/>
                <w:szCs w:val="18"/>
                <w:lang w:val="en-IE" w:bidi="en-US"/>
              </w:rPr>
            </w:pPr>
            <w:r w:rsidRPr="007D71D2">
              <w:rPr>
                <w:rFonts w:ascii="Arial" w:eastAsia="Times New Roman" w:hAnsi="Arial" w:cs="Arial"/>
                <w:bCs/>
                <w:i/>
                <w:iCs/>
                <w:sz w:val="18"/>
                <w:szCs w:val="18"/>
                <w:lang w:val="en-IE" w:bidi="en-US"/>
              </w:rPr>
              <w:t>Micromesistius poutassou</w:t>
            </w:r>
          </w:p>
        </w:tc>
        <w:tc>
          <w:tcPr>
            <w:tcW w:w="2721" w:type="dxa"/>
            <w:vAlign w:val="center"/>
          </w:tcPr>
          <w:p w14:paraId="23EE17FE" w14:textId="77777777" w:rsidR="00E65E42" w:rsidRPr="007D71D2" w:rsidRDefault="00E65E42" w:rsidP="00E65E42">
            <w:pPr>
              <w:spacing w:after="0" w:line="240" w:lineRule="auto"/>
              <w:jc w:val="center"/>
              <w:rPr>
                <w:rFonts w:ascii="Arial" w:eastAsia="Times New Roman" w:hAnsi="Arial" w:cs="Arial"/>
                <w:bCs/>
                <w:sz w:val="18"/>
                <w:szCs w:val="18"/>
                <w:lang w:val="en-IE" w:bidi="en-US"/>
              </w:rPr>
            </w:pPr>
            <w:r w:rsidRPr="007D71D2">
              <w:rPr>
                <w:rFonts w:ascii="Arial" w:eastAsia="Times New Roman" w:hAnsi="Arial" w:cs="Arial"/>
                <w:bCs/>
                <w:sz w:val="18"/>
                <w:szCs w:val="18"/>
                <w:lang w:val="en-IE" w:bidi="en-US"/>
              </w:rPr>
              <w:t xml:space="preserve">Blue whiting </w:t>
            </w:r>
          </w:p>
        </w:tc>
        <w:tc>
          <w:tcPr>
            <w:tcW w:w="1134" w:type="dxa"/>
            <w:vAlign w:val="center"/>
          </w:tcPr>
          <w:p w14:paraId="001B23C6"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Ib, III</w:t>
            </w:r>
          </w:p>
        </w:tc>
      </w:tr>
      <w:tr w:rsidR="00E65E42" w:rsidRPr="007D71D2" w14:paraId="4F25E42A" w14:textId="77777777" w:rsidTr="00E65E42">
        <w:trPr>
          <w:jc w:val="center"/>
        </w:trPr>
        <w:tc>
          <w:tcPr>
            <w:tcW w:w="1700" w:type="dxa"/>
            <w:vMerge/>
            <w:vAlign w:val="center"/>
          </w:tcPr>
          <w:p w14:paraId="7E81284C" w14:textId="77777777" w:rsidR="00E65E42" w:rsidRPr="007D71D2"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3BF3E153" w14:textId="77777777" w:rsidR="00E65E42" w:rsidRPr="007D71D2" w:rsidRDefault="00E65E42" w:rsidP="00E65E42">
            <w:pPr>
              <w:spacing w:after="0" w:line="240" w:lineRule="auto"/>
              <w:jc w:val="center"/>
              <w:rPr>
                <w:rFonts w:ascii="Arial" w:eastAsia="Times New Roman" w:hAnsi="Arial" w:cs="Arial"/>
                <w:bCs/>
                <w:i/>
                <w:iCs/>
                <w:sz w:val="18"/>
                <w:szCs w:val="18"/>
                <w:lang w:val="en-IE" w:bidi="en-US"/>
              </w:rPr>
            </w:pPr>
            <w:r w:rsidRPr="007D71D2">
              <w:rPr>
                <w:rFonts w:ascii="Arial" w:eastAsia="Times New Roman" w:hAnsi="Arial" w:cs="Arial"/>
                <w:bCs/>
                <w:i/>
                <w:iCs/>
                <w:sz w:val="18"/>
                <w:szCs w:val="18"/>
                <w:lang w:val="en-IE" w:bidi="en-US"/>
              </w:rPr>
              <w:t>Trisopterus esmarkii</w:t>
            </w:r>
          </w:p>
        </w:tc>
        <w:tc>
          <w:tcPr>
            <w:tcW w:w="2721" w:type="dxa"/>
            <w:vAlign w:val="center"/>
          </w:tcPr>
          <w:p w14:paraId="1617EE6B" w14:textId="77777777" w:rsidR="00E65E42" w:rsidRPr="007D71D2" w:rsidRDefault="00E65E42" w:rsidP="00E65E42">
            <w:pPr>
              <w:spacing w:after="0" w:line="240" w:lineRule="auto"/>
              <w:jc w:val="center"/>
              <w:rPr>
                <w:rFonts w:ascii="Arial" w:eastAsia="Times New Roman" w:hAnsi="Arial" w:cs="Arial"/>
                <w:bCs/>
                <w:sz w:val="18"/>
                <w:szCs w:val="18"/>
                <w:lang w:val="en-IE" w:bidi="en-US"/>
              </w:rPr>
            </w:pPr>
            <w:r w:rsidRPr="007D71D2">
              <w:rPr>
                <w:rFonts w:ascii="Arial" w:eastAsia="Times New Roman" w:hAnsi="Arial" w:cs="Arial"/>
                <w:bCs/>
                <w:sz w:val="18"/>
                <w:szCs w:val="18"/>
                <w:lang w:val="en-IE" w:bidi="en-US"/>
              </w:rPr>
              <w:t>Norway pout</w:t>
            </w:r>
          </w:p>
        </w:tc>
        <w:tc>
          <w:tcPr>
            <w:tcW w:w="1134" w:type="dxa"/>
            <w:vAlign w:val="center"/>
          </w:tcPr>
          <w:p w14:paraId="2F223A5E"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Ib, III</w:t>
            </w:r>
          </w:p>
        </w:tc>
      </w:tr>
    </w:tbl>
    <w:p w14:paraId="02021EF9" w14:textId="77777777" w:rsidR="008A67C2" w:rsidRPr="008A67C2" w:rsidRDefault="008A67C2" w:rsidP="008A67C2">
      <w:pPr>
        <w:spacing w:after="480" w:line="240" w:lineRule="auto"/>
        <w:rPr>
          <w:lang w:val="fr-FR"/>
        </w:rPr>
      </w:pPr>
      <w:r>
        <w:br w:type="page"/>
      </w:r>
      <w:r w:rsidRPr="008A67C2">
        <w:rPr>
          <w:u w:val="single"/>
          <w:lang w:val="fr-FR"/>
        </w:rPr>
        <w:lastRenderedPageBreak/>
        <w:t>A</w:t>
      </w:r>
      <w:r w:rsidRPr="008A67C2">
        <w:rPr>
          <w:rFonts w:cs="Times New Roman"/>
          <w:bCs/>
          <w:iCs/>
          <w:szCs w:val="20"/>
          <w:u w:val="single"/>
          <w:lang w:val="fr-FR"/>
        </w:rPr>
        <w:t>nnex 14</w:t>
      </w:r>
      <w:r w:rsidRPr="008A67C2">
        <w:rPr>
          <w:rFonts w:cs="Times New Roman"/>
          <w:bCs/>
          <w:iCs/>
          <w:szCs w:val="20"/>
          <w:lang w:val="fr-FR"/>
        </w:rPr>
        <w:t xml:space="preserve"> (contd)</w:t>
      </w:r>
    </w:p>
    <w:tbl>
      <w:tblPr>
        <w:tblW w:w="8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0"/>
        <w:gridCol w:w="2552"/>
        <w:gridCol w:w="2721"/>
        <w:gridCol w:w="1134"/>
      </w:tblGrid>
      <w:tr w:rsidR="00E65E42" w:rsidRPr="007D71D2" w14:paraId="0341FD82" w14:textId="77777777" w:rsidTr="00E65E42">
        <w:trPr>
          <w:jc w:val="center"/>
        </w:trPr>
        <w:tc>
          <w:tcPr>
            <w:tcW w:w="1700" w:type="dxa"/>
            <w:vAlign w:val="center"/>
          </w:tcPr>
          <w:p w14:paraId="7BAF0C0D" w14:textId="5574C44C" w:rsidR="00E65E42" w:rsidRPr="007D71D2" w:rsidRDefault="00E65E42" w:rsidP="00E65E42">
            <w:pPr>
              <w:spacing w:after="0" w:line="240" w:lineRule="auto"/>
              <w:jc w:val="center"/>
              <w:rPr>
                <w:rFonts w:ascii="Arial" w:eastAsia="Times New Roman" w:hAnsi="Arial" w:cs="Arial"/>
                <w:sz w:val="18"/>
                <w:szCs w:val="18"/>
              </w:rPr>
            </w:pPr>
            <w:r w:rsidRPr="007D71D2">
              <w:rPr>
                <w:rFonts w:ascii="Arial" w:eastAsia="Times New Roman" w:hAnsi="Arial" w:cs="Arial"/>
                <w:sz w:val="18"/>
                <w:szCs w:val="18"/>
              </w:rPr>
              <w:t>Gasterosteidae</w:t>
            </w:r>
          </w:p>
        </w:tc>
        <w:tc>
          <w:tcPr>
            <w:tcW w:w="2552" w:type="dxa"/>
            <w:shd w:val="clear" w:color="auto" w:fill="auto"/>
            <w:vAlign w:val="center"/>
          </w:tcPr>
          <w:p w14:paraId="056E450A" w14:textId="77777777" w:rsidR="00E65E42" w:rsidRPr="007D71D2" w:rsidRDefault="00E65E42" w:rsidP="00E65E42">
            <w:pPr>
              <w:spacing w:after="0" w:line="240" w:lineRule="auto"/>
              <w:jc w:val="center"/>
              <w:rPr>
                <w:rFonts w:ascii="Arial" w:eastAsia="Times New Roman" w:hAnsi="Arial" w:cs="Arial"/>
                <w:bCs/>
                <w:i/>
                <w:sz w:val="18"/>
                <w:szCs w:val="18"/>
                <w:lang w:bidi="en-US"/>
              </w:rPr>
            </w:pPr>
            <w:r w:rsidRPr="007D71D2">
              <w:rPr>
                <w:rFonts w:ascii="Arial" w:eastAsia="Times New Roman" w:hAnsi="Arial" w:cs="Arial"/>
                <w:bCs/>
                <w:i/>
                <w:iCs/>
                <w:sz w:val="18"/>
                <w:szCs w:val="18"/>
                <w:lang w:val="en-IE" w:bidi="en-US"/>
              </w:rPr>
              <w:t>Gasterosteus aculeatus</w:t>
            </w:r>
          </w:p>
        </w:tc>
        <w:tc>
          <w:tcPr>
            <w:tcW w:w="2721" w:type="dxa"/>
            <w:vAlign w:val="center"/>
          </w:tcPr>
          <w:p w14:paraId="725B3CEA"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sz w:val="18"/>
                <w:szCs w:val="18"/>
                <w:lang w:val="en-IE" w:bidi="en-US"/>
              </w:rPr>
              <w:t xml:space="preserve">Three-spine stickleback </w:t>
            </w:r>
          </w:p>
        </w:tc>
        <w:tc>
          <w:tcPr>
            <w:tcW w:w="1134" w:type="dxa"/>
            <w:vAlign w:val="center"/>
          </w:tcPr>
          <w:p w14:paraId="313CC443" w14:textId="77777777" w:rsidR="00E65E42" w:rsidRPr="007D71D2" w:rsidRDefault="00E65E42" w:rsidP="00E65E42">
            <w:pPr>
              <w:spacing w:after="0" w:line="240" w:lineRule="auto"/>
              <w:jc w:val="center"/>
              <w:rPr>
                <w:rFonts w:ascii="Arial" w:eastAsia="Times New Roman" w:hAnsi="Arial" w:cs="Arial"/>
                <w:bCs/>
                <w:iCs/>
                <w:sz w:val="18"/>
                <w:szCs w:val="18"/>
                <w:lang w:bidi="en-US"/>
              </w:rPr>
            </w:pPr>
            <w:r w:rsidRPr="007D71D2">
              <w:rPr>
                <w:rFonts w:ascii="Arial" w:eastAsia="Times New Roman" w:hAnsi="Arial" w:cs="Arial"/>
                <w:bCs/>
                <w:iCs/>
                <w:sz w:val="18"/>
                <w:szCs w:val="18"/>
                <w:lang w:bidi="en-US"/>
              </w:rPr>
              <w:t>IVc</w:t>
            </w:r>
          </w:p>
        </w:tc>
      </w:tr>
      <w:tr w:rsidR="00E65E42" w:rsidRPr="00D403F5" w14:paraId="18CE1155" w14:textId="77777777" w:rsidTr="00E65E42">
        <w:trPr>
          <w:jc w:val="center"/>
        </w:trPr>
        <w:tc>
          <w:tcPr>
            <w:tcW w:w="1700" w:type="dxa"/>
            <w:vMerge w:val="restart"/>
            <w:vAlign w:val="center"/>
          </w:tcPr>
          <w:p w14:paraId="15A71C6D" w14:textId="77777777" w:rsidR="00E65E42" w:rsidRPr="00D403F5" w:rsidRDefault="00E65E42" w:rsidP="00E65E42">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Gobiidae</w:t>
            </w:r>
          </w:p>
        </w:tc>
        <w:tc>
          <w:tcPr>
            <w:tcW w:w="2552" w:type="dxa"/>
            <w:shd w:val="clear" w:color="auto" w:fill="auto"/>
            <w:vAlign w:val="center"/>
          </w:tcPr>
          <w:p w14:paraId="46FA3DEB"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Neogobius melanostomus</w:t>
            </w:r>
          </w:p>
        </w:tc>
        <w:tc>
          <w:tcPr>
            <w:tcW w:w="2721" w:type="dxa"/>
            <w:vAlign w:val="center"/>
          </w:tcPr>
          <w:p w14:paraId="09263352"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Round goby</w:t>
            </w:r>
          </w:p>
        </w:tc>
        <w:tc>
          <w:tcPr>
            <w:tcW w:w="1134" w:type="dxa"/>
            <w:vAlign w:val="center"/>
          </w:tcPr>
          <w:p w14:paraId="198B8731"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2D6778E9" w14:textId="77777777" w:rsidTr="00E65E42">
        <w:trPr>
          <w:jc w:val="center"/>
        </w:trPr>
        <w:tc>
          <w:tcPr>
            <w:tcW w:w="1700" w:type="dxa"/>
            <w:vMerge/>
            <w:vAlign w:val="center"/>
          </w:tcPr>
          <w:p w14:paraId="347BBC00"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09E828D7"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Pomatoschistus minutus</w:t>
            </w:r>
          </w:p>
        </w:tc>
        <w:tc>
          <w:tcPr>
            <w:tcW w:w="2721" w:type="dxa"/>
            <w:vAlign w:val="center"/>
          </w:tcPr>
          <w:p w14:paraId="2A73759B"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Sand goby</w:t>
            </w:r>
          </w:p>
        </w:tc>
        <w:tc>
          <w:tcPr>
            <w:tcW w:w="1134" w:type="dxa"/>
            <w:vAlign w:val="center"/>
          </w:tcPr>
          <w:p w14:paraId="2A738950"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E65E42" w:rsidRPr="00D403F5" w14:paraId="64C7B47B" w14:textId="77777777" w:rsidTr="00E65E42">
        <w:trPr>
          <w:jc w:val="center"/>
        </w:trPr>
        <w:tc>
          <w:tcPr>
            <w:tcW w:w="1700" w:type="dxa"/>
            <w:vAlign w:val="center"/>
          </w:tcPr>
          <w:p w14:paraId="75965AFB" w14:textId="77777777" w:rsidR="00E65E42" w:rsidRPr="00D403F5" w:rsidRDefault="00E65E42" w:rsidP="00E65E42">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Ictaluridae</w:t>
            </w:r>
          </w:p>
        </w:tc>
        <w:tc>
          <w:tcPr>
            <w:tcW w:w="2552" w:type="dxa"/>
            <w:shd w:val="clear" w:color="auto" w:fill="auto"/>
            <w:vAlign w:val="center"/>
          </w:tcPr>
          <w:p w14:paraId="242D554F"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Ictalurus nebulosus</w:t>
            </w:r>
          </w:p>
        </w:tc>
        <w:tc>
          <w:tcPr>
            <w:tcW w:w="2721" w:type="dxa"/>
            <w:vAlign w:val="center"/>
          </w:tcPr>
          <w:p w14:paraId="7A2E7091"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Brown bullhead</w:t>
            </w:r>
          </w:p>
        </w:tc>
        <w:tc>
          <w:tcPr>
            <w:tcW w:w="1134" w:type="dxa"/>
            <w:vAlign w:val="center"/>
          </w:tcPr>
          <w:p w14:paraId="62A165B5"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2B870360" w14:textId="77777777" w:rsidTr="00E65E42">
        <w:trPr>
          <w:jc w:val="center"/>
        </w:trPr>
        <w:tc>
          <w:tcPr>
            <w:tcW w:w="1700" w:type="dxa"/>
            <w:vMerge w:val="restart"/>
            <w:vAlign w:val="center"/>
          </w:tcPr>
          <w:p w14:paraId="5C63C9D1" w14:textId="77777777" w:rsidR="00E65E42" w:rsidRPr="00D403F5" w:rsidRDefault="00E65E42" w:rsidP="00E65E42">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Labridae</w:t>
            </w:r>
          </w:p>
        </w:tc>
        <w:tc>
          <w:tcPr>
            <w:tcW w:w="2552" w:type="dxa"/>
            <w:shd w:val="clear" w:color="auto" w:fill="auto"/>
            <w:vAlign w:val="center"/>
          </w:tcPr>
          <w:p w14:paraId="7B424FC8"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Centrolabrus exoletus</w:t>
            </w:r>
          </w:p>
        </w:tc>
        <w:tc>
          <w:tcPr>
            <w:tcW w:w="2721" w:type="dxa"/>
            <w:vAlign w:val="center"/>
          </w:tcPr>
          <w:p w14:paraId="39FBAB56"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Rock cook wrasse</w:t>
            </w:r>
          </w:p>
        </w:tc>
        <w:tc>
          <w:tcPr>
            <w:tcW w:w="1134" w:type="dxa"/>
            <w:vAlign w:val="center"/>
          </w:tcPr>
          <w:p w14:paraId="06E8C981"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E65E42" w:rsidRPr="00D403F5" w14:paraId="62306FFD" w14:textId="77777777" w:rsidTr="00E65E42">
        <w:trPr>
          <w:jc w:val="center"/>
        </w:trPr>
        <w:tc>
          <w:tcPr>
            <w:tcW w:w="1700" w:type="dxa"/>
            <w:vMerge/>
            <w:vAlign w:val="center"/>
          </w:tcPr>
          <w:p w14:paraId="7599457A"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140B3DBA"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Ctenolabrus rupestris</w:t>
            </w:r>
          </w:p>
        </w:tc>
        <w:tc>
          <w:tcPr>
            <w:tcW w:w="2721" w:type="dxa"/>
            <w:vAlign w:val="center"/>
          </w:tcPr>
          <w:p w14:paraId="0E4BCB56"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Goldsinny wrasse</w:t>
            </w:r>
          </w:p>
        </w:tc>
        <w:tc>
          <w:tcPr>
            <w:tcW w:w="1134" w:type="dxa"/>
            <w:vAlign w:val="center"/>
          </w:tcPr>
          <w:p w14:paraId="0CC44FA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E65E42" w:rsidRPr="00D403F5" w14:paraId="15F28499" w14:textId="77777777" w:rsidTr="00E65E42">
        <w:trPr>
          <w:jc w:val="center"/>
        </w:trPr>
        <w:tc>
          <w:tcPr>
            <w:tcW w:w="1700" w:type="dxa"/>
            <w:vMerge/>
            <w:vAlign w:val="center"/>
          </w:tcPr>
          <w:p w14:paraId="77453132"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347D47C5"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Labrus bergylta</w:t>
            </w:r>
          </w:p>
        </w:tc>
        <w:tc>
          <w:tcPr>
            <w:tcW w:w="2721" w:type="dxa"/>
            <w:vAlign w:val="center"/>
          </w:tcPr>
          <w:p w14:paraId="45372D1A"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Ballan wrasse</w:t>
            </w:r>
          </w:p>
        </w:tc>
        <w:tc>
          <w:tcPr>
            <w:tcW w:w="1134" w:type="dxa"/>
            <w:vAlign w:val="center"/>
          </w:tcPr>
          <w:p w14:paraId="70CA24CB"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E65E42" w:rsidRPr="00D403F5" w14:paraId="7E61E889" w14:textId="77777777" w:rsidTr="00E65E42">
        <w:trPr>
          <w:jc w:val="center"/>
        </w:trPr>
        <w:tc>
          <w:tcPr>
            <w:tcW w:w="1700" w:type="dxa"/>
            <w:vMerge/>
            <w:vAlign w:val="center"/>
          </w:tcPr>
          <w:p w14:paraId="13D59702"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040EEEC3"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Labrus mixtus</w:t>
            </w:r>
          </w:p>
        </w:tc>
        <w:tc>
          <w:tcPr>
            <w:tcW w:w="2721" w:type="dxa"/>
            <w:vAlign w:val="center"/>
          </w:tcPr>
          <w:p w14:paraId="4BEA69CF"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Cuckoo wrasse</w:t>
            </w:r>
          </w:p>
        </w:tc>
        <w:tc>
          <w:tcPr>
            <w:tcW w:w="1134" w:type="dxa"/>
            <w:vAlign w:val="center"/>
          </w:tcPr>
          <w:p w14:paraId="7AEA0229"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E65E42" w:rsidRPr="00D403F5" w14:paraId="660DF0EE" w14:textId="77777777" w:rsidTr="00E65E42">
        <w:trPr>
          <w:jc w:val="center"/>
        </w:trPr>
        <w:tc>
          <w:tcPr>
            <w:tcW w:w="1700" w:type="dxa"/>
            <w:vMerge/>
            <w:vAlign w:val="center"/>
          </w:tcPr>
          <w:p w14:paraId="0D22C38A"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09B42AAD"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Symphodus melops</w:t>
            </w:r>
          </w:p>
        </w:tc>
        <w:tc>
          <w:tcPr>
            <w:tcW w:w="2721" w:type="dxa"/>
            <w:vAlign w:val="center"/>
          </w:tcPr>
          <w:p w14:paraId="5FD5E266"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Corkwing wrasse</w:t>
            </w:r>
          </w:p>
        </w:tc>
        <w:tc>
          <w:tcPr>
            <w:tcW w:w="1134" w:type="dxa"/>
            <w:vAlign w:val="center"/>
          </w:tcPr>
          <w:p w14:paraId="2B5B3BB2"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E65E42" w:rsidRPr="00D403F5" w14:paraId="76E30822" w14:textId="77777777" w:rsidTr="00E65E42">
        <w:trPr>
          <w:jc w:val="center"/>
        </w:trPr>
        <w:tc>
          <w:tcPr>
            <w:tcW w:w="1700" w:type="dxa"/>
            <w:vAlign w:val="center"/>
          </w:tcPr>
          <w:p w14:paraId="3FE0CF6D" w14:textId="77777777" w:rsidR="00E65E42" w:rsidRPr="00D403F5" w:rsidRDefault="00E65E42" w:rsidP="00E65E42">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Lotidae</w:t>
            </w:r>
          </w:p>
        </w:tc>
        <w:tc>
          <w:tcPr>
            <w:tcW w:w="2552" w:type="dxa"/>
            <w:shd w:val="clear" w:color="auto" w:fill="auto"/>
            <w:vAlign w:val="center"/>
          </w:tcPr>
          <w:p w14:paraId="2E8250D4"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Gaidropsarus vulgaris</w:t>
            </w:r>
          </w:p>
        </w:tc>
        <w:tc>
          <w:tcPr>
            <w:tcW w:w="2721" w:type="dxa"/>
            <w:vAlign w:val="center"/>
          </w:tcPr>
          <w:p w14:paraId="5863B2C0"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Three-bearded rockling </w:t>
            </w:r>
          </w:p>
        </w:tc>
        <w:tc>
          <w:tcPr>
            <w:tcW w:w="1134" w:type="dxa"/>
            <w:vAlign w:val="center"/>
          </w:tcPr>
          <w:p w14:paraId="03CD5282"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r w:rsidR="00E65E42" w:rsidRPr="00D403F5" w14:paraId="0B08A444" w14:textId="77777777" w:rsidTr="00E65E42">
        <w:trPr>
          <w:jc w:val="center"/>
        </w:trPr>
        <w:tc>
          <w:tcPr>
            <w:tcW w:w="1700" w:type="dxa"/>
            <w:vMerge w:val="restart"/>
            <w:vAlign w:val="center"/>
          </w:tcPr>
          <w:p w14:paraId="7EBC086B" w14:textId="77777777" w:rsidR="00E65E42" w:rsidRPr="00D403F5" w:rsidRDefault="00E65E42" w:rsidP="00E65E42">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Moronidae</w:t>
            </w:r>
          </w:p>
        </w:tc>
        <w:tc>
          <w:tcPr>
            <w:tcW w:w="2552" w:type="dxa"/>
            <w:shd w:val="clear" w:color="auto" w:fill="auto"/>
            <w:vAlign w:val="center"/>
          </w:tcPr>
          <w:p w14:paraId="0E9BEBAF"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Morone americana</w:t>
            </w:r>
          </w:p>
        </w:tc>
        <w:tc>
          <w:tcPr>
            <w:tcW w:w="2721" w:type="dxa"/>
            <w:vAlign w:val="center"/>
          </w:tcPr>
          <w:p w14:paraId="0EAD40F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White perch </w:t>
            </w:r>
          </w:p>
        </w:tc>
        <w:tc>
          <w:tcPr>
            <w:tcW w:w="1134" w:type="dxa"/>
            <w:vAlign w:val="center"/>
          </w:tcPr>
          <w:p w14:paraId="27A1F389"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3F0F74DA" w14:textId="77777777" w:rsidTr="00E65E42">
        <w:trPr>
          <w:jc w:val="center"/>
        </w:trPr>
        <w:tc>
          <w:tcPr>
            <w:tcW w:w="1700" w:type="dxa"/>
            <w:vMerge/>
            <w:vAlign w:val="center"/>
          </w:tcPr>
          <w:p w14:paraId="659281D8"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408C1DB3"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Morone chrysops</w:t>
            </w:r>
          </w:p>
        </w:tc>
        <w:tc>
          <w:tcPr>
            <w:tcW w:w="2721" w:type="dxa"/>
            <w:vAlign w:val="center"/>
          </w:tcPr>
          <w:p w14:paraId="5A5C3AE3"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White bass </w:t>
            </w:r>
          </w:p>
        </w:tc>
        <w:tc>
          <w:tcPr>
            <w:tcW w:w="1134" w:type="dxa"/>
            <w:vAlign w:val="center"/>
          </w:tcPr>
          <w:p w14:paraId="1F4BEEA8"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5A3A5C77" w14:textId="77777777" w:rsidTr="00E65E42">
        <w:trPr>
          <w:jc w:val="center"/>
        </w:trPr>
        <w:tc>
          <w:tcPr>
            <w:tcW w:w="1700" w:type="dxa"/>
            <w:vMerge/>
            <w:vAlign w:val="center"/>
          </w:tcPr>
          <w:p w14:paraId="4F02B685"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3620F8AA"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Morone saxatilis</w:t>
            </w:r>
          </w:p>
        </w:tc>
        <w:tc>
          <w:tcPr>
            <w:tcW w:w="2721" w:type="dxa"/>
            <w:vAlign w:val="center"/>
          </w:tcPr>
          <w:p w14:paraId="29F05E43"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Striped bass</w:t>
            </w:r>
          </w:p>
        </w:tc>
        <w:tc>
          <w:tcPr>
            <w:tcW w:w="1134" w:type="dxa"/>
            <w:vAlign w:val="center"/>
          </w:tcPr>
          <w:p w14:paraId="055CF54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 IVc</w:t>
            </w:r>
          </w:p>
        </w:tc>
      </w:tr>
      <w:tr w:rsidR="00E65E42" w:rsidRPr="00D403F5" w14:paraId="1876FBA6" w14:textId="77777777" w:rsidTr="00E65E42">
        <w:trPr>
          <w:jc w:val="center"/>
        </w:trPr>
        <w:tc>
          <w:tcPr>
            <w:tcW w:w="1700" w:type="dxa"/>
            <w:vAlign w:val="center"/>
          </w:tcPr>
          <w:p w14:paraId="0BFA1980"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Mullidae</w:t>
            </w:r>
          </w:p>
        </w:tc>
        <w:tc>
          <w:tcPr>
            <w:tcW w:w="2552" w:type="dxa"/>
            <w:shd w:val="clear" w:color="auto" w:fill="auto"/>
            <w:vAlign w:val="center"/>
          </w:tcPr>
          <w:p w14:paraId="14B0F5EE"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Mullus barbatus</w:t>
            </w:r>
          </w:p>
        </w:tc>
        <w:tc>
          <w:tcPr>
            <w:tcW w:w="2721" w:type="dxa"/>
            <w:vAlign w:val="center"/>
          </w:tcPr>
          <w:p w14:paraId="63D7684D" w14:textId="77777777" w:rsidR="00E65E42" w:rsidRPr="00D403F5" w:rsidRDefault="00E65E42" w:rsidP="00E65E42">
            <w:pPr>
              <w:spacing w:after="0" w:line="240" w:lineRule="auto"/>
              <w:jc w:val="center"/>
              <w:rPr>
                <w:rFonts w:ascii="Arial" w:eastAsia="Times New Roman" w:hAnsi="Arial" w:cs="Arial"/>
                <w:bCs/>
                <w:iCs/>
                <w:color w:val="000000"/>
                <w:sz w:val="18"/>
                <w:szCs w:val="18"/>
                <w:lang w:val="en-IE" w:bidi="en-US"/>
              </w:rPr>
            </w:pPr>
            <w:r w:rsidRPr="00D403F5">
              <w:rPr>
                <w:rFonts w:ascii="Arial" w:eastAsia="Times New Roman" w:hAnsi="Arial" w:cs="Arial"/>
                <w:bCs/>
                <w:color w:val="000000"/>
                <w:sz w:val="18"/>
                <w:szCs w:val="18"/>
                <w:lang w:val="en-IE" w:bidi="en-US"/>
              </w:rPr>
              <w:t xml:space="preserve">Red mullet </w:t>
            </w:r>
          </w:p>
        </w:tc>
        <w:tc>
          <w:tcPr>
            <w:tcW w:w="1134" w:type="dxa"/>
            <w:vAlign w:val="center"/>
          </w:tcPr>
          <w:p w14:paraId="59C93EB1"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color w:val="000000"/>
                <w:sz w:val="18"/>
                <w:szCs w:val="18"/>
                <w:lang w:val="en-IE" w:bidi="en-US"/>
              </w:rPr>
              <w:t>Ie</w:t>
            </w:r>
          </w:p>
        </w:tc>
      </w:tr>
      <w:tr w:rsidR="00E65E42" w:rsidRPr="00D403F5" w14:paraId="0F8E767C" w14:textId="77777777" w:rsidTr="00E65E42">
        <w:trPr>
          <w:jc w:val="center"/>
        </w:trPr>
        <w:tc>
          <w:tcPr>
            <w:tcW w:w="1700" w:type="dxa"/>
            <w:vAlign w:val="center"/>
          </w:tcPr>
          <w:p w14:paraId="27A0BFA3"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Osmeridae</w:t>
            </w:r>
          </w:p>
        </w:tc>
        <w:tc>
          <w:tcPr>
            <w:tcW w:w="2552" w:type="dxa"/>
            <w:shd w:val="clear" w:color="auto" w:fill="auto"/>
            <w:vAlign w:val="center"/>
          </w:tcPr>
          <w:p w14:paraId="5CE489C2"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Thaleichthys pacificus</w:t>
            </w:r>
          </w:p>
        </w:tc>
        <w:tc>
          <w:tcPr>
            <w:tcW w:w="2721" w:type="dxa"/>
            <w:vAlign w:val="center"/>
          </w:tcPr>
          <w:p w14:paraId="4685C47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Eulachon</w:t>
            </w:r>
          </w:p>
        </w:tc>
        <w:tc>
          <w:tcPr>
            <w:tcW w:w="1134" w:type="dxa"/>
            <w:vAlign w:val="center"/>
          </w:tcPr>
          <w:p w14:paraId="14D020FE"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E65E42" w:rsidRPr="00D403F5" w14:paraId="15CCA45E" w14:textId="77777777" w:rsidTr="00E65E42">
        <w:trPr>
          <w:jc w:val="center"/>
        </w:trPr>
        <w:tc>
          <w:tcPr>
            <w:tcW w:w="1700" w:type="dxa"/>
            <w:vMerge w:val="restart"/>
            <w:vAlign w:val="center"/>
          </w:tcPr>
          <w:p w14:paraId="67642E17" w14:textId="77777777" w:rsidR="00E65E42" w:rsidRPr="00D403F5" w:rsidRDefault="00E65E42" w:rsidP="00E65E42">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Percidae</w:t>
            </w:r>
          </w:p>
        </w:tc>
        <w:tc>
          <w:tcPr>
            <w:tcW w:w="2552" w:type="dxa"/>
            <w:shd w:val="clear" w:color="auto" w:fill="auto"/>
            <w:vAlign w:val="center"/>
          </w:tcPr>
          <w:p w14:paraId="0949074B"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Sander vitreus</w:t>
            </w:r>
          </w:p>
        </w:tc>
        <w:tc>
          <w:tcPr>
            <w:tcW w:w="2721" w:type="dxa"/>
            <w:vAlign w:val="center"/>
          </w:tcPr>
          <w:p w14:paraId="51A9810A"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Walleye</w:t>
            </w:r>
          </w:p>
        </w:tc>
        <w:tc>
          <w:tcPr>
            <w:tcW w:w="1134" w:type="dxa"/>
            <w:vAlign w:val="center"/>
          </w:tcPr>
          <w:p w14:paraId="6EC850B2"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28E13FFF" w14:textId="77777777" w:rsidTr="00E65E42">
        <w:trPr>
          <w:jc w:val="center"/>
        </w:trPr>
        <w:tc>
          <w:tcPr>
            <w:tcW w:w="1700" w:type="dxa"/>
            <w:vMerge/>
            <w:vAlign w:val="center"/>
          </w:tcPr>
          <w:p w14:paraId="66CA6C9C"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7EB57AEE"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Perca flavescens</w:t>
            </w:r>
          </w:p>
        </w:tc>
        <w:tc>
          <w:tcPr>
            <w:tcW w:w="2721" w:type="dxa"/>
            <w:vAlign w:val="center"/>
          </w:tcPr>
          <w:p w14:paraId="1339E9A2"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Yellow perch</w:t>
            </w:r>
          </w:p>
        </w:tc>
        <w:tc>
          <w:tcPr>
            <w:tcW w:w="1134" w:type="dxa"/>
            <w:vAlign w:val="center"/>
          </w:tcPr>
          <w:p w14:paraId="2FC4B85B"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63346AE8" w14:textId="77777777" w:rsidTr="00E65E42">
        <w:trPr>
          <w:jc w:val="center"/>
        </w:trPr>
        <w:tc>
          <w:tcPr>
            <w:tcW w:w="1700" w:type="dxa"/>
            <w:vAlign w:val="center"/>
          </w:tcPr>
          <w:p w14:paraId="6460D14E" w14:textId="77777777" w:rsidR="00E65E42" w:rsidRPr="00D403F5" w:rsidRDefault="00E65E42" w:rsidP="00E65E42">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Petromyzontidae</w:t>
            </w:r>
          </w:p>
        </w:tc>
        <w:tc>
          <w:tcPr>
            <w:tcW w:w="2552" w:type="dxa"/>
            <w:shd w:val="clear" w:color="auto" w:fill="auto"/>
            <w:vAlign w:val="center"/>
          </w:tcPr>
          <w:p w14:paraId="714A9BF6"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Lampetra fluviatilis</w:t>
            </w:r>
          </w:p>
        </w:tc>
        <w:tc>
          <w:tcPr>
            <w:tcW w:w="2721" w:type="dxa"/>
            <w:vAlign w:val="center"/>
          </w:tcPr>
          <w:p w14:paraId="564E2B85"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River lamprey</w:t>
            </w:r>
          </w:p>
        </w:tc>
        <w:tc>
          <w:tcPr>
            <w:tcW w:w="1134" w:type="dxa"/>
            <w:vAlign w:val="center"/>
          </w:tcPr>
          <w:p w14:paraId="0FE8709A"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w:t>
            </w:r>
          </w:p>
        </w:tc>
      </w:tr>
      <w:tr w:rsidR="00E65E42" w:rsidRPr="00D403F5" w14:paraId="75E10264" w14:textId="77777777" w:rsidTr="00E65E42">
        <w:trPr>
          <w:jc w:val="center"/>
        </w:trPr>
        <w:tc>
          <w:tcPr>
            <w:tcW w:w="1700" w:type="dxa"/>
            <w:vMerge w:val="restart"/>
            <w:vAlign w:val="center"/>
          </w:tcPr>
          <w:p w14:paraId="6CF63180" w14:textId="77777777" w:rsidR="00E65E42" w:rsidRPr="00D403F5" w:rsidRDefault="00E65E42" w:rsidP="00E65E42">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Pleuronectidae</w:t>
            </w:r>
          </w:p>
        </w:tc>
        <w:tc>
          <w:tcPr>
            <w:tcW w:w="2552" w:type="dxa"/>
            <w:shd w:val="clear" w:color="auto" w:fill="auto"/>
            <w:vAlign w:val="center"/>
          </w:tcPr>
          <w:p w14:paraId="3BD5F8EE"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Limanda limanda</w:t>
            </w:r>
          </w:p>
        </w:tc>
        <w:tc>
          <w:tcPr>
            <w:tcW w:w="2721" w:type="dxa"/>
            <w:vAlign w:val="center"/>
          </w:tcPr>
          <w:p w14:paraId="1ABB9F00"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Common dab</w:t>
            </w:r>
          </w:p>
        </w:tc>
        <w:tc>
          <w:tcPr>
            <w:tcW w:w="1134" w:type="dxa"/>
            <w:vAlign w:val="center"/>
          </w:tcPr>
          <w:p w14:paraId="2ACF82FE"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E65E42" w:rsidRPr="00D403F5" w14:paraId="7A4413F3" w14:textId="77777777" w:rsidTr="00E65E42">
        <w:trPr>
          <w:jc w:val="center"/>
        </w:trPr>
        <w:tc>
          <w:tcPr>
            <w:tcW w:w="1700" w:type="dxa"/>
            <w:vMerge/>
            <w:vAlign w:val="center"/>
          </w:tcPr>
          <w:p w14:paraId="5425B867"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46202DD8"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Platichthys flesus</w:t>
            </w:r>
          </w:p>
        </w:tc>
        <w:tc>
          <w:tcPr>
            <w:tcW w:w="2721" w:type="dxa"/>
            <w:vAlign w:val="center"/>
          </w:tcPr>
          <w:p w14:paraId="5B8B9CEC"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European flounder</w:t>
            </w:r>
          </w:p>
        </w:tc>
        <w:tc>
          <w:tcPr>
            <w:tcW w:w="1134" w:type="dxa"/>
            <w:vAlign w:val="center"/>
          </w:tcPr>
          <w:p w14:paraId="160FE154"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E65E42" w:rsidRPr="00D403F5" w14:paraId="32847D2C" w14:textId="77777777" w:rsidTr="00E65E42">
        <w:trPr>
          <w:jc w:val="center"/>
        </w:trPr>
        <w:tc>
          <w:tcPr>
            <w:tcW w:w="1700" w:type="dxa"/>
            <w:vMerge/>
            <w:vAlign w:val="center"/>
          </w:tcPr>
          <w:p w14:paraId="20BE5993"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417F1F77"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Pleuronectes platessus</w:t>
            </w:r>
          </w:p>
        </w:tc>
        <w:tc>
          <w:tcPr>
            <w:tcW w:w="2721" w:type="dxa"/>
            <w:vAlign w:val="center"/>
          </w:tcPr>
          <w:p w14:paraId="44E6E183"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European plaice</w:t>
            </w:r>
          </w:p>
        </w:tc>
        <w:tc>
          <w:tcPr>
            <w:tcW w:w="1134" w:type="dxa"/>
            <w:vAlign w:val="center"/>
          </w:tcPr>
          <w:p w14:paraId="68662ACA"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E65E42" w:rsidRPr="00D403F5" w14:paraId="640D4EE0" w14:textId="77777777" w:rsidTr="00E65E42">
        <w:trPr>
          <w:jc w:val="center"/>
        </w:trPr>
        <w:tc>
          <w:tcPr>
            <w:tcW w:w="1700" w:type="dxa"/>
            <w:vAlign w:val="center"/>
          </w:tcPr>
          <w:p w14:paraId="1FC2C925" w14:textId="77777777" w:rsidR="00E65E42" w:rsidRPr="00D403F5" w:rsidRDefault="00E65E42" w:rsidP="00E65E42">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Rajidae</w:t>
            </w:r>
          </w:p>
        </w:tc>
        <w:tc>
          <w:tcPr>
            <w:tcW w:w="2552" w:type="dxa"/>
            <w:shd w:val="clear" w:color="auto" w:fill="auto"/>
            <w:vAlign w:val="center"/>
          </w:tcPr>
          <w:p w14:paraId="0EAB40D9"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Raja clavata</w:t>
            </w:r>
          </w:p>
        </w:tc>
        <w:tc>
          <w:tcPr>
            <w:tcW w:w="2721" w:type="dxa"/>
            <w:vAlign w:val="center"/>
          </w:tcPr>
          <w:p w14:paraId="5AE38558"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Thornback ray </w:t>
            </w:r>
          </w:p>
        </w:tc>
        <w:tc>
          <w:tcPr>
            <w:tcW w:w="1134" w:type="dxa"/>
            <w:vAlign w:val="center"/>
          </w:tcPr>
          <w:p w14:paraId="657F69DE"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r w:rsidR="00E65E42" w:rsidRPr="00D403F5" w14:paraId="422A3F45" w14:textId="77777777" w:rsidTr="00E65E42">
        <w:trPr>
          <w:jc w:val="center"/>
        </w:trPr>
        <w:tc>
          <w:tcPr>
            <w:tcW w:w="1700" w:type="dxa"/>
            <w:vMerge w:val="restart"/>
            <w:vAlign w:val="center"/>
          </w:tcPr>
          <w:p w14:paraId="6D97D06C" w14:textId="77777777" w:rsidR="00E65E42" w:rsidRPr="00D403F5" w:rsidRDefault="00E65E42" w:rsidP="00E65E42">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Salmonidae</w:t>
            </w:r>
          </w:p>
        </w:tc>
        <w:tc>
          <w:tcPr>
            <w:tcW w:w="2552" w:type="dxa"/>
            <w:shd w:val="clear" w:color="auto" w:fill="auto"/>
            <w:vAlign w:val="center"/>
          </w:tcPr>
          <w:p w14:paraId="7423B265"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Coregonus artedii</w:t>
            </w:r>
          </w:p>
        </w:tc>
        <w:tc>
          <w:tcPr>
            <w:tcW w:w="2721" w:type="dxa"/>
            <w:vAlign w:val="center"/>
          </w:tcPr>
          <w:p w14:paraId="187FD3F1"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Lake cisco</w:t>
            </w:r>
          </w:p>
        </w:tc>
        <w:tc>
          <w:tcPr>
            <w:tcW w:w="1134" w:type="dxa"/>
            <w:vAlign w:val="center"/>
          </w:tcPr>
          <w:p w14:paraId="7AF272C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76FCE61D" w14:textId="77777777" w:rsidTr="00E65E42">
        <w:trPr>
          <w:jc w:val="center"/>
        </w:trPr>
        <w:tc>
          <w:tcPr>
            <w:tcW w:w="1700" w:type="dxa"/>
            <w:vMerge/>
            <w:vAlign w:val="center"/>
          </w:tcPr>
          <w:p w14:paraId="69CA0105"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05961D8C"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Coregonus clupeaformis</w:t>
            </w:r>
          </w:p>
        </w:tc>
        <w:tc>
          <w:tcPr>
            <w:tcW w:w="2721" w:type="dxa"/>
            <w:vAlign w:val="center"/>
          </w:tcPr>
          <w:p w14:paraId="6AF83995"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Lake whitefish</w:t>
            </w:r>
          </w:p>
        </w:tc>
        <w:tc>
          <w:tcPr>
            <w:tcW w:w="1134" w:type="dxa"/>
            <w:vAlign w:val="center"/>
          </w:tcPr>
          <w:p w14:paraId="4FC5EC09"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7CCF258E" w14:textId="77777777" w:rsidTr="00E65E42">
        <w:trPr>
          <w:jc w:val="center"/>
        </w:trPr>
        <w:tc>
          <w:tcPr>
            <w:tcW w:w="1700" w:type="dxa"/>
            <w:vMerge/>
            <w:vAlign w:val="center"/>
          </w:tcPr>
          <w:p w14:paraId="5F14E65C"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3FD65321"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Coregonus lavaretus</w:t>
            </w:r>
          </w:p>
        </w:tc>
        <w:tc>
          <w:tcPr>
            <w:tcW w:w="2721" w:type="dxa"/>
            <w:vAlign w:val="center"/>
          </w:tcPr>
          <w:p w14:paraId="1C3FEE8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Common whitefish</w:t>
            </w:r>
          </w:p>
        </w:tc>
        <w:tc>
          <w:tcPr>
            <w:tcW w:w="1134" w:type="dxa"/>
            <w:vAlign w:val="center"/>
          </w:tcPr>
          <w:p w14:paraId="5BAFA80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w:t>
            </w:r>
          </w:p>
        </w:tc>
      </w:tr>
      <w:tr w:rsidR="00E65E42" w:rsidRPr="00D403F5" w14:paraId="11ED5463" w14:textId="77777777" w:rsidTr="00E65E42">
        <w:trPr>
          <w:jc w:val="center"/>
        </w:trPr>
        <w:tc>
          <w:tcPr>
            <w:tcW w:w="1700" w:type="dxa"/>
            <w:vMerge/>
            <w:vAlign w:val="center"/>
          </w:tcPr>
          <w:p w14:paraId="31E0BE2F"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15ECE5D2"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Oncorhynchus kisutch</w:t>
            </w:r>
          </w:p>
        </w:tc>
        <w:tc>
          <w:tcPr>
            <w:tcW w:w="2721" w:type="dxa"/>
            <w:vAlign w:val="center"/>
          </w:tcPr>
          <w:p w14:paraId="3C396D79"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Coho salmon</w:t>
            </w:r>
          </w:p>
        </w:tc>
        <w:tc>
          <w:tcPr>
            <w:tcW w:w="1134" w:type="dxa"/>
            <w:vAlign w:val="center"/>
          </w:tcPr>
          <w:p w14:paraId="0229A00A"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E65E42" w:rsidRPr="00D403F5" w14:paraId="1B71233A" w14:textId="77777777" w:rsidTr="00E65E42">
        <w:trPr>
          <w:jc w:val="center"/>
        </w:trPr>
        <w:tc>
          <w:tcPr>
            <w:tcW w:w="1700" w:type="dxa"/>
            <w:vMerge/>
            <w:vAlign w:val="center"/>
          </w:tcPr>
          <w:p w14:paraId="58CB08A5"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00179902"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Oncorhynchus mykiss</w:t>
            </w:r>
          </w:p>
        </w:tc>
        <w:tc>
          <w:tcPr>
            <w:tcW w:w="2721" w:type="dxa"/>
            <w:vAlign w:val="center"/>
          </w:tcPr>
          <w:p w14:paraId="245586E5"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Rainbow trout</w:t>
            </w:r>
          </w:p>
        </w:tc>
        <w:tc>
          <w:tcPr>
            <w:tcW w:w="1134" w:type="dxa"/>
            <w:vAlign w:val="center"/>
          </w:tcPr>
          <w:p w14:paraId="0024B645"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Ia-e, III, IVb</w:t>
            </w:r>
          </w:p>
        </w:tc>
      </w:tr>
      <w:tr w:rsidR="00E65E42" w:rsidRPr="00D403F5" w14:paraId="74E829B3" w14:textId="77777777" w:rsidTr="00E65E42">
        <w:trPr>
          <w:jc w:val="center"/>
        </w:trPr>
        <w:tc>
          <w:tcPr>
            <w:tcW w:w="1700" w:type="dxa"/>
            <w:vMerge/>
            <w:vAlign w:val="center"/>
          </w:tcPr>
          <w:p w14:paraId="5E61175A"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4DC9B129"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Oncorhynchus mykiss</w:t>
            </w:r>
            <w:r>
              <w:rPr>
                <w:rFonts w:ascii="Arial" w:eastAsia="Times New Roman" w:hAnsi="Arial" w:cs="Arial"/>
                <w:bCs/>
                <w:i/>
                <w:iCs/>
                <w:color w:val="000000"/>
                <w:sz w:val="18"/>
                <w:szCs w:val="18"/>
                <w:lang w:val="en-IE" w:bidi="en-US"/>
              </w:rPr>
              <w:t xml:space="preserve"> </w:t>
            </w:r>
            <w:r w:rsidRPr="00AE3567">
              <w:rPr>
                <w:rFonts w:ascii="Arial" w:eastAsia="Times New Roman" w:hAnsi="Arial" w:cs="Arial"/>
                <w:bCs/>
                <w:i/>
                <w:iCs/>
                <w:color w:val="000000"/>
                <w:sz w:val="18"/>
                <w:szCs w:val="18"/>
                <w:highlight w:val="yellow"/>
                <w:u w:val="double"/>
                <w:lang w:val="en-IE" w:bidi="en-US"/>
              </w:rPr>
              <w:t>X</w:t>
            </w:r>
          </w:p>
          <w:p w14:paraId="4D9E4716"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Oncorhynchus kisutch</w:t>
            </w:r>
            <w:r>
              <w:rPr>
                <w:rFonts w:ascii="Arial" w:eastAsia="Times New Roman" w:hAnsi="Arial" w:cs="Arial"/>
                <w:bCs/>
                <w:i/>
                <w:iCs/>
                <w:color w:val="000000"/>
                <w:sz w:val="18"/>
                <w:szCs w:val="18"/>
                <w:lang w:val="en-IE" w:bidi="en-US"/>
              </w:rPr>
              <w:t xml:space="preserve"> </w:t>
            </w:r>
            <w:r w:rsidRPr="00AE3567">
              <w:rPr>
                <w:rFonts w:ascii="Arial" w:eastAsia="Times New Roman" w:hAnsi="Arial" w:cs="Arial"/>
                <w:bCs/>
                <w:i/>
                <w:iCs/>
                <w:color w:val="000000"/>
                <w:sz w:val="18"/>
                <w:szCs w:val="18"/>
                <w:highlight w:val="yellow"/>
                <w:u w:val="double"/>
                <w:lang w:val="en-IE" w:bidi="en-US"/>
              </w:rPr>
              <w:t>hybrids</w:t>
            </w:r>
          </w:p>
        </w:tc>
        <w:tc>
          <w:tcPr>
            <w:tcW w:w="2721" w:type="dxa"/>
            <w:vAlign w:val="center"/>
          </w:tcPr>
          <w:p w14:paraId="4C1A04FD"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Rainbow trout X coho salmon hybrids</w:t>
            </w:r>
          </w:p>
        </w:tc>
        <w:tc>
          <w:tcPr>
            <w:tcW w:w="1134" w:type="dxa"/>
            <w:vAlign w:val="center"/>
          </w:tcPr>
          <w:p w14:paraId="1D3E2A44"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w:t>
            </w:r>
          </w:p>
        </w:tc>
      </w:tr>
      <w:tr w:rsidR="00E65E42" w:rsidRPr="00D403F5" w14:paraId="03A7AE66" w14:textId="77777777" w:rsidTr="00E65E42">
        <w:trPr>
          <w:jc w:val="center"/>
        </w:trPr>
        <w:tc>
          <w:tcPr>
            <w:tcW w:w="1700" w:type="dxa"/>
            <w:vMerge/>
            <w:vAlign w:val="center"/>
          </w:tcPr>
          <w:p w14:paraId="09949E4F"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2589EDEE"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Oncorhynchus tshawytscha</w:t>
            </w:r>
          </w:p>
        </w:tc>
        <w:tc>
          <w:tcPr>
            <w:tcW w:w="2721" w:type="dxa"/>
            <w:vAlign w:val="center"/>
          </w:tcPr>
          <w:p w14:paraId="377983E6"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Chinook salmon</w:t>
            </w:r>
          </w:p>
        </w:tc>
        <w:tc>
          <w:tcPr>
            <w:tcW w:w="1134" w:type="dxa"/>
            <w:vAlign w:val="center"/>
          </w:tcPr>
          <w:p w14:paraId="4BC5F07C"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 IVb</w:t>
            </w:r>
          </w:p>
        </w:tc>
      </w:tr>
      <w:tr w:rsidR="00E65E42" w:rsidRPr="00D403F5" w14:paraId="0432DACB" w14:textId="77777777" w:rsidTr="00E65E42">
        <w:trPr>
          <w:jc w:val="center"/>
        </w:trPr>
        <w:tc>
          <w:tcPr>
            <w:tcW w:w="1700" w:type="dxa"/>
            <w:vMerge/>
            <w:vAlign w:val="center"/>
          </w:tcPr>
          <w:p w14:paraId="52DA415E"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1A0A8379"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Salmo marmoratus</w:t>
            </w:r>
          </w:p>
        </w:tc>
        <w:tc>
          <w:tcPr>
            <w:tcW w:w="2721" w:type="dxa"/>
            <w:vAlign w:val="center"/>
          </w:tcPr>
          <w:p w14:paraId="20628802"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Marble trout</w:t>
            </w:r>
          </w:p>
        </w:tc>
        <w:tc>
          <w:tcPr>
            <w:tcW w:w="1134" w:type="dxa"/>
            <w:vAlign w:val="center"/>
          </w:tcPr>
          <w:p w14:paraId="7F08806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w:t>
            </w:r>
          </w:p>
        </w:tc>
      </w:tr>
      <w:tr w:rsidR="00E65E42" w:rsidRPr="00840703" w14:paraId="4D22BE95" w14:textId="77777777" w:rsidTr="00E65E42">
        <w:trPr>
          <w:jc w:val="center"/>
        </w:trPr>
        <w:tc>
          <w:tcPr>
            <w:tcW w:w="1700" w:type="dxa"/>
            <w:vMerge/>
            <w:vAlign w:val="center"/>
          </w:tcPr>
          <w:p w14:paraId="2E005C76"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5EE7F5FA"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Salmo salar</w:t>
            </w:r>
          </w:p>
        </w:tc>
        <w:tc>
          <w:tcPr>
            <w:tcW w:w="2721" w:type="dxa"/>
            <w:vAlign w:val="center"/>
          </w:tcPr>
          <w:p w14:paraId="03D4733B"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Atlantic salmon</w:t>
            </w:r>
          </w:p>
        </w:tc>
        <w:tc>
          <w:tcPr>
            <w:tcW w:w="1134" w:type="dxa"/>
            <w:vAlign w:val="center"/>
          </w:tcPr>
          <w:p w14:paraId="08555822" w14:textId="77777777" w:rsidR="00E65E42" w:rsidRPr="00D403F5" w:rsidRDefault="00E65E42" w:rsidP="00E65E42">
            <w:pPr>
              <w:spacing w:after="0" w:line="240" w:lineRule="auto"/>
              <w:jc w:val="center"/>
              <w:rPr>
                <w:rFonts w:ascii="Arial" w:eastAsia="Times New Roman" w:hAnsi="Arial" w:cs="Arial"/>
                <w:bCs/>
                <w:iCs/>
                <w:sz w:val="18"/>
                <w:szCs w:val="18"/>
                <w:lang w:val="es-ES" w:bidi="en-US"/>
              </w:rPr>
            </w:pPr>
            <w:r w:rsidRPr="00D403F5">
              <w:rPr>
                <w:rFonts w:ascii="Arial" w:eastAsia="Times New Roman" w:hAnsi="Arial" w:cs="Arial"/>
                <w:bCs/>
                <w:iCs/>
                <w:sz w:val="18"/>
                <w:szCs w:val="18"/>
                <w:lang w:val="es-ES" w:bidi="en-US"/>
              </w:rPr>
              <w:t>Ia, Ib, II, III, IVa</w:t>
            </w:r>
          </w:p>
        </w:tc>
      </w:tr>
      <w:tr w:rsidR="00E65E42" w:rsidRPr="00D403F5" w14:paraId="707CA4E4" w14:textId="77777777" w:rsidTr="00E65E42">
        <w:trPr>
          <w:jc w:val="center"/>
        </w:trPr>
        <w:tc>
          <w:tcPr>
            <w:tcW w:w="1700" w:type="dxa"/>
            <w:vMerge/>
            <w:vAlign w:val="center"/>
          </w:tcPr>
          <w:p w14:paraId="48F636BD" w14:textId="77777777" w:rsidR="00E65E42" w:rsidRPr="00D403F5" w:rsidRDefault="00E65E42" w:rsidP="00E65E42">
            <w:pPr>
              <w:spacing w:after="0" w:line="240" w:lineRule="auto"/>
              <w:jc w:val="center"/>
              <w:rPr>
                <w:rFonts w:ascii="Arial" w:eastAsia="Times New Roman" w:hAnsi="Arial" w:cs="Arial"/>
                <w:bCs/>
                <w:sz w:val="18"/>
                <w:szCs w:val="18"/>
                <w:lang w:val="es-ES" w:bidi="en-US"/>
              </w:rPr>
            </w:pPr>
          </w:p>
        </w:tc>
        <w:tc>
          <w:tcPr>
            <w:tcW w:w="2552" w:type="dxa"/>
            <w:shd w:val="clear" w:color="auto" w:fill="auto"/>
            <w:vAlign w:val="center"/>
          </w:tcPr>
          <w:p w14:paraId="289EDDFB"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Salmo trutta</w:t>
            </w:r>
          </w:p>
        </w:tc>
        <w:tc>
          <w:tcPr>
            <w:tcW w:w="2721" w:type="dxa"/>
            <w:vAlign w:val="center"/>
          </w:tcPr>
          <w:p w14:paraId="71B6C08B"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Brown trout</w:t>
            </w:r>
          </w:p>
        </w:tc>
        <w:tc>
          <w:tcPr>
            <w:tcW w:w="1134" w:type="dxa"/>
            <w:vAlign w:val="center"/>
          </w:tcPr>
          <w:p w14:paraId="0B0596F3"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 Ib</w:t>
            </w:r>
          </w:p>
        </w:tc>
      </w:tr>
      <w:tr w:rsidR="00E65E42" w:rsidRPr="00D403F5" w14:paraId="504A2F28" w14:textId="77777777" w:rsidTr="00E65E42">
        <w:trPr>
          <w:jc w:val="center"/>
        </w:trPr>
        <w:tc>
          <w:tcPr>
            <w:tcW w:w="1700" w:type="dxa"/>
            <w:vMerge/>
            <w:vAlign w:val="center"/>
          </w:tcPr>
          <w:p w14:paraId="78CEBD01"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2E35CB12"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Salvelinus namaycush</w:t>
            </w:r>
          </w:p>
        </w:tc>
        <w:tc>
          <w:tcPr>
            <w:tcW w:w="2721" w:type="dxa"/>
            <w:vAlign w:val="center"/>
          </w:tcPr>
          <w:p w14:paraId="60BC472E"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Lake trout</w:t>
            </w:r>
          </w:p>
        </w:tc>
        <w:tc>
          <w:tcPr>
            <w:tcW w:w="1134" w:type="dxa"/>
            <w:vAlign w:val="center"/>
          </w:tcPr>
          <w:p w14:paraId="3203A12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 IVa, IVb</w:t>
            </w:r>
          </w:p>
        </w:tc>
      </w:tr>
      <w:tr w:rsidR="00E65E42" w:rsidRPr="00D403F5" w14:paraId="32B777AC" w14:textId="77777777" w:rsidTr="00E65E42">
        <w:trPr>
          <w:jc w:val="center"/>
        </w:trPr>
        <w:tc>
          <w:tcPr>
            <w:tcW w:w="1700" w:type="dxa"/>
            <w:vMerge/>
            <w:vAlign w:val="center"/>
          </w:tcPr>
          <w:p w14:paraId="48FFF124"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1DD2C33A"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Thymallus thymallus</w:t>
            </w:r>
          </w:p>
        </w:tc>
        <w:tc>
          <w:tcPr>
            <w:tcW w:w="2721" w:type="dxa"/>
            <w:vAlign w:val="center"/>
          </w:tcPr>
          <w:p w14:paraId="3998570C"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Grayling</w:t>
            </w:r>
          </w:p>
        </w:tc>
        <w:tc>
          <w:tcPr>
            <w:tcW w:w="1134" w:type="dxa"/>
            <w:vAlign w:val="center"/>
          </w:tcPr>
          <w:p w14:paraId="24502C12"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w:t>
            </w:r>
          </w:p>
        </w:tc>
      </w:tr>
      <w:tr w:rsidR="00E65E42" w:rsidRPr="00D403F5" w14:paraId="5B462AAB" w14:textId="77777777" w:rsidTr="00E65E42">
        <w:trPr>
          <w:jc w:val="center"/>
        </w:trPr>
        <w:tc>
          <w:tcPr>
            <w:tcW w:w="1700" w:type="dxa"/>
            <w:vAlign w:val="center"/>
          </w:tcPr>
          <w:p w14:paraId="4376BFC0"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Scophthalmidae</w:t>
            </w:r>
          </w:p>
        </w:tc>
        <w:tc>
          <w:tcPr>
            <w:tcW w:w="2552" w:type="dxa"/>
            <w:shd w:val="clear" w:color="auto" w:fill="auto"/>
            <w:vAlign w:val="center"/>
          </w:tcPr>
          <w:p w14:paraId="3DA7006B"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Scophthalmus maxima</w:t>
            </w:r>
          </w:p>
        </w:tc>
        <w:tc>
          <w:tcPr>
            <w:tcW w:w="2721" w:type="dxa"/>
            <w:vAlign w:val="center"/>
          </w:tcPr>
          <w:p w14:paraId="4AC7D04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Turbot</w:t>
            </w:r>
          </w:p>
        </w:tc>
        <w:tc>
          <w:tcPr>
            <w:tcW w:w="1134" w:type="dxa"/>
            <w:vAlign w:val="center"/>
          </w:tcPr>
          <w:p w14:paraId="6E8E119A"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 III</w:t>
            </w:r>
          </w:p>
        </w:tc>
      </w:tr>
      <w:tr w:rsidR="00E65E42" w:rsidRPr="00D403F5" w14:paraId="11DF7C7F" w14:textId="77777777" w:rsidTr="00E65E42">
        <w:trPr>
          <w:jc w:val="center"/>
        </w:trPr>
        <w:tc>
          <w:tcPr>
            <w:tcW w:w="1700" w:type="dxa"/>
            <w:vAlign w:val="center"/>
          </w:tcPr>
          <w:p w14:paraId="2DDFC75A"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Sciaenidae</w:t>
            </w:r>
          </w:p>
        </w:tc>
        <w:tc>
          <w:tcPr>
            <w:tcW w:w="2552" w:type="dxa"/>
            <w:shd w:val="clear" w:color="auto" w:fill="auto"/>
            <w:vAlign w:val="center"/>
          </w:tcPr>
          <w:p w14:paraId="7CEF8A61"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Aplodinotus grunniens</w:t>
            </w:r>
          </w:p>
        </w:tc>
        <w:tc>
          <w:tcPr>
            <w:tcW w:w="2721" w:type="dxa"/>
            <w:vAlign w:val="center"/>
          </w:tcPr>
          <w:p w14:paraId="0C9C9E68"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Freshwater drum</w:t>
            </w:r>
          </w:p>
        </w:tc>
        <w:tc>
          <w:tcPr>
            <w:tcW w:w="1134" w:type="dxa"/>
            <w:vAlign w:val="center"/>
          </w:tcPr>
          <w:p w14:paraId="6F75B64C"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039F5437" w14:textId="77777777" w:rsidTr="00E65E42">
        <w:trPr>
          <w:jc w:val="center"/>
        </w:trPr>
        <w:tc>
          <w:tcPr>
            <w:tcW w:w="1700" w:type="dxa"/>
            <w:vAlign w:val="center"/>
          </w:tcPr>
          <w:p w14:paraId="45B7C36B"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Scombridae</w:t>
            </w:r>
          </w:p>
        </w:tc>
        <w:tc>
          <w:tcPr>
            <w:tcW w:w="2552" w:type="dxa"/>
            <w:shd w:val="clear" w:color="auto" w:fill="auto"/>
            <w:vAlign w:val="center"/>
          </w:tcPr>
          <w:p w14:paraId="35D0AAF3"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Scomber japonicus</w:t>
            </w:r>
          </w:p>
        </w:tc>
        <w:tc>
          <w:tcPr>
            <w:tcW w:w="2721" w:type="dxa"/>
            <w:vAlign w:val="center"/>
          </w:tcPr>
          <w:p w14:paraId="213B0645"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Pacific chub mackerel </w:t>
            </w:r>
          </w:p>
        </w:tc>
        <w:tc>
          <w:tcPr>
            <w:tcW w:w="1134" w:type="dxa"/>
            <w:vAlign w:val="center"/>
          </w:tcPr>
          <w:p w14:paraId="706C3E4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E65E42" w:rsidRPr="00D403F5" w14:paraId="446B2115" w14:textId="77777777" w:rsidTr="00E65E42">
        <w:trPr>
          <w:jc w:val="center"/>
        </w:trPr>
        <w:tc>
          <w:tcPr>
            <w:tcW w:w="1700" w:type="dxa"/>
            <w:vAlign w:val="center"/>
          </w:tcPr>
          <w:p w14:paraId="126E6AAB"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Soleidae</w:t>
            </w:r>
          </w:p>
        </w:tc>
        <w:tc>
          <w:tcPr>
            <w:tcW w:w="2552" w:type="dxa"/>
            <w:shd w:val="clear" w:color="auto" w:fill="auto"/>
            <w:vAlign w:val="center"/>
          </w:tcPr>
          <w:p w14:paraId="30FEEDCD"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Solea senegalensis</w:t>
            </w:r>
          </w:p>
        </w:tc>
        <w:tc>
          <w:tcPr>
            <w:tcW w:w="2721" w:type="dxa"/>
            <w:vAlign w:val="center"/>
          </w:tcPr>
          <w:p w14:paraId="3EF5967B"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Senegalese sole</w:t>
            </w:r>
          </w:p>
        </w:tc>
        <w:tc>
          <w:tcPr>
            <w:tcW w:w="1134" w:type="dxa"/>
            <w:vAlign w:val="center"/>
          </w:tcPr>
          <w:p w14:paraId="6E9AD1A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E65E42" w:rsidRPr="00D403F5" w14:paraId="4F8FF9B7" w14:textId="77777777" w:rsidTr="00E65E42">
        <w:trPr>
          <w:jc w:val="center"/>
        </w:trPr>
        <w:tc>
          <w:tcPr>
            <w:tcW w:w="1700" w:type="dxa"/>
            <w:vAlign w:val="center"/>
          </w:tcPr>
          <w:p w14:paraId="5CE0FBDE"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Uranoscopidae</w:t>
            </w:r>
          </w:p>
        </w:tc>
        <w:tc>
          <w:tcPr>
            <w:tcW w:w="2552" w:type="dxa"/>
            <w:shd w:val="clear" w:color="auto" w:fill="auto"/>
            <w:vAlign w:val="center"/>
          </w:tcPr>
          <w:p w14:paraId="3E2B5A4D"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Uranoscopus scaber</w:t>
            </w:r>
          </w:p>
        </w:tc>
        <w:tc>
          <w:tcPr>
            <w:tcW w:w="2721" w:type="dxa"/>
            <w:vAlign w:val="center"/>
          </w:tcPr>
          <w:p w14:paraId="20340FF8"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Atlantic stargazer </w:t>
            </w:r>
          </w:p>
        </w:tc>
        <w:tc>
          <w:tcPr>
            <w:tcW w:w="1134" w:type="dxa"/>
            <w:vAlign w:val="center"/>
          </w:tcPr>
          <w:p w14:paraId="08556853"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bl>
    <w:p w14:paraId="616BB8D8" w14:textId="77777777" w:rsidR="00E65E42" w:rsidRPr="00D403F5" w:rsidRDefault="00E65E42" w:rsidP="008A67C2">
      <w:pPr>
        <w:spacing w:before="120" w:after="120"/>
        <w:ind w:firstLine="720"/>
        <w:jc w:val="center"/>
        <w:rPr>
          <w:rFonts w:ascii="Ottawa" w:eastAsia="Times New Roman" w:hAnsi="Ottawa" w:cs="Times New Roman"/>
          <w:b/>
          <w:bCs/>
          <w:sz w:val="18"/>
          <w:szCs w:val="18"/>
          <w:lang w:val="en-IE" w:eastAsia="fr-FR"/>
        </w:rPr>
      </w:pPr>
      <w:r w:rsidRPr="00D403F5">
        <w:rPr>
          <w:rFonts w:ascii="Arial" w:eastAsia="Times New Roman" w:hAnsi="Arial" w:cs="Arial"/>
          <w:b/>
          <w:sz w:val="18"/>
          <w:szCs w:val="18"/>
          <w:lang w:val="en-IE"/>
        </w:rPr>
        <w:t xml:space="preserve">ND: </w:t>
      </w:r>
      <w:r w:rsidRPr="00D403F5">
        <w:rPr>
          <w:rFonts w:ascii="Arial" w:eastAsia="Times New Roman" w:hAnsi="Arial" w:cs="Arial"/>
          <w:sz w:val="18"/>
          <w:szCs w:val="18"/>
          <w:lang w:val="en-IE"/>
        </w:rPr>
        <w:t>Not determined.</w:t>
      </w:r>
    </w:p>
    <w:p w14:paraId="7C9F2EBA"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2.2.2.</w:t>
      </w:r>
      <w:r w:rsidRPr="00BC2337">
        <w:rPr>
          <w:rFonts w:ascii="Ottawa" w:eastAsia="Times New Roman" w:hAnsi="Ottawa" w:cs="Times New Roman"/>
          <w:b/>
          <w:bCs/>
          <w:szCs w:val="20"/>
          <w:lang w:val="en-IE" w:eastAsia="fr-FR"/>
        </w:rPr>
        <w:tab/>
        <w:t>Species with incomplete evidence for susceptibility</w:t>
      </w:r>
    </w:p>
    <w:p w14:paraId="01D083DE" w14:textId="77777777" w:rsidR="00E65E42" w:rsidRPr="00D403F5" w:rsidRDefault="00E65E42" w:rsidP="000A4E1E">
      <w:pPr>
        <w:spacing w:after="120" w:line="240" w:lineRule="auto"/>
        <w:ind w:left="709"/>
        <w:jc w:val="both"/>
        <w:rPr>
          <w:rFonts w:ascii="Arial" w:eastAsia="Times New Roman" w:hAnsi="Arial" w:cs="Arial"/>
          <w:bCs/>
          <w:iCs/>
          <w:sz w:val="18"/>
          <w:szCs w:val="18"/>
        </w:rPr>
      </w:pPr>
      <w:r w:rsidRPr="00D403F5">
        <w:rPr>
          <w:rFonts w:ascii="Arial" w:eastAsia="Times New Roman" w:hAnsi="Arial" w:cs="Arial"/>
          <w:bCs/>
          <w:iCs/>
          <w:sz w:val="18"/>
          <w:szCs w:val="18"/>
        </w:rPr>
        <w:t xml:space="preserve">Species for which there is incomplete evidence to fulfil the criteria for listing as susceptible to infection </w:t>
      </w:r>
      <w:r w:rsidRPr="00D403F5">
        <w:rPr>
          <w:rFonts w:ascii="Arial" w:eastAsia="Times New Roman" w:hAnsi="Arial" w:cs="Arial"/>
          <w:bCs/>
          <w:sz w:val="18"/>
          <w:szCs w:val="18"/>
        </w:rPr>
        <w:t xml:space="preserve">with VHSV according to Chapter 1.5 of the </w:t>
      </w:r>
      <w:r w:rsidRPr="00D403F5">
        <w:rPr>
          <w:rFonts w:ascii="Arial" w:eastAsia="Times New Roman" w:hAnsi="Arial" w:cs="Arial"/>
          <w:bCs/>
          <w:i/>
          <w:iCs/>
          <w:sz w:val="18"/>
          <w:szCs w:val="18"/>
        </w:rPr>
        <w:t>Aquatic Code</w:t>
      </w:r>
      <w:r w:rsidRPr="00D403F5">
        <w:rPr>
          <w:rFonts w:ascii="Arial" w:eastAsia="Times New Roman" w:hAnsi="Arial" w:cs="Arial"/>
          <w:bCs/>
          <w:iCs/>
          <w:sz w:val="18"/>
          <w:szCs w:val="18"/>
        </w:rPr>
        <w:t xml:space="preserve"> include:</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0"/>
        <w:gridCol w:w="2552"/>
        <w:gridCol w:w="2689"/>
        <w:gridCol w:w="1134"/>
      </w:tblGrid>
      <w:tr w:rsidR="00E65E42" w:rsidRPr="00D403F5" w14:paraId="73008B2D" w14:textId="77777777" w:rsidTr="00E65E42">
        <w:trPr>
          <w:tblHeader/>
          <w:jc w:val="center"/>
        </w:trPr>
        <w:tc>
          <w:tcPr>
            <w:tcW w:w="1700" w:type="dxa"/>
            <w:tcBorders>
              <w:top w:val="single" w:sz="4" w:space="0" w:color="auto"/>
              <w:bottom w:val="single" w:sz="4" w:space="0" w:color="auto"/>
            </w:tcBorders>
            <w:vAlign w:val="center"/>
          </w:tcPr>
          <w:p w14:paraId="375F9D83" w14:textId="77777777" w:rsidR="00E65E42" w:rsidRPr="00D403F5" w:rsidRDefault="00E65E42" w:rsidP="00E65E42">
            <w:pPr>
              <w:spacing w:after="0" w:line="240" w:lineRule="auto"/>
              <w:jc w:val="center"/>
              <w:rPr>
                <w:rFonts w:ascii="Ottawa" w:eastAsia="Times New Roman" w:hAnsi="Ottawa" w:cs="Arial"/>
                <w:b/>
                <w:bCs/>
                <w:sz w:val="18"/>
                <w:szCs w:val="18"/>
                <w:lang w:bidi="en-US"/>
              </w:rPr>
            </w:pPr>
            <w:r w:rsidRPr="00D403F5">
              <w:rPr>
                <w:rFonts w:ascii="Ottawa" w:eastAsia="Times New Roman" w:hAnsi="Ottawa" w:cs="Arial"/>
                <w:b/>
                <w:bCs/>
                <w:sz w:val="18"/>
                <w:szCs w:val="18"/>
                <w:lang w:bidi="en-US"/>
              </w:rPr>
              <w:t>Family</w:t>
            </w:r>
          </w:p>
        </w:tc>
        <w:tc>
          <w:tcPr>
            <w:tcW w:w="2552" w:type="dxa"/>
            <w:tcBorders>
              <w:top w:val="single" w:sz="4" w:space="0" w:color="auto"/>
              <w:bottom w:val="single" w:sz="4" w:space="0" w:color="auto"/>
            </w:tcBorders>
            <w:shd w:val="clear" w:color="auto" w:fill="auto"/>
            <w:vAlign w:val="center"/>
          </w:tcPr>
          <w:p w14:paraId="6A2A7777" w14:textId="77777777" w:rsidR="00E65E42" w:rsidRPr="00D403F5" w:rsidRDefault="00E65E42" w:rsidP="00E65E42">
            <w:pPr>
              <w:spacing w:after="0" w:line="240" w:lineRule="auto"/>
              <w:jc w:val="center"/>
              <w:rPr>
                <w:rFonts w:ascii="Ottawa" w:eastAsia="Times New Roman" w:hAnsi="Ottawa" w:cs="Arial"/>
                <w:b/>
                <w:bCs/>
                <w:sz w:val="18"/>
                <w:szCs w:val="18"/>
                <w:lang w:bidi="en-US"/>
              </w:rPr>
            </w:pPr>
            <w:r w:rsidRPr="00D403F5">
              <w:rPr>
                <w:rFonts w:ascii="Ottawa" w:eastAsia="Times New Roman" w:hAnsi="Ottawa" w:cs="Arial"/>
                <w:b/>
                <w:bCs/>
                <w:sz w:val="18"/>
                <w:szCs w:val="18"/>
                <w:lang w:bidi="en-US"/>
              </w:rPr>
              <w:t>Scientific name</w:t>
            </w:r>
          </w:p>
        </w:tc>
        <w:tc>
          <w:tcPr>
            <w:tcW w:w="2689" w:type="dxa"/>
            <w:tcBorders>
              <w:top w:val="single" w:sz="4" w:space="0" w:color="auto"/>
              <w:bottom w:val="single" w:sz="4" w:space="0" w:color="auto"/>
            </w:tcBorders>
            <w:vAlign w:val="center"/>
          </w:tcPr>
          <w:p w14:paraId="7A360F02" w14:textId="77777777" w:rsidR="00E65E42" w:rsidRPr="00D403F5" w:rsidRDefault="00E65E42" w:rsidP="00E65E42">
            <w:pPr>
              <w:spacing w:after="0" w:line="240" w:lineRule="auto"/>
              <w:jc w:val="center"/>
              <w:rPr>
                <w:rFonts w:ascii="Ottawa" w:eastAsia="Times New Roman" w:hAnsi="Ottawa" w:cs="Arial"/>
                <w:b/>
                <w:bCs/>
                <w:sz w:val="18"/>
                <w:szCs w:val="18"/>
                <w:lang w:bidi="en-US"/>
              </w:rPr>
            </w:pPr>
            <w:r w:rsidRPr="00D403F5">
              <w:rPr>
                <w:rFonts w:ascii="Ottawa" w:eastAsia="Times New Roman" w:hAnsi="Ottawa" w:cs="Arial"/>
                <w:b/>
                <w:bCs/>
                <w:sz w:val="18"/>
                <w:szCs w:val="18"/>
                <w:lang w:bidi="en-US"/>
              </w:rPr>
              <w:t>Common name</w:t>
            </w:r>
          </w:p>
        </w:tc>
        <w:tc>
          <w:tcPr>
            <w:tcW w:w="1134" w:type="dxa"/>
            <w:tcBorders>
              <w:top w:val="single" w:sz="4" w:space="0" w:color="auto"/>
              <w:bottom w:val="single" w:sz="4" w:space="0" w:color="auto"/>
            </w:tcBorders>
          </w:tcPr>
          <w:p w14:paraId="06EAA675" w14:textId="77777777" w:rsidR="00E65E42" w:rsidRPr="00D403F5" w:rsidRDefault="00E65E42" w:rsidP="00E65E42">
            <w:pPr>
              <w:spacing w:after="0" w:line="240" w:lineRule="auto"/>
              <w:jc w:val="center"/>
              <w:rPr>
                <w:rFonts w:ascii="Ottawa" w:eastAsia="Times New Roman" w:hAnsi="Ottawa" w:cs="Arial"/>
                <w:b/>
                <w:bCs/>
                <w:sz w:val="18"/>
                <w:szCs w:val="18"/>
                <w:lang w:bidi="en-US"/>
              </w:rPr>
            </w:pPr>
            <w:r w:rsidRPr="00D403F5">
              <w:rPr>
                <w:rFonts w:ascii="Ottawa" w:eastAsia="Times New Roman" w:hAnsi="Ottawa" w:cs="Arial"/>
                <w:b/>
                <w:bCs/>
                <w:sz w:val="18"/>
                <w:szCs w:val="18"/>
                <w:lang w:bidi="en-US"/>
              </w:rPr>
              <w:t>Genotype</w:t>
            </w:r>
          </w:p>
        </w:tc>
      </w:tr>
      <w:tr w:rsidR="00E65E42" w:rsidRPr="00D403F5" w14:paraId="390D3F2D" w14:textId="77777777" w:rsidTr="00E65E42">
        <w:trPr>
          <w:jc w:val="center"/>
        </w:trPr>
        <w:tc>
          <w:tcPr>
            <w:tcW w:w="1700" w:type="dxa"/>
            <w:vMerge w:val="restart"/>
            <w:tcBorders>
              <w:top w:val="single" w:sz="4" w:space="0" w:color="auto"/>
            </w:tcBorders>
            <w:vAlign w:val="center"/>
          </w:tcPr>
          <w:p w14:paraId="76E831C9" w14:textId="77777777" w:rsidR="00E65E42" w:rsidRPr="00D403F5" w:rsidRDefault="00E65E42" w:rsidP="00E65E42">
            <w:pPr>
              <w:spacing w:after="0" w:line="240" w:lineRule="auto"/>
              <w:jc w:val="center"/>
              <w:rPr>
                <w:rFonts w:ascii="Arial" w:eastAsia="Times New Roman" w:hAnsi="Arial" w:cs="Arial"/>
                <w:color w:val="000000"/>
                <w:sz w:val="18"/>
                <w:szCs w:val="18"/>
                <w:lang w:val="en-US"/>
              </w:rPr>
            </w:pPr>
            <w:r w:rsidRPr="00D403F5">
              <w:rPr>
                <w:rFonts w:ascii="Arial" w:eastAsia="Times New Roman" w:hAnsi="Arial" w:cs="Arial"/>
                <w:color w:val="000000"/>
                <w:sz w:val="18"/>
                <w:szCs w:val="18"/>
              </w:rPr>
              <w:t>Adrianichthydiae</w:t>
            </w:r>
          </w:p>
        </w:tc>
        <w:tc>
          <w:tcPr>
            <w:tcW w:w="2552" w:type="dxa"/>
            <w:tcBorders>
              <w:top w:val="single" w:sz="4" w:space="0" w:color="auto"/>
            </w:tcBorders>
            <w:shd w:val="clear" w:color="auto" w:fill="auto"/>
            <w:vAlign w:val="center"/>
          </w:tcPr>
          <w:p w14:paraId="44CAD059"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Oryzias latipes</w:t>
            </w:r>
          </w:p>
        </w:tc>
        <w:tc>
          <w:tcPr>
            <w:tcW w:w="2689" w:type="dxa"/>
            <w:tcBorders>
              <w:top w:val="single" w:sz="4" w:space="0" w:color="auto"/>
            </w:tcBorders>
            <w:vAlign w:val="center"/>
          </w:tcPr>
          <w:p w14:paraId="33A7C890"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Japanese rice fish</w:t>
            </w:r>
          </w:p>
        </w:tc>
        <w:tc>
          <w:tcPr>
            <w:tcW w:w="1134" w:type="dxa"/>
            <w:tcBorders>
              <w:top w:val="single" w:sz="4" w:space="0" w:color="auto"/>
            </w:tcBorders>
            <w:vAlign w:val="center"/>
          </w:tcPr>
          <w:p w14:paraId="46C61B2C"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53E1EC25" w14:textId="77777777" w:rsidTr="00E65E42">
        <w:trPr>
          <w:jc w:val="center"/>
        </w:trPr>
        <w:tc>
          <w:tcPr>
            <w:tcW w:w="1700" w:type="dxa"/>
            <w:vMerge/>
            <w:vAlign w:val="center"/>
          </w:tcPr>
          <w:p w14:paraId="4C3D732B"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tcBorders>
            <w:shd w:val="clear" w:color="auto" w:fill="auto"/>
            <w:vAlign w:val="center"/>
          </w:tcPr>
          <w:p w14:paraId="6C781FF2"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Oryzias dancena</w:t>
            </w:r>
          </w:p>
        </w:tc>
        <w:tc>
          <w:tcPr>
            <w:tcW w:w="2689" w:type="dxa"/>
            <w:tcBorders>
              <w:top w:val="single" w:sz="4" w:space="0" w:color="auto"/>
            </w:tcBorders>
            <w:vAlign w:val="center"/>
          </w:tcPr>
          <w:p w14:paraId="576E7342"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Marine medaka</w:t>
            </w:r>
          </w:p>
        </w:tc>
        <w:tc>
          <w:tcPr>
            <w:tcW w:w="1134" w:type="dxa"/>
            <w:tcBorders>
              <w:top w:val="single" w:sz="4" w:space="0" w:color="auto"/>
            </w:tcBorders>
            <w:vAlign w:val="center"/>
          </w:tcPr>
          <w:p w14:paraId="43489DFE"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E65E42" w:rsidRPr="00D403F5" w14:paraId="41A3048E" w14:textId="77777777" w:rsidTr="00E65E42">
        <w:trPr>
          <w:jc w:val="center"/>
        </w:trPr>
        <w:tc>
          <w:tcPr>
            <w:tcW w:w="1700" w:type="dxa"/>
            <w:tcBorders>
              <w:top w:val="single" w:sz="4" w:space="0" w:color="auto"/>
              <w:bottom w:val="single" w:sz="4" w:space="0" w:color="auto"/>
            </w:tcBorders>
            <w:vAlign w:val="center"/>
          </w:tcPr>
          <w:p w14:paraId="1D2D1D3D"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Ammodytidae</w:t>
            </w:r>
          </w:p>
        </w:tc>
        <w:tc>
          <w:tcPr>
            <w:tcW w:w="2552" w:type="dxa"/>
            <w:tcBorders>
              <w:top w:val="single" w:sz="4" w:space="0" w:color="auto"/>
              <w:bottom w:val="single" w:sz="4" w:space="0" w:color="auto"/>
            </w:tcBorders>
            <w:shd w:val="clear" w:color="auto" w:fill="auto"/>
            <w:vAlign w:val="center"/>
          </w:tcPr>
          <w:p w14:paraId="66C75FCF"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Ammodytes personatus</w:t>
            </w:r>
          </w:p>
        </w:tc>
        <w:tc>
          <w:tcPr>
            <w:tcW w:w="2689" w:type="dxa"/>
            <w:tcBorders>
              <w:top w:val="single" w:sz="4" w:space="0" w:color="auto"/>
              <w:bottom w:val="single" w:sz="4" w:space="0" w:color="auto"/>
            </w:tcBorders>
            <w:vAlign w:val="center"/>
          </w:tcPr>
          <w:p w14:paraId="09B38050"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Sandeel</w:t>
            </w:r>
          </w:p>
        </w:tc>
        <w:tc>
          <w:tcPr>
            <w:tcW w:w="1134" w:type="dxa"/>
            <w:tcBorders>
              <w:top w:val="single" w:sz="4" w:space="0" w:color="auto"/>
              <w:bottom w:val="single" w:sz="4" w:space="0" w:color="auto"/>
            </w:tcBorders>
            <w:vAlign w:val="center"/>
          </w:tcPr>
          <w:p w14:paraId="464E370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E65E42" w:rsidRPr="00D403F5" w14:paraId="14A5332A" w14:textId="77777777" w:rsidTr="00E65E42">
        <w:trPr>
          <w:jc w:val="center"/>
        </w:trPr>
        <w:tc>
          <w:tcPr>
            <w:tcW w:w="1700" w:type="dxa"/>
            <w:tcBorders>
              <w:top w:val="single" w:sz="4" w:space="0" w:color="auto"/>
              <w:bottom w:val="single" w:sz="4" w:space="0" w:color="auto"/>
            </w:tcBorders>
            <w:vAlign w:val="center"/>
          </w:tcPr>
          <w:p w14:paraId="25F287B7"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Anguillidae</w:t>
            </w:r>
          </w:p>
        </w:tc>
        <w:tc>
          <w:tcPr>
            <w:tcW w:w="2552" w:type="dxa"/>
            <w:tcBorders>
              <w:top w:val="single" w:sz="4" w:space="0" w:color="auto"/>
              <w:bottom w:val="single" w:sz="4" w:space="0" w:color="auto"/>
            </w:tcBorders>
            <w:shd w:val="clear" w:color="auto" w:fill="auto"/>
            <w:vAlign w:val="center"/>
          </w:tcPr>
          <w:p w14:paraId="644D3FEF"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Anguilla anguilla</w:t>
            </w:r>
          </w:p>
        </w:tc>
        <w:tc>
          <w:tcPr>
            <w:tcW w:w="2689" w:type="dxa"/>
            <w:tcBorders>
              <w:top w:val="single" w:sz="4" w:space="0" w:color="auto"/>
              <w:bottom w:val="single" w:sz="4" w:space="0" w:color="auto"/>
            </w:tcBorders>
            <w:vAlign w:val="center"/>
          </w:tcPr>
          <w:p w14:paraId="029AA678"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European eel</w:t>
            </w:r>
          </w:p>
        </w:tc>
        <w:tc>
          <w:tcPr>
            <w:tcW w:w="1134" w:type="dxa"/>
            <w:tcBorders>
              <w:top w:val="single" w:sz="4" w:space="0" w:color="auto"/>
              <w:bottom w:val="single" w:sz="4" w:space="0" w:color="auto"/>
            </w:tcBorders>
            <w:vAlign w:val="center"/>
          </w:tcPr>
          <w:p w14:paraId="01F0F9A0"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E65E42" w:rsidRPr="00D403F5" w14:paraId="6DB81B21" w14:textId="77777777" w:rsidTr="00E65E42">
        <w:trPr>
          <w:jc w:val="center"/>
        </w:trPr>
        <w:tc>
          <w:tcPr>
            <w:tcW w:w="1700" w:type="dxa"/>
            <w:tcBorders>
              <w:top w:val="single" w:sz="4" w:space="0" w:color="auto"/>
              <w:bottom w:val="single" w:sz="4" w:space="0" w:color="auto"/>
            </w:tcBorders>
            <w:vAlign w:val="center"/>
          </w:tcPr>
          <w:p w14:paraId="20A89A09"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Argentinidae</w:t>
            </w:r>
          </w:p>
        </w:tc>
        <w:tc>
          <w:tcPr>
            <w:tcW w:w="2552" w:type="dxa"/>
            <w:tcBorders>
              <w:top w:val="single" w:sz="4" w:space="0" w:color="auto"/>
              <w:bottom w:val="single" w:sz="4" w:space="0" w:color="auto"/>
            </w:tcBorders>
            <w:shd w:val="clear" w:color="auto" w:fill="auto"/>
            <w:vAlign w:val="center"/>
          </w:tcPr>
          <w:p w14:paraId="7F2A1DEE"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Argentina sphyraena</w:t>
            </w:r>
          </w:p>
        </w:tc>
        <w:tc>
          <w:tcPr>
            <w:tcW w:w="2689" w:type="dxa"/>
            <w:tcBorders>
              <w:top w:val="single" w:sz="4" w:space="0" w:color="auto"/>
              <w:bottom w:val="single" w:sz="4" w:space="0" w:color="auto"/>
            </w:tcBorders>
            <w:vAlign w:val="center"/>
          </w:tcPr>
          <w:p w14:paraId="0DCB3936"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Lesser Argentine</w:t>
            </w:r>
          </w:p>
        </w:tc>
        <w:tc>
          <w:tcPr>
            <w:tcW w:w="1134" w:type="dxa"/>
            <w:tcBorders>
              <w:top w:val="single" w:sz="4" w:space="0" w:color="auto"/>
              <w:bottom w:val="single" w:sz="4" w:space="0" w:color="auto"/>
            </w:tcBorders>
            <w:vAlign w:val="center"/>
          </w:tcPr>
          <w:p w14:paraId="485E88E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E65E42" w:rsidRPr="00D403F5" w14:paraId="7075ED04" w14:textId="77777777" w:rsidTr="00E65E42">
        <w:trPr>
          <w:jc w:val="center"/>
        </w:trPr>
        <w:tc>
          <w:tcPr>
            <w:tcW w:w="1700" w:type="dxa"/>
            <w:tcBorders>
              <w:top w:val="single" w:sz="4" w:space="0" w:color="auto"/>
              <w:bottom w:val="single" w:sz="4" w:space="0" w:color="auto"/>
            </w:tcBorders>
            <w:vAlign w:val="center"/>
          </w:tcPr>
          <w:p w14:paraId="4AF5A6D1"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Belonidae</w:t>
            </w:r>
          </w:p>
        </w:tc>
        <w:tc>
          <w:tcPr>
            <w:tcW w:w="2552" w:type="dxa"/>
            <w:tcBorders>
              <w:top w:val="single" w:sz="4" w:space="0" w:color="auto"/>
              <w:bottom w:val="single" w:sz="4" w:space="0" w:color="auto"/>
            </w:tcBorders>
            <w:shd w:val="clear" w:color="auto" w:fill="auto"/>
            <w:vAlign w:val="center"/>
          </w:tcPr>
          <w:p w14:paraId="4D0D7412"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Belone belone</w:t>
            </w:r>
          </w:p>
        </w:tc>
        <w:tc>
          <w:tcPr>
            <w:tcW w:w="2689" w:type="dxa"/>
            <w:tcBorders>
              <w:top w:val="single" w:sz="4" w:space="0" w:color="auto"/>
              <w:bottom w:val="single" w:sz="4" w:space="0" w:color="auto"/>
            </w:tcBorders>
            <w:vAlign w:val="center"/>
          </w:tcPr>
          <w:p w14:paraId="182AAFB5"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Garfish</w:t>
            </w:r>
          </w:p>
        </w:tc>
        <w:tc>
          <w:tcPr>
            <w:tcW w:w="1134" w:type="dxa"/>
            <w:tcBorders>
              <w:top w:val="single" w:sz="4" w:space="0" w:color="auto"/>
              <w:bottom w:val="single" w:sz="4" w:space="0" w:color="auto"/>
            </w:tcBorders>
            <w:vAlign w:val="center"/>
          </w:tcPr>
          <w:p w14:paraId="38A36C13"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r w:rsidR="00E65E42" w:rsidRPr="00D403F5" w14:paraId="09643A27" w14:textId="77777777" w:rsidTr="00E65E42">
        <w:trPr>
          <w:jc w:val="center"/>
        </w:trPr>
        <w:tc>
          <w:tcPr>
            <w:tcW w:w="1700" w:type="dxa"/>
            <w:tcBorders>
              <w:top w:val="single" w:sz="4" w:space="0" w:color="auto"/>
              <w:bottom w:val="single" w:sz="4" w:space="0" w:color="auto"/>
            </w:tcBorders>
            <w:vAlign w:val="center"/>
          </w:tcPr>
          <w:p w14:paraId="7712A3AB"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Carangidae</w:t>
            </w:r>
          </w:p>
        </w:tc>
        <w:tc>
          <w:tcPr>
            <w:tcW w:w="2552" w:type="dxa"/>
            <w:tcBorders>
              <w:top w:val="single" w:sz="4" w:space="0" w:color="auto"/>
              <w:bottom w:val="single" w:sz="4" w:space="0" w:color="auto"/>
            </w:tcBorders>
            <w:shd w:val="clear" w:color="auto" w:fill="auto"/>
            <w:vAlign w:val="center"/>
          </w:tcPr>
          <w:p w14:paraId="211DC2A5"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Seriola dumerili</w:t>
            </w:r>
          </w:p>
        </w:tc>
        <w:tc>
          <w:tcPr>
            <w:tcW w:w="2689" w:type="dxa"/>
            <w:tcBorders>
              <w:top w:val="single" w:sz="4" w:space="0" w:color="auto"/>
              <w:bottom w:val="single" w:sz="4" w:space="0" w:color="auto"/>
            </w:tcBorders>
            <w:vAlign w:val="center"/>
          </w:tcPr>
          <w:p w14:paraId="0DC10099"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Greater amberjack</w:t>
            </w:r>
          </w:p>
        </w:tc>
        <w:tc>
          <w:tcPr>
            <w:tcW w:w="1134" w:type="dxa"/>
            <w:tcBorders>
              <w:top w:val="single" w:sz="4" w:space="0" w:color="auto"/>
              <w:bottom w:val="single" w:sz="4" w:space="0" w:color="auto"/>
            </w:tcBorders>
            <w:vAlign w:val="center"/>
          </w:tcPr>
          <w:p w14:paraId="40409A1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E65E42" w:rsidRPr="00D403F5" w14:paraId="5F402458" w14:textId="77777777" w:rsidTr="00E65E42">
        <w:trPr>
          <w:jc w:val="center"/>
        </w:trPr>
        <w:tc>
          <w:tcPr>
            <w:tcW w:w="1700" w:type="dxa"/>
            <w:vMerge w:val="restart"/>
            <w:tcBorders>
              <w:top w:val="single" w:sz="4" w:space="0" w:color="auto"/>
            </w:tcBorders>
            <w:vAlign w:val="center"/>
          </w:tcPr>
          <w:p w14:paraId="65179CD1" w14:textId="77777777" w:rsidR="00E65E42" w:rsidRPr="00D403F5" w:rsidRDefault="00E65E42" w:rsidP="00E65E42">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Catostomidae</w:t>
            </w:r>
          </w:p>
        </w:tc>
        <w:tc>
          <w:tcPr>
            <w:tcW w:w="2552" w:type="dxa"/>
            <w:tcBorders>
              <w:top w:val="single" w:sz="4" w:space="0" w:color="auto"/>
              <w:bottom w:val="single" w:sz="4" w:space="0" w:color="auto"/>
            </w:tcBorders>
            <w:shd w:val="clear" w:color="auto" w:fill="auto"/>
            <w:vAlign w:val="center"/>
          </w:tcPr>
          <w:p w14:paraId="55E7F609"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Catostomus commersonii</w:t>
            </w:r>
          </w:p>
        </w:tc>
        <w:tc>
          <w:tcPr>
            <w:tcW w:w="2689" w:type="dxa"/>
            <w:tcBorders>
              <w:top w:val="single" w:sz="4" w:space="0" w:color="auto"/>
              <w:bottom w:val="single" w:sz="4" w:space="0" w:color="auto"/>
            </w:tcBorders>
            <w:vAlign w:val="center"/>
          </w:tcPr>
          <w:p w14:paraId="3ED697A1"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White sucker</w:t>
            </w:r>
          </w:p>
        </w:tc>
        <w:tc>
          <w:tcPr>
            <w:tcW w:w="1134" w:type="dxa"/>
            <w:tcBorders>
              <w:top w:val="single" w:sz="4" w:space="0" w:color="auto"/>
              <w:bottom w:val="single" w:sz="4" w:space="0" w:color="auto"/>
            </w:tcBorders>
            <w:vAlign w:val="center"/>
          </w:tcPr>
          <w:p w14:paraId="4983C598"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44A57D03" w14:textId="77777777" w:rsidTr="00E65E42">
        <w:trPr>
          <w:jc w:val="center"/>
        </w:trPr>
        <w:tc>
          <w:tcPr>
            <w:tcW w:w="1700" w:type="dxa"/>
            <w:vMerge/>
            <w:vAlign w:val="center"/>
          </w:tcPr>
          <w:p w14:paraId="3ABF32CA"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540C3BA9"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Moxostoma anisurum</w:t>
            </w:r>
          </w:p>
        </w:tc>
        <w:tc>
          <w:tcPr>
            <w:tcW w:w="2689" w:type="dxa"/>
            <w:tcBorders>
              <w:top w:val="single" w:sz="4" w:space="0" w:color="auto"/>
              <w:bottom w:val="single" w:sz="4" w:space="0" w:color="auto"/>
            </w:tcBorders>
            <w:vAlign w:val="center"/>
          </w:tcPr>
          <w:p w14:paraId="745998C9"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Silver redhorse </w:t>
            </w:r>
          </w:p>
        </w:tc>
        <w:tc>
          <w:tcPr>
            <w:tcW w:w="1134" w:type="dxa"/>
            <w:tcBorders>
              <w:top w:val="single" w:sz="4" w:space="0" w:color="auto"/>
              <w:bottom w:val="single" w:sz="4" w:space="0" w:color="auto"/>
            </w:tcBorders>
            <w:vAlign w:val="center"/>
          </w:tcPr>
          <w:p w14:paraId="2C47416B"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49AF6FDD" w14:textId="77777777" w:rsidTr="00E65E42">
        <w:trPr>
          <w:jc w:val="center"/>
        </w:trPr>
        <w:tc>
          <w:tcPr>
            <w:tcW w:w="1700" w:type="dxa"/>
            <w:vMerge/>
            <w:tcBorders>
              <w:bottom w:val="single" w:sz="4" w:space="0" w:color="auto"/>
            </w:tcBorders>
            <w:vAlign w:val="center"/>
          </w:tcPr>
          <w:p w14:paraId="1BB9BF73"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3FF24CB5"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Moxostoma macrolepidotum</w:t>
            </w:r>
          </w:p>
        </w:tc>
        <w:tc>
          <w:tcPr>
            <w:tcW w:w="2689" w:type="dxa"/>
            <w:tcBorders>
              <w:top w:val="single" w:sz="4" w:space="0" w:color="auto"/>
              <w:bottom w:val="single" w:sz="4" w:space="0" w:color="auto"/>
            </w:tcBorders>
            <w:vAlign w:val="center"/>
          </w:tcPr>
          <w:p w14:paraId="4D75A2DB"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Shorthead redhorse </w:t>
            </w:r>
          </w:p>
        </w:tc>
        <w:tc>
          <w:tcPr>
            <w:tcW w:w="1134" w:type="dxa"/>
            <w:tcBorders>
              <w:top w:val="single" w:sz="4" w:space="0" w:color="auto"/>
              <w:bottom w:val="single" w:sz="4" w:space="0" w:color="auto"/>
            </w:tcBorders>
            <w:vAlign w:val="center"/>
          </w:tcPr>
          <w:p w14:paraId="34F58300"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0795F5BB" w14:textId="77777777" w:rsidTr="00E65E42">
        <w:trPr>
          <w:jc w:val="center"/>
        </w:trPr>
        <w:tc>
          <w:tcPr>
            <w:tcW w:w="1700" w:type="dxa"/>
            <w:tcBorders>
              <w:top w:val="single" w:sz="4" w:space="0" w:color="auto"/>
              <w:bottom w:val="single" w:sz="4" w:space="0" w:color="auto"/>
            </w:tcBorders>
            <w:vAlign w:val="center"/>
          </w:tcPr>
          <w:p w14:paraId="6A635B75"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Centrarchidae</w:t>
            </w:r>
          </w:p>
        </w:tc>
        <w:tc>
          <w:tcPr>
            <w:tcW w:w="2552" w:type="dxa"/>
            <w:tcBorders>
              <w:top w:val="single" w:sz="4" w:space="0" w:color="auto"/>
              <w:bottom w:val="single" w:sz="4" w:space="0" w:color="auto"/>
            </w:tcBorders>
            <w:shd w:val="clear" w:color="auto" w:fill="auto"/>
            <w:vAlign w:val="center"/>
          </w:tcPr>
          <w:p w14:paraId="00B8801C"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Pomoxi annuluris</w:t>
            </w:r>
          </w:p>
        </w:tc>
        <w:tc>
          <w:tcPr>
            <w:tcW w:w="2689" w:type="dxa"/>
            <w:tcBorders>
              <w:top w:val="single" w:sz="4" w:space="0" w:color="auto"/>
              <w:bottom w:val="single" w:sz="4" w:space="0" w:color="auto"/>
            </w:tcBorders>
            <w:vAlign w:val="center"/>
          </w:tcPr>
          <w:p w14:paraId="4117552A"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White crappie </w:t>
            </w:r>
          </w:p>
        </w:tc>
        <w:tc>
          <w:tcPr>
            <w:tcW w:w="1134" w:type="dxa"/>
            <w:tcBorders>
              <w:top w:val="single" w:sz="4" w:space="0" w:color="auto"/>
              <w:bottom w:val="single" w:sz="4" w:space="0" w:color="auto"/>
            </w:tcBorders>
            <w:vAlign w:val="center"/>
          </w:tcPr>
          <w:p w14:paraId="372AFF6E"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bl>
    <w:p w14:paraId="274ECEE7" w14:textId="61FD061E" w:rsidR="008A67C2" w:rsidRDefault="008A67C2" w:rsidP="008A67C2">
      <w:pPr>
        <w:spacing w:after="480" w:line="240" w:lineRule="auto"/>
        <w:jc w:val="right"/>
      </w:pPr>
      <w:r>
        <w:br w:type="page"/>
      </w:r>
      <w:r w:rsidRPr="008A67C2">
        <w:rPr>
          <w:u w:val="single"/>
          <w:lang w:val="fr-FR"/>
        </w:rPr>
        <w:lastRenderedPageBreak/>
        <w:t>A</w:t>
      </w:r>
      <w:r w:rsidRPr="008A67C2">
        <w:rPr>
          <w:rFonts w:cs="Times New Roman"/>
          <w:bCs/>
          <w:iCs/>
          <w:szCs w:val="20"/>
          <w:u w:val="single"/>
          <w:lang w:val="fr-FR"/>
        </w:rPr>
        <w:t>nnex 14</w:t>
      </w:r>
      <w:r w:rsidRPr="008A67C2">
        <w:rPr>
          <w:rFonts w:cs="Times New Roman"/>
          <w:bCs/>
          <w:iCs/>
          <w:szCs w:val="20"/>
          <w:lang w:val="fr-FR"/>
        </w:rPr>
        <w:t xml:space="preserve"> (contd)</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0"/>
        <w:gridCol w:w="2552"/>
        <w:gridCol w:w="2689"/>
        <w:gridCol w:w="1134"/>
      </w:tblGrid>
      <w:tr w:rsidR="008A67C2" w:rsidRPr="00D403F5" w14:paraId="15E1FF80" w14:textId="77777777" w:rsidTr="00E65E42">
        <w:trPr>
          <w:jc w:val="center"/>
        </w:trPr>
        <w:tc>
          <w:tcPr>
            <w:tcW w:w="1700" w:type="dxa"/>
            <w:vMerge w:val="restart"/>
            <w:tcBorders>
              <w:top w:val="single" w:sz="4" w:space="0" w:color="auto"/>
            </w:tcBorders>
            <w:vAlign w:val="center"/>
          </w:tcPr>
          <w:p w14:paraId="1F00C773" w14:textId="4FBD2C06" w:rsidR="008A67C2" w:rsidRPr="00D403F5" w:rsidRDefault="008A67C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Clupeidae</w:t>
            </w:r>
          </w:p>
        </w:tc>
        <w:tc>
          <w:tcPr>
            <w:tcW w:w="2552" w:type="dxa"/>
            <w:tcBorders>
              <w:top w:val="single" w:sz="4" w:space="0" w:color="auto"/>
              <w:bottom w:val="single" w:sz="4" w:space="0" w:color="auto"/>
            </w:tcBorders>
            <w:shd w:val="clear" w:color="auto" w:fill="auto"/>
            <w:vAlign w:val="center"/>
          </w:tcPr>
          <w:p w14:paraId="7BF0494F" w14:textId="77777777" w:rsidR="008A67C2" w:rsidRPr="00D403F5" w:rsidRDefault="008A67C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Alosa pseudoharengus</w:t>
            </w:r>
          </w:p>
        </w:tc>
        <w:tc>
          <w:tcPr>
            <w:tcW w:w="2689" w:type="dxa"/>
            <w:tcBorders>
              <w:top w:val="single" w:sz="4" w:space="0" w:color="auto"/>
              <w:bottom w:val="single" w:sz="4" w:space="0" w:color="auto"/>
            </w:tcBorders>
            <w:vAlign w:val="center"/>
          </w:tcPr>
          <w:p w14:paraId="4C39674A" w14:textId="77777777" w:rsidR="008A67C2" w:rsidRPr="00D403F5" w:rsidRDefault="008A67C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Alewife</w:t>
            </w:r>
          </w:p>
        </w:tc>
        <w:tc>
          <w:tcPr>
            <w:tcW w:w="1134" w:type="dxa"/>
            <w:tcBorders>
              <w:top w:val="single" w:sz="4" w:space="0" w:color="auto"/>
              <w:bottom w:val="single" w:sz="4" w:space="0" w:color="auto"/>
            </w:tcBorders>
            <w:vAlign w:val="center"/>
          </w:tcPr>
          <w:p w14:paraId="513C6B02" w14:textId="77777777" w:rsidR="008A67C2" w:rsidRPr="00D403F5" w:rsidRDefault="008A67C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8A67C2" w:rsidRPr="00D403F5" w14:paraId="4CE74CB1" w14:textId="77777777" w:rsidTr="00E65E42">
        <w:trPr>
          <w:trHeight w:val="312"/>
          <w:jc w:val="center"/>
        </w:trPr>
        <w:tc>
          <w:tcPr>
            <w:tcW w:w="1700" w:type="dxa"/>
            <w:vMerge/>
            <w:tcBorders>
              <w:bottom w:val="single" w:sz="4" w:space="0" w:color="auto"/>
            </w:tcBorders>
            <w:vAlign w:val="center"/>
          </w:tcPr>
          <w:p w14:paraId="1A1387D3" w14:textId="2DE75218" w:rsidR="008A67C2" w:rsidRPr="00D403F5" w:rsidRDefault="008A67C2" w:rsidP="00E65E42">
            <w:pPr>
              <w:spacing w:after="0" w:line="240" w:lineRule="auto"/>
              <w:jc w:val="center"/>
              <w:rPr>
                <w:rFonts w:ascii="Arial" w:eastAsia="Times New Roman" w:hAnsi="Arial" w:cs="Arial"/>
                <w:bCs/>
                <w:color w:val="000000"/>
                <w:sz w:val="18"/>
                <w:szCs w:val="18"/>
                <w:lang w:val="en-IE" w:bidi="en-US"/>
              </w:rPr>
            </w:pPr>
          </w:p>
        </w:tc>
        <w:tc>
          <w:tcPr>
            <w:tcW w:w="2552" w:type="dxa"/>
            <w:tcBorders>
              <w:top w:val="single" w:sz="4" w:space="0" w:color="auto"/>
              <w:bottom w:val="single" w:sz="4" w:space="0" w:color="auto"/>
            </w:tcBorders>
            <w:shd w:val="clear" w:color="auto" w:fill="auto"/>
            <w:vAlign w:val="center"/>
          </w:tcPr>
          <w:p w14:paraId="7A4E7793" w14:textId="77777777" w:rsidR="008A67C2" w:rsidRPr="00AE3567" w:rsidRDefault="008A67C2" w:rsidP="00E65E42">
            <w:pPr>
              <w:spacing w:after="0" w:line="240" w:lineRule="auto"/>
              <w:jc w:val="center"/>
              <w:rPr>
                <w:rFonts w:ascii="Arial" w:eastAsia="Times New Roman" w:hAnsi="Arial" w:cs="Arial"/>
                <w:bCs/>
                <w:i/>
                <w:iCs/>
                <w:strike/>
                <w:color w:val="000000"/>
                <w:sz w:val="18"/>
                <w:szCs w:val="18"/>
                <w:u w:val="double"/>
                <w:lang w:val="en-IE" w:bidi="en-US"/>
              </w:rPr>
            </w:pPr>
            <w:r w:rsidRPr="00AE3567">
              <w:rPr>
                <w:rFonts w:ascii="Arial" w:eastAsia="Times New Roman" w:hAnsi="Arial" w:cs="Arial"/>
                <w:bCs/>
                <w:i/>
                <w:iCs/>
                <w:strike/>
                <w:color w:val="000000"/>
                <w:sz w:val="18"/>
                <w:szCs w:val="18"/>
                <w:highlight w:val="yellow"/>
                <w:u w:val="double"/>
                <w:lang w:val="en-IE" w:bidi="en-US"/>
              </w:rPr>
              <w:t>Clupea harengus</w:t>
            </w:r>
            <w:r w:rsidRPr="00AE3567">
              <w:rPr>
                <w:rFonts w:ascii="Arial" w:eastAsia="Times New Roman" w:hAnsi="Arial" w:cs="Arial"/>
                <w:bCs/>
                <w:i/>
                <w:iCs/>
                <w:strike/>
                <w:color w:val="000000"/>
                <w:sz w:val="18"/>
                <w:szCs w:val="18"/>
                <w:u w:val="double"/>
                <w:lang w:val="en-IE" w:bidi="en-US"/>
              </w:rPr>
              <w:t>*</w:t>
            </w:r>
          </w:p>
        </w:tc>
        <w:tc>
          <w:tcPr>
            <w:tcW w:w="2689" w:type="dxa"/>
            <w:tcBorders>
              <w:top w:val="single" w:sz="4" w:space="0" w:color="auto"/>
              <w:bottom w:val="single" w:sz="4" w:space="0" w:color="auto"/>
            </w:tcBorders>
            <w:vAlign w:val="center"/>
          </w:tcPr>
          <w:p w14:paraId="2F4E3F02" w14:textId="77777777" w:rsidR="008A67C2" w:rsidRPr="00AE3567" w:rsidRDefault="008A67C2" w:rsidP="00E65E42">
            <w:pPr>
              <w:spacing w:after="0" w:line="240" w:lineRule="auto"/>
              <w:jc w:val="center"/>
              <w:rPr>
                <w:rFonts w:ascii="Arial" w:eastAsia="Times New Roman" w:hAnsi="Arial" w:cs="Arial"/>
                <w:bCs/>
                <w:strike/>
                <w:color w:val="000000"/>
                <w:sz w:val="18"/>
                <w:szCs w:val="18"/>
                <w:u w:val="double"/>
                <w:lang w:val="en-IE" w:bidi="en-US"/>
              </w:rPr>
            </w:pPr>
            <w:r w:rsidRPr="00AE3567">
              <w:rPr>
                <w:rFonts w:ascii="Arial" w:eastAsia="Times New Roman" w:hAnsi="Arial" w:cs="Arial"/>
                <w:bCs/>
                <w:strike/>
                <w:color w:val="000000"/>
                <w:sz w:val="18"/>
                <w:szCs w:val="18"/>
                <w:highlight w:val="yellow"/>
                <w:u w:val="double"/>
                <w:lang w:val="en-IE" w:bidi="en-US"/>
              </w:rPr>
              <w:t>Atlantic herring</w:t>
            </w:r>
            <w:r w:rsidRPr="00AE3567">
              <w:rPr>
                <w:rFonts w:ascii="Arial" w:eastAsia="Times New Roman" w:hAnsi="Arial" w:cs="Arial"/>
                <w:bCs/>
                <w:strike/>
                <w:color w:val="000000"/>
                <w:sz w:val="18"/>
                <w:szCs w:val="18"/>
                <w:u w:val="double"/>
                <w:lang w:val="en-IE" w:bidi="en-US"/>
              </w:rPr>
              <w:t>*</w:t>
            </w:r>
          </w:p>
        </w:tc>
        <w:tc>
          <w:tcPr>
            <w:tcW w:w="1134" w:type="dxa"/>
            <w:tcBorders>
              <w:top w:val="single" w:sz="4" w:space="0" w:color="auto"/>
              <w:bottom w:val="single" w:sz="4" w:space="0" w:color="auto"/>
            </w:tcBorders>
            <w:vAlign w:val="center"/>
          </w:tcPr>
          <w:p w14:paraId="67D40C43" w14:textId="77777777" w:rsidR="008A67C2" w:rsidRPr="00AE3567" w:rsidRDefault="008A67C2" w:rsidP="00E65E42">
            <w:pPr>
              <w:spacing w:after="0" w:line="240" w:lineRule="auto"/>
              <w:jc w:val="center"/>
              <w:rPr>
                <w:rFonts w:ascii="Arial" w:eastAsia="Times New Roman" w:hAnsi="Arial" w:cs="Arial"/>
                <w:bCs/>
                <w:iCs/>
                <w:strike/>
                <w:sz w:val="18"/>
                <w:szCs w:val="18"/>
                <w:u w:val="double"/>
                <w:lang w:bidi="en-US"/>
              </w:rPr>
            </w:pPr>
            <w:r w:rsidRPr="00AE3567">
              <w:rPr>
                <w:rFonts w:ascii="Arial" w:eastAsia="Times New Roman" w:hAnsi="Arial" w:cs="Arial"/>
                <w:bCs/>
                <w:iCs/>
                <w:strike/>
                <w:sz w:val="18"/>
                <w:szCs w:val="18"/>
                <w:highlight w:val="yellow"/>
                <w:u w:val="double"/>
                <w:lang w:bidi="en-US"/>
              </w:rPr>
              <w:t>IVa</w:t>
            </w:r>
          </w:p>
        </w:tc>
      </w:tr>
      <w:tr w:rsidR="00E65E42" w:rsidRPr="00D403F5" w14:paraId="6A8DCCF7" w14:textId="77777777" w:rsidTr="00E65E42">
        <w:trPr>
          <w:jc w:val="center"/>
        </w:trPr>
        <w:tc>
          <w:tcPr>
            <w:tcW w:w="1700" w:type="dxa"/>
            <w:tcBorders>
              <w:top w:val="single" w:sz="4" w:space="0" w:color="auto"/>
              <w:bottom w:val="single" w:sz="4" w:space="0" w:color="auto"/>
            </w:tcBorders>
            <w:vAlign w:val="center"/>
          </w:tcPr>
          <w:p w14:paraId="607600C9"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Cottidae</w:t>
            </w:r>
          </w:p>
        </w:tc>
        <w:tc>
          <w:tcPr>
            <w:tcW w:w="2552" w:type="dxa"/>
            <w:tcBorders>
              <w:top w:val="single" w:sz="4" w:space="0" w:color="auto"/>
              <w:bottom w:val="single" w:sz="4" w:space="0" w:color="auto"/>
            </w:tcBorders>
            <w:shd w:val="clear" w:color="auto" w:fill="auto"/>
            <w:vAlign w:val="center"/>
          </w:tcPr>
          <w:p w14:paraId="2A08FABC"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Cottus pollux</w:t>
            </w:r>
          </w:p>
        </w:tc>
        <w:tc>
          <w:tcPr>
            <w:tcW w:w="2689" w:type="dxa"/>
            <w:tcBorders>
              <w:top w:val="single" w:sz="4" w:space="0" w:color="auto"/>
              <w:bottom w:val="single" w:sz="4" w:space="0" w:color="auto"/>
            </w:tcBorders>
            <w:vAlign w:val="center"/>
          </w:tcPr>
          <w:p w14:paraId="3587BE5D"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Japanese fluvial sculpin </w:t>
            </w:r>
          </w:p>
        </w:tc>
        <w:tc>
          <w:tcPr>
            <w:tcW w:w="1134" w:type="dxa"/>
            <w:tcBorders>
              <w:top w:val="single" w:sz="4" w:space="0" w:color="auto"/>
              <w:bottom w:val="single" w:sz="4" w:space="0" w:color="auto"/>
            </w:tcBorders>
            <w:vAlign w:val="center"/>
          </w:tcPr>
          <w:p w14:paraId="339EB4E0"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793D1778" w14:textId="77777777" w:rsidTr="00E65E42">
        <w:trPr>
          <w:jc w:val="center"/>
        </w:trPr>
        <w:tc>
          <w:tcPr>
            <w:tcW w:w="1700" w:type="dxa"/>
            <w:vMerge w:val="restart"/>
            <w:tcBorders>
              <w:top w:val="single" w:sz="4" w:space="0" w:color="auto"/>
            </w:tcBorders>
            <w:vAlign w:val="center"/>
          </w:tcPr>
          <w:p w14:paraId="5CFD0688"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Cyprinidae</w:t>
            </w:r>
          </w:p>
        </w:tc>
        <w:tc>
          <w:tcPr>
            <w:tcW w:w="2552" w:type="dxa"/>
            <w:tcBorders>
              <w:top w:val="single" w:sz="4" w:space="0" w:color="auto"/>
              <w:bottom w:val="single" w:sz="4" w:space="0" w:color="auto"/>
            </w:tcBorders>
            <w:shd w:val="clear" w:color="auto" w:fill="auto"/>
            <w:vAlign w:val="center"/>
          </w:tcPr>
          <w:p w14:paraId="71F07156"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Semotilus corporalis</w:t>
            </w:r>
          </w:p>
        </w:tc>
        <w:tc>
          <w:tcPr>
            <w:tcW w:w="2689" w:type="dxa"/>
            <w:tcBorders>
              <w:top w:val="single" w:sz="4" w:space="0" w:color="auto"/>
              <w:bottom w:val="single" w:sz="4" w:space="0" w:color="auto"/>
            </w:tcBorders>
            <w:vAlign w:val="center"/>
          </w:tcPr>
          <w:p w14:paraId="3038D998"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Fallfish</w:t>
            </w:r>
          </w:p>
        </w:tc>
        <w:tc>
          <w:tcPr>
            <w:tcW w:w="1134" w:type="dxa"/>
            <w:tcBorders>
              <w:top w:val="single" w:sz="4" w:space="0" w:color="auto"/>
              <w:bottom w:val="single" w:sz="4" w:space="0" w:color="auto"/>
            </w:tcBorders>
            <w:vAlign w:val="center"/>
          </w:tcPr>
          <w:p w14:paraId="10005EA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6797DFCC" w14:textId="77777777" w:rsidTr="00E65E42">
        <w:trPr>
          <w:jc w:val="center"/>
        </w:trPr>
        <w:tc>
          <w:tcPr>
            <w:tcW w:w="1700" w:type="dxa"/>
            <w:vMerge/>
            <w:tcBorders>
              <w:bottom w:val="single" w:sz="4" w:space="0" w:color="auto"/>
            </w:tcBorders>
            <w:vAlign w:val="center"/>
          </w:tcPr>
          <w:p w14:paraId="37BA43C4"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7FC682B4"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Notemigonus crysoleucas</w:t>
            </w:r>
          </w:p>
        </w:tc>
        <w:tc>
          <w:tcPr>
            <w:tcW w:w="2689" w:type="dxa"/>
            <w:tcBorders>
              <w:top w:val="single" w:sz="4" w:space="0" w:color="auto"/>
              <w:bottom w:val="single" w:sz="4" w:space="0" w:color="auto"/>
            </w:tcBorders>
            <w:vAlign w:val="center"/>
          </w:tcPr>
          <w:p w14:paraId="7D911EA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Golden shiner</w:t>
            </w:r>
          </w:p>
        </w:tc>
        <w:tc>
          <w:tcPr>
            <w:tcW w:w="1134" w:type="dxa"/>
            <w:tcBorders>
              <w:top w:val="single" w:sz="4" w:space="0" w:color="auto"/>
              <w:bottom w:val="single" w:sz="4" w:space="0" w:color="auto"/>
            </w:tcBorders>
            <w:vAlign w:val="center"/>
          </w:tcPr>
          <w:p w14:paraId="435323F9"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14161E3D" w14:textId="77777777" w:rsidTr="00E65E42">
        <w:trPr>
          <w:jc w:val="center"/>
        </w:trPr>
        <w:tc>
          <w:tcPr>
            <w:tcW w:w="1700" w:type="dxa"/>
            <w:tcBorders>
              <w:top w:val="single" w:sz="4" w:space="0" w:color="auto"/>
              <w:bottom w:val="single" w:sz="4" w:space="0" w:color="auto"/>
            </w:tcBorders>
            <w:vAlign w:val="center"/>
          </w:tcPr>
          <w:p w14:paraId="487174DE"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Esocidae</w:t>
            </w:r>
          </w:p>
        </w:tc>
        <w:tc>
          <w:tcPr>
            <w:tcW w:w="2552" w:type="dxa"/>
            <w:tcBorders>
              <w:top w:val="single" w:sz="4" w:space="0" w:color="auto"/>
              <w:bottom w:val="single" w:sz="4" w:space="0" w:color="auto"/>
            </w:tcBorders>
            <w:shd w:val="clear" w:color="auto" w:fill="auto"/>
            <w:vAlign w:val="center"/>
          </w:tcPr>
          <w:p w14:paraId="439D47BC" w14:textId="77777777" w:rsidR="00E65E42" w:rsidRPr="008270D6" w:rsidRDefault="00E65E42" w:rsidP="00E65E42">
            <w:pPr>
              <w:spacing w:after="0" w:line="240" w:lineRule="auto"/>
              <w:jc w:val="center"/>
              <w:rPr>
                <w:rFonts w:ascii="Arial" w:eastAsia="Times New Roman" w:hAnsi="Arial" w:cs="Arial"/>
                <w:bCs/>
                <w:sz w:val="18"/>
                <w:szCs w:val="18"/>
                <w:lang w:val="fr-FR" w:bidi="en-US"/>
              </w:rPr>
            </w:pPr>
            <w:r w:rsidRPr="008270D6">
              <w:rPr>
                <w:rFonts w:ascii="Arial" w:eastAsia="Times New Roman" w:hAnsi="Arial" w:cs="Arial"/>
                <w:bCs/>
                <w:i/>
                <w:iCs/>
                <w:color w:val="000000"/>
                <w:sz w:val="18"/>
                <w:szCs w:val="18"/>
                <w:lang w:val="fr-FR" w:bidi="en-US"/>
              </w:rPr>
              <w:t xml:space="preserve">Esox lucius </w:t>
            </w:r>
            <w:r w:rsidRPr="008270D6">
              <w:rPr>
                <w:rFonts w:ascii="Arial" w:eastAsia="Times New Roman" w:hAnsi="Arial" w:cs="Arial"/>
                <w:bCs/>
                <w:color w:val="000000"/>
                <w:sz w:val="18"/>
                <w:szCs w:val="18"/>
                <w:lang w:val="fr-FR" w:bidi="en-US"/>
              </w:rPr>
              <w:t>X</w:t>
            </w:r>
            <w:r w:rsidRPr="008270D6">
              <w:rPr>
                <w:rFonts w:ascii="Arial" w:eastAsia="Times New Roman" w:hAnsi="Arial" w:cs="Arial"/>
                <w:bCs/>
                <w:color w:val="000000"/>
                <w:sz w:val="18"/>
                <w:szCs w:val="18"/>
                <w:lang w:val="fr-FR" w:bidi="en-US"/>
              </w:rPr>
              <w:br/>
            </w:r>
            <w:r w:rsidRPr="008270D6">
              <w:rPr>
                <w:rFonts w:ascii="Arial" w:eastAsia="Times New Roman" w:hAnsi="Arial" w:cs="Arial"/>
                <w:bCs/>
                <w:i/>
                <w:iCs/>
                <w:color w:val="000000"/>
                <w:sz w:val="18"/>
                <w:szCs w:val="18"/>
                <w:lang w:val="fr-FR" w:bidi="en-US"/>
              </w:rPr>
              <w:t xml:space="preserve">E. masquinongy </w:t>
            </w:r>
            <w:r w:rsidRPr="008270D6">
              <w:rPr>
                <w:rFonts w:ascii="Arial" w:eastAsia="Times New Roman" w:hAnsi="Arial" w:cs="Arial"/>
                <w:bCs/>
                <w:iCs/>
                <w:color w:val="000000"/>
                <w:sz w:val="18"/>
                <w:szCs w:val="18"/>
                <w:lang w:val="fr-FR" w:bidi="en-US"/>
              </w:rPr>
              <w:t>hybrids</w:t>
            </w:r>
          </w:p>
        </w:tc>
        <w:tc>
          <w:tcPr>
            <w:tcW w:w="2689" w:type="dxa"/>
            <w:tcBorders>
              <w:top w:val="single" w:sz="4" w:space="0" w:color="auto"/>
              <w:bottom w:val="single" w:sz="4" w:space="0" w:color="auto"/>
            </w:tcBorders>
            <w:vAlign w:val="center"/>
          </w:tcPr>
          <w:p w14:paraId="03D5BE08" w14:textId="77777777" w:rsidR="00E65E42" w:rsidRPr="00D403F5" w:rsidRDefault="00E65E42" w:rsidP="00E65E42">
            <w:pPr>
              <w:spacing w:after="0" w:line="240" w:lineRule="auto"/>
              <w:jc w:val="center"/>
              <w:rPr>
                <w:rFonts w:ascii="Arial" w:eastAsia="Times New Roman" w:hAnsi="Arial" w:cs="Arial"/>
                <w:bCs/>
                <w:iCs/>
                <w:sz w:val="18"/>
                <w:szCs w:val="18"/>
                <w:lang w:val="fr-FR" w:bidi="en-US"/>
              </w:rPr>
            </w:pPr>
            <w:r w:rsidRPr="00D403F5">
              <w:rPr>
                <w:rFonts w:ascii="Arial" w:eastAsia="Times New Roman" w:hAnsi="Arial" w:cs="Arial"/>
                <w:bCs/>
                <w:color w:val="000000"/>
                <w:sz w:val="18"/>
                <w:szCs w:val="18"/>
                <w:lang w:val="fr-FR" w:bidi="en-US"/>
              </w:rPr>
              <w:t>Tiger muskellunge (</w:t>
            </w:r>
            <w:r w:rsidRPr="00D403F5">
              <w:rPr>
                <w:rFonts w:ascii="Arial" w:eastAsia="Times New Roman" w:hAnsi="Arial" w:cs="Arial"/>
                <w:bCs/>
                <w:i/>
                <w:color w:val="000000"/>
                <w:sz w:val="18"/>
                <w:szCs w:val="18"/>
                <w:lang w:val="fr-FR" w:bidi="en-US"/>
              </w:rPr>
              <w:t>Esox masquinongy</w:t>
            </w:r>
            <w:r w:rsidRPr="00D403F5">
              <w:rPr>
                <w:rFonts w:ascii="Arial" w:eastAsia="Times New Roman" w:hAnsi="Arial" w:cs="Arial"/>
                <w:bCs/>
                <w:color w:val="000000"/>
                <w:sz w:val="18"/>
                <w:szCs w:val="18"/>
                <w:lang w:val="fr-FR" w:bidi="en-US"/>
              </w:rPr>
              <w:t xml:space="preserve"> X </w:t>
            </w:r>
            <w:r w:rsidRPr="00D403F5">
              <w:rPr>
                <w:rFonts w:ascii="Arial" w:eastAsia="Times New Roman" w:hAnsi="Arial" w:cs="Arial"/>
                <w:bCs/>
                <w:i/>
                <w:color w:val="000000"/>
                <w:sz w:val="18"/>
                <w:szCs w:val="18"/>
                <w:lang w:val="fr-FR" w:bidi="en-US"/>
              </w:rPr>
              <w:t>E.</w:t>
            </w:r>
            <w:r w:rsidRPr="00D403F5">
              <w:rPr>
                <w:rFonts w:ascii="Arial" w:eastAsia="Times New Roman" w:hAnsi="Arial" w:cs="Arial"/>
                <w:bCs/>
                <w:color w:val="000000"/>
                <w:sz w:val="18"/>
                <w:szCs w:val="18"/>
                <w:lang w:val="fr-FR" w:bidi="en-US"/>
              </w:rPr>
              <w:t xml:space="preserve"> </w:t>
            </w:r>
            <w:r w:rsidRPr="00D403F5">
              <w:rPr>
                <w:rFonts w:ascii="Arial" w:eastAsia="Times New Roman" w:hAnsi="Arial" w:cs="Arial"/>
                <w:bCs/>
                <w:i/>
                <w:color w:val="000000"/>
                <w:sz w:val="18"/>
                <w:szCs w:val="18"/>
                <w:lang w:val="fr-FR" w:bidi="en-US"/>
              </w:rPr>
              <w:t>lucius</w:t>
            </w:r>
            <w:r w:rsidRPr="00D403F5">
              <w:rPr>
                <w:rFonts w:ascii="Arial" w:eastAsia="Times New Roman" w:hAnsi="Arial" w:cs="Arial"/>
                <w:bCs/>
                <w:color w:val="000000"/>
                <w:sz w:val="18"/>
                <w:szCs w:val="18"/>
                <w:lang w:val="fr-FR" w:bidi="en-US"/>
              </w:rPr>
              <w:t xml:space="preserve"> or </w:t>
            </w:r>
            <w:r w:rsidRPr="00D403F5">
              <w:rPr>
                <w:rFonts w:ascii="Arial" w:eastAsia="Times New Roman" w:hAnsi="Arial" w:cs="Arial"/>
                <w:bCs/>
                <w:color w:val="000000"/>
                <w:sz w:val="18"/>
                <w:szCs w:val="18"/>
                <w:lang w:val="fr-FR" w:bidi="en-US"/>
              </w:rPr>
              <w:br/>
            </w:r>
            <w:r w:rsidRPr="00D403F5">
              <w:rPr>
                <w:rFonts w:ascii="Arial" w:eastAsia="Times New Roman" w:hAnsi="Arial" w:cs="Arial"/>
                <w:bCs/>
                <w:i/>
                <w:color w:val="000000"/>
                <w:sz w:val="18"/>
                <w:szCs w:val="18"/>
                <w:lang w:val="fr-FR" w:bidi="en-US"/>
              </w:rPr>
              <w:t>E. lucius</w:t>
            </w:r>
            <w:r w:rsidRPr="00D403F5">
              <w:rPr>
                <w:rFonts w:ascii="Arial" w:eastAsia="Times New Roman" w:hAnsi="Arial" w:cs="Arial"/>
                <w:bCs/>
                <w:color w:val="000000"/>
                <w:sz w:val="18"/>
                <w:szCs w:val="18"/>
                <w:lang w:val="fr-FR" w:bidi="en-US"/>
              </w:rPr>
              <w:t xml:space="preserve"> X </w:t>
            </w:r>
            <w:r w:rsidRPr="00D403F5">
              <w:rPr>
                <w:rFonts w:ascii="Arial" w:eastAsia="Times New Roman" w:hAnsi="Arial" w:cs="Arial"/>
                <w:bCs/>
                <w:i/>
                <w:color w:val="000000"/>
                <w:sz w:val="18"/>
                <w:szCs w:val="18"/>
                <w:lang w:val="fr-FR" w:bidi="en-US"/>
              </w:rPr>
              <w:t>E.</w:t>
            </w:r>
            <w:r w:rsidRPr="00D403F5">
              <w:rPr>
                <w:rFonts w:ascii="Arial" w:eastAsia="Times New Roman" w:hAnsi="Arial" w:cs="Arial"/>
                <w:bCs/>
                <w:color w:val="000000"/>
                <w:sz w:val="18"/>
                <w:szCs w:val="18"/>
                <w:lang w:val="fr-FR" w:bidi="en-US"/>
              </w:rPr>
              <w:t xml:space="preserve"> </w:t>
            </w:r>
            <w:r w:rsidRPr="00D403F5">
              <w:rPr>
                <w:rFonts w:ascii="Arial" w:eastAsia="Times New Roman" w:hAnsi="Arial" w:cs="Arial"/>
                <w:bCs/>
                <w:i/>
                <w:color w:val="000000"/>
                <w:sz w:val="18"/>
                <w:szCs w:val="18"/>
                <w:lang w:val="fr-FR" w:bidi="en-US"/>
              </w:rPr>
              <w:t>masquinongy</w:t>
            </w:r>
            <w:r w:rsidRPr="00D403F5">
              <w:rPr>
                <w:rFonts w:ascii="Arial" w:eastAsia="Times New Roman" w:hAnsi="Arial" w:cs="Arial"/>
                <w:bCs/>
                <w:color w:val="000000"/>
                <w:sz w:val="18"/>
                <w:szCs w:val="18"/>
                <w:lang w:val="fr-FR" w:bidi="en-US"/>
              </w:rPr>
              <w:t>)</w:t>
            </w:r>
          </w:p>
        </w:tc>
        <w:tc>
          <w:tcPr>
            <w:tcW w:w="1134" w:type="dxa"/>
            <w:tcBorders>
              <w:top w:val="single" w:sz="4" w:space="0" w:color="auto"/>
              <w:bottom w:val="single" w:sz="4" w:space="0" w:color="auto"/>
            </w:tcBorders>
            <w:vAlign w:val="center"/>
          </w:tcPr>
          <w:p w14:paraId="39E7FE5E"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0DE6E2E4" w14:textId="77777777" w:rsidTr="00E65E42">
        <w:trPr>
          <w:trHeight w:val="283"/>
          <w:jc w:val="center"/>
        </w:trPr>
        <w:tc>
          <w:tcPr>
            <w:tcW w:w="1700" w:type="dxa"/>
            <w:tcBorders>
              <w:top w:val="single" w:sz="4" w:space="0" w:color="auto"/>
            </w:tcBorders>
            <w:vAlign w:val="center"/>
          </w:tcPr>
          <w:p w14:paraId="2F92C594"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Fundulidae</w:t>
            </w:r>
          </w:p>
        </w:tc>
        <w:tc>
          <w:tcPr>
            <w:tcW w:w="2552" w:type="dxa"/>
            <w:tcBorders>
              <w:top w:val="single" w:sz="4" w:space="0" w:color="auto"/>
            </w:tcBorders>
            <w:shd w:val="clear" w:color="auto" w:fill="auto"/>
            <w:vAlign w:val="center"/>
          </w:tcPr>
          <w:p w14:paraId="2CB29A2E"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Fundulus diaphanus</w:t>
            </w:r>
          </w:p>
        </w:tc>
        <w:tc>
          <w:tcPr>
            <w:tcW w:w="2689" w:type="dxa"/>
            <w:tcBorders>
              <w:top w:val="single" w:sz="4" w:space="0" w:color="auto"/>
            </w:tcBorders>
            <w:vAlign w:val="center"/>
          </w:tcPr>
          <w:p w14:paraId="5AD1A143"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Banded killifish </w:t>
            </w:r>
          </w:p>
        </w:tc>
        <w:tc>
          <w:tcPr>
            <w:tcW w:w="1134" w:type="dxa"/>
            <w:tcBorders>
              <w:top w:val="single" w:sz="4" w:space="0" w:color="auto"/>
            </w:tcBorders>
            <w:vAlign w:val="center"/>
          </w:tcPr>
          <w:p w14:paraId="37247D4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7BEAA96B" w14:textId="77777777" w:rsidTr="00E65E42">
        <w:trPr>
          <w:jc w:val="center"/>
        </w:trPr>
        <w:tc>
          <w:tcPr>
            <w:tcW w:w="1700" w:type="dxa"/>
            <w:vMerge w:val="restart"/>
            <w:tcBorders>
              <w:top w:val="single" w:sz="4" w:space="0" w:color="auto"/>
            </w:tcBorders>
            <w:vAlign w:val="center"/>
          </w:tcPr>
          <w:p w14:paraId="6D9AECFD" w14:textId="77777777" w:rsidR="00E65E42" w:rsidRPr="00D403F5" w:rsidRDefault="00E65E42" w:rsidP="00E65E42">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Gadidae</w:t>
            </w:r>
          </w:p>
        </w:tc>
        <w:tc>
          <w:tcPr>
            <w:tcW w:w="2552" w:type="dxa"/>
            <w:tcBorders>
              <w:top w:val="single" w:sz="4" w:space="0" w:color="auto"/>
              <w:bottom w:val="single" w:sz="4" w:space="0" w:color="auto"/>
            </w:tcBorders>
            <w:shd w:val="clear" w:color="auto" w:fill="auto"/>
            <w:vAlign w:val="center"/>
          </w:tcPr>
          <w:p w14:paraId="6B828D89"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Gadiculus argenteus</w:t>
            </w:r>
          </w:p>
        </w:tc>
        <w:tc>
          <w:tcPr>
            <w:tcW w:w="2689" w:type="dxa"/>
            <w:tcBorders>
              <w:top w:val="single" w:sz="4" w:space="0" w:color="auto"/>
              <w:bottom w:val="single" w:sz="4" w:space="0" w:color="auto"/>
            </w:tcBorders>
            <w:vAlign w:val="center"/>
          </w:tcPr>
          <w:p w14:paraId="0A7CA2B4"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Silvery pout </w:t>
            </w:r>
          </w:p>
        </w:tc>
        <w:tc>
          <w:tcPr>
            <w:tcW w:w="1134" w:type="dxa"/>
            <w:tcBorders>
              <w:top w:val="single" w:sz="4" w:space="0" w:color="auto"/>
              <w:bottom w:val="single" w:sz="4" w:space="0" w:color="auto"/>
            </w:tcBorders>
            <w:vAlign w:val="center"/>
          </w:tcPr>
          <w:p w14:paraId="6A7A9673"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E65E42" w:rsidRPr="00D403F5" w14:paraId="0B236E26" w14:textId="77777777" w:rsidTr="00E65E42">
        <w:trPr>
          <w:jc w:val="center"/>
        </w:trPr>
        <w:tc>
          <w:tcPr>
            <w:tcW w:w="1700" w:type="dxa"/>
            <w:vMerge/>
            <w:vAlign w:val="center"/>
          </w:tcPr>
          <w:p w14:paraId="7472606F"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62EA782F"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Melanogrammus aeglefinus</w:t>
            </w:r>
          </w:p>
        </w:tc>
        <w:tc>
          <w:tcPr>
            <w:tcW w:w="2689" w:type="dxa"/>
            <w:tcBorders>
              <w:top w:val="single" w:sz="4" w:space="0" w:color="auto"/>
              <w:bottom w:val="single" w:sz="4" w:space="0" w:color="auto"/>
            </w:tcBorders>
            <w:vAlign w:val="center"/>
          </w:tcPr>
          <w:p w14:paraId="581198A3"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Haddock</w:t>
            </w:r>
          </w:p>
        </w:tc>
        <w:tc>
          <w:tcPr>
            <w:tcW w:w="1134" w:type="dxa"/>
            <w:tcBorders>
              <w:top w:val="single" w:sz="4" w:space="0" w:color="auto"/>
              <w:bottom w:val="single" w:sz="4" w:space="0" w:color="auto"/>
            </w:tcBorders>
            <w:vAlign w:val="center"/>
          </w:tcPr>
          <w:p w14:paraId="36197ED4"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E65E42" w:rsidRPr="00D403F5" w14:paraId="64939026" w14:textId="77777777" w:rsidTr="00E65E42">
        <w:trPr>
          <w:jc w:val="center"/>
        </w:trPr>
        <w:tc>
          <w:tcPr>
            <w:tcW w:w="1700" w:type="dxa"/>
            <w:vMerge/>
            <w:vAlign w:val="center"/>
          </w:tcPr>
          <w:p w14:paraId="69456731"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2694B644"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Theragra chalcogramma</w:t>
            </w:r>
          </w:p>
        </w:tc>
        <w:tc>
          <w:tcPr>
            <w:tcW w:w="2689" w:type="dxa"/>
            <w:tcBorders>
              <w:top w:val="single" w:sz="4" w:space="0" w:color="auto"/>
              <w:bottom w:val="single" w:sz="4" w:space="0" w:color="auto"/>
            </w:tcBorders>
            <w:vAlign w:val="center"/>
          </w:tcPr>
          <w:p w14:paraId="32212506"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Alaska pollock</w:t>
            </w:r>
          </w:p>
        </w:tc>
        <w:tc>
          <w:tcPr>
            <w:tcW w:w="1134" w:type="dxa"/>
            <w:tcBorders>
              <w:top w:val="single" w:sz="4" w:space="0" w:color="auto"/>
              <w:bottom w:val="single" w:sz="4" w:space="0" w:color="auto"/>
            </w:tcBorders>
            <w:vAlign w:val="center"/>
          </w:tcPr>
          <w:p w14:paraId="3C96143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E65E42" w:rsidRPr="00D403F5" w14:paraId="72CAA66B" w14:textId="77777777" w:rsidTr="00E65E42">
        <w:trPr>
          <w:jc w:val="center"/>
        </w:trPr>
        <w:tc>
          <w:tcPr>
            <w:tcW w:w="1700" w:type="dxa"/>
            <w:vMerge/>
            <w:vAlign w:val="center"/>
          </w:tcPr>
          <w:p w14:paraId="0C0DE4CA"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0C0ECAD7"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Trisopterus minutus</w:t>
            </w:r>
          </w:p>
        </w:tc>
        <w:tc>
          <w:tcPr>
            <w:tcW w:w="2689" w:type="dxa"/>
            <w:tcBorders>
              <w:top w:val="single" w:sz="4" w:space="0" w:color="auto"/>
              <w:bottom w:val="single" w:sz="4" w:space="0" w:color="auto"/>
            </w:tcBorders>
            <w:vAlign w:val="center"/>
          </w:tcPr>
          <w:p w14:paraId="2E884916"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 xml:space="preserve">Poor cod </w:t>
            </w:r>
          </w:p>
        </w:tc>
        <w:tc>
          <w:tcPr>
            <w:tcW w:w="1134" w:type="dxa"/>
            <w:tcBorders>
              <w:top w:val="single" w:sz="4" w:space="0" w:color="auto"/>
              <w:bottom w:val="single" w:sz="4" w:space="0" w:color="auto"/>
            </w:tcBorders>
            <w:vAlign w:val="center"/>
          </w:tcPr>
          <w:p w14:paraId="3D68A690"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E65E42" w:rsidRPr="00D403F5" w14:paraId="4AE2FE3E" w14:textId="77777777" w:rsidTr="00E65E42">
        <w:trPr>
          <w:jc w:val="center"/>
        </w:trPr>
        <w:tc>
          <w:tcPr>
            <w:tcW w:w="1700" w:type="dxa"/>
            <w:tcBorders>
              <w:top w:val="single" w:sz="4" w:space="0" w:color="auto"/>
              <w:bottom w:val="single" w:sz="4" w:space="0" w:color="auto"/>
            </w:tcBorders>
            <w:vAlign w:val="center"/>
          </w:tcPr>
          <w:p w14:paraId="635F5B58"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Ictaluridae</w:t>
            </w:r>
          </w:p>
        </w:tc>
        <w:tc>
          <w:tcPr>
            <w:tcW w:w="2552" w:type="dxa"/>
            <w:tcBorders>
              <w:top w:val="single" w:sz="4" w:space="0" w:color="auto"/>
              <w:bottom w:val="single" w:sz="4" w:space="0" w:color="auto"/>
            </w:tcBorders>
            <w:shd w:val="clear" w:color="auto" w:fill="auto"/>
            <w:vAlign w:val="center"/>
          </w:tcPr>
          <w:p w14:paraId="5C401E34"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Ictalurus punctatus</w:t>
            </w:r>
          </w:p>
        </w:tc>
        <w:tc>
          <w:tcPr>
            <w:tcW w:w="2689" w:type="dxa"/>
            <w:tcBorders>
              <w:top w:val="single" w:sz="4" w:space="0" w:color="auto"/>
              <w:bottom w:val="single" w:sz="4" w:space="0" w:color="auto"/>
            </w:tcBorders>
            <w:vAlign w:val="center"/>
          </w:tcPr>
          <w:p w14:paraId="22D38590"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Channel catfish</w:t>
            </w:r>
          </w:p>
        </w:tc>
        <w:tc>
          <w:tcPr>
            <w:tcW w:w="1134" w:type="dxa"/>
            <w:tcBorders>
              <w:top w:val="single" w:sz="4" w:space="0" w:color="auto"/>
              <w:bottom w:val="single" w:sz="4" w:space="0" w:color="auto"/>
            </w:tcBorders>
            <w:vAlign w:val="center"/>
          </w:tcPr>
          <w:p w14:paraId="27B7A288"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1419E42A" w14:textId="77777777" w:rsidTr="00E65E42">
        <w:trPr>
          <w:jc w:val="center"/>
        </w:trPr>
        <w:tc>
          <w:tcPr>
            <w:tcW w:w="1700" w:type="dxa"/>
            <w:tcBorders>
              <w:top w:val="single" w:sz="4" w:space="0" w:color="auto"/>
              <w:bottom w:val="single" w:sz="4" w:space="0" w:color="auto"/>
            </w:tcBorders>
            <w:vAlign w:val="center"/>
          </w:tcPr>
          <w:p w14:paraId="01406B44"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Liparidae</w:t>
            </w:r>
          </w:p>
        </w:tc>
        <w:tc>
          <w:tcPr>
            <w:tcW w:w="2552" w:type="dxa"/>
            <w:tcBorders>
              <w:top w:val="single" w:sz="4" w:space="0" w:color="auto"/>
              <w:bottom w:val="single" w:sz="4" w:space="0" w:color="auto"/>
            </w:tcBorders>
            <w:shd w:val="clear" w:color="auto" w:fill="auto"/>
            <w:vAlign w:val="center"/>
          </w:tcPr>
          <w:p w14:paraId="1F5FC1E8"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Liparis tessellatus</w:t>
            </w:r>
          </w:p>
        </w:tc>
        <w:tc>
          <w:tcPr>
            <w:tcW w:w="2689" w:type="dxa"/>
            <w:tcBorders>
              <w:top w:val="single" w:sz="4" w:space="0" w:color="auto"/>
              <w:bottom w:val="single" w:sz="4" w:space="0" w:color="auto"/>
            </w:tcBorders>
            <w:vAlign w:val="center"/>
          </w:tcPr>
          <w:p w14:paraId="379EAF95"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Cubed snailfish</w:t>
            </w:r>
          </w:p>
        </w:tc>
        <w:tc>
          <w:tcPr>
            <w:tcW w:w="1134" w:type="dxa"/>
            <w:tcBorders>
              <w:top w:val="single" w:sz="4" w:space="0" w:color="auto"/>
              <w:bottom w:val="single" w:sz="4" w:space="0" w:color="auto"/>
            </w:tcBorders>
            <w:vAlign w:val="center"/>
          </w:tcPr>
          <w:p w14:paraId="5DC2C55A"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E65E42" w:rsidRPr="00D403F5" w14:paraId="6D84280B" w14:textId="77777777" w:rsidTr="00E65E42">
        <w:trPr>
          <w:trHeight w:val="57"/>
          <w:jc w:val="center"/>
        </w:trPr>
        <w:tc>
          <w:tcPr>
            <w:tcW w:w="1700" w:type="dxa"/>
            <w:vMerge w:val="restart"/>
            <w:tcBorders>
              <w:top w:val="single" w:sz="4" w:space="0" w:color="auto"/>
            </w:tcBorders>
            <w:vAlign w:val="center"/>
          </w:tcPr>
          <w:p w14:paraId="4052EA43"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Lotidae</w:t>
            </w:r>
          </w:p>
        </w:tc>
        <w:tc>
          <w:tcPr>
            <w:tcW w:w="2552" w:type="dxa"/>
            <w:tcBorders>
              <w:top w:val="single" w:sz="4" w:space="0" w:color="auto"/>
              <w:bottom w:val="single" w:sz="4" w:space="0" w:color="auto"/>
            </w:tcBorders>
            <w:shd w:val="clear" w:color="auto" w:fill="auto"/>
            <w:vAlign w:val="center"/>
          </w:tcPr>
          <w:p w14:paraId="47F1DF5C"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Lota lota</w:t>
            </w:r>
          </w:p>
        </w:tc>
        <w:tc>
          <w:tcPr>
            <w:tcW w:w="2689" w:type="dxa"/>
            <w:tcBorders>
              <w:top w:val="single" w:sz="4" w:space="0" w:color="auto"/>
              <w:bottom w:val="single" w:sz="4" w:space="0" w:color="auto"/>
            </w:tcBorders>
            <w:vAlign w:val="center"/>
          </w:tcPr>
          <w:p w14:paraId="2512B02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Burbot</w:t>
            </w:r>
          </w:p>
        </w:tc>
        <w:tc>
          <w:tcPr>
            <w:tcW w:w="1134" w:type="dxa"/>
            <w:tcBorders>
              <w:top w:val="single" w:sz="4" w:space="0" w:color="auto"/>
              <w:bottom w:val="single" w:sz="4" w:space="0" w:color="auto"/>
            </w:tcBorders>
            <w:vAlign w:val="center"/>
          </w:tcPr>
          <w:p w14:paraId="58FC98F1"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39CDF20B" w14:textId="77777777" w:rsidTr="00E65E42">
        <w:trPr>
          <w:jc w:val="center"/>
        </w:trPr>
        <w:tc>
          <w:tcPr>
            <w:tcW w:w="1700" w:type="dxa"/>
            <w:vMerge/>
            <w:tcBorders>
              <w:bottom w:val="single" w:sz="4" w:space="0" w:color="auto"/>
            </w:tcBorders>
            <w:vAlign w:val="center"/>
          </w:tcPr>
          <w:p w14:paraId="02012DAE"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02420D1C"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Enchelyopus cimbrius</w:t>
            </w:r>
          </w:p>
        </w:tc>
        <w:tc>
          <w:tcPr>
            <w:tcW w:w="2689" w:type="dxa"/>
            <w:tcBorders>
              <w:top w:val="single" w:sz="4" w:space="0" w:color="auto"/>
              <w:bottom w:val="single" w:sz="4" w:space="0" w:color="auto"/>
            </w:tcBorders>
            <w:vAlign w:val="center"/>
          </w:tcPr>
          <w:p w14:paraId="3AFD94A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Fourbeard rockling </w:t>
            </w:r>
          </w:p>
        </w:tc>
        <w:tc>
          <w:tcPr>
            <w:tcW w:w="1134" w:type="dxa"/>
            <w:tcBorders>
              <w:top w:val="single" w:sz="4" w:space="0" w:color="auto"/>
              <w:bottom w:val="single" w:sz="4" w:space="0" w:color="auto"/>
            </w:tcBorders>
            <w:vAlign w:val="center"/>
          </w:tcPr>
          <w:p w14:paraId="2D3DE02D"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E65E42" w:rsidRPr="00D403F5" w14:paraId="532C8B1D" w14:textId="77777777" w:rsidTr="00E65E42">
        <w:trPr>
          <w:jc w:val="center"/>
        </w:trPr>
        <w:tc>
          <w:tcPr>
            <w:tcW w:w="1700" w:type="dxa"/>
            <w:tcBorders>
              <w:top w:val="single" w:sz="4" w:space="0" w:color="auto"/>
              <w:bottom w:val="single" w:sz="4" w:space="0" w:color="auto"/>
            </w:tcBorders>
            <w:vAlign w:val="center"/>
          </w:tcPr>
          <w:p w14:paraId="2CCB65B7"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Merlucciidae</w:t>
            </w:r>
          </w:p>
        </w:tc>
        <w:tc>
          <w:tcPr>
            <w:tcW w:w="2552" w:type="dxa"/>
            <w:tcBorders>
              <w:top w:val="single" w:sz="4" w:space="0" w:color="auto"/>
              <w:bottom w:val="single" w:sz="4" w:space="0" w:color="auto"/>
            </w:tcBorders>
            <w:shd w:val="clear" w:color="auto" w:fill="auto"/>
            <w:vAlign w:val="center"/>
          </w:tcPr>
          <w:p w14:paraId="1209EF88"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Merluccius productus</w:t>
            </w:r>
          </w:p>
        </w:tc>
        <w:tc>
          <w:tcPr>
            <w:tcW w:w="2689" w:type="dxa"/>
            <w:tcBorders>
              <w:top w:val="single" w:sz="4" w:space="0" w:color="auto"/>
              <w:bottom w:val="single" w:sz="4" w:space="0" w:color="auto"/>
            </w:tcBorders>
            <w:vAlign w:val="center"/>
          </w:tcPr>
          <w:p w14:paraId="2236E3EA"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North Pacific hake</w:t>
            </w:r>
          </w:p>
        </w:tc>
        <w:tc>
          <w:tcPr>
            <w:tcW w:w="1134" w:type="dxa"/>
            <w:tcBorders>
              <w:top w:val="single" w:sz="4" w:space="0" w:color="auto"/>
              <w:bottom w:val="single" w:sz="4" w:space="0" w:color="auto"/>
            </w:tcBorders>
            <w:vAlign w:val="center"/>
          </w:tcPr>
          <w:p w14:paraId="2ED241A1"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E65E42" w:rsidRPr="00D403F5" w14:paraId="0F4DF7CE" w14:textId="77777777" w:rsidTr="00E65E42">
        <w:trPr>
          <w:jc w:val="center"/>
        </w:trPr>
        <w:tc>
          <w:tcPr>
            <w:tcW w:w="1700" w:type="dxa"/>
            <w:tcBorders>
              <w:top w:val="single" w:sz="4" w:space="0" w:color="auto"/>
              <w:bottom w:val="single" w:sz="4" w:space="0" w:color="auto"/>
            </w:tcBorders>
            <w:vAlign w:val="center"/>
          </w:tcPr>
          <w:p w14:paraId="6EE1B844"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Moronidae</w:t>
            </w:r>
          </w:p>
        </w:tc>
        <w:tc>
          <w:tcPr>
            <w:tcW w:w="2552" w:type="dxa"/>
            <w:tcBorders>
              <w:top w:val="single" w:sz="4" w:space="0" w:color="auto"/>
              <w:bottom w:val="single" w:sz="4" w:space="0" w:color="auto"/>
            </w:tcBorders>
            <w:shd w:val="clear" w:color="auto" w:fill="auto"/>
            <w:vAlign w:val="center"/>
          </w:tcPr>
          <w:p w14:paraId="6466F5A6"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Dicentrarchus labrax</w:t>
            </w:r>
          </w:p>
        </w:tc>
        <w:tc>
          <w:tcPr>
            <w:tcW w:w="2689" w:type="dxa"/>
            <w:tcBorders>
              <w:top w:val="single" w:sz="4" w:space="0" w:color="auto"/>
              <w:bottom w:val="single" w:sz="4" w:space="0" w:color="auto"/>
            </w:tcBorders>
            <w:vAlign w:val="center"/>
          </w:tcPr>
          <w:p w14:paraId="5CEABF5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European sea bass</w:t>
            </w:r>
          </w:p>
        </w:tc>
        <w:tc>
          <w:tcPr>
            <w:tcW w:w="1134" w:type="dxa"/>
            <w:tcBorders>
              <w:top w:val="single" w:sz="4" w:space="0" w:color="auto"/>
              <w:bottom w:val="single" w:sz="4" w:space="0" w:color="auto"/>
            </w:tcBorders>
            <w:vAlign w:val="center"/>
          </w:tcPr>
          <w:p w14:paraId="34BB44D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w:t>
            </w:r>
          </w:p>
        </w:tc>
      </w:tr>
      <w:tr w:rsidR="00E65E42" w:rsidRPr="00D403F5" w14:paraId="53DFC622" w14:textId="77777777" w:rsidTr="00E65E42">
        <w:trPr>
          <w:jc w:val="center"/>
        </w:trPr>
        <w:tc>
          <w:tcPr>
            <w:tcW w:w="1700" w:type="dxa"/>
            <w:tcBorders>
              <w:top w:val="single" w:sz="4" w:space="0" w:color="auto"/>
              <w:bottom w:val="single" w:sz="4" w:space="0" w:color="auto"/>
            </w:tcBorders>
            <w:vAlign w:val="center"/>
          </w:tcPr>
          <w:p w14:paraId="3D2856AE"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Mugilidae</w:t>
            </w:r>
          </w:p>
        </w:tc>
        <w:tc>
          <w:tcPr>
            <w:tcW w:w="2552" w:type="dxa"/>
            <w:tcBorders>
              <w:top w:val="single" w:sz="4" w:space="0" w:color="auto"/>
              <w:bottom w:val="single" w:sz="4" w:space="0" w:color="auto"/>
            </w:tcBorders>
            <w:shd w:val="clear" w:color="auto" w:fill="auto"/>
            <w:vAlign w:val="center"/>
          </w:tcPr>
          <w:p w14:paraId="4F921791" w14:textId="77777777" w:rsidR="00E65E42" w:rsidRPr="00D403F5" w:rsidRDefault="00E65E42" w:rsidP="00E65E42">
            <w:pPr>
              <w:spacing w:after="0" w:line="240" w:lineRule="auto"/>
              <w:jc w:val="center"/>
              <w:rPr>
                <w:rFonts w:ascii="Arial" w:eastAsia="Times New Roman" w:hAnsi="Arial" w:cs="Arial"/>
                <w:bCs/>
                <w:i/>
                <w:sz w:val="18"/>
                <w:szCs w:val="18"/>
                <w:highlight w:val="yellow"/>
                <w:lang w:bidi="en-US"/>
              </w:rPr>
            </w:pPr>
            <w:r w:rsidRPr="00D403F5">
              <w:rPr>
                <w:rFonts w:ascii="Arial" w:eastAsia="Times New Roman" w:hAnsi="Arial" w:cs="Arial"/>
                <w:bCs/>
                <w:i/>
                <w:iCs/>
                <w:color w:val="000000"/>
                <w:sz w:val="18"/>
                <w:szCs w:val="18"/>
                <w:lang w:val="en-IE" w:bidi="en-US"/>
              </w:rPr>
              <w:t>Mugil cephalus</w:t>
            </w:r>
          </w:p>
        </w:tc>
        <w:tc>
          <w:tcPr>
            <w:tcW w:w="2689" w:type="dxa"/>
            <w:tcBorders>
              <w:top w:val="single" w:sz="4" w:space="0" w:color="auto"/>
              <w:bottom w:val="single" w:sz="4" w:space="0" w:color="auto"/>
            </w:tcBorders>
            <w:vAlign w:val="center"/>
          </w:tcPr>
          <w:p w14:paraId="329F0505"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Flathead grey mullet</w:t>
            </w:r>
          </w:p>
        </w:tc>
        <w:tc>
          <w:tcPr>
            <w:tcW w:w="1134" w:type="dxa"/>
            <w:tcBorders>
              <w:top w:val="single" w:sz="4" w:space="0" w:color="auto"/>
              <w:bottom w:val="single" w:sz="4" w:space="0" w:color="auto"/>
            </w:tcBorders>
            <w:vAlign w:val="center"/>
          </w:tcPr>
          <w:p w14:paraId="19906783"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E65E42" w:rsidRPr="00D403F5" w14:paraId="19766C2B" w14:textId="77777777" w:rsidTr="00E65E42">
        <w:trPr>
          <w:jc w:val="center"/>
        </w:trPr>
        <w:tc>
          <w:tcPr>
            <w:tcW w:w="1700" w:type="dxa"/>
            <w:tcBorders>
              <w:top w:val="single" w:sz="4" w:space="0" w:color="auto"/>
              <w:bottom w:val="single" w:sz="4" w:space="0" w:color="auto"/>
            </w:tcBorders>
            <w:vAlign w:val="center"/>
          </w:tcPr>
          <w:p w14:paraId="4AC0F35F"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Ophidiidae</w:t>
            </w:r>
          </w:p>
        </w:tc>
        <w:tc>
          <w:tcPr>
            <w:tcW w:w="2552" w:type="dxa"/>
            <w:tcBorders>
              <w:top w:val="single" w:sz="4" w:space="0" w:color="auto"/>
              <w:bottom w:val="single" w:sz="4" w:space="0" w:color="auto"/>
            </w:tcBorders>
            <w:shd w:val="clear" w:color="auto" w:fill="auto"/>
            <w:vAlign w:val="center"/>
          </w:tcPr>
          <w:p w14:paraId="6745685D"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Hoplobrotula armata</w:t>
            </w:r>
          </w:p>
        </w:tc>
        <w:tc>
          <w:tcPr>
            <w:tcW w:w="2689" w:type="dxa"/>
            <w:tcBorders>
              <w:top w:val="single" w:sz="4" w:space="0" w:color="auto"/>
              <w:bottom w:val="single" w:sz="4" w:space="0" w:color="auto"/>
            </w:tcBorders>
            <w:vAlign w:val="center"/>
          </w:tcPr>
          <w:p w14:paraId="6CC1A45B"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Armoured cusk</w:t>
            </w:r>
          </w:p>
        </w:tc>
        <w:tc>
          <w:tcPr>
            <w:tcW w:w="1134" w:type="dxa"/>
            <w:tcBorders>
              <w:top w:val="single" w:sz="4" w:space="0" w:color="auto"/>
              <w:bottom w:val="single" w:sz="4" w:space="0" w:color="auto"/>
            </w:tcBorders>
            <w:vAlign w:val="center"/>
          </w:tcPr>
          <w:p w14:paraId="5BCB187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E65E42" w:rsidRPr="00D403F5" w14:paraId="2D56C833" w14:textId="77777777" w:rsidTr="00E65E42">
        <w:trPr>
          <w:jc w:val="center"/>
        </w:trPr>
        <w:tc>
          <w:tcPr>
            <w:tcW w:w="1700" w:type="dxa"/>
            <w:tcBorders>
              <w:top w:val="single" w:sz="4" w:space="0" w:color="auto"/>
              <w:bottom w:val="single" w:sz="4" w:space="0" w:color="auto"/>
            </w:tcBorders>
            <w:vAlign w:val="center"/>
          </w:tcPr>
          <w:p w14:paraId="6F20666A"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Osmeridae</w:t>
            </w:r>
          </w:p>
        </w:tc>
        <w:tc>
          <w:tcPr>
            <w:tcW w:w="2552" w:type="dxa"/>
            <w:tcBorders>
              <w:top w:val="single" w:sz="4" w:space="0" w:color="auto"/>
              <w:bottom w:val="single" w:sz="4" w:space="0" w:color="auto"/>
            </w:tcBorders>
            <w:shd w:val="clear" w:color="auto" w:fill="auto"/>
            <w:vAlign w:val="center"/>
          </w:tcPr>
          <w:p w14:paraId="4905E492"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Hypomesus pretiosus</w:t>
            </w:r>
          </w:p>
        </w:tc>
        <w:tc>
          <w:tcPr>
            <w:tcW w:w="2689" w:type="dxa"/>
            <w:tcBorders>
              <w:top w:val="single" w:sz="4" w:space="0" w:color="auto"/>
              <w:bottom w:val="single" w:sz="4" w:space="0" w:color="auto"/>
            </w:tcBorders>
            <w:vAlign w:val="center"/>
          </w:tcPr>
          <w:p w14:paraId="021E9CD2"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Surf smelt</w:t>
            </w:r>
          </w:p>
        </w:tc>
        <w:tc>
          <w:tcPr>
            <w:tcW w:w="1134" w:type="dxa"/>
            <w:tcBorders>
              <w:top w:val="single" w:sz="4" w:space="0" w:color="auto"/>
              <w:bottom w:val="single" w:sz="4" w:space="0" w:color="auto"/>
            </w:tcBorders>
            <w:vAlign w:val="center"/>
          </w:tcPr>
          <w:p w14:paraId="6B72C75A"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ND</w:t>
            </w:r>
          </w:p>
        </w:tc>
      </w:tr>
      <w:tr w:rsidR="00E65E42" w:rsidRPr="00D403F5" w14:paraId="6A4F3ED7" w14:textId="77777777" w:rsidTr="00E65E42">
        <w:trPr>
          <w:jc w:val="center"/>
        </w:trPr>
        <w:tc>
          <w:tcPr>
            <w:tcW w:w="1700" w:type="dxa"/>
            <w:tcBorders>
              <w:top w:val="single" w:sz="4" w:space="0" w:color="auto"/>
              <w:bottom w:val="single" w:sz="4" w:space="0" w:color="auto"/>
            </w:tcBorders>
            <w:vAlign w:val="center"/>
          </w:tcPr>
          <w:p w14:paraId="754B2AB6"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Oxudercidae</w:t>
            </w:r>
          </w:p>
        </w:tc>
        <w:tc>
          <w:tcPr>
            <w:tcW w:w="2552" w:type="dxa"/>
            <w:tcBorders>
              <w:top w:val="single" w:sz="4" w:space="0" w:color="auto"/>
              <w:bottom w:val="single" w:sz="4" w:space="0" w:color="auto"/>
            </w:tcBorders>
            <w:shd w:val="clear" w:color="auto" w:fill="auto"/>
            <w:vAlign w:val="center"/>
          </w:tcPr>
          <w:p w14:paraId="5FB26E51"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 xml:space="preserve">Rhinogobius </w:t>
            </w:r>
            <w:r w:rsidRPr="00D403F5">
              <w:rPr>
                <w:rFonts w:ascii="Arial" w:eastAsia="Times New Roman" w:hAnsi="Arial" w:cs="Arial"/>
                <w:bCs/>
                <w:iCs/>
                <w:color w:val="000000"/>
                <w:sz w:val="18"/>
                <w:szCs w:val="18"/>
                <w:lang w:val="en-IE" w:bidi="en-US"/>
              </w:rPr>
              <w:t>sp</w:t>
            </w:r>
            <w:r w:rsidRPr="00D403F5">
              <w:rPr>
                <w:rFonts w:ascii="Arial" w:eastAsia="Times New Roman" w:hAnsi="Arial" w:cs="Arial"/>
                <w:bCs/>
                <w:i/>
                <w:iCs/>
                <w:color w:val="000000"/>
                <w:sz w:val="18"/>
                <w:szCs w:val="18"/>
                <w:lang w:val="en-IE" w:bidi="en-US"/>
              </w:rPr>
              <w:t xml:space="preserve">. </w:t>
            </w:r>
            <w:r w:rsidRPr="00D403F5">
              <w:rPr>
                <w:rFonts w:ascii="Arial" w:eastAsia="Times New Roman" w:hAnsi="Arial" w:cs="Arial"/>
                <w:bCs/>
                <w:i/>
                <w:iCs/>
                <w:color w:val="000000"/>
                <w:sz w:val="18"/>
                <w:szCs w:val="18"/>
                <w:lang w:val="en-IE" w:bidi="en-US"/>
              </w:rPr>
              <w:br/>
            </w:r>
            <w:r w:rsidRPr="00D403F5">
              <w:rPr>
                <w:rFonts w:ascii="Arial" w:eastAsia="Times New Roman" w:hAnsi="Arial" w:cs="Arial"/>
                <w:bCs/>
                <w:color w:val="000000"/>
                <w:sz w:val="18"/>
                <w:szCs w:val="18"/>
                <w:lang w:val="en-IE" w:bidi="en-US"/>
              </w:rPr>
              <w:t>(undescribed species)</w:t>
            </w:r>
          </w:p>
        </w:tc>
        <w:tc>
          <w:tcPr>
            <w:tcW w:w="2689" w:type="dxa"/>
            <w:tcBorders>
              <w:top w:val="single" w:sz="4" w:space="0" w:color="auto"/>
              <w:bottom w:val="single" w:sz="4" w:space="0" w:color="auto"/>
            </w:tcBorders>
            <w:vAlign w:val="center"/>
          </w:tcPr>
          <w:p w14:paraId="5B3F1056"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Yoshinobori </w:t>
            </w:r>
          </w:p>
        </w:tc>
        <w:tc>
          <w:tcPr>
            <w:tcW w:w="1134" w:type="dxa"/>
            <w:tcBorders>
              <w:top w:val="single" w:sz="4" w:space="0" w:color="auto"/>
              <w:bottom w:val="single" w:sz="4" w:space="0" w:color="auto"/>
            </w:tcBorders>
            <w:vAlign w:val="center"/>
          </w:tcPr>
          <w:p w14:paraId="1D629733"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7B349E09" w14:textId="77777777" w:rsidTr="00E65E42">
        <w:trPr>
          <w:jc w:val="center"/>
        </w:trPr>
        <w:tc>
          <w:tcPr>
            <w:tcW w:w="1700" w:type="dxa"/>
            <w:tcBorders>
              <w:top w:val="single" w:sz="4" w:space="0" w:color="auto"/>
              <w:bottom w:val="single" w:sz="4" w:space="0" w:color="auto"/>
            </w:tcBorders>
            <w:vAlign w:val="center"/>
          </w:tcPr>
          <w:p w14:paraId="7D2AAA99"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Percopsidae</w:t>
            </w:r>
          </w:p>
        </w:tc>
        <w:tc>
          <w:tcPr>
            <w:tcW w:w="2552" w:type="dxa"/>
            <w:tcBorders>
              <w:top w:val="single" w:sz="4" w:space="0" w:color="auto"/>
              <w:bottom w:val="single" w:sz="4" w:space="0" w:color="auto"/>
            </w:tcBorders>
            <w:shd w:val="clear" w:color="auto" w:fill="auto"/>
            <w:vAlign w:val="center"/>
          </w:tcPr>
          <w:p w14:paraId="68DFB062"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Percopsis omiscomaycus</w:t>
            </w:r>
          </w:p>
        </w:tc>
        <w:tc>
          <w:tcPr>
            <w:tcW w:w="2689" w:type="dxa"/>
            <w:tcBorders>
              <w:top w:val="single" w:sz="4" w:space="0" w:color="auto"/>
              <w:bottom w:val="single" w:sz="4" w:space="0" w:color="auto"/>
            </w:tcBorders>
            <w:vAlign w:val="center"/>
          </w:tcPr>
          <w:p w14:paraId="687E82BB"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Trout perch</w:t>
            </w:r>
          </w:p>
        </w:tc>
        <w:tc>
          <w:tcPr>
            <w:tcW w:w="1134" w:type="dxa"/>
            <w:tcBorders>
              <w:top w:val="single" w:sz="4" w:space="0" w:color="auto"/>
              <w:bottom w:val="single" w:sz="4" w:space="0" w:color="auto"/>
            </w:tcBorders>
            <w:vAlign w:val="center"/>
          </w:tcPr>
          <w:p w14:paraId="586A25A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E65E42" w:rsidRPr="00D403F5" w14:paraId="20E1C524" w14:textId="77777777" w:rsidTr="00E65E42">
        <w:trPr>
          <w:jc w:val="center"/>
        </w:trPr>
        <w:tc>
          <w:tcPr>
            <w:tcW w:w="1700" w:type="dxa"/>
            <w:vMerge w:val="restart"/>
            <w:tcBorders>
              <w:top w:val="single" w:sz="4" w:space="0" w:color="auto"/>
            </w:tcBorders>
            <w:vAlign w:val="center"/>
          </w:tcPr>
          <w:p w14:paraId="2C9FBBF4"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Pleuronectidae</w:t>
            </w:r>
          </w:p>
        </w:tc>
        <w:tc>
          <w:tcPr>
            <w:tcW w:w="2552" w:type="dxa"/>
            <w:tcBorders>
              <w:top w:val="single" w:sz="4" w:space="0" w:color="auto"/>
              <w:bottom w:val="single" w:sz="4" w:space="0" w:color="auto"/>
            </w:tcBorders>
            <w:shd w:val="clear" w:color="auto" w:fill="auto"/>
            <w:vAlign w:val="center"/>
          </w:tcPr>
          <w:p w14:paraId="06FA3CB6"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Glyptocephalus stelleri</w:t>
            </w:r>
          </w:p>
        </w:tc>
        <w:tc>
          <w:tcPr>
            <w:tcW w:w="2689" w:type="dxa"/>
            <w:tcBorders>
              <w:top w:val="single" w:sz="4" w:space="0" w:color="auto"/>
              <w:bottom w:val="single" w:sz="4" w:space="0" w:color="auto"/>
            </w:tcBorders>
            <w:vAlign w:val="center"/>
          </w:tcPr>
          <w:p w14:paraId="48F7C704"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Blackfin flounder</w:t>
            </w:r>
          </w:p>
        </w:tc>
        <w:tc>
          <w:tcPr>
            <w:tcW w:w="1134" w:type="dxa"/>
            <w:tcBorders>
              <w:top w:val="single" w:sz="4" w:space="0" w:color="auto"/>
              <w:bottom w:val="single" w:sz="4" w:space="0" w:color="auto"/>
            </w:tcBorders>
            <w:vAlign w:val="center"/>
          </w:tcPr>
          <w:p w14:paraId="649AC76E"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E65E42" w:rsidRPr="00D403F5" w14:paraId="0267206B" w14:textId="77777777" w:rsidTr="00E65E42">
        <w:trPr>
          <w:jc w:val="center"/>
        </w:trPr>
        <w:tc>
          <w:tcPr>
            <w:tcW w:w="1700" w:type="dxa"/>
            <w:vMerge/>
            <w:vAlign w:val="center"/>
          </w:tcPr>
          <w:p w14:paraId="1054CB6D"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200CC3CE"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Hippoglossus hippoglossus</w:t>
            </w:r>
          </w:p>
        </w:tc>
        <w:tc>
          <w:tcPr>
            <w:tcW w:w="2689" w:type="dxa"/>
            <w:tcBorders>
              <w:top w:val="single" w:sz="4" w:space="0" w:color="auto"/>
              <w:bottom w:val="single" w:sz="4" w:space="0" w:color="auto"/>
            </w:tcBorders>
            <w:vAlign w:val="center"/>
          </w:tcPr>
          <w:p w14:paraId="24C079F3"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Atlantic halibut</w:t>
            </w:r>
          </w:p>
        </w:tc>
        <w:tc>
          <w:tcPr>
            <w:tcW w:w="1134" w:type="dxa"/>
            <w:tcBorders>
              <w:top w:val="single" w:sz="4" w:space="0" w:color="auto"/>
              <w:bottom w:val="single" w:sz="4" w:space="0" w:color="auto"/>
            </w:tcBorders>
            <w:vAlign w:val="center"/>
          </w:tcPr>
          <w:p w14:paraId="0713170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E65E42" w:rsidRPr="00D403F5" w14:paraId="0C417256" w14:textId="77777777" w:rsidTr="00E65E42">
        <w:trPr>
          <w:jc w:val="center"/>
        </w:trPr>
        <w:tc>
          <w:tcPr>
            <w:tcW w:w="1700" w:type="dxa"/>
            <w:vMerge/>
            <w:tcBorders>
              <w:bottom w:val="single" w:sz="4" w:space="0" w:color="auto"/>
            </w:tcBorders>
            <w:vAlign w:val="center"/>
          </w:tcPr>
          <w:p w14:paraId="4953572D"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1D443CEF"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Reinhardtius hippoglossoides</w:t>
            </w:r>
          </w:p>
        </w:tc>
        <w:tc>
          <w:tcPr>
            <w:tcW w:w="2689" w:type="dxa"/>
            <w:tcBorders>
              <w:top w:val="single" w:sz="4" w:space="0" w:color="auto"/>
              <w:bottom w:val="single" w:sz="4" w:space="0" w:color="auto"/>
            </w:tcBorders>
            <w:vAlign w:val="center"/>
          </w:tcPr>
          <w:p w14:paraId="5DE2504C"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Greenland halibut</w:t>
            </w:r>
          </w:p>
        </w:tc>
        <w:tc>
          <w:tcPr>
            <w:tcW w:w="1134" w:type="dxa"/>
            <w:tcBorders>
              <w:top w:val="single" w:sz="4" w:space="0" w:color="auto"/>
              <w:bottom w:val="single" w:sz="4" w:space="0" w:color="auto"/>
            </w:tcBorders>
            <w:vAlign w:val="center"/>
          </w:tcPr>
          <w:p w14:paraId="4E2F6BA5"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E65E42" w:rsidRPr="00D403F5" w14:paraId="5FC886B8" w14:textId="77777777" w:rsidTr="00E65E42">
        <w:trPr>
          <w:jc w:val="center"/>
        </w:trPr>
        <w:tc>
          <w:tcPr>
            <w:tcW w:w="1700" w:type="dxa"/>
            <w:vMerge w:val="restart"/>
            <w:tcBorders>
              <w:top w:val="single" w:sz="4" w:space="0" w:color="auto"/>
            </w:tcBorders>
            <w:vAlign w:val="center"/>
          </w:tcPr>
          <w:p w14:paraId="45CBF51B" w14:textId="77777777" w:rsidR="00E65E42" w:rsidRPr="00D403F5" w:rsidRDefault="00E65E42" w:rsidP="00E65E42">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Salmonidae</w:t>
            </w:r>
          </w:p>
        </w:tc>
        <w:tc>
          <w:tcPr>
            <w:tcW w:w="2552" w:type="dxa"/>
            <w:tcBorders>
              <w:top w:val="single" w:sz="4" w:space="0" w:color="auto"/>
              <w:bottom w:val="single" w:sz="4" w:space="0" w:color="auto"/>
            </w:tcBorders>
            <w:shd w:val="clear" w:color="auto" w:fill="auto"/>
            <w:vAlign w:val="center"/>
          </w:tcPr>
          <w:p w14:paraId="3C86D890"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 xml:space="preserve">Oncorhynchus mykiss </w:t>
            </w:r>
            <w:r w:rsidRPr="00D403F5">
              <w:rPr>
                <w:rFonts w:ascii="Arial" w:eastAsia="Times New Roman" w:hAnsi="Arial" w:cs="Arial"/>
                <w:bCs/>
                <w:iCs/>
                <w:color w:val="000000"/>
                <w:sz w:val="18"/>
                <w:szCs w:val="18"/>
                <w:lang w:val="en-IE" w:bidi="en-US"/>
              </w:rPr>
              <w:t xml:space="preserve">X </w:t>
            </w:r>
            <w:r w:rsidRPr="00D403F5">
              <w:rPr>
                <w:rFonts w:ascii="Arial" w:eastAsia="Times New Roman" w:hAnsi="Arial" w:cs="Arial"/>
                <w:bCs/>
                <w:i/>
                <w:iCs/>
                <w:color w:val="000000"/>
                <w:sz w:val="18"/>
                <w:szCs w:val="18"/>
                <w:lang w:val="en-IE" w:bidi="en-US"/>
              </w:rPr>
              <w:t xml:space="preserve">Salvelinus alpinus </w:t>
            </w:r>
            <w:r w:rsidRPr="00D403F5">
              <w:rPr>
                <w:rFonts w:ascii="Arial" w:eastAsia="Times New Roman" w:hAnsi="Arial" w:cs="Arial"/>
                <w:bCs/>
                <w:iCs/>
                <w:color w:val="000000"/>
                <w:sz w:val="18"/>
                <w:szCs w:val="18"/>
                <w:lang w:val="en-IE" w:bidi="en-US"/>
              </w:rPr>
              <w:t>hybrids</w:t>
            </w:r>
          </w:p>
        </w:tc>
        <w:tc>
          <w:tcPr>
            <w:tcW w:w="2689" w:type="dxa"/>
            <w:tcBorders>
              <w:top w:val="single" w:sz="4" w:space="0" w:color="auto"/>
              <w:bottom w:val="single" w:sz="4" w:space="0" w:color="auto"/>
            </w:tcBorders>
            <w:vAlign w:val="center"/>
          </w:tcPr>
          <w:p w14:paraId="1C2ED84B"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Rainbow trout X </w:t>
            </w:r>
            <w:r w:rsidRPr="00D403F5">
              <w:rPr>
                <w:rFonts w:ascii="Arial" w:eastAsia="Times New Roman" w:hAnsi="Arial" w:cs="Arial"/>
                <w:bCs/>
                <w:color w:val="000000"/>
                <w:sz w:val="18"/>
                <w:szCs w:val="18"/>
                <w:lang w:val="en-IE" w:bidi="en-US"/>
              </w:rPr>
              <w:br/>
              <w:t xml:space="preserve">Arctic charr hybrids </w:t>
            </w:r>
          </w:p>
        </w:tc>
        <w:tc>
          <w:tcPr>
            <w:tcW w:w="1134" w:type="dxa"/>
            <w:tcBorders>
              <w:top w:val="single" w:sz="4" w:space="0" w:color="auto"/>
              <w:bottom w:val="single" w:sz="4" w:space="0" w:color="auto"/>
            </w:tcBorders>
            <w:vAlign w:val="center"/>
          </w:tcPr>
          <w:p w14:paraId="4C2C6FC4"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w:t>
            </w:r>
          </w:p>
        </w:tc>
      </w:tr>
      <w:tr w:rsidR="00E65E42" w:rsidRPr="00D403F5" w14:paraId="36FB20D5" w14:textId="77777777" w:rsidTr="00E65E42">
        <w:trPr>
          <w:jc w:val="center"/>
        </w:trPr>
        <w:tc>
          <w:tcPr>
            <w:tcW w:w="1700" w:type="dxa"/>
            <w:vMerge/>
            <w:vAlign w:val="center"/>
          </w:tcPr>
          <w:p w14:paraId="2AE53CDA"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375C4246"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 xml:space="preserve">Oncorhynchus mykiss </w:t>
            </w:r>
            <w:r w:rsidRPr="00D403F5">
              <w:rPr>
                <w:rFonts w:ascii="Arial" w:eastAsia="Times New Roman" w:hAnsi="Arial" w:cs="Arial"/>
                <w:bCs/>
                <w:iCs/>
                <w:color w:val="000000"/>
                <w:sz w:val="18"/>
                <w:szCs w:val="18"/>
                <w:lang w:val="en-IE" w:bidi="en-US"/>
              </w:rPr>
              <w:t>X</w:t>
            </w:r>
            <w:r w:rsidRPr="00D403F5">
              <w:rPr>
                <w:rFonts w:ascii="Arial" w:eastAsia="Times New Roman" w:hAnsi="Arial" w:cs="Arial"/>
                <w:bCs/>
                <w:i/>
                <w:iCs/>
                <w:color w:val="000000"/>
                <w:sz w:val="18"/>
                <w:szCs w:val="18"/>
                <w:lang w:val="en-IE" w:bidi="en-US"/>
              </w:rPr>
              <w:t xml:space="preserve"> Salvelinus </w:t>
            </w:r>
            <w:r w:rsidRPr="00D403F5">
              <w:rPr>
                <w:rFonts w:ascii="Arial" w:eastAsia="Times New Roman" w:hAnsi="Arial" w:cs="Arial"/>
                <w:bCs/>
                <w:i/>
                <w:iCs/>
                <w:sz w:val="18"/>
                <w:szCs w:val="18"/>
                <w:lang w:val="en-IE" w:bidi="en-US"/>
              </w:rPr>
              <w:t xml:space="preserve">namaycush </w:t>
            </w:r>
            <w:r w:rsidRPr="00D403F5">
              <w:rPr>
                <w:rFonts w:ascii="Arial" w:eastAsia="Times New Roman" w:hAnsi="Arial" w:cs="Arial"/>
                <w:bCs/>
                <w:iCs/>
                <w:sz w:val="18"/>
                <w:szCs w:val="18"/>
                <w:lang w:val="en-IE" w:bidi="en-US"/>
              </w:rPr>
              <w:t>hybrids</w:t>
            </w:r>
          </w:p>
        </w:tc>
        <w:tc>
          <w:tcPr>
            <w:tcW w:w="2689" w:type="dxa"/>
            <w:tcBorders>
              <w:top w:val="single" w:sz="4" w:space="0" w:color="auto"/>
              <w:bottom w:val="single" w:sz="4" w:space="0" w:color="auto"/>
            </w:tcBorders>
            <w:vAlign w:val="center"/>
          </w:tcPr>
          <w:p w14:paraId="6967516B"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 xml:space="preserve">Rainbow trout X lake trout hybrids </w:t>
            </w:r>
          </w:p>
        </w:tc>
        <w:tc>
          <w:tcPr>
            <w:tcW w:w="1134" w:type="dxa"/>
            <w:tcBorders>
              <w:top w:val="single" w:sz="4" w:space="0" w:color="auto"/>
              <w:bottom w:val="single" w:sz="4" w:space="0" w:color="auto"/>
            </w:tcBorders>
            <w:vAlign w:val="center"/>
          </w:tcPr>
          <w:p w14:paraId="3BAB557B"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u w:val="double"/>
                <w:lang w:bidi="en-US"/>
              </w:rPr>
              <w:t>Ia</w:t>
            </w:r>
          </w:p>
        </w:tc>
      </w:tr>
      <w:tr w:rsidR="00E65E42" w:rsidRPr="00D403F5" w14:paraId="271D7CEA" w14:textId="77777777" w:rsidTr="00E65E42">
        <w:trPr>
          <w:jc w:val="center"/>
        </w:trPr>
        <w:tc>
          <w:tcPr>
            <w:tcW w:w="1700" w:type="dxa"/>
            <w:vMerge/>
            <w:vAlign w:val="center"/>
          </w:tcPr>
          <w:p w14:paraId="5B275A5A"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0FC219C5" w14:textId="77777777" w:rsidR="00E65E42" w:rsidRPr="007C38E6" w:rsidRDefault="00E65E42" w:rsidP="00E65E42">
            <w:pPr>
              <w:spacing w:after="0" w:line="240" w:lineRule="auto"/>
              <w:jc w:val="center"/>
              <w:rPr>
                <w:rFonts w:ascii="Arial" w:eastAsia="Times New Roman" w:hAnsi="Arial" w:cs="Arial"/>
                <w:bCs/>
                <w:i/>
                <w:iCs/>
                <w:color w:val="000000"/>
                <w:sz w:val="18"/>
                <w:szCs w:val="18"/>
                <w:lang w:val="nb-NO" w:bidi="en-US"/>
              </w:rPr>
            </w:pPr>
            <w:r w:rsidRPr="007C38E6">
              <w:rPr>
                <w:rFonts w:ascii="Arial" w:eastAsia="Times New Roman" w:hAnsi="Arial" w:cs="Arial"/>
                <w:bCs/>
                <w:i/>
                <w:iCs/>
                <w:color w:val="000000"/>
                <w:sz w:val="18"/>
                <w:szCs w:val="18"/>
                <w:lang w:val="nb-NO" w:bidi="en-US"/>
              </w:rPr>
              <w:t xml:space="preserve">Oncorhynchus mykiss </w:t>
            </w:r>
            <w:r w:rsidRPr="007C38E6">
              <w:rPr>
                <w:rFonts w:ascii="Arial" w:eastAsia="Times New Roman" w:hAnsi="Arial" w:cs="Arial"/>
                <w:bCs/>
                <w:iCs/>
                <w:color w:val="000000"/>
                <w:sz w:val="18"/>
                <w:szCs w:val="18"/>
                <w:lang w:val="nb-NO" w:bidi="en-US"/>
              </w:rPr>
              <w:t xml:space="preserve">X </w:t>
            </w:r>
            <w:r w:rsidRPr="007C38E6">
              <w:rPr>
                <w:rFonts w:ascii="Arial" w:eastAsia="Times New Roman" w:hAnsi="Arial" w:cs="Arial"/>
                <w:bCs/>
                <w:i/>
                <w:iCs/>
                <w:color w:val="000000"/>
                <w:sz w:val="18"/>
                <w:szCs w:val="18"/>
                <w:lang w:val="nb-NO" w:bidi="en-US"/>
              </w:rPr>
              <w:t>Salmo trutta hybrids</w:t>
            </w:r>
          </w:p>
        </w:tc>
        <w:tc>
          <w:tcPr>
            <w:tcW w:w="2689" w:type="dxa"/>
            <w:tcBorders>
              <w:top w:val="single" w:sz="4" w:space="0" w:color="auto"/>
              <w:bottom w:val="single" w:sz="4" w:space="0" w:color="auto"/>
            </w:tcBorders>
            <w:vAlign w:val="center"/>
          </w:tcPr>
          <w:p w14:paraId="246363B3"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 xml:space="preserve">Rainbow trout X </w:t>
            </w:r>
            <w:r w:rsidRPr="00D403F5">
              <w:rPr>
                <w:rFonts w:ascii="Arial" w:eastAsia="Times New Roman" w:hAnsi="Arial" w:cs="Arial"/>
                <w:bCs/>
                <w:color w:val="000000"/>
                <w:sz w:val="18"/>
                <w:szCs w:val="18"/>
                <w:lang w:val="en-IE" w:bidi="en-US"/>
              </w:rPr>
              <w:br/>
              <w:t xml:space="preserve">brown trout hybrids </w:t>
            </w:r>
          </w:p>
        </w:tc>
        <w:tc>
          <w:tcPr>
            <w:tcW w:w="1134" w:type="dxa"/>
            <w:tcBorders>
              <w:top w:val="single" w:sz="4" w:space="0" w:color="auto"/>
              <w:bottom w:val="single" w:sz="4" w:space="0" w:color="auto"/>
            </w:tcBorders>
            <w:vAlign w:val="center"/>
          </w:tcPr>
          <w:p w14:paraId="13F4884C"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w:t>
            </w:r>
          </w:p>
        </w:tc>
      </w:tr>
      <w:tr w:rsidR="00E65E42" w:rsidRPr="00D403F5" w14:paraId="005D3017" w14:textId="77777777" w:rsidTr="00E65E42">
        <w:trPr>
          <w:jc w:val="center"/>
        </w:trPr>
        <w:tc>
          <w:tcPr>
            <w:tcW w:w="1700" w:type="dxa"/>
            <w:vMerge/>
            <w:vAlign w:val="center"/>
          </w:tcPr>
          <w:p w14:paraId="314DE46A"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14409452"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Salvelinus alpinus</w:t>
            </w:r>
          </w:p>
        </w:tc>
        <w:tc>
          <w:tcPr>
            <w:tcW w:w="2689" w:type="dxa"/>
            <w:tcBorders>
              <w:top w:val="single" w:sz="4" w:space="0" w:color="auto"/>
              <w:bottom w:val="single" w:sz="4" w:space="0" w:color="auto"/>
            </w:tcBorders>
            <w:vAlign w:val="center"/>
          </w:tcPr>
          <w:p w14:paraId="0C86D127" w14:textId="77777777" w:rsidR="00E65E42" w:rsidRPr="00D403F5" w:rsidRDefault="00E65E42" w:rsidP="00E65E42">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Arctic charr</w:t>
            </w:r>
          </w:p>
        </w:tc>
        <w:tc>
          <w:tcPr>
            <w:tcW w:w="1134" w:type="dxa"/>
            <w:tcBorders>
              <w:top w:val="single" w:sz="4" w:space="0" w:color="auto"/>
              <w:bottom w:val="single" w:sz="4" w:space="0" w:color="auto"/>
            </w:tcBorders>
            <w:vAlign w:val="center"/>
          </w:tcPr>
          <w:p w14:paraId="2B1283F6"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w:t>
            </w:r>
          </w:p>
        </w:tc>
      </w:tr>
      <w:tr w:rsidR="00E65E42" w:rsidRPr="00D403F5" w14:paraId="3EDBC030" w14:textId="77777777" w:rsidTr="00E65E42">
        <w:trPr>
          <w:jc w:val="center"/>
        </w:trPr>
        <w:tc>
          <w:tcPr>
            <w:tcW w:w="1700" w:type="dxa"/>
            <w:vMerge/>
            <w:vAlign w:val="center"/>
          </w:tcPr>
          <w:p w14:paraId="120A8CEB" w14:textId="77777777" w:rsidR="00E65E42" w:rsidRPr="00D403F5" w:rsidRDefault="00E65E42" w:rsidP="00E65E42">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39CCCD71" w14:textId="77777777" w:rsidR="00E65E42" w:rsidRPr="00D403F5" w:rsidRDefault="00E65E42" w:rsidP="00E65E42">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Salvelinus fontinalis</w:t>
            </w:r>
          </w:p>
        </w:tc>
        <w:tc>
          <w:tcPr>
            <w:tcW w:w="2689" w:type="dxa"/>
            <w:tcBorders>
              <w:top w:val="single" w:sz="4" w:space="0" w:color="auto"/>
              <w:bottom w:val="single" w:sz="4" w:space="0" w:color="auto"/>
            </w:tcBorders>
            <w:vAlign w:val="center"/>
          </w:tcPr>
          <w:p w14:paraId="00F2477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Brook trout</w:t>
            </w:r>
          </w:p>
        </w:tc>
        <w:tc>
          <w:tcPr>
            <w:tcW w:w="1134" w:type="dxa"/>
            <w:tcBorders>
              <w:top w:val="single" w:sz="4" w:space="0" w:color="auto"/>
              <w:bottom w:val="single" w:sz="4" w:space="0" w:color="auto"/>
            </w:tcBorders>
            <w:vAlign w:val="center"/>
          </w:tcPr>
          <w:p w14:paraId="69AD77D9"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r w:rsidR="00E65E42" w:rsidRPr="00D403F5" w14:paraId="45DE969B" w14:textId="77777777" w:rsidTr="00E65E42">
        <w:trPr>
          <w:jc w:val="center"/>
        </w:trPr>
        <w:tc>
          <w:tcPr>
            <w:tcW w:w="1700" w:type="dxa"/>
            <w:tcBorders>
              <w:top w:val="single" w:sz="4" w:space="0" w:color="auto"/>
              <w:bottom w:val="single" w:sz="4" w:space="0" w:color="auto"/>
            </w:tcBorders>
            <w:vAlign w:val="center"/>
          </w:tcPr>
          <w:p w14:paraId="0F68B626" w14:textId="77777777" w:rsidR="00E65E42" w:rsidRPr="00D403F5" w:rsidRDefault="00E65E42" w:rsidP="00E65E42">
            <w:pPr>
              <w:spacing w:after="0" w:line="240" w:lineRule="auto"/>
              <w:jc w:val="center"/>
              <w:rPr>
                <w:rFonts w:ascii="Arial" w:eastAsia="Times New Roman" w:hAnsi="Arial" w:cs="Arial"/>
                <w:bCs/>
                <w:sz w:val="18"/>
                <w:szCs w:val="18"/>
                <w:u w:val="double"/>
                <w:lang w:bidi="en-US"/>
              </w:rPr>
            </w:pPr>
            <w:r w:rsidRPr="00D403F5">
              <w:rPr>
                <w:rFonts w:ascii="Arial" w:eastAsia="Times New Roman" w:hAnsi="Arial" w:cs="Arial"/>
                <w:bCs/>
                <w:color w:val="000000"/>
                <w:sz w:val="18"/>
                <w:szCs w:val="18"/>
                <w:lang w:val="en-IE" w:bidi="en-US"/>
              </w:rPr>
              <w:t>Sciaenidae</w:t>
            </w:r>
          </w:p>
        </w:tc>
        <w:tc>
          <w:tcPr>
            <w:tcW w:w="2552" w:type="dxa"/>
            <w:tcBorders>
              <w:top w:val="single" w:sz="4" w:space="0" w:color="auto"/>
              <w:bottom w:val="single" w:sz="4" w:space="0" w:color="auto"/>
            </w:tcBorders>
            <w:shd w:val="clear" w:color="auto" w:fill="auto"/>
            <w:vAlign w:val="center"/>
          </w:tcPr>
          <w:p w14:paraId="3F2098EF" w14:textId="77777777" w:rsidR="00E65E42" w:rsidRPr="00D403F5" w:rsidRDefault="00E65E42" w:rsidP="00E65E42">
            <w:pPr>
              <w:spacing w:after="0" w:line="240" w:lineRule="auto"/>
              <w:jc w:val="center"/>
              <w:rPr>
                <w:rFonts w:ascii="Arial" w:eastAsia="Times New Roman" w:hAnsi="Arial" w:cs="Arial"/>
                <w:bCs/>
                <w:i/>
                <w:sz w:val="18"/>
                <w:szCs w:val="18"/>
                <w:u w:val="double"/>
                <w:lang w:bidi="en-US"/>
              </w:rPr>
            </w:pPr>
            <w:r w:rsidRPr="00D403F5">
              <w:rPr>
                <w:rFonts w:ascii="Arial" w:eastAsia="Times New Roman" w:hAnsi="Arial" w:cs="Arial"/>
                <w:bCs/>
                <w:i/>
                <w:iCs/>
                <w:color w:val="000000"/>
                <w:sz w:val="18"/>
                <w:szCs w:val="18"/>
                <w:lang w:val="en-IE" w:bidi="en-US"/>
              </w:rPr>
              <w:t>Larimichthys polyactis</w:t>
            </w:r>
          </w:p>
        </w:tc>
        <w:tc>
          <w:tcPr>
            <w:tcW w:w="2689" w:type="dxa"/>
            <w:tcBorders>
              <w:top w:val="single" w:sz="4" w:space="0" w:color="auto"/>
              <w:bottom w:val="single" w:sz="4" w:space="0" w:color="auto"/>
            </w:tcBorders>
            <w:vAlign w:val="center"/>
          </w:tcPr>
          <w:p w14:paraId="6097ED74"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Yellow croaker</w:t>
            </w:r>
          </w:p>
        </w:tc>
        <w:tc>
          <w:tcPr>
            <w:tcW w:w="1134" w:type="dxa"/>
            <w:tcBorders>
              <w:top w:val="single" w:sz="4" w:space="0" w:color="auto"/>
              <w:bottom w:val="single" w:sz="4" w:space="0" w:color="auto"/>
            </w:tcBorders>
            <w:vAlign w:val="center"/>
          </w:tcPr>
          <w:p w14:paraId="3F7D52CF"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E65E42" w:rsidRPr="00D403F5" w14:paraId="6D2F4004" w14:textId="77777777" w:rsidTr="00E65E42">
        <w:trPr>
          <w:jc w:val="center"/>
        </w:trPr>
        <w:tc>
          <w:tcPr>
            <w:tcW w:w="1700" w:type="dxa"/>
            <w:vMerge w:val="restart"/>
            <w:tcBorders>
              <w:top w:val="single" w:sz="4" w:space="0" w:color="auto"/>
            </w:tcBorders>
            <w:vAlign w:val="center"/>
          </w:tcPr>
          <w:p w14:paraId="0744961F" w14:textId="77777777" w:rsidR="00E65E42" w:rsidRPr="00D403F5" w:rsidRDefault="00E65E42" w:rsidP="00E65E42">
            <w:pPr>
              <w:spacing w:after="0" w:line="240" w:lineRule="auto"/>
              <w:jc w:val="center"/>
              <w:rPr>
                <w:rFonts w:ascii="Arial" w:eastAsia="Times New Roman" w:hAnsi="Arial" w:cs="Arial"/>
                <w:bCs/>
                <w:sz w:val="18"/>
                <w:szCs w:val="18"/>
                <w:u w:val="double"/>
                <w:lang w:bidi="en-US"/>
              </w:rPr>
            </w:pPr>
            <w:r w:rsidRPr="00D403F5">
              <w:rPr>
                <w:rFonts w:ascii="Arial" w:eastAsia="Times New Roman" w:hAnsi="Arial" w:cs="Arial"/>
                <w:bCs/>
                <w:color w:val="000000"/>
                <w:sz w:val="18"/>
                <w:szCs w:val="18"/>
                <w:lang w:val="en-IE" w:bidi="en-US"/>
              </w:rPr>
              <w:t>Scorpaenidae</w:t>
            </w:r>
          </w:p>
        </w:tc>
        <w:tc>
          <w:tcPr>
            <w:tcW w:w="2552" w:type="dxa"/>
            <w:tcBorders>
              <w:top w:val="single" w:sz="4" w:space="0" w:color="auto"/>
              <w:bottom w:val="single" w:sz="4" w:space="0" w:color="auto"/>
            </w:tcBorders>
            <w:shd w:val="clear" w:color="auto" w:fill="auto"/>
            <w:vAlign w:val="center"/>
          </w:tcPr>
          <w:p w14:paraId="6D3FE69F" w14:textId="77777777" w:rsidR="00E65E42" w:rsidRPr="00D403F5" w:rsidRDefault="00E65E42" w:rsidP="00E65E42">
            <w:pPr>
              <w:spacing w:after="0" w:line="240" w:lineRule="auto"/>
              <w:jc w:val="center"/>
              <w:rPr>
                <w:rFonts w:ascii="Arial" w:eastAsia="Times New Roman" w:hAnsi="Arial" w:cs="Arial"/>
                <w:bCs/>
                <w:i/>
                <w:sz w:val="18"/>
                <w:szCs w:val="18"/>
                <w:u w:val="double"/>
                <w:lang w:bidi="en-US"/>
              </w:rPr>
            </w:pPr>
            <w:r w:rsidRPr="00D403F5">
              <w:rPr>
                <w:rFonts w:ascii="Arial" w:eastAsia="Times New Roman" w:hAnsi="Arial" w:cs="Arial"/>
                <w:bCs/>
                <w:i/>
                <w:iCs/>
                <w:color w:val="000000"/>
                <w:sz w:val="18"/>
                <w:szCs w:val="18"/>
                <w:lang w:val="en-IE" w:bidi="en-US"/>
              </w:rPr>
              <w:t>Scorpaena porcus</w:t>
            </w:r>
          </w:p>
        </w:tc>
        <w:tc>
          <w:tcPr>
            <w:tcW w:w="2689" w:type="dxa"/>
            <w:tcBorders>
              <w:top w:val="single" w:sz="4" w:space="0" w:color="auto"/>
              <w:bottom w:val="single" w:sz="4" w:space="0" w:color="auto"/>
            </w:tcBorders>
            <w:vAlign w:val="center"/>
          </w:tcPr>
          <w:p w14:paraId="477F46EA"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Black scorpionfish </w:t>
            </w:r>
          </w:p>
        </w:tc>
        <w:tc>
          <w:tcPr>
            <w:tcW w:w="1134" w:type="dxa"/>
            <w:tcBorders>
              <w:top w:val="single" w:sz="4" w:space="0" w:color="auto"/>
              <w:bottom w:val="single" w:sz="4" w:space="0" w:color="auto"/>
            </w:tcBorders>
            <w:vAlign w:val="center"/>
          </w:tcPr>
          <w:p w14:paraId="78D0613C"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r w:rsidR="00E65E42" w:rsidRPr="00D403F5" w14:paraId="3EBB15AD" w14:textId="77777777" w:rsidTr="00E65E42">
        <w:trPr>
          <w:jc w:val="center"/>
        </w:trPr>
        <w:tc>
          <w:tcPr>
            <w:tcW w:w="1700" w:type="dxa"/>
            <w:vMerge/>
            <w:tcBorders>
              <w:bottom w:val="single" w:sz="4" w:space="0" w:color="auto"/>
            </w:tcBorders>
            <w:vAlign w:val="center"/>
          </w:tcPr>
          <w:p w14:paraId="48B7D828" w14:textId="77777777" w:rsidR="00E65E42" w:rsidRPr="00D403F5" w:rsidRDefault="00E65E42" w:rsidP="00E65E42">
            <w:pPr>
              <w:spacing w:after="0" w:line="240" w:lineRule="auto"/>
              <w:jc w:val="center"/>
              <w:rPr>
                <w:rFonts w:ascii="Arial" w:eastAsia="Times New Roman" w:hAnsi="Arial" w:cs="Arial"/>
                <w:bCs/>
                <w:sz w:val="18"/>
                <w:szCs w:val="18"/>
                <w:u w:val="double"/>
                <w:lang w:bidi="en-US"/>
              </w:rPr>
            </w:pPr>
          </w:p>
        </w:tc>
        <w:tc>
          <w:tcPr>
            <w:tcW w:w="2552" w:type="dxa"/>
            <w:tcBorders>
              <w:top w:val="single" w:sz="4" w:space="0" w:color="auto"/>
              <w:bottom w:val="single" w:sz="4" w:space="0" w:color="auto"/>
            </w:tcBorders>
            <w:shd w:val="clear" w:color="auto" w:fill="auto"/>
            <w:vAlign w:val="center"/>
          </w:tcPr>
          <w:p w14:paraId="4FEC565D" w14:textId="77777777" w:rsidR="00E65E42" w:rsidRPr="00D403F5" w:rsidRDefault="00E65E42" w:rsidP="00E65E42">
            <w:pPr>
              <w:spacing w:after="0" w:line="240" w:lineRule="auto"/>
              <w:jc w:val="center"/>
              <w:rPr>
                <w:rFonts w:ascii="Arial" w:eastAsia="Times New Roman" w:hAnsi="Arial" w:cs="Arial"/>
                <w:bCs/>
                <w:i/>
                <w:sz w:val="18"/>
                <w:szCs w:val="18"/>
                <w:u w:val="double"/>
                <w:lang w:bidi="en-US"/>
              </w:rPr>
            </w:pPr>
            <w:r w:rsidRPr="00D403F5">
              <w:rPr>
                <w:rFonts w:ascii="Arial" w:eastAsia="Times New Roman" w:hAnsi="Arial" w:cs="Arial"/>
                <w:bCs/>
                <w:i/>
                <w:iCs/>
                <w:color w:val="000000"/>
                <w:sz w:val="18"/>
                <w:szCs w:val="18"/>
                <w:lang w:val="en-IE" w:bidi="en-US"/>
              </w:rPr>
              <w:t>Scorpaena izensis</w:t>
            </w:r>
          </w:p>
        </w:tc>
        <w:tc>
          <w:tcPr>
            <w:tcW w:w="2689" w:type="dxa"/>
            <w:tcBorders>
              <w:top w:val="single" w:sz="4" w:space="0" w:color="auto"/>
              <w:bottom w:val="single" w:sz="4" w:space="0" w:color="auto"/>
            </w:tcBorders>
            <w:vAlign w:val="center"/>
          </w:tcPr>
          <w:p w14:paraId="38BA13D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Izu scorpionfish</w:t>
            </w:r>
          </w:p>
        </w:tc>
        <w:tc>
          <w:tcPr>
            <w:tcW w:w="1134" w:type="dxa"/>
            <w:tcBorders>
              <w:top w:val="single" w:sz="4" w:space="0" w:color="auto"/>
              <w:bottom w:val="single" w:sz="4" w:space="0" w:color="auto"/>
            </w:tcBorders>
            <w:vAlign w:val="center"/>
          </w:tcPr>
          <w:p w14:paraId="5597E1B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E65E42" w:rsidRPr="00D403F5" w14:paraId="24884800" w14:textId="77777777" w:rsidTr="00E65E42">
        <w:trPr>
          <w:jc w:val="center"/>
        </w:trPr>
        <w:tc>
          <w:tcPr>
            <w:tcW w:w="1700" w:type="dxa"/>
            <w:tcBorders>
              <w:top w:val="single" w:sz="4" w:space="0" w:color="auto"/>
              <w:bottom w:val="single" w:sz="4" w:space="0" w:color="auto"/>
            </w:tcBorders>
            <w:vAlign w:val="center"/>
          </w:tcPr>
          <w:p w14:paraId="2A3B72C7" w14:textId="77777777" w:rsidR="00E65E42" w:rsidRPr="00D403F5" w:rsidRDefault="00E65E42" w:rsidP="00E65E42">
            <w:pPr>
              <w:spacing w:after="0" w:line="240" w:lineRule="auto"/>
              <w:jc w:val="center"/>
              <w:rPr>
                <w:rFonts w:ascii="Arial" w:eastAsia="Times New Roman" w:hAnsi="Arial" w:cs="Arial"/>
                <w:bCs/>
                <w:sz w:val="18"/>
                <w:szCs w:val="18"/>
                <w:u w:val="double"/>
                <w:lang w:bidi="en-US"/>
              </w:rPr>
            </w:pPr>
            <w:r w:rsidRPr="00D403F5">
              <w:rPr>
                <w:rFonts w:ascii="Arial" w:eastAsia="Times New Roman" w:hAnsi="Arial" w:cs="Arial"/>
                <w:bCs/>
                <w:color w:val="000000"/>
                <w:sz w:val="18"/>
                <w:szCs w:val="18"/>
                <w:lang w:val="en-IE" w:bidi="en-US"/>
              </w:rPr>
              <w:t>Scyliorhinidae</w:t>
            </w:r>
          </w:p>
        </w:tc>
        <w:tc>
          <w:tcPr>
            <w:tcW w:w="2552" w:type="dxa"/>
            <w:tcBorders>
              <w:top w:val="single" w:sz="4" w:space="0" w:color="auto"/>
              <w:bottom w:val="single" w:sz="4" w:space="0" w:color="auto"/>
            </w:tcBorders>
            <w:shd w:val="clear" w:color="auto" w:fill="auto"/>
            <w:vAlign w:val="center"/>
          </w:tcPr>
          <w:p w14:paraId="45AF0978" w14:textId="77777777" w:rsidR="00E65E42" w:rsidRPr="00D403F5" w:rsidRDefault="00E65E42" w:rsidP="00E65E42">
            <w:pPr>
              <w:spacing w:after="0" w:line="240" w:lineRule="auto"/>
              <w:jc w:val="center"/>
              <w:rPr>
                <w:rFonts w:ascii="Arial" w:eastAsia="Times New Roman" w:hAnsi="Arial" w:cs="Arial"/>
                <w:bCs/>
                <w:i/>
                <w:sz w:val="18"/>
                <w:szCs w:val="18"/>
                <w:u w:val="double"/>
                <w:lang w:bidi="en-US"/>
              </w:rPr>
            </w:pPr>
            <w:r w:rsidRPr="00D403F5">
              <w:rPr>
                <w:rFonts w:ascii="Arial" w:eastAsia="Times New Roman" w:hAnsi="Arial" w:cs="Arial"/>
                <w:bCs/>
                <w:i/>
                <w:iCs/>
                <w:color w:val="000000"/>
                <w:sz w:val="18"/>
                <w:szCs w:val="18"/>
                <w:lang w:val="en-IE" w:bidi="en-US"/>
              </w:rPr>
              <w:t>Scyliorhinus torazame</w:t>
            </w:r>
          </w:p>
        </w:tc>
        <w:tc>
          <w:tcPr>
            <w:tcW w:w="2689" w:type="dxa"/>
            <w:tcBorders>
              <w:top w:val="single" w:sz="4" w:space="0" w:color="auto"/>
              <w:bottom w:val="single" w:sz="4" w:space="0" w:color="auto"/>
            </w:tcBorders>
            <w:vAlign w:val="center"/>
          </w:tcPr>
          <w:p w14:paraId="670B1DE1"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Claudy catshark</w:t>
            </w:r>
          </w:p>
        </w:tc>
        <w:tc>
          <w:tcPr>
            <w:tcW w:w="1134" w:type="dxa"/>
            <w:tcBorders>
              <w:top w:val="single" w:sz="4" w:space="0" w:color="auto"/>
              <w:bottom w:val="single" w:sz="4" w:space="0" w:color="auto"/>
            </w:tcBorders>
            <w:vAlign w:val="center"/>
          </w:tcPr>
          <w:p w14:paraId="3086200C"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E65E42" w:rsidRPr="00D403F5" w14:paraId="3652ABFA" w14:textId="77777777" w:rsidTr="00E65E42">
        <w:trPr>
          <w:jc w:val="center"/>
        </w:trPr>
        <w:tc>
          <w:tcPr>
            <w:tcW w:w="1700" w:type="dxa"/>
            <w:tcBorders>
              <w:top w:val="single" w:sz="4" w:space="0" w:color="auto"/>
              <w:bottom w:val="single" w:sz="4" w:space="0" w:color="auto"/>
            </w:tcBorders>
            <w:vAlign w:val="center"/>
          </w:tcPr>
          <w:p w14:paraId="1B3EE119" w14:textId="77777777" w:rsidR="00E65E42" w:rsidRPr="00D403F5" w:rsidRDefault="00E65E42" w:rsidP="00E65E42">
            <w:pPr>
              <w:spacing w:after="0" w:line="240" w:lineRule="auto"/>
              <w:jc w:val="center"/>
              <w:rPr>
                <w:rFonts w:ascii="Arial" w:eastAsia="Times New Roman" w:hAnsi="Arial" w:cs="Arial"/>
                <w:bCs/>
                <w:sz w:val="18"/>
                <w:szCs w:val="18"/>
                <w:u w:val="double"/>
                <w:lang w:bidi="en-US"/>
              </w:rPr>
            </w:pPr>
            <w:r w:rsidRPr="00D403F5">
              <w:rPr>
                <w:rFonts w:ascii="Arial" w:eastAsia="Times New Roman" w:hAnsi="Arial" w:cs="Arial"/>
                <w:bCs/>
                <w:color w:val="000000"/>
                <w:sz w:val="18"/>
                <w:szCs w:val="18"/>
                <w:lang w:val="en-IE" w:bidi="en-US"/>
              </w:rPr>
              <w:t>Stromateidae</w:t>
            </w:r>
          </w:p>
        </w:tc>
        <w:tc>
          <w:tcPr>
            <w:tcW w:w="2552" w:type="dxa"/>
            <w:tcBorders>
              <w:top w:val="single" w:sz="4" w:space="0" w:color="auto"/>
              <w:bottom w:val="single" w:sz="4" w:space="0" w:color="auto"/>
            </w:tcBorders>
            <w:shd w:val="clear" w:color="auto" w:fill="auto"/>
            <w:vAlign w:val="center"/>
          </w:tcPr>
          <w:p w14:paraId="564E3F4B" w14:textId="77777777" w:rsidR="00E65E42" w:rsidRPr="00D403F5" w:rsidRDefault="00E65E42" w:rsidP="00E65E42">
            <w:pPr>
              <w:spacing w:after="0" w:line="240" w:lineRule="auto"/>
              <w:jc w:val="center"/>
              <w:rPr>
                <w:rFonts w:ascii="Arial" w:eastAsia="Times New Roman" w:hAnsi="Arial" w:cs="Arial"/>
                <w:bCs/>
                <w:i/>
                <w:sz w:val="18"/>
                <w:szCs w:val="18"/>
                <w:u w:val="double"/>
                <w:lang w:bidi="en-US"/>
              </w:rPr>
            </w:pPr>
            <w:r w:rsidRPr="00D403F5">
              <w:rPr>
                <w:rFonts w:ascii="Arial" w:eastAsia="Times New Roman" w:hAnsi="Arial" w:cs="Arial"/>
                <w:bCs/>
                <w:i/>
                <w:iCs/>
                <w:color w:val="000000"/>
                <w:sz w:val="18"/>
                <w:szCs w:val="18"/>
                <w:lang w:val="en-IE" w:bidi="en-US"/>
              </w:rPr>
              <w:t>Pampus argenteus</w:t>
            </w:r>
          </w:p>
        </w:tc>
        <w:tc>
          <w:tcPr>
            <w:tcW w:w="2689" w:type="dxa"/>
            <w:tcBorders>
              <w:top w:val="single" w:sz="4" w:space="0" w:color="auto"/>
              <w:bottom w:val="single" w:sz="4" w:space="0" w:color="auto"/>
            </w:tcBorders>
            <w:vAlign w:val="center"/>
          </w:tcPr>
          <w:p w14:paraId="12DEF77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Silver pomfret</w:t>
            </w:r>
          </w:p>
        </w:tc>
        <w:tc>
          <w:tcPr>
            <w:tcW w:w="1134" w:type="dxa"/>
            <w:tcBorders>
              <w:top w:val="single" w:sz="4" w:space="0" w:color="auto"/>
              <w:bottom w:val="single" w:sz="4" w:space="0" w:color="auto"/>
            </w:tcBorders>
            <w:vAlign w:val="center"/>
          </w:tcPr>
          <w:p w14:paraId="0EC85432"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E65E42" w:rsidRPr="00D403F5" w14:paraId="0342D6E8" w14:textId="77777777" w:rsidTr="00E65E42">
        <w:trPr>
          <w:jc w:val="center"/>
        </w:trPr>
        <w:tc>
          <w:tcPr>
            <w:tcW w:w="1700" w:type="dxa"/>
            <w:tcBorders>
              <w:top w:val="single" w:sz="4" w:space="0" w:color="auto"/>
              <w:bottom w:val="single" w:sz="4" w:space="0" w:color="auto"/>
            </w:tcBorders>
            <w:vAlign w:val="center"/>
          </w:tcPr>
          <w:p w14:paraId="1C9C56EF" w14:textId="77777777" w:rsidR="00E65E42" w:rsidRPr="00D403F5" w:rsidRDefault="00E65E42" w:rsidP="00E65E42">
            <w:pPr>
              <w:spacing w:after="0" w:line="240" w:lineRule="auto"/>
              <w:jc w:val="center"/>
              <w:rPr>
                <w:rFonts w:ascii="Arial" w:eastAsia="Times New Roman" w:hAnsi="Arial" w:cs="Arial"/>
                <w:bCs/>
                <w:sz w:val="18"/>
                <w:szCs w:val="18"/>
                <w:u w:val="double"/>
                <w:lang w:bidi="en-US"/>
              </w:rPr>
            </w:pPr>
            <w:r w:rsidRPr="00D403F5">
              <w:rPr>
                <w:rFonts w:ascii="Arial" w:eastAsia="Times New Roman" w:hAnsi="Arial" w:cs="Arial"/>
                <w:bCs/>
                <w:color w:val="000000"/>
                <w:sz w:val="18"/>
                <w:szCs w:val="18"/>
                <w:lang w:val="en-IE" w:bidi="en-US"/>
              </w:rPr>
              <w:t>Trichiuridae</w:t>
            </w:r>
          </w:p>
        </w:tc>
        <w:tc>
          <w:tcPr>
            <w:tcW w:w="2552" w:type="dxa"/>
            <w:tcBorders>
              <w:top w:val="single" w:sz="4" w:space="0" w:color="auto"/>
              <w:bottom w:val="single" w:sz="4" w:space="0" w:color="auto"/>
            </w:tcBorders>
            <w:shd w:val="clear" w:color="auto" w:fill="auto"/>
            <w:vAlign w:val="center"/>
          </w:tcPr>
          <w:p w14:paraId="34BFE2BF" w14:textId="77777777" w:rsidR="00E65E42" w:rsidRPr="00D403F5" w:rsidRDefault="00E65E42" w:rsidP="00E65E42">
            <w:pPr>
              <w:spacing w:after="0" w:line="240" w:lineRule="auto"/>
              <w:jc w:val="center"/>
              <w:rPr>
                <w:rFonts w:ascii="Arial" w:eastAsia="Times New Roman" w:hAnsi="Arial" w:cs="Arial"/>
                <w:bCs/>
                <w:i/>
                <w:sz w:val="18"/>
                <w:szCs w:val="18"/>
                <w:u w:val="double"/>
                <w:lang w:bidi="en-US"/>
              </w:rPr>
            </w:pPr>
            <w:r w:rsidRPr="00D403F5">
              <w:rPr>
                <w:rFonts w:ascii="Arial" w:eastAsia="Times New Roman" w:hAnsi="Arial" w:cs="Arial"/>
                <w:bCs/>
                <w:i/>
                <w:iCs/>
                <w:color w:val="000000"/>
                <w:sz w:val="18"/>
                <w:szCs w:val="18"/>
                <w:lang w:val="en-IE" w:bidi="en-US"/>
              </w:rPr>
              <w:t>Trichiums lepturus</w:t>
            </w:r>
          </w:p>
        </w:tc>
        <w:tc>
          <w:tcPr>
            <w:tcW w:w="2689" w:type="dxa"/>
            <w:tcBorders>
              <w:top w:val="single" w:sz="4" w:space="0" w:color="auto"/>
              <w:bottom w:val="single" w:sz="4" w:space="0" w:color="auto"/>
            </w:tcBorders>
            <w:vAlign w:val="center"/>
          </w:tcPr>
          <w:p w14:paraId="406A7DA6"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Largehead hairtail</w:t>
            </w:r>
          </w:p>
        </w:tc>
        <w:tc>
          <w:tcPr>
            <w:tcW w:w="1134" w:type="dxa"/>
            <w:tcBorders>
              <w:top w:val="single" w:sz="4" w:space="0" w:color="auto"/>
              <w:bottom w:val="single" w:sz="4" w:space="0" w:color="auto"/>
            </w:tcBorders>
            <w:vAlign w:val="center"/>
          </w:tcPr>
          <w:p w14:paraId="50630EFD"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E65E42" w:rsidRPr="00D403F5" w14:paraId="39EB99BF" w14:textId="77777777" w:rsidTr="00E65E42">
        <w:trPr>
          <w:jc w:val="center"/>
        </w:trPr>
        <w:tc>
          <w:tcPr>
            <w:tcW w:w="1700" w:type="dxa"/>
            <w:tcBorders>
              <w:top w:val="single" w:sz="4" w:space="0" w:color="auto"/>
              <w:bottom w:val="single" w:sz="4" w:space="0" w:color="auto"/>
            </w:tcBorders>
            <w:vAlign w:val="center"/>
          </w:tcPr>
          <w:p w14:paraId="363B3156" w14:textId="77777777" w:rsidR="00E65E42" w:rsidRPr="00D403F5" w:rsidRDefault="00E65E42" w:rsidP="00E65E42">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Triglidae</w:t>
            </w:r>
          </w:p>
        </w:tc>
        <w:tc>
          <w:tcPr>
            <w:tcW w:w="2552" w:type="dxa"/>
            <w:tcBorders>
              <w:top w:val="single" w:sz="4" w:space="0" w:color="auto"/>
              <w:bottom w:val="single" w:sz="4" w:space="0" w:color="auto"/>
            </w:tcBorders>
            <w:shd w:val="clear" w:color="auto" w:fill="auto"/>
            <w:vAlign w:val="center"/>
          </w:tcPr>
          <w:p w14:paraId="17E08CC9" w14:textId="77777777" w:rsidR="00E65E42" w:rsidRPr="00D403F5" w:rsidRDefault="00E65E42" w:rsidP="00E65E42">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Eutrigla gurnardus</w:t>
            </w:r>
          </w:p>
        </w:tc>
        <w:tc>
          <w:tcPr>
            <w:tcW w:w="2689" w:type="dxa"/>
            <w:tcBorders>
              <w:top w:val="single" w:sz="4" w:space="0" w:color="auto"/>
              <w:bottom w:val="single" w:sz="4" w:space="0" w:color="auto"/>
            </w:tcBorders>
            <w:vAlign w:val="center"/>
          </w:tcPr>
          <w:p w14:paraId="1C85ABA7"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Gray gurnard</w:t>
            </w:r>
          </w:p>
        </w:tc>
        <w:tc>
          <w:tcPr>
            <w:tcW w:w="1134" w:type="dxa"/>
            <w:tcBorders>
              <w:top w:val="single" w:sz="4" w:space="0" w:color="auto"/>
              <w:bottom w:val="single" w:sz="4" w:space="0" w:color="auto"/>
            </w:tcBorders>
            <w:vAlign w:val="center"/>
          </w:tcPr>
          <w:p w14:paraId="4F16D4B9" w14:textId="77777777" w:rsidR="00E65E42" w:rsidRPr="00D403F5" w:rsidRDefault="00E65E42" w:rsidP="00E65E42">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bl>
    <w:p w14:paraId="1E75F461" w14:textId="77777777" w:rsidR="00E65E42" w:rsidRPr="00D403F5" w:rsidRDefault="00E65E42" w:rsidP="008A67C2">
      <w:pPr>
        <w:spacing w:before="120" w:after="120" w:line="240" w:lineRule="auto"/>
        <w:ind w:left="851" w:hanging="319"/>
        <w:jc w:val="center"/>
        <w:rPr>
          <w:rFonts w:ascii="Arial" w:eastAsia="Times New Roman" w:hAnsi="Arial" w:cs="Arial"/>
          <w:bCs/>
          <w:sz w:val="18"/>
          <w:szCs w:val="18"/>
          <w:lang w:val="en-IE" w:eastAsia="fr-FR"/>
        </w:rPr>
      </w:pPr>
      <w:r w:rsidRPr="00C7404A">
        <w:rPr>
          <w:rFonts w:ascii="Arial" w:eastAsia="Times New Roman" w:hAnsi="Arial" w:cs="Arial"/>
          <w:b/>
          <w:bCs/>
          <w:sz w:val="18"/>
          <w:szCs w:val="18"/>
          <w:lang w:val="en-IE" w:eastAsia="fr-FR"/>
        </w:rPr>
        <w:t>ND:</w:t>
      </w:r>
      <w:r w:rsidRPr="00D403F5">
        <w:rPr>
          <w:rFonts w:ascii="Arial" w:eastAsia="Times New Roman" w:hAnsi="Arial" w:cs="Arial"/>
          <w:bCs/>
          <w:sz w:val="18"/>
          <w:szCs w:val="18"/>
          <w:lang w:val="en-IE" w:eastAsia="fr-FR"/>
        </w:rPr>
        <w:t xml:space="preserve"> Not determined.</w:t>
      </w:r>
      <w:r>
        <w:rPr>
          <w:rFonts w:ascii="Arial" w:eastAsia="Times New Roman" w:hAnsi="Arial" w:cs="Arial"/>
          <w:bCs/>
          <w:sz w:val="18"/>
          <w:szCs w:val="18"/>
          <w:lang w:val="en-IE" w:eastAsia="fr-FR"/>
        </w:rPr>
        <w:t xml:space="preserve"> </w:t>
      </w:r>
    </w:p>
    <w:p w14:paraId="2E2CE55C" w14:textId="77777777" w:rsidR="00E65E42" w:rsidRPr="00D403F5" w:rsidRDefault="00E65E42" w:rsidP="000A4E1E">
      <w:pPr>
        <w:spacing w:after="120" w:line="240" w:lineRule="auto"/>
        <w:ind w:left="709"/>
        <w:jc w:val="both"/>
        <w:rPr>
          <w:rFonts w:ascii="Arial" w:eastAsia="Times New Roman" w:hAnsi="Arial" w:cs="Arial"/>
          <w:color w:val="000000"/>
          <w:sz w:val="18"/>
          <w:szCs w:val="18"/>
          <w:lang w:eastAsia="fr-FR"/>
        </w:rPr>
      </w:pPr>
      <w:r w:rsidRPr="00D403F5">
        <w:rPr>
          <w:rFonts w:ascii="Arial" w:eastAsia="Times New Roman" w:hAnsi="Arial" w:cs="Arial"/>
          <w:sz w:val="18"/>
          <w:szCs w:val="18"/>
          <w:lang w:val="en-IE" w:eastAsia="fr-FR"/>
        </w:rPr>
        <w:t>In addition, pathogen-specific positive polymerase chain reaction (PCR) results have been reported in the following organisms, but an active infection has not been demonstrated:</w:t>
      </w:r>
      <w:r w:rsidRPr="00D403F5">
        <w:rPr>
          <w:rFonts w:ascii="Calibri" w:eastAsia="Times New Roman" w:hAnsi="Calibri" w:cs="Calibri"/>
          <w:bCs/>
          <w:color w:val="000000"/>
          <w:sz w:val="18"/>
          <w:szCs w:val="18"/>
          <w:lang w:eastAsia="fr-FR"/>
        </w:rPr>
        <w:t xml:space="preserve"> </w:t>
      </w:r>
      <w:r w:rsidRPr="00D403F5">
        <w:rPr>
          <w:rFonts w:ascii="Arial" w:eastAsia="Times New Roman" w:hAnsi="Arial" w:cs="Arial"/>
          <w:color w:val="000000"/>
          <w:sz w:val="18"/>
          <w:szCs w:val="18"/>
          <w:lang w:eastAsia="fr-FR"/>
        </w:rPr>
        <w:t>Sablefish (</w:t>
      </w:r>
      <w:r w:rsidRPr="00D403F5">
        <w:rPr>
          <w:rFonts w:ascii="Arial" w:eastAsia="Times New Roman" w:hAnsi="Arial" w:cs="Arial"/>
          <w:i/>
          <w:iCs/>
          <w:color w:val="000000"/>
          <w:sz w:val="18"/>
          <w:szCs w:val="18"/>
          <w:lang w:eastAsia="fr-FR"/>
        </w:rPr>
        <w:t>Anoplopoma fimbria</w:t>
      </w:r>
      <w:r w:rsidRPr="00D403F5">
        <w:rPr>
          <w:rFonts w:ascii="Arial" w:eastAsia="Times New Roman" w:hAnsi="Arial" w:cs="Arial"/>
          <w:color w:val="000000"/>
          <w:sz w:val="18"/>
          <w:szCs w:val="18"/>
          <w:lang w:eastAsia="fr-FR"/>
        </w:rPr>
        <w:t>).</w:t>
      </w:r>
    </w:p>
    <w:p w14:paraId="0B67D623"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2.2.3.</w:t>
      </w:r>
      <w:r w:rsidRPr="00BC2337">
        <w:rPr>
          <w:rFonts w:ascii="Ottawa" w:eastAsia="Times New Roman" w:hAnsi="Ottawa" w:cs="Times New Roman"/>
          <w:b/>
          <w:bCs/>
          <w:szCs w:val="20"/>
          <w:lang w:val="en-IE" w:eastAsia="fr-FR"/>
        </w:rPr>
        <w:tab/>
        <w:t>Non-susceptible species</w:t>
      </w:r>
    </w:p>
    <w:p w14:paraId="298EBCC8" w14:textId="77777777" w:rsidR="00E65E42" w:rsidRPr="00D403F5" w:rsidRDefault="00E65E42" w:rsidP="000A4E1E">
      <w:pPr>
        <w:spacing w:after="120" w:line="240" w:lineRule="auto"/>
        <w:ind w:left="709"/>
        <w:jc w:val="both"/>
        <w:rPr>
          <w:rFonts w:ascii="Arial" w:eastAsia="Times New Roman" w:hAnsi="Arial" w:cs="Arial"/>
          <w:bCs/>
          <w:iCs/>
          <w:sz w:val="18"/>
          <w:szCs w:val="18"/>
        </w:rPr>
      </w:pPr>
      <w:r w:rsidRPr="00D403F5">
        <w:rPr>
          <w:rFonts w:ascii="Arial" w:eastAsia="Times New Roman" w:hAnsi="Arial" w:cs="Arial"/>
          <w:bCs/>
          <w:iCs/>
          <w:sz w:val="18"/>
          <w:szCs w:val="18"/>
        </w:rPr>
        <w:t>None known.</w:t>
      </w:r>
    </w:p>
    <w:p w14:paraId="63ED03BE"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2.2.4.</w:t>
      </w:r>
      <w:r w:rsidRPr="00BC2337">
        <w:rPr>
          <w:rFonts w:ascii="Ottawa" w:eastAsia="Times New Roman" w:hAnsi="Ottawa" w:cs="Times New Roman"/>
          <w:b/>
          <w:bCs/>
          <w:szCs w:val="20"/>
          <w:lang w:val="en-IE" w:eastAsia="fr-FR"/>
        </w:rPr>
        <w:tab/>
        <w:t>Likelihood of infection by species, host life stage, population or sub-populations</w:t>
      </w:r>
    </w:p>
    <w:p w14:paraId="16B58DFB" w14:textId="77777777" w:rsidR="00E65E42" w:rsidRPr="00D403F5" w:rsidRDefault="00E65E42" w:rsidP="000A4E1E">
      <w:pPr>
        <w:spacing w:after="240" w:line="240" w:lineRule="auto"/>
        <w:ind w:left="709"/>
        <w:jc w:val="both"/>
        <w:rPr>
          <w:rFonts w:ascii="Arial" w:eastAsia="Times New Roman" w:hAnsi="Arial" w:cs="Arial"/>
          <w:bCs/>
          <w:sz w:val="18"/>
          <w:szCs w:val="18"/>
          <w:u w:val="double"/>
        </w:rPr>
      </w:pPr>
      <w:r w:rsidRPr="00D403F5">
        <w:rPr>
          <w:rFonts w:ascii="Arial" w:eastAsia="Times New Roman" w:hAnsi="Arial" w:cs="Arial"/>
          <w:bCs/>
          <w:sz w:val="18"/>
          <w:szCs w:val="18"/>
        </w:rPr>
        <w:t>Rainbow trout is the most susceptible species to VHSV infection with genotype Ia. For VHSV genotypes Ib, II and III, shoaling wild-living species such as Atlantic herring</w:t>
      </w:r>
      <w:r>
        <w:rPr>
          <w:rFonts w:ascii="Arial" w:eastAsia="Times New Roman" w:hAnsi="Arial" w:cs="Arial"/>
          <w:bCs/>
          <w:sz w:val="18"/>
          <w:szCs w:val="18"/>
        </w:rPr>
        <w:t xml:space="preserve"> </w:t>
      </w:r>
      <w:r w:rsidRPr="00D403F5">
        <w:rPr>
          <w:rFonts w:ascii="Arial" w:eastAsia="Times New Roman" w:hAnsi="Arial" w:cs="Arial"/>
          <w:bCs/>
          <w:sz w:val="18"/>
          <w:szCs w:val="18"/>
        </w:rPr>
        <w:t xml:space="preserve">and European sprat </w:t>
      </w:r>
      <w:r w:rsidRPr="00E16E50">
        <w:rPr>
          <w:rFonts w:ascii="Arial" w:eastAsia="Times New Roman" w:hAnsi="Arial" w:cs="Arial"/>
          <w:bCs/>
          <w:strike/>
          <w:sz w:val="18"/>
          <w:szCs w:val="18"/>
          <w:highlight w:val="yellow"/>
        </w:rPr>
        <w:t>(</w:t>
      </w:r>
      <w:r w:rsidRPr="00E16E50">
        <w:rPr>
          <w:rFonts w:ascii="Arial" w:eastAsia="Times New Roman" w:hAnsi="Arial" w:cs="Times New Roman"/>
          <w:bCs/>
          <w:i/>
          <w:iCs/>
          <w:strike/>
          <w:color w:val="000000"/>
          <w:sz w:val="18"/>
          <w:szCs w:val="18"/>
          <w:highlight w:val="yellow"/>
          <w:lang w:val="en-IE"/>
        </w:rPr>
        <w:t>Sprattus sprattus</w:t>
      </w:r>
      <w:r w:rsidRPr="00E16E50">
        <w:rPr>
          <w:rFonts w:ascii="Arial" w:eastAsia="Times New Roman" w:hAnsi="Arial" w:cs="Arial"/>
          <w:bCs/>
          <w:strike/>
          <w:sz w:val="18"/>
          <w:szCs w:val="18"/>
          <w:highlight w:val="yellow"/>
        </w:rPr>
        <w:t>)</w:t>
      </w:r>
      <w:r w:rsidRPr="00E16E50">
        <w:rPr>
          <w:rFonts w:ascii="Arial" w:eastAsia="Times New Roman" w:hAnsi="Arial" w:cs="Arial"/>
          <w:bCs/>
          <w:strike/>
          <w:sz w:val="18"/>
          <w:szCs w:val="18"/>
        </w:rPr>
        <w:t xml:space="preserve"> </w:t>
      </w:r>
      <w:r w:rsidRPr="00D403F5">
        <w:rPr>
          <w:rFonts w:ascii="Arial" w:eastAsia="Times New Roman" w:hAnsi="Arial" w:cs="Arial"/>
          <w:bCs/>
          <w:sz w:val="18"/>
          <w:szCs w:val="18"/>
        </w:rPr>
        <w:t>are likely to be the natural hosts, while for genotype IV</w:t>
      </w:r>
      <w:r w:rsidRPr="00E16E50">
        <w:rPr>
          <w:rFonts w:ascii="Arial" w:eastAsia="Times New Roman" w:hAnsi="Arial" w:cs="Arial"/>
          <w:bCs/>
          <w:sz w:val="18"/>
          <w:szCs w:val="18"/>
          <w:highlight w:val="yellow"/>
          <w:u w:val="double"/>
        </w:rPr>
        <w:t>a</w:t>
      </w:r>
      <w:r w:rsidRPr="00D403F5">
        <w:rPr>
          <w:rFonts w:ascii="Arial" w:eastAsia="Times New Roman" w:hAnsi="Arial" w:cs="Arial"/>
          <w:bCs/>
          <w:sz w:val="18"/>
          <w:szCs w:val="18"/>
        </w:rPr>
        <w:t>, Pacific herring</w:t>
      </w:r>
      <w:r w:rsidRPr="00BF51FB">
        <w:rPr>
          <w:rFonts w:ascii="Arial" w:eastAsia="Times New Roman" w:hAnsi="Arial" w:cs="Arial"/>
          <w:bCs/>
          <w:sz w:val="18"/>
          <w:szCs w:val="18"/>
        </w:rPr>
        <w:t xml:space="preserve"> </w:t>
      </w:r>
      <w:r w:rsidRPr="00D403F5">
        <w:rPr>
          <w:rFonts w:ascii="Arial" w:eastAsia="Times New Roman" w:hAnsi="Arial" w:cs="Arial"/>
          <w:bCs/>
          <w:sz w:val="18"/>
          <w:szCs w:val="18"/>
        </w:rPr>
        <w:t xml:space="preserve">is the natural host. VHSV genotype III has caused disease in farmed turbot and wrasse and genotype IVa in farmed Atlantic salmon, turbot, and </w:t>
      </w:r>
      <w:r w:rsidRPr="00E16E50">
        <w:rPr>
          <w:rFonts w:ascii="Arial" w:eastAsia="Times New Roman" w:hAnsi="Arial" w:cs="Arial"/>
          <w:bCs/>
          <w:strike/>
          <w:sz w:val="18"/>
          <w:szCs w:val="18"/>
          <w:highlight w:val="yellow"/>
        </w:rPr>
        <w:t>olive flounder</w:t>
      </w:r>
      <w:r>
        <w:rPr>
          <w:rFonts w:ascii="Arial" w:eastAsia="Times New Roman" w:hAnsi="Arial" w:cs="Arial"/>
          <w:bCs/>
          <w:strike/>
          <w:sz w:val="18"/>
          <w:szCs w:val="18"/>
          <w:highlight w:val="yellow"/>
        </w:rPr>
        <w:t xml:space="preserve"> </w:t>
      </w:r>
      <w:r w:rsidRPr="00E16E50">
        <w:rPr>
          <w:rFonts w:ascii="Arial" w:eastAsia="Times New Roman" w:hAnsi="Arial" w:cs="Arial"/>
          <w:bCs/>
          <w:sz w:val="18"/>
          <w:szCs w:val="18"/>
          <w:highlight w:val="yellow"/>
          <w:u w:val="double"/>
        </w:rPr>
        <w:t>bastard halibut</w:t>
      </w:r>
      <w:r w:rsidRPr="00D403F5">
        <w:rPr>
          <w:rFonts w:ascii="Arial" w:eastAsia="Times New Roman" w:hAnsi="Arial" w:cs="Arial"/>
          <w:bCs/>
          <w:sz w:val="18"/>
          <w:szCs w:val="18"/>
        </w:rPr>
        <w:t>.</w:t>
      </w:r>
    </w:p>
    <w:p w14:paraId="1FD60F82" w14:textId="77777777" w:rsidR="008A67C2" w:rsidRPr="000D7670" w:rsidRDefault="008A67C2">
      <w:pPr>
        <w:rPr>
          <w:u w:val="single"/>
        </w:rPr>
      </w:pPr>
      <w:r w:rsidRPr="000D7670">
        <w:rPr>
          <w:u w:val="single"/>
        </w:rPr>
        <w:br w:type="page"/>
      </w:r>
    </w:p>
    <w:p w14:paraId="026E3779" w14:textId="416376EC" w:rsidR="008A67C2" w:rsidRPr="000D7670" w:rsidRDefault="008A67C2" w:rsidP="008A67C2">
      <w:pPr>
        <w:spacing w:after="480" w:line="240" w:lineRule="auto"/>
        <w:jc w:val="both"/>
        <w:rPr>
          <w:rFonts w:cs="Times New Roman"/>
          <w:bCs/>
          <w:iCs/>
          <w:szCs w:val="20"/>
        </w:rPr>
      </w:pPr>
      <w:r w:rsidRPr="000D7670">
        <w:rPr>
          <w:u w:val="single"/>
        </w:rPr>
        <w:lastRenderedPageBreak/>
        <w:t>A</w:t>
      </w:r>
      <w:r w:rsidRPr="000D7670">
        <w:rPr>
          <w:rFonts w:cs="Times New Roman"/>
          <w:bCs/>
          <w:iCs/>
          <w:szCs w:val="20"/>
          <w:u w:val="single"/>
        </w:rPr>
        <w:t>nnex 14</w:t>
      </w:r>
      <w:r w:rsidRPr="000D7670">
        <w:rPr>
          <w:rFonts w:cs="Times New Roman"/>
          <w:bCs/>
          <w:iCs/>
          <w:szCs w:val="20"/>
        </w:rPr>
        <w:t xml:space="preserve"> (contd)</w:t>
      </w:r>
    </w:p>
    <w:p w14:paraId="4E14969F" w14:textId="15FF6910" w:rsidR="00E65E42" w:rsidRDefault="00E65E42" w:rsidP="000A4E1E">
      <w:pPr>
        <w:spacing w:after="240" w:line="240" w:lineRule="auto"/>
        <w:ind w:left="709"/>
        <w:jc w:val="both"/>
        <w:rPr>
          <w:rFonts w:ascii="Arial" w:eastAsia="Times New Roman" w:hAnsi="Arial" w:cs="Times New Roman"/>
          <w:bCs/>
          <w:sz w:val="18"/>
          <w:szCs w:val="18"/>
          <w:lang w:val="en-IE"/>
        </w:rPr>
      </w:pPr>
      <w:r w:rsidRPr="00D403F5">
        <w:rPr>
          <w:rFonts w:ascii="Arial" w:eastAsia="Times New Roman" w:hAnsi="Arial" w:cs="Arial"/>
          <w:bCs/>
          <w:sz w:val="18"/>
          <w:szCs w:val="18"/>
        </w:rPr>
        <w:t>Infection with VHSV may cause disease and mortality in all life stages of susceptible fish. VHSV does not infect fish eggs (</w:t>
      </w:r>
      <w:r w:rsidRPr="007B73F2">
        <w:rPr>
          <w:rFonts w:ascii="Arial" w:eastAsia="Times New Roman" w:hAnsi="Arial" w:cs="Arial"/>
          <w:bCs/>
          <w:sz w:val="18"/>
          <w:szCs w:val="18"/>
        </w:rPr>
        <w:t>Munro &amp; Gregory, 2010</w:t>
      </w:r>
      <w:r w:rsidRPr="00D403F5">
        <w:rPr>
          <w:rFonts w:ascii="Arial" w:eastAsia="Times New Roman" w:hAnsi="Arial" w:cs="Arial"/>
          <w:bCs/>
          <w:sz w:val="18"/>
          <w:szCs w:val="18"/>
        </w:rPr>
        <w:t>).</w:t>
      </w:r>
      <w:r w:rsidRPr="00D403F5">
        <w:rPr>
          <w:rFonts w:ascii="Arial" w:eastAsia="Times New Roman" w:hAnsi="Arial" w:cs="Times New Roman"/>
          <w:bCs/>
          <w:sz w:val="18"/>
          <w:szCs w:val="18"/>
          <w:lang w:val="en-IE"/>
        </w:rPr>
        <w:t xml:space="preserve"> </w:t>
      </w:r>
    </w:p>
    <w:p w14:paraId="06E333B2" w14:textId="77777777" w:rsidR="00E65E42" w:rsidRPr="00BD1674" w:rsidRDefault="00E65E42" w:rsidP="000A4E1E">
      <w:pPr>
        <w:spacing w:after="240" w:line="240" w:lineRule="auto"/>
        <w:ind w:left="709"/>
        <w:jc w:val="both"/>
        <w:rPr>
          <w:rFonts w:ascii="Arial" w:eastAsia="Times New Roman" w:hAnsi="Arial" w:cs="Arial"/>
          <w:bCs/>
          <w:sz w:val="18"/>
          <w:szCs w:val="18"/>
          <w:lang w:val="en-IE" w:eastAsia="en-IE"/>
        </w:rPr>
      </w:pPr>
      <w:r w:rsidRPr="00BD1674">
        <w:rPr>
          <w:rFonts w:ascii="Arial" w:eastAsia="Times New Roman" w:hAnsi="Arial" w:cs="Arial"/>
          <w:bCs/>
          <w:sz w:val="18"/>
          <w:szCs w:val="18"/>
        </w:rPr>
        <w:t xml:space="preserve">In surveys of wild marine fish, VHSV has been isolated from most year classes. Few fry have been tested however, as they are usually not caught during the surveys. The highest prevalence of virus </w:t>
      </w:r>
      <w:r w:rsidRPr="00BF51FB">
        <w:rPr>
          <w:rFonts w:ascii="Arial" w:eastAsia="Times New Roman" w:hAnsi="Arial" w:cs="Arial"/>
          <w:bCs/>
          <w:sz w:val="18"/>
          <w:szCs w:val="18"/>
          <w:highlight w:val="yellow"/>
          <w:u w:val="double"/>
        </w:rPr>
        <w:t>in sampled</w:t>
      </w:r>
      <w:r w:rsidRPr="00BF51FB">
        <w:rPr>
          <w:rFonts w:ascii="Arial" w:eastAsia="Times New Roman" w:hAnsi="Arial" w:cs="Arial"/>
          <w:bCs/>
          <w:sz w:val="18"/>
          <w:szCs w:val="18"/>
          <w:u w:val="double"/>
        </w:rPr>
        <w:t xml:space="preserve"> </w:t>
      </w:r>
      <w:r w:rsidRPr="00BF51FB">
        <w:rPr>
          <w:rFonts w:ascii="Arial" w:eastAsia="Times New Roman" w:hAnsi="Arial" w:cs="Arial"/>
          <w:bCs/>
          <w:sz w:val="18"/>
          <w:szCs w:val="18"/>
          <w:highlight w:val="yellow"/>
          <w:u w:val="double"/>
        </w:rPr>
        <w:t>wild populations</w:t>
      </w:r>
      <w:r w:rsidRPr="00E16E50">
        <w:rPr>
          <w:rFonts w:ascii="Arial" w:eastAsia="Times New Roman" w:hAnsi="Arial" w:cs="Arial"/>
          <w:bCs/>
          <w:sz w:val="18"/>
          <w:szCs w:val="18"/>
        </w:rPr>
        <w:t xml:space="preserve"> </w:t>
      </w:r>
      <w:r w:rsidRPr="00BD1674">
        <w:rPr>
          <w:rFonts w:ascii="Arial" w:eastAsia="Times New Roman" w:hAnsi="Arial" w:cs="Arial"/>
          <w:bCs/>
          <w:sz w:val="18"/>
          <w:szCs w:val="18"/>
        </w:rPr>
        <w:t>was found in shoaling fish, such as Atlantic herring</w:t>
      </w:r>
      <w:r>
        <w:rPr>
          <w:rFonts w:ascii="Arial" w:eastAsia="Times New Roman" w:hAnsi="Arial" w:cs="Arial"/>
          <w:bCs/>
          <w:sz w:val="18"/>
          <w:szCs w:val="18"/>
        </w:rPr>
        <w:t xml:space="preserve">, </w:t>
      </w:r>
      <w:r w:rsidRPr="00BD1674">
        <w:rPr>
          <w:rFonts w:ascii="Arial" w:eastAsia="Times New Roman" w:hAnsi="Arial" w:cs="Arial"/>
          <w:bCs/>
          <w:sz w:val="18"/>
          <w:szCs w:val="18"/>
        </w:rPr>
        <w:t xml:space="preserve">European sprat and Norway pout </w:t>
      </w:r>
      <w:r w:rsidRPr="00E16E50">
        <w:rPr>
          <w:rFonts w:ascii="Arial" w:eastAsia="Times New Roman" w:hAnsi="Arial" w:cs="Arial"/>
          <w:bCs/>
          <w:strike/>
          <w:sz w:val="18"/>
          <w:szCs w:val="18"/>
          <w:highlight w:val="yellow"/>
        </w:rPr>
        <w:t>(</w:t>
      </w:r>
      <w:r w:rsidRPr="00BF51FB">
        <w:rPr>
          <w:rFonts w:ascii="Arial" w:eastAsia="Times New Roman" w:hAnsi="Arial" w:cs="Arial"/>
          <w:bCs/>
          <w:i/>
          <w:iCs/>
          <w:strike/>
          <w:sz w:val="18"/>
          <w:szCs w:val="18"/>
          <w:highlight w:val="yellow"/>
          <w:lang w:val="en-IE"/>
        </w:rPr>
        <w:t>Sprattus sprattus</w:t>
      </w:r>
      <w:r w:rsidRPr="00E16E50">
        <w:rPr>
          <w:rFonts w:ascii="Arial" w:eastAsia="Times New Roman" w:hAnsi="Arial" w:cs="Arial"/>
          <w:bCs/>
          <w:strike/>
          <w:sz w:val="18"/>
          <w:szCs w:val="18"/>
          <w:highlight w:val="yellow"/>
        </w:rPr>
        <w:t>)</w:t>
      </w:r>
      <w:r w:rsidRPr="00BD1674">
        <w:rPr>
          <w:rFonts w:ascii="Arial" w:eastAsia="Times New Roman" w:hAnsi="Arial" w:cs="Arial"/>
          <w:bCs/>
          <w:sz w:val="18"/>
          <w:szCs w:val="18"/>
        </w:rPr>
        <w:t xml:space="preserve"> (</w:t>
      </w:r>
      <w:r w:rsidRPr="007B73F2">
        <w:rPr>
          <w:rFonts w:ascii="Arial" w:eastAsia="Times New Roman" w:hAnsi="Arial" w:cs="Arial"/>
          <w:bCs/>
          <w:sz w:val="18"/>
          <w:szCs w:val="18"/>
        </w:rPr>
        <w:t xml:space="preserve">Skall </w:t>
      </w:r>
      <w:r w:rsidRPr="007B73F2">
        <w:rPr>
          <w:rFonts w:ascii="Arial" w:eastAsia="Times New Roman" w:hAnsi="Arial" w:cs="Arial"/>
          <w:bCs/>
          <w:i/>
          <w:sz w:val="18"/>
          <w:szCs w:val="18"/>
        </w:rPr>
        <w:t>et al</w:t>
      </w:r>
      <w:r w:rsidRPr="007B73F2">
        <w:rPr>
          <w:rFonts w:ascii="Arial" w:eastAsia="Times New Roman" w:hAnsi="Arial" w:cs="Arial"/>
          <w:bCs/>
          <w:sz w:val="18"/>
          <w:szCs w:val="18"/>
        </w:rPr>
        <w:t>., 2005</w:t>
      </w:r>
      <w:r w:rsidRPr="00BF51FB">
        <w:rPr>
          <w:rFonts w:ascii="Arial" w:eastAsia="Times New Roman" w:hAnsi="Arial" w:cs="Arial"/>
          <w:bCs/>
          <w:sz w:val="18"/>
          <w:szCs w:val="18"/>
          <w:highlight w:val="yellow"/>
          <w:u w:val="double"/>
        </w:rPr>
        <w:t>a</w:t>
      </w:r>
      <w:r w:rsidRPr="00BD1674">
        <w:rPr>
          <w:rFonts w:ascii="Arial" w:eastAsia="Times New Roman" w:hAnsi="Arial" w:cs="Arial"/>
          <w:bCs/>
          <w:sz w:val="18"/>
          <w:szCs w:val="18"/>
        </w:rPr>
        <w:t>).</w:t>
      </w:r>
    </w:p>
    <w:p w14:paraId="5542F6A6"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2.2.5.</w:t>
      </w:r>
      <w:r w:rsidRPr="00BC2337">
        <w:rPr>
          <w:rFonts w:ascii="Ottawa" w:eastAsia="Times New Roman" w:hAnsi="Ottawa" w:cs="Times New Roman"/>
          <w:b/>
          <w:bCs/>
          <w:szCs w:val="20"/>
          <w:lang w:val="en-IE" w:eastAsia="fr-FR"/>
        </w:rPr>
        <w:tab/>
        <w:t>Distribution of the pathogen in the host</w:t>
      </w:r>
    </w:p>
    <w:p w14:paraId="04FD26FC" w14:textId="77777777" w:rsidR="00E65E42" w:rsidRPr="007B73F2" w:rsidRDefault="00E65E42" w:rsidP="000A4E1E">
      <w:pPr>
        <w:spacing w:after="240" w:line="240" w:lineRule="auto"/>
        <w:ind w:left="709"/>
        <w:jc w:val="both"/>
        <w:rPr>
          <w:rFonts w:ascii="Arial" w:eastAsia="Times New Roman" w:hAnsi="Arial" w:cs="Arial"/>
          <w:bCs/>
          <w:sz w:val="18"/>
          <w:szCs w:val="18"/>
          <w:lang w:val="en-IE" w:eastAsia="fr-FR"/>
        </w:rPr>
      </w:pPr>
      <w:r w:rsidRPr="007B73F2">
        <w:rPr>
          <w:rFonts w:ascii="Arial" w:eastAsia="Times New Roman" w:hAnsi="Arial" w:cs="Arial"/>
          <w:bCs/>
          <w:sz w:val="18"/>
          <w:szCs w:val="18"/>
        </w:rPr>
        <w:t xml:space="preserve">In fish showing clinical signs, the virus is abundant in all tissues including gill, skin and muscles (Sandlund </w:t>
      </w:r>
      <w:r w:rsidRPr="007B73F2">
        <w:rPr>
          <w:rFonts w:ascii="Arial" w:eastAsia="Times New Roman" w:hAnsi="Arial" w:cs="Times New Roman"/>
          <w:bCs/>
          <w:i/>
          <w:sz w:val="18"/>
          <w:szCs w:val="18"/>
          <w:lang w:val="en-IE"/>
        </w:rPr>
        <w:t>et al.,</w:t>
      </w:r>
      <w:r w:rsidRPr="007B73F2">
        <w:rPr>
          <w:rFonts w:ascii="Arial" w:eastAsia="Times New Roman" w:hAnsi="Arial" w:cs="Arial"/>
          <w:bCs/>
          <w:sz w:val="18"/>
          <w:szCs w:val="18"/>
        </w:rPr>
        <w:t xml:space="preserve"> 2014). Target organs are anterior kidney, heart and spleen, as these are the sites in which virus is most abundant. In chronic stages, virus titres can become high in the brain (Smail &amp; Snow, 2011; Wolf, 1988).</w:t>
      </w:r>
    </w:p>
    <w:p w14:paraId="7ECD3B81" w14:textId="77777777" w:rsidR="00E65E42" w:rsidRPr="007B73F2"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7B73F2">
        <w:rPr>
          <w:rFonts w:ascii="Ottawa" w:eastAsia="Times New Roman" w:hAnsi="Ottawa" w:cs="Times New Roman"/>
          <w:b/>
          <w:bCs/>
          <w:szCs w:val="20"/>
          <w:lang w:val="en-IE" w:eastAsia="fr-FR"/>
        </w:rPr>
        <w:t>2.2.6.</w:t>
      </w:r>
      <w:r w:rsidRPr="007B73F2">
        <w:rPr>
          <w:rFonts w:ascii="Ottawa" w:eastAsia="Times New Roman" w:hAnsi="Ottawa" w:cs="Times New Roman"/>
          <w:b/>
          <w:bCs/>
          <w:szCs w:val="20"/>
          <w:lang w:val="en-IE" w:eastAsia="fr-FR"/>
        </w:rPr>
        <w:tab/>
        <w:t xml:space="preserve">Aquatic animal reservoirs of infection </w:t>
      </w:r>
    </w:p>
    <w:p w14:paraId="2270B947" w14:textId="77777777" w:rsidR="00E65E42" w:rsidRPr="00D403F5" w:rsidRDefault="00E65E42" w:rsidP="000A4E1E">
      <w:pPr>
        <w:spacing w:after="240" w:line="240" w:lineRule="auto"/>
        <w:ind w:left="709"/>
        <w:jc w:val="both"/>
        <w:rPr>
          <w:rFonts w:ascii="Arial" w:eastAsia="Times New Roman" w:hAnsi="Arial" w:cs="Times New Roman"/>
          <w:bCs/>
          <w:sz w:val="18"/>
          <w:szCs w:val="18"/>
          <w:lang w:val="en-IE"/>
        </w:rPr>
      </w:pPr>
      <w:r w:rsidRPr="007B73F2">
        <w:rPr>
          <w:rFonts w:ascii="Arial" w:eastAsia="Times New Roman" w:hAnsi="Arial" w:cs="Arial"/>
          <w:bCs/>
          <w:sz w:val="18"/>
          <w:szCs w:val="18"/>
        </w:rPr>
        <w:t xml:space="preserve">Some survivors of epizootics will become long-term carriers of the virus. Pacific herring surviving infection with VHSV genotype IVa have transmitted disease to naïve cohabitants (Gross </w:t>
      </w:r>
      <w:r w:rsidRPr="007B73F2">
        <w:rPr>
          <w:rFonts w:ascii="Arial" w:eastAsia="Times New Roman" w:hAnsi="Arial" w:cs="Arial"/>
          <w:bCs/>
          <w:i/>
          <w:iCs/>
          <w:sz w:val="18"/>
          <w:szCs w:val="18"/>
        </w:rPr>
        <w:t>et al</w:t>
      </w:r>
      <w:r w:rsidRPr="007B73F2">
        <w:rPr>
          <w:rFonts w:ascii="Arial" w:eastAsia="Times New Roman" w:hAnsi="Arial" w:cs="Arial"/>
          <w:bCs/>
          <w:sz w:val="18"/>
          <w:szCs w:val="18"/>
        </w:rPr>
        <w:t xml:space="preserve">., 2019). Almost all isolations of VHSV genotype Ib, II and III from free-living fish species are from individuals with no clinical signs of infection with VHSV and with low virus titres (Skall </w:t>
      </w:r>
      <w:r w:rsidRPr="007B73F2">
        <w:rPr>
          <w:rFonts w:ascii="Arial" w:eastAsia="Times New Roman" w:hAnsi="Arial" w:cs="Times New Roman"/>
          <w:bCs/>
          <w:i/>
          <w:sz w:val="18"/>
          <w:szCs w:val="18"/>
          <w:lang w:val="en-IE"/>
        </w:rPr>
        <w:t>et al.,</w:t>
      </w:r>
      <w:r w:rsidRPr="007B73F2">
        <w:rPr>
          <w:rFonts w:ascii="Arial" w:eastAsia="Times New Roman" w:hAnsi="Arial" w:cs="Times New Roman"/>
          <w:bCs/>
          <w:sz w:val="18"/>
          <w:szCs w:val="18"/>
          <w:lang w:val="en-IE"/>
        </w:rPr>
        <w:t xml:space="preserve"> </w:t>
      </w:r>
      <w:r w:rsidRPr="007B73F2">
        <w:rPr>
          <w:rFonts w:ascii="Arial" w:eastAsia="Times New Roman" w:hAnsi="Arial" w:cs="Arial"/>
          <w:bCs/>
          <w:sz w:val="18"/>
          <w:szCs w:val="18"/>
        </w:rPr>
        <w:t>200</w:t>
      </w:r>
      <w:r w:rsidRPr="00D403F5">
        <w:rPr>
          <w:rFonts w:ascii="Arial" w:eastAsia="Times New Roman" w:hAnsi="Arial" w:cs="Arial"/>
          <w:bCs/>
          <w:sz w:val="18"/>
          <w:szCs w:val="18"/>
        </w:rPr>
        <w:t>5</w:t>
      </w:r>
      <w:r w:rsidRPr="008C64F3">
        <w:rPr>
          <w:rFonts w:ascii="Arial" w:eastAsia="Times New Roman" w:hAnsi="Arial" w:cs="Arial"/>
          <w:bCs/>
          <w:sz w:val="18"/>
          <w:szCs w:val="18"/>
          <w:highlight w:val="yellow"/>
          <w:u w:val="double"/>
        </w:rPr>
        <w:t>a</w:t>
      </w:r>
      <w:r w:rsidRPr="00D403F5">
        <w:rPr>
          <w:rFonts w:ascii="Arial" w:eastAsia="Times New Roman" w:hAnsi="Arial" w:cs="Arial"/>
          <w:bCs/>
          <w:sz w:val="18"/>
          <w:szCs w:val="18"/>
        </w:rPr>
        <w:t>).</w:t>
      </w:r>
    </w:p>
    <w:p w14:paraId="5980A48B"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2.2.7.</w:t>
      </w:r>
      <w:r w:rsidRPr="00BC2337">
        <w:rPr>
          <w:rFonts w:ascii="Ottawa" w:eastAsia="Times New Roman" w:hAnsi="Ottawa" w:cs="Times New Roman"/>
          <w:b/>
          <w:bCs/>
          <w:szCs w:val="20"/>
          <w:lang w:val="en-IE" w:eastAsia="fr-FR"/>
        </w:rPr>
        <w:tab/>
        <w:t>Vectors</w:t>
      </w:r>
    </w:p>
    <w:p w14:paraId="37355AD6" w14:textId="77777777" w:rsidR="00E65E42" w:rsidRPr="007B73F2" w:rsidRDefault="00E65E42" w:rsidP="000A4E1E">
      <w:pPr>
        <w:spacing w:after="240" w:line="240" w:lineRule="auto"/>
        <w:ind w:left="709"/>
        <w:jc w:val="both"/>
        <w:rPr>
          <w:rFonts w:ascii="Arial" w:eastAsia="Times New Roman" w:hAnsi="Arial" w:cs="Arial"/>
          <w:bCs/>
          <w:sz w:val="18"/>
          <w:szCs w:val="18"/>
        </w:rPr>
      </w:pPr>
      <w:r w:rsidRPr="00D403F5">
        <w:rPr>
          <w:rFonts w:ascii="Arial" w:eastAsia="Times New Roman" w:hAnsi="Arial" w:cs="Arial"/>
          <w:bCs/>
          <w:sz w:val="18"/>
          <w:szCs w:val="18"/>
        </w:rPr>
        <w:t>VHSV has been isolated from common snapping turtle (</w:t>
      </w:r>
      <w:r w:rsidRPr="00D403F5">
        <w:rPr>
          <w:rFonts w:ascii="Arial" w:eastAsia="Times New Roman" w:hAnsi="Arial" w:cs="Arial"/>
          <w:bCs/>
          <w:i/>
          <w:iCs/>
          <w:sz w:val="18"/>
          <w:szCs w:val="18"/>
        </w:rPr>
        <w:t>Chelra serpentina</w:t>
      </w:r>
      <w:r w:rsidRPr="00D403F5">
        <w:rPr>
          <w:rFonts w:ascii="Arial" w:eastAsia="Times New Roman" w:hAnsi="Arial" w:cs="Arial"/>
          <w:bCs/>
          <w:sz w:val="18"/>
          <w:szCs w:val="18"/>
        </w:rPr>
        <w:t>), leech (</w:t>
      </w:r>
      <w:r w:rsidRPr="00D403F5">
        <w:rPr>
          <w:rFonts w:ascii="Arial" w:eastAsia="Times New Roman" w:hAnsi="Arial" w:cs="Arial"/>
          <w:bCs/>
          <w:i/>
          <w:iCs/>
          <w:sz w:val="18"/>
          <w:szCs w:val="18"/>
        </w:rPr>
        <w:t>Myzobdella lugubris</w:t>
      </w:r>
      <w:r w:rsidRPr="00D403F5">
        <w:rPr>
          <w:rFonts w:ascii="Arial" w:eastAsia="Times New Roman" w:hAnsi="Arial" w:cs="Arial"/>
          <w:bCs/>
          <w:sz w:val="18"/>
          <w:szCs w:val="18"/>
        </w:rPr>
        <w:t>), northern map turtle (</w:t>
      </w:r>
      <w:r w:rsidRPr="00D403F5">
        <w:rPr>
          <w:rFonts w:ascii="Arial" w:eastAsia="Times New Roman" w:hAnsi="Arial" w:cs="Arial"/>
          <w:bCs/>
          <w:i/>
          <w:iCs/>
          <w:sz w:val="18"/>
          <w:szCs w:val="18"/>
        </w:rPr>
        <w:t>Grapetemys geographicas</w:t>
      </w:r>
      <w:r w:rsidRPr="00D403F5">
        <w:rPr>
          <w:rFonts w:ascii="Arial" w:eastAsia="Times New Roman" w:hAnsi="Arial" w:cs="Arial"/>
          <w:bCs/>
          <w:sz w:val="18"/>
          <w:szCs w:val="18"/>
        </w:rPr>
        <w:t>) and water flea (</w:t>
      </w:r>
      <w:r w:rsidRPr="00D403F5">
        <w:rPr>
          <w:rFonts w:ascii="Arial" w:eastAsia="Times New Roman" w:hAnsi="Arial" w:cs="Arial"/>
          <w:bCs/>
          <w:i/>
          <w:iCs/>
          <w:sz w:val="18"/>
          <w:szCs w:val="18"/>
        </w:rPr>
        <w:t>Moina macrocopa</w:t>
      </w:r>
      <w:r w:rsidRPr="00D403F5">
        <w:rPr>
          <w:rFonts w:ascii="Arial" w:eastAsia="Times New Roman" w:hAnsi="Arial" w:cs="Arial"/>
          <w:bCs/>
          <w:sz w:val="18"/>
          <w:szCs w:val="18"/>
        </w:rPr>
        <w:t xml:space="preserve">) and these species </w:t>
      </w:r>
      <w:r w:rsidRPr="00BF51FB">
        <w:rPr>
          <w:rFonts w:ascii="Arial" w:eastAsia="Times New Roman" w:hAnsi="Arial" w:cs="Arial"/>
          <w:bCs/>
          <w:strike/>
          <w:sz w:val="18"/>
          <w:szCs w:val="18"/>
          <w:highlight w:val="yellow"/>
        </w:rPr>
        <w:t xml:space="preserve">are </w:t>
      </w:r>
      <w:r w:rsidRPr="008C64F3">
        <w:rPr>
          <w:rFonts w:ascii="Arial" w:eastAsia="Times New Roman" w:hAnsi="Arial" w:cs="Times New Roman"/>
          <w:bCs/>
          <w:strike/>
          <w:sz w:val="18"/>
          <w:szCs w:val="18"/>
          <w:highlight w:val="yellow"/>
          <w:lang w:val="en-US"/>
        </w:rPr>
        <w:t>considered</w:t>
      </w:r>
      <w:r w:rsidRPr="008C64F3">
        <w:rPr>
          <w:rFonts w:ascii="Arial" w:eastAsia="Times New Roman" w:hAnsi="Arial" w:cs="Times New Roman"/>
          <w:bCs/>
          <w:sz w:val="18"/>
          <w:szCs w:val="18"/>
          <w:highlight w:val="yellow"/>
          <w:lang w:val="en-US"/>
        </w:rPr>
        <w:t xml:space="preserve"> </w:t>
      </w:r>
      <w:r w:rsidRPr="008C64F3">
        <w:rPr>
          <w:rFonts w:ascii="Arial" w:eastAsia="Times New Roman" w:hAnsi="Arial" w:cs="Times New Roman"/>
          <w:bCs/>
          <w:sz w:val="18"/>
          <w:szCs w:val="18"/>
          <w:highlight w:val="yellow"/>
          <w:u w:val="double"/>
          <w:lang w:val="en-US"/>
        </w:rPr>
        <w:t>may be potential</w:t>
      </w:r>
      <w:r w:rsidRPr="008C64F3">
        <w:rPr>
          <w:rFonts w:ascii="Arial" w:eastAsia="Times New Roman" w:hAnsi="Arial" w:cs="Times New Roman"/>
          <w:bCs/>
          <w:sz w:val="18"/>
          <w:szCs w:val="18"/>
          <w:highlight w:val="yellow"/>
          <w:lang w:val="en-US"/>
        </w:rPr>
        <w:t xml:space="preserve"> </w:t>
      </w:r>
      <w:r w:rsidRPr="008C64F3">
        <w:rPr>
          <w:rFonts w:ascii="Arial" w:eastAsia="Times New Roman" w:hAnsi="Arial" w:cs="Times New Roman"/>
          <w:bCs/>
          <w:strike/>
          <w:sz w:val="18"/>
          <w:szCs w:val="18"/>
          <w:highlight w:val="yellow"/>
          <w:lang w:val="en-US"/>
        </w:rPr>
        <w:t>to be</w:t>
      </w:r>
      <w:r w:rsidRPr="008C64F3">
        <w:rPr>
          <w:rFonts w:ascii="Arial" w:eastAsia="Times New Roman" w:hAnsi="Arial" w:cs="Times New Roman"/>
          <w:bCs/>
          <w:strike/>
          <w:sz w:val="18"/>
          <w:szCs w:val="18"/>
          <w:lang w:val="en-US"/>
        </w:rPr>
        <w:t xml:space="preserve"> </w:t>
      </w:r>
      <w:r w:rsidRPr="00D403F5">
        <w:rPr>
          <w:rFonts w:ascii="Arial" w:eastAsia="Times New Roman" w:hAnsi="Arial" w:cs="Times New Roman"/>
          <w:bCs/>
          <w:sz w:val="18"/>
          <w:szCs w:val="18"/>
          <w:lang w:val="en-US"/>
        </w:rPr>
        <w:t xml:space="preserve">vectors for transmission of VHSV </w:t>
      </w:r>
      <w:r w:rsidRPr="00BF51FB">
        <w:rPr>
          <w:rFonts w:ascii="Arial" w:eastAsia="Times New Roman" w:hAnsi="Arial" w:cs="Times New Roman"/>
          <w:bCs/>
          <w:strike/>
          <w:sz w:val="18"/>
          <w:szCs w:val="18"/>
          <w:highlight w:val="yellow"/>
          <w:lang w:val="en-US"/>
        </w:rPr>
        <w:t>rather than true susceptible species</w:t>
      </w:r>
      <w:r w:rsidRPr="00575564">
        <w:rPr>
          <w:rFonts w:ascii="Arial" w:eastAsia="Times New Roman" w:hAnsi="Arial" w:cs="Times New Roman"/>
          <w:bCs/>
          <w:strike/>
          <w:color w:val="FF0000"/>
          <w:sz w:val="18"/>
          <w:szCs w:val="18"/>
          <w:lang w:val="en-US"/>
        </w:rPr>
        <w:t xml:space="preserve"> </w:t>
      </w:r>
      <w:r w:rsidRPr="00BF51FB">
        <w:rPr>
          <w:rFonts w:ascii="Arial" w:eastAsia="Times New Roman" w:hAnsi="Arial" w:cs="Times New Roman"/>
          <w:bCs/>
          <w:sz w:val="18"/>
          <w:szCs w:val="18"/>
          <w:lang w:val="en-US"/>
        </w:rPr>
        <w:t>(</w:t>
      </w:r>
      <w:r w:rsidRPr="007B73F2">
        <w:rPr>
          <w:rFonts w:ascii="Arial" w:eastAsia="Times New Roman" w:hAnsi="Arial" w:cs="Times New Roman"/>
          <w:bCs/>
          <w:sz w:val="18"/>
          <w:szCs w:val="18"/>
          <w:lang w:val="en-US"/>
        </w:rPr>
        <w:t xml:space="preserve">Faisal &amp; Schultz, 2009; Goodwin &amp; Merry, 2011; Ito &amp; Olesen, 2017). </w:t>
      </w:r>
      <w:r w:rsidRPr="007B73F2">
        <w:rPr>
          <w:rFonts w:ascii="Arial" w:eastAsia="Times New Roman" w:hAnsi="Arial" w:cs="Arial"/>
          <w:bCs/>
          <w:sz w:val="18"/>
          <w:szCs w:val="18"/>
        </w:rPr>
        <w:t xml:space="preserve">VHSV has also been isolated from the amphipods </w:t>
      </w:r>
      <w:r w:rsidRPr="007B73F2">
        <w:rPr>
          <w:rFonts w:ascii="Arial" w:eastAsia="Times New Roman" w:hAnsi="Arial" w:cs="Arial"/>
          <w:bCs/>
          <w:i/>
          <w:sz w:val="18"/>
          <w:szCs w:val="18"/>
        </w:rPr>
        <w:t xml:space="preserve">Hyalellea </w:t>
      </w:r>
      <w:r w:rsidRPr="007B73F2">
        <w:rPr>
          <w:rFonts w:ascii="Arial" w:eastAsia="Times New Roman" w:hAnsi="Arial" w:cs="Arial"/>
          <w:bCs/>
          <w:sz w:val="18"/>
          <w:szCs w:val="18"/>
        </w:rPr>
        <w:t>spp</w:t>
      </w:r>
      <w:r w:rsidRPr="007B73F2">
        <w:rPr>
          <w:rFonts w:ascii="Arial" w:eastAsia="Times New Roman" w:hAnsi="Arial" w:cs="Arial"/>
          <w:bCs/>
          <w:i/>
          <w:sz w:val="18"/>
          <w:szCs w:val="18"/>
        </w:rPr>
        <w:t xml:space="preserve">. </w:t>
      </w:r>
      <w:r w:rsidRPr="007B73F2">
        <w:rPr>
          <w:rFonts w:ascii="Arial" w:eastAsia="Times New Roman" w:hAnsi="Arial" w:cs="Arial"/>
          <w:bCs/>
          <w:sz w:val="18"/>
          <w:szCs w:val="18"/>
        </w:rPr>
        <w:t xml:space="preserve">and </w:t>
      </w:r>
      <w:r w:rsidRPr="007B73F2">
        <w:rPr>
          <w:rFonts w:ascii="Arial" w:eastAsia="Times New Roman" w:hAnsi="Arial" w:cs="Arial"/>
          <w:bCs/>
          <w:i/>
          <w:sz w:val="18"/>
          <w:szCs w:val="18"/>
        </w:rPr>
        <w:t>Diporeia spp</w:t>
      </w:r>
      <w:r w:rsidRPr="007B73F2">
        <w:rPr>
          <w:rFonts w:ascii="Arial" w:eastAsia="Times New Roman" w:hAnsi="Arial" w:cs="Arial"/>
          <w:bCs/>
          <w:sz w:val="18"/>
          <w:szCs w:val="18"/>
        </w:rPr>
        <w:t>.,</w:t>
      </w:r>
      <w:r w:rsidRPr="007B73F2">
        <w:rPr>
          <w:rFonts w:ascii="Arial" w:eastAsia="Times New Roman" w:hAnsi="Arial" w:cs="Times New Roman"/>
          <w:bCs/>
          <w:sz w:val="18"/>
          <w:szCs w:val="18"/>
          <w:lang w:val="en-IE"/>
        </w:rPr>
        <w:t xml:space="preserve"> </w:t>
      </w:r>
      <w:r w:rsidRPr="007B73F2">
        <w:rPr>
          <w:rFonts w:ascii="Arial" w:eastAsia="Times New Roman" w:hAnsi="Arial" w:cs="Arial"/>
          <w:bCs/>
          <w:sz w:val="18"/>
          <w:szCs w:val="18"/>
        </w:rPr>
        <w:t xml:space="preserve">suggesting that benthic macroinvertebrates may be vectors for VHSV IVb in endemically affected systems. In contrast VHSV was not detected in mussels or sediments in the same water environment (Faisal &amp; Winters 2011; Throckmorton </w:t>
      </w:r>
      <w:r w:rsidRPr="007B73F2">
        <w:rPr>
          <w:rFonts w:ascii="Arial" w:eastAsia="Times New Roman" w:hAnsi="Arial" w:cs="Arial"/>
          <w:bCs/>
          <w:i/>
          <w:sz w:val="18"/>
          <w:szCs w:val="18"/>
        </w:rPr>
        <w:t>et al</w:t>
      </w:r>
      <w:r w:rsidRPr="007B73F2">
        <w:rPr>
          <w:rFonts w:ascii="Arial" w:eastAsia="Times New Roman" w:hAnsi="Arial" w:cs="Arial"/>
          <w:bCs/>
          <w:sz w:val="18"/>
          <w:szCs w:val="18"/>
        </w:rPr>
        <w:t>., 2017</w:t>
      </w:r>
      <w:r w:rsidRPr="00D403F5">
        <w:rPr>
          <w:rFonts w:ascii="Arial" w:eastAsia="Times New Roman" w:hAnsi="Arial" w:cs="Arial"/>
          <w:bCs/>
          <w:sz w:val="18"/>
          <w:szCs w:val="18"/>
        </w:rPr>
        <w:t xml:space="preserve">). VHSV has also been isolated from leech, </w:t>
      </w:r>
      <w:r w:rsidRPr="00D403F5">
        <w:rPr>
          <w:rFonts w:ascii="Arial" w:eastAsia="Times New Roman" w:hAnsi="Arial" w:cs="Arial"/>
          <w:bCs/>
          <w:i/>
          <w:sz w:val="18"/>
          <w:szCs w:val="18"/>
        </w:rPr>
        <w:t>Myzobdella lugubris,</w:t>
      </w:r>
      <w:r w:rsidRPr="00D403F5">
        <w:rPr>
          <w:rFonts w:ascii="Arial" w:eastAsia="Times New Roman" w:hAnsi="Arial" w:cs="Arial"/>
          <w:bCs/>
          <w:sz w:val="18"/>
          <w:szCs w:val="18"/>
        </w:rPr>
        <w:t xml:space="preserve"> in the Great </w:t>
      </w:r>
      <w:r w:rsidRPr="005650F2">
        <w:rPr>
          <w:rFonts w:ascii="Arial" w:eastAsia="Times New Roman" w:hAnsi="Arial" w:cs="Arial"/>
          <w:bCs/>
          <w:sz w:val="18"/>
          <w:szCs w:val="18"/>
        </w:rPr>
        <w:t>Lakes</w:t>
      </w:r>
      <w:r w:rsidRPr="00BF51FB">
        <w:rPr>
          <w:rFonts w:ascii="Arial" w:eastAsia="Times New Roman" w:hAnsi="Arial" w:cs="Arial"/>
          <w:bCs/>
          <w:strike/>
          <w:sz w:val="18"/>
          <w:szCs w:val="18"/>
          <w:highlight w:val="yellow"/>
        </w:rPr>
        <w:t xml:space="preserve"> but whether the leech or amphipods</w:t>
      </w:r>
      <w:r w:rsidRPr="00BF51FB">
        <w:rPr>
          <w:rFonts w:ascii="Arial" w:eastAsia="Times New Roman" w:hAnsi="Arial" w:cs="Times New Roman"/>
          <w:bCs/>
          <w:strike/>
          <w:sz w:val="18"/>
          <w:szCs w:val="18"/>
          <w:highlight w:val="yellow"/>
        </w:rPr>
        <w:t xml:space="preserve"> </w:t>
      </w:r>
      <w:r w:rsidRPr="00BF51FB">
        <w:rPr>
          <w:rFonts w:ascii="Arial" w:eastAsia="Times New Roman" w:hAnsi="Arial" w:cs="Arial"/>
          <w:bCs/>
          <w:strike/>
          <w:sz w:val="18"/>
          <w:szCs w:val="18"/>
          <w:highlight w:val="yellow"/>
        </w:rPr>
        <w:t>can transmit VHSV from one fish to another is unknown</w:t>
      </w:r>
      <w:r w:rsidRPr="00F45F0C">
        <w:rPr>
          <w:rFonts w:ascii="Arial" w:eastAsia="Times New Roman" w:hAnsi="Arial" w:cs="Arial"/>
          <w:bCs/>
          <w:sz w:val="18"/>
          <w:szCs w:val="18"/>
        </w:rPr>
        <w:t xml:space="preserve"> </w:t>
      </w:r>
      <w:r w:rsidRPr="00D403F5">
        <w:rPr>
          <w:rFonts w:ascii="Arial" w:eastAsia="Times New Roman" w:hAnsi="Arial" w:cs="Arial"/>
          <w:bCs/>
          <w:sz w:val="18"/>
          <w:szCs w:val="18"/>
        </w:rPr>
        <w:t>(</w:t>
      </w:r>
      <w:r w:rsidRPr="007B73F2">
        <w:rPr>
          <w:rFonts w:ascii="Arial" w:eastAsia="Times New Roman" w:hAnsi="Arial" w:cs="Arial"/>
          <w:bCs/>
          <w:sz w:val="18"/>
          <w:szCs w:val="18"/>
        </w:rPr>
        <w:t>Faisal &amp; Schulz, 2009; Faisal &amp; Winters, 2011).</w:t>
      </w:r>
    </w:p>
    <w:p w14:paraId="14EAA4A1" w14:textId="77777777" w:rsidR="00E65E42" w:rsidRPr="00D403F5" w:rsidRDefault="00E65E42" w:rsidP="000A4E1E">
      <w:pPr>
        <w:spacing w:after="240" w:line="240" w:lineRule="auto"/>
        <w:ind w:left="709"/>
        <w:jc w:val="both"/>
        <w:rPr>
          <w:rFonts w:ascii="Arial" w:eastAsia="Times New Roman" w:hAnsi="Arial" w:cs="Arial"/>
          <w:bCs/>
          <w:sz w:val="18"/>
          <w:szCs w:val="18"/>
        </w:rPr>
      </w:pPr>
      <w:r w:rsidRPr="007B73F2">
        <w:rPr>
          <w:rFonts w:ascii="Arial" w:eastAsia="Times New Roman" w:hAnsi="Arial" w:cs="Arial"/>
          <w:bCs/>
          <w:sz w:val="18"/>
          <w:szCs w:val="18"/>
        </w:rPr>
        <w:t>Piscivorous birds may act as VHSV vectors by carrying the virus, for example, on their feet (Olesen &amp; Jorgensen, 1982), or through regurgitation of infected fish (Peters &amp; Neukirch, 1986</w:t>
      </w:r>
      <w:r w:rsidRPr="00D403F5">
        <w:rPr>
          <w:rFonts w:ascii="Arial" w:eastAsia="Times New Roman" w:hAnsi="Arial" w:cs="Arial"/>
          <w:bCs/>
          <w:sz w:val="18"/>
          <w:szCs w:val="18"/>
        </w:rPr>
        <w:t>).</w:t>
      </w:r>
    </w:p>
    <w:p w14:paraId="08BA62A6" w14:textId="77777777" w:rsidR="00E65E42" w:rsidRPr="00D62973" w:rsidRDefault="00E65E42" w:rsidP="000A4E1E">
      <w:pPr>
        <w:tabs>
          <w:tab w:val="left" w:pos="1418"/>
        </w:tabs>
        <w:spacing w:after="120" w:line="240" w:lineRule="auto"/>
        <w:ind w:left="709" w:hanging="425"/>
        <w:jc w:val="both"/>
        <w:rPr>
          <w:rFonts w:ascii="Ottawa" w:eastAsia="MS Mincho" w:hAnsi="Ottawa" w:cs="Times New Roman"/>
          <w:b/>
          <w:sz w:val="21"/>
          <w:szCs w:val="21"/>
          <w:lang w:val="da-DK" w:eastAsia="da-DK"/>
        </w:rPr>
      </w:pPr>
      <w:r w:rsidRPr="00D62973">
        <w:rPr>
          <w:rFonts w:ascii="Ottawa" w:eastAsia="MS Mincho" w:hAnsi="Ottawa" w:cs="Times New Roman"/>
          <w:b/>
          <w:sz w:val="21"/>
          <w:szCs w:val="21"/>
          <w:lang w:val="da-DK" w:eastAsia="da-DK"/>
        </w:rPr>
        <w:t>2.3.</w:t>
      </w:r>
      <w:r w:rsidRPr="00D62973">
        <w:rPr>
          <w:rFonts w:ascii="Ottawa" w:eastAsia="MS Mincho" w:hAnsi="Ottawa" w:cs="Times New Roman"/>
          <w:b/>
          <w:sz w:val="21"/>
          <w:szCs w:val="21"/>
          <w:lang w:val="da-DK" w:eastAsia="da-DK"/>
        </w:rPr>
        <w:tab/>
        <w:t>Disease pattern</w:t>
      </w:r>
    </w:p>
    <w:p w14:paraId="71672995"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2.3.1.</w:t>
      </w:r>
      <w:r w:rsidRPr="00BC2337">
        <w:rPr>
          <w:rFonts w:ascii="Ottawa" w:eastAsia="Times New Roman" w:hAnsi="Ottawa" w:cs="Times New Roman"/>
          <w:b/>
          <w:bCs/>
          <w:szCs w:val="20"/>
          <w:lang w:val="en-IE" w:eastAsia="fr-FR"/>
        </w:rPr>
        <w:tab/>
        <w:t>Mortality, morbidity and prevalence</w:t>
      </w:r>
    </w:p>
    <w:p w14:paraId="1DB32A93" w14:textId="77777777" w:rsidR="00E65E42" w:rsidRPr="00D403F5" w:rsidRDefault="00E65E42" w:rsidP="000A4E1E">
      <w:pPr>
        <w:spacing w:after="240" w:line="240" w:lineRule="auto"/>
        <w:ind w:left="709"/>
        <w:jc w:val="both"/>
        <w:rPr>
          <w:rFonts w:ascii="Arial" w:eastAsia="Times New Roman" w:hAnsi="Arial" w:cs="Arial"/>
          <w:bCs/>
          <w:sz w:val="18"/>
          <w:szCs w:val="18"/>
          <w:lang w:val="en-IE" w:eastAsia="fr-FR"/>
        </w:rPr>
      </w:pPr>
      <w:r w:rsidRPr="00D403F5">
        <w:rPr>
          <w:rFonts w:ascii="Arial" w:eastAsia="Times New Roman" w:hAnsi="Arial" w:cs="Arial"/>
          <w:bCs/>
          <w:sz w:val="18"/>
          <w:szCs w:val="18"/>
        </w:rPr>
        <w:t>Mortality varies, depending on many environmental and physiological conditions, most of which have not been fully determined. The disease is, in general, a cool or cold water disease with highest mortality at temperatures around 9–12°C. Small rainbow trout fry (0.3–3 g) are most susceptible to genotype Ia with mortalities close to 100%, but all sizes of rainbow trout can be affected with mortalities ranging from 5 to 90% (</w:t>
      </w:r>
      <w:r w:rsidRPr="007B73F2">
        <w:rPr>
          <w:rFonts w:ascii="Arial" w:eastAsia="Times New Roman" w:hAnsi="Arial" w:cs="Arial"/>
          <w:bCs/>
          <w:sz w:val="18"/>
          <w:szCs w:val="18"/>
        </w:rPr>
        <w:t xml:space="preserve">Skall </w:t>
      </w:r>
      <w:r w:rsidRPr="007B73F2">
        <w:rPr>
          <w:rFonts w:ascii="Arial" w:eastAsia="Times New Roman" w:hAnsi="Arial" w:cs="Arial"/>
          <w:bCs/>
          <w:i/>
          <w:sz w:val="18"/>
          <w:szCs w:val="18"/>
        </w:rPr>
        <w:t>et al.</w:t>
      </w:r>
      <w:r w:rsidRPr="007B73F2">
        <w:rPr>
          <w:rFonts w:ascii="Arial" w:eastAsia="Times New Roman" w:hAnsi="Arial" w:cs="Arial"/>
          <w:bCs/>
          <w:sz w:val="18"/>
          <w:szCs w:val="18"/>
        </w:rPr>
        <w:t>, 2004). Immersion infection trials also induced up to 100% mortality in Pacific herring when challenged with genotype IVa (</w:t>
      </w:r>
      <w:r w:rsidRPr="007B73F2">
        <w:rPr>
          <w:rFonts w:ascii="Arial" w:eastAsia="Times New Roman" w:hAnsi="Arial" w:cs="Times New Roman"/>
          <w:bCs/>
          <w:sz w:val="18"/>
          <w:szCs w:val="18"/>
          <w:lang w:val="en-IE"/>
        </w:rPr>
        <w:t xml:space="preserve">Hershberger </w:t>
      </w:r>
      <w:r w:rsidRPr="007B73F2">
        <w:rPr>
          <w:rFonts w:ascii="Arial" w:eastAsia="Times New Roman" w:hAnsi="Arial" w:cs="Times New Roman"/>
          <w:bCs/>
          <w:i/>
          <w:sz w:val="18"/>
          <w:szCs w:val="18"/>
          <w:lang w:val="en-IE"/>
        </w:rPr>
        <w:t>et al.,</w:t>
      </w:r>
      <w:r w:rsidRPr="007B73F2">
        <w:rPr>
          <w:rFonts w:ascii="Arial" w:eastAsia="Times New Roman" w:hAnsi="Arial" w:cs="Times New Roman"/>
          <w:bCs/>
          <w:sz w:val="18"/>
          <w:szCs w:val="18"/>
          <w:lang w:val="en-IE"/>
        </w:rPr>
        <w:t xml:space="preserve"> 2010</w:t>
      </w:r>
      <w:r w:rsidRPr="007B73F2">
        <w:rPr>
          <w:rFonts w:ascii="Arial" w:eastAsia="Times New Roman" w:hAnsi="Arial" w:cs="Arial"/>
          <w:bCs/>
          <w:sz w:val="18"/>
          <w:szCs w:val="18"/>
        </w:rPr>
        <w:t>)</w:t>
      </w:r>
      <w:r w:rsidRPr="007B73F2">
        <w:rPr>
          <w:rFonts w:ascii="Arial" w:eastAsia="Times New Roman" w:hAnsi="Arial" w:cs="Times New Roman"/>
          <w:bCs/>
          <w:sz w:val="18"/>
          <w:szCs w:val="18"/>
          <w:lang w:val="en-IE"/>
        </w:rPr>
        <w:t xml:space="preserve">. Mortality in free living fish also varies from no observable deaths to severe die-offs. The prevalence of VHSV genotype Ib, II and III varies from 0 to 16.7% in Northern European waters </w:t>
      </w:r>
      <w:r w:rsidRPr="007B73F2">
        <w:rPr>
          <w:rFonts w:ascii="Arial" w:eastAsia="Times New Roman" w:hAnsi="Arial" w:cs="Arial"/>
          <w:bCs/>
          <w:sz w:val="18"/>
          <w:szCs w:val="18"/>
        </w:rPr>
        <w:t xml:space="preserve">(Skall </w:t>
      </w:r>
      <w:r w:rsidRPr="007B73F2">
        <w:rPr>
          <w:rFonts w:ascii="Arial" w:eastAsia="Times New Roman" w:hAnsi="Arial" w:cs="Arial"/>
          <w:bCs/>
          <w:i/>
          <w:sz w:val="18"/>
          <w:szCs w:val="18"/>
        </w:rPr>
        <w:t>et al.</w:t>
      </w:r>
      <w:r w:rsidRPr="007B73F2">
        <w:rPr>
          <w:rFonts w:ascii="Arial" w:eastAsia="Times New Roman" w:hAnsi="Arial" w:cs="Arial"/>
          <w:bCs/>
          <w:sz w:val="18"/>
          <w:szCs w:val="18"/>
        </w:rPr>
        <w:t>,</w:t>
      </w:r>
      <w:r w:rsidRPr="00D403F5">
        <w:rPr>
          <w:rFonts w:ascii="Arial" w:eastAsia="Times New Roman" w:hAnsi="Arial" w:cs="Arial"/>
          <w:bCs/>
          <w:sz w:val="18"/>
          <w:szCs w:val="18"/>
        </w:rPr>
        <w:t xml:space="preserve"> 2005b).</w:t>
      </w:r>
    </w:p>
    <w:p w14:paraId="7D74FD2D"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eastAsia="fr-FR"/>
        </w:rPr>
      </w:pPr>
      <w:r w:rsidRPr="00BC2337">
        <w:rPr>
          <w:rFonts w:ascii="Ottawa" w:eastAsia="Times New Roman" w:hAnsi="Ottawa" w:cs="Times New Roman"/>
          <w:b/>
          <w:bCs/>
          <w:szCs w:val="20"/>
          <w:lang w:eastAsia="fr-FR"/>
        </w:rPr>
        <w:t>2.3.2.</w:t>
      </w:r>
      <w:r w:rsidRPr="00BC2337">
        <w:rPr>
          <w:rFonts w:ascii="Ottawa" w:eastAsia="Times New Roman" w:hAnsi="Ottawa" w:cs="Times New Roman"/>
          <w:b/>
          <w:bCs/>
          <w:szCs w:val="20"/>
          <w:lang w:eastAsia="fr-FR"/>
        </w:rPr>
        <w:tab/>
      </w:r>
      <w:r w:rsidRPr="000A4E1E">
        <w:rPr>
          <w:rFonts w:ascii="Ottawa" w:eastAsia="Times New Roman" w:hAnsi="Ottawa" w:cs="Times New Roman"/>
          <w:b/>
          <w:bCs/>
          <w:szCs w:val="20"/>
          <w:lang w:val="en-IE" w:eastAsia="fr-FR"/>
        </w:rPr>
        <w:t>Clinical</w:t>
      </w:r>
      <w:r w:rsidRPr="00BC2337">
        <w:rPr>
          <w:rFonts w:ascii="Ottawa" w:eastAsia="Times New Roman" w:hAnsi="Ottawa" w:cs="Times New Roman"/>
          <w:b/>
          <w:bCs/>
          <w:szCs w:val="20"/>
          <w:lang w:eastAsia="fr-FR"/>
        </w:rPr>
        <w:t xml:space="preserve"> signs, including behavioural changes</w:t>
      </w:r>
    </w:p>
    <w:p w14:paraId="0C2194E5" w14:textId="77777777" w:rsidR="00E65E42" w:rsidRDefault="00E65E42" w:rsidP="000A4E1E">
      <w:pPr>
        <w:spacing w:after="240" w:line="240" w:lineRule="auto"/>
        <w:ind w:left="709"/>
        <w:jc w:val="both"/>
        <w:rPr>
          <w:rFonts w:ascii="Arial" w:eastAsia="Times New Roman" w:hAnsi="Arial" w:cs="Arial"/>
          <w:bCs/>
          <w:sz w:val="18"/>
          <w:szCs w:val="18"/>
          <w:lang w:val="en-IE" w:eastAsia="fr-FR"/>
        </w:rPr>
      </w:pPr>
      <w:r w:rsidRPr="00D403F5">
        <w:rPr>
          <w:rFonts w:ascii="Arial" w:eastAsia="Times New Roman" w:hAnsi="Arial" w:cs="Arial"/>
          <w:bCs/>
          <w:sz w:val="18"/>
          <w:szCs w:val="18"/>
          <w:lang w:val="en-IE" w:eastAsia="fr-FR"/>
        </w:rPr>
        <w:t>The occurrence of the following clinical signs is characteristic of infection with VHSV: rapid onset of mortality, lethargy, darkening of the skin, exophthalmia, anaemia (pale gills), haemorrhages at the base of the fins or in the gills, eyes or skin, abnormal swimming such as flashing and spiralling, and a distended abdomen due to oedema in the peritoneal cavity. In rainbow trout, the clinical appearance is typically lethargic dark fish with exophthalmia at the pond shores and the outlet. Characteristically, diseased fish will not attempt to escape when netted.</w:t>
      </w:r>
    </w:p>
    <w:p w14:paraId="1E749C17" w14:textId="72E1A103" w:rsidR="008A67C2" w:rsidRPr="008A67C2" w:rsidRDefault="008A67C2" w:rsidP="008A67C2">
      <w:pPr>
        <w:spacing w:after="480" w:line="240" w:lineRule="auto"/>
        <w:jc w:val="right"/>
        <w:rPr>
          <w:rFonts w:cs="Times New Roman"/>
          <w:bCs/>
          <w:iCs/>
          <w:szCs w:val="20"/>
        </w:rPr>
      </w:pPr>
      <w:r>
        <w:rPr>
          <w:rFonts w:ascii="Arial" w:eastAsia="Times New Roman" w:hAnsi="Arial" w:cs="Arial"/>
          <w:bCs/>
          <w:sz w:val="18"/>
          <w:szCs w:val="18"/>
          <w:highlight w:val="yellow"/>
          <w:u w:val="double"/>
          <w:lang w:val="en-IE" w:eastAsia="fr-FR"/>
        </w:rPr>
        <w:br w:type="page"/>
      </w: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7F59DE3E" w14:textId="694FEDAA" w:rsidR="00E65E42" w:rsidRPr="00477E13" w:rsidRDefault="00E65E42" w:rsidP="000A4E1E">
      <w:pPr>
        <w:spacing w:line="240" w:lineRule="auto"/>
        <w:ind w:left="709"/>
        <w:jc w:val="both"/>
        <w:rPr>
          <w:rFonts w:ascii="Arial" w:eastAsia="Times New Roman" w:hAnsi="Arial" w:cs="Arial"/>
          <w:bCs/>
          <w:sz w:val="18"/>
          <w:szCs w:val="18"/>
          <w:lang w:val="en-IE" w:eastAsia="fr-FR"/>
        </w:rPr>
      </w:pPr>
      <w:r w:rsidRPr="00BF51FB">
        <w:rPr>
          <w:rFonts w:ascii="Arial" w:eastAsia="Times New Roman" w:hAnsi="Arial" w:cs="Arial"/>
          <w:bCs/>
          <w:sz w:val="18"/>
          <w:szCs w:val="18"/>
          <w:highlight w:val="yellow"/>
          <w:u w:val="double"/>
          <w:lang w:val="en-IE" w:eastAsia="fr-FR"/>
        </w:rPr>
        <w:t>Some genotypes have specific predominant clinical signs of infection with VHSV. Skin lesions in cod and herring from the Pacific and Atlantic Oceans (including the North Sea), and in haddock from the North Sea, have been described frequently (</w:t>
      </w:r>
      <w:r w:rsidRPr="007B73F2">
        <w:rPr>
          <w:rFonts w:ascii="Arial" w:eastAsia="Times New Roman" w:hAnsi="Arial" w:cs="Arial"/>
          <w:bCs/>
          <w:sz w:val="18"/>
          <w:szCs w:val="18"/>
          <w:highlight w:val="yellow"/>
          <w:u w:val="double"/>
          <w:lang w:val="en-IE" w:eastAsia="fr-FR"/>
        </w:rPr>
        <w:t xml:space="preserve">Jensen &amp; Larsen, 1979; Meyers </w:t>
      </w:r>
      <w:r w:rsidRPr="007B73F2">
        <w:rPr>
          <w:rFonts w:ascii="Arial" w:eastAsia="Times New Roman" w:hAnsi="Arial" w:cs="Arial"/>
          <w:bCs/>
          <w:i/>
          <w:sz w:val="18"/>
          <w:szCs w:val="18"/>
          <w:highlight w:val="yellow"/>
          <w:u w:val="double"/>
          <w:lang w:val="en-IE" w:eastAsia="fr-FR"/>
        </w:rPr>
        <w:t>et al.,</w:t>
      </w:r>
      <w:r w:rsidRPr="007B73F2">
        <w:rPr>
          <w:rFonts w:ascii="Arial" w:eastAsia="Times New Roman" w:hAnsi="Arial" w:cs="Arial"/>
          <w:bCs/>
          <w:sz w:val="18"/>
          <w:szCs w:val="18"/>
          <w:highlight w:val="yellow"/>
          <w:u w:val="double"/>
          <w:lang w:val="en-IE" w:eastAsia="fr-FR"/>
        </w:rPr>
        <w:t xml:space="preserve"> 1992; Meyers &amp; Winton, 1995; Smail, 2000; Vestergard Jorgensen &amp; Olesen, 1987). </w:t>
      </w:r>
      <w:r w:rsidRPr="00BF51FB">
        <w:rPr>
          <w:rFonts w:ascii="Arial" w:eastAsia="Times New Roman" w:hAnsi="Arial" w:cs="Arial"/>
          <w:bCs/>
          <w:sz w:val="18"/>
          <w:szCs w:val="18"/>
          <w:highlight w:val="yellow"/>
          <w:u w:val="double"/>
          <w:lang w:val="en-IE" w:eastAsia="fr-FR"/>
        </w:rPr>
        <w:t>In farmed Japanese flounder, an ‘anaemic’ form (pale gills) of infection with VHSV has also been described (</w:t>
      </w:r>
      <w:r w:rsidRPr="00BA71C6">
        <w:rPr>
          <w:rFonts w:ascii="Arial" w:eastAsia="Times New Roman" w:hAnsi="Arial" w:cs="Arial"/>
          <w:bCs/>
          <w:sz w:val="18"/>
          <w:szCs w:val="18"/>
          <w:highlight w:val="yellow"/>
          <w:u w:val="double"/>
          <w:lang w:val="en-IE" w:eastAsia="fr-FR"/>
        </w:rPr>
        <w:t xml:space="preserve">Isshiki </w:t>
      </w:r>
      <w:r w:rsidRPr="00BA71C6">
        <w:rPr>
          <w:rFonts w:ascii="Arial" w:eastAsia="Times New Roman" w:hAnsi="Arial" w:cs="Arial"/>
          <w:bCs/>
          <w:i/>
          <w:sz w:val="18"/>
          <w:szCs w:val="18"/>
          <w:highlight w:val="yellow"/>
          <w:u w:val="double"/>
          <w:lang w:val="en-IE" w:eastAsia="fr-FR"/>
        </w:rPr>
        <w:t>et al.,</w:t>
      </w:r>
      <w:r w:rsidRPr="00BA71C6">
        <w:rPr>
          <w:rFonts w:ascii="Arial" w:eastAsia="Times New Roman" w:hAnsi="Arial" w:cs="Arial"/>
          <w:bCs/>
          <w:sz w:val="18"/>
          <w:szCs w:val="18"/>
          <w:highlight w:val="yellow"/>
          <w:u w:val="double"/>
          <w:lang w:val="en-IE" w:eastAsia="fr-FR"/>
        </w:rPr>
        <w:t xml:space="preserve"> 2001</w:t>
      </w:r>
      <w:r w:rsidRPr="00BF51FB">
        <w:rPr>
          <w:rFonts w:ascii="Arial" w:eastAsia="Times New Roman" w:hAnsi="Arial" w:cs="Arial"/>
          <w:bCs/>
          <w:sz w:val="18"/>
          <w:szCs w:val="18"/>
          <w:highlight w:val="yellow"/>
          <w:u w:val="double"/>
          <w:lang w:val="en-IE" w:eastAsia="fr-FR"/>
        </w:rPr>
        <w:t>).</w:t>
      </w:r>
    </w:p>
    <w:p w14:paraId="35AFF48C"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eastAsia="fr-FR"/>
        </w:rPr>
      </w:pPr>
      <w:r w:rsidRPr="00BC2337">
        <w:rPr>
          <w:rFonts w:ascii="Ottawa" w:eastAsia="Times New Roman" w:hAnsi="Ottawa" w:cs="Times New Roman"/>
          <w:b/>
          <w:bCs/>
          <w:szCs w:val="20"/>
          <w:lang w:eastAsia="fr-FR"/>
        </w:rPr>
        <w:t>2.3.3</w:t>
      </w:r>
      <w:r w:rsidRPr="00BC2337">
        <w:rPr>
          <w:rFonts w:ascii="Ottawa" w:eastAsia="Times New Roman" w:hAnsi="Ottawa" w:cs="Times New Roman"/>
          <w:b/>
          <w:bCs/>
          <w:szCs w:val="20"/>
          <w:lang w:eastAsia="fr-FR"/>
        </w:rPr>
        <w:tab/>
      </w:r>
      <w:r w:rsidRPr="000A4E1E">
        <w:rPr>
          <w:rFonts w:ascii="Ottawa" w:eastAsia="Times New Roman" w:hAnsi="Ottawa" w:cs="Times New Roman"/>
          <w:b/>
          <w:bCs/>
          <w:szCs w:val="20"/>
          <w:lang w:val="en-IE" w:eastAsia="fr-FR"/>
        </w:rPr>
        <w:t>Gross</w:t>
      </w:r>
      <w:r w:rsidRPr="00BC2337">
        <w:rPr>
          <w:rFonts w:ascii="Ottawa" w:eastAsia="Times New Roman" w:hAnsi="Ottawa" w:cs="Times New Roman"/>
          <w:b/>
          <w:bCs/>
          <w:szCs w:val="20"/>
          <w:lang w:eastAsia="fr-FR"/>
        </w:rPr>
        <w:t xml:space="preserve"> pathology</w:t>
      </w:r>
    </w:p>
    <w:p w14:paraId="3A457ACC" w14:textId="77777777" w:rsidR="00E65E42" w:rsidRPr="00D403F5" w:rsidRDefault="00E65E42" w:rsidP="000A4E1E">
      <w:pPr>
        <w:spacing w:line="240" w:lineRule="auto"/>
        <w:ind w:left="709"/>
        <w:jc w:val="both"/>
        <w:rPr>
          <w:rFonts w:ascii="Arial" w:eastAsia="Times New Roman" w:hAnsi="Arial" w:cs="Arial"/>
          <w:bCs/>
          <w:sz w:val="18"/>
          <w:szCs w:val="18"/>
          <w:lang w:val="en-IE" w:eastAsia="fr-FR"/>
        </w:rPr>
      </w:pPr>
      <w:r w:rsidRPr="00D403F5">
        <w:rPr>
          <w:rFonts w:ascii="Arial" w:eastAsia="Times New Roman" w:hAnsi="Arial" w:cs="Arial"/>
          <w:bCs/>
          <w:sz w:val="18"/>
          <w:szCs w:val="18"/>
          <w:lang w:eastAsia="fr-FR"/>
        </w:rPr>
        <w:t xml:space="preserve">Gross pathology includes generalised petechial haemorrhaging in the skin, muscle tissue (especially in dorsal muscles) and internal organs. It is important to examine the dorsal musculature for the presence of petechial bleeding, which is a very common sign of </w:t>
      </w:r>
      <w:r w:rsidRPr="00D403F5">
        <w:rPr>
          <w:rFonts w:ascii="Arial" w:eastAsia="Times New Roman" w:hAnsi="Arial" w:cs="Arial"/>
          <w:bCs/>
          <w:sz w:val="18"/>
          <w:szCs w:val="18"/>
          <w:lang w:val="en-IE" w:eastAsia="fr-FR"/>
        </w:rPr>
        <w:t>infection with VHSV</w:t>
      </w:r>
      <w:r w:rsidRPr="00D403F5">
        <w:rPr>
          <w:rFonts w:ascii="Arial" w:eastAsia="Times New Roman" w:hAnsi="Arial" w:cs="Arial"/>
          <w:bCs/>
          <w:sz w:val="18"/>
          <w:szCs w:val="18"/>
          <w:lang w:eastAsia="fr-FR"/>
        </w:rPr>
        <w:t>. The kidney is dark red in the acute phase and can demonstrate severe necrosis in moribund fish. The spleen is moderately swollen. The liver is often pale and mottled. The gastrointestinal tract, especially the hind gut, is pale and devoid of food.</w:t>
      </w:r>
    </w:p>
    <w:p w14:paraId="1684B915"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2.3.4.</w:t>
      </w:r>
      <w:r w:rsidRPr="00BC2337">
        <w:rPr>
          <w:rFonts w:ascii="Ottawa" w:eastAsia="Times New Roman" w:hAnsi="Ottawa" w:cs="Times New Roman"/>
          <w:b/>
          <w:bCs/>
          <w:szCs w:val="20"/>
          <w:lang w:val="en-IE" w:eastAsia="fr-FR"/>
        </w:rPr>
        <w:tab/>
        <w:t>Modes of transmission and life cycle</w:t>
      </w:r>
    </w:p>
    <w:p w14:paraId="7CBD0D5A" w14:textId="77777777" w:rsidR="00E65E42" w:rsidRPr="007B73F2" w:rsidRDefault="00E65E42" w:rsidP="000A4E1E">
      <w:pPr>
        <w:spacing w:line="240" w:lineRule="auto"/>
        <w:ind w:left="709"/>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Transmission primarily occurs horizontally through water, with excretion of virus in the urine, and directly from the skin (</w:t>
      </w:r>
      <w:r w:rsidRPr="007B73F2">
        <w:rPr>
          <w:rFonts w:ascii="Arial" w:eastAsia="Times New Roman" w:hAnsi="Arial" w:cs="Arial"/>
          <w:bCs/>
          <w:sz w:val="18"/>
          <w:szCs w:val="18"/>
          <w:lang w:val="en-IE"/>
        </w:rPr>
        <w:t xml:space="preserve">Smail &amp; Snow, 2011). Oral transmission was also demonstrated indicating that preying on infected fish and vectors may transfer the disease (Schonherz </w:t>
      </w:r>
      <w:r w:rsidRPr="007B73F2">
        <w:rPr>
          <w:rFonts w:ascii="Arial" w:eastAsia="Times New Roman" w:hAnsi="Arial" w:cs="Arial"/>
          <w:bCs/>
          <w:i/>
          <w:sz w:val="18"/>
          <w:szCs w:val="18"/>
          <w:lang w:val="en-IE"/>
        </w:rPr>
        <w:t>et al.</w:t>
      </w:r>
      <w:r w:rsidRPr="007B73F2">
        <w:rPr>
          <w:rFonts w:ascii="Arial" w:eastAsia="Times New Roman" w:hAnsi="Arial" w:cs="Arial"/>
          <w:bCs/>
          <w:sz w:val="18"/>
          <w:szCs w:val="18"/>
          <w:lang w:val="en-IE"/>
        </w:rPr>
        <w:t xml:space="preserve"> 2012).</w:t>
      </w:r>
    </w:p>
    <w:p w14:paraId="7BB634C5" w14:textId="77777777" w:rsidR="00E65E42" w:rsidRPr="007B73F2" w:rsidRDefault="00E65E42" w:rsidP="000A4E1E">
      <w:pPr>
        <w:spacing w:line="240" w:lineRule="auto"/>
        <w:ind w:left="709"/>
        <w:jc w:val="both"/>
        <w:rPr>
          <w:rFonts w:ascii="Arial" w:eastAsia="Times New Roman" w:hAnsi="Arial" w:cs="Arial"/>
          <w:bCs/>
          <w:sz w:val="18"/>
          <w:szCs w:val="18"/>
          <w:lang w:val="en-US"/>
        </w:rPr>
      </w:pPr>
      <w:r w:rsidRPr="007B73F2">
        <w:rPr>
          <w:rFonts w:ascii="Arial" w:eastAsia="Times New Roman" w:hAnsi="Arial" w:cs="Times New Roman"/>
          <w:bCs/>
          <w:sz w:val="18"/>
          <w:szCs w:val="18"/>
          <w:lang w:val="en-IE"/>
        </w:rPr>
        <w:t xml:space="preserve">Experimentally it has been demonstrated that feeding fresh (unfrozen) muscle tissue from VHSV-infected rainbow trout can transmit VHSV to naïve fish (Oidtmann </w:t>
      </w:r>
      <w:r w:rsidRPr="007B73F2">
        <w:rPr>
          <w:rFonts w:ascii="Arial" w:eastAsia="Times New Roman" w:hAnsi="Arial" w:cs="Times New Roman"/>
          <w:bCs/>
          <w:i/>
          <w:sz w:val="18"/>
          <w:szCs w:val="18"/>
          <w:lang w:val="en-IE"/>
        </w:rPr>
        <w:t>et al.,</w:t>
      </w:r>
      <w:r w:rsidRPr="007B73F2">
        <w:rPr>
          <w:rFonts w:ascii="Arial" w:eastAsia="Times New Roman" w:hAnsi="Arial" w:cs="Times New Roman"/>
          <w:bCs/>
          <w:sz w:val="18"/>
          <w:szCs w:val="18"/>
          <w:lang w:val="en-IE"/>
        </w:rPr>
        <w:t xml:space="preserve"> 2011).</w:t>
      </w:r>
    </w:p>
    <w:p w14:paraId="18136C2B" w14:textId="77777777" w:rsidR="00E65E42" w:rsidRPr="00D403F5" w:rsidRDefault="00E65E42" w:rsidP="000A4E1E">
      <w:pPr>
        <w:spacing w:line="240" w:lineRule="auto"/>
        <w:ind w:left="709"/>
        <w:jc w:val="both"/>
        <w:rPr>
          <w:rFonts w:ascii="Arial" w:eastAsia="Times New Roman" w:hAnsi="Arial" w:cs="Arial"/>
          <w:bCs/>
          <w:sz w:val="18"/>
          <w:szCs w:val="18"/>
          <w:lang w:val="en-IE"/>
        </w:rPr>
      </w:pPr>
      <w:r w:rsidRPr="007B73F2">
        <w:rPr>
          <w:rFonts w:ascii="Arial" w:eastAsia="Times New Roman" w:hAnsi="Arial" w:cs="Arial"/>
          <w:bCs/>
          <w:sz w:val="18"/>
          <w:szCs w:val="18"/>
          <w:lang w:val="en-IE"/>
        </w:rPr>
        <w:t xml:space="preserve">There are no indications or evidence of true vertical transmission of VHSV (Bovo </w:t>
      </w:r>
      <w:r w:rsidRPr="007B73F2">
        <w:rPr>
          <w:rFonts w:ascii="Arial" w:eastAsia="Times New Roman" w:hAnsi="Arial" w:cs="Arial"/>
          <w:bCs/>
          <w:i/>
          <w:sz w:val="18"/>
          <w:szCs w:val="18"/>
          <w:lang w:val="en-IE"/>
        </w:rPr>
        <w:t>et al</w:t>
      </w:r>
      <w:r w:rsidRPr="007B73F2">
        <w:rPr>
          <w:rFonts w:ascii="Arial" w:eastAsia="Times New Roman" w:hAnsi="Arial" w:cs="Arial"/>
          <w:bCs/>
          <w:sz w:val="18"/>
          <w:szCs w:val="18"/>
          <w:lang w:val="en-IE"/>
        </w:rPr>
        <w:t xml:space="preserve">., 2005a; </w:t>
      </w:r>
      <w:r w:rsidRPr="007B73F2">
        <w:rPr>
          <w:rFonts w:ascii="Arial" w:eastAsia="Times New Roman" w:hAnsi="Arial" w:cs="Arial"/>
          <w:bCs/>
          <w:sz w:val="18"/>
          <w:szCs w:val="18"/>
        </w:rPr>
        <w:t>Munro &amp; Gregory, 2010</w:t>
      </w:r>
      <w:r w:rsidRPr="007B73F2">
        <w:rPr>
          <w:rFonts w:ascii="Arial" w:eastAsia="Times New Roman" w:hAnsi="Arial" w:cs="Arial"/>
          <w:bCs/>
          <w:sz w:val="18"/>
          <w:szCs w:val="18"/>
          <w:lang w:val="en-IE"/>
        </w:rPr>
        <w:t>).</w:t>
      </w:r>
    </w:p>
    <w:p w14:paraId="3C29782D"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2.3.5.</w:t>
      </w:r>
      <w:r w:rsidRPr="00BC2337">
        <w:rPr>
          <w:rFonts w:ascii="Ottawa" w:eastAsia="Times New Roman" w:hAnsi="Ottawa" w:cs="Times New Roman"/>
          <w:b/>
          <w:bCs/>
          <w:szCs w:val="20"/>
          <w:lang w:val="en-IE" w:eastAsia="fr-FR"/>
        </w:rPr>
        <w:tab/>
        <w:t xml:space="preserve">Environmental and management factors </w:t>
      </w:r>
    </w:p>
    <w:p w14:paraId="1DF425ED" w14:textId="77777777" w:rsidR="00E65E42" w:rsidRPr="00D403F5" w:rsidRDefault="00E65E42" w:rsidP="000A4E1E">
      <w:pPr>
        <w:spacing w:line="240" w:lineRule="auto"/>
        <w:ind w:left="709"/>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Disease generally occurs at temperatures between 4°C and 14°C. At water temperatures between 15°C and 18°C, the disease generally takes a short course with low levels of mortality.</w:t>
      </w:r>
    </w:p>
    <w:p w14:paraId="3A5FA4D4" w14:textId="77777777" w:rsidR="00E65E42" w:rsidRDefault="00E65E42" w:rsidP="000A4E1E">
      <w:pPr>
        <w:spacing w:line="240" w:lineRule="auto"/>
        <w:ind w:left="709"/>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Low water temperatures (1–5°C) generally result in an extended disease course with low daily mortality but high accumulated mortality. </w:t>
      </w:r>
      <w:r>
        <w:rPr>
          <w:rFonts w:ascii="Arial" w:eastAsia="Times New Roman" w:hAnsi="Arial" w:cs="Arial"/>
          <w:bCs/>
          <w:sz w:val="18"/>
          <w:szCs w:val="18"/>
          <w:lang w:val="en-IE"/>
        </w:rPr>
        <w:t>O</w:t>
      </w:r>
      <w:r w:rsidRPr="00D403F5">
        <w:rPr>
          <w:rFonts w:ascii="Arial" w:eastAsia="Times New Roman" w:hAnsi="Arial" w:cs="Arial"/>
          <w:bCs/>
          <w:sz w:val="18"/>
          <w:szCs w:val="18"/>
          <w:lang w:val="en-IE"/>
        </w:rPr>
        <w:t>utbreaks</w:t>
      </w:r>
      <w:r>
        <w:rPr>
          <w:rFonts w:ascii="Arial" w:eastAsia="Times New Roman" w:hAnsi="Arial" w:cs="Arial"/>
          <w:bCs/>
          <w:sz w:val="18"/>
          <w:szCs w:val="18"/>
          <w:lang w:val="en-IE"/>
        </w:rPr>
        <w:t xml:space="preserve"> of infection with VHSV</w:t>
      </w:r>
      <w:r w:rsidRPr="00D403F5">
        <w:rPr>
          <w:rFonts w:ascii="Arial" w:eastAsia="Times New Roman" w:hAnsi="Arial" w:cs="Arial"/>
          <w:bCs/>
          <w:sz w:val="18"/>
          <w:szCs w:val="18"/>
          <w:lang w:val="en-IE"/>
        </w:rPr>
        <w:t xml:space="preserve"> occur during all seasons but are most common in spring when water temperatures are rising or fluctuating. </w:t>
      </w:r>
    </w:p>
    <w:p w14:paraId="0243278B" w14:textId="77777777" w:rsidR="00E65E42" w:rsidRPr="00BF51FB" w:rsidRDefault="00E65E42" w:rsidP="000A4E1E">
      <w:pPr>
        <w:spacing w:line="240" w:lineRule="auto"/>
        <w:ind w:left="709"/>
        <w:jc w:val="both"/>
        <w:rPr>
          <w:rFonts w:ascii="Arial" w:eastAsia="Times New Roman" w:hAnsi="Arial" w:cs="Arial"/>
          <w:bCs/>
          <w:sz w:val="18"/>
          <w:szCs w:val="18"/>
          <w:u w:val="double"/>
          <w:lang w:val="en-IE"/>
        </w:rPr>
      </w:pPr>
      <w:r w:rsidRPr="00BF51FB">
        <w:rPr>
          <w:rFonts w:ascii="Arial" w:eastAsia="Times New Roman" w:hAnsi="Arial" w:cs="Arial"/>
          <w:bCs/>
          <w:sz w:val="18"/>
          <w:szCs w:val="18"/>
          <w:highlight w:val="yellow"/>
          <w:u w:val="double"/>
          <w:lang w:val="en-IE"/>
        </w:rPr>
        <w:t xml:space="preserve">Field observations and experimental studies suggest that warmer water temperatures greatly reduce or inhibit transmission. Natural outbreaks of infection with VHSV are not observed at water temperatures </w:t>
      </w:r>
      <w:r w:rsidRPr="00EA321B">
        <w:rPr>
          <w:rFonts w:ascii="Arial" w:eastAsia="Times New Roman" w:hAnsi="Arial" w:cs="Arial"/>
          <w:bCs/>
          <w:sz w:val="18"/>
          <w:szCs w:val="18"/>
          <w:highlight w:val="yellow"/>
          <w:u w:val="double"/>
          <w:lang w:val="en-IE"/>
        </w:rPr>
        <w:t xml:space="preserve">greater than 18°C. In challenge trials, fish exposed to VHSV </w:t>
      </w:r>
      <w:r w:rsidRPr="007B73F2">
        <w:rPr>
          <w:rFonts w:ascii="Arial" w:eastAsia="Times New Roman" w:hAnsi="Arial" w:cs="Arial"/>
          <w:bCs/>
          <w:sz w:val="18"/>
          <w:szCs w:val="18"/>
          <w:highlight w:val="yellow"/>
          <w:u w:val="double"/>
          <w:lang w:val="en-IE"/>
        </w:rPr>
        <w:t xml:space="preserve">and reared at temperatures below 15°C displayed high mortality whereas those infected and reared at 20°C did not (Arkush </w:t>
      </w:r>
      <w:r w:rsidRPr="007B73F2">
        <w:rPr>
          <w:rFonts w:ascii="Arial" w:eastAsia="Times New Roman" w:hAnsi="Arial" w:cs="Arial"/>
          <w:bCs/>
          <w:i/>
          <w:iCs/>
          <w:sz w:val="18"/>
          <w:szCs w:val="18"/>
          <w:highlight w:val="yellow"/>
          <w:u w:val="double"/>
          <w:lang w:val="en-IE"/>
        </w:rPr>
        <w:t>et al.,</w:t>
      </w:r>
      <w:r w:rsidRPr="007B73F2">
        <w:rPr>
          <w:rFonts w:ascii="Arial" w:eastAsia="Times New Roman" w:hAnsi="Arial" w:cs="Arial"/>
          <w:bCs/>
          <w:sz w:val="18"/>
          <w:szCs w:val="18"/>
          <w:highlight w:val="yellow"/>
          <w:u w:val="double"/>
          <w:lang w:val="en-IE"/>
        </w:rPr>
        <w:t xml:space="preserve"> 2006; Castric &amp; de Kinkelin, 1984). For more detailed reviews, see Wolf (1988) and Smail &amp; Snow (2011).</w:t>
      </w:r>
    </w:p>
    <w:p w14:paraId="6550C0C2"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2.3.6.</w:t>
      </w:r>
      <w:r w:rsidRPr="00BC2337">
        <w:rPr>
          <w:rFonts w:ascii="Ottawa" w:eastAsia="Times New Roman" w:hAnsi="Ottawa" w:cs="Times New Roman"/>
          <w:b/>
          <w:bCs/>
          <w:szCs w:val="20"/>
          <w:lang w:val="en-IE" w:eastAsia="fr-FR"/>
        </w:rPr>
        <w:tab/>
        <w:t>Geographical distribution</w:t>
      </w:r>
    </w:p>
    <w:p w14:paraId="65FFB455" w14:textId="77777777" w:rsidR="00E65E42" w:rsidRPr="00BF51FB" w:rsidRDefault="00E65E42" w:rsidP="000A4E1E">
      <w:pPr>
        <w:spacing w:line="240" w:lineRule="auto"/>
        <w:ind w:left="709"/>
        <w:jc w:val="both"/>
        <w:rPr>
          <w:rFonts w:ascii="Arial" w:eastAsia="Times New Roman" w:hAnsi="Arial" w:cs="Arial"/>
          <w:bCs/>
          <w:strike/>
          <w:sz w:val="18"/>
          <w:szCs w:val="18"/>
          <w:lang w:val="en-IE" w:eastAsia="fr-FR"/>
        </w:rPr>
      </w:pPr>
      <w:r w:rsidRPr="00BF51FB">
        <w:rPr>
          <w:rFonts w:ascii="Arial" w:eastAsia="Times New Roman" w:hAnsi="Arial" w:cs="Arial"/>
          <w:bCs/>
          <w:strike/>
          <w:sz w:val="18"/>
          <w:szCs w:val="18"/>
          <w:highlight w:val="yellow"/>
          <w:lang w:val="en-IE" w:eastAsia="fr-FR"/>
        </w:rPr>
        <w:t xml:space="preserve">Until the late 1980s, VHSV was considered to be restricted to farmed rainbow trout in continental Europe, with the occasional isolation from a restricted number of other freshwater fish species (e.g. brown trout, pike [Meier &amp; Jorgensen, 1980; Schlotfeldt &amp; Ahne, 1988]). With the detection and isolation of VHSV from Pacific salmon off the Pacific North American coast in the late 1980s, subsequent studies have demonstrated that infection with VHSV occurs in numerous farmed and wild fish species along the Pacific and Atlantic North American coast (Skall </w:t>
      </w:r>
      <w:r w:rsidRPr="00BF51FB">
        <w:rPr>
          <w:rFonts w:ascii="Arial" w:eastAsia="Times New Roman" w:hAnsi="Arial" w:cs="Arial"/>
          <w:bCs/>
          <w:i/>
          <w:strike/>
          <w:sz w:val="18"/>
          <w:szCs w:val="18"/>
          <w:highlight w:val="yellow"/>
          <w:lang w:val="en-IE" w:eastAsia="fr-FR"/>
        </w:rPr>
        <w:t>et al</w:t>
      </w:r>
      <w:r w:rsidRPr="00BF51FB">
        <w:rPr>
          <w:rFonts w:ascii="Arial" w:eastAsia="Times New Roman" w:hAnsi="Arial" w:cs="Arial"/>
          <w:bCs/>
          <w:strike/>
          <w:sz w:val="18"/>
          <w:szCs w:val="18"/>
          <w:highlight w:val="yellow"/>
          <w:lang w:val="en-IE" w:eastAsia="fr-FR"/>
        </w:rPr>
        <w:t xml:space="preserve">., 2005), in the Great Lakes area of North America (Thompson </w:t>
      </w:r>
      <w:r w:rsidRPr="00BF51FB">
        <w:rPr>
          <w:rFonts w:ascii="Arial" w:eastAsia="Times New Roman" w:hAnsi="Arial" w:cs="Arial"/>
          <w:bCs/>
          <w:i/>
          <w:strike/>
          <w:sz w:val="18"/>
          <w:szCs w:val="18"/>
          <w:highlight w:val="yellow"/>
          <w:lang w:val="en-IE" w:eastAsia="fr-FR"/>
        </w:rPr>
        <w:t>et al</w:t>
      </w:r>
      <w:r w:rsidRPr="00BF51FB">
        <w:rPr>
          <w:rFonts w:ascii="Arial" w:eastAsia="Times New Roman" w:hAnsi="Arial" w:cs="Arial"/>
          <w:bCs/>
          <w:strike/>
          <w:sz w:val="18"/>
          <w:szCs w:val="18"/>
          <w:highlight w:val="yellow"/>
          <w:lang w:val="en-IE" w:eastAsia="fr-FR"/>
        </w:rPr>
        <w:t xml:space="preserve">., 2011), the seas around the UK (Skall </w:t>
      </w:r>
      <w:r w:rsidRPr="00BF51FB">
        <w:rPr>
          <w:rFonts w:ascii="Arial" w:eastAsia="Times New Roman" w:hAnsi="Arial" w:cs="Arial"/>
          <w:bCs/>
          <w:i/>
          <w:strike/>
          <w:sz w:val="18"/>
          <w:szCs w:val="18"/>
          <w:highlight w:val="yellow"/>
          <w:lang w:val="en-IE" w:eastAsia="fr-FR"/>
        </w:rPr>
        <w:t>et al</w:t>
      </w:r>
      <w:r w:rsidRPr="00BF51FB">
        <w:rPr>
          <w:rFonts w:ascii="Arial" w:eastAsia="Times New Roman" w:hAnsi="Arial" w:cs="Arial"/>
          <w:bCs/>
          <w:strike/>
          <w:sz w:val="18"/>
          <w:szCs w:val="18"/>
          <w:highlight w:val="yellow"/>
          <w:lang w:val="en-IE" w:eastAsia="fr-FR"/>
        </w:rPr>
        <w:t xml:space="preserve">., 2005), the Baltic Sea, Skagerrak and Kattegat (Skall </w:t>
      </w:r>
      <w:r w:rsidRPr="00BF51FB">
        <w:rPr>
          <w:rFonts w:ascii="Arial" w:eastAsia="Times New Roman" w:hAnsi="Arial" w:cs="Arial"/>
          <w:bCs/>
          <w:i/>
          <w:strike/>
          <w:sz w:val="18"/>
          <w:szCs w:val="18"/>
          <w:highlight w:val="yellow"/>
          <w:lang w:val="en-IE" w:eastAsia="fr-FR"/>
        </w:rPr>
        <w:t>et al</w:t>
      </w:r>
      <w:r w:rsidRPr="00BF51FB">
        <w:rPr>
          <w:rFonts w:ascii="Arial" w:eastAsia="Times New Roman" w:hAnsi="Arial" w:cs="Arial"/>
          <w:bCs/>
          <w:strike/>
          <w:sz w:val="18"/>
          <w:szCs w:val="18"/>
          <w:highlight w:val="yellow"/>
          <w:lang w:val="en-IE" w:eastAsia="fr-FR"/>
        </w:rPr>
        <w:t xml:space="preserve">., 2005), in the waters around Japan (Skall </w:t>
      </w:r>
      <w:r w:rsidRPr="00BF51FB">
        <w:rPr>
          <w:rFonts w:ascii="Arial" w:eastAsia="Times New Roman" w:hAnsi="Arial" w:cs="Arial"/>
          <w:bCs/>
          <w:i/>
          <w:strike/>
          <w:sz w:val="18"/>
          <w:szCs w:val="18"/>
          <w:highlight w:val="yellow"/>
          <w:lang w:val="en-IE" w:eastAsia="fr-FR"/>
        </w:rPr>
        <w:t>et al</w:t>
      </w:r>
      <w:r w:rsidRPr="00BF51FB">
        <w:rPr>
          <w:rFonts w:ascii="Arial" w:eastAsia="Times New Roman" w:hAnsi="Arial" w:cs="Arial"/>
          <w:bCs/>
          <w:strike/>
          <w:sz w:val="18"/>
          <w:szCs w:val="18"/>
          <w:highlight w:val="yellow"/>
          <w:lang w:val="en-IE" w:eastAsia="fr-FR"/>
        </w:rPr>
        <w:t xml:space="preserve">., 2005), and in the Black Sea area, with the distinct genotype Ie (Nishizawa </w:t>
      </w:r>
      <w:r w:rsidRPr="00BF51FB">
        <w:rPr>
          <w:rFonts w:ascii="Arial" w:eastAsia="Times New Roman" w:hAnsi="Arial" w:cs="Arial"/>
          <w:bCs/>
          <w:i/>
          <w:strike/>
          <w:sz w:val="18"/>
          <w:szCs w:val="18"/>
          <w:highlight w:val="yellow"/>
          <w:lang w:val="en-IE" w:eastAsia="fr-FR"/>
        </w:rPr>
        <w:t>et al</w:t>
      </w:r>
      <w:r w:rsidRPr="00BF51FB">
        <w:rPr>
          <w:rFonts w:ascii="Arial" w:eastAsia="Times New Roman" w:hAnsi="Arial" w:cs="Arial"/>
          <w:bCs/>
          <w:strike/>
          <w:sz w:val="18"/>
          <w:szCs w:val="18"/>
          <w:highlight w:val="yellow"/>
          <w:lang w:val="en-IE" w:eastAsia="fr-FR"/>
        </w:rPr>
        <w:t>., 2006).</w:t>
      </w:r>
    </w:p>
    <w:p w14:paraId="1DB61A44" w14:textId="77777777" w:rsidR="00E65E42" w:rsidRPr="00D403F5" w:rsidRDefault="00E65E42" w:rsidP="000A4E1E">
      <w:pPr>
        <w:spacing w:line="240" w:lineRule="auto"/>
        <w:ind w:left="709"/>
        <w:jc w:val="both"/>
        <w:rPr>
          <w:rFonts w:ascii="Arial" w:eastAsia="Times New Roman" w:hAnsi="Arial" w:cs="Arial"/>
          <w:bCs/>
          <w:sz w:val="18"/>
          <w:szCs w:val="18"/>
          <w:lang w:val="en-IE" w:eastAsia="fr-FR"/>
        </w:rPr>
      </w:pPr>
      <w:r w:rsidRPr="00D403F5">
        <w:rPr>
          <w:rFonts w:ascii="Arial" w:eastAsia="Times New Roman" w:hAnsi="Arial" w:cs="Arial"/>
          <w:bCs/>
          <w:sz w:val="18"/>
          <w:szCs w:val="18"/>
          <w:lang w:val="en-IE" w:eastAsia="fr-FR"/>
        </w:rPr>
        <w:t xml:space="preserve">Infection with VHSV </w:t>
      </w:r>
      <w:r w:rsidRPr="00BF51FB">
        <w:rPr>
          <w:rFonts w:ascii="Arial" w:eastAsia="Times New Roman" w:hAnsi="Arial" w:cs="Arial"/>
          <w:bCs/>
          <w:strike/>
          <w:sz w:val="18"/>
          <w:szCs w:val="18"/>
          <w:highlight w:val="yellow"/>
          <w:lang w:val="en-IE" w:eastAsia="fr-FR"/>
        </w:rPr>
        <w:t>in farmed rainbow trout</w:t>
      </w:r>
      <w:r w:rsidRPr="008C64F3">
        <w:rPr>
          <w:rFonts w:ascii="Arial" w:eastAsia="Times New Roman" w:hAnsi="Arial" w:cs="Arial"/>
          <w:bCs/>
          <w:strike/>
          <w:sz w:val="18"/>
          <w:szCs w:val="18"/>
          <w:lang w:val="en-IE" w:eastAsia="fr-FR"/>
        </w:rPr>
        <w:t xml:space="preserve"> </w:t>
      </w:r>
      <w:r w:rsidRPr="00D403F5">
        <w:rPr>
          <w:rFonts w:ascii="Arial" w:eastAsia="Times New Roman" w:hAnsi="Arial" w:cs="Arial"/>
          <w:bCs/>
          <w:sz w:val="18"/>
          <w:szCs w:val="18"/>
          <w:lang w:val="en-IE" w:eastAsia="fr-FR"/>
        </w:rPr>
        <w:t xml:space="preserve">has been reported from </w:t>
      </w:r>
      <w:r w:rsidRPr="00BF51FB">
        <w:rPr>
          <w:rFonts w:ascii="Arial" w:eastAsia="Times New Roman" w:hAnsi="Arial" w:cs="Arial"/>
          <w:bCs/>
          <w:sz w:val="18"/>
          <w:szCs w:val="18"/>
          <w:highlight w:val="yellow"/>
          <w:u w:val="double"/>
          <w:lang w:val="en-IE" w:eastAsia="fr-FR"/>
        </w:rPr>
        <w:t xml:space="preserve">countries </w:t>
      </w:r>
      <w:r w:rsidRPr="008C64F3">
        <w:rPr>
          <w:rFonts w:ascii="Arial" w:eastAsia="Times New Roman" w:hAnsi="Arial" w:cs="Arial"/>
          <w:bCs/>
          <w:sz w:val="18"/>
          <w:szCs w:val="18"/>
          <w:highlight w:val="yellow"/>
          <w:u w:val="double"/>
          <w:lang w:val="en-IE" w:eastAsia="fr-FR"/>
        </w:rPr>
        <w:t>in Europe, North Amercia and North Asia. Some countries in these regions have declared freedom from infection with VHSV.</w:t>
      </w:r>
      <w:r w:rsidRPr="008C64F3">
        <w:rPr>
          <w:rFonts w:ascii="Arial" w:eastAsia="Times New Roman" w:hAnsi="Arial" w:cs="Arial"/>
          <w:bCs/>
          <w:sz w:val="18"/>
          <w:szCs w:val="18"/>
          <w:highlight w:val="yellow"/>
          <w:lang w:val="en-IE" w:eastAsia="fr-FR"/>
        </w:rPr>
        <w:t xml:space="preserve"> </w:t>
      </w:r>
      <w:r w:rsidRPr="008C64F3">
        <w:rPr>
          <w:rFonts w:ascii="Arial" w:eastAsia="Times New Roman" w:hAnsi="Arial" w:cs="Arial"/>
          <w:bCs/>
          <w:strike/>
          <w:sz w:val="18"/>
          <w:szCs w:val="18"/>
          <w:highlight w:val="yellow"/>
          <w:lang w:val="en-IE" w:eastAsia="fr-FR"/>
        </w:rPr>
        <w:t xml:space="preserve">almost </w:t>
      </w:r>
      <w:r w:rsidRPr="00BF51FB">
        <w:rPr>
          <w:rFonts w:ascii="Arial" w:eastAsia="Times New Roman" w:hAnsi="Arial" w:cs="Arial"/>
          <w:bCs/>
          <w:strike/>
          <w:sz w:val="18"/>
          <w:szCs w:val="18"/>
          <w:highlight w:val="yellow"/>
          <w:lang w:val="en-IE" w:eastAsia="fr-FR"/>
        </w:rPr>
        <w:t xml:space="preserve">all European and Middle East countries and from China (People’s Rep. of) and Russia. However, a number of countries in Europe, such as Denmark, Ireland, Norway, Sweden and UK, are officially declared free of infection with VHSV. Infection </w:t>
      </w:r>
      <w:r w:rsidRPr="008C64F3">
        <w:rPr>
          <w:rFonts w:ascii="Arial" w:eastAsia="Times New Roman" w:hAnsi="Arial" w:cs="Arial"/>
          <w:bCs/>
          <w:strike/>
          <w:sz w:val="18"/>
          <w:szCs w:val="18"/>
          <w:highlight w:val="yellow"/>
          <w:lang w:val="en-IE" w:eastAsia="fr-FR"/>
        </w:rPr>
        <w:t xml:space="preserve">with VHSV </w:t>
      </w:r>
      <w:r w:rsidRPr="008C64F3">
        <w:rPr>
          <w:rFonts w:ascii="Arial" w:eastAsia="Times New Roman" w:hAnsi="Arial" w:cs="Arial"/>
          <w:bCs/>
          <w:sz w:val="18"/>
          <w:szCs w:val="18"/>
          <w:highlight w:val="yellow"/>
          <w:u w:val="double"/>
          <w:lang w:val="en-IE" w:eastAsia="fr-FR"/>
        </w:rPr>
        <w:t xml:space="preserve">The </w:t>
      </w:r>
      <w:r w:rsidRPr="00BF51FB">
        <w:rPr>
          <w:rFonts w:ascii="Arial" w:eastAsia="Times New Roman" w:hAnsi="Arial" w:cs="Arial"/>
          <w:bCs/>
          <w:sz w:val="18"/>
          <w:szCs w:val="18"/>
          <w:highlight w:val="yellow"/>
          <w:u w:val="double"/>
          <w:lang w:val="en-IE" w:eastAsia="fr-FR"/>
        </w:rPr>
        <w:t>disease</w:t>
      </w:r>
      <w:r w:rsidRPr="00E6022E">
        <w:rPr>
          <w:rFonts w:ascii="Arial" w:eastAsia="Times New Roman" w:hAnsi="Arial" w:cs="Arial"/>
          <w:bCs/>
          <w:sz w:val="18"/>
          <w:szCs w:val="18"/>
          <w:lang w:val="en-IE" w:eastAsia="fr-FR"/>
        </w:rPr>
        <w:t xml:space="preserve"> </w:t>
      </w:r>
      <w:r w:rsidRPr="00D403F5">
        <w:rPr>
          <w:rFonts w:ascii="Arial" w:eastAsia="Times New Roman" w:hAnsi="Arial" w:cs="Arial"/>
          <w:bCs/>
          <w:sz w:val="18"/>
          <w:szCs w:val="18"/>
          <w:lang w:val="en-IE" w:eastAsia="fr-FR"/>
        </w:rPr>
        <w:t>has never been reported from the Southern Hemisphere.</w:t>
      </w:r>
    </w:p>
    <w:p w14:paraId="6E1A6011" w14:textId="77777777" w:rsidR="00E65E42" w:rsidRPr="00D403F5" w:rsidRDefault="00E65E42" w:rsidP="000A4E1E">
      <w:pPr>
        <w:spacing w:line="240" w:lineRule="auto"/>
        <w:ind w:left="709"/>
        <w:jc w:val="both"/>
        <w:rPr>
          <w:rFonts w:ascii="Arial" w:eastAsia="Times New Roman" w:hAnsi="Arial" w:cs="Arial"/>
          <w:bCs/>
          <w:sz w:val="18"/>
          <w:szCs w:val="18"/>
          <w:lang w:val="en-IE" w:eastAsia="fr-FR"/>
        </w:rPr>
      </w:pPr>
      <w:r w:rsidRPr="00D403F5">
        <w:rPr>
          <w:rFonts w:ascii="Arial" w:eastAsia="Times New Roman" w:hAnsi="Arial" w:cs="Arial"/>
          <w:bCs/>
          <w:sz w:val="18"/>
          <w:szCs w:val="18"/>
          <w:lang w:val="en-IE" w:eastAsia="fr-FR"/>
        </w:rPr>
        <w:t>For recent information on distribution at the country level consult the WAHIS interface</w:t>
      </w:r>
      <w:r>
        <w:rPr>
          <w:rFonts w:ascii="Arial" w:eastAsia="Times New Roman" w:hAnsi="Arial" w:cs="Arial"/>
          <w:bCs/>
          <w:sz w:val="18"/>
          <w:szCs w:val="18"/>
          <w:lang w:val="en-IE" w:eastAsia="fr-FR"/>
        </w:rPr>
        <w:t xml:space="preserve"> </w:t>
      </w:r>
      <w:r w:rsidRPr="00BF51FB">
        <w:rPr>
          <w:rFonts w:ascii="Arial" w:eastAsia="Times New Roman" w:hAnsi="Arial" w:cs="Arial"/>
          <w:bCs/>
          <w:sz w:val="18"/>
          <w:szCs w:val="18"/>
          <w:highlight w:val="yellow"/>
          <w:u w:val="double"/>
          <w:lang w:val="en-IE" w:eastAsia="fr-FR"/>
        </w:rPr>
        <w:t>(https://www.oie.int/wahis_2/public/wahid.php/Wahidhome/Home/index/newlang/en).</w:t>
      </w:r>
      <w:r w:rsidRPr="00D403F5">
        <w:rPr>
          <w:rFonts w:ascii="Arial" w:eastAsia="Times New Roman" w:hAnsi="Arial" w:cs="Arial"/>
          <w:bCs/>
          <w:sz w:val="18"/>
          <w:szCs w:val="18"/>
          <w:lang w:val="en-IE" w:eastAsia="fr-FR"/>
        </w:rPr>
        <w:t xml:space="preserve"> </w:t>
      </w:r>
    </w:p>
    <w:p w14:paraId="6BD63B22" w14:textId="77777777" w:rsidR="00EE0A09" w:rsidRDefault="00EE0A09">
      <w:pPr>
        <w:rPr>
          <w:u w:val="single"/>
        </w:rPr>
      </w:pPr>
      <w:r>
        <w:rPr>
          <w:u w:val="single"/>
        </w:rPr>
        <w:br w:type="page"/>
      </w:r>
    </w:p>
    <w:p w14:paraId="4FEDD238" w14:textId="6806E6EF" w:rsidR="008A67C2" w:rsidRPr="008A67C2" w:rsidRDefault="008A67C2" w:rsidP="008A67C2">
      <w:pPr>
        <w:spacing w:after="480" w:line="240" w:lineRule="auto"/>
        <w:jc w:val="both"/>
        <w:rPr>
          <w:rFonts w:cs="Times New Roman"/>
          <w:bCs/>
          <w:iCs/>
          <w:szCs w:val="20"/>
        </w:rPr>
      </w:pP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04E46351" w14:textId="77777777" w:rsidR="00E65E42" w:rsidRPr="00D62973" w:rsidRDefault="00E65E42" w:rsidP="000A4E1E">
      <w:pPr>
        <w:tabs>
          <w:tab w:val="left" w:pos="1418"/>
        </w:tabs>
        <w:spacing w:after="120" w:line="240" w:lineRule="auto"/>
        <w:ind w:left="709" w:hanging="425"/>
        <w:jc w:val="both"/>
        <w:rPr>
          <w:rFonts w:ascii="Ottawa" w:eastAsia="MS Mincho" w:hAnsi="Ottawa" w:cs="Times New Roman"/>
          <w:b/>
          <w:sz w:val="21"/>
          <w:szCs w:val="21"/>
          <w:lang w:val="da-DK" w:eastAsia="da-DK"/>
        </w:rPr>
      </w:pPr>
      <w:r w:rsidRPr="00D62973">
        <w:rPr>
          <w:rFonts w:ascii="Ottawa" w:eastAsia="MS Mincho" w:hAnsi="Ottawa" w:cs="Times New Roman"/>
          <w:b/>
          <w:sz w:val="21"/>
          <w:szCs w:val="21"/>
          <w:lang w:val="da-DK" w:eastAsia="da-DK"/>
        </w:rPr>
        <w:t>2.4.</w:t>
      </w:r>
      <w:r w:rsidRPr="00D62973">
        <w:rPr>
          <w:rFonts w:ascii="Ottawa" w:eastAsia="MS Mincho" w:hAnsi="Ottawa" w:cs="Times New Roman"/>
          <w:b/>
          <w:sz w:val="21"/>
          <w:szCs w:val="21"/>
          <w:lang w:val="da-DK" w:eastAsia="da-DK"/>
        </w:rPr>
        <w:tab/>
        <w:t xml:space="preserve">Biosecurity and disease control strategies </w:t>
      </w:r>
    </w:p>
    <w:p w14:paraId="48C2C6B5"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2.4.1.</w:t>
      </w:r>
      <w:r w:rsidRPr="00BC2337">
        <w:rPr>
          <w:rFonts w:ascii="Ottawa" w:eastAsia="Times New Roman" w:hAnsi="Ottawa" w:cs="Times New Roman"/>
          <w:b/>
          <w:bCs/>
          <w:szCs w:val="20"/>
          <w:lang w:val="en-IE" w:eastAsia="fr-FR"/>
        </w:rPr>
        <w:tab/>
        <w:t>Vaccination</w:t>
      </w:r>
    </w:p>
    <w:p w14:paraId="734DF501" w14:textId="77777777" w:rsidR="00E65E42" w:rsidRDefault="00E65E42" w:rsidP="000A4E1E">
      <w:pPr>
        <w:spacing w:line="240" w:lineRule="auto"/>
        <w:ind w:left="709"/>
        <w:jc w:val="both"/>
        <w:rPr>
          <w:rFonts w:ascii="Arial" w:eastAsia="Times New Roman" w:hAnsi="Arial" w:cs="Arial"/>
          <w:sz w:val="18"/>
          <w:szCs w:val="18"/>
          <w:lang w:val="en-IE"/>
        </w:rPr>
      </w:pPr>
      <w:r w:rsidRPr="008C55D5">
        <w:rPr>
          <w:rFonts w:ascii="Arial" w:eastAsia="Times New Roman" w:hAnsi="Arial" w:cs="Arial"/>
          <w:color w:val="000000" w:themeColor="text1"/>
          <w:sz w:val="18"/>
          <w:szCs w:val="18"/>
          <w:lang w:val="en-IE"/>
        </w:rPr>
        <w:t>Although</w:t>
      </w:r>
      <w:r>
        <w:rPr>
          <w:rFonts w:ascii="Arial" w:eastAsia="Times New Roman" w:hAnsi="Arial" w:cs="Arial"/>
          <w:color w:val="000000" w:themeColor="text1"/>
          <w:sz w:val="18"/>
          <w:szCs w:val="18"/>
          <w:lang w:val="en-IE"/>
        </w:rPr>
        <w:t xml:space="preserve"> r</w:t>
      </w:r>
      <w:r w:rsidRPr="008C55D5">
        <w:rPr>
          <w:rFonts w:ascii="Arial" w:eastAsia="Times New Roman" w:hAnsi="Arial" w:cs="Arial"/>
          <w:color w:val="000000" w:themeColor="text1"/>
          <w:sz w:val="18"/>
          <w:szCs w:val="18"/>
          <w:lang w:val="en-IE"/>
        </w:rPr>
        <w:t xml:space="preserve">esearch </w:t>
      </w:r>
      <w:r w:rsidRPr="00D403F5">
        <w:rPr>
          <w:rFonts w:ascii="Arial" w:eastAsia="Times New Roman" w:hAnsi="Arial" w:cs="Arial"/>
          <w:sz w:val="18"/>
          <w:szCs w:val="18"/>
          <w:lang w:val="en-IE"/>
        </w:rPr>
        <w:t xml:space="preserve">on vaccine development for VHSV has been ongoing for more than four decades, </w:t>
      </w:r>
      <w:r w:rsidRPr="00BF51FB">
        <w:rPr>
          <w:rFonts w:ascii="Arial" w:eastAsia="Times New Roman" w:hAnsi="Arial" w:cs="Arial"/>
          <w:sz w:val="18"/>
          <w:szCs w:val="18"/>
          <w:highlight w:val="yellow"/>
          <w:u w:val="double"/>
          <w:lang w:val="en-IE"/>
        </w:rPr>
        <w:t xml:space="preserve">the </w:t>
      </w:r>
      <w:r w:rsidRPr="008C64F3">
        <w:rPr>
          <w:rFonts w:ascii="Arial" w:eastAsia="Times New Roman" w:hAnsi="Arial" w:cs="Arial"/>
          <w:sz w:val="18"/>
          <w:szCs w:val="18"/>
          <w:highlight w:val="yellow"/>
          <w:u w:val="double"/>
          <w:lang w:val="en-IE"/>
        </w:rPr>
        <w:t>only</w:t>
      </w:r>
      <w:r w:rsidRPr="008C64F3">
        <w:rPr>
          <w:rFonts w:ascii="Arial" w:eastAsia="Times New Roman" w:hAnsi="Arial" w:cs="Arial"/>
          <w:sz w:val="18"/>
          <w:szCs w:val="18"/>
          <w:highlight w:val="yellow"/>
          <w:lang w:val="en-IE"/>
        </w:rPr>
        <w:t xml:space="preserve"> </w:t>
      </w:r>
      <w:r w:rsidRPr="008C64F3">
        <w:rPr>
          <w:rFonts w:ascii="Arial" w:eastAsia="Times New Roman" w:hAnsi="Arial" w:cs="Arial"/>
          <w:strike/>
          <w:sz w:val="18"/>
          <w:szCs w:val="18"/>
          <w:highlight w:val="yellow"/>
          <w:lang w:val="en-IE"/>
        </w:rPr>
        <w:t>a</w:t>
      </w:r>
      <w:r w:rsidRPr="008C64F3">
        <w:rPr>
          <w:rFonts w:ascii="Arial" w:eastAsia="Times New Roman" w:hAnsi="Arial" w:cs="Arial"/>
          <w:strike/>
          <w:sz w:val="18"/>
          <w:szCs w:val="18"/>
          <w:lang w:val="en-IE"/>
        </w:rPr>
        <w:t xml:space="preserve"> </w:t>
      </w:r>
      <w:r w:rsidRPr="00D403F5">
        <w:rPr>
          <w:rFonts w:ascii="Arial" w:eastAsia="Times New Roman" w:hAnsi="Arial" w:cs="Arial"/>
          <w:sz w:val="18"/>
          <w:szCs w:val="18"/>
          <w:lang w:val="en-IE"/>
        </w:rPr>
        <w:t xml:space="preserve">commercial vaccine </w:t>
      </w:r>
      <w:r w:rsidRPr="00BF51FB">
        <w:rPr>
          <w:rFonts w:ascii="Arial" w:eastAsia="Times New Roman" w:hAnsi="Arial" w:cs="Arial"/>
          <w:strike/>
          <w:sz w:val="18"/>
          <w:szCs w:val="18"/>
          <w:highlight w:val="yellow"/>
          <w:lang w:val="en-IE"/>
        </w:rPr>
        <w:t>is not yet</w:t>
      </w:r>
      <w:r w:rsidRPr="008C64F3">
        <w:rPr>
          <w:rFonts w:ascii="Arial" w:eastAsia="Times New Roman" w:hAnsi="Arial" w:cs="Arial"/>
          <w:strike/>
          <w:sz w:val="18"/>
          <w:szCs w:val="18"/>
          <w:lang w:val="en-IE"/>
        </w:rPr>
        <w:t xml:space="preserve"> </w:t>
      </w:r>
      <w:r w:rsidRPr="00D403F5">
        <w:rPr>
          <w:rFonts w:ascii="Arial" w:eastAsia="Times New Roman" w:hAnsi="Arial" w:cs="Arial"/>
          <w:sz w:val="18"/>
          <w:szCs w:val="18"/>
          <w:lang w:val="en-IE"/>
        </w:rPr>
        <w:t>available</w:t>
      </w:r>
      <w:r>
        <w:rPr>
          <w:rFonts w:ascii="Arial" w:eastAsia="Times New Roman" w:hAnsi="Arial" w:cs="Arial"/>
          <w:sz w:val="18"/>
          <w:szCs w:val="18"/>
          <w:lang w:val="en-IE"/>
        </w:rPr>
        <w:t xml:space="preserve"> </w:t>
      </w:r>
      <w:r w:rsidRPr="00BF51FB">
        <w:rPr>
          <w:rFonts w:ascii="Arial" w:eastAsia="Times New Roman" w:hAnsi="Arial" w:cs="Arial"/>
          <w:sz w:val="18"/>
          <w:szCs w:val="18"/>
          <w:highlight w:val="yellow"/>
          <w:u w:val="double"/>
          <w:lang w:val="en-IE"/>
        </w:rPr>
        <w:t xml:space="preserve">is </w:t>
      </w:r>
      <w:r w:rsidRPr="00BF51FB">
        <w:rPr>
          <w:rFonts w:ascii="Arial" w:eastAsia="휴먼명조" w:hAnsi="Arial" w:cs="Arial"/>
          <w:sz w:val="18"/>
          <w:szCs w:val="18"/>
          <w:highlight w:val="yellow"/>
          <w:u w:val="double"/>
        </w:rPr>
        <w:t>against VHSV genotype IVa for bastard halibut in Korea</w:t>
      </w:r>
      <w:r w:rsidRPr="00D403F5">
        <w:rPr>
          <w:rFonts w:ascii="Arial" w:eastAsia="Times New Roman" w:hAnsi="Arial" w:cs="Arial"/>
          <w:sz w:val="18"/>
          <w:szCs w:val="18"/>
          <w:lang w:val="en-IE"/>
        </w:rPr>
        <w:t xml:space="preserve">. Candidate vaccines have included killed vaccines, attenuated live vaccines, a recombinant vaccine in prokaryotic and eukaryotic expression systems, and DNA-based vaccines. For a </w:t>
      </w:r>
      <w:r w:rsidRPr="007B73F2">
        <w:rPr>
          <w:rFonts w:ascii="Arial" w:eastAsia="Times New Roman" w:hAnsi="Arial" w:cs="Arial"/>
          <w:sz w:val="18"/>
          <w:szCs w:val="18"/>
          <w:lang w:val="en-IE"/>
        </w:rPr>
        <w:t>review see Lorenzen &amp; LaPatra (2005). No vaccines currently affect the sensitivity and specificity of</w:t>
      </w:r>
      <w:r w:rsidRPr="00D403F5">
        <w:rPr>
          <w:rFonts w:ascii="Arial" w:eastAsia="Times New Roman" w:hAnsi="Arial" w:cs="Arial"/>
          <w:sz w:val="18"/>
          <w:szCs w:val="18"/>
          <w:lang w:val="en-IE"/>
        </w:rPr>
        <w:t xml:space="preserve"> infection with VHSV diagnostics.</w:t>
      </w:r>
    </w:p>
    <w:p w14:paraId="10BD0CBF"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2.4.2.</w:t>
      </w:r>
      <w:r w:rsidRPr="00BC2337">
        <w:rPr>
          <w:rFonts w:ascii="Ottawa" w:eastAsia="Times New Roman" w:hAnsi="Ottawa" w:cs="Times New Roman"/>
          <w:b/>
          <w:bCs/>
          <w:szCs w:val="20"/>
          <w:lang w:val="en-IE" w:eastAsia="fr-FR"/>
        </w:rPr>
        <w:tab/>
        <w:t>Chemotherapy including blocking agents</w:t>
      </w:r>
    </w:p>
    <w:p w14:paraId="3F9EA5B9" w14:textId="77777777" w:rsidR="00E65E42" w:rsidRPr="00D403F5" w:rsidRDefault="00E65E42" w:rsidP="000A4E1E">
      <w:pPr>
        <w:spacing w:line="240" w:lineRule="auto"/>
        <w:ind w:left="709"/>
        <w:jc w:val="both"/>
        <w:rPr>
          <w:rFonts w:ascii="Arial" w:eastAsia="Times New Roman" w:hAnsi="Arial" w:cs="Arial"/>
          <w:bCs/>
          <w:sz w:val="18"/>
          <w:szCs w:val="18"/>
          <w:lang w:val="en-IE" w:eastAsia="fr-FR"/>
        </w:rPr>
      </w:pPr>
      <w:r w:rsidRPr="00D403F5">
        <w:rPr>
          <w:rFonts w:ascii="Arial" w:eastAsia="Times New Roman" w:hAnsi="Arial" w:cs="Arial"/>
          <w:sz w:val="18"/>
          <w:szCs w:val="18"/>
          <w:lang w:val="en-IE"/>
        </w:rPr>
        <w:t>No therapies are currently available.</w:t>
      </w:r>
    </w:p>
    <w:p w14:paraId="444875BC"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2.4.3.</w:t>
      </w:r>
      <w:r w:rsidRPr="00BC2337">
        <w:rPr>
          <w:rFonts w:ascii="Ottawa" w:eastAsia="Times New Roman" w:hAnsi="Ottawa" w:cs="Times New Roman"/>
          <w:b/>
          <w:bCs/>
          <w:szCs w:val="20"/>
          <w:lang w:val="en-IE" w:eastAsia="fr-FR"/>
        </w:rPr>
        <w:tab/>
        <w:t>Immunostimulation</w:t>
      </w:r>
    </w:p>
    <w:p w14:paraId="2AD98ABC" w14:textId="77777777" w:rsidR="00E65E42" w:rsidRPr="007B73F2" w:rsidRDefault="00E65E42" w:rsidP="000A4E1E">
      <w:pPr>
        <w:spacing w:line="240" w:lineRule="auto"/>
        <w:ind w:left="709"/>
        <w:jc w:val="both"/>
        <w:rPr>
          <w:rFonts w:ascii="Arial" w:eastAsia="Times New Roman" w:hAnsi="Arial" w:cs="Arial"/>
          <w:bCs/>
          <w:sz w:val="18"/>
          <w:szCs w:val="18"/>
          <w:lang w:val="en-IE" w:eastAsia="fr-FR"/>
        </w:rPr>
      </w:pPr>
      <w:r w:rsidRPr="00D403F5">
        <w:rPr>
          <w:rFonts w:ascii="Arial" w:eastAsia="Times New Roman" w:hAnsi="Arial" w:cs="Arial"/>
          <w:sz w:val="18"/>
          <w:szCs w:val="18"/>
          <w:lang w:val="en-IE"/>
        </w:rPr>
        <w:t xml:space="preserve">Several immunostimulants, such as yeast-derived beta-glucans, IL-1β-derived peptides, and probiotics have been assessed for enhancing protection against infection with </w:t>
      </w:r>
      <w:r w:rsidRPr="007B73F2">
        <w:rPr>
          <w:rFonts w:ascii="Arial" w:eastAsia="Times New Roman" w:hAnsi="Arial" w:cs="Arial"/>
          <w:sz w:val="18"/>
          <w:szCs w:val="18"/>
          <w:lang w:val="en-IE"/>
        </w:rPr>
        <w:t xml:space="preserve">VHSV (Peddie </w:t>
      </w:r>
      <w:r w:rsidRPr="007B73F2">
        <w:rPr>
          <w:rFonts w:ascii="Arial" w:eastAsia="Times New Roman" w:hAnsi="Arial" w:cs="Arial"/>
          <w:i/>
          <w:sz w:val="18"/>
          <w:szCs w:val="18"/>
          <w:lang w:val="en-IE"/>
        </w:rPr>
        <w:t>et al</w:t>
      </w:r>
      <w:r w:rsidRPr="007B73F2">
        <w:rPr>
          <w:rFonts w:ascii="Arial" w:eastAsia="Times New Roman" w:hAnsi="Arial" w:cs="Arial"/>
          <w:sz w:val="18"/>
          <w:szCs w:val="18"/>
          <w:lang w:val="en-IE"/>
        </w:rPr>
        <w:t xml:space="preserve">., 2003). Several researchers report positive effects, but no immunostimulant directed specifically at enhanced resistance to infection with VHSV is available. Furthermore, it remains unknown as to whether their use can affect sensitivity and specificity </w:t>
      </w:r>
      <w:r w:rsidRPr="00CD3D01">
        <w:rPr>
          <w:rFonts w:ascii="Arial" w:eastAsia="Times New Roman" w:hAnsi="Arial" w:cs="Arial"/>
          <w:sz w:val="18"/>
          <w:szCs w:val="18"/>
          <w:lang w:val="en-IE"/>
        </w:rPr>
        <w:t xml:space="preserve">of </w:t>
      </w:r>
      <w:r w:rsidRPr="00AE3567">
        <w:rPr>
          <w:rFonts w:ascii="Arial" w:eastAsia="Times New Roman" w:hAnsi="Arial" w:cs="Arial"/>
          <w:strike/>
          <w:sz w:val="18"/>
          <w:szCs w:val="18"/>
          <w:highlight w:val="yellow"/>
          <w:lang w:val="en-IE"/>
        </w:rPr>
        <w:t>infection with</w:t>
      </w:r>
      <w:r w:rsidRPr="007B73F2">
        <w:rPr>
          <w:rFonts w:ascii="Arial" w:eastAsia="Times New Roman" w:hAnsi="Arial" w:cs="Arial"/>
          <w:sz w:val="18"/>
          <w:szCs w:val="18"/>
          <w:lang w:val="en-IE"/>
        </w:rPr>
        <w:t xml:space="preserve"> VHSV </w:t>
      </w:r>
      <w:r w:rsidRPr="00AE3567">
        <w:rPr>
          <w:rFonts w:ascii="Arial" w:eastAsia="Times New Roman" w:hAnsi="Arial" w:cs="Arial"/>
          <w:sz w:val="18"/>
          <w:szCs w:val="18"/>
          <w:highlight w:val="yellow"/>
          <w:u w:val="double"/>
          <w:lang w:val="en-IE"/>
        </w:rPr>
        <w:t>assays</w:t>
      </w:r>
      <w:r w:rsidRPr="00AE3567">
        <w:rPr>
          <w:rFonts w:ascii="Arial" w:eastAsia="Times New Roman" w:hAnsi="Arial" w:cs="Arial"/>
          <w:strike/>
          <w:sz w:val="18"/>
          <w:szCs w:val="18"/>
          <w:highlight w:val="yellow"/>
          <w:lang w:val="en-IE"/>
        </w:rPr>
        <w:t>diagnostics</w:t>
      </w:r>
      <w:r w:rsidRPr="007B73F2">
        <w:rPr>
          <w:rFonts w:ascii="Arial" w:eastAsia="Times New Roman" w:hAnsi="Arial" w:cs="Arial"/>
          <w:sz w:val="18"/>
          <w:szCs w:val="18"/>
          <w:lang w:val="en-IE"/>
        </w:rPr>
        <w:t>.</w:t>
      </w:r>
    </w:p>
    <w:p w14:paraId="76AC152D" w14:textId="77777777" w:rsidR="00E65E42" w:rsidRPr="007B73F2"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7B73F2">
        <w:rPr>
          <w:rFonts w:ascii="Ottawa" w:eastAsia="Times New Roman" w:hAnsi="Ottawa" w:cs="Times New Roman"/>
          <w:b/>
          <w:bCs/>
          <w:szCs w:val="20"/>
          <w:lang w:val="en-IE" w:eastAsia="fr-FR"/>
        </w:rPr>
        <w:t>2.4.4.</w:t>
      </w:r>
      <w:r w:rsidRPr="007B73F2">
        <w:rPr>
          <w:rFonts w:ascii="Ottawa" w:eastAsia="Times New Roman" w:hAnsi="Ottawa" w:cs="Times New Roman"/>
          <w:b/>
          <w:bCs/>
          <w:szCs w:val="20"/>
          <w:lang w:val="en-IE" w:eastAsia="fr-FR"/>
        </w:rPr>
        <w:tab/>
        <w:t xml:space="preserve">Breeding resistant strains </w:t>
      </w:r>
    </w:p>
    <w:p w14:paraId="42B5591B" w14:textId="77777777" w:rsidR="00E65E42" w:rsidRPr="00BC2337" w:rsidRDefault="00E65E42" w:rsidP="000A4E1E">
      <w:pPr>
        <w:spacing w:line="240" w:lineRule="auto"/>
        <w:ind w:left="709"/>
        <w:jc w:val="both"/>
        <w:rPr>
          <w:rFonts w:ascii="Arial" w:eastAsia="Times New Roman" w:hAnsi="Arial" w:cs="Arial"/>
          <w:bCs/>
          <w:sz w:val="18"/>
          <w:szCs w:val="18"/>
          <w:lang w:eastAsia="fr-FR"/>
        </w:rPr>
      </w:pPr>
      <w:r w:rsidRPr="007B73F2">
        <w:rPr>
          <w:rFonts w:ascii="Arial" w:eastAsia="Times New Roman" w:hAnsi="Arial" w:cs="Arial"/>
          <w:bCs/>
          <w:sz w:val="18"/>
          <w:szCs w:val="18"/>
          <w:lang w:eastAsia="fr-FR"/>
        </w:rPr>
        <w:t xml:space="preserve">Additive genetic variation in rainbow trout </w:t>
      </w:r>
      <w:r w:rsidRPr="00AE3567">
        <w:rPr>
          <w:rFonts w:ascii="Arial" w:eastAsia="Times New Roman" w:hAnsi="Arial" w:cs="Arial"/>
          <w:bCs/>
          <w:strike/>
          <w:sz w:val="18"/>
          <w:szCs w:val="18"/>
          <w:highlight w:val="yellow"/>
          <w:lang w:eastAsia="fr-FR"/>
        </w:rPr>
        <w:t>has been detected</w:t>
      </w:r>
      <w:r w:rsidRPr="007B73F2">
        <w:rPr>
          <w:rFonts w:ascii="Arial" w:eastAsia="Times New Roman" w:hAnsi="Arial" w:cs="Arial"/>
          <w:bCs/>
          <w:sz w:val="18"/>
          <w:szCs w:val="18"/>
          <w:lang w:eastAsia="fr-FR"/>
        </w:rPr>
        <w:t xml:space="preserve"> for resistance to </w:t>
      </w:r>
      <w:r w:rsidRPr="00AE3567">
        <w:rPr>
          <w:rFonts w:ascii="Arial" w:eastAsia="Times New Roman" w:hAnsi="Arial" w:cs="Arial"/>
          <w:bCs/>
          <w:sz w:val="18"/>
          <w:szCs w:val="18"/>
          <w:highlight w:val="yellow"/>
          <w:u w:val="double"/>
          <w:lang w:eastAsia="fr-FR"/>
        </w:rPr>
        <w:t>infection with</w:t>
      </w:r>
      <w:r>
        <w:rPr>
          <w:rFonts w:ascii="Arial" w:eastAsia="Times New Roman" w:hAnsi="Arial" w:cs="Arial"/>
          <w:bCs/>
          <w:sz w:val="18"/>
          <w:szCs w:val="18"/>
          <w:lang w:eastAsia="fr-FR"/>
        </w:rPr>
        <w:t xml:space="preserve"> </w:t>
      </w:r>
      <w:r w:rsidRPr="007B73F2">
        <w:rPr>
          <w:rFonts w:ascii="Arial" w:eastAsia="Times New Roman" w:hAnsi="Arial" w:cs="Arial"/>
          <w:bCs/>
          <w:sz w:val="18"/>
          <w:szCs w:val="18"/>
          <w:lang w:eastAsia="fr-FR"/>
        </w:rPr>
        <w:t xml:space="preserve">VHSV </w:t>
      </w:r>
      <w:r w:rsidRPr="00AE3567">
        <w:rPr>
          <w:rFonts w:ascii="Arial" w:eastAsia="Times New Roman" w:hAnsi="Arial" w:cs="Arial"/>
          <w:bCs/>
          <w:sz w:val="18"/>
          <w:szCs w:val="18"/>
          <w:highlight w:val="yellow"/>
          <w:u w:val="double"/>
          <w:lang w:eastAsia="fr-FR"/>
        </w:rPr>
        <w:t>has been demonstrated</w:t>
      </w:r>
      <w:r>
        <w:rPr>
          <w:rFonts w:ascii="Arial" w:eastAsia="Times New Roman" w:hAnsi="Arial" w:cs="Arial"/>
          <w:bCs/>
          <w:sz w:val="18"/>
          <w:szCs w:val="18"/>
          <w:lang w:eastAsia="fr-FR"/>
        </w:rPr>
        <w:t xml:space="preserve"> </w:t>
      </w:r>
      <w:r w:rsidRPr="007B73F2">
        <w:rPr>
          <w:rFonts w:ascii="Arial" w:eastAsia="Times New Roman" w:hAnsi="Arial" w:cs="Arial"/>
          <w:bCs/>
          <w:sz w:val="18"/>
          <w:szCs w:val="18"/>
          <w:lang w:eastAsia="fr-FR"/>
        </w:rPr>
        <w:t xml:space="preserve">(Dorson </w:t>
      </w:r>
      <w:r w:rsidRPr="007B73F2">
        <w:rPr>
          <w:rFonts w:ascii="Arial" w:eastAsia="Times New Roman" w:hAnsi="Arial" w:cs="Arial"/>
          <w:bCs/>
          <w:i/>
          <w:sz w:val="18"/>
          <w:szCs w:val="18"/>
          <w:lang w:eastAsia="fr-FR"/>
        </w:rPr>
        <w:t>et al</w:t>
      </w:r>
      <w:r w:rsidRPr="007B73F2">
        <w:rPr>
          <w:rFonts w:ascii="Arial" w:eastAsia="Times New Roman" w:hAnsi="Arial" w:cs="Arial"/>
          <w:bCs/>
          <w:sz w:val="18"/>
          <w:szCs w:val="18"/>
          <w:lang w:eastAsia="fr-FR"/>
        </w:rPr>
        <w:t xml:space="preserve">., 1995; Henryon </w:t>
      </w:r>
      <w:r w:rsidRPr="007B73F2">
        <w:rPr>
          <w:rFonts w:ascii="Arial" w:eastAsia="Times New Roman" w:hAnsi="Arial" w:cs="Arial"/>
          <w:bCs/>
          <w:i/>
          <w:sz w:val="18"/>
          <w:szCs w:val="18"/>
          <w:lang w:eastAsia="fr-FR"/>
        </w:rPr>
        <w:t>et al</w:t>
      </w:r>
      <w:r w:rsidRPr="007B73F2">
        <w:rPr>
          <w:rFonts w:ascii="Arial" w:eastAsia="Times New Roman" w:hAnsi="Arial" w:cs="Arial"/>
          <w:bCs/>
          <w:sz w:val="18"/>
          <w:szCs w:val="18"/>
          <w:lang w:eastAsia="fr-FR"/>
        </w:rPr>
        <w:t xml:space="preserve">., 2002a; 2002b). In a study by Henryon </w:t>
      </w:r>
      <w:r w:rsidRPr="007B73F2">
        <w:rPr>
          <w:rFonts w:ascii="Arial" w:eastAsia="Times New Roman" w:hAnsi="Arial" w:cs="Arial"/>
          <w:bCs/>
          <w:i/>
          <w:sz w:val="18"/>
          <w:szCs w:val="18"/>
          <w:lang w:eastAsia="fr-FR"/>
        </w:rPr>
        <w:t>et al</w:t>
      </w:r>
      <w:r w:rsidRPr="007B73F2">
        <w:rPr>
          <w:rFonts w:ascii="Arial" w:eastAsia="Times New Roman" w:hAnsi="Arial" w:cs="Arial"/>
          <w:bCs/>
          <w:sz w:val="18"/>
          <w:szCs w:val="18"/>
          <w:lang w:eastAsia="fr-FR"/>
        </w:rPr>
        <w:t xml:space="preserve">. (2005), the heritability of resistance to VHS was 0.11 for time to death on a logarithmic timescale. </w:t>
      </w:r>
      <w:r w:rsidRPr="000A4E1E">
        <w:rPr>
          <w:rFonts w:ascii="Arial" w:eastAsia="Times New Roman" w:hAnsi="Arial" w:cs="Arial"/>
          <w:sz w:val="18"/>
          <w:szCs w:val="18"/>
          <w:lang w:val="en-IE"/>
        </w:rPr>
        <w:t>Identification</w:t>
      </w:r>
      <w:r w:rsidRPr="007B73F2">
        <w:rPr>
          <w:rFonts w:ascii="Arial" w:eastAsia="Times New Roman" w:hAnsi="Arial" w:cs="Arial"/>
          <w:bCs/>
          <w:sz w:val="18"/>
          <w:szCs w:val="18"/>
          <w:lang w:eastAsia="fr-FR"/>
        </w:rPr>
        <w:t xml:space="preserve"> of a major </w:t>
      </w:r>
      <w:r w:rsidRPr="007B73F2">
        <w:rPr>
          <w:rFonts w:ascii="Arial" w:eastAsia="Times New Roman" w:hAnsi="Arial" w:cs="Arial"/>
          <w:bCs/>
          <w:sz w:val="18"/>
          <w:szCs w:val="18"/>
          <w:shd w:val="clear" w:color="auto" w:fill="FFFFFF"/>
          <w:lang w:val="en-IE"/>
        </w:rPr>
        <w:t>quantitative trait loci (QTL)</w:t>
      </w:r>
      <w:r w:rsidRPr="007B73F2">
        <w:rPr>
          <w:rFonts w:ascii="Arial" w:eastAsia="Times New Roman" w:hAnsi="Arial" w:cs="Arial"/>
          <w:bCs/>
          <w:sz w:val="18"/>
          <w:szCs w:val="18"/>
          <w:lang w:eastAsia="fr-FR"/>
        </w:rPr>
        <w:t xml:space="preserve"> for VHSV resistance in rainbow trout may pave the way for genetic selection for VHSV resistant fish (Verrier </w:t>
      </w:r>
      <w:r w:rsidRPr="007B73F2">
        <w:rPr>
          <w:rFonts w:ascii="Arial" w:eastAsia="Times New Roman" w:hAnsi="Arial" w:cs="Arial"/>
          <w:bCs/>
          <w:i/>
          <w:sz w:val="18"/>
          <w:szCs w:val="18"/>
          <w:lang w:val="en-IE"/>
        </w:rPr>
        <w:t>et al.,</w:t>
      </w:r>
      <w:r w:rsidRPr="007B73F2">
        <w:rPr>
          <w:rFonts w:ascii="Arial" w:eastAsia="Times New Roman" w:hAnsi="Arial" w:cs="Arial"/>
          <w:bCs/>
          <w:sz w:val="18"/>
          <w:szCs w:val="18"/>
          <w:lang w:val="en-IE"/>
        </w:rPr>
        <w:t xml:space="preserve"> </w:t>
      </w:r>
      <w:r w:rsidRPr="007B73F2">
        <w:rPr>
          <w:rFonts w:ascii="Arial" w:eastAsia="Times New Roman" w:hAnsi="Arial" w:cs="Arial"/>
          <w:bCs/>
          <w:sz w:val="18"/>
          <w:szCs w:val="18"/>
          <w:lang w:eastAsia="fr-FR"/>
        </w:rPr>
        <w:t>2013</w:t>
      </w:r>
      <w:r w:rsidRPr="00BF51FB">
        <w:rPr>
          <w:rFonts w:ascii="Arial" w:eastAsia="Times New Roman" w:hAnsi="Arial" w:cs="Arial"/>
          <w:bCs/>
          <w:sz w:val="18"/>
          <w:szCs w:val="18"/>
          <w:lang w:eastAsia="fr-FR"/>
        </w:rPr>
        <w:t>), however, n</w:t>
      </w:r>
      <w:r w:rsidRPr="00EC5D1A">
        <w:rPr>
          <w:rFonts w:ascii="Arial" w:eastAsia="Times New Roman" w:hAnsi="Arial" w:cs="Arial"/>
          <w:bCs/>
          <w:sz w:val="18"/>
          <w:szCs w:val="18"/>
          <w:lang w:eastAsia="fr-FR"/>
        </w:rPr>
        <w:t>o</w:t>
      </w:r>
      <w:r w:rsidRPr="00D403F5">
        <w:rPr>
          <w:rFonts w:ascii="Arial" w:eastAsia="Times New Roman" w:hAnsi="Arial" w:cs="Arial"/>
          <w:bCs/>
          <w:sz w:val="18"/>
          <w:szCs w:val="18"/>
          <w:lang w:eastAsia="fr-FR"/>
        </w:rPr>
        <w:t xml:space="preserve"> resistant rainbow trout strains are </w:t>
      </w:r>
      <w:r w:rsidRPr="00BF51FB">
        <w:rPr>
          <w:rFonts w:ascii="Arial" w:eastAsia="Times New Roman" w:hAnsi="Arial" w:cs="Arial"/>
          <w:bCs/>
          <w:strike/>
          <w:sz w:val="18"/>
          <w:szCs w:val="18"/>
          <w:highlight w:val="yellow"/>
          <w:lang w:eastAsia="fr-FR"/>
        </w:rPr>
        <w:t>yet</w:t>
      </w:r>
      <w:r w:rsidRPr="00BF51FB">
        <w:rPr>
          <w:rFonts w:ascii="Arial" w:eastAsia="Times New Roman" w:hAnsi="Arial" w:cs="Arial"/>
          <w:bCs/>
          <w:strike/>
          <w:sz w:val="18"/>
          <w:szCs w:val="18"/>
          <w:lang w:eastAsia="fr-FR"/>
        </w:rPr>
        <w:t xml:space="preserve"> </w:t>
      </w:r>
      <w:r w:rsidRPr="00D403F5">
        <w:rPr>
          <w:rFonts w:ascii="Arial" w:eastAsia="Times New Roman" w:hAnsi="Arial" w:cs="Arial"/>
          <w:bCs/>
          <w:sz w:val="18"/>
          <w:szCs w:val="18"/>
          <w:lang w:eastAsia="fr-FR"/>
        </w:rPr>
        <w:t>commercially available</w:t>
      </w:r>
      <w:r w:rsidRPr="00BC2337">
        <w:rPr>
          <w:rFonts w:ascii="Arial" w:eastAsia="Times New Roman" w:hAnsi="Arial" w:cs="Arial"/>
          <w:bCs/>
          <w:sz w:val="18"/>
          <w:szCs w:val="18"/>
          <w:lang w:eastAsia="fr-FR"/>
        </w:rPr>
        <w:t>.</w:t>
      </w:r>
    </w:p>
    <w:p w14:paraId="42284117"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2.4.5.</w:t>
      </w:r>
      <w:r w:rsidRPr="00BC2337">
        <w:rPr>
          <w:rFonts w:ascii="Ottawa" w:eastAsia="Times New Roman" w:hAnsi="Ottawa" w:cs="Times New Roman"/>
          <w:b/>
          <w:bCs/>
          <w:szCs w:val="20"/>
          <w:lang w:val="en-IE" w:eastAsia="fr-FR"/>
        </w:rPr>
        <w:tab/>
        <w:t>Inactivation methods</w:t>
      </w:r>
    </w:p>
    <w:p w14:paraId="1D55F8DB" w14:textId="77777777" w:rsidR="00E65E42" w:rsidRPr="00D403F5" w:rsidRDefault="00E65E42" w:rsidP="000A4E1E">
      <w:pPr>
        <w:spacing w:line="240" w:lineRule="auto"/>
        <w:ind w:left="709"/>
        <w:jc w:val="both"/>
        <w:rPr>
          <w:rFonts w:ascii="Arial" w:eastAsia="Times New Roman" w:hAnsi="Arial" w:cs="Arial"/>
          <w:bCs/>
          <w:sz w:val="18"/>
          <w:szCs w:val="18"/>
          <w:lang w:val="en-IE"/>
        </w:rPr>
      </w:pPr>
      <w:r w:rsidRPr="00D403F5">
        <w:rPr>
          <w:rFonts w:ascii="Arial" w:eastAsia="Times New Roman" w:hAnsi="Arial" w:cs="Arial"/>
          <w:sz w:val="18"/>
          <w:szCs w:val="18"/>
          <w:lang w:val="en-IE"/>
        </w:rPr>
        <w:t xml:space="preserve">VHSV is sensitive to a number of common disinfectants (e.g. UV, chlorine, iodophore, sodium hypochlorite), to temperatures above 30°C, to bacterial degradation in sediments and enzymatic activity in decomposing fish. For a review see </w:t>
      </w:r>
      <w:r w:rsidRPr="007B73F2">
        <w:rPr>
          <w:rFonts w:ascii="Arial" w:eastAsia="Times New Roman" w:hAnsi="Arial" w:cs="Arial"/>
          <w:sz w:val="18"/>
          <w:szCs w:val="18"/>
          <w:lang w:val="en-IE"/>
        </w:rPr>
        <w:t xml:space="preserve">Bovo </w:t>
      </w:r>
      <w:r w:rsidRPr="007B73F2">
        <w:rPr>
          <w:rFonts w:ascii="Arial" w:eastAsia="Times New Roman" w:hAnsi="Arial" w:cs="Arial"/>
          <w:i/>
          <w:sz w:val="18"/>
          <w:szCs w:val="18"/>
          <w:lang w:val="en-IE"/>
        </w:rPr>
        <w:t>et al</w:t>
      </w:r>
      <w:r w:rsidRPr="007B73F2">
        <w:rPr>
          <w:rFonts w:ascii="Arial" w:eastAsia="Times New Roman" w:hAnsi="Arial" w:cs="Arial"/>
          <w:sz w:val="18"/>
          <w:szCs w:val="18"/>
          <w:lang w:val="en-IE"/>
        </w:rPr>
        <w:t>., 2005b</w:t>
      </w:r>
      <w:r w:rsidRPr="00D403F5">
        <w:rPr>
          <w:rFonts w:ascii="Arial" w:eastAsia="Times New Roman" w:hAnsi="Arial" w:cs="Arial"/>
          <w:sz w:val="18"/>
          <w:szCs w:val="18"/>
          <w:lang w:val="en-IE"/>
        </w:rPr>
        <w:t>.</w:t>
      </w:r>
    </w:p>
    <w:p w14:paraId="0638B9D0"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2.4.6.</w:t>
      </w:r>
      <w:r w:rsidRPr="00BC2337">
        <w:rPr>
          <w:rFonts w:ascii="Ottawa" w:eastAsia="Times New Roman" w:hAnsi="Ottawa" w:cs="Times New Roman"/>
          <w:b/>
          <w:bCs/>
          <w:szCs w:val="20"/>
          <w:lang w:val="en-IE" w:eastAsia="fr-FR"/>
        </w:rPr>
        <w:tab/>
        <w:t>Disinfection of eggs and larvae</w:t>
      </w:r>
    </w:p>
    <w:p w14:paraId="493D0248" w14:textId="77777777" w:rsidR="00E65E42" w:rsidRPr="00D403F5" w:rsidRDefault="00E65E42" w:rsidP="000A4E1E">
      <w:pPr>
        <w:spacing w:line="240" w:lineRule="auto"/>
        <w:ind w:left="709"/>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Disinfection of </w:t>
      </w:r>
      <w:r w:rsidRPr="00BF51FB">
        <w:rPr>
          <w:rFonts w:ascii="Arial" w:eastAsia="Times New Roman" w:hAnsi="Arial" w:cs="Arial"/>
          <w:bCs/>
          <w:sz w:val="18"/>
          <w:szCs w:val="18"/>
          <w:highlight w:val="yellow"/>
          <w:u w:val="double"/>
          <w:lang w:val="en-IE"/>
        </w:rPr>
        <w:t>newly fertilised or</w:t>
      </w:r>
      <w:r>
        <w:rPr>
          <w:rFonts w:ascii="Arial" w:eastAsia="Times New Roman" w:hAnsi="Arial" w:cs="Arial"/>
          <w:bCs/>
          <w:sz w:val="18"/>
          <w:szCs w:val="18"/>
          <w:lang w:val="en-IE"/>
        </w:rPr>
        <w:t xml:space="preserve"> </w:t>
      </w:r>
      <w:r w:rsidRPr="00D403F5">
        <w:rPr>
          <w:rFonts w:ascii="Arial" w:eastAsia="Times New Roman" w:hAnsi="Arial" w:cs="Arial"/>
          <w:bCs/>
          <w:sz w:val="18"/>
          <w:szCs w:val="18"/>
          <w:lang w:val="en-IE"/>
        </w:rPr>
        <w:t xml:space="preserve">eyed </w:t>
      </w:r>
      <w:r w:rsidRPr="00BF51FB">
        <w:rPr>
          <w:rFonts w:ascii="Arial" w:eastAsia="Times New Roman" w:hAnsi="Arial" w:cs="Arial"/>
          <w:bCs/>
          <w:strike/>
          <w:sz w:val="18"/>
          <w:szCs w:val="18"/>
          <w:highlight w:val="yellow"/>
          <w:lang w:val="en-IE"/>
        </w:rPr>
        <w:t>and green</w:t>
      </w:r>
      <w:r w:rsidRPr="00BF51FB">
        <w:rPr>
          <w:rFonts w:ascii="Arial" w:eastAsia="Times New Roman" w:hAnsi="Arial" w:cs="Arial"/>
          <w:bCs/>
          <w:strike/>
          <w:sz w:val="18"/>
          <w:szCs w:val="18"/>
          <w:lang w:val="en-IE"/>
        </w:rPr>
        <w:t xml:space="preserve"> </w:t>
      </w:r>
      <w:r w:rsidRPr="00BF51FB">
        <w:rPr>
          <w:rFonts w:ascii="Arial" w:eastAsia="Times New Roman" w:hAnsi="Arial" w:cs="Arial"/>
          <w:bCs/>
          <w:sz w:val="18"/>
          <w:szCs w:val="18"/>
          <w:lang w:val="en-IE"/>
        </w:rPr>
        <w:t>eggs</w:t>
      </w:r>
      <w:r>
        <w:rPr>
          <w:rFonts w:ascii="Arial" w:eastAsia="Times New Roman" w:hAnsi="Arial" w:cs="Arial"/>
          <w:bCs/>
          <w:color w:val="FF0000"/>
          <w:sz w:val="18"/>
          <w:szCs w:val="18"/>
          <w:lang w:val="en-IE"/>
        </w:rPr>
        <w:t xml:space="preserve"> </w:t>
      </w:r>
      <w:r w:rsidRPr="009F5C9F">
        <w:rPr>
          <w:rFonts w:ascii="Arial" w:eastAsia="Times New Roman" w:hAnsi="Arial" w:cs="Arial"/>
          <w:bCs/>
          <w:color w:val="000000" w:themeColor="text1"/>
          <w:sz w:val="18"/>
          <w:szCs w:val="18"/>
          <w:lang w:val="en-IE"/>
        </w:rPr>
        <w:t>i</w:t>
      </w:r>
      <w:r w:rsidRPr="00D403F5">
        <w:rPr>
          <w:rFonts w:ascii="Arial" w:eastAsia="Times New Roman" w:hAnsi="Arial" w:cs="Arial"/>
          <w:bCs/>
          <w:sz w:val="18"/>
          <w:szCs w:val="18"/>
          <w:lang w:val="en-IE"/>
        </w:rPr>
        <w:t>s an efficient and cost-effective preven</w:t>
      </w:r>
      <w:r w:rsidRPr="00AE3567">
        <w:rPr>
          <w:rFonts w:ascii="Arial" w:eastAsia="Times New Roman" w:hAnsi="Arial" w:cs="Arial"/>
          <w:bCs/>
          <w:strike/>
          <w:sz w:val="18"/>
          <w:szCs w:val="18"/>
          <w:highlight w:val="yellow"/>
          <w:lang w:val="en-IE"/>
        </w:rPr>
        <w:t>ta</w:t>
      </w:r>
      <w:r w:rsidRPr="00D403F5">
        <w:rPr>
          <w:rFonts w:ascii="Arial" w:eastAsia="Times New Roman" w:hAnsi="Arial" w:cs="Arial"/>
          <w:bCs/>
          <w:sz w:val="18"/>
          <w:szCs w:val="18"/>
          <w:lang w:val="en-IE"/>
        </w:rPr>
        <w:t xml:space="preserve">tive measure for stopping the spread of the disease in salmonids (for the recommended protocol see Chapter 4.4. of </w:t>
      </w:r>
      <w:r w:rsidRPr="000A4E1E">
        <w:rPr>
          <w:rFonts w:ascii="Arial" w:eastAsia="Times New Roman" w:hAnsi="Arial" w:cs="Arial"/>
          <w:sz w:val="18"/>
          <w:szCs w:val="18"/>
          <w:lang w:val="en-IE"/>
        </w:rPr>
        <w:t>the</w:t>
      </w:r>
      <w:r w:rsidRPr="00D403F5">
        <w:rPr>
          <w:rFonts w:ascii="Arial" w:eastAsia="Times New Roman" w:hAnsi="Arial" w:cs="Arial"/>
          <w:bCs/>
          <w:sz w:val="18"/>
          <w:szCs w:val="18"/>
          <w:lang w:val="en-IE"/>
        </w:rPr>
        <w:t xml:space="preserve"> </w:t>
      </w:r>
      <w:r w:rsidRPr="00D403F5">
        <w:rPr>
          <w:rFonts w:ascii="Arial" w:eastAsia="Times New Roman" w:hAnsi="Arial" w:cs="Arial"/>
          <w:bCs/>
          <w:i/>
          <w:sz w:val="18"/>
          <w:szCs w:val="18"/>
          <w:lang w:val="en-IE"/>
        </w:rPr>
        <w:t>Aquatic Code</w:t>
      </w:r>
      <w:r w:rsidRPr="00D403F5">
        <w:rPr>
          <w:rFonts w:ascii="Arial" w:eastAsia="Times New Roman" w:hAnsi="Arial" w:cs="Arial"/>
          <w:bCs/>
          <w:sz w:val="18"/>
          <w:szCs w:val="18"/>
          <w:lang w:val="en-IE"/>
        </w:rPr>
        <w:t xml:space="preserve">). </w:t>
      </w:r>
    </w:p>
    <w:p w14:paraId="448D53F4" w14:textId="77777777" w:rsidR="00E65E42" w:rsidRPr="000A3C9D" w:rsidRDefault="00E65E42" w:rsidP="000A4E1E">
      <w:pPr>
        <w:spacing w:after="120" w:line="240" w:lineRule="auto"/>
        <w:ind w:left="1276" w:hanging="567"/>
        <w:jc w:val="both"/>
        <w:rPr>
          <w:rFonts w:ascii="Ottawa" w:eastAsia="Times New Roman" w:hAnsi="Ottawa" w:cs="Times New Roman"/>
          <w:b/>
          <w:bCs/>
          <w:szCs w:val="20"/>
          <w:lang w:eastAsia="fr-FR"/>
        </w:rPr>
      </w:pPr>
      <w:r w:rsidRPr="000A3C9D">
        <w:rPr>
          <w:rFonts w:ascii="Ottawa" w:eastAsia="Times New Roman" w:hAnsi="Ottawa" w:cs="Times New Roman"/>
          <w:b/>
          <w:bCs/>
          <w:szCs w:val="20"/>
          <w:lang w:eastAsia="fr-FR"/>
        </w:rPr>
        <w:t>2.4.7.</w:t>
      </w:r>
      <w:r w:rsidRPr="000A3C9D">
        <w:rPr>
          <w:rFonts w:ascii="Ottawa" w:eastAsia="Times New Roman" w:hAnsi="Ottawa" w:cs="Times New Roman"/>
          <w:b/>
          <w:bCs/>
          <w:szCs w:val="20"/>
          <w:lang w:eastAsia="fr-FR"/>
        </w:rPr>
        <w:tab/>
        <w:t xml:space="preserve">General husbandry </w:t>
      </w:r>
    </w:p>
    <w:p w14:paraId="7CDAA2A3" w14:textId="77777777" w:rsidR="00E65E42" w:rsidRPr="00D403F5" w:rsidRDefault="00E65E42" w:rsidP="000A4E1E">
      <w:pPr>
        <w:spacing w:line="240" w:lineRule="auto"/>
        <w:ind w:left="709"/>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Poor water quality, high fish density, high feeding rate, </w:t>
      </w:r>
      <w:r w:rsidRPr="00AE3567">
        <w:rPr>
          <w:rFonts w:ascii="Arial" w:eastAsia="Times New Roman" w:hAnsi="Arial" w:cs="Arial"/>
          <w:bCs/>
          <w:sz w:val="18"/>
          <w:szCs w:val="18"/>
          <w:highlight w:val="yellow"/>
          <w:u w:val="double"/>
          <w:lang w:val="en-IE"/>
        </w:rPr>
        <w:t>infection with</w:t>
      </w:r>
      <w:r>
        <w:rPr>
          <w:rFonts w:ascii="Arial" w:eastAsia="Times New Roman" w:hAnsi="Arial" w:cs="Arial"/>
          <w:bCs/>
          <w:sz w:val="18"/>
          <w:szCs w:val="18"/>
          <w:lang w:val="en-IE"/>
        </w:rPr>
        <w:t xml:space="preserve"> </w:t>
      </w:r>
      <w:r w:rsidRPr="00D403F5">
        <w:rPr>
          <w:rFonts w:ascii="Arial" w:eastAsia="Times New Roman" w:hAnsi="Arial" w:cs="Arial"/>
          <w:bCs/>
          <w:sz w:val="18"/>
          <w:szCs w:val="18"/>
          <w:lang w:val="en-IE"/>
        </w:rPr>
        <w:t>other diseases such as proliferative kidney disease, ichthyophthiriasis, bacterial kidney disease, etc. can influence the course and severity of infect</w:t>
      </w:r>
      <w:r w:rsidRPr="000A4E1E">
        <w:rPr>
          <w:rFonts w:ascii="Arial" w:eastAsia="Times New Roman" w:hAnsi="Arial" w:cs="Arial"/>
          <w:sz w:val="18"/>
          <w:szCs w:val="18"/>
          <w:lang w:val="en-IE"/>
        </w:rPr>
        <w:t>i</w:t>
      </w:r>
      <w:r w:rsidRPr="00D403F5">
        <w:rPr>
          <w:rFonts w:ascii="Arial" w:eastAsia="Times New Roman" w:hAnsi="Arial" w:cs="Arial"/>
          <w:bCs/>
          <w:sz w:val="18"/>
          <w:szCs w:val="18"/>
          <w:lang w:val="en-IE"/>
        </w:rPr>
        <w:t xml:space="preserve">on with VHSV. In general, an increase in temperature, restricted feeding, reduced fish density and restricted handling may reduce mortality. In endemically infected farms, stocking with naïve fry is usually done </w:t>
      </w:r>
      <w:r w:rsidRPr="00AE3567">
        <w:rPr>
          <w:rFonts w:ascii="Arial" w:eastAsia="Times New Roman" w:hAnsi="Arial" w:cs="Arial"/>
          <w:bCs/>
          <w:strike/>
          <w:sz w:val="18"/>
          <w:szCs w:val="18"/>
          <w:highlight w:val="yellow"/>
          <w:lang w:val="en-IE"/>
        </w:rPr>
        <w:t>at as high</w:t>
      </w:r>
      <w:r w:rsidRPr="00D403F5">
        <w:rPr>
          <w:rFonts w:ascii="Arial" w:eastAsia="Times New Roman" w:hAnsi="Arial" w:cs="Arial"/>
          <w:bCs/>
          <w:sz w:val="18"/>
          <w:szCs w:val="18"/>
          <w:lang w:val="en-IE"/>
        </w:rPr>
        <w:t xml:space="preserve"> </w:t>
      </w:r>
      <w:r w:rsidRPr="00AE3567">
        <w:rPr>
          <w:rFonts w:ascii="Arial" w:eastAsia="Times New Roman" w:hAnsi="Arial" w:cs="Arial"/>
          <w:bCs/>
          <w:sz w:val="18"/>
          <w:szCs w:val="18"/>
          <w:highlight w:val="yellow"/>
          <w:u w:val="double"/>
          <w:lang w:val="en-IE"/>
        </w:rPr>
        <w:t>when the</w:t>
      </w:r>
      <w:r>
        <w:rPr>
          <w:rFonts w:ascii="Arial" w:eastAsia="Times New Roman" w:hAnsi="Arial" w:cs="Arial"/>
          <w:bCs/>
          <w:sz w:val="18"/>
          <w:szCs w:val="18"/>
          <w:lang w:val="en-IE"/>
        </w:rPr>
        <w:t xml:space="preserve"> </w:t>
      </w:r>
      <w:r w:rsidRPr="00D403F5">
        <w:rPr>
          <w:rFonts w:ascii="Arial" w:eastAsia="Times New Roman" w:hAnsi="Arial" w:cs="Arial"/>
          <w:bCs/>
          <w:sz w:val="18"/>
          <w:szCs w:val="18"/>
          <w:lang w:val="en-IE"/>
        </w:rPr>
        <w:t>water temperature</w:t>
      </w:r>
      <w:r w:rsidRPr="00AE3567">
        <w:rPr>
          <w:rFonts w:ascii="Arial" w:eastAsia="Times New Roman" w:hAnsi="Arial" w:cs="Arial"/>
          <w:bCs/>
          <w:strike/>
          <w:sz w:val="18"/>
          <w:szCs w:val="18"/>
          <w:highlight w:val="yellow"/>
          <w:lang w:val="en-IE"/>
        </w:rPr>
        <w:t>s</w:t>
      </w:r>
      <w:r w:rsidRPr="00D403F5">
        <w:rPr>
          <w:rFonts w:ascii="Arial" w:eastAsia="Times New Roman" w:hAnsi="Arial" w:cs="Arial"/>
          <w:bCs/>
          <w:sz w:val="18"/>
          <w:szCs w:val="18"/>
          <w:lang w:val="en-IE"/>
        </w:rPr>
        <w:t xml:space="preserve"> </w:t>
      </w:r>
      <w:r w:rsidRPr="00AE3567">
        <w:rPr>
          <w:rFonts w:ascii="Arial" w:eastAsia="Times New Roman" w:hAnsi="Arial" w:cs="Arial"/>
          <w:bCs/>
          <w:sz w:val="18"/>
          <w:szCs w:val="18"/>
          <w:highlight w:val="yellow"/>
          <w:u w:val="double"/>
          <w:lang w:val="en-IE"/>
        </w:rPr>
        <w:t>is at near maximum levels</w:t>
      </w:r>
      <w:r w:rsidRPr="00AE3567">
        <w:rPr>
          <w:rFonts w:ascii="Arial" w:eastAsia="Times New Roman" w:hAnsi="Arial" w:cs="Arial"/>
          <w:bCs/>
          <w:strike/>
          <w:sz w:val="18"/>
          <w:szCs w:val="18"/>
          <w:highlight w:val="yellow"/>
          <w:lang w:val="en-IE"/>
        </w:rPr>
        <w:t>as possible</w:t>
      </w:r>
      <w:r w:rsidRPr="00D403F5">
        <w:rPr>
          <w:rFonts w:ascii="Arial" w:eastAsia="Times New Roman" w:hAnsi="Arial" w:cs="Arial"/>
          <w:bCs/>
          <w:sz w:val="18"/>
          <w:szCs w:val="18"/>
          <w:lang w:val="en-IE"/>
        </w:rPr>
        <w:t>.</w:t>
      </w:r>
    </w:p>
    <w:p w14:paraId="6A9E2FBD" w14:textId="77777777" w:rsidR="00E65E42" w:rsidRPr="00F97268" w:rsidRDefault="00E65E42" w:rsidP="00E65E42">
      <w:pPr>
        <w:spacing w:after="240" w:line="240" w:lineRule="auto"/>
        <w:ind w:left="284" w:hanging="284"/>
        <w:outlineLvl w:val="0"/>
        <w:rPr>
          <w:rFonts w:ascii="Ottawa" w:eastAsia="Times New Roman" w:hAnsi="Ottawa" w:cs="Times New Roman"/>
          <w:b/>
          <w:bCs/>
          <w:sz w:val="22"/>
          <w:lang w:val="en-IE" w:bidi="en-US"/>
        </w:rPr>
      </w:pPr>
      <w:bookmarkStart w:id="152" w:name="_Toc38028665"/>
      <w:r w:rsidRPr="00F97268">
        <w:rPr>
          <w:rFonts w:ascii="Ottawa" w:eastAsia="Times New Roman" w:hAnsi="Ottawa" w:cs="Times New Roman"/>
          <w:b/>
          <w:bCs/>
          <w:sz w:val="22"/>
          <w:lang w:val="en-IE" w:bidi="en-US"/>
        </w:rPr>
        <w:t>3.</w:t>
      </w:r>
      <w:r w:rsidRPr="00F97268">
        <w:rPr>
          <w:rFonts w:ascii="Ottawa" w:eastAsia="Times New Roman" w:hAnsi="Ottawa" w:cs="Times New Roman"/>
          <w:b/>
          <w:bCs/>
          <w:sz w:val="22"/>
          <w:lang w:val="en-IE" w:bidi="en-US"/>
        </w:rPr>
        <w:tab/>
        <w:t>Specimen selection, sample collection, transportation and handling</w:t>
      </w:r>
      <w:bookmarkEnd w:id="152"/>
      <w:r w:rsidRPr="00F97268">
        <w:rPr>
          <w:rFonts w:ascii="Ottawa" w:eastAsia="Times New Roman" w:hAnsi="Ottawa" w:cs="Times New Roman"/>
          <w:b/>
          <w:bCs/>
          <w:sz w:val="22"/>
          <w:lang w:val="en-IE" w:bidi="en-US"/>
        </w:rPr>
        <w:t xml:space="preserve"> </w:t>
      </w:r>
    </w:p>
    <w:p w14:paraId="519A4E7C" w14:textId="77777777" w:rsidR="00E65E42" w:rsidRPr="00D62973" w:rsidRDefault="00E65E42" w:rsidP="000A4E1E">
      <w:pPr>
        <w:tabs>
          <w:tab w:val="left" w:pos="1418"/>
        </w:tabs>
        <w:spacing w:after="120" w:line="240" w:lineRule="auto"/>
        <w:ind w:left="709" w:hanging="425"/>
        <w:jc w:val="both"/>
        <w:rPr>
          <w:rFonts w:ascii="Ottawa" w:eastAsia="MS Mincho" w:hAnsi="Ottawa" w:cs="Times New Roman"/>
          <w:b/>
          <w:sz w:val="21"/>
          <w:szCs w:val="21"/>
          <w:lang w:val="da-DK" w:eastAsia="da-DK"/>
        </w:rPr>
      </w:pPr>
      <w:r w:rsidRPr="00D62973">
        <w:rPr>
          <w:rFonts w:ascii="Ottawa" w:eastAsia="MS Mincho" w:hAnsi="Ottawa" w:cs="Times New Roman"/>
          <w:b/>
          <w:sz w:val="21"/>
          <w:szCs w:val="21"/>
          <w:lang w:val="da-DK" w:eastAsia="da-DK"/>
        </w:rPr>
        <w:t>3.1.</w:t>
      </w:r>
      <w:r w:rsidRPr="00D62973">
        <w:rPr>
          <w:rFonts w:ascii="Ottawa" w:eastAsia="MS Mincho" w:hAnsi="Ottawa" w:cs="Times New Roman"/>
          <w:b/>
          <w:sz w:val="21"/>
          <w:szCs w:val="21"/>
          <w:lang w:val="da-DK" w:eastAsia="da-DK"/>
        </w:rPr>
        <w:tab/>
        <w:t xml:space="preserve">Selection of populations and individual specimens </w:t>
      </w:r>
    </w:p>
    <w:p w14:paraId="27C1C94F" w14:textId="77777777" w:rsidR="00E65E42" w:rsidRPr="00DC5DE6" w:rsidRDefault="00E65E42" w:rsidP="00CA3459">
      <w:pPr>
        <w:spacing w:after="240" w:line="240" w:lineRule="auto"/>
        <w:ind w:left="709"/>
        <w:jc w:val="both"/>
        <w:rPr>
          <w:rFonts w:ascii="Arial" w:eastAsia="Times New Roman" w:hAnsi="Arial" w:cs="Arial"/>
          <w:spacing w:val="-2"/>
          <w:sz w:val="18"/>
          <w:szCs w:val="18"/>
        </w:rPr>
      </w:pPr>
      <w:r w:rsidRPr="00D403F5">
        <w:rPr>
          <w:rFonts w:ascii="Arial" w:eastAsia="Times New Roman" w:hAnsi="Arial" w:cs="Arial"/>
          <w:spacing w:val="-2"/>
          <w:sz w:val="18"/>
          <w:szCs w:val="18"/>
        </w:rPr>
        <w:t>Clinical inspections should be carried out during a period when the water temperature is below 14°C or whenever the water temperature is likely to reach its lowest annual point. All production units (ponds, tanks, net-cages, etc.) should be inspected for the presence of dead, weak or abnormally behaving fish. Particular attention should be paid to the water outlet area where weak fish tend to accumulate due to the water current.</w:t>
      </w:r>
    </w:p>
    <w:p w14:paraId="58AD4146" w14:textId="77777777" w:rsidR="008A67C2" w:rsidRDefault="008A67C2">
      <w:pPr>
        <w:rPr>
          <w:rFonts w:ascii="Arial" w:eastAsia="Times New Roman" w:hAnsi="Arial" w:cs="Arial"/>
          <w:sz w:val="18"/>
          <w:szCs w:val="18"/>
        </w:rPr>
      </w:pPr>
      <w:r>
        <w:rPr>
          <w:rFonts w:ascii="Arial" w:eastAsia="Times New Roman" w:hAnsi="Arial" w:cs="Arial"/>
          <w:sz w:val="18"/>
          <w:szCs w:val="18"/>
        </w:rPr>
        <w:br w:type="page"/>
      </w:r>
    </w:p>
    <w:p w14:paraId="0FB4BA99" w14:textId="77777777" w:rsidR="008A67C2" w:rsidRPr="008A67C2" w:rsidRDefault="008A67C2" w:rsidP="008A67C2">
      <w:pPr>
        <w:spacing w:after="480" w:line="240" w:lineRule="auto"/>
        <w:jc w:val="right"/>
        <w:rPr>
          <w:rFonts w:cs="Times New Roman"/>
          <w:bCs/>
          <w:iCs/>
          <w:szCs w:val="20"/>
        </w:rPr>
      </w:pP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5054A281" w14:textId="100CDDFF" w:rsidR="00E65E42" w:rsidRPr="00D403F5" w:rsidRDefault="00E65E42" w:rsidP="00CA3459">
      <w:pPr>
        <w:spacing w:after="120" w:line="240" w:lineRule="auto"/>
        <w:ind w:left="709"/>
        <w:jc w:val="both"/>
        <w:rPr>
          <w:rFonts w:ascii="Arial" w:eastAsia="Times New Roman" w:hAnsi="Arial" w:cs="Arial"/>
          <w:sz w:val="18"/>
          <w:szCs w:val="18"/>
        </w:rPr>
      </w:pPr>
      <w:r w:rsidRPr="00D403F5">
        <w:rPr>
          <w:rFonts w:ascii="Arial" w:eastAsia="Times New Roman" w:hAnsi="Arial" w:cs="Arial"/>
          <w:sz w:val="18"/>
          <w:szCs w:val="18"/>
        </w:rPr>
        <w:t>Fish to be sampled are selected as follows:</w:t>
      </w:r>
    </w:p>
    <w:p w14:paraId="59EB21A7" w14:textId="77777777" w:rsidR="00E65E42" w:rsidRPr="00291FCD" w:rsidRDefault="00E65E42" w:rsidP="00CA3459">
      <w:pPr>
        <w:spacing w:after="120" w:line="240" w:lineRule="auto"/>
        <w:ind w:left="1134" w:hanging="425"/>
        <w:jc w:val="both"/>
        <w:rPr>
          <w:rFonts w:ascii="Arial" w:eastAsia="Times New Roman" w:hAnsi="Arial" w:cs="Arial"/>
          <w:strike/>
          <w:sz w:val="18"/>
          <w:szCs w:val="18"/>
        </w:rPr>
      </w:pPr>
      <w:r w:rsidRPr="00D403F5">
        <w:rPr>
          <w:rFonts w:ascii="Arial" w:eastAsia="Times New Roman" w:hAnsi="Arial" w:cs="Arial"/>
          <w:sz w:val="18"/>
          <w:szCs w:val="18"/>
        </w:rPr>
        <w:t>i)</w:t>
      </w:r>
      <w:r w:rsidRPr="00D403F5">
        <w:rPr>
          <w:rFonts w:ascii="Arial" w:eastAsia="Times New Roman" w:hAnsi="Arial" w:cs="Arial"/>
          <w:sz w:val="18"/>
          <w:szCs w:val="18"/>
        </w:rPr>
        <w:tab/>
        <w:t xml:space="preserve">For genotype I, in farms where rainbow trout are present, </w:t>
      </w:r>
      <w:r w:rsidRPr="00BF51FB">
        <w:rPr>
          <w:rFonts w:ascii="Arial" w:eastAsia="Times New Roman" w:hAnsi="Arial" w:cs="Arial"/>
          <w:strike/>
          <w:sz w:val="18"/>
          <w:szCs w:val="18"/>
          <w:highlight w:val="yellow"/>
        </w:rPr>
        <w:t>only</w:t>
      </w:r>
      <w:r w:rsidRPr="002B31BC">
        <w:rPr>
          <w:rFonts w:ascii="Arial" w:eastAsia="Times New Roman" w:hAnsi="Arial" w:cs="Arial"/>
          <w:strike/>
          <w:sz w:val="18"/>
          <w:szCs w:val="18"/>
        </w:rPr>
        <w:t xml:space="preserve"> </w:t>
      </w:r>
      <w:r w:rsidRPr="00D403F5">
        <w:rPr>
          <w:rFonts w:ascii="Arial" w:eastAsia="Times New Roman" w:hAnsi="Arial" w:cs="Arial"/>
          <w:sz w:val="18"/>
          <w:szCs w:val="18"/>
        </w:rPr>
        <w:t>fish of that species should be selected for sampling. If rainbow trout are not present, the sample should be obtained from fish of all other VHSV-susceptible species present</w:t>
      </w:r>
      <w:r>
        <w:rPr>
          <w:rFonts w:ascii="Arial" w:eastAsia="Times New Roman" w:hAnsi="Arial" w:cs="Arial"/>
          <w:sz w:val="18"/>
          <w:szCs w:val="18"/>
        </w:rPr>
        <w:t xml:space="preserve"> </w:t>
      </w:r>
      <w:r w:rsidRPr="00BF51FB">
        <w:rPr>
          <w:rFonts w:ascii="Arial" w:eastAsia="Times New Roman" w:hAnsi="Arial" w:cs="Arial"/>
          <w:sz w:val="18"/>
          <w:szCs w:val="18"/>
          <w:highlight w:val="yellow"/>
          <w:u w:val="double"/>
        </w:rPr>
        <w:t>(</w:t>
      </w:r>
      <w:r w:rsidRPr="00D403F5">
        <w:rPr>
          <w:rFonts w:ascii="Arial" w:eastAsia="Times New Roman" w:hAnsi="Arial" w:cs="Arial"/>
          <w:sz w:val="18"/>
          <w:szCs w:val="18"/>
        </w:rPr>
        <w:t>as listed in Table</w:t>
      </w:r>
      <w:r w:rsidRPr="00BF51FB">
        <w:rPr>
          <w:rFonts w:ascii="Arial" w:eastAsia="Times New Roman" w:hAnsi="Arial" w:cs="Arial"/>
          <w:strike/>
          <w:sz w:val="18"/>
          <w:szCs w:val="18"/>
          <w:highlight w:val="yellow"/>
        </w:rPr>
        <w:t>s</w:t>
      </w:r>
      <w:r w:rsidRPr="00D403F5">
        <w:rPr>
          <w:rFonts w:ascii="Arial" w:eastAsia="Times New Roman" w:hAnsi="Arial" w:cs="Arial"/>
          <w:sz w:val="18"/>
          <w:szCs w:val="18"/>
        </w:rPr>
        <w:t xml:space="preserve"> 2.1</w:t>
      </w:r>
      <w:r w:rsidRPr="002B31BC">
        <w:rPr>
          <w:rFonts w:ascii="Arial" w:eastAsia="Times New Roman" w:hAnsi="Arial" w:cs="Arial"/>
          <w:sz w:val="18"/>
          <w:szCs w:val="18"/>
          <w:highlight w:val="yellow"/>
          <w:u w:val="double"/>
        </w:rPr>
        <w:t>)</w:t>
      </w:r>
      <w:r w:rsidRPr="002B31BC">
        <w:rPr>
          <w:rFonts w:ascii="Arial" w:eastAsia="Times New Roman" w:hAnsi="Arial" w:cs="Arial"/>
          <w:sz w:val="18"/>
          <w:szCs w:val="18"/>
          <w:highlight w:val="yellow"/>
        </w:rPr>
        <w:t xml:space="preserve"> </w:t>
      </w:r>
      <w:r w:rsidRPr="002B31BC">
        <w:rPr>
          <w:rFonts w:ascii="Arial" w:eastAsia="Times New Roman" w:hAnsi="Arial" w:cs="Arial"/>
          <w:strike/>
          <w:sz w:val="18"/>
          <w:szCs w:val="18"/>
          <w:highlight w:val="yellow"/>
        </w:rPr>
        <w:t xml:space="preserve">and </w:t>
      </w:r>
      <w:r w:rsidRPr="002B31BC">
        <w:rPr>
          <w:rFonts w:ascii="Arial" w:eastAsia="Times New Roman" w:hAnsi="Arial" w:cs="Arial"/>
          <w:sz w:val="18"/>
          <w:szCs w:val="18"/>
          <w:highlight w:val="yellow"/>
          <w:u w:val="double"/>
        </w:rPr>
        <w:t xml:space="preserve">or from </w:t>
      </w:r>
      <w:r w:rsidRPr="002C3B6B">
        <w:rPr>
          <w:rFonts w:ascii="Arial" w:eastAsia="Times New Roman" w:hAnsi="Arial" w:cs="Arial"/>
          <w:sz w:val="18"/>
          <w:szCs w:val="18"/>
          <w:highlight w:val="yellow"/>
          <w:u w:val="double"/>
        </w:rPr>
        <w:t xml:space="preserve">species with incomplete evidence for </w:t>
      </w:r>
      <w:r w:rsidRPr="002B31BC">
        <w:rPr>
          <w:rFonts w:ascii="Arial" w:eastAsia="Times New Roman" w:hAnsi="Arial" w:cs="Arial"/>
          <w:sz w:val="18"/>
          <w:szCs w:val="18"/>
          <w:highlight w:val="yellow"/>
          <w:u w:val="double"/>
        </w:rPr>
        <w:t xml:space="preserve">susceptibility (as </w:t>
      </w:r>
      <w:r w:rsidRPr="00BF51FB">
        <w:rPr>
          <w:rFonts w:ascii="Arial" w:eastAsia="Times New Roman" w:hAnsi="Arial" w:cs="Arial"/>
          <w:sz w:val="18"/>
          <w:szCs w:val="18"/>
          <w:highlight w:val="yellow"/>
          <w:u w:val="double"/>
        </w:rPr>
        <w:t>listed in Table</w:t>
      </w:r>
      <w:r>
        <w:rPr>
          <w:rFonts w:ascii="Arial" w:eastAsia="Times New Roman" w:hAnsi="Arial" w:cs="Arial"/>
          <w:sz w:val="18"/>
          <w:szCs w:val="18"/>
        </w:rPr>
        <w:t xml:space="preserve"> </w:t>
      </w:r>
      <w:r w:rsidRPr="00D403F5">
        <w:rPr>
          <w:rFonts w:ascii="Arial" w:eastAsia="Times New Roman" w:hAnsi="Arial" w:cs="Arial"/>
          <w:sz w:val="18"/>
          <w:szCs w:val="18"/>
        </w:rPr>
        <w:t>2.2</w:t>
      </w:r>
      <w:r w:rsidRPr="00BF51FB">
        <w:rPr>
          <w:rFonts w:ascii="Arial" w:eastAsia="Times New Roman" w:hAnsi="Arial" w:cs="Arial"/>
          <w:sz w:val="18"/>
          <w:szCs w:val="18"/>
          <w:highlight w:val="yellow"/>
          <w:u w:val="double"/>
        </w:rPr>
        <w:t>)</w:t>
      </w:r>
      <w:r w:rsidRPr="00D403F5">
        <w:rPr>
          <w:rFonts w:ascii="Arial" w:eastAsia="Times New Roman" w:hAnsi="Arial" w:cs="Arial"/>
          <w:sz w:val="18"/>
          <w:szCs w:val="18"/>
        </w:rPr>
        <w:t xml:space="preserve">. However, the species should be proportionally represented in the sample. For other genotypes (II, III, and IV), species of known susceptibility to the genotype in question should be </w:t>
      </w:r>
      <w:r w:rsidRPr="00291FCD">
        <w:rPr>
          <w:rFonts w:ascii="Arial" w:eastAsia="Times New Roman" w:hAnsi="Arial" w:cs="Arial"/>
          <w:sz w:val="18"/>
          <w:szCs w:val="18"/>
        </w:rPr>
        <w:t>sampled.</w:t>
      </w:r>
    </w:p>
    <w:p w14:paraId="2C76E800" w14:textId="77777777" w:rsidR="00E65E42" w:rsidRPr="00D403F5" w:rsidRDefault="00E65E42" w:rsidP="00CA3459">
      <w:pPr>
        <w:spacing w:after="120" w:line="240" w:lineRule="auto"/>
        <w:ind w:left="1134" w:hanging="425"/>
        <w:jc w:val="both"/>
        <w:rPr>
          <w:rFonts w:ascii="Arial" w:eastAsia="Times New Roman" w:hAnsi="Arial" w:cs="Arial"/>
          <w:sz w:val="18"/>
          <w:szCs w:val="18"/>
        </w:rPr>
      </w:pPr>
      <w:r w:rsidRPr="00D403F5">
        <w:rPr>
          <w:rFonts w:ascii="Arial" w:eastAsia="Times New Roman" w:hAnsi="Arial" w:cs="Arial"/>
          <w:sz w:val="18"/>
          <w:szCs w:val="18"/>
        </w:rPr>
        <w:t>ii)</w:t>
      </w:r>
      <w:r w:rsidRPr="00D403F5">
        <w:rPr>
          <w:rFonts w:ascii="Arial" w:eastAsia="Times New Roman" w:hAnsi="Arial" w:cs="Arial"/>
          <w:sz w:val="18"/>
          <w:szCs w:val="18"/>
        </w:rPr>
        <w:tab/>
        <w:t>Susceptible species should be sampled following risk-based criteria for targeted selection of populations with a history of abnormal mortality or potential exposure events (e.g. via untreated surface water, wild harvest or introduction of stocks of unknown risk status).</w:t>
      </w:r>
    </w:p>
    <w:p w14:paraId="68AF03CA" w14:textId="77777777" w:rsidR="00E65E42" w:rsidRPr="00D403F5" w:rsidRDefault="00E65E42" w:rsidP="00CA3459">
      <w:pPr>
        <w:spacing w:after="120" w:line="240" w:lineRule="auto"/>
        <w:ind w:left="1134" w:hanging="425"/>
        <w:jc w:val="both"/>
        <w:rPr>
          <w:rFonts w:ascii="Arial" w:eastAsia="Times New Roman" w:hAnsi="Arial" w:cs="Arial"/>
          <w:sz w:val="18"/>
          <w:szCs w:val="18"/>
        </w:rPr>
      </w:pPr>
      <w:r w:rsidRPr="00D403F5">
        <w:rPr>
          <w:rFonts w:ascii="Arial" w:eastAsia="Times New Roman" w:hAnsi="Arial" w:cs="Arial"/>
          <w:sz w:val="18"/>
          <w:szCs w:val="18"/>
        </w:rPr>
        <w:t>iii)</w:t>
      </w:r>
      <w:r w:rsidRPr="00D403F5">
        <w:rPr>
          <w:rFonts w:ascii="Arial" w:eastAsia="Times New Roman" w:hAnsi="Arial" w:cs="Arial"/>
          <w:sz w:val="18"/>
          <w:szCs w:val="18"/>
        </w:rPr>
        <w:tab/>
        <w:t>If more than one water source is used for fish production, fish from all water sources should be included in the sample.</w:t>
      </w:r>
    </w:p>
    <w:p w14:paraId="1D315AA4" w14:textId="77777777" w:rsidR="00E65E42" w:rsidRPr="00BC2337" w:rsidRDefault="00E65E42" w:rsidP="000A4E1E">
      <w:pPr>
        <w:tabs>
          <w:tab w:val="left" w:pos="1418"/>
        </w:tabs>
        <w:spacing w:after="120" w:line="240" w:lineRule="auto"/>
        <w:ind w:left="709" w:hanging="425"/>
        <w:jc w:val="both"/>
        <w:rPr>
          <w:rFonts w:ascii="Ottawa" w:eastAsia="MS Mincho" w:hAnsi="Ottawa" w:cs="Times New Roman"/>
          <w:b/>
          <w:sz w:val="21"/>
          <w:szCs w:val="21"/>
          <w:lang w:val="da-DK" w:eastAsia="da-DK"/>
        </w:rPr>
      </w:pPr>
      <w:r w:rsidRPr="00BC2337">
        <w:rPr>
          <w:rFonts w:ascii="Ottawa" w:eastAsia="MS Mincho" w:hAnsi="Ottawa" w:cs="Times New Roman"/>
          <w:b/>
          <w:sz w:val="21"/>
          <w:szCs w:val="21"/>
          <w:lang w:val="da-DK" w:eastAsia="da-DK"/>
        </w:rPr>
        <w:t>3.2.</w:t>
      </w:r>
      <w:r w:rsidRPr="00BC2337">
        <w:rPr>
          <w:rFonts w:ascii="Ottawa" w:eastAsia="MS Mincho" w:hAnsi="Ottawa" w:cs="Times New Roman"/>
          <w:b/>
          <w:sz w:val="21"/>
          <w:szCs w:val="21"/>
          <w:lang w:val="da-DK" w:eastAsia="da-DK"/>
        </w:rPr>
        <w:tab/>
        <w:t>Selection of organs or tissues</w:t>
      </w:r>
    </w:p>
    <w:p w14:paraId="096EFB88" w14:textId="77777777" w:rsidR="00E65E42" w:rsidRPr="00D403F5" w:rsidRDefault="00E65E42" w:rsidP="00CA3459">
      <w:pPr>
        <w:spacing w:after="120" w:line="240" w:lineRule="auto"/>
        <w:ind w:left="709"/>
        <w:jc w:val="both"/>
        <w:rPr>
          <w:rFonts w:ascii="Arial" w:eastAsia="Times New Roman" w:hAnsi="Arial" w:cs="Arial"/>
          <w:sz w:val="18"/>
          <w:szCs w:val="18"/>
          <w:lang w:val="en-IE" w:eastAsia="fr-FR"/>
        </w:rPr>
      </w:pPr>
      <w:r w:rsidRPr="00EC5D1A">
        <w:rPr>
          <w:rFonts w:ascii="Arial" w:eastAsia="Times New Roman" w:hAnsi="Arial" w:cs="Arial"/>
          <w:sz w:val="18"/>
          <w:szCs w:val="18"/>
          <w:lang w:val="en-IE" w:eastAsia="fr-FR"/>
        </w:rPr>
        <w:t>The optimal tissue</w:t>
      </w:r>
      <w:r w:rsidRPr="002B31BC">
        <w:rPr>
          <w:rFonts w:ascii="Arial" w:eastAsia="Times New Roman" w:hAnsi="Arial" w:cs="Arial"/>
          <w:sz w:val="18"/>
          <w:szCs w:val="18"/>
          <w:highlight w:val="yellow"/>
          <w:u w:val="double"/>
          <w:lang w:val="en-IE" w:eastAsia="fr-FR"/>
        </w:rPr>
        <w:t>s</w:t>
      </w:r>
      <w:r w:rsidRPr="002B31BC">
        <w:rPr>
          <w:rFonts w:ascii="Arial" w:eastAsia="Times New Roman" w:hAnsi="Arial" w:cs="Arial"/>
          <w:sz w:val="18"/>
          <w:szCs w:val="18"/>
          <w:highlight w:val="yellow"/>
          <w:lang w:val="en-IE" w:eastAsia="fr-FR"/>
        </w:rPr>
        <w:t xml:space="preserve"> </w:t>
      </w:r>
      <w:r w:rsidRPr="002B31BC">
        <w:rPr>
          <w:rFonts w:ascii="Arial" w:eastAsia="Times New Roman" w:hAnsi="Arial" w:cs="Arial"/>
          <w:strike/>
          <w:sz w:val="18"/>
          <w:szCs w:val="18"/>
          <w:highlight w:val="yellow"/>
          <w:lang w:val="en-IE" w:eastAsia="fr-FR"/>
        </w:rPr>
        <w:t xml:space="preserve">material to be </w:t>
      </w:r>
      <w:r w:rsidRPr="00BF51FB">
        <w:rPr>
          <w:rFonts w:ascii="Arial" w:eastAsia="Times New Roman" w:hAnsi="Arial" w:cs="Arial"/>
          <w:strike/>
          <w:sz w:val="18"/>
          <w:szCs w:val="18"/>
          <w:highlight w:val="yellow"/>
          <w:lang w:val="en-IE" w:eastAsia="fr-FR"/>
        </w:rPr>
        <w:t xml:space="preserve">examined is </w:t>
      </w:r>
      <w:r w:rsidRPr="00BF51FB">
        <w:rPr>
          <w:rFonts w:ascii="Arial" w:eastAsia="Times New Roman" w:hAnsi="Arial" w:cs="Arial"/>
          <w:sz w:val="18"/>
          <w:szCs w:val="18"/>
          <w:highlight w:val="yellow"/>
          <w:u w:val="double"/>
          <w:lang w:val="en-IE" w:eastAsia="fr-FR"/>
        </w:rPr>
        <w:t>are</w:t>
      </w:r>
      <w:r w:rsidRPr="002C3B6B">
        <w:rPr>
          <w:rFonts w:ascii="Arial" w:eastAsia="Times New Roman" w:hAnsi="Arial" w:cs="Arial"/>
          <w:sz w:val="18"/>
          <w:szCs w:val="18"/>
          <w:lang w:val="en-IE" w:eastAsia="fr-FR"/>
        </w:rPr>
        <w:t xml:space="preserve"> </w:t>
      </w:r>
      <w:r w:rsidRPr="00EC5D1A">
        <w:rPr>
          <w:rFonts w:ascii="Arial" w:eastAsia="Times New Roman" w:hAnsi="Arial" w:cs="Arial"/>
          <w:sz w:val="18"/>
          <w:szCs w:val="18"/>
          <w:lang w:val="en-IE" w:eastAsia="fr-FR"/>
        </w:rPr>
        <w:t xml:space="preserve">spleen, anterior kidney, heart and encephalon. </w:t>
      </w:r>
      <w:r w:rsidRPr="00BF51FB">
        <w:rPr>
          <w:rFonts w:ascii="Arial" w:eastAsia="Times New Roman" w:hAnsi="Arial" w:cs="Arial"/>
          <w:sz w:val="18"/>
          <w:szCs w:val="18"/>
          <w:highlight w:val="yellow"/>
          <w:u w:val="double"/>
          <w:lang w:val="en-IE" w:eastAsia="fr-FR"/>
        </w:rPr>
        <w:t xml:space="preserve">When sampling </w:t>
      </w:r>
      <w:r w:rsidRPr="002B31BC">
        <w:rPr>
          <w:rFonts w:ascii="Arial" w:eastAsia="Times New Roman" w:hAnsi="Arial" w:cs="Arial"/>
          <w:sz w:val="18"/>
          <w:szCs w:val="18"/>
          <w:highlight w:val="yellow"/>
          <w:u w:val="double"/>
          <w:lang w:val="en-IE" w:eastAsia="fr-FR"/>
        </w:rPr>
        <w:t>broodstock,</w:t>
      </w:r>
      <w:r w:rsidRPr="002B31BC">
        <w:rPr>
          <w:rFonts w:ascii="Arial" w:eastAsia="Times New Roman" w:hAnsi="Arial" w:cs="Arial"/>
          <w:sz w:val="18"/>
          <w:szCs w:val="18"/>
          <w:highlight w:val="yellow"/>
          <w:lang w:val="en-IE" w:eastAsia="fr-FR"/>
        </w:rPr>
        <w:t xml:space="preserve"> </w:t>
      </w:r>
      <w:r w:rsidRPr="002B31BC">
        <w:rPr>
          <w:rFonts w:ascii="Arial" w:eastAsia="Times New Roman" w:hAnsi="Arial" w:cs="Arial"/>
          <w:strike/>
          <w:sz w:val="18"/>
          <w:szCs w:val="18"/>
          <w:highlight w:val="yellow"/>
          <w:lang w:val="en-IE" w:eastAsia="fr-FR"/>
        </w:rPr>
        <w:t xml:space="preserve">In some </w:t>
      </w:r>
      <w:r w:rsidRPr="00BF51FB">
        <w:rPr>
          <w:rFonts w:ascii="Arial" w:eastAsia="Times New Roman" w:hAnsi="Arial" w:cs="Arial"/>
          <w:strike/>
          <w:sz w:val="18"/>
          <w:szCs w:val="18"/>
          <w:highlight w:val="yellow"/>
          <w:lang w:val="en-IE" w:eastAsia="fr-FR"/>
        </w:rPr>
        <w:t>cases,</w:t>
      </w:r>
      <w:r w:rsidRPr="002B31BC">
        <w:rPr>
          <w:rFonts w:ascii="Arial" w:eastAsia="Times New Roman" w:hAnsi="Arial" w:cs="Arial"/>
          <w:strike/>
          <w:sz w:val="18"/>
          <w:szCs w:val="18"/>
          <w:lang w:val="en-IE" w:eastAsia="fr-FR"/>
        </w:rPr>
        <w:t xml:space="preserve"> </w:t>
      </w:r>
      <w:r w:rsidRPr="00EC5D1A">
        <w:rPr>
          <w:rFonts w:ascii="Arial" w:eastAsia="Times New Roman" w:hAnsi="Arial" w:cs="Arial"/>
          <w:sz w:val="18"/>
          <w:szCs w:val="18"/>
          <w:lang w:val="en-IE" w:eastAsia="fr-FR"/>
        </w:rPr>
        <w:t xml:space="preserve">ovarian fluid and milt </w:t>
      </w:r>
      <w:r w:rsidRPr="00BF51FB">
        <w:rPr>
          <w:rFonts w:ascii="Arial" w:eastAsia="Times New Roman" w:hAnsi="Arial" w:cs="Arial"/>
          <w:sz w:val="18"/>
          <w:szCs w:val="18"/>
          <w:highlight w:val="yellow"/>
          <w:u w:val="double"/>
          <w:lang w:val="en-IE" w:eastAsia="fr-FR"/>
        </w:rPr>
        <w:t>can be taken</w:t>
      </w:r>
      <w:r w:rsidRPr="002B31BC">
        <w:rPr>
          <w:rFonts w:ascii="Arial" w:eastAsia="Times New Roman" w:hAnsi="Arial" w:cs="Arial"/>
          <w:strike/>
          <w:sz w:val="18"/>
          <w:szCs w:val="18"/>
          <w:highlight w:val="yellow"/>
          <w:lang w:val="en-IE" w:eastAsia="fr-FR"/>
        </w:rPr>
        <w:t xml:space="preserve"> </w:t>
      </w:r>
      <w:r w:rsidRPr="00BF51FB">
        <w:rPr>
          <w:rFonts w:ascii="Arial" w:eastAsia="Times New Roman" w:hAnsi="Arial" w:cs="Arial"/>
          <w:strike/>
          <w:sz w:val="18"/>
          <w:szCs w:val="18"/>
          <w:highlight w:val="yellow"/>
          <w:lang w:val="en-IE" w:eastAsia="fr-FR"/>
        </w:rPr>
        <w:t>must be examined</w:t>
      </w:r>
      <w:r w:rsidRPr="00BF51FB">
        <w:rPr>
          <w:rFonts w:ascii="Arial" w:eastAsia="Times New Roman" w:hAnsi="Arial" w:cs="Arial"/>
          <w:sz w:val="18"/>
          <w:szCs w:val="18"/>
          <w:highlight w:val="yellow"/>
          <w:lang w:val="en-IE" w:eastAsia="fr-FR"/>
        </w:rPr>
        <w:t>.</w:t>
      </w:r>
    </w:p>
    <w:p w14:paraId="01B43B7F" w14:textId="77777777" w:rsidR="00E65E42" w:rsidRPr="00D403F5" w:rsidRDefault="00E65E42" w:rsidP="00CA3459">
      <w:pPr>
        <w:spacing w:after="120" w:line="240" w:lineRule="auto"/>
        <w:ind w:left="709"/>
        <w:jc w:val="both"/>
        <w:rPr>
          <w:rFonts w:ascii="Arial" w:eastAsia="Times New Roman" w:hAnsi="Arial" w:cs="Arial"/>
          <w:sz w:val="18"/>
          <w:szCs w:val="18"/>
          <w:lang w:val="en-IE" w:eastAsia="fr-FR"/>
        </w:rPr>
      </w:pPr>
      <w:r w:rsidRPr="00D403F5">
        <w:rPr>
          <w:rFonts w:ascii="Arial" w:eastAsia="Times New Roman" w:hAnsi="Arial" w:cs="Arial"/>
          <w:sz w:val="18"/>
          <w:szCs w:val="18"/>
          <w:lang w:val="en-IE" w:eastAsia="fr-FR"/>
        </w:rPr>
        <w:t xml:space="preserve">In case of small fry, whole fish less than 4 cm long can be minced with sterile scissors or a scalpel after removal of the body behind the </w:t>
      </w:r>
      <w:r w:rsidRPr="00BF51FB">
        <w:rPr>
          <w:rFonts w:ascii="Arial" w:eastAsia="Times New Roman" w:hAnsi="Arial" w:cs="Arial"/>
          <w:sz w:val="18"/>
          <w:szCs w:val="18"/>
          <w:highlight w:val="yellow"/>
          <w:u w:val="double"/>
          <w:lang w:val="en-IE" w:eastAsia="fr-FR"/>
        </w:rPr>
        <w:t>anal pore</w:t>
      </w:r>
      <w:r w:rsidRPr="002B31BC">
        <w:rPr>
          <w:rFonts w:ascii="Arial" w:eastAsia="Times New Roman" w:hAnsi="Arial" w:cs="Arial"/>
          <w:strike/>
          <w:sz w:val="18"/>
          <w:szCs w:val="18"/>
          <w:highlight w:val="yellow"/>
          <w:lang w:val="en-IE" w:eastAsia="fr-FR"/>
        </w:rPr>
        <w:t xml:space="preserve"> </w:t>
      </w:r>
      <w:r w:rsidRPr="00BF51FB">
        <w:rPr>
          <w:rFonts w:ascii="Arial" w:eastAsia="Times New Roman" w:hAnsi="Arial" w:cs="Arial"/>
          <w:strike/>
          <w:sz w:val="18"/>
          <w:szCs w:val="18"/>
          <w:highlight w:val="yellow"/>
          <w:lang w:val="en-IE" w:eastAsia="fr-FR"/>
        </w:rPr>
        <w:t>gut opening</w:t>
      </w:r>
      <w:r w:rsidRPr="00D403F5">
        <w:rPr>
          <w:rFonts w:ascii="Arial" w:eastAsia="Times New Roman" w:hAnsi="Arial" w:cs="Arial"/>
          <w:sz w:val="18"/>
          <w:szCs w:val="18"/>
          <w:lang w:val="en-IE" w:eastAsia="fr-FR"/>
        </w:rPr>
        <w:t>. If a sample consists of whole fish with a body length between 4 cm and 6 cm, the viscera including kidney should be collected. F</w:t>
      </w:r>
      <w:r w:rsidRPr="00D403F5">
        <w:rPr>
          <w:rFonts w:ascii="Arial" w:eastAsia="Times New Roman" w:hAnsi="Arial" w:cs="Times New Roman"/>
          <w:sz w:val="18"/>
          <w:szCs w:val="18"/>
          <w:lang w:val="en-IE" w:eastAsia="fr-FR"/>
        </w:rPr>
        <w:t>or larger size fish, kidney, spleen, heart and encephalon, and ovarian fluid from brood fish at the time of spawning should be the tissues to be sampled.</w:t>
      </w:r>
    </w:p>
    <w:p w14:paraId="7A5B1541" w14:textId="77777777" w:rsidR="00E65E42" w:rsidRPr="00BC2337" w:rsidRDefault="00E65E42" w:rsidP="000A4E1E">
      <w:pPr>
        <w:tabs>
          <w:tab w:val="left" w:pos="1418"/>
        </w:tabs>
        <w:spacing w:after="120" w:line="240" w:lineRule="auto"/>
        <w:ind w:left="709" w:hanging="425"/>
        <w:jc w:val="both"/>
        <w:rPr>
          <w:rFonts w:ascii="Ottawa" w:eastAsia="MS Mincho" w:hAnsi="Ottawa" w:cs="Times New Roman"/>
          <w:b/>
          <w:sz w:val="21"/>
          <w:szCs w:val="21"/>
          <w:lang w:val="da-DK" w:eastAsia="da-DK"/>
        </w:rPr>
      </w:pPr>
      <w:r w:rsidRPr="00BC2337">
        <w:rPr>
          <w:rFonts w:ascii="Ottawa" w:eastAsia="MS Mincho" w:hAnsi="Ottawa" w:cs="Times New Roman"/>
          <w:b/>
          <w:sz w:val="21"/>
          <w:szCs w:val="21"/>
          <w:lang w:val="da-DK" w:eastAsia="da-DK"/>
        </w:rPr>
        <w:t>3.3.</w:t>
      </w:r>
      <w:r w:rsidRPr="00BC2337">
        <w:rPr>
          <w:rFonts w:ascii="Ottawa" w:eastAsia="MS Mincho" w:hAnsi="Ottawa" w:cs="Times New Roman"/>
          <w:b/>
          <w:sz w:val="21"/>
          <w:szCs w:val="21"/>
          <w:lang w:val="da-DK" w:eastAsia="da-DK"/>
        </w:rPr>
        <w:tab/>
        <w:t>Samples or tissues not suitable for pathogen detection</w:t>
      </w:r>
    </w:p>
    <w:p w14:paraId="134B5F92" w14:textId="77777777" w:rsidR="00E65E42" w:rsidRPr="00D403F5" w:rsidRDefault="00E65E42" w:rsidP="00CA3459">
      <w:pPr>
        <w:spacing w:after="120" w:line="240" w:lineRule="auto"/>
        <w:ind w:left="709"/>
        <w:jc w:val="both"/>
        <w:rPr>
          <w:rFonts w:ascii="Arial" w:eastAsia="Times New Roman" w:hAnsi="Arial" w:cs="Arial"/>
          <w:sz w:val="18"/>
          <w:szCs w:val="18"/>
          <w:lang w:val="en-IE"/>
        </w:rPr>
      </w:pPr>
      <w:r w:rsidRPr="00D403F5">
        <w:rPr>
          <w:rFonts w:ascii="Arial" w:eastAsia="Times New Roman" w:hAnsi="Arial" w:cs="Arial"/>
          <w:sz w:val="18"/>
          <w:szCs w:val="18"/>
          <w:lang w:eastAsia="fr-FR"/>
        </w:rPr>
        <w:t>VHSV is very sensitive to enzymatic degradation, therefore</w:t>
      </w:r>
      <w:r w:rsidRPr="00AE3567">
        <w:rPr>
          <w:rFonts w:ascii="Arial" w:eastAsia="Times New Roman" w:hAnsi="Arial" w:cs="Arial"/>
          <w:sz w:val="18"/>
          <w:szCs w:val="18"/>
          <w:highlight w:val="yellow"/>
          <w:lang w:eastAsia="fr-FR"/>
        </w:rPr>
        <w:t>,</w:t>
      </w:r>
      <w:r w:rsidRPr="00D403F5">
        <w:rPr>
          <w:rFonts w:ascii="Arial" w:eastAsia="Times New Roman" w:hAnsi="Arial" w:cs="Arial"/>
          <w:sz w:val="18"/>
          <w:szCs w:val="18"/>
          <w:lang w:eastAsia="fr-FR"/>
        </w:rPr>
        <w:t xml:space="preserve"> sampling tissues with high enzymatic activities, such as viscera and liver, </w:t>
      </w:r>
      <w:r w:rsidRPr="00D403F5">
        <w:rPr>
          <w:rFonts w:ascii="Arial" w:eastAsia="Times New Roman" w:hAnsi="Arial" w:cs="Arial"/>
          <w:sz w:val="18"/>
          <w:szCs w:val="18"/>
          <w:lang w:val="en-IE"/>
        </w:rPr>
        <w:t>or large numbers of contaminating bacteria,</w:t>
      </w:r>
      <w:r w:rsidRPr="00D403F5">
        <w:rPr>
          <w:rFonts w:ascii="Arial" w:eastAsia="Times New Roman" w:hAnsi="Arial" w:cs="Times New Roman"/>
          <w:sz w:val="18"/>
          <w:szCs w:val="18"/>
          <w:lang w:val="en-IE"/>
        </w:rPr>
        <w:t xml:space="preserve"> such as </w:t>
      </w:r>
      <w:r w:rsidRPr="00D403F5">
        <w:rPr>
          <w:rFonts w:ascii="Arial" w:eastAsia="Times New Roman" w:hAnsi="Arial" w:cs="Arial"/>
          <w:sz w:val="18"/>
          <w:szCs w:val="18"/>
          <w:lang w:val="en-IE"/>
        </w:rPr>
        <w:t>the intestine or skin,</w:t>
      </w:r>
      <w:r w:rsidRPr="00D403F5">
        <w:rPr>
          <w:rFonts w:ascii="Arial" w:eastAsia="Times New Roman" w:hAnsi="Arial" w:cs="Arial"/>
          <w:sz w:val="18"/>
          <w:szCs w:val="18"/>
          <w:lang w:eastAsia="fr-FR"/>
        </w:rPr>
        <w:t xml:space="preserve"> should be avoided.</w:t>
      </w:r>
      <w:r w:rsidRPr="00D403F5">
        <w:rPr>
          <w:rFonts w:ascii="Arial" w:eastAsia="Times New Roman" w:hAnsi="Arial" w:cs="Arial"/>
          <w:sz w:val="18"/>
          <w:szCs w:val="18"/>
          <w:lang w:val="en-IE"/>
        </w:rPr>
        <w:t xml:space="preserve"> Preservatives and fixatives, such as RNAlater and formaldehyde can be toxic to tissue</w:t>
      </w:r>
      <w:r w:rsidRPr="00D403F5">
        <w:rPr>
          <w:rFonts w:ascii="Arial" w:eastAsia="Times New Roman" w:hAnsi="Arial" w:cs="Arial"/>
          <w:sz w:val="18"/>
          <w:szCs w:val="18"/>
          <w:lang w:val="en-IE" w:eastAsia="zh-CN"/>
        </w:rPr>
        <w:t xml:space="preserve"> </w:t>
      </w:r>
      <w:r w:rsidRPr="00D403F5">
        <w:rPr>
          <w:rFonts w:ascii="Arial" w:eastAsia="Times New Roman" w:hAnsi="Arial" w:cs="Arial"/>
          <w:sz w:val="18"/>
          <w:szCs w:val="18"/>
          <w:lang w:val="en-IE"/>
        </w:rPr>
        <w:t>culture cells</w:t>
      </w:r>
      <w:r w:rsidRPr="00D403F5">
        <w:rPr>
          <w:rFonts w:ascii="Arial" w:eastAsia="Times New Roman" w:hAnsi="Arial" w:cs="Arial"/>
          <w:sz w:val="18"/>
          <w:szCs w:val="18"/>
          <w:lang w:val="en-IE" w:eastAsia="zh-CN"/>
        </w:rPr>
        <w:t xml:space="preserve"> </w:t>
      </w:r>
      <w:r w:rsidRPr="00D403F5">
        <w:rPr>
          <w:rFonts w:ascii="Arial" w:eastAsia="Times New Roman" w:hAnsi="Arial" w:cs="Arial"/>
          <w:sz w:val="18"/>
          <w:szCs w:val="18"/>
          <w:lang w:val="en-IE"/>
        </w:rPr>
        <w:t xml:space="preserve">such as epithelioma papulosum cyprini (EPC) and fathead minnow (FHM), and can impact molecular detection methods </w:t>
      </w:r>
      <w:r w:rsidRPr="00D403F5">
        <w:rPr>
          <w:rFonts w:ascii="Arial" w:eastAsia="Times New Roman" w:hAnsi="Arial" w:cs="Arial"/>
          <w:noProof/>
          <w:sz w:val="18"/>
          <w:szCs w:val="18"/>
          <w:lang w:val="en-IE"/>
        </w:rPr>
        <w:t>(</w:t>
      </w:r>
      <w:r w:rsidRPr="007B73F2">
        <w:rPr>
          <w:rFonts w:ascii="Arial" w:eastAsia="Times New Roman" w:hAnsi="Arial" w:cs="Arial"/>
          <w:sz w:val="18"/>
          <w:szCs w:val="18"/>
          <w:lang w:val="en-IE"/>
        </w:rPr>
        <w:t xml:space="preserve">Auinger </w:t>
      </w:r>
      <w:r w:rsidRPr="007B73F2">
        <w:rPr>
          <w:rFonts w:ascii="Arial" w:eastAsia="Times New Roman" w:hAnsi="Arial" w:cs="Arial"/>
          <w:i/>
          <w:sz w:val="18"/>
          <w:szCs w:val="18"/>
          <w:lang w:val="en-IE"/>
        </w:rPr>
        <w:t xml:space="preserve">et al., </w:t>
      </w:r>
      <w:r w:rsidRPr="007B73F2">
        <w:rPr>
          <w:rFonts w:ascii="Arial" w:eastAsia="Times New Roman" w:hAnsi="Arial" w:cs="Arial"/>
          <w:sz w:val="18"/>
          <w:szCs w:val="18"/>
          <w:lang w:val="en-IE"/>
        </w:rPr>
        <w:t>2008</w:t>
      </w:r>
      <w:r w:rsidRPr="007B73F2">
        <w:rPr>
          <w:rFonts w:ascii="Arial" w:eastAsia="Times New Roman" w:hAnsi="Arial" w:cs="Arial"/>
          <w:noProof/>
          <w:sz w:val="18"/>
          <w:szCs w:val="18"/>
          <w:lang w:val="en-IE"/>
        </w:rPr>
        <w:t xml:space="preserve">; Pham </w:t>
      </w:r>
      <w:r w:rsidRPr="007B73F2">
        <w:rPr>
          <w:rFonts w:ascii="Arial" w:eastAsia="Times New Roman" w:hAnsi="Arial" w:cs="Arial"/>
          <w:i/>
          <w:noProof/>
          <w:sz w:val="18"/>
          <w:szCs w:val="18"/>
          <w:lang w:val="en-IE"/>
        </w:rPr>
        <w:t>et al.,</w:t>
      </w:r>
      <w:r w:rsidRPr="007B73F2">
        <w:rPr>
          <w:rFonts w:ascii="Arial" w:eastAsia="Times New Roman" w:hAnsi="Arial" w:cs="Arial"/>
          <w:noProof/>
          <w:sz w:val="18"/>
          <w:szCs w:val="18"/>
          <w:lang w:val="en-IE"/>
        </w:rPr>
        <w:t xml:space="preserve"> 2018)</w:t>
      </w:r>
      <w:r w:rsidRPr="007B73F2">
        <w:rPr>
          <w:rFonts w:ascii="Arial" w:eastAsia="Times New Roman" w:hAnsi="Arial" w:cs="Arial"/>
          <w:sz w:val="18"/>
          <w:szCs w:val="18"/>
          <w:lang w:eastAsia="fr-FR"/>
        </w:rPr>
        <w:t>.</w:t>
      </w:r>
    </w:p>
    <w:p w14:paraId="4D9E1F4F" w14:textId="77777777" w:rsidR="00E65E42" w:rsidRPr="00BC2337" w:rsidRDefault="00E65E42" w:rsidP="000A4E1E">
      <w:pPr>
        <w:tabs>
          <w:tab w:val="left" w:pos="1418"/>
        </w:tabs>
        <w:spacing w:after="120" w:line="240" w:lineRule="auto"/>
        <w:ind w:left="709" w:hanging="425"/>
        <w:jc w:val="both"/>
        <w:rPr>
          <w:rFonts w:ascii="Ottawa" w:eastAsia="MS Mincho" w:hAnsi="Ottawa" w:cs="Times New Roman"/>
          <w:b/>
          <w:sz w:val="21"/>
          <w:szCs w:val="21"/>
          <w:lang w:val="da-DK" w:eastAsia="da-DK"/>
        </w:rPr>
      </w:pPr>
      <w:r w:rsidRPr="00BC2337">
        <w:rPr>
          <w:rFonts w:ascii="Ottawa" w:eastAsia="MS Mincho" w:hAnsi="Ottawa" w:cs="Times New Roman"/>
          <w:b/>
          <w:sz w:val="21"/>
          <w:szCs w:val="21"/>
          <w:lang w:val="da-DK" w:eastAsia="da-DK"/>
        </w:rPr>
        <w:t>3.4.</w:t>
      </w:r>
      <w:r w:rsidRPr="00BC2337">
        <w:rPr>
          <w:rFonts w:ascii="Ottawa" w:eastAsia="MS Mincho" w:hAnsi="Ottawa" w:cs="Times New Roman"/>
          <w:b/>
          <w:sz w:val="21"/>
          <w:szCs w:val="21"/>
          <w:lang w:val="da-DK" w:eastAsia="da-DK"/>
        </w:rPr>
        <w:tab/>
        <w:t>Non-lethal sampling</w:t>
      </w:r>
    </w:p>
    <w:p w14:paraId="4623E72D" w14:textId="77777777" w:rsidR="00E65E42" w:rsidRPr="00D403F5" w:rsidRDefault="00E65E42" w:rsidP="00CA3459">
      <w:pPr>
        <w:spacing w:after="120" w:line="240" w:lineRule="auto"/>
        <w:ind w:left="709"/>
        <w:jc w:val="both"/>
        <w:rPr>
          <w:rFonts w:ascii="Arial" w:eastAsia="Times New Roman" w:hAnsi="Arial" w:cs="Arial"/>
          <w:sz w:val="18"/>
          <w:szCs w:val="18"/>
          <w:lang w:val="en-IE" w:eastAsia="fr-FR"/>
        </w:rPr>
      </w:pPr>
      <w:r w:rsidRPr="00D403F5">
        <w:rPr>
          <w:rFonts w:ascii="Arial" w:eastAsia="Times New Roman" w:hAnsi="Arial" w:cs="Arial"/>
          <w:sz w:val="18"/>
          <w:szCs w:val="18"/>
          <w:lang w:val="en-IE" w:eastAsia="fr-FR"/>
        </w:rPr>
        <w:t>Fin and gill biopsies were shown to be effective nonlethal samples for detection of VHSV genotype IVb (</w:t>
      </w:r>
      <w:r w:rsidRPr="007B73F2">
        <w:rPr>
          <w:rFonts w:ascii="Arial" w:eastAsia="Times New Roman" w:hAnsi="Arial" w:cs="Arial"/>
          <w:sz w:val="18"/>
          <w:szCs w:val="18"/>
          <w:lang w:val="en-IE" w:eastAsia="fr-FR"/>
        </w:rPr>
        <w:t xml:space="preserve">Cornwell </w:t>
      </w:r>
      <w:r w:rsidRPr="007B73F2">
        <w:rPr>
          <w:rFonts w:ascii="Arial" w:eastAsia="Times New Roman" w:hAnsi="Arial" w:cs="Times New Roman"/>
          <w:i/>
          <w:sz w:val="18"/>
          <w:szCs w:val="18"/>
          <w:lang w:val="en-IE"/>
        </w:rPr>
        <w:t>et al.,</w:t>
      </w:r>
      <w:r w:rsidRPr="007B73F2">
        <w:rPr>
          <w:rFonts w:ascii="Arial" w:eastAsia="Times New Roman" w:hAnsi="Arial" w:cs="Times New Roman"/>
          <w:sz w:val="18"/>
          <w:szCs w:val="18"/>
          <w:lang w:val="en-IE"/>
        </w:rPr>
        <w:t xml:space="preserve"> </w:t>
      </w:r>
      <w:r w:rsidRPr="007B73F2">
        <w:rPr>
          <w:rFonts w:ascii="Arial" w:eastAsia="Times New Roman" w:hAnsi="Arial" w:cs="Arial"/>
          <w:sz w:val="18"/>
          <w:szCs w:val="18"/>
          <w:lang w:val="en-IE" w:eastAsia="fr-FR"/>
        </w:rPr>
        <w:t>2013</w:t>
      </w:r>
      <w:r w:rsidRPr="00D403F5">
        <w:rPr>
          <w:rFonts w:ascii="Arial" w:eastAsia="Times New Roman" w:hAnsi="Arial" w:cs="Arial"/>
          <w:sz w:val="18"/>
          <w:szCs w:val="18"/>
          <w:lang w:val="en-IE" w:eastAsia="fr-FR"/>
        </w:rPr>
        <w:t xml:space="preserve">) </w:t>
      </w:r>
      <w:r w:rsidRPr="00BF51FB">
        <w:rPr>
          <w:rFonts w:ascii="Arial" w:eastAsia="Times New Roman" w:hAnsi="Arial" w:cs="Arial"/>
          <w:sz w:val="18"/>
          <w:szCs w:val="18"/>
          <w:highlight w:val="yellow"/>
          <w:u w:val="double"/>
          <w:lang w:val="en-IE" w:eastAsia="fr-FR"/>
        </w:rPr>
        <w:t>in clinically diseased fish</w:t>
      </w:r>
      <w:r w:rsidRPr="002B31BC">
        <w:rPr>
          <w:rFonts w:ascii="Arial" w:eastAsia="Times New Roman" w:hAnsi="Arial" w:cs="Arial"/>
          <w:sz w:val="18"/>
          <w:szCs w:val="18"/>
          <w:lang w:val="en-IE" w:eastAsia="fr-FR"/>
        </w:rPr>
        <w:t xml:space="preserve"> </w:t>
      </w:r>
      <w:r w:rsidRPr="00D403F5">
        <w:rPr>
          <w:rFonts w:ascii="Arial" w:eastAsia="Times New Roman" w:hAnsi="Arial" w:cs="Arial"/>
          <w:sz w:val="18"/>
          <w:szCs w:val="18"/>
          <w:lang w:val="en-IE" w:eastAsia="fr-FR"/>
        </w:rPr>
        <w:t>and nested reverse</w:t>
      </w:r>
      <w:r w:rsidRPr="00D403F5">
        <w:rPr>
          <w:rFonts w:ascii="Arial" w:eastAsia="Times New Roman" w:hAnsi="Arial" w:cs="Arial"/>
          <w:sz w:val="18"/>
          <w:szCs w:val="18"/>
        </w:rPr>
        <w:t xml:space="preserve">-transcription polymerase chain reaction (RT-PCR) </w:t>
      </w:r>
      <w:r w:rsidRPr="00D403F5">
        <w:rPr>
          <w:rFonts w:ascii="Arial" w:eastAsia="Times New Roman" w:hAnsi="Arial" w:cs="Arial"/>
          <w:sz w:val="18"/>
          <w:szCs w:val="18"/>
          <w:lang w:val="en-IE" w:eastAsia="fr-FR"/>
        </w:rPr>
        <w:t xml:space="preserve">on blood samples from infected fish was </w:t>
      </w:r>
      <w:r w:rsidRPr="00AE3567">
        <w:rPr>
          <w:rFonts w:ascii="Arial" w:eastAsia="Times New Roman" w:hAnsi="Arial" w:cs="Arial"/>
          <w:sz w:val="18"/>
          <w:szCs w:val="18"/>
          <w:highlight w:val="yellow"/>
          <w:u w:val="double"/>
          <w:lang w:val="en-IE" w:eastAsia="fr-FR"/>
        </w:rPr>
        <w:t>also</w:t>
      </w:r>
      <w:r>
        <w:rPr>
          <w:rFonts w:ascii="Arial" w:eastAsia="Times New Roman" w:hAnsi="Arial" w:cs="Arial"/>
          <w:sz w:val="18"/>
          <w:szCs w:val="18"/>
          <w:lang w:val="en-IE" w:eastAsia="fr-FR"/>
        </w:rPr>
        <w:t xml:space="preserve"> </w:t>
      </w:r>
      <w:r w:rsidRPr="00D403F5">
        <w:rPr>
          <w:rFonts w:ascii="Arial" w:eastAsia="Times New Roman" w:hAnsi="Arial" w:cs="Arial"/>
          <w:sz w:val="18"/>
          <w:szCs w:val="18"/>
          <w:lang w:val="en-IE" w:eastAsia="fr-FR"/>
        </w:rPr>
        <w:t xml:space="preserve">shown to be </w:t>
      </w:r>
      <w:r w:rsidRPr="00BF51FB">
        <w:rPr>
          <w:rFonts w:ascii="Arial" w:eastAsia="Times New Roman" w:hAnsi="Arial" w:cs="Arial"/>
          <w:sz w:val="18"/>
          <w:szCs w:val="18"/>
          <w:highlight w:val="yellow"/>
          <w:u w:val="double"/>
          <w:lang w:val="en-IE" w:eastAsia="fr-FR"/>
        </w:rPr>
        <w:t>effective</w:t>
      </w:r>
      <w:r w:rsidRPr="002B31BC">
        <w:rPr>
          <w:rFonts w:ascii="Arial" w:eastAsia="Times New Roman" w:hAnsi="Arial" w:cs="Arial"/>
          <w:strike/>
          <w:sz w:val="18"/>
          <w:szCs w:val="18"/>
          <w:highlight w:val="yellow"/>
          <w:lang w:val="en-IE" w:eastAsia="fr-FR"/>
        </w:rPr>
        <w:t xml:space="preserve"> </w:t>
      </w:r>
      <w:r w:rsidRPr="00BF51FB">
        <w:rPr>
          <w:rFonts w:ascii="Arial" w:eastAsia="Times New Roman" w:hAnsi="Arial" w:cs="Arial"/>
          <w:strike/>
          <w:sz w:val="18"/>
          <w:szCs w:val="18"/>
          <w:highlight w:val="yellow"/>
          <w:lang w:val="en-IE" w:eastAsia="fr-FR"/>
        </w:rPr>
        <w:t>efficient</w:t>
      </w:r>
      <w:r w:rsidRPr="00F249FB">
        <w:rPr>
          <w:rFonts w:ascii="Arial" w:eastAsia="Times New Roman" w:hAnsi="Arial" w:cs="Arial"/>
          <w:sz w:val="18"/>
          <w:szCs w:val="18"/>
          <w:lang w:val="en-IE" w:eastAsia="fr-FR"/>
        </w:rPr>
        <w:t xml:space="preserve"> </w:t>
      </w:r>
      <w:r w:rsidRPr="00D403F5">
        <w:rPr>
          <w:rFonts w:ascii="Arial" w:eastAsia="Times New Roman" w:hAnsi="Arial" w:cs="Arial"/>
          <w:sz w:val="18"/>
          <w:szCs w:val="18"/>
          <w:lang w:val="en-IE" w:eastAsia="fr-FR"/>
        </w:rPr>
        <w:t>for VHSV detection (</w:t>
      </w:r>
      <w:r w:rsidRPr="007B73F2">
        <w:rPr>
          <w:rFonts w:ascii="Arial" w:eastAsia="Times New Roman" w:hAnsi="Arial" w:cs="Arial"/>
          <w:sz w:val="18"/>
          <w:szCs w:val="18"/>
          <w:lang w:val="en-IE" w:eastAsia="fr-FR"/>
        </w:rPr>
        <w:t xml:space="preserve">Lopez-Vazquez </w:t>
      </w:r>
      <w:r w:rsidRPr="007B73F2">
        <w:rPr>
          <w:rFonts w:ascii="Arial" w:eastAsia="Times New Roman" w:hAnsi="Arial" w:cs="Times New Roman"/>
          <w:i/>
          <w:sz w:val="18"/>
          <w:szCs w:val="18"/>
          <w:lang w:val="en-IE"/>
        </w:rPr>
        <w:t>et al.,</w:t>
      </w:r>
      <w:r w:rsidRPr="007B73F2">
        <w:rPr>
          <w:rFonts w:ascii="Arial" w:eastAsia="Times New Roman" w:hAnsi="Arial" w:cs="Times New Roman"/>
          <w:sz w:val="18"/>
          <w:szCs w:val="18"/>
          <w:lang w:val="en-IE"/>
        </w:rPr>
        <w:t xml:space="preserve"> </w:t>
      </w:r>
      <w:r w:rsidRPr="007B73F2">
        <w:rPr>
          <w:rFonts w:ascii="Arial" w:eastAsia="Times New Roman" w:hAnsi="Arial" w:cs="Arial"/>
          <w:sz w:val="18"/>
          <w:szCs w:val="18"/>
          <w:lang w:val="en-IE" w:eastAsia="fr-FR"/>
        </w:rPr>
        <w:t>2006a</w:t>
      </w:r>
      <w:r w:rsidRPr="00D403F5">
        <w:rPr>
          <w:rFonts w:ascii="Arial" w:eastAsia="Times New Roman" w:hAnsi="Arial" w:cs="Arial"/>
          <w:sz w:val="18"/>
          <w:szCs w:val="18"/>
          <w:lang w:val="en-IE" w:eastAsia="fr-FR"/>
        </w:rPr>
        <w:t xml:space="preserve">). In the case of brood fish, ovarian fluid and milt can be used for testing as </w:t>
      </w:r>
      <w:r w:rsidRPr="00BF51FB">
        <w:rPr>
          <w:rFonts w:ascii="Arial" w:eastAsia="Times New Roman" w:hAnsi="Arial" w:cs="Arial"/>
          <w:sz w:val="18"/>
          <w:szCs w:val="18"/>
          <w:highlight w:val="yellow"/>
          <w:u w:val="double"/>
          <w:lang w:val="en-IE" w:eastAsia="fr-FR"/>
        </w:rPr>
        <w:t>an</w:t>
      </w:r>
      <w:r>
        <w:rPr>
          <w:rFonts w:ascii="Arial" w:eastAsia="Times New Roman" w:hAnsi="Arial" w:cs="Arial"/>
          <w:sz w:val="18"/>
          <w:szCs w:val="18"/>
          <w:lang w:val="en-IE" w:eastAsia="fr-FR"/>
        </w:rPr>
        <w:t xml:space="preserve"> </w:t>
      </w:r>
      <w:r w:rsidRPr="00D403F5">
        <w:rPr>
          <w:rFonts w:ascii="Arial" w:eastAsia="Times New Roman" w:hAnsi="Arial" w:cs="Arial"/>
          <w:sz w:val="18"/>
          <w:szCs w:val="18"/>
          <w:lang w:val="en-IE" w:eastAsia="fr-FR"/>
        </w:rPr>
        <w:t>alternative to lethal testing. However</w:t>
      </w:r>
      <w:r w:rsidRPr="00BF51FB">
        <w:rPr>
          <w:rFonts w:ascii="Arial" w:eastAsia="Times New Roman" w:hAnsi="Arial" w:cs="Arial"/>
          <w:sz w:val="18"/>
          <w:szCs w:val="18"/>
          <w:highlight w:val="yellow"/>
          <w:lang w:val="en-IE" w:eastAsia="fr-FR"/>
        </w:rPr>
        <w:t xml:space="preserve">, </w:t>
      </w:r>
      <w:r w:rsidRPr="00BF51FB">
        <w:rPr>
          <w:rFonts w:ascii="Arial" w:eastAsia="Times New Roman" w:hAnsi="Arial" w:cs="Arial"/>
          <w:strike/>
          <w:sz w:val="18"/>
          <w:szCs w:val="18"/>
          <w:highlight w:val="yellow"/>
          <w:lang w:val="en-IE" w:eastAsia="fr-FR"/>
        </w:rPr>
        <w:t>no</w:t>
      </w:r>
      <w:r w:rsidRPr="002B31BC">
        <w:rPr>
          <w:rFonts w:ascii="Arial" w:eastAsia="Times New Roman" w:hAnsi="Arial" w:cs="Arial"/>
          <w:strike/>
          <w:sz w:val="18"/>
          <w:szCs w:val="18"/>
          <w:lang w:val="en-IE" w:eastAsia="fr-FR"/>
        </w:rPr>
        <w:t xml:space="preserve"> </w:t>
      </w:r>
      <w:r w:rsidRPr="00D403F5">
        <w:rPr>
          <w:rFonts w:ascii="Arial" w:eastAsia="Times New Roman" w:hAnsi="Arial" w:cs="Arial"/>
          <w:sz w:val="18"/>
          <w:szCs w:val="18"/>
          <w:lang w:val="en-IE" w:eastAsia="fr-FR"/>
        </w:rPr>
        <w:t>non-lethal sampling</w:t>
      </w:r>
      <w:r w:rsidRPr="00BF51FB">
        <w:rPr>
          <w:rFonts w:ascii="Arial" w:eastAsia="Times New Roman" w:hAnsi="Arial" w:cs="Arial"/>
          <w:strike/>
          <w:sz w:val="18"/>
          <w:szCs w:val="18"/>
          <w:highlight w:val="yellow"/>
          <w:lang w:val="en-IE" w:eastAsia="fr-FR"/>
        </w:rPr>
        <w:t>s</w:t>
      </w:r>
      <w:r w:rsidRPr="002B31BC">
        <w:rPr>
          <w:rFonts w:ascii="Arial" w:eastAsia="Times New Roman" w:hAnsi="Arial" w:cs="Arial"/>
          <w:sz w:val="18"/>
          <w:szCs w:val="18"/>
          <w:highlight w:val="yellow"/>
          <w:lang w:val="en-IE" w:eastAsia="fr-FR"/>
        </w:rPr>
        <w:t xml:space="preserve"> </w:t>
      </w:r>
      <w:r w:rsidRPr="00BF51FB">
        <w:rPr>
          <w:rFonts w:ascii="Arial" w:eastAsia="Times New Roman" w:hAnsi="Arial" w:cs="Arial"/>
          <w:sz w:val="18"/>
          <w:szCs w:val="18"/>
          <w:highlight w:val="yellow"/>
          <w:u w:val="double"/>
          <w:lang w:val="en-IE" w:eastAsia="fr-FR"/>
        </w:rPr>
        <w:t>methods</w:t>
      </w:r>
      <w:r w:rsidRPr="00F249FB">
        <w:rPr>
          <w:rFonts w:ascii="Arial" w:eastAsia="Times New Roman" w:hAnsi="Arial" w:cs="Arial"/>
          <w:sz w:val="18"/>
          <w:szCs w:val="18"/>
          <w:lang w:val="en-IE" w:eastAsia="fr-FR"/>
        </w:rPr>
        <w:t xml:space="preserve"> </w:t>
      </w:r>
      <w:r w:rsidRPr="00D403F5">
        <w:rPr>
          <w:rFonts w:ascii="Arial" w:eastAsia="Times New Roman" w:hAnsi="Arial" w:cs="Arial"/>
          <w:sz w:val="18"/>
          <w:szCs w:val="18"/>
          <w:lang w:val="en-IE" w:eastAsia="fr-FR"/>
        </w:rPr>
        <w:t xml:space="preserve">have </w:t>
      </w:r>
      <w:r w:rsidRPr="00EC5D1A">
        <w:rPr>
          <w:rFonts w:ascii="Arial" w:eastAsia="Times New Roman" w:hAnsi="Arial" w:cs="Arial"/>
          <w:sz w:val="18"/>
          <w:szCs w:val="18"/>
          <w:u w:val="double"/>
          <w:lang w:val="en-IE" w:eastAsia="fr-FR"/>
        </w:rPr>
        <w:t>not</w:t>
      </w:r>
      <w:r>
        <w:rPr>
          <w:rFonts w:ascii="Arial" w:eastAsia="Times New Roman" w:hAnsi="Arial" w:cs="Arial"/>
          <w:sz w:val="18"/>
          <w:szCs w:val="18"/>
          <w:lang w:val="en-IE" w:eastAsia="fr-FR"/>
        </w:rPr>
        <w:t xml:space="preserve"> </w:t>
      </w:r>
      <w:r w:rsidRPr="00D403F5">
        <w:rPr>
          <w:rFonts w:ascii="Arial" w:eastAsia="Times New Roman" w:hAnsi="Arial" w:cs="Arial"/>
          <w:sz w:val="18"/>
          <w:szCs w:val="18"/>
          <w:lang w:val="en-IE" w:eastAsia="fr-FR"/>
        </w:rPr>
        <w:t>been fully validated for detection of all VHSV genotypes</w:t>
      </w:r>
      <w:r w:rsidRPr="002B31BC">
        <w:rPr>
          <w:rFonts w:ascii="Arial" w:eastAsia="Times New Roman" w:hAnsi="Arial" w:cs="Arial"/>
          <w:strike/>
          <w:sz w:val="18"/>
          <w:szCs w:val="18"/>
          <w:lang w:val="en-IE" w:eastAsia="fr-FR"/>
        </w:rPr>
        <w:t xml:space="preserve"> </w:t>
      </w:r>
      <w:r w:rsidRPr="00BF51FB">
        <w:rPr>
          <w:rFonts w:ascii="Arial" w:eastAsia="Times New Roman" w:hAnsi="Arial" w:cs="Arial"/>
          <w:strike/>
          <w:sz w:val="18"/>
          <w:szCs w:val="18"/>
          <w:highlight w:val="yellow"/>
          <w:lang w:val="en-IE" w:eastAsia="fr-FR"/>
        </w:rPr>
        <w:t>and are therefore not prescribed in this chapter</w:t>
      </w:r>
      <w:r w:rsidRPr="002B31BC">
        <w:rPr>
          <w:rFonts w:ascii="Arial" w:eastAsia="Times New Roman" w:hAnsi="Arial" w:cs="Arial"/>
          <w:sz w:val="18"/>
          <w:szCs w:val="18"/>
          <w:highlight w:val="yellow"/>
          <w:lang w:val="en-IE" w:eastAsia="fr-FR"/>
        </w:rPr>
        <w:t>.</w:t>
      </w:r>
    </w:p>
    <w:p w14:paraId="6A687C24" w14:textId="77777777" w:rsidR="00E65E42" w:rsidRPr="005E7E07" w:rsidRDefault="00E65E42" w:rsidP="000A4E1E">
      <w:pPr>
        <w:tabs>
          <w:tab w:val="left" w:pos="1418"/>
        </w:tabs>
        <w:spacing w:after="120" w:line="240" w:lineRule="auto"/>
        <w:ind w:left="709" w:hanging="425"/>
        <w:jc w:val="both"/>
        <w:rPr>
          <w:rFonts w:ascii="Ottawa" w:eastAsia="MS Mincho" w:hAnsi="Ottawa" w:cs="Times New Roman"/>
          <w:b/>
          <w:sz w:val="21"/>
          <w:szCs w:val="21"/>
          <w:lang w:val="da-DK" w:eastAsia="da-DK"/>
        </w:rPr>
      </w:pPr>
      <w:r w:rsidRPr="005E7E07">
        <w:rPr>
          <w:rFonts w:ascii="Ottawa" w:eastAsia="MS Mincho" w:hAnsi="Ottawa" w:cs="Times New Roman"/>
          <w:b/>
          <w:sz w:val="21"/>
          <w:szCs w:val="21"/>
          <w:lang w:val="da-DK" w:eastAsia="da-DK"/>
        </w:rPr>
        <w:t>3.5.</w:t>
      </w:r>
      <w:r w:rsidRPr="005E7E07">
        <w:rPr>
          <w:rFonts w:ascii="Ottawa" w:eastAsia="MS Mincho" w:hAnsi="Ottawa" w:cs="Times New Roman"/>
          <w:b/>
          <w:sz w:val="21"/>
          <w:szCs w:val="21"/>
          <w:lang w:val="da-DK" w:eastAsia="da-DK"/>
        </w:rPr>
        <w:tab/>
        <w:t>Preservation of samples for submission</w:t>
      </w:r>
    </w:p>
    <w:p w14:paraId="456F6644" w14:textId="77777777" w:rsidR="00E65E42" w:rsidRPr="00D403F5" w:rsidRDefault="00E65E42" w:rsidP="00CA3459">
      <w:pPr>
        <w:spacing w:after="120" w:line="240" w:lineRule="auto"/>
        <w:ind w:left="709"/>
        <w:jc w:val="both"/>
        <w:rPr>
          <w:rFonts w:ascii="Arial" w:eastAsia="Times New Roman" w:hAnsi="Arial" w:cs="Times New Roman"/>
          <w:sz w:val="18"/>
          <w:szCs w:val="18"/>
          <w:lang w:val="en-IE"/>
        </w:rPr>
      </w:pPr>
      <w:r w:rsidRPr="00D403F5">
        <w:rPr>
          <w:rFonts w:ascii="Arial" w:eastAsia="Times New Roman" w:hAnsi="Arial" w:cs="Times New Roman"/>
          <w:sz w:val="18"/>
          <w:szCs w:val="18"/>
          <w:lang w:val="en-IE"/>
        </w:rPr>
        <w:t>For guidance on sample preservation methods for the intended test methods, see Chapter 2.3.0.</w:t>
      </w:r>
    </w:p>
    <w:p w14:paraId="5DB31BD6" w14:textId="77777777" w:rsidR="00E65E42" w:rsidRPr="005E7E07" w:rsidRDefault="00E65E42" w:rsidP="004108B6">
      <w:pPr>
        <w:spacing w:after="120" w:line="240" w:lineRule="auto"/>
        <w:ind w:left="1276" w:hanging="567"/>
        <w:jc w:val="both"/>
        <w:rPr>
          <w:rFonts w:ascii="Ottawa" w:eastAsia="Times New Roman" w:hAnsi="Ottawa" w:cs="Times New Roman"/>
          <w:b/>
          <w:bCs/>
          <w:szCs w:val="20"/>
          <w:lang w:val="en-IE" w:eastAsia="fr-FR"/>
        </w:rPr>
      </w:pPr>
      <w:r w:rsidRPr="005E7E07">
        <w:rPr>
          <w:rFonts w:ascii="Ottawa" w:eastAsia="Times New Roman" w:hAnsi="Ottawa" w:cs="Times New Roman"/>
          <w:b/>
          <w:bCs/>
          <w:szCs w:val="20"/>
          <w:lang w:val="en-IE" w:eastAsia="fr-FR"/>
        </w:rPr>
        <w:t>3.5.1.</w:t>
      </w:r>
      <w:r w:rsidRPr="005E7E07">
        <w:rPr>
          <w:rFonts w:ascii="Ottawa" w:eastAsia="Times New Roman" w:hAnsi="Ottawa" w:cs="Times New Roman"/>
          <w:b/>
          <w:bCs/>
          <w:szCs w:val="20"/>
          <w:lang w:val="en-IE" w:eastAsia="fr-FR"/>
        </w:rPr>
        <w:tab/>
        <w:t xml:space="preserve">Samples for pathogen isolation </w:t>
      </w:r>
    </w:p>
    <w:p w14:paraId="3B3FD87A" w14:textId="77777777" w:rsidR="00E65E42" w:rsidRPr="00D403F5" w:rsidRDefault="00E65E42" w:rsidP="004108B6">
      <w:pPr>
        <w:spacing w:after="120" w:line="240" w:lineRule="auto"/>
        <w:ind w:left="709"/>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 xml:space="preserve">The success of pathogen isolation and results of bioassay depend </w:t>
      </w:r>
      <w:r w:rsidRPr="00AE3567">
        <w:rPr>
          <w:rFonts w:ascii="Arial" w:eastAsia="Times New Roman" w:hAnsi="Arial" w:cs="Times New Roman"/>
          <w:bCs/>
          <w:strike/>
          <w:sz w:val="18"/>
          <w:szCs w:val="18"/>
          <w:highlight w:val="yellow"/>
          <w:lang w:val="en-IE" w:eastAsia="fr-FR"/>
        </w:rPr>
        <w:t>strongly</w:t>
      </w:r>
      <w:r w:rsidRPr="00D403F5">
        <w:rPr>
          <w:rFonts w:ascii="Arial" w:eastAsia="Times New Roman" w:hAnsi="Arial" w:cs="Times New Roman"/>
          <w:bCs/>
          <w:sz w:val="18"/>
          <w:szCs w:val="18"/>
          <w:lang w:val="en-IE" w:eastAsia="fr-FR"/>
        </w:rPr>
        <w:t xml:space="preserve"> </w:t>
      </w:r>
      <w:r w:rsidRPr="00AE3567">
        <w:rPr>
          <w:rFonts w:ascii="Arial" w:eastAsia="Times New Roman" w:hAnsi="Arial" w:cs="Times New Roman"/>
          <w:bCs/>
          <w:sz w:val="18"/>
          <w:szCs w:val="18"/>
          <w:highlight w:val="yellow"/>
          <w:u w:val="double"/>
          <w:lang w:val="en-IE" w:eastAsia="fr-FR"/>
        </w:rPr>
        <w:t>heavily</w:t>
      </w:r>
      <w:r>
        <w:rPr>
          <w:rFonts w:ascii="Arial" w:eastAsia="Times New Roman" w:hAnsi="Arial" w:cs="Times New Roman"/>
          <w:bCs/>
          <w:sz w:val="18"/>
          <w:szCs w:val="18"/>
          <w:lang w:val="en-IE" w:eastAsia="fr-FR"/>
        </w:rPr>
        <w:t xml:space="preserve"> </w:t>
      </w:r>
      <w:r w:rsidRPr="00D403F5">
        <w:rPr>
          <w:rFonts w:ascii="Arial" w:eastAsia="Times New Roman" w:hAnsi="Arial" w:cs="Times New Roman"/>
          <w:bCs/>
          <w:sz w:val="18"/>
          <w:szCs w:val="18"/>
          <w:lang w:val="en-IE" w:eastAsia="fr-FR"/>
        </w:rPr>
        <w:t>on the quality of samples (time since collection and time in storage). Fresh specimens should be kept on ice and preferably sent to the laboratory within 24 hours of collection. Alternate storage methods should be used only after consultation with the receiving laboratory.</w:t>
      </w:r>
    </w:p>
    <w:p w14:paraId="1B60A434" w14:textId="77777777" w:rsidR="00E65E42" w:rsidRPr="00D403F5" w:rsidRDefault="00E65E42" w:rsidP="004108B6">
      <w:pPr>
        <w:spacing w:after="200" w:line="240" w:lineRule="auto"/>
        <w:ind w:left="709"/>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Before transfer to the laboratory, pieces</w:t>
      </w:r>
      <w:r w:rsidRPr="00D403F5">
        <w:rPr>
          <w:rFonts w:ascii="Arial" w:eastAsia="Times New Roman" w:hAnsi="Arial" w:cs="Times New Roman"/>
          <w:bCs/>
          <w:sz w:val="18"/>
          <w:szCs w:val="18"/>
          <w:lang w:val="en-IE"/>
        </w:rPr>
        <w:t xml:space="preserve"> of the organs to be examined </w:t>
      </w:r>
      <w:r w:rsidRPr="00D403F5">
        <w:rPr>
          <w:rFonts w:ascii="Arial" w:eastAsia="Times New Roman" w:hAnsi="Arial" w:cs="Times New Roman"/>
          <w:bCs/>
          <w:sz w:val="18"/>
          <w:szCs w:val="18"/>
          <w:lang w:val="en-IE" w:eastAsia="fr-FR"/>
        </w:rPr>
        <w:t>should</w:t>
      </w:r>
      <w:r w:rsidRPr="00D403F5">
        <w:rPr>
          <w:rFonts w:ascii="Arial" w:eastAsia="Times New Roman" w:hAnsi="Arial" w:cs="Times New Roman"/>
          <w:bCs/>
          <w:sz w:val="18"/>
          <w:szCs w:val="18"/>
          <w:lang w:val="en-IE"/>
        </w:rPr>
        <w:t xml:space="preserve"> be removed from the fish with sterile dissection </w:t>
      </w:r>
      <w:r w:rsidRPr="00D403F5">
        <w:rPr>
          <w:rFonts w:ascii="Arial" w:eastAsia="Times New Roman" w:hAnsi="Arial" w:cs="Times New Roman"/>
          <w:bCs/>
          <w:sz w:val="18"/>
          <w:szCs w:val="18"/>
          <w:lang w:val="en-IE" w:eastAsia="fr-FR"/>
        </w:rPr>
        <w:t>tools and transferred to sterile plastic tubes containing at least 4 ml transport medium,</w:t>
      </w:r>
      <w:r w:rsidRPr="00D403F5">
        <w:rPr>
          <w:rFonts w:ascii="Arial" w:eastAsia="Times New Roman" w:hAnsi="Arial" w:cs="Arial"/>
          <w:bCs/>
          <w:sz w:val="18"/>
          <w:szCs w:val="18"/>
        </w:rPr>
        <w:t xml:space="preserve"> i.e. cell culture medium with 10% fetal calf serum (FCS) and antibiotics. The combination of 200 International Units (IU) penicillin, 200 µg streptomycin, and 200 µg kanamycin per ml are recommended, although other antibiotics of proven efficiency may also be used.</w:t>
      </w:r>
      <w:r w:rsidRPr="00D403F5">
        <w:rPr>
          <w:rFonts w:ascii="Arial" w:eastAsia="Times New Roman" w:hAnsi="Arial" w:cs="Times New Roman"/>
          <w:bCs/>
          <w:sz w:val="18"/>
          <w:szCs w:val="18"/>
          <w:lang w:val="en-IE" w:eastAsia="fr-FR"/>
        </w:rPr>
        <w:t xml:space="preserve"> The tissue in each sample should </w:t>
      </w:r>
      <w:r w:rsidRPr="00D403F5">
        <w:rPr>
          <w:rFonts w:ascii="Arial" w:eastAsia="Times New Roman" w:hAnsi="Arial" w:cs="Times New Roman"/>
          <w:bCs/>
          <w:sz w:val="18"/>
          <w:szCs w:val="18"/>
          <w:lang w:val="en-IE"/>
        </w:rPr>
        <w:t>be larger than the analytical unit size required for initial laboratory testing (e.g. between 0.5 and 2 g) and taken in duplicate if retesting may be required</w:t>
      </w:r>
      <w:r w:rsidRPr="00D403F5">
        <w:rPr>
          <w:rFonts w:ascii="Arial" w:eastAsia="Times New Roman" w:hAnsi="Arial" w:cs="Times New Roman"/>
          <w:bCs/>
          <w:sz w:val="18"/>
          <w:szCs w:val="18"/>
          <w:lang w:val="en-IE" w:eastAsia="fr-FR"/>
        </w:rPr>
        <w:t>.</w:t>
      </w:r>
    </w:p>
    <w:p w14:paraId="6588173C" w14:textId="77777777" w:rsidR="00E65E42" w:rsidRPr="00D403F5" w:rsidRDefault="00E65E42" w:rsidP="004108B6">
      <w:pPr>
        <w:spacing w:after="200" w:line="240" w:lineRule="auto"/>
        <w:ind w:left="709"/>
        <w:jc w:val="both"/>
        <w:rPr>
          <w:rFonts w:ascii="Arial" w:eastAsia="Times New Roman" w:hAnsi="Arial" w:cs="Arial"/>
          <w:bCs/>
          <w:sz w:val="18"/>
          <w:szCs w:val="18"/>
        </w:rPr>
      </w:pPr>
      <w:r w:rsidRPr="00D403F5">
        <w:rPr>
          <w:rFonts w:ascii="Arial" w:eastAsia="Times New Roman" w:hAnsi="Arial" w:cs="Arial"/>
          <w:bCs/>
          <w:sz w:val="18"/>
          <w:szCs w:val="18"/>
        </w:rPr>
        <w:t xml:space="preserve">Tubes containing fish tissues in transport medium for cell cultivation should be placed in insulated containers, such as thick-walled polystyrene boxes, together with sufficient ice or an alternative cooling medium with the similar cooling effect to ensure chilling of the samples during transportation to the laboratory. However, freezing of the samples should be avoided. The temperature of a sample during transit must never exceed 10°C </w:t>
      </w:r>
      <w:r w:rsidRPr="00BF51FB">
        <w:rPr>
          <w:rFonts w:ascii="Arial" w:eastAsia="Times New Roman" w:hAnsi="Arial" w:cs="Arial"/>
          <w:bCs/>
          <w:sz w:val="18"/>
          <w:szCs w:val="18"/>
        </w:rPr>
        <w:t>and ice must still be present in the transport box at receipt or one or more freeze blocks must still be partly or completely frozen</w:t>
      </w:r>
      <w:r w:rsidRPr="00F249FB">
        <w:rPr>
          <w:rFonts w:ascii="Arial" w:eastAsia="Times New Roman" w:hAnsi="Arial" w:cs="Arial"/>
          <w:bCs/>
          <w:sz w:val="18"/>
          <w:szCs w:val="18"/>
        </w:rPr>
        <w:t>.</w:t>
      </w:r>
      <w:r w:rsidRPr="00D403F5">
        <w:rPr>
          <w:rFonts w:ascii="Arial" w:eastAsia="Times New Roman" w:hAnsi="Arial" w:cs="Arial"/>
          <w:bCs/>
          <w:sz w:val="18"/>
          <w:szCs w:val="18"/>
        </w:rPr>
        <w:t xml:space="preserve"> </w:t>
      </w:r>
    </w:p>
    <w:p w14:paraId="4DDF3DE0" w14:textId="2FB29D53" w:rsidR="008A67C2" w:rsidRPr="008A67C2" w:rsidRDefault="008A67C2" w:rsidP="004108B6">
      <w:pPr>
        <w:spacing w:after="480" w:line="240" w:lineRule="auto"/>
        <w:rPr>
          <w:rFonts w:cs="Times New Roman"/>
          <w:bCs/>
          <w:iCs/>
          <w:szCs w:val="20"/>
        </w:rPr>
      </w:pPr>
      <w:r>
        <w:rPr>
          <w:u w:val="single"/>
        </w:rPr>
        <w:br w:type="page"/>
      </w: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30F0496A" w14:textId="77777777" w:rsidR="00E65E42" w:rsidRPr="00D403F5" w:rsidRDefault="00E65E42" w:rsidP="004108B6">
      <w:pPr>
        <w:spacing w:after="80" w:line="240" w:lineRule="auto"/>
        <w:ind w:left="709"/>
        <w:jc w:val="both"/>
        <w:rPr>
          <w:rFonts w:ascii="Arial" w:eastAsia="Times New Roman" w:hAnsi="Arial" w:cs="Arial"/>
          <w:bCs/>
          <w:sz w:val="18"/>
          <w:szCs w:val="18"/>
        </w:rPr>
      </w:pPr>
      <w:r w:rsidRPr="00D403F5">
        <w:rPr>
          <w:rFonts w:ascii="Arial" w:eastAsia="Times New Roman" w:hAnsi="Arial" w:cs="Arial"/>
          <w:bCs/>
          <w:sz w:val="18"/>
          <w:szCs w:val="18"/>
        </w:rPr>
        <w:t xml:space="preserve">Whole fish may be sent to the laboratory if the temperature requirements referred to in the first paragraph during transportation can be fulfilled. Whole fish should be wrapped up in paper with absorptive capacity and enclosed in a plastic bag. Live fish may also be transported to the laboratory. </w:t>
      </w:r>
      <w:r w:rsidRPr="00BF51FB">
        <w:rPr>
          <w:rFonts w:ascii="Arial" w:eastAsia="Times New Roman" w:hAnsi="Arial" w:cs="Arial"/>
          <w:bCs/>
          <w:sz w:val="18"/>
          <w:szCs w:val="18"/>
        </w:rPr>
        <w:t xml:space="preserve">All </w:t>
      </w:r>
      <w:r w:rsidRPr="00BF51FB">
        <w:rPr>
          <w:rFonts w:ascii="Arial" w:eastAsia="Times New Roman" w:hAnsi="Arial" w:cs="Arial"/>
          <w:bCs/>
          <w:sz w:val="18"/>
          <w:szCs w:val="18"/>
          <w:lang w:val="en-IE"/>
        </w:rPr>
        <w:t xml:space="preserve">packaging and labelling must be performed in accordance with </w:t>
      </w:r>
      <w:r w:rsidRPr="00AE3567">
        <w:rPr>
          <w:rFonts w:ascii="Arial" w:eastAsia="Times New Roman" w:hAnsi="Arial" w:cs="Arial"/>
          <w:bCs/>
          <w:strike/>
          <w:sz w:val="18"/>
          <w:szCs w:val="18"/>
          <w:highlight w:val="yellow"/>
          <w:lang w:val="en-IE"/>
        </w:rPr>
        <w:t>present</w:t>
      </w:r>
      <w:r w:rsidRPr="00BF51FB">
        <w:rPr>
          <w:rFonts w:ascii="Arial" w:eastAsia="Times New Roman" w:hAnsi="Arial" w:cs="Arial"/>
          <w:bCs/>
          <w:sz w:val="18"/>
          <w:szCs w:val="18"/>
          <w:lang w:val="en-IE"/>
        </w:rPr>
        <w:t xml:space="preserve"> </w:t>
      </w:r>
      <w:r w:rsidRPr="00AE3567">
        <w:rPr>
          <w:rFonts w:ascii="Arial" w:eastAsia="Times New Roman" w:hAnsi="Arial" w:cs="Arial"/>
          <w:bCs/>
          <w:sz w:val="18"/>
          <w:szCs w:val="18"/>
          <w:highlight w:val="yellow"/>
          <w:u w:val="double"/>
          <w:lang w:val="en-IE"/>
        </w:rPr>
        <w:t>current</w:t>
      </w:r>
      <w:r>
        <w:rPr>
          <w:rFonts w:ascii="Arial" w:eastAsia="Times New Roman" w:hAnsi="Arial" w:cs="Arial"/>
          <w:bCs/>
          <w:sz w:val="18"/>
          <w:szCs w:val="18"/>
          <w:lang w:val="en-IE"/>
        </w:rPr>
        <w:t xml:space="preserve"> </w:t>
      </w:r>
      <w:r w:rsidRPr="00BF51FB">
        <w:rPr>
          <w:rFonts w:ascii="Arial" w:eastAsia="Times New Roman" w:hAnsi="Arial" w:cs="Arial"/>
          <w:bCs/>
          <w:sz w:val="18"/>
          <w:szCs w:val="18"/>
          <w:lang w:val="en-IE"/>
        </w:rPr>
        <w:t>national and international transport regulations, as appropriate.</w:t>
      </w:r>
    </w:p>
    <w:p w14:paraId="0D3D4193" w14:textId="77777777" w:rsidR="00E65E42" w:rsidRPr="00D403F5" w:rsidRDefault="00E65E42" w:rsidP="004108B6">
      <w:pPr>
        <w:spacing w:after="80" w:line="240" w:lineRule="auto"/>
        <w:ind w:left="709"/>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The virological examination for isolation in cell culture should be started as soon as possible and no later than 48 hours after the collection of the samples. In exceptional cases, the virological examination may be started at the latest within 72 hours after the collection of the material, provided that the material to be examined is protected by a transport medium and that the temperature requirements during transportation can be fulfilled.</w:t>
      </w:r>
    </w:p>
    <w:p w14:paraId="0209649F" w14:textId="77777777" w:rsidR="00E65E42" w:rsidRPr="005E7E07" w:rsidRDefault="00E65E42" w:rsidP="004108B6">
      <w:pPr>
        <w:spacing w:after="120" w:line="240" w:lineRule="auto"/>
        <w:ind w:left="1276" w:hanging="567"/>
        <w:jc w:val="both"/>
        <w:rPr>
          <w:rFonts w:ascii="Ottawa" w:eastAsia="Times New Roman" w:hAnsi="Ottawa" w:cs="Times New Roman"/>
          <w:b/>
          <w:bCs/>
          <w:szCs w:val="20"/>
          <w:lang w:val="en-IE" w:eastAsia="fr-FR"/>
        </w:rPr>
      </w:pPr>
      <w:r w:rsidRPr="005E7E07">
        <w:rPr>
          <w:rFonts w:ascii="Ottawa" w:eastAsia="Times New Roman" w:hAnsi="Ottawa" w:cs="Times New Roman"/>
          <w:b/>
          <w:bCs/>
          <w:szCs w:val="20"/>
          <w:lang w:val="en-IE" w:eastAsia="fr-FR"/>
        </w:rPr>
        <w:t>3.5.2.</w:t>
      </w:r>
      <w:r w:rsidRPr="005E7E07">
        <w:rPr>
          <w:rFonts w:ascii="Ottawa" w:eastAsia="Times New Roman" w:hAnsi="Ottawa" w:cs="Times New Roman"/>
          <w:b/>
          <w:bCs/>
          <w:szCs w:val="20"/>
          <w:lang w:val="en-IE" w:eastAsia="fr-FR"/>
        </w:rPr>
        <w:tab/>
        <w:t>Preservation of samples for molecular detection</w:t>
      </w:r>
    </w:p>
    <w:p w14:paraId="3D65CE6D" w14:textId="77777777" w:rsidR="00E65E42" w:rsidRPr="00D403F5" w:rsidRDefault="00E65E42" w:rsidP="004108B6">
      <w:pPr>
        <w:spacing w:after="80" w:line="240" w:lineRule="auto"/>
        <w:ind w:left="709"/>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Samples can be taken from the fish in accordance with the procedure described in Section 3.5.1., using a sterile instrument, and transferred to a sterile plastic tube containing transport medium.</w:t>
      </w:r>
    </w:p>
    <w:p w14:paraId="05ACFAF4" w14:textId="77777777" w:rsidR="00E65E42" w:rsidRPr="00D403F5" w:rsidRDefault="00E65E42" w:rsidP="004108B6">
      <w:pPr>
        <w:spacing w:after="80" w:line="240" w:lineRule="auto"/>
        <w:ind w:left="709"/>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Alternatively, samples may be placed in at least five volumes of RNA stabilisation reagents according to the recommendation from the manufacturers. Samples in RNA stabilising reagents can be shipped on ice or at room temperature if transport time does not exceed 24 hours.</w:t>
      </w:r>
    </w:p>
    <w:p w14:paraId="58241477" w14:textId="77777777" w:rsidR="00E65E42" w:rsidRPr="00D403F5" w:rsidRDefault="00E65E42" w:rsidP="004108B6">
      <w:pPr>
        <w:spacing w:after="80" w:line="240" w:lineRule="auto"/>
        <w:ind w:left="709"/>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Whole fish may also be sent to the laboratory (see Section 3.5.1.).</w:t>
      </w:r>
    </w:p>
    <w:p w14:paraId="7B32116A" w14:textId="77777777" w:rsidR="00E65E42" w:rsidRPr="00D403F5" w:rsidRDefault="00E65E42" w:rsidP="004108B6">
      <w:pPr>
        <w:spacing w:after="80" w:line="240" w:lineRule="auto"/>
        <w:ind w:left="709"/>
        <w:jc w:val="both"/>
        <w:rPr>
          <w:rFonts w:ascii="Arial" w:eastAsia="Times New Roman" w:hAnsi="Arial" w:cs="Times New Roman"/>
          <w:bCs/>
          <w:sz w:val="18"/>
          <w:szCs w:val="18"/>
          <w:lang w:val="en-IE" w:eastAsia="fr-FR"/>
        </w:rPr>
      </w:pPr>
      <w:r w:rsidRPr="00D403F5">
        <w:rPr>
          <w:rFonts w:ascii="Arial" w:eastAsia="Times New Roman" w:hAnsi="Arial" w:cs="Arial"/>
          <w:bCs/>
          <w:sz w:val="18"/>
          <w:szCs w:val="18"/>
          <w:lang w:val="en-IE" w:eastAsia="fr-FR"/>
        </w:rPr>
        <w:t xml:space="preserve">Samples may also be frozen </w:t>
      </w:r>
      <w:r w:rsidRPr="00BF51FB">
        <w:rPr>
          <w:rFonts w:ascii="Arial" w:eastAsia="Times New Roman" w:hAnsi="Arial" w:cs="Arial"/>
          <w:bCs/>
          <w:sz w:val="18"/>
          <w:szCs w:val="18"/>
          <w:highlight w:val="yellow"/>
          <w:u w:val="double"/>
          <w:lang w:val="en-IE" w:eastAsia="fr-FR"/>
        </w:rPr>
        <w:t>at –80°C</w:t>
      </w:r>
      <w:r w:rsidRPr="00A42D12">
        <w:rPr>
          <w:rFonts w:ascii="Arial" w:eastAsia="Times New Roman" w:hAnsi="Arial" w:cs="Arial"/>
          <w:bCs/>
          <w:sz w:val="18"/>
          <w:szCs w:val="18"/>
          <w:lang w:val="en-IE" w:eastAsia="fr-FR"/>
        </w:rPr>
        <w:t xml:space="preserve"> </w:t>
      </w:r>
      <w:r w:rsidRPr="00D403F5">
        <w:rPr>
          <w:rFonts w:ascii="Arial" w:eastAsia="Times New Roman" w:hAnsi="Arial" w:cs="Arial"/>
          <w:bCs/>
          <w:sz w:val="18"/>
          <w:szCs w:val="18"/>
          <w:lang w:val="en-IE" w:eastAsia="fr-FR"/>
        </w:rPr>
        <w:t>and kept frozen until assayed</w:t>
      </w:r>
      <w:r>
        <w:rPr>
          <w:rFonts w:ascii="Arial" w:eastAsia="Times New Roman" w:hAnsi="Arial" w:cs="Arial"/>
          <w:bCs/>
          <w:sz w:val="18"/>
          <w:szCs w:val="18"/>
          <w:lang w:val="en-IE" w:eastAsia="fr-FR"/>
        </w:rPr>
        <w:t xml:space="preserve"> </w:t>
      </w:r>
      <w:r w:rsidRPr="00BF51FB">
        <w:rPr>
          <w:rFonts w:ascii="Arial" w:eastAsia="Times New Roman" w:hAnsi="Arial" w:cs="Arial"/>
          <w:bCs/>
          <w:sz w:val="18"/>
          <w:szCs w:val="18"/>
          <w:highlight w:val="yellow"/>
          <w:u w:val="double"/>
          <w:lang w:val="en-IE" w:eastAsia="fr-FR"/>
        </w:rPr>
        <w:t>(</w:t>
      </w:r>
      <w:r w:rsidRPr="007B73F2">
        <w:rPr>
          <w:rFonts w:ascii="Arial" w:eastAsia="Times New Roman" w:hAnsi="Arial" w:cs="Arial"/>
          <w:bCs/>
          <w:sz w:val="18"/>
          <w:szCs w:val="18"/>
          <w:highlight w:val="yellow"/>
          <w:u w:val="double"/>
          <w:lang w:val="en-IE" w:eastAsia="fr-FR"/>
        </w:rPr>
        <w:t xml:space="preserve">Siah </w:t>
      </w:r>
      <w:r w:rsidRPr="007B73F2">
        <w:rPr>
          <w:rFonts w:ascii="Arial" w:eastAsia="Times New Roman" w:hAnsi="Arial" w:cs="Arial"/>
          <w:bCs/>
          <w:i/>
          <w:sz w:val="18"/>
          <w:szCs w:val="18"/>
          <w:highlight w:val="yellow"/>
          <w:u w:val="double"/>
          <w:lang w:val="en-IE" w:eastAsia="fr-FR"/>
        </w:rPr>
        <w:t>et al.,</w:t>
      </w:r>
      <w:r w:rsidRPr="007B73F2">
        <w:rPr>
          <w:rFonts w:ascii="Arial" w:eastAsia="Times New Roman" w:hAnsi="Arial" w:cs="Arial"/>
          <w:bCs/>
          <w:sz w:val="18"/>
          <w:szCs w:val="18"/>
          <w:highlight w:val="yellow"/>
          <w:u w:val="double"/>
          <w:lang w:val="en-IE" w:eastAsia="fr-FR"/>
        </w:rPr>
        <w:t xml:space="preserve"> 2014</w:t>
      </w:r>
      <w:r w:rsidRPr="00BF51FB">
        <w:rPr>
          <w:rFonts w:ascii="Arial" w:eastAsia="Times New Roman" w:hAnsi="Arial" w:cs="Arial"/>
          <w:bCs/>
          <w:sz w:val="18"/>
          <w:szCs w:val="18"/>
          <w:highlight w:val="yellow"/>
          <w:u w:val="double"/>
          <w:lang w:val="en-IE" w:eastAsia="fr-FR"/>
        </w:rPr>
        <w:t>)</w:t>
      </w:r>
      <w:r w:rsidRPr="00BF51FB">
        <w:rPr>
          <w:rFonts w:ascii="Arial" w:eastAsia="Times New Roman" w:hAnsi="Arial" w:cs="Arial"/>
          <w:bCs/>
          <w:sz w:val="18"/>
          <w:szCs w:val="18"/>
          <w:highlight w:val="yellow"/>
          <w:lang w:val="en-IE" w:eastAsia="fr-FR"/>
        </w:rPr>
        <w:t>.</w:t>
      </w:r>
    </w:p>
    <w:p w14:paraId="4AD2F6D5" w14:textId="77777777" w:rsidR="00E65E42" w:rsidRPr="005E7E07" w:rsidRDefault="00E65E42" w:rsidP="004108B6">
      <w:pPr>
        <w:spacing w:after="120" w:line="240" w:lineRule="auto"/>
        <w:ind w:left="1276" w:hanging="567"/>
        <w:jc w:val="both"/>
        <w:rPr>
          <w:rFonts w:ascii="Ottawa" w:eastAsia="Times New Roman" w:hAnsi="Ottawa" w:cs="Times New Roman"/>
          <w:b/>
          <w:bCs/>
          <w:szCs w:val="20"/>
          <w:lang w:val="en-IE" w:eastAsia="fr-FR"/>
        </w:rPr>
      </w:pPr>
      <w:r w:rsidRPr="005E7E07">
        <w:rPr>
          <w:rFonts w:ascii="Ottawa" w:eastAsia="Times New Roman" w:hAnsi="Ottawa" w:cs="Times New Roman"/>
          <w:b/>
          <w:bCs/>
          <w:szCs w:val="20"/>
          <w:lang w:val="en-IE" w:eastAsia="fr-FR"/>
        </w:rPr>
        <w:t>3.5.3.</w:t>
      </w:r>
      <w:r w:rsidRPr="005E7E07">
        <w:rPr>
          <w:rFonts w:ascii="Ottawa" w:eastAsia="Times New Roman" w:hAnsi="Ottawa" w:cs="Times New Roman"/>
          <w:b/>
          <w:bCs/>
          <w:szCs w:val="20"/>
          <w:lang w:val="en-IE" w:eastAsia="fr-FR"/>
        </w:rPr>
        <w:tab/>
        <w:t xml:space="preserve">Samples for histopathology, immunohistochemistry or </w:t>
      </w:r>
      <w:r w:rsidRPr="005E7E07">
        <w:rPr>
          <w:rFonts w:ascii="Ottawa" w:eastAsia="Times New Roman" w:hAnsi="Ottawa" w:cs="Times New Roman"/>
          <w:b/>
          <w:bCs/>
          <w:i/>
          <w:szCs w:val="20"/>
          <w:lang w:val="en-IE" w:eastAsia="fr-FR"/>
        </w:rPr>
        <w:t>in-situ</w:t>
      </w:r>
      <w:r w:rsidRPr="005E7E07">
        <w:rPr>
          <w:rFonts w:ascii="Ottawa" w:eastAsia="Times New Roman" w:hAnsi="Ottawa" w:cs="Times New Roman"/>
          <w:b/>
          <w:bCs/>
          <w:szCs w:val="20"/>
          <w:lang w:val="en-IE" w:eastAsia="fr-FR"/>
        </w:rPr>
        <w:t xml:space="preserve"> hybridisation</w:t>
      </w:r>
    </w:p>
    <w:p w14:paraId="1A5435CE" w14:textId="77777777" w:rsidR="00E65E42" w:rsidRPr="00D403F5" w:rsidRDefault="00E65E42" w:rsidP="004108B6">
      <w:pPr>
        <w:spacing w:after="80" w:line="240" w:lineRule="auto"/>
        <w:ind w:left="709"/>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 xml:space="preserve">Tissue samples for histopathology should be fixed in 10% neutral buffered formalin immediately after collection. The recommended ratio of fixative to tissue is 10:1. To avoid excessive cross-linking, tissue should be transferred to ethanol after 24 hours if methods other than histopathology are used e.g. </w:t>
      </w:r>
      <w:r w:rsidRPr="00D403F5">
        <w:rPr>
          <w:rFonts w:ascii="Arial" w:eastAsia="Times New Roman" w:hAnsi="Arial" w:cs="Times New Roman"/>
          <w:bCs/>
          <w:i/>
          <w:sz w:val="18"/>
          <w:szCs w:val="18"/>
          <w:lang w:val="en-IE" w:eastAsia="fr-FR"/>
        </w:rPr>
        <w:t>in-situ</w:t>
      </w:r>
      <w:r w:rsidRPr="00D403F5">
        <w:rPr>
          <w:rFonts w:ascii="Arial" w:eastAsia="Times New Roman" w:hAnsi="Arial" w:cs="Times New Roman"/>
          <w:bCs/>
          <w:sz w:val="18"/>
          <w:szCs w:val="18"/>
          <w:lang w:val="en-IE" w:eastAsia="fr-FR"/>
        </w:rPr>
        <w:t xml:space="preserve"> hybridisation.</w:t>
      </w:r>
    </w:p>
    <w:p w14:paraId="2BA0CCF2" w14:textId="77777777" w:rsidR="00E65E42" w:rsidRPr="005E7E07" w:rsidRDefault="00E65E42" w:rsidP="004108B6">
      <w:pPr>
        <w:spacing w:after="120" w:line="240" w:lineRule="auto"/>
        <w:ind w:left="1276" w:hanging="567"/>
        <w:jc w:val="both"/>
        <w:rPr>
          <w:rFonts w:ascii="Ottawa" w:eastAsia="Times New Roman" w:hAnsi="Ottawa" w:cs="Times New Roman"/>
          <w:b/>
          <w:bCs/>
          <w:szCs w:val="20"/>
          <w:lang w:val="en-IE" w:eastAsia="fr-FR"/>
        </w:rPr>
      </w:pPr>
      <w:r w:rsidRPr="005E7E07">
        <w:rPr>
          <w:rFonts w:ascii="Ottawa" w:eastAsia="Times New Roman" w:hAnsi="Ottawa" w:cs="Times New Roman"/>
          <w:b/>
          <w:bCs/>
          <w:szCs w:val="20"/>
          <w:lang w:val="en-IE" w:eastAsia="fr-FR"/>
        </w:rPr>
        <w:t>3.5.4.</w:t>
      </w:r>
      <w:r w:rsidRPr="005E7E07">
        <w:rPr>
          <w:rFonts w:ascii="Ottawa" w:eastAsia="Times New Roman" w:hAnsi="Ottawa" w:cs="Times New Roman"/>
          <w:b/>
          <w:bCs/>
          <w:szCs w:val="20"/>
          <w:lang w:val="en-IE" w:eastAsia="fr-FR"/>
        </w:rPr>
        <w:tab/>
        <w:t>Fixed samples for electron microscopy</w:t>
      </w:r>
    </w:p>
    <w:p w14:paraId="52E320BA" w14:textId="77777777" w:rsidR="00E65E42" w:rsidRPr="00BD695D" w:rsidRDefault="00E65E42" w:rsidP="004108B6">
      <w:pPr>
        <w:spacing w:after="80" w:line="240" w:lineRule="auto"/>
        <w:ind w:left="709"/>
        <w:jc w:val="both"/>
        <w:rPr>
          <w:rFonts w:ascii="Arial" w:eastAsia="Times New Roman" w:hAnsi="Arial" w:cs="Arial"/>
          <w:bCs/>
          <w:sz w:val="18"/>
          <w:szCs w:val="18"/>
          <w:lang w:val="en-IE" w:eastAsia="fr-FR"/>
        </w:rPr>
      </w:pPr>
      <w:r w:rsidRPr="00BD695D">
        <w:rPr>
          <w:rFonts w:ascii="Arial" w:eastAsia="Times New Roman" w:hAnsi="Arial" w:cs="Times New Roman"/>
          <w:bCs/>
          <w:strike/>
          <w:sz w:val="18"/>
          <w:szCs w:val="18"/>
          <w:highlight w:val="yellow"/>
          <w:lang w:val="en-IE" w:eastAsia="fr-FR"/>
        </w:rPr>
        <w:t xml:space="preserve">Sampling for electron microscopy should be done according to standard procedures (for an example, see Chapter 2.2.9 </w:t>
      </w:r>
      <w:r w:rsidRPr="00BD695D">
        <w:rPr>
          <w:rFonts w:ascii="Arial" w:eastAsia="Times New Roman" w:hAnsi="Arial" w:cs="Times New Roman"/>
          <w:bCs/>
          <w:i/>
          <w:strike/>
          <w:sz w:val="18"/>
          <w:szCs w:val="18"/>
          <w:highlight w:val="yellow"/>
          <w:lang w:val="en-IE" w:eastAsia="fr-FR"/>
        </w:rPr>
        <w:t>Infection with yellow head virus genotype 1</w:t>
      </w:r>
      <w:r w:rsidRPr="00BD695D">
        <w:rPr>
          <w:rFonts w:ascii="Arial" w:eastAsia="Times New Roman" w:hAnsi="Arial" w:cs="Times New Roman"/>
          <w:bCs/>
          <w:strike/>
          <w:sz w:val="18"/>
          <w:szCs w:val="18"/>
          <w:highlight w:val="yellow"/>
          <w:lang w:val="en-IE" w:eastAsia="fr-FR"/>
        </w:rPr>
        <w:t>).</w:t>
      </w:r>
      <w:r w:rsidRPr="00BD695D">
        <w:rPr>
          <w:rFonts w:ascii="Arial" w:eastAsia="Times New Roman" w:hAnsi="Arial" w:cs="Times New Roman"/>
          <w:bCs/>
          <w:strike/>
          <w:sz w:val="18"/>
          <w:szCs w:val="18"/>
          <w:lang w:val="en-IE" w:eastAsia="fr-FR"/>
        </w:rPr>
        <w:t xml:space="preserve"> </w:t>
      </w:r>
      <w:r w:rsidRPr="00D403F5">
        <w:rPr>
          <w:rFonts w:ascii="Arial" w:eastAsia="Times New Roman" w:hAnsi="Arial" w:cs="Times New Roman"/>
          <w:bCs/>
          <w:sz w:val="18"/>
          <w:szCs w:val="18"/>
          <w:lang w:val="en-IE" w:eastAsia="fr-FR"/>
        </w:rPr>
        <w:t xml:space="preserve">Sampling for electron microscopy is not relevant for diagnostic purposes. </w:t>
      </w:r>
      <w:r w:rsidRPr="00BD695D">
        <w:rPr>
          <w:rFonts w:ascii="Arial" w:hAnsi="Arial" w:cs="Arial"/>
          <w:bCs/>
          <w:sz w:val="18"/>
          <w:szCs w:val="18"/>
          <w:highlight w:val="yellow"/>
          <w:u w:val="double"/>
          <w:lang w:eastAsia="fr-FR"/>
        </w:rPr>
        <w:t>Samples for electron microscopy are not routinely required and are collected only when it is considered beneficial to facilitate further diagnostic investigation. A 2 mm cubed section from each of the appropriate organs described in section 3.2 should be fixed in glutaraldehyde; the recommended ratio of fixative to tissue is 10:1</w:t>
      </w:r>
      <w:r>
        <w:rPr>
          <w:rFonts w:ascii="Arial" w:hAnsi="Arial" w:cs="Arial"/>
          <w:bCs/>
          <w:sz w:val="18"/>
          <w:szCs w:val="18"/>
          <w:u w:val="double"/>
          <w:lang w:eastAsia="fr-FR"/>
        </w:rPr>
        <w:t>.</w:t>
      </w:r>
    </w:p>
    <w:p w14:paraId="6E6B5DFA" w14:textId="77777777" w:rsidR="00E65E42" w:rsidRPr="005E7E07" w:rsidRDefault="00E65E42" w:rsidP="004108B6">
      <w:pPr>
        <w:spacing w:after="120" w:line="240" w:lineRule="auto"/>
        <w:ind w:left="1276" w:hanging="567"/>
        <w:jc w:val="both"/>
        <w:rPr>
          <w:rFonts w:ascii="Ottawa" w:eastAsia="Times New Roman" w:hAnsi="Ottawa" w:cs="Times New Roman"/>
          <w:b/>
          <w:bCs/>
          <w:szCs w:val="20"/>
          <w:lang w:val="en-IE" w:eastAsia="fr-FR"/>
        </w:rPr>
      </w:pPr>
      <w:r w:rsidRPr="005E7E07">
        <w:rPr>
          <w:rFonts w:ascii="Ottawa" w:eastAsia="Times New Roman" w:hAnsi="Ottawa" w:cs="Times New Roman"/>
          <w:b/>
          <w:bCs/>
          <w:szCs w:val="20"/>
          <w:lang w:val="en-IE" w:eastAsia="fr-FR"/>
        </w:rPr>
        <w:t>3.5.5.</w:t>
      </w:r>
      <w:r w:rsidRPr="005E7E07">
        <w:rPr>
          <w:rFonts w:ascii="Ottawa" w:eastAsia="Times New Roman" w:hAnsi="Ottawa" w:cs="Times New Roman"/>
          <w:b/>
          <w:bCs/>
          <w:szCs w:val="20"/>
          <w:lang w:val="en-IE" w:eastAsia="fr-FR"/>
        </w:rPr>
        <w:tab/>
        <w:t>Samples for other tests</w:t>
      </w:r>
    </w:p>
    <w:p w14:paraId="28013AEE" w14:textId="77777777" w:rsidR="00E65E42" w:rsidRPr="00D403F5" w:rsidRDefault="00E65E42" w:rsidP="004108B6">
      <w:pPr>
        <w:spacing w:after="80" w:line="240" w:lineRule="auto"/>
        <w:ind w:left="709"/>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If samples are processed for ELISA or other immunochemical assays, the procedures described in Section 3.5.1. for pathogen isolation should be followed.</w:t>
      </w:r>
    </w:p>
    <w:p w14:paraId="523E80B8" w14:textId="77777777" w:rsidR="00E65E42" w:rsidRPr="005E7E07" w:rsidRDefault="00E65E42" w:rsidP="000A4E1E">
      <w:pPr>
        <w:tabs>
          <w:tab w:val="left" w:pos="1418"/>
        </w:tabs>
        <w:spacing w:after="120" w:line="240" w:lineRule="auto"/>
        <w:ind w:left="709" w:hanging="425"/>
        <w:jc w:val="both"/>
        <w:rPr>
          <w:rFonts w:ascii="Ottawa" w:eastAsia="MS Mincho" w:hAnsi="Ottawa" w:cs="Times New Roman"/>
          <w:b/>
          <w:sz w:val="21"/>
          <w:szCs w:val="21"/>
          <w:lang w:val="da-DK" w:eastAsia="da-DK"/>
        </w:rPr>
      </w:pPr>
      <w:r w:rsidRPr="005E7E07">
        <w:rPr>
          <w:rFonts w:ascii="Ottawa" w:eastAsia="MS Mincho" w:hAnsi="Ottawa" w:cs="Times New Roman"/>
          <w:b/>
          <w:sz w:val="21"/>
          <w:szCs w:val="21"/>
          <w:lang w:val="da-DK" w:eastAsia="da-DK"/>
        </w:rPr>
        <w:t>3.6.</w:t>
      </w:r>
      <w:r w:rsidRPr="005E7E07">
        <w:rPr>
          <w:rFonts w:ascii="Ottawa" w:eastAsia="MS Mincho" w:hAnsi="Ottawa" w:cs="Times New Roman"/>
          <w:b/>
          <w:sz w:val="21"/>
          <w:szCs w:val="21"/>
          <w:lang w:val="da-DK" w:eastAsia="da-DK"/>
        </w:rPr>
        <w:tab/>
        <w:t>Pooling of samples</w:t>
      </w:r>
    </w:p>
    <w:p w14:paraId="42DCFEE4" w14:textId="77777777" w:rsidR="00E65E42" w:rsidRPr="00D403F5" w:rsidRDefault="00E65E42" w:rsidP="000A4E1E">
      <w:pPr>
        <w:spacing w:after="80" w:line="240" w:lineRule="auto"/>
        <w:ind w:left="284"/>
        <w:jc w:val="both"/>
        <w:rPr>
          <w:rFonts w:ascii="Arial" w:eastAsia="Times New Roman" w:hAnsi="Arial" w:cs="Arial"/>
          <w:sz w:val="18"/>
          <w:szCs w:val="18"/>
          <w:lang w:val="en-IE"/>
        </w:rPr>
      </w:pPr>
      <w:r w:rsidRPr="00D403F5">
        <w:rPr>
          <w:rFonts w:ascii="Arial" w:eastAsia="Times New Roman" w:hAnsi="Arial" w:cs="Times New Roman"/>
          <w:sz w:val="18"/>
          <w:szCs w:val="18"/>
          <w:lang w:val="en-IE"/>
        </w:rPr>
        <w:t>The effect of pooling on diagnostic sensitivity has not been evaluated, therefore</w:t>
      </w:r>
      <w:r w:rsidRPr="00FC4A71">
        <w:rPr>
          <w:rFonts w:ascii="Arial" w:eastAsia="Times New Roman" w:hAnsi="Arial" w:cs="Times New Roman"/>
          <w:sz w:val="18"/>
          <w:szCs w:val="18"/>
          <w:lang w:val="en-IE"/>
        </w:rPr>
        <w:t>,</w:t>
      </w:r>
      <w:r w:rsidRPr="00AE3567">
        <w:rPr>
          <w:rFonts w:ascii="Arial" w:eastAsia="Times New Roman" w:hAnsi="Arial" w:cs="Times New Roman"/>
          <w:sz w:val="18"/>
          <w:szCs w:val="18"/>
          <w:lang w:val="en-IE"/>
        </w:rPr>
        <w:t xml:space="preserve"> </w:t>
      </w:r>
      <w:r w:rsidRPr="00D403F5">
        <w:rPr>
          <w:rFonts w:ascii="Arial" w:eastAsia="Times New Roman" w:hAnsi="Arial" w:cs="Times New Roman"/>
          <w:sz w:val="18"/>
          <w:szCs w:val="18"/>
          <w:lang w:val="en-IE"/>
        </w:rPr>
        <w:t>larger fish should be processed and tested individually. However, samples, especially fry or specimens up to 0.5 g, can be pooled to obtain enough material for virus isolation or molecular detection</w:t>
      </w:r>
      <w:r w:rsidRPr="00D403F5">
        <w:rPr>
          <w:rFonts w:ascii="Arial" w:eastAsia="Times New Roman" w:hAnsi="Arial" w:cs="Arial"/>
          <w:sz w:val="18"/>
          <w:szCs w:val="18"/>
          <w:lang w:val="en-IE" w:eastAsia="fr-FR"/>
        </w:rPr>
        <w:t xml:space="preserve">. </w:t>
      </w:r>
    </w:p>
    <w:p w14:paraId="332B47D2" w14:textId="77777777" w:rsidR="00E65E42" w:rsidRPr="00F97268" w:rsidRDefault="00E65E42" w:rsidP="00EE0A09">
      <w:pPr>
        <w:spacing w:after="80" w:line="240" w:lineRule="auto"/>
        <w:ind w:left="284" w:hanging="284"/>
        <w:outlineLvl w:val="0"/>
        <w:rPr>
          <w:rFonts w:ascii="Ottawa" w:eastAsia="Times New Roman" w:hAnsi="Ottawa" w:cs="Times New Roman"/>
          <w:b/>
          <w:bCs/>
          <w:sz w:val="22"/>
          <w:lang w:val="en-IE" w:bidi="en-US"/>
        </w:rPr>
      </w:pPr>
      <w:bookmarkStart w:id="153" w:name="_Toc38028666"/>
      <w:r w:rsidRPr="00F97268">
        <w:rPr>
          <w:rFonts w:ascii="Ottawa" w:eastAsia="Times New Roman" w:hAnsi="Ottawa" w:cs="Times New Roman"/>
          <w:b/>
          <w:bCs/>
          <w:sz w:val="22"/>
          <w:lang w:val="en-IE" w:bidi="en-US"/>
        </w:rPr>
        <w:t>4.</w:t>
      </w:r>
      <w:r w:rsidRPr="00F97268">
        <w:rPr>
          <w:rFonts w:ascii="Ottawa" w:eastAsia="Times New Roman" w:hAnsi="Ottawa" w:cs="Times New Roman"/>
          <w:b/>
          <w:bCs/>
          <w:sz w:val="22"/>
          <w:lang w:val="en-IE" w:bidi="en-US"/>
        </w:rPr>
        <w:tab/>
        <w:t>Diagnostic methods</w:t>
      </w:r>
      <w:bookmarkEnd w:id="153"/>
    </w:p>
    <w:p w14:paraId="1E6F18B6" w14:textId="77777777" w:rsidR="00E65E42" w:rsidRPr="00D403F5" w:rsidRDefault="00E65E42" w:rsidP="00F97268">
      <w:pPr>
        <w:spacing w:after="120" w:line="240" w:lineRule="auto"/>
        <w:ind w:left="284"/>
        <w:jc w:val="both"/>
        <w:rPr>
          <w:rFonts w:ascii="Arial" w:eastAsia="Times New Roman" w:hAnsi="Arial" w:cs="Arial"/>
          <w:sz w:val="18"/>
          <w:szCs w:val="18"/>
          <w:lang w:val="en-IE" w:bidi="en-US"/>
        </w:rPr>
      </w:pPr>
      <w:r w:rsidRPr="00D403F5">
        <w:rPr>
          <w:rFonts w:ascii="Arial" w:eastAsia="Times New Roman" w:hAnsi="Arial" w:cs="Arial"/>
          <w:sz w:val="18"/>
          <w:szCs w:val="18"/>
          <w:lang w:val="en-IE" w:bidi="en-US"/>
        </w:rPr>
        <w:t xml:space="preserve">The methods currently available for identifying infection that can be used in i) surveillance of apparently healthy populations), ii) presumptive and iii) confirmatory diagnostic purposes are listed in Table 4.1. by life stage. The designations used in the Table indicate: </w:t>
      </w:r>
    </w:p>
    <w:p w14:paraId="2713B44B" w14:textId="77777777" w:rsidR="00E65E42" w:rsidRPr="00D403F5" w:rsidRDefault="00E65E42" w:rsidP="00F97268">
      <w:pPr>
        <w:spacing w:after="0" w:line="240" w:lineRule="auto"/>
        <w:ind w:left="1701" w:hanging="1417"/>
        <w:rPr>
          <w:rFonts w:ascii="Arial" w:eastAsia="Calibri" w:hAnsi="Arial" w:cs="Arial"/>
          <w:color w:val="000000"/>
          <w:sz w:val="18"/>
          <w:szCs w:val="18"/>
          <w:lang w:val="en-IE"/>
        </w:rPr>
      </w:pPr>
      <w:r w:rsidRPr="00D403F5">
        <w:rPr>
          <w:rFonts w:ascii="Arial" w:eastAsia="Calibri" w:hAnsi="Arial" w:cs="Arial"/>
          <w:color w:val="000000"/>
          <w:sz w:val="18"/>
          <w:szCs w:val="18"/>
          <w:lang w:val="en-IE"/>
        </w:rPr>
        <w:t xml:space="preserve">Key: </w:t>
      </w:r>
    </w:p>
    <w:p w14:paraId="39F8613C" w14:textId="77777777" w:rsidR="00E65E42" w:rsidRPr="00D403F5" w:rsidRDefault="00E65E42" w:rsidP="00F97268">
      <w:pPr>
        <w:spacing w:after="0" w:line="240" w:lineRule="auto"/>
        <w:ind w:left="1701" w:hanging="1417"/>
        <w:rPr>
          <w:rFonts w:ascii="Arial" w:eastAsia="Calibri" w:hAnsi="Arial" w:cs="Arial"/>
          <w:color w:val="000000"/>
          <w:sz w:val="18"/>
          <w:szCs w:val="18"/>
          <w:lang w:val="en-IE"/>
        </w:rPr>
      </w:pPr>
      <w:r w:rsidRPr="00D403F5">
        <w:rPr>
          <w:rFonts w:ascii="Arial" w:eastAsia="Calibri" w:hAnsi="Arial" w:cs="Arial"/>
          <w:color w:val="000000"/>
          <w:sz w:val="18"/>
          <w:szCs w:val="18"/>
          <w:lang w:val="en-IE"/>
        </w:rPr>
        <w:t>+++ =</w:t>
      </w:r>
      <w:r w:rsidRPr="00D403F5">
        <w:rPr>
          <w:rFonts w:ascii="Arial" w:eastAsia="Calibri" w:hAnsi="Arial" w:cs="Arial"/>
          <w:color w:val="000000"/>
          <w:sz w:val="18"/>
          <w:szCs w:val="18"/>
          <w:lang w:val="en-IE"/>
        </w:rPr>
        <w:tab/>
        <w:t>Recommended method(s) validated for the purpose shown and usually to stage 3 of the OIE Validation Pathway;</w:t>
      </w:r>
    </w:p>
    <w:p w14:paraId="08B71949" w14:textId="77777777" w:rsidR="00E65E42" w:rsidRPr="00D403F5" w:rsidRDefault="00E65E42" w:rsidP="00F97268">
      <w:pPr>
        <w:spacing w:after="0" w:line="240" w:lineRule="auto"/>
        <w:ind w:left="1701" w:hanging="1417"/>
        <w:rPr>
          <w:rFonts w:ascii="Arial" w:eastAsia="Calibri" w:hAnsi="Arial" w:cs="Arial"/>
          <w:color w:val="000000"/>
          <w:sz w:val="18"/>
          <w:szCs w:val="18"/>
          <w:lang w:val="en-IE"/>
        </w:rPr>
      </w:pPr>
      <w:r w:rsidRPr="00D403F5">
        <w:rPr>
          <w:rFonts w:ascii="Arial" w:eastAsia="Calibri" w:hAnsi="Arial" w:cs="Arial"/>
          <w:color w:val="000000"/>
          <w:sz w:val="18"/>
          <w:szCs w:val="18"/>
          <w:lang w:val="en-IE"/>
        </w:rPr>
        <w:t xml:space="preserve">++ = </w:t>
      </w:r>
      <w:r w:rsidRPr="00D403F5">
        <w:rPr>
          <w:rFonts w:ascii="Arial" w:eastAsia="Calibri" w:hAnsi="Arial" w:cs="Arial"/>
          <w:color w:val="000000"/>
          <w:sz w:val="18"/>
          <w:szCs w:val="18"/>
          <w:lang w:val="en-IE"/>
        </w:rPr>
        <w:tab/>
        <w:t xml:space="preserve">Suitable method(s) but may need further validation; </w:t>
      </w:r>
    </w:p>
    <w:p w14:paraId="7351BADE" w14:textId="77777777" w:rsidR="00E65E42" w:rsidRPr="00D403F5" w:rsidRDefault="00E65E42" w:rsidP="00F97268">
      <w:pPr>
        <w:spacing w:after="0" w:line="240" w:lineRule="auto"/>
        <w:ind w:left="1701" w:hanging="1417"/>
        <w:rPr>
          <w:rFonts w:ascii="Arial" w:eastAsia="Calibri" w:hAnsi="Arial" w:cs="Arial"/>
          <w:sz w:val="18"/>
          <w:szCs w:val="18"/>
          <w:lang w:val="en-IE"/>
        </w:rPr>
      </w:pPr>
      <w:r w:rsidRPr="00D403F5">
        <w:rPr>
          <w:rFonts w:ascii="Arial" w:eastAsia="Calibri" w:hAnsi="Arial" w:cs="Arial"/>
          <w:color w:val="000000"/>
          <w:sz w:val="18"/>
          <w:szCs w:val="18"/>
          <w:lang w:val="en-IE"/>
        </w:rPr>
        <w:t xml:space="preserve">+ = </w:t>
      </w:r>
      <w:r w:rsidRPr="00D403F5">
        <w:rPr>
          <w:rFonts w:ascii="Arial" w:eastAsia="Calibri" w:hAnsi="Arial" w:cs="Arial"/>
          <w:color w:val="000000"/>
          <w:sz w:val="18"/>
          <w:szCs w:val="18"/>
          <w:lang w:val="en-IE"/>
        </w:rPr>
        <w:tab/>
        <w:t xml:space="preserve">May be used </w:t>
      </w:r>
      <w:r w:rsidRPr="00D403F5">
        <w:rPr>
          <w:rFonts w:ascii="Arial" w:eastAsia="Calibri" w:hAnsi="Arial" w:cs="Arial"/>
          <w:sz w:val="18"/>
          <w:szCs w:val="18"/>
          <w:lang w:val="en-IE"/>
        </w:rPr>
        <w:t xml:space="preserve">in some situations, but cost, reliability, lack of validation or other factors severely limits its application; </w:t>
      </w:r>
    </w:p>
    <w:p w14:paraId="217ABD14" w14:textId="77777777" w:rsidR="00E65E42" w:rsidRPr="00D403F5" w:rsidRDefault="00E65E42" w:rsidP="00F97268">
      <w:pPr>
        <w:spacing w:after="120" w:line="240" w:lineRule="auto"/>
        <w:ind w:left="1701" w:hanging="1417"/>
        <w:rPr>
          <w:rFonts w:ascii="Arial" w:eastAsia="Calibri" w:hAnsi="Arial" w:cs="Arial"/>
          <w:color w:val="000000"/>
          <w:sz w:val="18"/>
          <w:szCs w:val="18"/>
          <w:lang w:val="en-IE"/>
        </w:rPr>
      </w:pPr>
      <w:r w:rsidRPr="00D403F5">
        <w:rPr>
          <w:rFonts w:ascii="Arial" w:eastAsia="Calibri" w:hAnsi="Arial" w:cs="Arial"/>
          <w:color w:val="000000"/>
          <w:sz w:val="18"/>
          <w:szCs w:val="18"/>
          <w:lang w:val="en-IE"/>
        </w:rPr>
        <w:t xml:space="preserve">Shaded boxes = </w:t>
      </w:r>
      <w:r w:rsidRPr="00D403F5">
        <w:rPr>
          <w:rFonts w:ascii="Arial" w:eastAsia="Calibri" w:hAnsi="Arial" w:cs="Arial"/>
          <w:color w:val="000000"/>
          <w:sz w:val="18"/>
          <w:szCs w:val="18"/>
          <w:lang w:val="en-IE"/>
        </w:rPr>
        <w:tab/>
        <w:t>Not appropriate for this purpose.</w:t>
      </w:r>
    </w:p>
    <w:p w14:paraId="2FF0C586" w14:textId="06FF097A" w:rsidR="00E65E42" w:rsidRDefault="00E65E42" w:rsidP="00F97268">
      <w:pPr>
        <w:spacing w:after="120" w:line="240" w:lineRule="auto"/>
        <w:ind w:left="284"/>
        <w:jc w:val="both"/>
        <w:rPr>
          <w:rFonts w:ascii="Arial" w:eastAsia="Times New Roman" w:hAnsi="Arial" w:cs="Arial"/>
          <w:sz w:val="18"/>
          <w:szCs w:val="18"/>
          <w:lang w:val="en-IE" w:bidi="en-US"/>
        </w:rPr>
      </w:pPr>
      <w:r w:rsidRPr="00D403F5">
        <w:rPr>
          <w:rFonts w:ascii="Arial" w:eastAsia="Times New Roman" w:hAnsi="Arial" w:cs="Arial"/>
          <w:sz w:val="18"/>
          <w:szCs w:val="18"/>
          <w:lang w:val="en-IE" w:bidi="en-US"/>
        </w:rPr>
        <w:t>The selection of a test for a given purpose depends on the analytical and diagnostic sensitivities and specificities, and repeatability and reproducibility. OIE Reference Laboratories welcome feedback on diagnostic performance for assays, in particular PCR methods, for factors affecting assay analytical sensitivity or analytical specificity, such as tissue components inhibiting amplification, presence of nonspecific or uncertain bands, etc., and any assays that are in the +++ category.</w:t>
      </w:r>
    </w:p>
    <w:p w14:paraId="4BB37629" w14:textId="77777777" w:rsidR="00EE0A09" w:rsidRDefault="00EE0A09" w:rsidP="00E65E42">
      <w:pPr>
        <w:pStyle w:val="Tabletitle"/>
        <w:sectPr w:rsidR="00EE0A09" w:rsidSect="008A67C2">
          <w:headerReference w:type="even" r:id="rId199"/>
          <w:headerReference w:type="default" r:id="rId200"/>
          <w:footerReference w:type="even" r:id="rId201"/>
          <w:headerReference w:type="first" r:id="rId202"/>
          <w:footerReference w:type="first" r:id="rId203"/>
          <w:pgSz w:w="11906" w:h="16838" w:code="9"/>
          <w:pgMar w:top="1418" w:right="1418" w:bottom="1418" w:left="1418" w:header="709" w:footer="709" w:gutter="0"/>
          <w:cols w:space="708"/>
          <w:titlePg/>
          <w:docGrid w:linePitch="360"/>
        </w:sectPr>
      </w:pPr>
    </w:p>
    <w:p w14:paraId="358015AF" w14:textId="32B7AEA3" w:rsidR="00E65E42" w:rsidRDefault="00E65E42" w:rsidP="00E65E42">
      <w:pPr>
        <w:pStyle w:val="Tabletitle"/>
      </w:pPr>
      <w:r w:rsidRPr="00D403F5">
        <w:lastRenderedPageBreak/>
        <w:t>Table 4.</w:t>
      </w:r>
      <w:r w:rsidRPr="00D403F5">
        <w:rPr>
          <w:noProof/>
        </w:rPr>
        <w:t>1</w:t>
      </w:r>
      <w:r w:rsidRPr="00D403F5">
        <w:t xml:space="preserve">. OIE recommended diagnostic methods and their level of validation for </w:t>
      </w:r>
      <w:r w:rsidRPr="007F3992">
        <w:t xml:space="preserve">surveillance of </w:t>
      </w:r>
      <w:r w:rsidRPr="007F3992">
        <w:rPr>
          <w:highlight w:val="yellow"/>
          <w:u w:val="double"/>
        </w:rPr>
        <w:t>apparently</w:t>
      </w:r>
      <w:r w:rsidRPr="007F3992">
        <w:t xml:space="preserve"> healthy </w:t>
      </w:r>
      <w:r w:rsidRPr="00D403F5">
        <w:t xml:space="preserve">animals and investigation of clinically affected animals </w:t>
      </w:r>
    </w:p>
    <w:tbl>
      <w:tblPr>
        <w:tblW w:w="12892" w:type="dxa"/>
        <w:jc w:val="center"/>
        <w:tblLayout w:type="fixed"/>
        <w:tblCellMar>
          <w:left w:w="96" w:type="dxa"/>
          <w:right w:w="96" w:type="dxa"/>
        </w:tblCellMar>
        <w:tblLook w:val="0000" w:firstRow="0" w:lastRow="0" w:firstColumn="0" w:lastColumn="0" w:noHBand="0" w:noVBand="0"/>
      </w:tblPr>
      <w:tblGrid>
        <w:gridCol w:w="2399"/>
        <w:gridCol w:w="995"/>
        <w:gridCol w:w="993"/>
        <w:gridCol w:w="850"/>
        <w:gridCol w:w="709"/>
        <w:gridCol w:w="850"/>
        <w:gridCol w:w="993"/>
        <w:gridCol w:w="708"/>
        <w:gridCol w:w="634"/>
        <w:gridCol w:w="960"/>
        <w:gridCol w:w="1100"/>
        <w:gridCol w:w="992"/>
        <w:gridCol w:w="709"/>
      </w:tblGrid>
      <w:tr w:rsidR="00E65E42" w:rsidRPr="00D403F5" w14:paraId="3EB466AE" w14:textId="77777777" w:rsidTr="00E65E42">
        <w:trPr>
          <w:trHeight w:val="402"/>
          <w:tblHeader/>
          <w:jc w:val="center"/>
        </w:trPr>
        <w:tc>
          <w:tcPr>
            <w:tcW w:w="2399" w:type="dxa"/>
            <w:vMerge w:val="restart"/>
            <w:tcBorders>
              <w:top w:val="single" w:sz="6" w:space="0" w:color="auto"/>
              <w:left w:val="single" w:sz="6" w:space="0" w:color="auto"/>
            </w:tcBorders>
            <w:vAlign w:val="center"/>
          </w:tcPr>
          <w:p w14:paraId="0DCCB82A"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Method</w:t>
            </w:r>
          </w:p>
        </w:tc>
        <w:tc>
          <w:tcPr>
            <w:tcW w:w="3547" w:type="dxa"/>
            <w:gridSpan w:val="4"/>
            <w:tcBorders>
              <w:top w:val="single" w:sz="6" w:space="0" w:color="auto"/>
              <w:left w:val="single" w:sz="6" w:space="0" w:color="auto"/>
              <w:bottom w:val="single" w:sz="4" w:space="0" w:color="auto"/>
              <w:right w:val="single" w:sz="6" w:space="0" w:color="auto"/>
            </w:tcBorders>
          </w:tcPr>
          <w:p w14:paraId="01C1D1B8" w14:textId="77777777" w:rsidR="00E65E42" w:rsidRPr="00D403F5" w:rsidRDefault="00E65E42" w:rsidP="00562F64">
            <w:pPr>
              <w:numPr>
                <w:ilvl w:val="0"/>
                <w:numId w:val="36"/>
              </w:numPr>
              <w:spacing w:after="0" w:line="240" w:lineRule="auto"/>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Surveillance of apparently healthy animals</w:t>
            </w:r>
          </w:p>
        </w:tc>
        <w:tc>
          <w:tcPr>
            <w:tcW w:w="3185" w:type="dxa"/>
            <w:gridSpan w:val="4"/>
            <w:tcBorders>
              <w:top w:val="single" w:sz="6" w:space="0" w:color="auto"/>
              <w:left w:val="single" w:sz="6" w:space="0" w:color="auto"/>
            </w:tcBorders>
          </w:tcPr>
          <w:p w14:paraId="039724A3" w14:textId="77777777" w:rsidR="00E65E42" w:rsidRPr="00D403F5" w:rsidRDefault="00E65E42" w:rsidP="00562F64">
            <w:pPr>
              <w:numPr>
                <w:ilvl w:val="0"/>
                <w:numId w:val="36"/>
              </w:num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Presumptive diagnosis of clinically affected animals</w:t>
            </w:r>
          </w:p>
        </w:tc>
        <w:tc>
          <w:tcPr>
            <w:tcW w:w="3761" w:type="dxa"/>
            <w:gridSpan w:val="4"/>
            <w:tcBorders>
              <w:top w:val="single" w:sz="6" w:space="0" w:color="auto"/>
              <w:left w:val="single" w:sz="6" w:space="0" w:color="auto"/>
              <w:right w:val="single" w:sz="6" w:space="0" w:color="auto"/>
            </w:tcBorders>
          </w:tcPr>
          <w:p w14:paraId="58653BCF" w14:textId="77777777" w:rsidR="00E65E42" w:rsidRPr="00D403F5" w:rsidRDefault="00E65E42" w:rsidP="00562F64">
            <w:pPr>
              <w:numPr>
                <w:ilvl w:val="0"/>
                <w:numId w:val="36"/>
              </w:num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Confirmatory diagnosis</w:t>
            </w:r>
            <w:r w:rsidRPr="00D403F5">
              <w:rPr>
                <w:rFonts w:ascii="Arial" w:eastAsia="Times New Roman" w:hAnsi="Arial" w:cs="Arial"/>
                <w:b/>
                <w:bCs/>
                <w:sz w:val="18"/>
                <w:szCs w:val="18"/>
                <w:vertAlign w:val="superscript"/>
                <w:lang w:val="en-IE" w:bidi="en-US"/>
              </w:rPr>
              <w:t>1</w:t>
            </w:r>
            <w:r w:rsidRPr="00D403F5">
              <w:rPr>
                <w:rFonts w:ascii="Arial" w:eastAsia="Times New Roman" w:hAnsi="Arial" w:cs="Arial"/>
                <w:b/>
                <w:bCs/>
                <w:sz w:val="18"/>
                <w:szCs w:val="18"/>
                <w:lang w:val="en-IE" w:bidi="en-US"/>
              </w:rPr>
              <w:t xml:space="preserve"> of a suspect result </w:t>
            </w:r>
            <w:r w:rsidRPr="00D403F5">
              <w:rPr>
                <w:rFonts w:ascii="Arial" w:eastAsia="Times New Roman" w:hAnsi="Arial" w:cs="Times New Roman"/>
                <w:b/>
                <w:bCs/>
                <w:sz w:val="18"/>
                <w:szCs w:val="18"/>
                <w:lang w:val="en-IE" w:bidi="en-US"/>
              </w:rPr>
              <w:t>from surveillance or presumptive diagnosis</w:t>
            </w:r>
          </w:p>
        </w:tc>
      </w:tr>
      <w:tr w:rsidR="00E65E42" w:rsidRPr="00D403F5" w14:paraId="409818E0" w14:textId="77777777" w:rsidTr="00E65E42">
        <w:trPr>
          <w:trHeight w:val="402"/>
          <w:tblHeader/>
          <w:jc w:val="center"/>
        </w:trPr>
        <w:tc>
          <w:tcPr>
            <w:tcW w:w="2399" w:type="dxa"/>
            <w:vMerge/>
            <w:tcBorders>
              <w:left w:val="single" w:sz="6" w:space="0" w:color="auto"/>
            </w:tcBorders>
            <w:vAlign w:val="center"/>
          </w:tcPr>
          <w:p w14:paraId="29D400BF"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p>
        </w:tc>
        <w:tc>
          <w:tcPr>
            <w:tcW w:w="995" w:type="dxa"/>
            <w:tcBorders>
              <w:top w:val="single" w:sz="4" w:space="0" w:color="auto"/>
              <w:left w:val="single" w:sz="6" w:space="0" w:color="auto"/>
              <w:bottom w:val="single" w:sz="6" w:space="0" w:color="auto"/>
            </w:tcBorders>
            <w:vAlign w:val="center"/>
          </w:tcPr>
          <w:p w14:paraId="452D6991" w14:textId="77777777" w:rsidR="00E65E42" w:rsidRPr="005A09D6" w:rsidRDefault="00E65E42" w:rsidP="00E65E42">
            <w:pPr>
              <w:spacing w:after="0" w:line="240" w:lineRule="auto"/>
              <w:jc w:val="center"/>
              <w:rPr>
                <w:rFonts w:ascii="Arial" w:eastAsia="Times New Roman" w:hAnsi="Arial" w:cs="Arial"/>
                <w:b/>
                <w:bCs/>
                <w:sz w:val="16"/>
                <w:szCs w:val="16"/>
                <w:lang w:val="en-IE" w:bidi="en-US"/>
              </w:rPr>
            </w:pPr>
            <w:r w:rsidRPr="005A09D6">
              <w:rPr>
                <w:rFonts w:ascii="Arial" w:eastAsia="Times New Roman" w:hAnsi="Arial" w:cs="Arial"/>
                <w:b/>
                <w:bCs/>
                <w:sz w:val="16"/>
                <w:szCs w:val="16"/>
                <w:lang w:val="en-IE" w:bidi="en-US"/>
              </w:rPr>
              <w:t>Early life stages</w:t>
            </w:r>
            <w:r w:rsidRPr="005A09D6">
              <w:rPr>
                <w:rFonts w:ascii="Arial" w:eastAsia="Times New Roman" w:hAnsi="Arial" w:cs="Arial"/>
                <w:b/>
                <w:bCs/>
                <w:sz w:val="16"/>
                <w:szCs w:val="16"/>
                <w:vertAlign w:val="superscript"/>
                <w:lang w:val="en-IE" w:bidi="en-US"/>
              </w:rPr>
              <w:t>2</w:t>
            </w:r>
          </w:p>
        </w:tc>
        <w:tc>
          <w:tcPr>
            <w:tcW w:w="993" w:type="dxa"/>
            <w:tcBorders>
              <w:top w:val="single" w:sz="4" w:space="0" w:color="auto"/>
              <w:left w:val="single" w:sz="6" w:space="0" w:color="auto"/>
              <w:bottom w:val="single" w:sz="6" w:space="0" w:color="auto"/>
            </w:tcBorders>
            <w:vAlign w:val="center"/>
          </w:tcPr>
          <w:p w14:paraId="7A37B2C5" w14:textId="77777777" w:rsidR="00E65E42" w:rsidRPr="005A09D6" w:rsidRDefault="00E65E42" w:rsidP="00E65E42">
            <w:pPr>
              <w:spacing w:after="0" w:line="240" w:lineRule="auto"/>
              <w:jc w:val="center"/>
              <w:rPr>
                <w:rFonts w:ascii="Arial" w:eastAsia="Times New Roman" w:hAnsi="Arial" w:cs="Arial"/>
                <w:b/>
                <w:bCs/>
                <w:sz w:val="16"/>
                <w:szCs w:val="16"/>
                <w:lang w:val="en-IE" w:bidi="en-US"/>
              </w:rPr>
            </w:pPr>
            <w:r w:rsidRPr="005A09D6">
              <w:rPr>
                <w:rFonts w:ascii="Arial" w:eastAsia="Times New Roman" w:hAnsi="Arial" w:cs="Arial"/>
                <w:b/>
                <w:bCs/>
                <w:sz w:val="16"/>
                <w:szCs w:val="16"/>
                <w:lang w:val="en-IE" w:bidi="en-US"/>
              </w:rPr>
              <w:t>Juveniles</w:t>
            </w:r>
            <w:r w:rsidRPr="005A09D6">
              <w:rPr>
                <w:rFonts w:ascii="Arial" w:eastAsia="Times New Roman" w:hAnsi="Arial" w:cs="Arial"/>
                <w:b/>
                <w:bCs/>
                <w:sz w:val="16"/>
                <w:szCs w:val="16"/>
                <w:vertAlign w:val="superscript"/>
                <w:lang w:val="en-IE" w:bidi="en-US"/>
              </w:rPr>
              <w:t>2</w:t>
            </w:r>
          </w:p>
        </w:tc>
        <w:tc>
          <w:tcPr>
            <w:tcW w:w="850" w:type="dxa"/>
            <w:tcBorders>
              <w:top w:val="single" w:sz="4" w:space="0" w:color="auto"/>
              <w:left w:val="single" w:sz="6" w:space="0" w:color="auto"/>
              <w:bottom w:val="single" w:sz="6" w:space="0" w:color="auto"/>
            </w:tcBorders>
            <w:vAlign w:val="center"/>
          </w:tcPr>
          <w:p w14:paraId="45D21A44" w14:textId="77777777" w:rsidR="00E65E42" w:rsidRPr="005A09D6" w:rsidRDefault="00E65E42" w:rsidP="00E65E42">
            <w:pPr>
              <w:spacing w:after="0" w:line="240" w:lineRule="auto"/>
              <w:jc w:val="center"/>
              <w:rPr>
                <w:rFonts w:ascii="Arial" w:eastAsia="Times New Roman" w:hAnsi="Arial" w:cs="Arial"/>
                <w:b/>
                <w:bCs/>
                <w:sz w:val="16"/>
                <w:szCs w:val="16"/>
                <w:lang w:val="en-IE" w:bidi="en-US"/>
              </w:rPr>
            </w:pPr>
            <w:r w:rsidRPr="005A09D6">
              <w:rPr>
                <w:rFonts w:ascii="Arial" w:eastAsia="Times New Roman" w:hAnsi="Arial" w:cs="Arial"/>
                <w:b/>
                <w:bCs/>
                <w:sz w:val="16"/>
                <w:szCs w:val="16"/>
                <w:lang w:val="en-IE" w:bidi="en-US"/>
              </w:rPr>
              <w:t>Adults</w:t>
            </w:r>
          </w:p>
        </w:tc>
        <w:tc>
          <w:tcPr>
            <w:tcW w:w="709" w:type="dxa"/>
            <w:tcBorders>
              <w:top w:val="single" w:sz="4" w:space="0" w:color="auto"/>
              <w:left w:val="single" w:sz="6" w:space="0" w:color="auto"/>
              <w:bottom w:val="single" w:sz="6" w:space="0" w:color="auto"/>
              <w:right w:val="single" w:sz="6" w:space="0" w:color="auto"/>
            </w:tcBorders>
            <w:vAlign w:val="center"/>
          </w:tcPr>
          <w:p w14:paraId="28466F5B" w14:textId="77777777" w:rsidR="00E65E42" w:rsidRPr="005A09D6" w:rsidRDefault="00E65E42" w:rsidP="00E65E42">
            <w:pPr>
              <w:spacing w:after="0" w:line="240" w:lineRule="auto"/>
              <w:jc w:val="center"/>
              <w:rPr>
                <w:rFonts w:ascii="Arial" w:eastAsia="Times New Roman" w:hAnsi="Arial" w:cs="Arial"/>
                <w:b/>
                <w:bCs/>
                <w:sz w:val="16"/>
                <w:szCs w:val="16"/>
                <w:lang w:val="en-IE" w:bidi="en-US"/>
              </w:rPr>
            </w:pPr>
            <w:r w:rsidRPr="005A09D6">
              <w:rPr>
                <w:rFonts w:ascii="Arial" w:eastAsia="Times New Roman" w:hAnsi="Arial" w:cs="Arial"/>
                <w:b/>
                <w:bCs/>
                <w:sz w:val="16"/>
                <w:szCs w:val="16"/>
                <w:lang w:val="en-IE" w:bidi="en-US"/>
              </w:rPr>
              <w:t>LV</w:t>
            </w:r>
          </w:p>
        </w:tc>
        <w:tc>
          <w:tcPr>
            <w:tcW w:w="850" w:type="dxa"/>
            <w:tcBorders>
              <w:top w:val="single" w:sz="6" w:space="0" w:color="auto"/>
              <w:left w:val="single" w:sz="6" w:space="0" w:color="auto"/>
              <w:bottom w:val="single" w:sz="6" w:space="0" w:color="auto"/>
            </w:tcBorders>
            <w:vAlign w:val="center"/>
          </w:tcPr>
          <w:p w14:paraId="312AC8EE" w14:textId="77777777" w:rsidR="00E65E42" w:rsidRPr="005A09D6" w:rsidRDefault="00E65E42" w:rsidP="00E65E42">
            <w:pPr>
              <w:spacing w:after="0" w:line="240" w:lineRule="auto"/>
              <w:jc w:val="center"/>
              <w:rPr>
                <w:rFonts w:ascii="Arial" w:eastAsia="Times New Roman" w:hAnsi="Arial" w:cs="Arial"/>
                <w:b/>
                <w:bCs/>
                <w:sz w:val="16"/>
                <w:szCs w:val="16"/>
                <w:lang w:val="en-IE" w:bidi="en-US"/>
              </w:rPr>
            </w:pPr>
            <w:r w:rsidRPr="005A09D6">
              <w:rPr>
                <w:rFonts w:ascii="Arial" w:eastAsia="Times New Roman" w:hAnsi="Arial" w:cs="Arial"/>
                <w:b/>
                <w:bCs/>
                <w:sz w:val="16"/>
                <w:szCs w:val="16"/>
                <w:lang w:val="en-US" w:bidi="en-US"/>
              </w:rPr>
              <w:t>Early life stages</w:t>
            </w:r>
            <w:r w:rsidRPr="005A09D6">
              <w:rPr>
                <w:rFonts w:ascii="Arial" w:eastAsia="Times New Roman" w:hAnsi="Arial" w:cs="Arial"/>
                <w:b/>
                <w:bCs/>
                <w:sz w:val="16"/>
                <w:szCs w:val="16"/>
                <w:vertAlign w:val="superscript"/>
                <w:lang w:val="en-US" w:bidi="en-US"/>
              </w:rPr>
              <w:t>2</w:t>
            </w:r>
          </w:p>
        </w:tc>
        <w:tc>
          <w:tcPr>
            <w:tcW w:w="993" w:type="dxa"/>
            <w:tcBorders>
              <w:top w:val="single" w:sz="6" w:space="0" w:color="auto"/>
              <w:left w:val="single" w:sz="6" w:space="0" w:color="auto"/>
              <w:bottom w:val="single" w:sz="6" w:space="0" w:color="auto"/>
            </w:tcBorders>
            <w:vAlign w:val="center"/>
          </w:tcPr>
          <w:p w14:paraId="516B2841" w14:textId="77777777" w:rsidR="00E65E42" w:rsidRPr="005A09D6" w:rsidRDefault="00E65E42" w:rsidP="00E65E42">
            <w:pPr>
              <w:spacing w:after="0" w:line="240" w:lineRule="auto"/>
              <w:jc w:val="center"/>
              <w:rPr>
                <w:rFonts w:ascii="Arial" w:eastAsia="Times New Roman" w:hAnsi="Arial" w:cs="Arial"/>
                <w:b/>
                <w:bCs/>
                <w:sz w:val="16"/>
                <w:szCs w:val="16"/>
                <w:lang w:val="en-IE" w:bidi="en-US"/>
              </w:rPr>
            </w:pPr>
            <w:r w:rsidRPr="005A09D6">
              <w:rPr>
                <w:rFonts w:ascii="Arial" w:eastAsia="Times New Roman" w:hAnsi="Arial" w:cs="Arial"/>
                <w:b/>
                <w:bCs/>
                <w:sz w:val="16"/>
                <w:szCs w:val="16"/>
                <w:lang w:val="en-IE" w:bidi="en-US"/>
              </w:rPr>
              <w:t>Juveniles</w:t>
            </w:r>
            <w:r w:rsidRPr="005A09D6">
              <w:rPr>
                <w:rFonts w:ascii="Arial" w:eastAsia="Times New Roman" w:hAnsi="Arial" w:cs="Arial"/>
                <w:b/>
                <w:bCs/>
                <w:sz w:val="16"/>
                <w:szCs w:val="16"/>
                <w:vertAlign w:val="superscript"/>
                <w:lang w:val="en-US" w:bidi="en-US"/>
              </w:rPr>
              <w:t>2</w:t>
            </w:r>
          </w:p>
        </w:tc>
        <w:tc>
          <w:tcPr>
            <w:tcW w:w="708" w:type="dxa"/>
            <w:tcBorders>
              <w:top w:val="single" w:sz="6" w:space="0" w:color="auto"/>
              <w:left w:val="single" w:sz="6" w:space="0" w:color="auto"/>
              <w:bottom w:val="single" w:sz="6" w:space="0" w:color="auto"/>
            </w:tcBorders>
            <w:vAlign w:val="center"/>
          </w:tcPr>
          <w:p w14:paraId="16F41EA2" w14:textId="77777777" w:rsidR="00E65E42" w:rsidRPr="005A09D6" w:rsidRDefault="00E65E42" w:rsidP="00E65E42">
            <w:pPr>
              <w:spacing w:after="0" w:line="240" w:lineRule="auto"/>
              <w:jc w:val="center"/>
              <w:rPr>
                <w:rFonts w:ascii="Arial" w:eastAsia="Times New Roman" w:hAnsi="Arial" w:cs="Arial"/>
                <w:b/>
                <w:bCs/>
                <w:sz w:val="16"/>
                <w:szCs w:val="16"/>
                <w:lang w:val="en-IE" w:bidi="en-US"/>
              </w:rPr>
            </w:pPr>
            <w:r w:rsidRPr="005A09D6">
              <w:rPr>
                <w:rFonts w:ascii="Arial" w:eastAsia="Times New Roman" w:hAnsi="Arial" w:cs="Arial"/>
                <w:b/>
                <w:bCs/>
                <w:sz w:val="16"/>
                <w:szCs w:val="16"/>
                <w:lang w:val="en-IE" w:bidi="en-US"/>
              </w:rPr>
              <w:t>Adults</w:t>
            </w:r>
          </w:p>
        </w:tc>
        <w:tc>
          <w:tcPr>
            <w:tcW w:w="634" w:type="dxa"/>
            <w:tcBorders>
              <w:top w:val="single" w:sz="4" w:space="0" w:color="auto"/>
              <w:left w:val="single" w:sz="6" w:space="0" w:color="auto"/>
              <w:bottom w:val="single" w:sz="6" w:space="0" w:color="auto"/>
              <w:right w:val="single" w:sz="6" w:space="0" w:color="auto"/>
            </w:tcBorders>
            <w:vAlign w:val="center"/>
          </w:tcPr>
          <w:p w14:paraId="2E47D83D" w14:textId="77777777" w:rsidR="00E65E42" w:rsidRPr="005A09D6" w:rsidRDefault="00E65E42" w:rsidP="00E65E42">
            <w:pPr>
              <w:spacing w:after="0" w:line="240" w:lineRule="auto"/>
              <w:jc w:val="center"/>
              <w:rPr>
                <w:rFonts w:ascii="Arial" w:eastAsia="Times New Roman" w:hAnsi="Arial" w:cs="Arial"/>
                <w:b/>
                <w:bCs/>
                <w:sz w:val="16"/>
                <w:szCs w:val="16"/>
                <w:lang w:val="en-IE" w:bidi="en-US"/>
              </w:rPr>
            </w:pPr>
            <w:r w:rsidRPr="005A09D6">
              <w:rPr>
                <w:rFonts w:ascii="Arial" w:eastAsia="Times New Roman" w:hAnsi="Arial" w:cs="Arial"/>
                <w:b/>
                <w:bCs/>
                <w:sz w:val="16"/>
                <w:szCs w:val="16"/>
                <w:lang w:val="en-IE" w:bidi="en-US"/>
              </w:rPr>
              <w:t>LV</w:t>
            </w:r>
          </w:p>
        </w:tc>
        <w:tc>
          <w:tcPr>
            <w:tcW w:w="960" w:type="dxa"/>
            <w:tcBorders>
              <w:top w:val="single" w:sz="4" w:space="0" w:color="auto"/>
              <w:left w:val="single" w:sz="6" w:space="0" w:color="auto"/>
              <w:bottom w:val="single" w:sz="6" w:space="0" w:color="auto"/>
              <w:right w:val="single" w:sz="6" w:space="0" w:color="auto"/>
            </w:tcBorders>
            <w:vAlign w:val="center"/>
          </w:tcPr>
          <w:p w14:paraId="153F5628" w14:textId="77777777" w:rsidR="00E65E42" w:rsidRPr="005A09D6" w:rsidRDefault="00E65E42" w:rsidP="00E65E42">
            <w:pPr>
              <w:spacing w:after="0" w:line="240" w:lineRule="auto"/>
              <w:jc w:val="center"/>
              <w:rPr>
                <w:rFonts w:ascii="Arial" w:eastAsia="Times New Roman" w:hAnsi="Arial" w:cs="Arial"/>
                <w:b/>
                <w:bCs/>
                <w:sz w:val="16"/>
                <w:szCs w:val="16"/>
                <w:lang w:val="en-IE" w:bidi="en-US"/>
              </w:rPr>
            </w:pPr>
            <w:r w:rsidRPr="005A09D6">
              <w:rPr>
                <w:rFonts w:ascii="Arial" w:eastAsia="Times New Roman" w:hAnsi="Arial" w:cs="Arial"/>
                <w:b/>
                <w:bCs/>
                <w:sz w:val="16"/>
                <w:szCs w:val="16"/>
                <w:lang w:val="en-US" w:bidi="en-US"/>
              </w:rPr>
              <w:t>Early life stages</w:t>
            </w:r>
            <w:r w:rsidRPr="005A09D6">
              <w:rPr>
                <w:rFonts w:ascii="Arial" w:eastAsia="Times New Roman" w:hAnsi="Arial" w:cs="Arial"/>
                <w:b/>
                <w:bCs/>
                <w:sz w:val="16"/>
                <w:szCs w:val="16"/>
                <w:vertAlign w:val="superscript"/>
                <w:lang w:val="en-US" w:bidi="en-US"/>
              </w:rPr>
              <w:t>2</w:t>
            </w:r>
          </w:p>
        </w:tc>
        <w:tc>
          <w:tcPr>
            <w:tcW w:w="1100" w:type="dxa"/>
            <w:tcBorders>
              <w:top w:val="single" w:sz="4" w:space="0" w:color="auto"/>
              <w:left w:val="single" w:sz="6" w:space="0" w:color="auto"/>
              <w:bottom w:val="single" w:sz="6" w:space="0" w:color="auto"/>
              <w:right w:val="single" w:sz="6" w:space="0" w:color="auto"/>
            </w:tcBorders>
            <w:vAlign w:val="center"/>
          </w:tcPr>
          <w:p w14:paraId="39D906A3" w14:textId="77777777" w:rsidR="00E65E42" w:rsidRPr="005A09D6" w:rsidRDefault="00E65E42" w:rsidP="00E65E42">
            <w:pPr>
              <w:spacing w:after="0" w:line="240" w:lineRule="auto"/>
              <w:jc w:val="center"/>
              <w:rPr>
                <w:rFonts w:ascii="Arial" w:eastAsia="Times New Roman" w:hAnsi="Arial" w:cs="Arial"/>
                <w:b/>
                <w:bCs/>
                <w:sz w:val="16"/>
                <w:szCs w:val="16"/>
                <w:lang w:val="en-IE" w:bidi="en-US"/>
              </w:rPr>
            </w:pPr>
            <w:r w:rsidRPr="005A09D6">
              <w:rPr>
                <w:rFonts w:ascii="Arial" w:eastAsia="Times New Roman" w:hAnsi="Arial" w:cs="Arial"/>
                <w:b/>
                <w:bCs/>
                <w:sz w:val="16"/>
                <w:szCs w:val="16"/>
                <w:lang w:val="en-IE" w:bidi="en-US"/>
              </w:rPr>
              <w:t>Juveniles</w:t>
            </w:r>
            <w:r w:rsidRPr="005A09D6">
              <w:rPr>
                <w:rFonts w:ascii="Arial" w:eastAsia="Times New Roman" w:hAnsi="Arial" w:cs="Arial"/>
                <w:b/>
                <w:bCs/>
                <w:sz w:val="16"/>
                <w:szCs w:val="16"/>
                <w:vertAlign w:val="superscript"/>
                <w:lang w:val="en-US" w:bidi="en-US"/>
              </w:rPr>
              <w:t>2</w:t>
            </w:r>
          </w:p>
        </w:tc>
        <w:tc>
          <w:tcPr>
            <w:tcW w:w="992" w:type="dxa"/>
            <w:tcBorders>
              <w:top w:val="single" w:sz="4" w:space="0" w:color="auto"/>
              <w:left w:val="single" w:sz="6" w:space="0" w:color="auto"/>
              <w:bottom w:val="single" w:sz="6" w:space="0" w:color="auto"/>
            </w:tcBorders>
            <w:vAlign w:val="center"/>
          </w:tcPr>
          <w:p w14:paraId="55E06757" w14:textId="77777777" w:rsidR="00E65E42" w:rsidRPr="005A09D6" w:rsidRDefault="00E65E42" w:rsidP="00E65E42">
            <w:pPr>
              <w:spacing w:after="0" w:line="240" w:lineRule="auto"/>
              <w:jc w:val="center"/>
              <w:rPr>
                <w:rFonts w:ascii="Arial" w:eastAsia="Times New Roman" w:hAnsi="Arial" w:cs="Arial"/>
                <w:b/>
                <w:bCs/>
                <w:sz w:val="16"/>
                <w:szCs w:val="16"/>
                <w:lang w:val="en-IE" w:bidi="en-US"/>
              </w:rPr>
            </w:pPr>
            <w:r w:rsidRPr="005A09D6">
              <w:rPr>
                <w:rFonts w:ascii="Arial" w:eastAsia="Times New Roman" w:hAnsi="Arial" w:cs="Arial"/>
                <w:b/>
                <w:bCs/>
                <w:sz w:val="16"/>
                <w:szCs w:val="16"/>
                <w:lang w:val="en-IE" w:bidi="en-US"/>
              </w:rPr>
              <w:t>Adults</w:t>
            </w:r>
          </w:p>
        </w:tc>
        <w:tc>
          <w:tcPr>
            <w:tcW w:w="709" w:type="dxa"/>
            <w:tcBorders>
              <w:top w:val="single" w:sz="4" w:space="0" w:color="auto"/>
              <w:left w:val="single" w:sz="6" w:space="0" w:color="auto"/>
              <w:bottom w:val="single" w:sz="6" w:space="0" w:color="auto"/>
              <w:right w:val="single" w:sz="6" w:space="0" w:color="auto"/>
            </w:tcBorders>
            <w:vAlign w:val="center"/>
          </w:tcPr>
          <w:p w14:paraId="1CE9636D" w14:textId="77777777" w:rsidR="00E65E42" w:rsidRPr="005A09D6" w:rsidRDefault="00E65E42" w:rsidP="00E65E42">
            <w:pPr>
              <w:spacing w:after="0" w:line="240" w:lineRule="auto"/>
              <w:jc w:val="center"/>
              <w:rPr>
                <w:rFonts w:ascii="Arial" w:eastAsia="Times New Roman" w:hAnsi="Arial" w:cs="Arial"/>
                <w:b/>
                <w:bCs/>
                <w:sz w:val="16"/>
                <w:szCs w:val="16"/>
                <w:lang w:val="en-IE" w:bidi="en-US"/>
              </w:rPr>
            </w:pPr>
            <w:r w:rsidRPr="005A09D6">
              <w:rPr>
                <w:rFonts w:ascii="Arial" w:eastAsia="Times New Roman" w:hAnsi="Arial" w:cs="Arial"/>
                <w:b/>
                <w:bCs/>
                <w:sz w:val="16"/>
                <w:szCs w:val="16"/>
                <w:lang w:val="en-IE" w:bidi="en-US"/>
              </w:rPr>
              <w:t>LV</w:t>
            </w:r>
          </w:p>
        </w:tc>
      </w:tr>
      <w:tr w:rsidR="00E65E42" w:rsidRPr="00D403F5" w14:paraId="407D52DF" w14:textId="77777777" w:rsidTr="00E65E42">
        <w:trPr>
          <w:trHeight w:val="340"/>
          <w:jc w:val="center"/>
        </w:trPr>
        <w:tc>
          <w:tcPr>
            <w:tcW w:w="2399" w:type="dxa"/>
            <w:tcBorders>
              <w:top w:val="single" w:sz="6" w:space="0" w:color="auto"/>
              <w:left w:val="single" w:sz="6" w:space="0" w:color="auto"/>
            </w:tcBorders>
            <w:vAlign w:val="center"/>
          </w:tcPr>
          <w:p w14:paraId="25FF1FC5"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Wet mounts</w:t>
            </w:r>
          </w:p>
        </w:tc>
        <w:tc>
          <w:tcPr>
            <w:tcW w:w="995" w:type="dxa"/>
            <w:tcBorders>
              <w:top w:val="single" w:sz="6" w:space="0" w:color="auto"/>
              <w:left w:val="single" w:sz="6" w:space="0" w:color="auto"/>
              <w:bottom w:val="single" w:sz="6" w:space="0" w:color="auto"/>
            </w:tcBorders>
            <w:shd w:val="pct15" w:color="auto" w:fill="auto"/>
            <w:vAlign w:val="center"/>
          </w:tcPr>
          <w:p w14:paraId="47728C9A"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1088C717"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6A4A7A58"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46447CA0"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4C6DED3A"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3032A183"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216AF775"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1FA40751"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72B970A9"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1100" w:type="dxa"/>
            <w:tcBorders>
              <w:top w:val="single" w:sz="6" w:space="0" w:color="auto"/>
              <w:left w:val="single" w:sz="6" w:space="0" w:color="auto"/>
              <w:bottom w:val="single" w:sz="6" w:space="0" w:color="auto"/>
              <w:right w:val="single" w:sz="6" w:space="0" w:color="auto"/>
            </w:tcBorders>
            <w:shd w:val="pct15" w:color="auto" w:fill="auto"/>
            <w:vAlign w:val="center"/>
          </w:tcPr>
          <w:p w14:paraId="4F23F31D"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14:paraId="313272C8"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776A34ED"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r>
      <w:tr w:rsidR="00E65E42" w:rsidRPr="00D403F5" w14:paraId="4D8D7D05" w14:textId="77777777" w:rsidTr="00E65E42">
        <w:trPr>
          <w:trHeight w:val="324"/>
          <w:jc w:val="center"/>
        </w:trPr>
        <w:tc>
          <w:tcPr>
            <w:tcW w:w="2399" w:type="dxa"/>
            <w:tcBorders>
              <w:top w:val="single" w:sz="6" w:space="0" w:color="auto"/>
              <w:left w:val="single" w:sz="6" w:space="0" w:color="auto"/>
            </w:tcBorders>
            <w:vAlign w:val="center"/>
          </w:tcPr>
          <w:p w14:paraId="22E108B5"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Immunohistopathology</w:t>
            </w:r>
            <w:r w:rsidRPr="00D403F5">
              <w:rPr>
                <w:rFonts w:ascii="Arial" w:eastAsia="Times New Roman" w:hAnsi="Arial" w:cs="Arial"/>
                <w:b/>
                <w:bCs/>
                <w:sz w:val="18"/>
                <w:szCs w:val="18"/>
                <w:vertAlign w:val="superscript"/>
                <w:lang w:val="en-IE" w:bidi="en-US"/>
              </w:rPr>
              <w:t>3</w:t>
            </w:r>
          </w:p>
        </w:tc>
        <w:tc>
          <w:tcPr>
            <w:tcW w:w="995" w:type="dxa"/>
            <w:tcBorders>
              <w:top w:val="single" w:sz="6" w:space="0" w:color="auto"/>
              <w:left w:val="single" w:sz="6" w:space="0" w:color="auto"/>
              <w:bottom w:val="single" w:sz="6" w:space="0" w:color="auto"/>
            </w:tcBorders>
            <w:shd w:val="pct15" w:color="auto" w:fill="auto"/>
            <w:vAlign w:val="center"/>
          </w:tcPr>
          <w:p w14:paraId="2E17DD79"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64983D00"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3F69253B"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3FC6286B"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30095E80"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727B0EDE"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75F64797"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04257042"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right w:val="single" w:sz="6" w:space="0" w:color="auto"/>
            </w:tcBorders>
            <w:vAlign w:val="center"/>
          </w:tcPr>
          <w:p w14:paraId="2B5045F5"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1100" w:type="dxa"/>
            <w:tcBorders>
              <w:top w:val="single" w:sz="6" w:space="0" w:color="auto"/>
              <w:left w:val="single" w:sz="6" w:space="0" w:color="auto"/>
              <w:right w:val="single" w:sz="6" w:space="0" w:color="auto"/>
            </w:tcBorders>
            <w:vAlign w:val="center"/>
          </w:tcPr>
          <w:p w14:paraId="41988166" w14:textId="77777777" w:rsidR="00E65E42" w:rsidRPr="007F3992" w:rsidRDefault="00E65E42" w:rsidP="00E65E42">
            <w:pPr>
              <w:spacing w:after="0" w:line="240" w:lineRule="auto"/>
              <w:jc w:val="center"/>
              <w:rPr>
                <w:rFonts w:ascii="Arial" w:eastAsia="Times New Roman" w:hAnsi="Arial" w:cs="Arial"/>
                <w:bCs/>
                <w:sz w:val="18"/>
                <w:szCs w:val="18"/>
                <w:lang w:val="en-IE" w:bidi="en-US"/>
              </w:rPr>
            </w:pPr>
            <w:r w:rsidRPr="007F3992">
              <w:rPr>
                <w:rFonts w:ascii="Arial" w:eastAsia="Times New Roman" w:hAnsi="Arial" w:cs="Arial"/>
                <w:bCs/>
                <w:strike/>
                <w:sz w:val="18"/>
                <w:szCs w:val="18"/>
                <w:highlight w:val="yellow"/>
                <w:lang w:val="en-IE" w:bidi="en-US"/>
              </w:rPr>
              <w:t>2</w:t>
            </w:r>
            <w:r>
              <w:rPr>
                <w:rFonts w:ascii="Arial" w:eastAsia="Times New Roman" w:hAnsi="Arial" w:cs="Arial"/>
                <w:bCs/>
                <w:strike/>
                <w:sz w:val="18"/>
                <w:szCs w:val="18"/>
                <w:highlight w:val="yellow"/>
                <w:lang w:val="en-IE" w:bidi="en-US"/>
              </w:rPr>
              <w:t xml:space="preserve"> </w:t>
            </w:r>
            <w:r w:rsidRPr="007F3992">
              <w:rPr>
                <w:rFonts w:ascii="Arial" w:eastAsia="Times New Roman" w:hAnsi="Arial" w:cs="Arial"/>
                <w:bCs/>
                <w:sz w:val="18"/>
                <w:szCs w:val="18"/>
                <w:highlight w:val="yellow"/>
                <w:u w:val="double"/>
                <w:lang w:val="en-IE" w:bidi="en-US"/>
              </w:rPr>
              <w:t>++</w:t>
            </w:r>
          </w:p>
        </w:tc>
        <w:tc>
          <w:tcPr>
            <w:tcW w:w="992" w:type="dxa"/>
            <w:tcBorders>
              <w:top w:val="single" w:sz="6" w:space="0" w:color="auto"/>
              <w:left w:val="single" w:sz="6" w:space="0" w:color="auto"/>
            </w:tcBorders>
            <w:vAlign w:val="center"/>
          </w:tcPr>
          <w:p w14:paraId="12A90524" w14:textId="77777777" w:rsidR="00E65E42" w:rsidRPr="007F3992" w:rsidRDefault="00E65E42" w:rsidP="00E65E42">
            <w:pPr>
              <w:spacing w:after="0" w:line="240" w:lineRule="auto"/>
              <w:jc w:val="center"/>
              <w:rPr>
                <w:rFonts w:ascii="Arial" w:eastAsia="Times New Roman" w:hAnsi="Arial" w:cs="Arial"/>
                <w:bCs/>
                <w:sz w:val="18"/>
                <w:szCs w:val="18"/>
                <w:lang w:val="en-IE" w:bidi="en-US"/>
              </w:rPr>
            </w:pPr>
            <w:r w:rsidRPr="007F3992">
              <w:rPr>
                <w:rFonts w:ascii="Arial" w:eastAsia="Times New Roman" w:hAnsi="Arial" w:cs="Arial"/>
                <w:bCs/>
                <w:strike/>
                <w:sz w:val="18"/>
                <w:szCs w:val="18"/>
                <w:highlight w:val="yellow"/>
                <w:lang w:val="en-IE" w:bidi="en-US"/>
              </w:rPr>
              <w:t>2</w:t>
            </w:r>
            <w:r>
              <w:rPr>
                <w:rFonts w:ascii="Arial" w:eastAsia="Times New Roman" w:hAnsi="Arial" w:cs="Arial"/>
                <w:bCs/>
                <w:strike/>
                <w:sz w:val="18"/>
                <w:szCs w:val="18"/>
                <w:highlight w:val="yellow"/>
                <w:lang w:val="en-IE" w:bidi="en-US"/>
              </w:rPr>
              <w:t xml:space="preserve"> </w:t>
            </w:r>
            <w:r w:rsidRPr="007F3992">
              <w:rPr>
                <w:rFonts w:ascii="Arial" w:eastAsia="Times New Roman" w:hAnsi="Arial" w:cs="Arial"/>
                <w:bCs/>
                <w:sz w:val="18"/>
                <w:szCs w:val="18"/>
                <w:highlight w:val="yellow"/>
                <w:u w:val="double"/>
                <w:lang w:val="en-IE" w:bidi="en-US"/>
              </w:rPr>
              <w:t>++</w:t>
            </w:r>
          </w:p>
        </w:tc>
        <w:tc>
          <w:tcPr>
            <w:tcW w:w="709" w:type="dxa"/>
            <w:tcBorders>
              <w:top w:val="single" w:sz="6" w:space="0" w:color="auto"/>
              <w:left w:val="single" w:sz="6" w:space="0" w:color="auto"/>
              <w:right w:val="single" w:sz="6" w:space="0" w:color="auto"/>
            </w:tcBorders>
            <w:vAlign w:val="center"/>
          </w:tcPr>
          <w:p w14:paraId="7936FCCF"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2</w:t>
            </w:r>
          </w:p>
        </w:tc>
      </w:tr>
      <w:tr w:rsidR="00E65E42" w:rsidRPr="00D403F5" w14:paraId="7077DBF9"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48021157"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Histopathology</w:t>
            </w:r>
            <w:r w:rsidRPr="00D403F5">
              <w:rPr>
                <w:rFonts w:ascii="Arial" w:eastAsia="Times New Roman" w:hAnsi="Arial" w:cs="Arial"/>
                <w:b/>
                <w:bCs/>
                <w:sz w:val="18"/>
                <w:szCs w:val="18"/>
                <w:vertAlign w:val="superscript"/>
                <w:lang w:val="en-US" w:bidi="en-US"/>
              </w:rPr>
              <w:t>3</w:t>
            </w:r>
          </w:p>
        </w:tc>
        <w:tc>
          <w:tcPr>
            <w:tcW w:w="995" w:type="dxa"/>
            <w:tcBorders>
              <w:top w:val="single" w:sz="6" w:space="0" w:color="auto"/>
              <w:left w:val="single" w:sz="6" w:space="0" w:color="auto"/>
              <w:bottom w:val="single" w:sz="6" w:space="0" w:color="auto"/>
            </w:tcBorders>
            <w:shd w:val="pct15" w:color="auto" w:fill="auto"/>
            <w:vAlign w:val="center"/>
          </w:tcPr>
          <w:p w14:paraId="12601F5C"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0C9FBD5B"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672FF09F"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352EF62E"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65A70432"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vAlign w:val="center"/>
          </w:tcPr>
          <w:p w14:paraId="5358E8ED"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8" w:type="dxa"/>
            <w:tcBorders>
              <w:top w:val="single" w:sz="6" w:space="0" w:color="auto"/>
              <w:left w:val="single" w:sz="6" w:space="0" w:color="auto"/>
              <w:bottom w:val="single" w:sz="6" w:space="0" w:color="auto"/>
            </w:tcBorders>
            <w:vAlign w:val="center"/>
          </w:tcPr>
          <w:p w14:paraId="14ECA21E"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634" w:type="dxa"/>
            <w:tcBorders>
              <w:top w:val="single" w:sz="6" w:space="0" w:color="auto"/>
              <w:left w:val="single" w:sz="6" w:space="0" w:color="auto"/>
              <w:bottom w:val="single" w:sz="6" w:space="0" w:color="auto"/>
              <w:right w:val="single" w:sz="6" w:space="0" w:color="auto"/>
            </w:tcBorders>
            <w:vAlign w:val="center"/>
          </w:tcPr>
          <w:p w14:paraId="55142074" w14:textId="77777777" w:rsidR="00E65E42" w:rsidRPr="00BF51FB" w:rsidRDefault="00E65E42" w:rsidP="00E65E42">
            <w:pPr>
              <w:spacing w:after="0" w:line="240" w:lineRule="auto"/>
              <w:jc w:val="center"/>
              <w:rPr>
                <w:rFonts w:ascii="Arial" w:eastAsia="Times New Roman" w:hAnsi="Arial" w:cs="Arial"/>
                <w:bCs/>
                <w:sz w:val="18"/>
                <w:szCs w:val="18"/>
                <w:u w:val="double"/>
                <w:lang w:val="en-IE" w:bidi="en-US"/>
              </w:rPr>
            </w:pPr>
            <w:r w:rsidRPr="00BF51FB">
              <w:rPr>
                <w:rFonts w:ascii="Arial" w:eastAsia="Times New Roman" w:hAnsi="Arial" w:cs="Arial"/>
                <w:bCs/>
                <w:sz w:val="18"/>
                <w:szCs w:val="18"/>
                <w:highlight w:val="yellow"/>
                <w:u w:val="double"/>
                <w:lang w:val="en-IE" w:bidi="en-US"/>
              </w:rPr>
              <w:t>1</w:t>
            </w: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2DEDE4"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11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D0BFEF1" w14:textId="77777777" w:rsidR="00E65E42" w:rsidRPr="007F3992" w:rsidRDefault="00E65E42" w:rsidP="00E65E42">
            <w:pPr>
              <w:spacing w:after="0" w:line="240" w:lineRule="auto"/>
              <w:jc w:val="center"/>
              <w:rPr>
                <w:rFonts w:ascii="Arial" w:eastAsia="Times New Roman" w:hAnsi="Arial" w:cs="Arial"/>
                <w:bCs/>
                <w:sz w:val="18"/>
                <w:szCs w:val="18"/>
                <w:lang w:val="en-IE" w:bidi="en-US"/>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50406FD1" w14:textId="77777777" w:rsidR="00E65E42" w:rsidRPr="007F3992" w:rsidRDefault="00E65E42" w:rsidP="00E65E42">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30E8E59"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r>
      <w:tr w:rsidR="00E65E42" w:rsidRPr="00D403F5" w14:paraId="7ED19FDB"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413ED206"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 xml:space="preserve">Cell culture </w:t>
            </w:r>
          </w:p>
        </w:tc>
        <w:tc>
          <w:tcPr>
            <w:tcW w:w="995" w:type="dxa"/>
            <w:tcBorders>
              <w:top w:val="single" w:sz="6" w:space="0" w:color="auto"/>
              <w:left w:val="single" w:sz="6" w:space="0" w:color="auto"/>
              <w:bottom w:val="single" w:sz="6" w:space="0" w:color="auto"/>
            </w:tcBorders>
            <w:vAlign w:val="center"/>
          </w:tcPr>
          <w:p w14:paraId="220BFFAE"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3" w:type="dxa"/>
            <w:tcBorders>
              <w:top w:val="single" w:sz="6" w:space="0" w:color="auto"/>
              <w:left w:val="single" w:sz="6" w:space="0" w:color="auto"/>
              <w:bottom w:val="single" w:sz="6" w:space="0" w:color="auto"/>
            </w:tcBorders>
            <w:vAlign w:val="center"/>
          </w:tcPr>
          <w:p w14:paraId="415C8556"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850" w:type="dxa"/>
            <w:tcBorders>
              <w:top w:val="single" w:sz="6" w:space="0" w:color="auto"/>
              <w:left w:val="single" w:sz="6" w:space="0" w:color="auto"/>
              <w:bottom w:val="single" w:sz="6" w:space="0" w:color="auto"/>
            </w:tcBorders>
            <w:vAlign w:val="center"/>
          </w:tcPr>
          <w:p w14:paraId="157406E4"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vAlign w:val="center"/>
          </w:tcPr>
          <w:p w14:paraId="1F3919B8"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c>
          <w:tcPr>
            <w:tcW w:w="850" w:type="dxa"/>
            <w:tcBorders>
              <w:top w:val="single" w:sz="6" w:space="0" w:color="auto"/>
              <w:left w:val="single" w:sz="6" w:space="0" w:color="auto"/>
              <w:bottom w:val="single" w:sz="6" w:space="0" w:color="auto"/>
            </w:tcBorders>
            <w:vAlign w:val="center"/>
          </w:tcPr>
          <w:p w14:paraId="6C9C66DB"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3" w:type="dxa"/>
            <w:tcBorders>
              <w:top w:val="single" w:sz="6" w:space="0" w:color="auto"/>
              <w:left w:val="single" w:sz="6" w:space="0" w:color="auto"/>
              <w:bottom w:val="single" w:sz="6" w:space="0" w:color="auto"/>
            </w:tcBorders>
            <w:vAlign w:val="center"/>
          </w:tcPr>
          <w:p w14:paraId="4722D68B"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8" w:type="dxa"/>
            <w:tcBorders>
              <w:top w:val="single" w:sz="6" w:space="0" w:color="auto"/>
              <w:left w:val="single" w:sz="6" w:space="0" w:color="auto"/>
              <w:bottom w:val="single" w:sz="6" w:space="0" w:color="auto"/>
            </w:tcBorders>
            <w:vAlign w:val="center"/>
          </w:tcPr>
          <w:p w14:paraId="1E8D7D6C"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634" w:type="dxa"/>
            <w:tcBorders>
              <w:top w:val="single" w:sz="6" w:space="0" w:color="auto"/>
              <w:left w:val="single" w:sz="6" w:space="0" w:color="auto"/>
              <w:bottom w:val="single" w:sz="6" w:space="0" w:color="auto"/>
              <w:right w:val="single" w:sz="6" w:space="0" w:color="auto"/>
            </w:tcBorders>
            <w:vAlign w:val="center"/>
          </w:tcPr>
          <w:p w14:paraId="3511536E"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c>
          <w:tcPr>
            <w:tcW w:w="960" w:type="dxa"/>
            <w:tcBorders>
              <w:top w:val="single" w:sz="6" w:space="0" w:color="auto"/>
              <w:left w:val="single" w:sz="6" w:space="0" w:color="auto"/>
              <w:bottom w:val="single" w:sz="6" w:space="0" w:color="auto"/>
              <w:right w:val="single" w:sz="6" w:space="0" w:color="auto"/>
            </w:tcBorders>
            <w:vAlign w:val="center"/>
          </w:tcPr>
          <w:p w14:paraId="74BA6977"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1100" w:type="dxa"/>
            <w:tcBorders>
              <w:top w:val="single" w:sz="6" w:space="0" w:color="auto"/>
              <w:left w:val="single" w:sz="6" w:space="0" w:color="auto"/>
              <w:bottom w:val="single" w:sz="6" w:space="0" w:color="auto"/>
              <w:right w:val="single" w:sz="6" w:space="0" w:color="auto"/>
            </w:tcBorders>
            <w:vAlign w:val="center"/>
          </w:tcPr>
          <w:p w14:paraId="2E6CF783"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2" w:type="dxa"/>
            <w:tcBorders>
              <w:top w:val="single" w:sz="6" w:space="0" w:color="auto"/>
              <w:left w:val="single" w:sz="6" w:space="0" w:color="auto"/>
              <w:bottom w:val="single" w:sz="6" w:space="0" w:color="auto"/>
            </w:tcBorders>
            <w:vAlign w:val="center"/>
          </w:tcPr>
          <w:p w14:paraId="25602B0B"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vAlign w:val="center"/>
          </w:tcPr>
          <w:p w14:paraId="755FFF4A"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r>
      <w:tr w:rsidR="00E65E42" w:rsidRPr="00D403F5" w14:paraId="6EAEE781"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4AEE9D01"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Real-time PCR</w:t>
            </w:r>
          </w:p>
        </w:tc>
        <w:tc>
          <w:tcPr>
            <w:tcW w:w="995" w:type="dxa"/>
            <w:tcBorders>
              <w:top w:val="single" w:sz="6" w:space="0" w:color="auto"/>
              <w:left w:val="single" w:sz="6" w:space="0" w:color="auto"/>
              <w:bottom w:val="single" w:sz="6" w:space="0" w:color="auto"/>
            </w:tcBorders>
            <w:vAlign w:val="center"/>
          </w:tcPr>
          <w:p w14:paraId="3F0A005C"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3" w:type="dxa"/>
            <w:tcBorders>
              <w:top w:val="single" w:sz="6" w:space="0" w:color="auto"/>
              <w:left w:val="single" w:sz="6" w:space="0" w:color="auto"/>
              <w:bottom w:val="single" w:sz="6" w:space="0" w:color="auto"/>
            </w:tcBorders>
            <w:vAlign w:val="center"/>
          </w:tcPr>
          <w:p w14:paraId="7DBCB0D2"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850" w:type="dxa"/>
            <w:tcBorders>
              <w:top w:val="single" w:sz="6" w:space="0" w:color="auto"/>
              <w:left w:val="single" w:sz="6" w:space="0" w:color="auto"/>
              <w:bottom w:val="single" w:sz="6" w:space="0" w:color="auto"/>
            </w:tcBorders>
            <w:vAlign w:val="center"/>
          </w:tcPr>
          <w:p w14:paraId="4AD85B9A"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vAlign w:val="center"/>
          </w:tcPr>
          <w:p w14:paraId="693F11C3"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c>
          <w:tcPr>
            <w:tcW w:w="850" w:type="dxa"/>
            <w:tcBorders>
              <w:top w:val="single" w:sz="6" w:space="0" w:color="auto"/>
              <w:left w:val="single" w:sz="6" w:space="0" w:color="auto"/>
              <w:bottom w:val="single" w:sz="6" w:space="0" w:color="auto"/>
            </w:tcBorders>
            <w:vAlign w:val="center"/>
          </w:tcPr>
          <w:p w14:paraId="3399587B"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3" w:type="dxa"/>
            <w:tcBorders>
              <w:top w:val="single" w:sz="6" w:space="0" w:color="auto"/>
              <w:left w:val="single" w:sz="6" w:space="0" w:color="auto"/>
              <w:bottom w:val="single" w:sz="6" w:space="0" w:color="auto"/>
            </w:tcBorders>
            <w:vAlign w:val="center"/>
          </w:tcPr>
          <w:p w14:paraId="1CE43D14"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8" w:type="dxa"/>
            <w:tcBorders>
              <w:top w:val="single" w:sz="6" w:space="0" w:color="auto"/>
              <w:left w:val="single" w:sz="6" w:space="0" w:color="auto"/>
              <w:bottom w:val="single" w:sz="6" w:space="0" w:color="auto"/>
            </w:tcBorders>
            <w:vAlign w:val="center"/>
          </w:tcPr>
          <w:p w14:paraId="7B07EC4C"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634" w:type="dxa"/>
            <w:tcBorders>
              <w:top w:val="single" w:sz="6" w:space="0" w:color="auto"/>
              <w:left w:val="single" w:sz="6" w:space="0" w:color="auto"/>
              <w:bottom w:val="single" w:sz="6" w:space="0" w:color="auto"/>
              <w:right w:val="single" w:sz="6" w:space="0" w:color="auto"/>
            </w:tcBorders>
            <w:vAlign w:val="center"/>
          </w:tcPr>
          <w:p w14:paraId="7A011D1C"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c>
          <w:tcPr>
            <w:tcW w:w="960" w:type="dxa"/>
            <w:tcBorders>
              <w:top w:val="single" w:sz="6" w:space="0" w:color="auto"/>
              <w:left w:val="single" w:sz="6" w:space="0" w:color="auto"/>
              <w:bottom w:val="single" w:sz="6" w:space="0" w:color="auto"/>
              <w:right w:val="single" w:sz="6" w:space="0" w:color="auto"/>
            </w:tcBorders>
            <w:vAlign w:val="center"/>
          </w:tcPr>
          <w:p w14:paraId="17C6C4F8"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1100" w:type="dxa"/>
            <w:tcBorders>
              <w:top w:val="single" w:sz="6" w:space="0" w:color="auto"/>
              <w:left w:val="single" w:sz="6" w:space="0" w:color="auto"/>
              <w:bottom w:val="single" w:sz="6" w:space="0" w:color="auto"/>
              <w:right w:val="single" w:sz="6" w:space="0" w:color="auto"/>
            </w:tcBorders>
            <w:vAlign w:val="center"/>
          </w:tcPr>
          <w:p w14:paraId="3F7F1312"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2" w:type="dxa"/>
            <w:tcBorders>
              <w:top w:val="single" w:sz="6" w:space="0" w:color="auto"/>
              <w:left w:val="single" w:sz="6" w:space="0" w:color="auto"/>
              <w:bottom w:val="single" w:sz="6" w:space="0" w:color="auto"/>
            </w:tcBorders>
            <w:vAlign w:val="center"/>
          </w:tcPr>
          <w:p w14:paraId="090B5D21"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vAlign w:val="center"/>
          </w:tcPr>
          <w:p w14:paraId="14006853"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r>
      <w:tr w:rsidR="00E65E42" w:rsidRPr="00D403F5" w14:paraId="4A6FC1A9"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46F43846"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 xml:space="preserve">Conventional RT-PCR </w:t>
            </w:r>
          </w:p>
        </w:tc>
        <w:tc>
          <w:tcPr>
            <w:tcW w:w="995" w:type="dxa"/>
            <w:tcBorders>
              <w:top w:val="single" w:sz="6" w:space="0" w:color="auto"/>
              <w:left w:val="single" w:sz="6" w:space="0" w:color="auto"/>
              <w:bottom w:val="single" w:sz="6" w:space="0" w:color="auto"/>
            </w:tcBorders>
            <w:vAlign w:val="center"/>
          </w:tcPr>
          <w:p w14:paraId="221FAB60"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3" w:type="dxa"/>
            <w:tcBorders>
              <w:top w:val="single" w:sz="6" w:space="0" w:color="auto"/>
              <w:left w:val="single" w:sz="6" w:space="0" w:color="auto"/>
              <w:bottom w:val="single" w:sz="6" w:space="0" w:color="auto"/>
            </w:tcBorders>
            <w:vAlign w:val="center"/>
          </w:tcPr>
          <w:p w14:paraId="33FE4277"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850" w:type="dxa"/>
            <w:tcBorders>
              <w:top w:val="single" w:sz="6" w:space="0" w:color="auto"/>
              <w:left w:val="single" w:sz="6" w:space="0" w:color="auto"/>
              <w:bottom w:val="single" w:sz="6" w:space="0" w:color="auto"/>
            </w:tcBorders>
            <w:vAlign w:val="center"/>
          </w:tcPr>
          <w:p w14:paraId="3C4898BC"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vAlign w:val="center"/>
          </w:tcPr>
          <w:p w14:paraId="48184567"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c>
          <w:tcPr>
            <w:tcW w:w="850" w:type="dxa"/>
            <w:tcBorders>
              <w:top w:val="single" w:sz="6" w:space="0" w:color="auto"/>
              <w:left w:val="single" w:sz="6" w:space="0" w:color="auto"/>
              <w:bottom w:val="single" w:sz="6" w:space="0" w:color="auto"/>
            </w:tcBorders>
            <w:vAlign w:val="center"/>
          </w:tcPr>
          <w:p w14:paraId="662B69D7"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3" w:type="dxa"/>
            <w:tcBorders>
              <w:top w:val="single" w:sz="6" w:space="0" w:color="auto"/>
              <w:left w:val="single" w:sz="6" w:space="0" w:color="auto"/>
              <w:bottom w:val="single" w:sz="6" w:space="0" w:color="auto"/>
            </w:tcBorders>
            <w:vAlign w:val="center"/>
          </w:tcPr>
          <w:p w14:paraId="2A884CC0"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8" w:type="dxa"/>
            <w:tcBorders>
              <w:top w:val="single" w:sz="6" w:space="0" w:color="auto"/>
              <w:left w:val="single" w:sz="6" w:space="0" w:color="auto"/>
              <w:bottom w:val="single" w:sz="6" w:space="0" w:color="auto"/>
            </w:tcBorders>
            <w:vAlign w:val="center"/>
          </w:tcPr>
          <w:p w14:paraId="49F52DF4"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634" w:type="dxa"/>
            <w:tcBorders>
              <w:top w:val="single" w:sz="6" w:space="0" w:color="auto"/>
              <w:left w:val="single" w:sz="6" w:space="0" w:color="auto"/>
              <w:bottom w:val="single" w:sz="6" w:space="0" w:color="auto"/>
              <w:right w:val="single" w:sz="6" w:space="0" w:color="auto"/>
            </w:tcBorders>
            <w:vAlign w:val="center"/>
          </w:tcPr>
          <w:p w14:paraId="5DF0B910"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c>
          <w:tcPr>
            <w:tcW w:w="960" w:type="dxa"/>
            <w:tcBorders>
              <w:top w:val="single" w:sz="6" w:space="0" w:color="auto"/>
              <w:left w:val="single" w:sz="6" w:space="0" w:color="auto"/>
              <w:bottom w:val="single" w:sz="6" w:space="0" w:color="auto"/>
              <w:right w:val="single" w:sz="6" w:space="0" w:color="auto"/>
            </w:tcBorders>
            <w:shd w:val="clear" w:color="auto" w:fill="auto"/>
            <w:vAlign w:val="center"/>
          </w:tcPr>
          <w:p w14:paraId="76F88954"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1100" w:type="dxa"/>
            <w:tcBorders>
              <w:top w:val="single" w:sz="6" w:space="0" w:color="auto"/>
              <w:left w:val="single" w:sz="6" w:space="0" w:color="auto"/>
              <w:bottom w:val="single" w:sz="6" w:space="0" w:color="auto"/>
              <w:right w:val="single" w:sz="6" w:space="0" w:color="auto"/>
            </w:tcBorders>
            <w:shd w:val="clear" w:color="auto" w:fill="auto"/>
            <w:vAlign w:val="center"/>
          </w:tcPr>
          <w:p w14:paraId="37B958A6"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2" w:type="dxa"/>
            <w:tcBorders>
              <w:top w:val="single" w:sz="6" w:space="0" w:color="auto"/>
              <w:left w:val="single" w:sz="6" w:space="0" w:color="auto"/>
              <w:bottom w:val="single" w:sz="6" w:space="0" w:color="auto"/>
            </w:tcBorders>
            <w:shd w:val="clear" w:color="auto" w:fill="auto"/>
            <w:vAlign w:val="center"/>
          </w:tcPr>
          <w:p w14:paraId="5C8A98F7"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14:paraId="4C1B3291"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r>
      <w:tr w:rsidR="00E65E42" w:rsidRPr="00D403F5" w14:paraId="3310F20C" w14:textId="77777777" w:rsidTr="00E65E42">
        <w:trPr>
          <w:trHeight w:val="402"/>
          <w:jc w:val="center"/>
        </w:trPr>
        <w:tc>
          <w:tcPr>
            <w:tcW w:w="2399" w:type="dxa"/>
            <w:tcBorders>
              <w:top w:val="single" w:sz="6" w:space="0" w:color="auto"/>
              <w:left w:val="single" w:sz="6" w:space="0" w:color="auto"/>
            </w:tcBorders>
            <w:vAlign w:val="center"/>
          </w:tcPr>
          <w:p w14:paraId="3C655A32" w14:textId="77777777" w:rsidR="00E65E42" w:rsidRPr="00D403F5" w:rsidRDefault="00E65E42" w:rsidP="00E65E42">
            <w:pPr>
              <w:spacing w:after="0" w:line="240" w:lineRule="auto"/>
              <w:jc w:val="center"/>
              <w:rPr>
                <w:rFonts w:ascii="Arial" w:eastAsia="Times New Roman" w:hAnsi="Arial" w:cs="Arial"/>
                <w:b/>
                <w:bCs/>
                <w:i/>
                <w:iCs/>
                <w:sz w:val="18"/>
                <w:szCs w:val="18"/>
                <w:lang w:val="en-IE" w:bidi="en-US"/>
              </w:rPr>
            </w:pPr>
            <w:r w:rsidRPr="00D403F5">
              <w:rPr>
                <w:rFonts w:ascii="Arial" w:eastAsia="Times New Roman" w:hAnsi="Arial" w:cs="Arial"/>
                <w:b/>
                <w:bCs/>
                <w:sz w:val="18"/>
                <w:szCs w:val="18"/>
                <w:lang w:val="en-IE" w:bidi="en-US"/>
              </w:rPr>
              <w:t>Amplicon sequencing</w:t>
            </w:r>
            <w:r w:rsidRPr="00D403F5">
              <w:rPr>
                <w:rFonts w:ascii="Arial" w:eastAsia="Times New Roman" w:hAnsi="Arial" w:cs="Arial"/>
                <w:b/>
                <w:bCs/>
                <w:sz w:val="18"/>
                <w:szCs w:val="18"/>
                <w:vertAlign w:val="superscript"/>
                <w:lang w:val="en-IE" w:bidi="en-US"/>
              </w:rPr>
              <w:t>4</w:t>
            </w:r>
          </w:p>
        </w:tc>
        <w:tc>
          <w:tcPr>
            <w:tcW w:w="995" w:type="dxa"/>
            <w:tcBorders>
              <w:top w:val="single" w:sz="6" w:space="0" w:color="auto"/>
              <w:left w:val="single" w:sz="6" w:space="0" w:color="auto"/>
              <w:bottom w:val="single" w:sz="6" w:space="0" w:color="auto"/>
            </w:tcBorders>
            <w:shd w:val="pct15" w:color="auto" w:fill="auto"/>
            <w:vAlign w:val="center"/>
          </w:tcPr>
          <w:p w14:paraId="1741F5ED" w14:textId="77777777" w:rsidR="00E65E42" w:rsidRPr="00D403F5" w:rsidRDefault="00E65E42" w:rsidP="00E65E42">
            <w:pPr>
              <w:spacing w:after="0" w:line="240" w:lineRule="auto"/>
              <w:jc w:val="center"/>
              <w:rPr>
                <w:rFonts w:ascii="Arial" w:eastAsia="Times New Roman" w:hAnsi="Arial" w:cs="Arial"/>
                <w:bCs/>
                <w:i/>
                <w:i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58843CB1" w14:textId="77777777" w:rsidR="00E65E42" w:rsidRPr="00D403F5" w:rsidRDefault="00E65E42" w:rsidP="00E65E42">
            <w:pPr>
              <w:spacing w:after="0" w:line="240" w:lineRule="auto"/>
              <w:jc w:val="center"/>
              <w:rPr>
                <w:rFonts w:ascii="Arial" w:eastAsia="Times New Roman" w:hAnsi="Arial" w:cs="Arial"/>
                <w:bCs/>
                <w:i/>
                <w:i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641949F6"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39373F47"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178369A0"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2777E902"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3E32A8F3"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38884719"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clear" w:color="auto" w:fill="auto"/>
            <w:vAlign w:val="center"/>
          </w:tcPr>
          <w:p w14:paraId="5F1C553C"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1100" w:type="dxa"/>
            <w:tcBorders>
              <w:top w:val="single" w:sz="6" w:space="0" w:color="auto"/>
              <w:left w:val="single" w:sz="6" w:space="0" w:color="auto"/>
              <w:bottom w:val="single" w:sz="6" w:space="0" w:color="auto"/>
              <w:right w:val="single" w:sz="6" w:space="0" w:color="auto"/>
            </w:tcBorders>
            <w:shd w:val="clear" w:color="auto" w:fill="auto"/>
            <w:vAlign w:val="center"/>
          </w:tcPr>
          <w:p w14:paraId="5CFEBFC1"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2" w:type="dxa"/>
            <w:tcBorders>
              <w:top w:val="single" w:sz="6" w:space="0" w:color="auto"/>
              <w:left w:val="single" w:sz="6" w:space="0" w:color="auto"/>
              <w:bottom w:val="single" w:sz="6" w:space="0" w:color="auto"/>
            </w:tcBorders>
            <w:shd w:val="clear" w:color="auto" w:fill="auto"/>
            <w:vAlign w:val="center"/>
          </w:tcPr>
          <w:p w14:paraId="340F2A9A"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14:paraId="44E22778" w14:textId="77777777" w:rsidR="00E65E42" w:rsidRPr="00BF51FB" w:rsidRDefault="00E65E42" w:rsidP="00E65E42">
            <w:pPr>
              <w:spacing w:after="0" w:line="240" w:lineRule="auto"/>
              <w:jc w:val="center"/>
              <w:rPr>
                <w:rFonts w:ascii="Arial" w:eastAsia="Times New Roman" w:hAnsi="Arial" w:cs="Arial"/>
                <w:bCs/>
                <w:sz w:val="18"/>
                <w:szCs w:val="18"/>
                <w:u w:val="double"/>
                <w:lang w:val="en-IE" w:bidi="en-US"/>
              </w:rPr>
            </w:pPr>
            <w:r w:rsidRPr="00BF51FB">
              <w:rPr>
                <w:rFonts w:ascii="Arial" w:eastAsia="Times New Roman" w:hAnsi="Arial" w:cs="Arial"/>
                <w:bCs/>
                <w:sz w:val="18"/>
                <w:szCs w:val="18"/>
                <w:highlight w:val="yellow"/>
                <w:u w:val="double"/>
                <w:lang w:val="en-IE" w:bidi="en-US"/>
              </w:rPr>
              <w:t>3</w:t>
            </w:r>
          </w:p>
        </w:tc>
      </w:tr>
      <w:tr w:rsidR="00E65E42" w:rsidRPr="00D403F5" w14:paraId="192B47AB" w14:textId="77777777" w:rsidTr="00E65E42">
        <w:trPr>
          <w:trHeight w:val="402"/>
          <w:jc w:val="center"/>
        </w:trPr>
        <w:tc>
          <w:tcPr>
            <w:tcW w:w="2399" w:type="dxa"/>
            <w:tcBorders>
              <w:top w:val="single" w:sz="6" w:space="0" w:color="auto"/>
              <w:left w:val="single" w:sz="6" w:space="0" w:color="auto"/>
              <w:bottom w:val="single" w:sz="6" w:space="0" w:color="auto"/>
            </w:tcBorders>
            <w:vAlign w:val="center"/>
          </w:tcPr>
          <w:p w14:paraId="2C228CD4"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i/>
                <w:iCs/>
                <w:sz w:val="18"/>
                <w:szCs w:val="18"/>
                <w:lang w:val="en-IE" w:bidi="en-US"/>
              </w:rPr>
              <w:t>In-situ</w:t>
            </w:r>
            <w:r w:rsidRPr="00D403F5">
              <w:rPr>
                <w:rFonts w:ascii="Arial" w:eastAsia="Times New Roman" w:hAnsi="Arial" w:cs="Arial"/>
                <w:b/>
                <w:bCs/>
                <w:sz w:val="18"/>
                <w:szCs w:val="18"/>
                <w:lang w:val="en-IE" w:bidi="en-US"/>
              </w:rPr>
              <w:t xml:space="preserve"> hybridisation</w:t>
            </w:r>
          </w:p>
        </w:tc>
        <w:tc>
          <w:tcPr>
            <w:tcW w:w="995" w:type="dxa"/>
            <w:tcBorders>
              <w:top w:val="single" w:sz="6" w:space="0" w:color="auto"/>
              <w:left w:val="single" w:sz="6" w:space="0" w:color="auto"/>
              <w:bottom w:val="single" w:sz="6" w:space="0" w:color="auto"/>
            </w:tcBorders>
            <w:shd w:val="pct15" w:color="auto" w:fill="auto"/>
            <w:vAlign w:val="center"/>
          </w:tcPr>
          <w:p w14:paraId="44816C05" w14:textId="77777777" w:rsidR="00E65E42" w:rsidRPr="00D403F5" w:rsidRDefault="00E65E42" w:rsidP="00E65E42">
            <w:pPr>
              <w:spacing w:after="0" w:line="240" w:lineRule="auto"/>
              <w:jc w:val="center"/>
              <w:rPr>
                <w:rFonts w:ascii="Arial" w:eastAsia="Times New Roman" w:hAnsi="Arial" w:cs="Arial"/>
                <w:bCs/>
                <w:i/>
                <w:i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3419CED7" w14:textId="77777777" w:rsidR="00E65E42" w:rsidRPr="00D403F5" w:rsidRDefault="00E65E42" w:rsidP="00E65E42">
            <w:pPr>
              <w:spacing w:after="0" w:line="240" w:lineRule="auto"/>
              <w:jc w:val="center"/>
              <w:rPr>
                <w:rFonts w:ascii="Arial" w:eastAsia="Times New Roman" w:hAnsi="Arial" w:cs="Arial"/>
                <w:bCs/>
                <w:i/>
                <w:i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5D20CB78"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4E2AB1BB"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56F1256E"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7C35C646"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3604590D"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5FD917AB"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266DF40F"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1100" w:type="dxa"/>
            <w:tcBorders>
              <w:top w:val="single" w:sz="6" w:space="0" w:color="auto"/>
              <w:left w:val="single" w:sz="6" w:space="0" w:color="auto"/>
              <w:bottom w:val="single" w:sz="6" w:space="0" w:color="auto"/>
              <w:right w:val="single" w:sz="6" w:space="0" w:color="auto"/>
            </w:tcBorders>
            <w:shd w:val="pct15" w:color="auto" w:fill="auto"/>
            <w:vAlign w:val="center"/>
          </w:tcPr>
          <w:p w14:paraId="63389D5E"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14:paraId="0DFA08A7"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4C2A988D"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r>
      <w:tr w:rsidR="00E65E42" w:rsidRPr="00D403F5" w14:paraId="5238A2E6" w14:textId="77777777" w:rsidTr="00E65E42">
        <w:trPr>
          <w:trHeight w:val="402"/>
          <w:jc w:val="center"/>
        </w:trPr>
        <w:tc>
          <w:tcPr>
            <w:tcW w:w="2399" w:type="dxa"/>
            <w:tcBorders>
              <w:top w:val="single" w:sz="6" w:space="0" w:color="auto"/>
              <w:left w:val="single" w:sz="6" w:space="0" w:color="auto"/>
              <w:bottom w:val="single" w:sz="6" w:space="0" w:color="auto"/>
            </w:tcBorders>
            <w:shd w:val="pct15" w:color="auto" w:fill="auto"/>
            <w:vAlign w:val="center"/>
          </w:tcPr>
          <w:p w14:paraId="2C693AEC"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Bioassay</w:t>
            </w:r>
          </w:p>
        </w:tc>
        <w:tc>
          <w:tcPr>
            <w:tcW w:w="995" w:type="dxa"/>
            <w:tcBorders>
              <w:top w:val="single" w:sz="6" w:space="0" w:color="auto"/>
              <w:left w:val="single" w:sz="6" w:space="0" w:color="auto"/>
              <w:bottom w:val="single" w:sz="6" w:space="0" w:color="auto"/>
            </w:tcBorders>
            <w:shd w:val="pct15" w:color="auto" w:fill="auto"/>
            <w:vAlign w:val="center"/>
          </w:tcPr>
          <w:p w14:paraId="5C06345E"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7513E2AC"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16EBC93D"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6E93DA3C"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39282F07"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55A0E380"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18449C0A"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1B22ECC0"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25E12F4F"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1100" w:type="dxa"/>
            <w:tcBorders>
              <w:top w:val="single" w:sz="6" w:space="0" w:color="auto"/>
              <w:left w:val="single" w:sz="6" w:space="0" w:color="auto"/>
              <w:bottom w:val="single" w:sz="6" w:space="0" w:color="auto"/>
              <w:right w:val="single" w:sz="6" w:space="0" w:color="auto"/>
            </w:tcBorders>
            <w:shd w:val="pct15" w:color="auto" w:fill="auto"/>
            <w:vAlign w:val="center"/>
          </w:tcPr>
          <w:p w14:paraId="4AE0ADF5"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14:paraId="287E7C0D"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1769D5B8"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r>
      <w:tr w:rsidR="00E65E42" w:rsidRPr="00D403F5" w14:paraId="21D4874F" w14:textId="77777777" w:rsidTr="00E65E42">
        <w:trPr>
          <w:trHeight w:val="402"/>
          <w:jc w:val="center"/>
        </w:trPr>
        <w:tc>
          <w:tcPr>
            <w:tcW w:w="2399" w:type="dxa"/>
            <w:tcBorders>
              <w:top w:val="single" w:sz="6" w:space="0" w:color="auto"/>
              <w:left w:val="single" w:sz="6" w:space="0" w:color="auto"/>
              <w:bottom w:val="single" w:sz="6" w:space="0" w:color="auto"/>
            </w:tcBorders>
            <w:shd w:val="pct15" w:color="auto" w:fill="auto"/>
            <w:vAlign w:val="center"/>
          </w:tcPr>
          <w:p w14:paraId="61CE2E17"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LAMP</w:t>
            </w:r>
          </w:p>
        </w:tc>
        <w:tc>
          <w:tcPr>
            <w:tcW w:w="995" w:type="dxa"/>
            <w:tcBorders>
              <w:top w:val="single" w:sz="6" w:space="0" w:color="auto"/>
              <w:left w:val="single" w:sz="6" w:space="0" w:color="auto"/>
              <w:bottom w:val="single" w:sz="6" w:space="0" w:color="auto"/>
            </w:tcBorders>
            <w:shd w:val="pct15" w:color="auto" w:fill="auto"/>
            <w:vAlign w:val="center"/>
          </w:tcPr>
          <w:p w14:paraId="3DCB0EB5"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3200143D"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481543DF"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72D9A870"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231FB624"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129B5AD2"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6CF7F8A9"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000B6B74"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5125DE96"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c>
          <w:tcPr>
            <w:tcW w:w="1100" w:type="dxa"/>
            <w:tcBorders>
              <w:top w:val="single" w:sz="6" w:space="0" w:color="auto"/>
              <w:left w:val="single" w:sz="6" w:space="0" w:color="auto"/>
              <w:bottom w:val="single" w:sz="6" w:space="0" w:color="auto"/>
              <w:right w:val="single" w:sz="6" w:space="0" w:color="auto"/>
            </w:tcBorders>
            <w:shd w:val="pct15" w:color="auto" w:fill="auto"/>
            <w:vAlign w:val="center"/>
          </w:tcPr>
          <w:p w14:paraId="34D90918"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14:paraId="053EB4B7"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51A77F89"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r>
      <w:tr w:rsidR="00E65E42" w:rsidRPr="00D403F5" w14:paraId="7EE9A958" w14:textId="77777777" w:rsidTr="00E65E42">
        <w:trPr>
          <w:trHeight w:val="402"/>
          <w:jc w:val="center"/>
        </w:trPr>
        <w:tc>
          <w:tcPr>
            <w:tcW w:w="2399" w:type="dxa"/>
            <w:tcBorders>
              <w:top w:val="single" w:sz="6" w:space="0" w:color="auto"/>
              <w:left w:val="single" w:sz="6" w:space="0" w:color="auto"/>
              <w:bottom w:val="single" w:sz="4" w:space="0" w:color="auto"/>
            </w:tcBorders>
            <w:vAlign w:val="center"/>
          </w:tcPr>
          <w:p w14:paraId="7157A1AF"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Ab-ELISA</w:t>
            </w:r>
          </w:p>
        </w:tc>
        <w:tc>
          <w:tcPr>
            <w:tcW w:w="995" w:type="dxa"/>
            <w:tcBorders>
              <w:top w:val="single" w:sz="6" w:space="0" w:color="auto"/>
              <w:left w:val="single" w:sz="6" w:space="0" w:color="auto"/>
              <w:bottom w:val="single" w:sz="6" w:space="0" w:color="auto"/>
            </w:tcBorders>
            <w:shd w:val="pct15" w:color="auto" w:fill="auto"/>
            <w:vAlign w:val="center"/>
          </w:tcPr>
          <w:p w14:paraId="49E2BB6C"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clear" w:color="auto" w:fill="auto"/>
            <w:vAlign w:val="center"/>
          </w:tcPr>
          <w:p w14:paraId="1A3CFA06"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850" w:type="dxa"/>
            <w:tcBorders>
              <w:top w:val="single" w:sz="6" w:space="0" w:color="auto"/>
              <w:left w:val="single" w:sz="6" w:space="0" w:color="auto"/>
              <w:bottom w:val="single" w:sz="6" w:space="0" w:color="auto"/>
            </w:tcBorders>
            <w:shd w:val="clear" w:color="auto" w:fill="auto"/>
            <w:vAlign w:val="center"/>
          </w:tcPr>
          <w:p w14:paraId="30507F37"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14:paraId="1B2D1BF4"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2</w:t>
            </w:r>
          </w:p>
        </w:tc>
        <w:tc>
          <w:tcPr>
            <w:tcW w:w="850" w:type="dxa"/>
            <w:tcBorders>
              <w:top w:val="single" w:sz="6" w:space="0" w:color="auto"/>
              <w:left w:val="single" w:sz="6" w:space="0" w:color="auto"/>
              <w:bottom w:val="single" w:sz="6" w:space="0" w:color="auto"/>
            </w:tcBorders>
            <w:shd w:val="pct15" w:color="auto" w:fill="auto"/>
            <w:vAlign w:val="center"/>
          </w:tcPr>
          <w:p w14:paraId="2C96113F"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14205ACE"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38485E2A"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4B51361E"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0595F3F8"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c>
          <w:tcPr>
            <w:tcW w:w="1100" w:type="dxa"/>
            <w:tcBorders>
              <w:top w:val="single" w:sz="6" w:space="0" w:color="auto"/>
              <w:left w:val="single" w:sz="6" w:space="0" w:color="auto"/>
              <w:bottom w:val="single" w:sz="6" w:space="0" w:color="auto"/>
              <w:right w:val="single" w:sz="6" w:space="0" w:color="auto"/>
            </w:tcBorders>
            <w:shd w:val="pct15" w:color="auto" w:fill="auto"/>
            <w:vAlign w:val="center"/>
          </w:tcPr>
          <w:p w14:paraId="64BD271D"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14:paraId="47928250"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5A9E1DCA" w14:textId="77777777" w:rsidR="00E65E42" w:rsidRPr="00D403F5" w:rsidRDefault="00E65E42" w:rsidP="00E65E42">
            <w:pPr>
              <w:spacing w:after="0" w:line="240" w:lineRule="auto"/>
              <w:jc w:val="center"/>
              <w:rPr>
                <w:rFonts w:ascii="Arial" w:eastAsia="Times New Roman" w:hAnsi="Arial" w:cs="Arial"/>
                <w:bCs/>
                <w:strike/>
                <w:sz w:val="18"/>
                <w:szCs w:val="18"/>
                <w:lang w:val="en-IE" w:bidi="en-US"/>
              </w:rPr>
            </w:pPr>
          </w:p>
        </w:tc>
      </w:tr>
      <w:tr w:rsidR="00E65E42" w:rsidRPr="00D403F5" w14:paraId="69EC179C" w14:textId="77777777" w:rsidTr="00E65E42">
        <w:trPr>
          <w:trHeight w:val="402"/>
          <w:jc w:val="center"/>
        </w:trPr>
        <w:tc>
          <w:tcPr>
            <w:tcW w:w="2399" w:type="dxa"/>
            <w:tcBorders>
              <w:top w:val="single" w:sz="4" w:space="0" w:color="auto"/>
              <w:left w:val="single" w:sz="6" w:space="0" w:color="auto"/>
            </w:tcBorders>
            <w:vAlign w:val="center"/>
          </w:tcPr>
          <w:p w14:paraId="65128270"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Ag-ELISA</w:t>
            </w:r>
          </w:p>
        </w:tc>
        <w:tc>
          <w:tcPr>
            <w:tcW w:w="995" w:type="dxa"/>
            <w:tcBorders>
              <w:top w:val="single" w:sz="6" w:space="0" w:color="auto"/>
              <w:left w:val="single" w:sz="6" w:space="0" w:color="auto"/>
              <w:bottom w:val="single" w:sz="6" w:space="0" w:color="auto"/>
            </w:tcBorders>
            <w:shd w:val="pct15" w:color="auto" w:fill="auto"/>
            <w:vAlign w:val="center"/>
          </w:tcPr>
          <w:p w14:paraId="1222EB11"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60A09FA0"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0D189CA9"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043EC994"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77C7DF7F"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49D5F5D6"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3044DF65"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5D3AF890"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vAlign w:val="center"/>
          </w:tcPr>
          <w:p w14:paraId="3A5E821B"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r w:rsidRPr="00D403F5">
              <w:rPr>
                <w:rFonts w:ascii="Arial" w:eastAsia="Times New Roman" w:hAnsi="Arial" w:cs="Arial"/>
                <w:bCs/>
                <w:sz w:val="18"/>
                <w:szCs w:val="18"/>
                <w:vertAlign w:val="superscript"/>
                <w:lang w:val="en-IE" w:bidi="en-US"/>
              </w:rPr>
              <w:t>5</w:t>
            </w:r>
          </w:p>
        </w:tc>
        <w:tc>
          <w:tcPr>
            <w:tcW w:w="1100" w:type="dxa"/>
            <w:tcBorders>
              <w:top w:val="single" w:sz="6" w:space="0" w:color="auto"/>
              <w:left w:val="single" w:sz="6" w:space="0" w:color="auto"/>
              <w:bottom w:val="single" w:sz="6" w:space="0" w:color="auto"/>
              <w:right w:val="single" w:sz="6" w:space="0" w:color="auto"/>
            </w:tcBorders>
            <w:vAlign w:val="center"/>
          </w:tcPr>
          <w:p w14:paraId="56B21ED3"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r w:rsidRPr="00D403F5">
              <w:rPr>
                <w:rFonts w:ascii="Arial" w:eastAsia="Times New Roman" w:hAnsi="Arial" w:cs="Arial"/>
                <w:bCs/>
                <w:sz w:val="18"/>
                <w:szCs w:val="18"/>
                <w:vertAlign w:val="superscript"/>
                <w:lang w:val="en-IE" w:bidi="en-US"/>
              </w:rPr>
              <w:t>5</w:t>
            </w:r>
          </w:p>
        </w:tc>
        <w:tc>
          <w:tcPr>
            <w:tcW w:w="992" w:type="dxa"/>
            <w:tcBorders>
              <w:top w:val="single" w:sz="6" w:space="0" w:color="auto"/>
              <w:left w:val="single" w:sz="6" w:space="0" w:color="auto"/>
              <w:bottom w:val="single" w:sz="6" w:space="0" w:color="auto"/>
            </w:tcBorders>
            <w:vAlign w:val="center"/>
          </w:tcPr>
          <w:p w14:paraId="0A555667"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r w:rsidRPr="00D403F5">
              <w:rPr>
                <w:rFonts w:ascii="Arial" w:eastAsia="Times New Roman" w:hAnsi="Arial" w:cs="Arial"/>
                <w:bCs/>
                <w:sz w:val="18"/>
                <w:szCs w:val="18"/>
                <w:vertAlign w:val="superscript"/>
                <w:lang w:val="en-IE" w:bidi="en-US"/>
              </w:rPr>
              <w:t>5</w:t>
            </w:r>
          </w:p>
        </w:tc>
        <w:tc>
          <w:tcPr>
            <w:tcW w:w="709" w:type="dxa"/>
            <w:tcBorders>
              <w:top w:val="single" w:sz="6" w:space="0" w:color="auto"/>
              <w:left w:val="single" w:sz="6" w:space="0" w:color="auto"/>
              <w:bottom w:val="single" w:sz="6" w:space="0" w:color="auto"/>
              <w:right w:val="single" w:sz="6" w:space="0" w:color="auto"/>
            </w:tcBorders>
            <w:vAlign w:val="center"/>
          </w:tcPr>
          <w:p w14:paraId="06E0676B"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1</w:t>
            </w:r>
          </w:p>
        </w:tc>
      </w:tr>
      <w:tr w:rsidR="00E65E42" w:rsidRPr="00D403F5" w14:paraId="11251FF1" w14:textId="77777777" w:rsidTr="00E65E42">
        <w:trPr>
          <w:trHeight w:val="402"/>
          <w:jc w:val="center"/>
        </w:trPr>
        <w:tc>
          <w:tcPr>
            <w:tcW w:w="2399" w:type="dxa"/>
            <w:tcBorders>
              <w:top w:val="single" w:sz="4" w:space="0" w:color="auto"/>
              <w:left w:val="single" w:sz="6" w:space="0" w:color="auto"/>
            </w:tcBorders>
            <w:vAlign w:val="center"/>
          </w:tcPr>
          <w:p w14:paraId="2152AE2A"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IFAT</w:t>
            </w:r>
          </w:p>
        </w:tc>
        <w:tc>
          <w:tcPr>
            <w:tcW w:w="995" w:type="dxa"/>
            <w:tcBorders>
              <w:top w:val="single" w:sz="6" w:space="0" w:color="auto"/>
              <w:left w:val="single" w:sz="6" w:space="0" w:color="auto"/>
              <w:bottom w:val="single" w:sz="6" w:space="0" w:color="auto"/>
            </w:tcBorders>
            <w:shd w:val="pct15" w:color="auto" w:fill="auto"/>
            <w:vAlign w:val="center"/>
          </w:tcPr>
          <w:p w14:paraId="7BF049B6"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4C48BDC2"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1DA49205"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4D829BCA"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vAlign w:val="center"/>
          </w:tcPr>
          <w:p w14:paraId="269F6349"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3" w:type="dxa"/>
            <w:tcBorders>
              <w:top w:val="single" w:sz="6" w:space="0" w:color="auto"/>
              <w:left w:val="single" w:sz="6" w:space="0" w:color="auto"/>
              <w:bottom w:val="single" w:sz="6" w:space="0" w:color="auto"/>
            </w:tcBorders>
            <w:vAlign w:val="center"/>
          </w:tcPr>
          <w:p w14:paraId="4BB0A543"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8" w:type="dxa"/>
            <w:tcBorders>
              <w:top w:val="single" w:sz="6" w:space="0" w:color="auto"/>
              <w:left w:val="single" w:sz="6" w:space="0" w:color="auto"/>
              <w:bottom w:val="single" w:sz="6" w:space="0" w:color="auto"/>
            </w:tcBorders>
            <w:vAlign w:val="center"/>
          </w:tcPr>
          <w:p w14:paraId="52C0C897"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634" w:type="dxa"/>
            <w:tcBorders>
              <w:top w:val="single" w:sz="6" w:space="0" w:color="auto"/>
              <w:left w:val="single" w:sz="6" w:space="0" w:color="auto"/>
              <w:bottom w:val="single" w:sz="6" w:space="0" w:color="auto"/>
              <w:right w:val="single" w:sz="6" w:space="0" w:color="auto"/>
            </w:tcBorders>
            <w:vAlign w:val="center"/>
          </w:tcPr>
          <w:p w14:paraId="48DC2D1C"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2</w:t>
            </w:r>
          </w:p>
        </w:tc>
        <w:tc>
          <w:tcPr>
            <w:tcW w:w="960" w:type="dxa"/>
            <w:tcBorders>
              <w:top w:val="single" w:sz="6" w:space="0" w:color="auto"/>
              <w:left w:val="single" w:sz="6" w:space="0" w:color="auto"/>
              <w:bottom w:val="single" w:sz="6" w:space="0" w:color="auto"/>
              <w:right w:val="single" w:sz="6" w:space="0" w:color="auto"/>
            </w:tcBorders>
            <w:vAlign w:val="center"/>
          </w:tcPr>
          <w:p w14:paraId="41BB665C"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r w:rsidRPr="00D403F5">
              <w:rPr>
                <w:rFonts w:ascii="Arial" w:eastAsia="Times New Roman" w:hAnsi="Arial" w:cs="Arial"/>
                <w:bCs/>
                <w:sz w:val="18"/>
                <w:szCs w:val="18"/>
                <w:vertAlign w:val="superscript"/>
                <w:lang w:val="en-IE" w:bidi="en-US"/>
              </w:rPr>
              <w:t>5</w:t>
            </w:r>
          </w:p>
        </w:tc>
        <w:tc>
          <w:tcPr>
            <w:tcW w:w="1100" w:type="dxa"/>
            <w:tcBorders>
              <w:top w:val="single" w:sz="6" w:space="0" w:color="auto"/>
              <w:left w:val="single" w:sz="6" w:space="0" w:color="auto"/>
              <w:bottom w:val="single" w:sz="6" w:space="0" w:color="auto"/>
              <w:right w:val="single" w:sz="6" w:space="0" w:color="auto"/>
            </w:tcBorders>
            <w:vAlign w:val="center"/>
          </w:tcPr>
          <w:p w14:paraId="4D52B36F"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r w:rsidRPr="00D403F5">
              <w:rPr>
                <w:rFonts w:ascii="Arial" w:eastAsia="Times New Roman" w:hAnsi="Arial" w:cs="Arial"/>
                <w:bCs/>
                <w:sz w:val="18"/>
                <w:szCs w:val="18"/>
                <w:vertAlign w:val="superscript"/>
                <w:lang w:val="en-IE" w:bidi="en-US"/>
              </w:rPr>
              <w:t>5</w:t>
            </w:r>
          </w:p>
        </w:tc>
        <w:tc>
          <w:tcPr>
            <w:tcW w:w="992" w:type="dxa"/>
            <w:tcBorders>
              <w:top w:val="single" w:sz="6" w:space="0" w:color="auto"/>
              <w:left w:val="single" w:sz="6" w:space="0" w:color="auto"/>
              <w:bottom w:val="single" w:sz="6" w:space="0" w:color="auto"/>
            </w:tcBorders>
            <w:vAlign w:val="center"/>
          </w:tcPr>
          <w:p w14:paraId="78BA8542"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r w:rsidRPr="00D403F5">
              <w:rPr>
                <w:rFonts w:ascii="Arial" w:eastAsia="Times New Roman" w:hAnsi="Arial" w:cs="Arial"/>
                <w:bCs/>
                <w:sz w:val="18"/>
                <w:szCs w:val="18"/>
                <w:vertAlign w:val="superscript"/>
                <w:lang w:val="en-IE" w:bidi="en-US"/>
              </w:rPr>
              <w:t>5</w:t>
            </w:r>
          </w:p>
        </w:tc>
        <w:tc>
          <w:tcPr>
            <w:tcW w:w="709" w:type="dxa"/>
            <w:tcBorders>
              <w:top w:val="single" w:sz="6" w:space="0" w:color="auto"/>
              <w:left w:val="single" w:sz="6" w:space="0" w:color="auto"/>
              <w:bottom w:val="single" w:sz="6" w:space="0" w:color="auto"/>
              <w:right w:val="single" w:sz="6" w:space="0" w:color="auto"/>
            </w:tcBorders>
            <w:vAlign w:val="center"/>
          </w:tcPr>
          <w:p w14:paraId="2697304F"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2</w:t>
            </w:r>
          </w:p>
        </w:tc>
      </w:tr>
      <w:tr w:rsidR="00E65E42" w:rsidRPr="00D403F5" w14:paraId="696CD84E" w14:textId="77777777" w:rsidTr="00E65E42">
        <w:trPr>
          <w:trHeight w:val="269"/>
          <w:jc w:val="center"/>
        </w:trPr>
        <w:tc>
          <w:tcPr>
            <w:tcW w:w="2399" w:type="dxa"/>
            <w:tcBorders>
              <w:top w:val="single" w:sz="4" w:space="0" w:color="auto"/>
              <w:left w:val="single" w:sz="6" w:space="0" w:color="auto"/>
              <w:bottom w:val="single" w:sz="4" w:space="0" w:color="auto"/>
            </w:tcBorders>
            <w:vAlign w:val="center"/>
          </w:tcPr>
          <w:p w14:paraId="584720D7" w14:textId="77777777" w:rsidR="00E65E42" w:rsidRPr="00D403F5" w:rsidRDefault="00E65E42" w:rsidP="00E65E42">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 xml:space="preserve">Serum neutralisation for </w:t>
            </w:r>
            <w:r w:rsidRPr="00D403F5">
              <w:rPr>
                <w:rFonts w:ascii="Arial" w:eastAsia="Times New Roman" w:hAnsi="Arial" w:cs="Arial"/>
                <w:b/>
                <w:bCs/>
                <w:sz w:val="18"/>
                <w:szCs w:val="18"/>
                <w:lang w:val="en-IE" w:bidi="en-US"/>
              </w:rPr>
              <w:br/>
              <w:t>Ab detection</w:t>
            </w:r>
          </w:p>
        </w:tc>
        <w:tc>
          <w:tcPr>
            <w:tcW w:w="995" w:type="dxa"/>
            <w:tcBorders>
              <w:top w:val="single" w:sz="6" w:space="0" w:color="auto"/>
              <w:left w:val="single" w:sz="6" w:space="0" w:color="auto"/>
              <w:bottom w:val="single" w:sz="6" w:space="0" w:color="auto"/>
            </w:tcBorders>
            <w:shd w:val="pct15" w:color="auto" w:fill="auto"/>
            <w:vAlign w:val="center"/>
          </w:tcPr>
          <w:p w14:paraId="3BC3AC1A"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4" w:space="0" w:color="auto"/>
            </w:tcBorders>
            <w:vAlign w:val="center"/>
          </w:tcPr>
          <w:p w14:paraId="5CAE2CAC"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850" w:type="dxa"/>
            <w:tcBorders>
              <w:top w:val="single" w:sz="6" w:space="0" w:color="auto"/>
              <w:left w:val="single" w:sz="6" w:space="0" w:color="auto"/>
              <w:bottom w:val="single" w:sz="4" w:space="0" w:color="auto"/>
            </w:tcBorders>
            <w:vAlign w:val="center"/>
          </w:tcPr>
          <w:p w14:paraId="20F4AA6A"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4" w:space="0" w:color="auto"/>
              <w:right w:val="single" w:sz="6" w:space="0" w:color="auto"/>
            </w:tcBorders>
            <w:vAlign w:val="center"/>
          </w:tcPr>
          <w:p w14:paraId="653A5582"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2</w:t>
            </w:r>
          </w:p>
        </w:tc>
        <w:tc>
          <w:tcPr>
            <w:tcW w:w="850" w:type="dxa"/>
            <w:tcBorders>
              <w:top w:val="single" w:sz="6" w:space="0" w:color="auto"/>
              <w:left w:val="single" w:sz="6" w:space="0" w:color="auto"/>
              <w:bottom w:val="single" w:sz="6" w:space="0" w:color="auto"/>
            </w:tcBorders>
            <w:shd w:val="pct15" w:color="auto" w:fill="auto"/>
            <w:vAlign w:val="center"/>
          </w:tcPr>
          <w:p w14:paraId="09EF547D"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3D890757"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4CEB7CD5"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0120C442"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6115D963"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1100" w:type="dxa"/>
            <w:tcBorders>
              <w:top w:val="single" w:sz="6" w:space="0" w:color="auto"/>
              <w:left w:val="single" w:sz="6" w:space="0" w:color="auto"/>
              <w:bottom w:val="single" w:sz="6" w:space="0" w:color="auto"/>
              <w:right w:val="single" w:sz="6" w:space="0" w:color="auto"/>
            </w:tcBorders>
            <w:shd w:val="pct15" w:color="auto" w:fill="auto"/>
            <w:vAlign w:val="center"/>
          </w:tcPr>
          <w:p w14:paraId="1E419AC3"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14:paraId="55DAEA14"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4A52E6CB" w14:textId="77777777" w:rsidR="00E65E42" w:rsidRPr="00D403F5" w:rsidRDefault="00E65E42" w:rsidP="00E65E42">
            <w:pPr>
              <w:spacing w:after="0" w:line="240" w:lineRule="auto"/>
              <w:jc w:val="center"/>
              <w:rPr>
                <w:rFonts w:ascii="Arial" w:eastAsia="Times New Roman" w:hAnsi="Arial" w:cs="Arial"/>
                <w:bCs/>
                <w:sz w:val="18"/>
                <w:szCs w:val="18"/>
                <w:lang w:val="en-IE" w:bidi="en-US"/>
              </w:rPr>
            </w:pPr>
          </w:p>
        </w:tc>
      </w:tr>
    </w:tbl>
    <w:p w14:paraId="0FB30B05" w14:textId="77777777" w:rsidR="00E65E42" w:rsidRPr="00D403F5" w:rsidRDefault="00E65E42" w:rsidP="00E65E42">
      <w:pPr>
        <w:tabs>
          <w:tab w:val="left" w:pos="-720"/>
        </w:tabs>
        <w:spacing w:before="120" w:after="0" w:line="240" w:lineRule="auto"/>
        <w:jc w:val="center"/>
        <w:rPr>
          <w:rFonts w:ascii="Arial" w:eastAsia="Times New Roman" w:hAnsi="Arial" w:cs="Arial"/>
          <w:sz w:val="18"/>
          <w:szCs w:val="18"/>
          <w:lang w:val="en-IE" w:bidi="en-US"/>
        </w:rPr>
      </w:pPr>
      <w:r w:rsidRPr="00D403F5">
        <w:rPr>
          <w:rFonts w:ascii="Arial" w:eastAsia="Times New Roman" w:hAnsi="Arial" w:cs="Arial"/>
          <w:sz w:val="18"/>
          <w:szCs w:val="18"/>
          <w:lang w:eastAsia="fr-FR"/>
        </w:rPr>
        <w:t>LV = level of validation, refers to the stage of validation in the OIE Pathway (chapter 1.1.2)</w:t>
      </w:r>
      <w:r w:rsidRPr="00D403F5">
        <w:rPr>
          <w:rFonts w:ascii="Arial" w:eastAsia="Times New Roman" w:hAnsi="Arial" w:cs="Arial"/>
          <w:sz w:val="18"/>
          <w:szCs w:val="18"/>
          <w:lang w:val="en-US" w:bidi="en-US"/>
        </w:rPr>
        <w:t xml:space="preserve">; </w:t>
      </w:r>
      <w:r w:rsidRPr="00D403F5">
        <w:rPr>
          <w:rFonts w:ascii="Arial" w:eastAsia="Times New Roman" w:hAnsi="Arial" w:cs="Arial"/>
          <w:sz w:val="18"/>
          <w:szCs w:val="18"/>
          <w:lang w:val="en-IE" w:eastAsia="fr-FR"/>
        </w:rPr>
        <w:t xml:space="preserve">RT-PCR = reverse-transcription polymerase chain reaction; </w:t>
      </w:r>
      <w:r w:rsidRPr="00D403F5">
        <w:rPr>
          <w:rFonts w:ascii="Arial" w:hAnsi="Arial" w:cs="Arial"/>
          <w:sz w:val="18"/>
          <w:szCs w:val="18"/>
          <w:lang w:val="en-IE" w:bidi="en-US"/>
        </w:rPr>
        <w:t xml:space="preserve">LAMP = </w:t>
      </w:r>
      <w:r w:rsidRPr="00D403F5">
        <w:rPr>
          <w:rFonts w:ascii="Arial" w:eastAsia="Calibri" w:hAnsi="Arial" w:cs="Arial"/>
          <w:sz w:val="18"/>
          <w:szCs w:val="18"/>
        </w:rPr>
        <w:t>loop-mediated isothermal amplification</w:t>
      </w:r>
      <w:r>
        <w:rPr>
          <w:rFonts w:ascii="Arial" w:eastAsia="Calibri" w:hAnsi="Arial" w:cs="Arial"/>
          <w:sz w:val="18"/>
          <w:szCs w:val="18"/>
        </w:rPr>
        <w:t>;</w:t>
      </w:r>
      <w:r w:rsidRPr="00414F96">
        <w:rPr>
          <w:rFonts w:ascii="Arial" w:hAnsi="Arial" w:cs="Arial"/>
          <w:sz w:val="18"/>
          <w:szCs w:val="18"/>
          <w:lang w:eastAsia="fr-FR"/>
        </w:rPr>
        <w:t xml:space="preserve"> </w:t>
      </w:r>
      <w:r w:rsidRPr="00D403F5">
        <w:rPr>
          <w:rFonts w:ascii="Arial" w:eastAsia="Times New Roman" w:hAnsi="Arial" w:cs="Arial"/>
          <w:sz w:val="18"/>
          <w:szCs w:val="18"/>
          <w:lang w:val="en-IE" w:eastAsia="fr-FR"/>
        </w:rPr>
        <w:t xml:space="preserve">Ab- or Ag-ELISA = antibody or antigen enzyme-linked immunosorbent assay, respectively; IFAT = indirect fluorescent antibody test; </w:t>
      </w:r>
      <w:r>
        <w:rPr>
          <w:rFonts w:ascii="Arial" w:eastAsia="Times New Roman" w:hAnsi="Arial" w:cs="Arial"/>
          <w:sz w:val="18"/>
          <w:szCs w:val="18"/>
          <w:lang w:val="en-IE" w:eastAsia="fr-FR" w:bidi="en-US"/>
        </w:rPr>
        <w:br/>
      </w:r>
      <w:r w:rsidRPr="00D403F5">
        <w:rPr>
          <w:rFonts w:ascii="Arial" w:eastAsia="Times New Roman" w:hAnsi="Arial" w:cs="Arial"/>
          <w:sz w:val="18"/>
          <w:szCs w:val="18"/>
          <w:vertAlign w:val="superscript"/>
          <w:lang w:val="en-IE" w:eastAsia="fr-FR" w:bidi="en-US"/>
        </w:rPr>
        <w:t>1</w:t>
      </w:r>
      <w:r w:rsidRPr="00D403F5">
        <w:rPr>
          <w:rFonts w:ascii="Arial" w:eastAsia="Times New Roman" w:hAnsi="Arial" w:cs="Arial"/>
          <w:sz w:val="18"/>
          <w:szCs w:val="18"/>
          <w:lang w:val="en-IE" w:eastAsia="fr-FR"/>
        </w:rPr>
        <w:t xml:space="preserve">For confirmatory diagnoses, methods need to be carried out in combination (see Section 6). </w:t>
      </w:r>
      <w:r w:rsidRPr="00D403F5">
        <w:rPr>
          <w:rFonts w:ascii="Arial" w:eastAsia="Times New Roman" w:hAnsi="Arial" w:cs="Arial"/>
          <w:sz w:val="18"/>
          <w:szCs w:val="18"/>
          <w:vertAlign w:val="superscript"/>
          <w:lang w:val="en-IE" w:eastAsia="fr-FR" w:bidi="en-US"/>
        </w:rPr>
        <w:t>2</w:t>
      </w:r>
      <w:r w:rsidRPr="00D403F5">
        <w:rPr>
          <w:rFonts w:ascii="Arial" w:eastAsia="Times New Roman" w:hAnsi="Arial" w:cs="Arial"/>
          <w:sz w:val="18"/>
          <w:szCs w:val="18"/>
          <w:lang w:val="en-IE" w:eastAsia="fr-FR"/>
        </w:rPr>
        <w:t xml:space="preserve">Early and juvenile life stages have been defined in Section 2.2.4. </w:t>
      </w:r>
      <w:r w:rsidRPr="00D403F5">
        <w:rPr>
          <w:rFonts w:ascii="Arial" w:eastAsia="Times New Roman" w:hAnsi="Arial" w:cs="Arial"/>
          <w:sz w:val="18"/>
          <w:szCs w:val="18"/>
          <w:vertAlign w:val="superscript"/>
          <w:lang w:val="en-IE" w:eastAsia="fr-FR" w:bidi="en-US"/>
        </w:rPr>
        <w:t>3</w:t>
      </w:r>
      <w:r w:rsidRPr="00D403F5">
        <w:rPr>
          <w:rFonts w:ascii="Arial" w:eastAsia="Times New Roman" w:hAnsi="Arial" w:cs="Arial"/>
          <w:sz w:val="18"/>
          <w:szCs w:val="18"/>
          <w:lang w:val="en-IE" w:eastAsia="fr-FR"/>
        </w:rPr>
        <w:t>Histopathology and cytopathology can be validated if the results from different operators has been statistically compared.</w:t>
      </w:r>
      <w:r w:rsidRPr="00D403F5">
        <w:rPr>
          <w:rFonts w:ascii="Arial Narrow" w:eastAsia="Times New Roman" w:hAnsi="Arial Narrow" w:cs="Arial"/>
          <w:sz w:val="18"/>
          <w:szCs w:val="18"/>
          <w:vertAlign w:val="superscript"/>
          <w:lang w:eastAsia="fr-FR"/>
        </w:rPr>
        <w:t xml:space="preserve"> 4</w:t>
      </w:r>
      <w:r w:rsidRPr="00D403F5">
        <w:rPr>
          <w:rFonts w:ascii="Arial" w:eastAsia="Times New Roman" w:hAnsi="Arial" w:cs="Arial"/>
          <w:sz w:val="18"/>
          <w:szCs w:val="18"/>
          <w:lang w:val="en-IE" w:eastAsia="fr-FR"/>
        </w:rPr>
        <w:t xml:space="preserve">Sequencing of the PCR product. </w:t>
      </w:r>
      <w:bookmarkStart w:id="154" w:name="_Hlk21098543"/>
      <w:r w:rsidRPr="00D403F5">
        <w:rPr>
          <w:rFonts w:ascii="Arial" w:eastAsia="Times New Roman" w:hAnsi="Arial" w:cs="Arial"/>
          <w:sz w:val="18"/>
          <w:szCs w:val="18"/>
          <w:vertAlign w:val="superscript"/>
          <w:lang w:val="en-IE" w:eastAsia="fr-FR"/>
        </w:rPr>
        <w:t>5</w:t>
      </w:r>
      <w:r w:rsidRPr="00D403F5">
        <w:rPr>
          <w:rFonts w:ascii="Arial" w:eastAsia="Times New Roman" w:hAnsi="Arial" w:cs="Arial"/>
          <w:sz w:val="18"/>
          <w:szCs w:val="18"/>
          <w:lang w:val="en-IE" w:eastAsia="fr-FR"/>
        </w:rPr>
        <w:t>only for identification of cultured pathogen</w:t>
      </w:r>
      <w:bookmarkEnd w:id="154"/>
      <w:r w:rsidRPr="00D403F5">
        <w:rPr>
          <w:rFonts w:ascii="Arial" w:eastAsia="Times New Roman" w:hAnsi="Arial" w:cs="Arial"/>
          <w:sz w:val="18"/>
          <w:szCs w:val="18"/>
          <w:lang w:val="en-IE" w:eastAsia="fr-FR"/>
        </w:rPr>
        <w:t>. Shading indicates the test is inappropriate or should not be used for this purpose.</w:t>
      </w:r>
    </w:p>
    <w:p w14:paraId="62BA7AC2" w14:textId="1C1F38C7" w:rsidR="00E65E42" w:rsidRDefault="00E65E42" w:rsidP="00E65E42">
      <w:pPr>
        <w:spacing w:after="0" w:line="240" w:lineRule="auto"/>
        <w:jc w:val="both"/>
        <w:rPr>
          <w:rFonts w:ascii="Arial" w:eastAsia="Times New Roman" w:hAnsi="Arial" w:cs="Arial"/>
          <w:sz w:val="18"/>
          <w:szCs w:val="18"/>
          <w:lang w:val="en-IE" w:bidi="en-US"/>
        </w:rPr>
      </w:pPr>
    </w:p>
    <w:p w14:paraId="27974A1C" w14:textId="77777777" w:rsidR="00EE0A09" w:rsidRDefault="00EE0A09" w:rsidP="00EE0A09">
      <w:pPr>
        <w:spacing w:after="480" w:line="240" w:lineRule="auto"/>
        <w:rPr>
          <w:u w:val="single"/>
        </w:rPr>
        <w:sectPr w:rsidR="00EE0A09" w:rsidSect="00EE0A09">
          <w:headerReference w:type="even" r:id="rId204"/>
          <w:headerReference w:type="default" r:id="rId205"/>
          <w:footerReference w:type="default" r:id="rId206"/>
          <w:headerReference w:type="first" r:id="rId207"/>
          <w:pgSz w:w="16838" w:h="11906" w:orient="landscape"/>
          <w:pgMar w:top="1440" w:right="1440" w:bottom="1440" w:left="1440" w:header="709" w:footer="709" w:gutter="0"/>
          <w:cols w:space="708"/>
          <w:docGrid w:linePitch="360"/>
        </w:sectPr>
      </w:pPr>
    </w:p>
    <w:p w14:paraId="470C9BC9" w14:textId="1D3F7C7B" w:rsidR="00EE0A09" w:rsidRPr="008A67C2" w:rsidRDefault="00EE0A09" w:rsidP="00EE0A09">
      <w:pPr>
        <w:spacing w:after="480" w:line="240" w:lineRule="auto"/>
        <w:rPr>
          <w:rFonts w:cs="Times New Roman"/>
          <w:bCs/>
          <w:iCs/>
          <w:szCs w:val="20"/>
        </w:rPr>
      </w:pP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27044A4E" w14:textId="77777777" w:rsidR="00E65E42" w:rsidRPr="00BC2337" w:rsidRDefault="00E65E42" w:rsidP="000A4E1E">
      <w:pPr>
        <w:tabs>
          <w:tab w:val="left" w:pos="1418"/>
        </w:tabs>
        <w:spacing w:after="120" w:line="240" w:lineRule="auto"/>
        <w:ind w:left="709" w:hanging="425"/>
        <w:jc w:val="both"/>
        <w:rPr>
          <w:rFonts w:ascii="Ottawa" w:eastAsia="MS Mincho" w:hAnsi="Ottawa" w:cs="Times New Roman"/>
          <w:b/>
          <w:sz w:val="21"/>
          <w:szCs w:val="21"/>
          <w:lang w:val="da-DK" w:eastAsia="da-DK"/>
        </w:rPr>
      </w:pPr>
      <w:r w:rsidRPr="00BC2337">
        <w:rPr>
          <w:rFonts w:ascii="Ottawa" w:eastAsia="MS Mincho" w:hAnsi="Ottawa" w:cs="Times New Roman"/>
          <w:b/>
          <w:sz w:val="21"/>
          <w:szCs w:val="21"/>
          <w:lang w:val="da-DK" w:eastAsia="da-DK"/>
        </w:rPr>
        <w:t>4.1.</w:t>
      </w:r>
      <w:r w:rsidRPr="00BC2337">
        <w:rPr>
          <w:rFonts w:ascii="Ottawa" w:eastAsia="MS Mincho" w:hAnsi="Ottawa" w:cs="Times New Roman"/>
          <w:b/>
          <w:sz w:val="21"/>
          <w:szCs w:val="21"/>
          <w:lang w:val="da-DK" w:eastAsia="da-DK"/>
        </w:rPr>
        <w:tab/>
        <w:t xml:space="preserve">Wet mounts </w:t>
      </w:r>
    </w:p>
    <w:p w14:paraId="6AA36667" w14:textId="77777777" w:rsidR="00E65E42" w:rsidRPr="00D403F5" w:rsidRDefault="00E65E42" w:rsidP="001E34B0">
      <w:pPr>
        <w:spacing w:after="240" w:line="240" w:lineRule="auto"/>
        <w:ind w:left="709"/>
        <w:jc w:val="both"/>
        <w:rPr>
          <w:rFonts w:ascii="Arial" w:eastAsia="Times New Roman" w:hAnsi="Arial" w:cs="Arial"/>
          <w:sz w:val="18"/>
          <w:szCs w:val="18"/>
          <w:lang w:val="en-IE" w:eastAsia="fr-FR"/>
        </w:rPr>
      </w:pPr>
      <w:r w:rsidRPr="00D403F5">
        <w:rPr>
          <w:rFonts w:ascii="Arial" w:eastAsia="Times New Roman" w:hAnsi="Arial" w:cs="Arial"/>
          <w:sz w:val="18"/>
          <w:szCs w:val="18"/>
          <w:lang w:val="en-IE" w:eastAsia="fr-FR"/>
        </w:rPr>
        <w:t>Not relevant.</w:t>
      </w:r>
    </w:p>
    <w:p w14:paraId="199C75FB" w14:textId="77777777" w:rsidR="00E65E42" w:rsidRPr="00BC2337" w:rsidRDefault="00E65E42" w:rsidP="000A4E1E">
      <w:pPr>
        <w:tabs>
          <w:tab w:val="left" w:pos="1418"/>
        </w:tabs>
        <w:spacing w:after="120" w:line="240" w:lineRule="auto"/>
        <w:ind w:left="709" w:hanging="425"/>
        <w:jc w:val="both"/>
        <w:rPr>
          <w:rFonts w:ascii="Ottawa" w:eastAsia="MS Mincho" w:hAnsi="Ottawa" w:cs="Times New Roman"/>
          <w:b/>
          <w:sz w:val="21"/>
          <w:szCs w:val="21"/>
          <w:lang w:val="da-DK" w:eastAsia="da-DK"/>
        </w:rPr>
      </w:pPr>
      <w:r w:rsidRPr="00BC2337">
        <w:rPr>
          <w:rFonts w:ascii="Ottawa" w:eastAsia="MS Mincho" w:hAnsi="Ottawa" w:cs="Times New Roman"/>
          <w:b/>
          <w:sz w:val="21"/>
          <w:szCs w:val="21"/>
          <w:lang w:val="da-DK" w:eastAsia="da-DK"/>
        </w:rPr>
        <w:t>4.2.</w:t>
      </w:r>
      <w:r w:rsidRPr="00BC2337">
        <w:rPr>
          <w:rFonts w:ascii="Ottawa" w:eastAsia="MS Mincho" w:hAnsi="Ottawa" w:cs="Times New Roman"/>
          <w:b/>
          <w:sz w:val="21"/>
          <w:szCs w:val="21"/>
          <w:lang w:val="da-DK" w:eastAsia="da-DK"/>
        </w:rPr>
        <w:tab/>
        <w:t>Histopathology and cytopathology</w:t>
      </w:r>
    </w:p>
    <w:p w14:paraId="2266DBA0" w14:textId="77777777" w:rsidR="00E65E42" w:rsidRPr="007B73F2" w:rsidRDefault="00E65E42" w:rsidP="001E34B0">
      <w:pPr>
        <w:spacing w:after="240" w:line="240" w:lineRule="auto"/>
        <w:ind w:left="709"/>
        <w:jc w:val="both"/>
        <w:rPr>
          <w:rFonts w:ascii="Arial" w:eastAsia="Times New Roman" w:hAnsi="Arial" w:cs="Arial"/>
          <w:i/>
          <w:sz w:val="18"/>
          <w:szCs w:val="18"/>
        </w:rPr>
      </w:pPr>
      <w:r w:rsidRPr="00D403F5">
        <w:rPr>
          <w:rFonts w:ascii="Arial" w:eastAsia="Times New Roman" w:hAnsi="Arial" w:cs="Arial"/>
          <w:sz w:val="18"/>
          <w:szCs w:val="18"/>
        </w:rPr>
        <w:t xml:space="preserve">The kidney, liver and spleen show extensive focal necrosis and degeneration – cytoplasmic vacuoles, pyknosis, karyolysis, and lymphocytic invasion. While the skeletal muscle does not appear to be a site of infection, erythrocytes can accumulate in the skeletal muscle bundles and fibres without causing damage to the muscle </w:t>
      </w:r>
      <w:r w:rsidRPr="00D403F5">
        <w:rPr>
          <w:rFonts w:ascii="Arial" w:eastAsia="Times New Roman" w:hAnsi="Arial" w:cs="Arial"/>
          <w:i/>
          <w:sz w:val="18"/>
          <w:szCs w:val="18"/>
        </w:rPr>
        <w:t xml:space="preserve">per se </w:t>
      </w:r>
      <w:r w:rsidRPr="00D403F5">
        <w:rPr>
          <w:rFonts w:ascii="Arial" w:eastAsia="Times New Roman" w:hAnsi="Arial" w:cs="Arial"/>
          <w:sz w:val="18"/>
          <w:szCs w:val="18"/>
        </w:rPr>
        <w:t>(</w:t>
      </w:r>
      <w:r w:rsidRPr="007B73F2">
        <w:rPr>
          <w:rFonts w:ascii="Arial" w:eastAsia="Times New Roman" w:hAnsi="Arial" w:cs="Arial"/>
          <w:sz w:val="18"/>
          <w:szCs w:val="18"/>
        </w:rPr>
        <w:t>Evensen</w:t>
      </w:r>
      <w:r w:rsidRPr="007B73F2">
        <w:rPr>
          <w:rFonts w:ascii="Arial" w:eastAsia="Times New Roman" w:hAnsi="Arial" w:cs="Arial"/>
          <w:i/>
          <w:sz w:val="18"/>
          <w:szCs w:val="18"/>
        </w:rPr>
        <w:t xml:space="preserve"> et al., </w:t>
      </w:r>
      <w:r w:rsidRPr="007B73F2">
        <w:rPr>
          <w:rFonts w:ascii="Arial" w:eastAsia="Times New Roman" w:hAnsi="Arial" w:cs="Arial"/>
          <w:sz w:val="18"/>
          <w:szCs w:val="18"/>
        </w:rPr>
        <w:t>1994)</w:t>
      </w:r>
      <w:r w:rsidRPr="007B73F2">
        <w:rPr>
          <w:rFonts w:ascii="Arial" w:eastAsia="Times New Roman" w:hAnsi="Arial" w:cs="Arial"/>
          <w:i/>
          <w:sz w:val="18"/>
          <w:szCs w:val="18"/>
        </w:rPr>
        <w:t>.</w:t>
      </w:r>
    </w:p>
    <w:p w14:paraId="5F0460DD" w14:textId="77777777" w:rsidR="00E65E42" w:rsidRPr="007B73F2" w:rsidRDefault="00E65E42" w:rsidP="000A4E1E">
      <w:pPr>
        <w:tabs>
          <w:tab w:val="left" w:pos="1418"/>
        </w:tabs>
        <w:spacing w:after="120" w:line="240" w:lineRule="auto"/>
        <w:ind w:left="709" w:hanging="425"/>
        <w:jc w:val="both"/>
        <w:rPr>
          <w:rFonts w:ascii="Ottawa" w:eastAsia="MS Mincho" w:hAnsi="Ottawa" w:cs="Times New Roman"/>
          <w:b/>
          <w:sz w:val="21"/>
          <w:szCs w:val="21"/>
          <w:lang w:val="da-DK" w:eastAsia="da-DK"/>
        </w:rPr>
      </w:pPr>
      <w:r w:rsidRPr="007B73F2">
        <w:rPr>
          <w:rFonts w:ascii="Ottawa" w:eastAsia="MS Mincho" w:hAnsi="Ottawa" w:cs="Times New Roman"/>
          <w:b/>
          <w:sz w:val="21"/>
          <w:szCs w:val="21"/>
          <w:lang w:val="da-DK" w:eastAsia="da-DK"/>
        </w:rPr>
        <w:t>4.3.</w:t>
      </w:r>
      <w:r w:rsidRPr="007B73F2">
        <w:rPr>
          <w:rFonts w:ascii="Ottawa" w:eastAsia="MS Mincho" w:hAnsi="Ottawa" w:cs="Times New Roman"/>
          <w:b/>
          <w:sz w:val="21"/>
          <w:szCs w:val="21"/>
          <w:lang w:val="da-DK" w:eastAsia="da-DK"/>
        </w:rPr>
        <w:tab/>
        <w:t>Cell or artificial media culture for isolation</w:t>
      </w:r>
    </w:p>
    <w:p w14:paraId="4604F306" w14:textId="77777777" w:rsidR="00E65E42" w:rsidRPr="00D403F5" w:rsidRDefault="00E65E42" w:rsidP="001E34B0">
      <w:pPr>
        <w:spacing w:after="240" w:line="240" w:lineRule="auto"/>
        <w:ind w:left="709"/>
        <w:jc w:val="both"/>
        <w:rPr>
          <w:rFonts w:ascii="Arial" w:eastAsia="Times New Roman" w:hAnsi="Arial" w:cs="Arial"/>
          <w:sz w:val="18"/>
          <w:szCs w:val="18"/>
          <w:lang w:val="en-IE"/>
        </w:rPr>
      </w:pPr>
      <w:r w:rsidRPr="007B73F2">
        <w:rPr>
          <w:rFonts w:ascii="Arial" w:eastAsia="Times New Roman" w:hAnsi="Arial" w:cs="Arial"/>
          <w:sz w:val="18"/>
          <w:szCs w:val="18"/>
          <w:lang w:val="en-IE"/>
        </w:rPr>
        <w:t xml:space="preserve">The recommended cell lines for VHSV detection are bluegill fry (BF-2), epithelioma papulosum cyprini (EPC) or fathead minnow (FHM). Susceptibility of a cell line to VHSV infection will depend on a range of parameters, including cell-line lineage or viral strain differences. Generally, VHSV isolates belonging to either genotypes I, II, or III culture best on BF-2 (Lorenzen </w:t>
      </w:r>
      <w:r w:rsidRPr="007B73F2">
        <w:rPr>
          <w:rFonts w:ascii="Arial" w:eastAsia="Times New Roman" w:hAnsi="Arial" w:cs="Arial"/>
          <w:i/>
          <w:sz w:val="18"/>
          <w:szCs w:val="18"/>
          <w:lang w:val="en-IE"/>
        </w:rPr>
        <w:t>et al</w:t>
      </w:r>
      <w:r w:rsidRPr="007B73F2">
        <w:rPr>
          <w:rFonts w:ascii="Arial" w:eastAsia="Times New Roman" w:hAnsi="Arial" w:cs="Arial"/>
          <w:sz w:val="18"/>
          <w:szCs w:val="18"/>
          <w:lang w:val="en-IE"/>
        </w:rPr>
        <w:t>., 1999), while genotype IV isolates culture best on the EPC cell line (US Department of the Interior, 2007).</w:t>
      </w:r>
      <w:r w:rsidRPr="00D403F5">
        <w:rPr>
          <w:rFonts w:ascii="Arial" w:eastAsia="Times New Roman" w:hAnsi="Arial" w:cs="Arial"/>
          <w:sz w:val="18"/>
          <w:szCs w:val="18"/>
          <w:lang w:val="en-IE"/>
        </w:rPr>
        <w:t xml:space="preserve"> </w:t>
      </w:r>
    </w:p>
    <w:p w14:paraId="46EC06DE" w14:textId="77777777" w:rsidR="00E65E42" w:rsidRPr="00BC2337" w:rsidRDefault="00E65E42" w:rsidP="000A4E1E">
      <w:pPr>
        <w:spacing w:after="24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4.3.1.</w:t>
      </w:r>
      <w:r w:rsidRPr="00BC2337">
        <w:rPr>
          <w:rFonts w:ascii="Ottawa" w:eastAsia="Times New Roman" w:hAnsi="Ottawa" w:cs="Times New Roman"/>
          <w:b/>
          <w:bCs/>
          <w:szCs w:val="20"/>
          <w:lang w:val="en-IE" w:eastAsia="fr-FR"/>
        </w:rPr>
        <w:tab/>
        <w:t>Cell lines</w:t>
      </w:r>
    </w:p>
    <w:p w14:paraId="67D05CBF" w14:textId="77777777" w:rsidR="00E65E42" w:rsidRPr="00D403F5" w:rsidRDefault="00E65E42" w:rsidP="000A4E1E">
      <w:pPr>
        <w:spacing w:after="240" w:line="240" w:lineRule="auto"/>
        <w:ind w:left="709"/>
        <w:jc w:val="both"/>
        <w:rPr>
          <w:rFonts w:ascii="Arial" w:eastAsia="Times New Roman" w:hAnsi="Arial" w:cs="Arial"/>
          <w:sz w:val="18"/>
          <w:szCs w:val="18"/>
          <w:lang w:val="en-IE"/>
        </w:rPr>
      </w:pPr>
      <w:r w:rsidRPr="00D403F5">
        <w:rPr>
          <w:rFonts w:ascii="Arial" w:eastAsia="Times New Roman" w:hAnsi="Arial" w:cs="Arial"/>
          <w:sz w:val="18"/>
          <w:szCs w:val="18"/>
          <w:lang w:val="en-IE"/>
        </w:rPr>
        <w:t>Cell lines should be monitored regularly (e.g. every 6 months) to ensure that susceptibility to targeted pathogens has not changed.</w:t>
      </w:r>
    </w:p>
    <w:p w14:paraId="3F82ED05" w14:textId="77777777" w:rsidR="00E65E42" w:rsidRPr="00D403F5" w:rsidRDefault="00E65E42" w:rsidP="000A4E1E">
      <w:pPr>
        <w:spacing w:after="240" w:line="240" w:lineRule="auto"/>
        <w:ind w:left="709"/>
        <w:jc w:val="both"/>
        <w:rPr>
          <w:rFonts w:ascii="Arial" w:eastAsia="Times New Roman" w:hAnsi="Arial" w:cs="Arial"/>
          <w:sz w:val="18"/>
          <w:szCs w:val="18"/>
          <w:lang w:val="en-IE"/>
        </w:rPr>
      </w:pPr>
      <w:r w:rsidRPr="00D403F5">
        <w:rPr>
          <w:rFonts w:ascii="Arial" w:eastAsia="Times New Roman" w:hAnsi="Arial" w:cs="Arial"/>
          <w:sz w:val="18"/>
          <w:szCs w:val="18"/>
          <w:lang w:val="en-IE"/>
        </w:rPr>
        <w:t>Cells are grown at 20–24°C in a suitable medium, e.g. Eagle’s minimal essential medium (MEM) (or modifications thereof) with a supplement of 10% fetal bovine serum (FBS) and antibiotics in standard concentrations. When the cells are cultivated in closed vials, it is recommended to buffer the medium with bicarbonate. The medium used for cultivation of cells in open units may be buffered with Tris/HCl (23 mM) and Na-bicarbonate (6 mM), or with HEPES-buffered medium (HEPES=N-2-hydroxyethyl-piperazine-N-2-ethanesulphonic acid). The pH must be maintained at 7.6 ± 0.2. Cell cultures to be used for inoculation with tissue material should be young (4–48 hours old) and actively growing (not confluent) at inoculation. Cell susceptibility can be enhanced by reducing the amount of FBS to 2%. Pre-treatment of cells with 7% (w/v) PEG-20,000 solution (10–15 µl/cm</w:t>
      </w:r>
      <w:r w:rsidRPr="00D403F5">
        <w:rPr>
          <w:rFonts w:ascii="Arial" w:eastAsia="Times New Roman" w:hAnsi="Arial" w:cs="Arial"/>
          <w:sz w:val="18"/>
          <w:szCs w:val="18"/>
          <w:vertAlign w:val="superscript"/>
          <w:lang w:val="en-IE"/>
        </w:rPr>
        <w:t>2</w:t>
      </w:r>
      <w:r w:rsidRPr="00D403F5">
        <w:rPr>
          <w:rFonts w:ascii="Arial" w:eastAsia="Times New Roman" w:hAnsi="Arial" w:cs="Arial"/>
          <w:sz w:val="18"/>
          <w:szCs w:val="18"/>
          <w:lang w:val="en-IE"/>
        </w:rPr>
        <w:t>)</w:t>
      </w:r>
      <w:r w:rsidRPr="00D403F5">
        <w:rPr>
          <w:rFonts w:ascii="Arial" w:eastAsia="Calibri" w:hAnsi="Arial" w:cs="Arial"/>
          <w:sz w:val="18"/>
          <w:szCs w:val="18"/>
          <w:lang w:val="en-CA"/>
        </w:rPr>
        <w:t xml:space="preserve"> </w:t>
      </w:r>
      <w:r w:rsidRPr="00D403F5">
        <w:rPr>
          <w:rFonts w:ascii="Arial" w:eastAsia="Times New Roman" w:hAnsi="Arial" w:cs="Arial"/>
          <w:sz w:val="18"/>
          <w:szCs w:val="18"/>
          <w:lang w:val="en-IE"/>
        </w:rPr>
        <w:t xml:space="preserve">15–30 minutes prior to sample inoculation has also been shown to increase detection of VHSV in culture </w:t>
      </w:r>
      <w:r w:rsidRPr="007B73F2">
        <w:rPr>
          <w:rFonts w:ascii="Arial" w:eastAsia="Times New Roman" w:hAnsi="Arial" w:cs="Arial"/>
          <w:sz w:val="18"/>
          <w:szCs w:val="18"/>
          <w:lang w:val="en-IE"/>
        </w:rPr>
        <w:t xml:space="preserve">(Batts </w:t>
      </w:r>
      <w:r w:rsidRPr="007B73F2">
        <w:rPr>
          <w:rFonts w:ascii="Arial" w:eastAsia="Times New Roman" w:hAnsi="Arial" w:cs="Times New Roman"/>
          <w:i/>
          <w:sz w:val="18"/>
          <w:szCs w:val="18"/>
          <w:lang w:val="en-IE"/>
        </w:rPr>
        <w:t>et al.,</w:t>
      </w:r>
      <w:r w:rsidRPr="007B73F2">
        <w:rPr>
          <w:rFonts w:ascii="Arial" w:eastAsia="Times New Roman" w:hAnsi="Arial" w:cs="Times New Roman"/>
          <w:sz w:val="18"/>
          <w:szCs w:val="18"/>
          <w:lang w:val="en-IE"/>
        </w:rPr>
        <w:t xml:space="preserve"> </w:t>
      </w:r>
      <w:r w:rsidRPr="007B73F2">
        <w:rPr>
          <w:rFonts w:ascii="Arial" w:eastAsia="Times New Roman" w:hAnsi="Arial" w:cs="Arial"/>
          <w:sz w:val="18"/>
          <w:szCs w:val="18"/>
          <w:lang w:val="en-IE"/>
        </w:rPr>
        <w:t>1991).</w:t>
      </w:r>
    </w:p>
    <w:p w14:paraId="1CCBA64B" w14:textId="77777777" w:rsidR="00E65E42" w:rsidRPr="00BC2337" w:rsidRDefault="00E65E42" w:rsidP="000A4E1E">
      <w:pPr>
        <w:spacing w:after="240" w:line="240" w:lineRule="auto"/>
        <w:ind w:left="1276"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4.3.2.</w:t>
      </w:r>
      <w:r w:rsidRPr="00BC2337">
        <w:rPr>
          <w:rFonts w:ascii="Ottawa" w:eastAsia="Times New Roman" w:hAnsi="Ottawa" w:cs="Times New Roman"/>
          <w:b/>
          <w:bCs/>
          <w:szCs w:val="20"/>
          <w:lang w:val="en-IE" w:eastAsia="fr-FR"/>
        </w:rPr>
        <w:tab/>
        <w:t>Sample preparation and inoculation</w:t>
      </w:r>
    </w:p>
    <w:p w14:paraId="4BB75E0B" w14:textId="77777777" w:rsidR="00E65E42" w:rsidRPr="00D403F5" w:rsidRDefault="00E65E42" w:rsidP="000A4E1E">
      <w:pPr>
        <w:spacing w:after="240" w:line="240" w:lineRule="auto"/>
        <w:ind w:left="993" w:hanging="284"/>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r>
      <w:r w:rsidRPr="00D403F5">
        <w:rPr>
          <w:rFonts w:ascii="Arial" w:eastAsia="MS Mincho" w:hAnsi="Arial" w:cs="Arial"/>
          <w:b/>
          <w:sz w:val="18"/>
          <w:szCs w:val="18"/>
          <w:lang w:val="en-IE"/>
        </w:rPr>
        <w:t>Note:</w:t>
      </w:r>
      <w:r w:rsidRPr="00D403F5">
        <w:rPr>
          <w:rFonts w:ascii="Arial" w:eastAsia="MS Mincho" w:hAnsi="Arial" w:cs="Arial"/>
          <w:sz w:val="18"/>
          <w:szCs w:val="18"/>
          <w:lang w:val="en-IE"/>
        </w:rPr>
        <w:t xml:space="preserve"> Tissue and fluid samples should be kept cool throughout sample preparation procedures. Homogenise tissue samples using mortar and pestle</w:t>
      </w:r>
      <w:r w:rsidRPr="00BF51FB">
        <w:rPr>
          <w:rFonts w:ascii="Arial" w:eastAsia="MS Mincho" w:hAnsi="Arial" w:cs="Arial"/>
          <w:strike/>
          <w:sz w:val="18"/>
          <w:szCs w:val="18"/>
          <w:highlight w:val="yellow"/>
          <w:lang w:val="en-IE"/>
        </w:rPr>
        <w:t xml:space="preserve">, stomacher, polytron or </w:t>
      </w:r>
      <w:r w:rsidRPr="00183442">
        <w:rPr>
          <w:rFonts w:ascii="Arial" w:eastAsia="MS Mincho" w:hAnsi="Arial" w:cs="Arial"/>
          <w:strike/>
          <w:sz w:val="18"/>
          <w:szCs w:val="18"/>
          <w:highlight w:val="yellow"/>
          <w:lang w:val="en-IE"/>
        </w:rPr>
        <w:t xml:space="preserve">equivalent </w:t>
      </w:r>
      <w:r w:rsidRPr="00183442">
        <w:rPr>
          <w:rFonts w:ascii="Arial" w:eastAsia="MS Mincho" w:hAnsi="Arial" w:cs="Arial"/>
          <w:sz w:val="18"/>
          <w:szCs w:val="18"/>
          <w:highlight w:val="yellow"/>
          <w:u w:val="double"/>
          <w:lang w:val="en-IE"/>
        </w:rPr>
        <w:t xml:space="preserve">or </w:t>
      </w:r>
      <w:r w:rsidRPr="00BF51FB">
        <w:rPr>
          <w:rFonts w:ascii="Arial" w:eastAsia="MS Mincho" w:hAnsi="Arial" w:cs="Arial"/>
          <w:sz w:val="18"/>
          <w:szCs w:val="18"/>
          <w:highlight w:val="yellow"/>
          <w:u w:val="double"/>
          <w:lang w:val="en-IE"/>
        </w:rPr>
        <w:t>a tissue homogeniser</w:t>
      </w:r>
      <w:r w:rsidRPr="00D403F5">
        <w:rPr>
          <w:rFonts w:ascii="Arial" w:eastAsia="MS Mincho" w:hAnsi="Arial" w:cs="Arial"/>
          <w:sz w:val="18"/>
          <w:szCs w:val="18"/>
          <w:lang w:val="en-IE"/>
        </w:rPr>
        <w:t xml:space="preserve">. A small volume of media (MEM-4 or HBSS [Hank’s balanced salt solution] + antibiotics) may be needed to achieve complete homogenisation. </w:t>
      </w:r>
    </w:p>
    <w:p w14:paraId="549F9AD2" w14:textId="77777777" w:rsidR="00E65E42" w:rsidRPr="00D403F5" w:rsidRDefault="00E65E42" w:rsidP="000A4E1E">
      <w:pPr>
        <w:spacing w:after="240" w:line="240" w:lineRule="auto"/>
        <w:ind w:left="993" w:hanging="284"/>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Adjust the volume of media to a final ratio of 10:1 (media:tissue) and mix thoroughly. For fluid samples adjust the volume of media to a final ratio of 1:1.</w:t>
      </w:r>
    </w:p>
    <w:p w14:paraId="0A03476E" w14:textId="77777777" w:rsidR="00E65E42" w:rsidRPr="00D403F5" w:rsidRDefault="00E65E42" w:rsidP="000A4E1E">
      <w:pPr>
        <w:spacing w:after="240" w:line="240" w:lineRule="auto"/>
        <w:ind w:left="993" w:hanging="284"/>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 xml:space="preserve">Centrifuge the homogenate or fluid samples at 2000–4000 </w:t>
      </w:r>
      <w:r w:rsidRPr="00D403F5">
        <w:rPr>
          <w:rFonts w:ascii="Arial" w:eastAsia="MS Mincho" w:hAnsi="Arial" w:cs="Arial"/>
          <w:b/>
          <w:i/>
          <w:sz w:val="18"/>
          <w:szCs w:val="18"/>
          <w:lang w:val="en-IE"/>
        </w:rPr>
        <w:t>g</w:t>
      </w:r>
      <w:r w:rsidRPr="00D403F5">
        <w:rPr>
          <w:rFonts w:ascii="Arial" w:eastAsia="MS Mincho" w:hAnsi="Arial" w:cs="Arial"/>
          <w:b/>
          <w:sz w:val="18"/>
          <w:szCs w:val="18"/>
          <w:lang w:val="en-IE"/>
        </w:rPr>
        <w:t xml:space="preserve"> </w:t>
      </w:r>
      <w:r w:rsidRPr="00D403F5">
        <w:rPr>
          <w:rFonts w:ascii="Arial" w:eastAsia="MS Mincho" w:hAnsi="Arial" w:cs="Arial"/>
          <w:sz w:val="18"/>
          <w:szCs w:val="18"/>
          <w:lang w:val="en-IE"/>
        </w:rPr>
        <w:t>for 15 minutes at 2–5°C.</w:t>
      </w:r>
    </w:p>
    <w:p w14:paraId="3AD7F1F8" w14:textId="77777777" w:rsidR="00E65E42" w:rsidRPr="00D403F5" w:rsidRDefault="00E65E42" w:rsidP="000A4E1E">
      <w:pPr>
        <w:spacing w:after="240" w:line="240" w:lineRule="auto"/>
        <w:ind w:left="993" w:hanging="284"/>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Remove the supernatant and pass through a 0.45 µM membrane filter (if available) or treat for either 4 hours at 15°C or overnight at 4°C with antibiotics, e.g. gentamicin 1 mg ml</w:t>
      </w:r>
      <w:r w:rsidRPr="00D403F5">
        <w:rPr>
          <w:rFonts w:ascii="Arial" w:eastAsia="MS Mincho" w:hAnsi="Arial" w:cs="Arial"/>
          <w:sz w:val="18"/>
          <w:szCs w:val="18"/>
          <w:vertAlign w:val="superscript"/>
          <w:lang w:val="en-IE"/>
        </w:rPr>
        <w:t>–1</w:t>
      </w:r>
      <w:r w:rsidRPr="00D403F5">
        <w:rPr>
          <w:rFonts w:ascii="Arial" w:eastAsia="MS Mincho" w:hAnsi="Arial" w:cs="Arial"/>
          <w:sz w:val="18"/>
          <w:szCs w:val="18"/>
          <w:lang w:val="en-IE"/>
        </w:rPr>
        <w:t>.</w:t>
      </w:r>
    </w:p>
    <w:p w14:paraId="096A9AFA" w14:textId="77777777" w:rsidR="00E65E42" w:rsidRPr="00D403F5" w:rsidRDefault="00E65E42" w:rsidP="000A4E1E">
      <w:pPr>
        <w:spacing w:after="240" w:line="240" w:lineRule="auto"/>
        <w:ind w:left="993"/>
        <w:jc w:val="both"/>
        <w:rPr>
          <w:rFonts w:ascii="Arial" w:eastAsia="Times New Roman" w:hAnsi="Arial" w:cs="Times New Roman"/>
          <w:bCs/>
          <w:sz w:val="18"/>
          <w:szCs w:val="18"/>
          <w:lang w:val="en-IE" w:bidi="en-US"/>
        </w:rPr>
      </w:pPr>
      <w:r w:rsidRPr="00D403F5">
        <w:rPr>
          <w:rFonts w:ascii="Arial" w:eastAsia="Times New Roman" w:hAnsi="Arial" w:cs="Arial"/>
          <w:bCs/>
          <w:sz w:val="18"/>
          <w:szCs w:val="18"/>
          <w:lang w:val="en-IE" w:bidi="en-US"/>
        </w:rPr>
        <w:t xml:space="preserve">If the sample cannot be inoculated within 48 hours after collection, the supernatant may be stored at </w:t>
      </w:r>
      <w:r w:rsidRPr="00D403F5">
        <w:rPr>
          <w:rFonts w:ascii="Arial" w:eastAsia="Times New Roman" w:hAnsi="Arial" w:cs="Arial"/>
          <w:bCs/>
          <w:sz w:val="18"/>
          <w:szCs w:val="18"/>
          <w:lang w:val="en-IE" w:bidi="en-US"/>
        </w:rPr>
        <w:br/>
        <w:t>–80°C provided virological examination is carried out within 14 days.</w:t>
      </w:r>
    </w:p>
    <w:p w14:paraId="59C8212A" w14:textId="77777777" w:rsidR="00E65E42" w:rsidRPr="00D403F5" w:rsidRDefault="00E65E42" w:rsidP="000A4E1E">
      <w:pPr>
        <w:spacing w:after="240" w:line="240" w:lineRule="auto"/>
        <w:ind w:left="993" w:hanging="284"/>
        <w:jc w:val="both"/>
        <w:rPr>
          <w:rFonts w:ascii="Arial" w:eastAsia="MS Mincho" w:hAnsi="Arial" w:cs="Arial"/>
          <w:sz w:val="18"/>
          <w:szCs w:val="18"/>
          <w:lang w:val="en-IE"/>
        </w:rPr>
      </w:pPr>
      <w:r w:rsidRPr="00D403F5">
        <w:rPr>
          <w:rFonts w:ascii="Arial" w:eastAsia="MS Mincho" w:hAnsi="Arial" w:cs="Arial"/>
          <w:sz w:val="18"/>
          <w:szCs w:val="18"/>
          <w:lang w:val="en-IE"/>
        </w:rPr>
        <w:t>v)</w:t>
      </w:r>
      <w:r w:rsidRPr="00D403F5">
        <w:rPr>
          <w:rFonts w:ascii="Arial" w:eastAsia="MS Mincho" w:hAnsi="Arial" w:cs="Arial"/>
          <w:sz w:val="18"/>
          <w:szCs w:val="18"/>
          <w:lang w:val="en-IE"/>
        </w:rPr>
        <w:tab/>
        <w:t>If samples originate from an area where infectious pancreatic necrosis virus (IPNV) is present, supernatants may be treated with IPNV antiserum. Mix the supernatant with equal parts of a suitably diluted pool of antisera to the indigenous serotypes of IPNV and incubate for a minimum of one hour at 15°C or up to 18 hours at 4°C. The titre of the antiserum must be at least 1/2000 in a 50% plaque neutralisation test.</w:t>
      </w:r>
    </w:p>
    <w:p w14:paraId="0D550DF9" w14:textId="77777777" w:rsidR="00EE0A09" w:rsidRDefault="00EE0A09">
      <w:pPr>
        <w:rPr>
          <w:u w:val="single"/>
          <w:lang w:val="en-IE"/>
        </w:rPr>
      </w:pPr>
      <w:r>
        <w:rPr>
          <w:u w:val="single"/>
          <w:lang w:val="en-IE"/>
        </w:rPr>
        <w:br w:type="page"/>
      </w:r>
    </w:p>
    <w:p w14:paraId="4C450FA1" w14:textId="1778B8C5" w:rsidR="00EE0A09" w:rsidRPr="008A67C2" w:rsidRDefault="00EE0A09" w:rsidP="00EE0A09">
      <w:pPr>
        <w:spacing w:after="480" w:line="240" w:lineRule="auto"/>
        <w:jc w:val="right"/>
        <w:rPr>
          <w:rFonts w:cs="Times New Roman"/>
          <w:bCs/>
          <w:iCs/>
          <w:szCs w:val="20"/>
        </w:rPr>
      </w:pP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6DAD38DF" w14:textId="77777777" w:rsidR="00E65E42" w:rsidRPr="00D403F5" w:rsidRDefault="00E65E42" w:rsidP="000A4E1E">
      <w:pPr>
        <w:spacing w:after="240" w:line="240" w:lineRule="auto"/>
        <w:ind w:left="993"/>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 xml:space="preserve">Treatment of all inocula with antiserum to IPNV </w:t>
      </w:r>
      <w:r w:rsidRPr="00BF51FB">
        <w:rPr>
          <w:rFonts w:ascii="Arial" w:eastAsia="Times New Roman" w:hAnsi="Arial" w:cs="Times New Roman"/>
          <w:bCs/>
          <w:strike/>
          <w:sz w:val="18"/>
          <w:szCs w:val="18"/>
          <w:highlight w:val="yellow"/>
          <w:lang w:val="en-IE" w:bidi="en-US"/>
        </w:rPr>
        <w:t>(a virus that in some parts of Europe occurs in 50% of fish samples)</w:t>
      </w:r>
      <w:r w:rsidRPr="00BF51FB">
        <w:rPr>
          <w:rFonts w:ascii="Arial" w:eastAsia="Times New Roman" w:hAnsi="Arial" w:cs="Times New Roman"/>
          <w:bCs/>
          <w:strike/>
          <w:sz w:val="18"/>
          <w:szCs w:val="18"/>
          <w:lang w:val="en-IE" w:bidi="en-US"/>
        </w:rPr>
        <w:t xml:space="preserve"> </w:t>
      </w:r>
      <w:r w:rsidRPr="00D403F5">
        <w:rPr>
          <w:rFonts w:ascii="Arial" w:eastAsia="Times New Roman" w:hAnsi="Arial" w:cs="Times New Roman"/>
          <w:bCs/>
          <w:sz w:val="18"/>
          <w:szCs w:val="18"/>
          <w:lang w:val="en-IE" w:bidi="en-US"/>
        </w:rPr>
        <w:t>aims at preventing cytopathic effect (CPE) caused by IPNV from developing in inoculated cell cultures. This will reduce the duration of the virological examination as well as the number of cases in which occurrence of CPE would have to be considered potentially indicative of VHSV. When samples come from production units that are considered free from infection with IPNV, treatment of inocula with antiserum to IPNV may be omitted.</w:t>
      </w:r>
    </w:p>
    <w:p w14:paraId="296BC371" w14:textId="77777777" w:rsidR="00E65E42" w:rsidRPr="00D403F5" w:rsidRDefault="00E65E42" w:rsidP="000A4E1E">
      <w:pPr>
        <w:spacing w:after="240" w:line="240" w:lineRule="auto"/>
        <w:ind w:left="993" w:hanging="284"/>
        <w:jc w:val="both"/>
        <w:rPr>
          <w:rFonts w:ascii="Arial" w:eastAsia="MS Mincho" w:hAnsi="Arial" w:cs="Arial"/>
          <w:sz w:val="18"/>
          <w:szCs w:val="18"/>
          <w:lang w:val="en-IE"/>
        </w:rPr>
      </w:pPr>
      <w:r w:rsidRPr="00D403F5">
        <w:rPr>
          <w:rFonts w:ascii="Arial" w:eastAsia="MS Mincho" w:hAnsi="Arial" w:cs="Arial"/>
          <w:sz w:val="18"/>
          <w:szCs w:val="18"/>
          <w:lang w:val="en-IE"/>
        </w:rPr>
        <w:t>vi)</w:t>
      </w:r>
      <w:r w:rsidRPr="00D403F5">
        <w:rPr>
          <w:rFonts w:ascii="Arial" w:eastAsia="MS Mincho" w:hAnsi="Arial" w:cs="Arial"/>
          <w:sz w:val="18"/>
          <w:szCs w:val="18"/>
          <w:lang w:val="en-IE"/>
        </w:rPr>
        <w:tab/>
        <w:t>Samples are inoculated into cell cultures in at least two dilutions, i.e. the primary dilution and a 1:10 dilution thereof, resulting in final dilutions of tissue material in cell culture medium of 1:100 and 1:1000, respectively. The ratio between inoculum size and volume of cell culture medium should be about 1:10. For each dilution and each cell line, a minimum of about 2 cm</w:t>
      </w:r>
      <w:r w:rsidRPr="00D403F5">
        <w:rPr>
          <w:rFonts w:ascii="Arial" w:eastAsia="MS Mincho" w:hAnsi="Arial" w:cs="Arial"/>
          <w:sz w:val="18"/>
          <w:szCs w:val="18"/>
          <w:vertAlign w:val="superscript"/>
          <w:lang w:val="en-IE"/>
        </w:rPr>
        <w:t>2</w:t>
      </w:r>
      <w:r w:rsidRPr="00D403F5">
        <w:rPr>
          <w:rFonts w:ascii="Arial" w:eastAsia="MS Mincho" w:hAnsi="Arial" w:cs="Arial"/>
          <w:sz w:val="18"/>
          <w:szCs w:val="18"/>
          <w:lang w:val="en-IE"/>
        </w:rPr>
        <w:t xml:space="preserve"> cell area, corresponding to one well in a 24-well cell culture tray, has to be used. Use of cell culture trays is recommended, but other units of similar or with larger growth area are also acceptable.</w:t>
      </w:r>
    </w:p>
    <w:p w14:paraId="2635866B" w14:textId="77777777" w:rsidR="00E65E42" w:rsidRPr="00D403F5" w:rsidRDefault="00E65E42" w:rsidP="000A4E1E">
      <w:pPr>
        <w:spacing w:after="240" w:line="240" w:lineRule="auto"/>
        <w:ind w:left="993" w:hanging="284"/>
        <w:jc w:val="both"/>
        <w:rPr>
          <w:rFonts w:ascii="Arial" w:eastAsia="MS Mincho" w:hAnsi="Arial" w:cs="Arial"/>
          <w:sz w:val="18"/>
          <w:szCs w:val="18"/>
          <w:lang w:val="en-IE"/>
        </w:rPr>
      </w:pPr>
      <w:r w:rsidRPr="00D403F5">
        <w:rPr>
          <w:rFonts w:ascii="Arial" w:eastAsia="MS Mincho" w:hAnsi="Arial" w:cs="Arial"/>
          <w:sz w:val="18"/>
          <w:szCs w:val="18"/>
          <w:lang w:val="en-IE"/>
        </w:rPr>
        <w:t>vii)</w:t>
      </w:r>
      <w:r w:rsidRPr="00D403F5">
        <w:rPr>
          <w:rFonts w:ascii="Arial" w:eastAsia="MS Mincho" w:hAnsi="Arial" w:cs="Arial"/>
          <w:sz w:val="18"/>
          <w:szCs w:val="18"/>
          <w:lang w:val="en-IE"/>
        </w:rPr>
        <w:tab/>
        <w:t>Inoculated cell cultures are incubated at 15°C for 7–10 days. Using a microscope with 40–150× magnification, cultures should be inspected for toxicity the day after inoculation, particularly if supernatant was not filtered in step iv. The use of a phase-contrast microscope is recommended.</w:t>
      </w:r>
    </w:p>
    <w:p w14:paraId="6E726B78" w14:textId="77777777" w:rsidR="00E65E42" w:rsidRPr="00D403F5" w:rsidRDefault="00E65E42" w:rsidP="000A4E1E">
      <w:pPr>
        <w:spacing w:after="240" w:line="240" w:lineRule="auto"/>
        <w:ind w:left="993" w:hanging="284"/>
        <w:jc w:val="both"/>
        <w:rPr>
          <w:rFonts w:ascii="Arial" w:eastAsia="MS Mincho" w:hAnsi="Arial" w:cs="Arial"/>
          <w:sz w:val="18"/>
          <w:szCs w:val="18"/>
          <w:lang w:val="en-IE"/>
        </w:rPr>
      </w:pPr>
      <w:r w:rsidRPr="00D403F5">
        <w:rPr>
          <w:rFonts w:ascii="Arial" w:eastAsia="MS Mincho" w:hAnsi="Arial" w:cs="Arial"/>
          <w:sz w:val="18"/>
          <w:szCs w:val="18"/>
          <w:lang w:val="en-IE"/>
        </w:rPr>
        <w:t>viii)</w:t>
      </w:r>
      <w:r w:rsidRPr="00D403F5">
        <w:rPr>
          <w:rFonts w:ascii="Arial" w:eastAsia="MS Mincho" w:hAnsi="Arial" w:cs="Arial"/>
          <w:sz w:val="18"/>
          <w:szCs w:val="18"/>
          <w:lang w:val="en-IE"/>
        </w:rPr>
        <w:tab/>
        <w:t>Monitor the cells regularly (2–3 times a week) for the presence of CPE.</w:t>
      </w:r>
    </w:p>
    <w:p w14:paraId="3691C811" w14:textId="77777777" w:rsidR="00E65E42" w:rsidRPr="00D403F5" w:rsidRDefault="00E65E42" w:rsidP="000A4E1E">
      <w:pPr>
        <w:spacing w:after="240" w:line="240" w:lineRule="auto"/>
        <w:ind w:left="709"/>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If CPE is observed, virus identification is required using tests recommended in Section 6. If no CPE is observed after the primary incubation period, subcultivation is performed.</w:t>
      </w:r>
    </w:p>
    <w:p w14:paraId="11B4F631" w14:textId="77777777" w:rsidR="00E65E42" w:rsidRPr="00D403F5" w:rsidRDefault="00E65E42" w:rsidP="000A4E1E">
      <w:pPr>
        <w:spacing w:after="240" w:line="240" w:lineRule="auto"/>
        <w:ind w:left="709"/>
        <w:jc w:val="both"/>
        <w:rPr>
          <w:rFonts w:ascii="Ottawa" w:eastAsia="Times New Roman" w:hAnsi="Ottawa" w:cs="Times New Roman"/>
          <w:bCs/>
          <w:i/>
          <w:sz w:val="18"/>
          <w:szCs w:val="18"/>
          <w:lang w:val="en-IE" w:eastAsia="fr-FR"/>
        </w:rPr>
      </w:pPr>
      <w:r w:rsidRPr="00D403F5">
        <w:rPr>
          <w:rFonts w:ascii="Ottawa" w:eastAsia="Times New Roman" w:hAnsi="Ottawa" w:cs="Times New Roman"/>
          <w:bCs/>
          <w:i/>
          <w:sz w:val="18"/>
          <w:szCs w:val="18"/>
          <w:lang w:val="en-IE" w:eastAsia="fr-FR"/>
        </w:rPr>
        <w:t>Subcultivation</w:t>
      </w:r>
    </w:p>
    <w:p w14:paraId="66556A40" w14:textId="77777777" w:rsidR="00E65E42" w:rsidRPr="00D403F5" w:rsidRDefault="00E65E42" w:rsidP="000A4E1E">
      <w:pPr>
        <w:spacing w:after="240" w:line="240" w:lineRule="auto"/>
        <w:ind w:left="993" w:hanging="284"/>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Remove cell culture supernatant from the primary culture and inoculate a newly (&lt;48 hours) seeded cell culture plate.</w:t>
      </w:r>
    </w:p>
    <w:p w14:paraId="75D9F8C8" w14:textId="77777777" w:rsidR="00E65E42" w:rsidRPr="00D403F5" w:rsidRDefault="00E65E42" w:rsidP="000A4E1E">
      <w:pPr>
        <w:spacing w:after="240" w:line="240" w:lineRule="auto"/>
        <w:ind w:left="993" w:hanging="284"/>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Incubate inoculated plates at 15°C and monitor for 7–10 days as described above.</w:t>
      </w:r>
    </w:p>
    <w:p w14:paraId="462A0133" w14:textId="77777777" w:rsidR="00E65E42" w:rsidRPr="00D403F5" w:rsidRDefault="00E65E42" w:rsidP="000A4E1E">
      <w:pPr>
        <w:spacing w:after="240" w:line="240" w:lineRule="auto"/>
        <w:ind w:left="709"/>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If CPE is observed, virus identification is required using tests recommended in Section 6. If no CPE is observed after the primary incubation period or subcultivation, the sample is negative.</w:t>
      </w:r>
    </w:p>
    <w:p w14:paraId="547CD4C6" w14:textId="77777777" w:rsidR="00E65E42" w:rsidRPr="00BC2337" w:rsidRDefault="00E65E42" w:rsidP="00E65E42">
      <w:pPr>
        <w:spacing w:after="240" w:line="240" w:lineRule="auto"/>
        <w:ind w:left="426" w:hanging="426"/>
        <w:jc w:val="both"/>
        <w:rPr>
          <w:rFonts w:ascii="Ottawa" w:eastAsia="MS Mincho" w:hAnsi="Ottawa" w:cs="Times New Roman"/>
          <w:b/>
          <w:sz w:val="21"/>
          <w:szCs w:val="21"/>
          <w:lang w:val="da-DK" w:eastAsia="da-DK"/>
        </w:rPr>
      </w:pPr>
      <w:r w:rsidRPr="00BC2337">
        <w:rPr>
          <w:rFonts w:ascii="Ottawa" w:eastAsia="MS Mincho" w:hAnsi="Ottawa" w:cs="Times New Roman"/>
          <w:b/>
          <w:sz w:val="21"/>
          <w:szCs w:val="21"/>
          <w:lang w:val="da-DK" w:eastAsia="da-DK"/>
        </w:rPr>
        <w:t>4.4.</w:t>
      </w:r>
      <w:r w:rsidRPr="00BC2337">
        <w:rPr>
          <w:rFonts w:ascii="Ottawa" w:eastAsia="MS Mincho" w:hAnsi="Ottawa" w:cs="Times New Roman"/>
          <w:b/>
          <w:sz w:val="21"/>
          <w:szCs w:val="21"/>
          <w:lang w:val="da-DK" w:eastAsia="da-DK"/>
        </w:rPr>
        <w:tab/>
        <w:t xml:space="preserve">Nucleic acid amplification </w:t>
      </w:r>
    </w:p>
    <w:p w14:paraId="53FB8233" w14:textId="77777777" w:rsidR="00E65E42" w:rsidRPr="007B73F2" w:rsidRDefault="00E65E42" w:rsidP="00E65E42">
      <w:pPr>
        <w:spacing w:after="240" w:line="240" w:lineRule="auto"/>
        <w:ind w:left="425"/>
        <w:jc w:val="both"/>
        <w:rPr>
          <w:rFonts w:ascii="Arial" w:eastAsia="Times New Roman" w:hAnsi="Arial" w:cs="Times New Roman"/>
          <w:sz w:val="18"/>
          <w:szCs w:val="18"/>
          <w:lang w:val="en-IE"/>
        </w:rPr>
      </w:pPr>
      <w:r w:rsidRPr="00D403F5">
        <w:rPr>
          <w:rFonts w:ascii="Arial" w:eastAsia="Times New Roman" w:hAnsi="Arial" w:cs="Times New Roman"/>
          <w:sz w:val="18"/>
          <w:szCs w:val="18"/>
          <w:lang w:val="en-IE"/>
        </w:rPr>
        <w:t xml:space="preserve">Use of molecular tests (RT-PCR and real-time RT-PCR) is common because of their rapidity, sensitivity and </w:t>
      </w:r>
      <w:r w:rsidRPr="007B73F2">
        <w:rPr>
          <w:rFonts w:ascii="Arial" w:eastAsia="Times New Roman" w:hAnsi="Arial" w:cs="Times New Roman"/>
          <w:sz w:val="18"/>
          <w:szCs w:val="18"/>
          <w:lang w:val="en-IE"/>
        </w:rPr>
        <w:t xml:space="preserve">specificity. Real-time RT-PCR tests are generally more sensitive than conventional RT-PCR tests. These tests for virus detection and identification during the acute stage of disease has been justified for a number of years. </w:t>
      </w:r>
      <w:r w:rsidRPr="00AE3567">
        <w:rPr>
          <w:rFonts w:ascii="Arial" w:eastAsia="Times New Roman" w:hAnsi="Arial" w:cs="Times New Roman"/>
          <w:strike/>
          <w:sz w:val="18"/>
          <w:szCs w:val="18"/>
          <w:highlight w:val="yellow"/>
          <w:lang w:val="en-IE"/>
        </w:rPr>
        <w:t>At</w:t>
      </w:r>
      <w:r w:rsidRPr="007B73F2">
        <w:rPr>
          <w:rFonts w:ascii="Arial" w:eastAsia="Times New Roman" w:hAnsi="Arial" w:cs="Times New Roman"/>
          <w:sz w:val="18"/>
          <w:szCs w:val="18"/>
          <w:lang w:val="en-IE"/>
        </w:rPr>
        <w:t xml:space="preserve"> </w:t>
      </w:r>
      <w:r w:rsidRPr="00AE3567">
        <w:rPr>
          <w:rFonts w:ascii="Arial" w:eastAsia="Times New Roman" w:hAnsi="Arial" w:cs="Times New Roman"/>
          <w:sz w:val="18"/>
          <w:szCs w:val="18"/>
          <w:highlight w:val="yellow"/>
          <w:u w:val="double"/>
          <w:lang w:val="en-IE"/>
        </w:rPr>
        <w:t>In</w:t>
      </w:r>
      <w:r w:rsidRPr="00AE3567">
        <w:rPr>
          <w:rFonts w:ascii="Arial" w:eastAsia="Times New Roman" w:hAnsi="Arial" w:cs="Times New Roman"/>
          <w:sz w:val="18"/>
          <w:szCs w:val="18"/>
          <w:u w:val="double"/>
          <w:lang w:val="en-IE"/>
        </w:rPr>
        <w:t xml:space="preserve"> </w:t>
      </w:r>
      <w:r w:rsidRPr="007B73F2">
        <w:rPr>
          <w:rFonts w:ascii="Arial" w:eastAsia="Times New Roman" w:hAnsi="Arial" w:cs="Times New Roman"/>
          <w:sz w:val="18"/>
          <w:szCs w:val="18"/>
          <w:lang w:val="en-IE"/>
        </w:rPr>
        <w:t>the acute stage</w:t>
      </w:r>
      <w:r>
        <w:rPr>
          <w:rFonts w:ascii="Arial" w:eastAsia="Times New Roman" w:hAnsi="Arial" w:cs="Times New Roman"/>
          <w:sz w:val="18"/>
          <w:szCs w:val="18"/>
          <w:lang w:val="en-IE"/>
        </w:rPr>
        <w:t xml:space="preserve"> </w:t>
      </w:r>
      <w:r w:rsidRPr="00AE3567">
        <w:rPr>
          <w:rFonts w:ascii="Arial" w:eastAsia="Times New Roman" w:hAnsi="Arial" w:cs="Times New Roman"/>
          <w:sz w:val="18"/>
          <w:szCs w:val="18"/>
          <w:highlight w:val="yellow"/>
          <w:u w:val="double"/>
          <w:lang w:val="en-IE"/>
        </w:rPr>
        <w:t>of infection</w:t>
      </w:r>
      <w:r w:rsidRPr="007B73F2">
        <w:rPr>
          <w:rFonts w:ascii="Arial" w:eastAsia="Times New Roman" w:hAnsi="Arial" w:cs="Times New Roman"/>
          <w:sz w:val="18"/>
          <w:szCs w:val="18"/>
          <w:lang w:val="en-IE"/>
        </w:rPr>
        <w:t xml:space="preserve">, the sensitivity of some RT-PCR (Kim </w:t>
      </w:r>
      <w:r w:rsidRPr="007B73F2">
        <w:rPr>
          <w:rFonts w:ascii="Arial" w:eastAsia="Times New Roman" w:hAnsi="Arial" w:cs="Times New Roman"/>
          <w:i/>
          <w:sz w:val="18"/>
          <w:szCs w:val="18"/>
          <w:lang w:val="en-IE"/>
        </w:rPr>
        <w:t>et al.,</w:t>
      </w:r>
      <w:r w:rsidRPr="007B73F2">
        <w:rPr>
          <w:rFonts w:ascii="Arial" w:eastAsia="Times New Roman" w:hAnsi="Arial" w:cs="Times New Roman"/>
          <w:sz w:val="18"/>
          <w:szCs w:val="18"/>
          <w:lang w:val="en-IE"/>
        </w:rPr>
        <w:t xml:space="preserve"> 2018) and real-time RT-PCR tests (Garver </w:t>
      </w:r>
      <w:r w:rsidRPr="007B73F2">
        <w:rPr>
          <w:rFonts w:ascii="Arial" w:eastAsia="Times New Roman" w:hAnsi="Arial" w:cs="Times New Roman"/>
          <w:i/>
          <w:sz w:val="18"/>
          <w:szCs w:val="18"/>
          <w:lang w:val="en-IE"/>
        </w:rPr>
        <w:t>et al.,</w:t>
      </w:r>
      <w:r w:rsidRPr="007B73F2">
        <w:rPr>
          <w:rFonts w:ascii="Arial" w:eastAsia="Times New Roman" w:hAnsi="Arial" w:cs="Times New Roman"/>
          <w:sz w:val="18"/>
          <w:szCs w:val="18"/>
          <w:lang w:val="en-IE"/>
        </w:rPr>
        <w:t xml:space="preserve"> 2011; Jonstrup </w:t>
      </w:r>
      <w:r w:rsidRPr="007B73F2">
        <w:rPr>
          <w:rFonts w:ascii="Arial" w:eastAsia="Times New Roman" w:hAnsi="Arial" w:cs="Times New Roman"/>
          <w:i/>
          <w:sz w:val="18"/>
          <w:szCs w:val="18"/>
          <w:lang w:val="en-IE"/>
        </w:rPr>
        <w:t>et al.,</w:t>
      </w:r>
      <w:r w:rsidRPr="007B73F2">
        <w:rPr>
          <w:rFonts w:ascii="Arial" w:eastAsia="Times New Roman" w:hAnsi="Arial" w:cs="Times New Roman"/>
          <w:sz w:val="18"/>
          <w:szCs w:val="18"/>
          <w:lang w:val="en-IE"/>
        </w:rPr>
        <w:t xml:space="preserve"> 2013) is comparable to detection by cell culture and subsequent identification. The molecular methods described in this chapter are all targeting the </w:t>
      </w:r>
      <w:r w:rsidRPr="00AE3567">
        <w:rPr>
          <w:rFonts w:ascii="Arial" w:eastAsia="Times New Roman" w:hAnsi="Arial" w:cs="Times New Roman"/>
          <w:strike/>
          <w:sz w:val="18"/>
          <w:szCs w:val="18"/>
          <w:highlight w:val="yellow"/>
          <w:lang w:val="en-IE"/>
        </w:rPr>
        <w:t>N</w:t>
      </w:r>
      <w:r w:rsidRPr="00AE3567">
        <w:rPr>
          <w:rFonts w:ascii="Arial" w:eastAsia="Times New Roman" w:hAnsi="Arial" w:cs="Times New Roman"/>
          <w:sz w:val="18"/>
          <w:szCs w:val="18"/>
          <w:highlight w:val="yellow"/>
          <w:u w:val="double"/>
          <w:lang w:val="en-IE"/>
        </w:rPr>
        <w:t>n</w:t>
      </w:r>
      <w:r w:rsidRPr="007B73F2">
        <w:rPr>
          <w:rFonts w:ascii="Arial" w:eastAsia="Times New Roman" w:hAnsi="Arial" w:cs="Times New Roman"/>
          <w:sz w:val="18"/>
          <w:szCs w:val="18"/>
          <w:lang w:val="en-IE"/>
        </w:rPr>
        <w:t xml:space="preserve">ucleoprotein gene, as it is the highest transcribed gene in the VHSV genome (Chico </w:t>
      </w:r>
      <w:r w:rsidRPr="007B73F2">
        <w:rPr>
          <w:rFonts w:ascii="Arial" w:eastAsia="Times New Roman" w:hAnsi="Arial" w:cs="Times New Roman"/>
          <w:i/>
          <w:sz w:val="18"/>
          <w:szCs w:val="18"/>
          <w:lang w:val="en-IE"/>
        </w:rPr>
        <w:t>et al.,</w:t>
      </w:r>
      <w:r w:rsidRPr="007B73F2">
        <w:rPr>
          <w:rFonts w:ascii="Arial" w:eastAsia="Times New Roman" w:hAnsi="Arial" w:cs="Times New Roman"/>
          <w:sz w:val="18"/>
          <w:szCs w:val="18"/>
          <w:lang w:val="en-IE"/>
        </w:rPr>
        <w:t xml:space="preserve"> 2006). </w:t>
      </w:r>
    </w:p>
    <w:p w14:paraId="72BEC94C" w14:textId="77777777" w:rsidR="00E65E42" w:rsidRPr="00D403F5" w:rsidRDefault="00E65E42" w:rsidP="00E65E42">
      <w:pPr>
        <w:spacing w:after="240" w:line="240" w:lineRule="auto"/>
        <w:ind w:left="425"/>
        <w:jc w:val="both"/>
        <w:rPr>
          <w:rFonts w:ascii="Arial" w:eastAsia="Times New Roman" w:hAnsi="Arial" w:cs="Times New Roman"/>
          <w:sz w:val="18"/>
          <w:szCs w:val="18"/>
          <w:lang w:val="en-IE"/>
        </w:rPr>
      </w:pPr>
      <w:r w:rsidRPr="007B73F2">
        <w:rPr>
          <w:rFonts w:ascii="Arial" w:eastAsia="Times New Roman" w:hAnsi="Arial" w:cs="Times New Roman"/>
          <w:sz w:val="18"/>
          <w:szCs w:val="18"/>
          <w:lang w:val="en-IE"/>
        </w:rPr>
        <w:t xml:space="preserve">Recently, a novel one-step RT-PCR test was developed and validated (Kim </w:t>
      </w:r>
      <w:r w:rsidRPr="007B73F2">
        <w:rPr>
          <w:rFonts w:ascii="Arial" w:eastAsia="Times New Roman" w:hAnsi="Arial" w:cs="Times New Roman"/>
          <w:i/>
          <w:sz w:val="18"/>
          <w:szCs w:val="18"/>
          <w:lang w:val="en-IE"/>
        </w:rPr>
        <w:t>et al.,</w:t>
      </w:r>
      <w:r w:rsidRPr="007B73F2">
        <w:rPr>
          <w:rFonts w:ascii="Arial" w:eastAsia="Times New Roman" w:hAnsi="Arial" w:cs="Times New Roman"/>
          <w:sz w:val="18"/>
          <w:szCs w:val="18"/>
          <w:lang w:val="en-IE"/>
        </w:rPr>
        <w:t xml:space="preserve"> 2018) to be used instead of the previously recommended conventional RT-PCR for detecting VHSV. This novel assay has a higher sensitivity detecting all VHSV genotypes, and outperforms the old method, particularly in detecting genotype IV.</w:t>
      </w:r>
      <w:r w:rsidRPr="00D403F5">
        <w:rPr>
          <w:rFonts w:ascii="Arial" w:eastAsia="Times New Roman" w:hAnsi="Arial" w:cs="Times New Roman"/>
          <w:sz w:val="18"/>
          <w:szCs w:val="18"/>
          <w:lang w:val="en-IE"/>
        </w:rPr>
        <w:t xml:space="preserve"> </w:t>
      </w:r>
    </w:p>
    <w:p w14:paraId="1C3D6298" w14:textId="77777777" w:rsidR="00E65E42" w:rsidRDefault="00E65E42" w:rsidP="00E65E42">
      <w:pPr>
        <w:spacing w:after="240" w:line="240" w:lineRule="auto"/>
        <w:ind w:left="425"/>
        <w:jc w:val="both"/>
        <w:rPr>
          <w:rFonts w:ascii="Arial" w:eastAsia="Times New Roman" w:hAnsi="Arial" w:cs="Times New Roman"/>
          <w:sz w:val="18"/>
          <w:szCs w:val="18"/>
          <w:lang w:val="en-IE"/>
        </w:rPr>
      </w:pPr>
      <w:r w:rsidRPr="009E01F0">
        <w:rPr>
          <w:rFonts w:ascii="Arial" w:eastAsia="Times New Roman" w:hAnsi="Arial" w:cs="Times New Roman"/>
          <w:sz w:val="18"/>
          <w:szCs w:val="18"/>
          <w:lang w:val="en-IE"/>
        </w:rPr>
        <w:t xml:space="preserve">For detecting </w:t>
      </w:r>
      <w:r w:rsidRPr="009E01F0">
        <w:rPr>
          <w:rFonts w:ascii="Arial" w:eastAsia="Times New Roman" w:hAnsi="Arial" w:cs="Times New Roman"/>
          <w:sz w:val="18"/>
          <w:szCs w:val="18"/>
          <w:highlight w:val="yellow"/>
          <w:u w:val="double"/>
          <w:lang w:val="en-IE"/>
        </w:rPr>
        <w:t>all genotypes of</w:t>
      </w:r>
      <w:r w:rsidRPr="009E01F0">
        <w:rPr>
          <w:rFonts w:ascii="Arial" w:eastAsia="Times New Roman" w:hAnsi="Arial" w:cs="Times New Roman"/>
          <w:sz w:val="18"/>
          <w:szCs w:val="18"/>
          <w:lang w:val="en-IE"/>
        </w:rPr>
        <w:t xml:space="preserve"> VHSV with real-time RT-PCR, the </w:t>
      </w:r>
      <w:r w:rsidRPr="00FD3250">
        <w:rPr>
          <w:rFonts w:ascii="Arial" w:eastAsia="Times New Roman" w:hAnsi="Arial" w:cs="Times New Roman"/>
          <w:strike/>
          <w:sz w:val="18"/>
          <w:szCs w:val="18"/>
          <w:highlight w:val="yellow"/>
          <w:lang w:val="en-IE"/>
        </w:rPr>
        <w:t>one-step</w:t>
      </w:r>
      <w:r w:rsidRPr="00FD3250">
        <w:rPr>
          <w:rFonts w:ascii="Arial" w:eastAsia="Times New Roman" w:hAnsi="Arial" w:cs="Times New Roman"/>
          <w:strike/>
          <w:sz w:val="18"/>
          <w:szCs w:val="18"/>
          <w:lang w:val="en-IE"/>
        </w:rPr>
        <w:t xml:space="preserve"> </w:t>
      </w:r>
      <w:r w:rsidRPr="009E01F0">
        <w:rPr>
          <w:rFonts w:ascii="Arial" w:eastAsia="Times New Roman" w:hAnsi="Arial" w:cs="Times New Roman"/>
          <w:sz w:val="18"/>
          <w:szCs w:val="18"/>
          <w:lang w:val="en-IE"/>
        </w:rPr>
        <w:t>method</w:t>
      </w:r>
      <w:r w:rsidRPr="00FD3250">
        <w:rPr>
          <w:rFonts w:ascii="Arial" w:eastAsia="Times New Roman" w:hAnsi="Arial" w:cs="Times New Roman"/>
          <w:sz w:val="18"/>
          <w:szCs w:val="18"/>
          <w:highlight w:val="yellow"/>
          <w:u w:val="double"/>
          <w:lang w:val="en-IE"/>
        </w:rPr>
        <w:t>s</w:t>
      </w:r>
      <w:r w:rsidRPr="009E01F0">
        <w:rPr>
          <w:rFonts w:ascii="Arial" w:eastAsia="Times New Roman" w:hAnsi="Arial" w:cs="Times New Roman"/>
          <w:sz w:val="18"/>
          <w:szCs w:val="18"/>
          <w:lang w:val="en-IE"/>
        </w:rPr>
        <w:t xml:space="preserve"> of </w:t>
      </w:r>
      <w:r w:rsidRPr="007B73F2">
        <w:rPr>
          <w:rFonts w:ascii="Arial" w:eastAsia="Times New Roman" w:hAnsi="Arial" w:cs="Times New Roman"/>
          <w:sz w:val="18"/>
          <w:szCs w:val="18"/>
          <w:lang w:val="en-IE"/>
        </w:rPr>
        <w:t xml:space="preserve">Jonstrup </w:t>
      </w:r>
      <w:r w:rsidRPr="007B73F2">
        <w:rPr>
          <w:rFonts w:ascii="Arial" w:eastAsia="Times New Roman" w:hAnsi="Arial" w:cs="Times New Roman"/>
          <w:i/>
          <w:sz w:val="18"/>
          <w:szCs w:val="18"/>
          <w:lang w:val="en-IE"/>
        </w:rPr>
        <w:t>et al</w:t>
      </w:r>
      <w:r w:rsidRPr="007B73F2">
        <w:rPr>
          <w:rFonts w:ascii="Arial" w:eastAsia="Times New Roman" w:hAnsi="Arial" w:cs="Times New Roman"/>
          <w:sz w:val="18"/>
          <w:szCs w:val="18"/>
          <w:lang w:val="en-IE"/>
        </w:rPr>
        <w:t>. (2013)</w:t>
      </w:r>
      <w:r w:rsidRPr="009E01F0">
        <w:rPr>
          <w:rFonts w:ascii="Arial" w:eastAsia="Times New Roman" w:hAnsi="Arial" w:cs="Times New Roman"/>
          <w:sz w:val="18"/>
          <w:szCs w:val="18"/>
          <w:lang w:val="en-IE"/>
        </w:rPr>
        <w:t xml:space="preserve"> </w:t>
      </w:r>
      <w:r w:rsidRPr="00FD3250">
        <w:rPr>
          <w:rFonts w:ascii="Arial" w:eastAsia="Times New Roman" w:hAnsi="Arial" w:cs="Times New Roman"/>
          <w:sz w:val="18"/>
          <w:szCs w:val="18"/>
          <w:highlight w:val="yellow"/>
          <w:u w:val="double"/>
          <w:lang w:val="en-IE"/>
        </w:rPr>
        <w:t xml:space="preserve">and </w:t>
      </w:r>
      <w:r>
        <w:rPr>
          <w:rFonts w:ascii="Arial" w:eastAsia="Times New Roman" w:hAnsi="Arial" w:cs="Times New Roman"/>
          <w:sz w:val="18"/>
          <w:szCs w:val="18"/>
          <w:highlight w:val="yellow"/>
          <w:u w:val="double"/>
          <w:lang w:val="en-IE"/>
        </w:rPr>
        <w:t>Garver</w:t>
      </w:r>
      <w:r w:rsidRPr="00FD3250">
        <w:rPr>
          <w:rFonts w:ascii="Arial" w:eastAsia="Times New Roman" w:hAnsi="Arial" w:cs="Times New Roman"/>
          <w:sz w:val="18"/>
          <w:szCs w:val="18"/>
          <w:highlight w:val="yellow"/>
          <w:u w:val="double"/>
          <w:lang w:val="en-IE"/>
        </w:rPr>
        <w:t xml:space="preserve"> </w:t>
      </w:r>
      <w:r w:rsidRPr="00FD3250">
        <w:rPr>
          <w:rFonts w:ascii="Arial" w:eastAsia="Times New Roman" w:hAnsi="Arial" w:cs="Times New Roman"/>
          <w:i/>
          <w:iCs/>
          <w:sz w:val="18"/>
          <w:szCs w:val="18"/>
          <w:highlight w:val="yellow"/>
          <w:u w:val="double"/>
          <w:lang w:val="en-IE"/>
        </w:rPr>
        <w:t>et al.</w:t>
      </w:r>
      <w:r w:rsidRPr="00FD3250">
        <w:rPr>
          <w:rFonts w:ascii="Arial" w:eastAsia="Times New Roman" w:hAnsi="Arial" w:cs="Times New Roman"/>
          <w:sz w:val="18"/>
          <w:szCs w:val="18"/>
          <w:highlight w:val="yellow"/>
          <w:u w:val="double"/>
          <w:lang w:val="en-IE"/>
        </w:rPr>
        <w:t xml:space="preserve"> (2011) have</w:t>
      </w:r>
      <w:r w:rsidRPr="00FD3250">
        <w:rPr>
          <w:rFonts w:ascii="Arial" w:eastAsia="Times New Roman" w:hAnsi="Arial" w:cs="Times New Roman"/>
          <w:sz w:val="18"/>
          <w:szCs w:val="18"/>
          <w:highlight w:val="yellow"/>
          <w:lang w:val="en-IE"/>
        </w:rPr>
        <w:t xml:space="preserve"> </w:t>
      </w:r>
      <w:r w:rsidRPr="00FD3250">
        <w:rPr>
          <w:rFonts w:ascii="Arial" w:eastAsia="Times New Roman" w:hAnsi="Arial" w:cs="Times New Roman"/>
          <w:strike/>
          <w:sz w:val="18"/>
          <w:szCs w:val="18"/>
          <w:highlight w:val="yellow"/>
          <w:lang w:val="en-IE"/>
        </w:rPr>
        <w:t>has</w:t>
      </w:r>
      <w:r w:rsidRPr="009E01F0">
        <w:rPr>
          <w:rFonts w:ascii="Arial" w:eastAsia="Times New Roman" w:hAnsi="Arial" w:cs="Times New Roman"/>
          <w:strike/>
          <w:sz w:val="18"/>
          <w:szCs w:val="18"/>
          <w:lang w:val="en-IE"/>
        </w:rPr>
        <w:t xml:space="preserve"> </w:t>
      </w:r>
      <w:r w:rsidRPr="009E01F0">
        <w:rPr>
          <w:rFonts w:ascii="Arial" w:eastAsia="Times New Roman" w:hAnsi="Arial" w:cs="Times New Roman"/>
          <w:sz w:val="18"/>
          <w:szCs w:val="18"/>
          <w:lang w:val="en-IE"/>
        </w:rPr>
        <w:t xml:space="preserve">been </w:t>
      </w:r>
      <w:r w:rsidRPr="00AE3567">
        <w:rPr>
          <w:rFonts w:ascii="Arial" w:eastAsia="Times New Roman" w:hAnsi="Arial" w:cs="Times New Roman"/>
          <w:sz w:val="18"/>
          <w:szCs w:val="18"/>
          <w:highlight w:val="yellow"/>
          <w:u w:val="double"/>
          <w:lang w:val="en-IE"/>
        </w:rPr>
        <w:t>validated to</w:t>
      </w:r>
      <w:r>
        <w:rPr>
          <w:rFonts w:ascii="Arial" w:eastAsia="Times New Roman" w:hAnsi="Arial" w:cs="Times New Roman"/>
          <w:sz w:val="18"/>
          <w:szCs w:val="18"/>
          <w:lang w:val="en-IE"/>
        </w:rPr>
        <w:t xml:space="preserve"> </w:t>
      </w:r>
      <w:r w:rsidRPr="009E01F0">
        <w:rPr>
          <w:rFonts w:ascii="Arial" w:eastAsia="Times New Roman" w:hAnsi="Arial" w:cs="Times New Roman"/>
          <w:sz w:val="18"/>
          <w:szCs w:val="18"/>
          <w:lang w:val="en-IE"/>
        </w:rPr>
        <w:t xml:space="preserve">stage 3 </w:t>
      </w:r>
      <w:r w:rsidRPr="00AE3567">
        <w:rPr>
          <w:rFonts w:ascii="Arial" w:eastAsia="Times New Roman" w:hAnsi="Arial" w:cs="Times New Roman"/>
          <w:strike/>
          <w:sz w:val="18"/>
          <w:szCs w:val="18"/>
          <w:highlight w:val="yellow"/>
          <w:lang w:val="en-IE"/>
        </w:rPr>
        <w:t>validated</w:t>
      </w:r>
      <w:r w:rsidRPr="009E01F0">
        <w:rPr>
          <w:rFonts w:ascii="Arial" w:eastAsia="Times New Roman" w:hAnsi="Arial" w:cs="Times New Roman"/>
          <w:sz w:val="18"/>
          <w:szCs w:val="18"/>
          <w:lang w:val="en-IE"/>
        </w:rPr>
        <w:t xml:space="preserve">, showing a sensitivity similar to detection by cell culture. </w:t>
      </w:r>
      <w:r w:rsidRPr="009E01F0">
        <w:rPr>
          <w:rFonts w:ascii="Arial" w:eastAsia="Times New Roman" w:hAnsi="Arial" w:cs="Times New Roman"/>
          <w:sz w:val="18"/>
          <w:szCs w:val="18"/>
          <w:highlight w:val="yellow"/>
          <w:u w:val="double"/>
          <w:lang w:val="en-IE"/>
        </w:rPr>
        <w:t>These</w:t>
      </w:r>
      <w:r w:rsidRPr="009E01F0">
        <w:rPr>
          <w:rFonts w:ascii="Arial" w:eastAsia="Times New Roman" w:hAnsi="Arial" w:cs="Times New Roman"/>
          <w:strike/>
          <w:sz w:val="18"/>
          <w:szCs w:val="18"/>
          <w:highlight w:val="yellow"/>
          <w:lang w:val="en-IE"/>
        </w:rPr>
        <w:t>This</w:t>
      </w:r>
      <w:r w:rsidRPr="009E01F0">
        <w:rPr>
          <w:rFonts w:ascii="Arial" w:eastAsia="Times New Roman" w:hAnsi="Arial" w:cs="Times New Roman"/>
          <w:strike/>
          <w:sz w:val="18"/>
          <w:szCs w:val="18"/>
          <w:lang w:val="en-IE"/>
        </w:rPr>
        <w:t xml:space="preserve"> </w:t>
      </w:r>
      <w:r w:rsidRPr="009E01F0">
        <w:rPr>
          <w:rFonts w:ascii="Arial" w:eastAsia="Times New Roman" w:hAnsi="Arial" w:cs="Times New Roman"/>
          <w:sz w:val="18"/>
          <w:szCs w:val="18"/>
          <w:lang w:val="en-IE"/>
        </w:rPr>
        <w:t>method</w:t>
      </w:r>
      <w:r w:rsidRPr="009E01F0">
        <w:rPr>
          <w:rFonts w:ascii="Arial" w:eastAsia="Times New Roman" w:hAnsi="Arial" w:cs="Times New Roman"/>
          <w:sz w:val="18"/>
          <w:szCs w:val="18"/>
          <w:highlight w:val="yellow"/>
          <w:u w:val="double"/>
          <w:lang w:val="en-IE"/>
        </w:rPr>
        <w:t>s</w:t>
      </w:r>
      <w:r w:rsidRPr="00FD3250">
        <w:rPr>
          <w:rFonts w:ascii="Arial" w:eastAsia="Times New Roman" w:hAnsi="Arial" w:cs="Times New Roman"/>
          <w:strike/>
          <w:sz w:val="18"/>
          <w:szCs w:val="18"/>
          <w:highlight w:val="yellow"/>
          <w:lang w:val="en-IE"/>
        </w:rPr>
        <w:t>,</w:t>
      </w:r>
      <w:r w:rsidRPr="009E01F0">
        <w:rPr>
          <w:rFonts w:ascii="Arial" w:eastAsia="Times New Roman" w:hAnsi="Arial" w:cs="Times New Roman"/>
          <w:sz w:val="18"/>
          <w:szCs w:val="18"/>
          <w:lang w:val="en-IE"/>
        </w:rPr>
        <w:t xml:space="preserve"> </w:t>
      </w:r>
      <w:r w:rsidRPr="00FD3250">
        <w:rPr>
          <w:rFonts w:ascii="Arial" w:eastAsia="Times New Roman" w:hAnsi="Arial" w:cs="Times New Roman"/>
          <w:sz w:val="18"/>
          <w:szCs w:val="18"/>
          <w:highlight w:val="yellow"/>
          <w:u w:val="double"/>
          <w:lang w:val="en-IE"/>
        </w:rPr>
        <w:t>have</w:t>
      </w:r>
      <w:r w:rsidRPr="00FD3250">
        <w:rPr>
          <w:rFonts w:ascii="Arial" w:eastAsia="Times New Roman" w:hAnsi="Arial" w:cs="Times New Roman"/>
          <w:sz w:val="18"/>
          <w:szCs w:val="18"/>
          <w:highlight w:val="yellow"/>
          <w:lang w:val="en-IE"/>
        </w:rPr>
        <w:t xml:space="preserve"> </w:t>
      </w:r>
      <w:r w:rsidRPr="00FD3250">
        <w:rPr>
          <w:rFonts w:ascii="Arial" w:eastAsia="Times New Roman" w:hAnsi="Arial" w:cs="Times New Roman"/>
          <w:strike/>
          <w:sz w:val="18"/>
          <w:szCs w:val="18"/>
          <w:highlight w:val="yellow"/>
          <w:lang w:val="en-IE"/>
        </w:rPr>
        <w:t>ha</w:t>
      </w:r>
      <w:r>
        <w:rPr>
          <w:rFonts w:ascii="Arial" w:eastAsia="Times New Roman" w:hAnsi="Arial" w:cs="Times New Roman"/>
          <w:strike/>
          <w:sz w:val="18"/>
          <w:szCs w:val="18"/>
          <w:highlight w:val="yellow"/>
          <w:lang w:val="en-IE"/>
        </w:rPr>
        <w:t>ving</w:t>
      </w:r>
      <w:r w:rsidRPr="009E01F0">
        <w:rPr>
          <w:rFonts w:ascii="Arial" w:eastAsia="Times New Roman" w:hAnsi="Arial" w:cs="Times New Roman"/>
          <w:strike/>
          <w:sz w:val="18"/>
          <w:szCs w:val="18"/>
          <w:lang w:val="en-IE"/>
        </w:rPr>
        <w:t xml:space="preserve"> </w:t>
      </w:r>
      <w:r w:rsidRPr="009E01F0">
        <w:rPr>
          <w:rFonts w:ascii="Arial" w:eastAsia="Times New Roman" w:hAnsi="Arial" w:cs="Times New Roman"/>
          <w:sz w:val="18"/>
          <w:szCs w:val="18"/>
          <w:lang w:val="en-IE"/>
        </w:rPr>
        <w:t>high analytical and diagnostic sensitivity and specificity,</w:t>
      </w:r>
      <w:r>
        <w:rPr>
          <w:rFonts w:ascii="Arial" w:eastAsia="Times New Roman" w:hAnsi="Arial" w:cs="Times New Roman"/>
          <w:sz w:val="18"/>
          <w:szCs w:val="18"/>
          <w:lang w:val="en-IE"/>
        </w:rPr>
        <w:t xml:space="preserve"> </w:t>
      </w:r>
      <w:r w:rsidRPr="00AE3567">
        <w:rPr>
          <w:rFonts w:ascii="Arial" w:eastAsia="Times New Roman" w:hAnsi="Arial" w:cs="Times New Roman"/>
          <w:sz w:val="18"/>
          <w:szCs w:val="18"/>
          <w:highlight w:val="yellow"/>
          <w:u w:val="double"/>
          <w:lang w:val="en-IE"/>
        </w:rPr>
        <w:t>and</w:t>
      </w:r>
      <w:r w:rsidRPr="009E01F0">
        <w:rPr>
          <w:rFonts w:ascii="Arial" w:eastAsia="Times New Roman" w:hAnsi="Arial" w:cs="Times New Roman"/>
          <w:sz w:val="18"/>
          <w:szCs w:val="18"/>
          <w:lang w:val="en-IE"/>
        </w:rPr>
        <w:t xml:space="preserve"> </w:t>
      </w:r>
      <w:r w:rsidRPr="00FD3250">
        <w:rPr>
          <w:rFonts w:ascii="Arial" w:eastAsia="Times New Roman" w:hAnsi="Arial" w:cs="Times New Roman"/>
          <w:strike/>
          <w:sz w:val="18"/>
          <w:szCs w:val="18"/>
          <w:highlight w:val="yellow"/>
          <w:lang w:val="en-IE"/>
        </w:rPr>
        <w:t xml:space="preserve">has been shown to be highly </w:t>
      </w:r>
      <w:r w:rsidRPr="00FD3250">
        <w:rPr>
          <w:rFonts w:ascii="Arial" w:eastAsia="Times New Roman" w:hAnsi="Arial" w:cs="Times New Roman"/>
          <w:sz w:val="18"/>
          <w:szCs w:val="18"/>
          <w:highlight w:val="yellow"/>
          <w:u w:val="double"/>
          <w:lang w:val="en-IE"/>
        </w:rPr>
        <w:t>are</w:t>
      </w:r>
      <w:r>
        <w:rPr>
          <w:rFonts w:ascii="Arial" w:eastAsia="Times New Roman" w:hAnsi="Arial" w:cs="Times New Roman"/>
          <w:sz w:val="18"/>
          <w:szCs w:val="18"/>
          <w:lang w:val="en-IE"/>
        </w:rPr>
        <w:t xml:space="preserve"> </w:t>
      </w:r>
      <w:r w:rsidRPr="009E01F0">
        <w:rPr>
          <w:rFonts w:ascii="Arial" w:eastAsia="Times New Roman" w:hAnsi="Arial" w:cs="Times New Roman"/>
          <w:sz w:val="18"/>
          <w:szCs w:val="18"/>
          <w:lang w:val="en-IE"/>
        </w:rPr>
        <w:t>robust across laboratories (</w:t>
      </w:r>
      <w:r>
        <w:rPr>
          <w:rFonts w:ascii="Arial" w:eastAsia="Times New Roman" w:hAnsi="Arial" w:cs="Times New Roman"/>
          <w:sz w:val="18"/>
          <w:szCs w:val="18"/>
          <w:highlight w:val="yellow"/>
          <w:u w:val="double"/>
          <w:lang w:val="en-IE"/>
        </w:rPr>
        <w:t>Garver</w:t>
      </w:r>
      <w:r w:rsidRPr="00FD3250">
        <w:rPr>
          <w:rFonts w:ascii="Arial" w:eastAsia="Times New Roman" w:hAnsi="Arial" w:cs="Times New Roman"/>
          <w:sz w:val="18"/>
          <w:szCs w:val="18"/>
          <w:highlight w:val="yellow"/>
          <w:u w:val="double"/>
          <w:lang w:val="en-IE"/>
        </w:rPr>
        <w:t xml:space="preserve"> </w:t>
      </w:r>
      <w:r w:rsidRPr="00FD3250">
        <w:rPr>
          <w:rFonts w:ascii="Arial" w:eastAsia="Times New Roman" w:hAnsi="Arial" w:cs="Times New Roman"/>
          <w:i/>
          <w:iCs/>
          <w:sz w:val="18"/>
          <w:szCs w:val="18"/>
          <w:highlight w:val="yellow"/>
          <w:u w:val="double"/>
          <w:lang w:val="en-IE"/>
        </w:rPr>
        <w:t>et al.</w:t>
      </w:r>
      <w:r>
        <w:rPr>
          <w:rFonts w:ascii="Arial" w:eastAsia="Times New Roman" w:hAnsi="Arial" w:cs="Times New Roman"/>
          <w:i/>
          <w:iCs/>
          <w:sz w:val="18"/>
          <w:szCs w:val="18"/>
          <w:highlight w:val="yellow"/>
          <w:u w:val="double"/>
          <w:lang w:val="en-IE"/>
        </w:rPr>
        <w:t>,</w:t>
      </w:r>
      <w:r w:rsidRPr="00FD3250">
        <w:rPr>
          <w:rFonts w:ascii="Arial" w:eastAsia="Times New Roman" w:hAnsi="Arial" w:cs="Times New Roman"/>
          <w:sz w:val="18"/>
          <w:szCs w:val="18"/>
          <w:highlight w:val="yellow"/>
          <w:u w:val="double"/>
          <w:lang w:val="en-IE"/>
        </w:rPr>
        <w:t xml:space="preserve"> 2011</w:t>
      </w:r>
      <w:r>
        <w:rPr>
          <w:rFonts w:ascii="Arial" w:eastAsia="Times New Roman" w:hAnsi="Arial" w:cs="Times New Roman"/>
          <w:sz w:val="18"/>
          <w:szCs w:val="18"/>
          <w:highlight w:val="yellow"/>
          <w:u w:val="double"/>
          <w:lang w:val="en-IE"/>
        </w:rPr>
        <w:t>;</w:t>
      </w:r>
      <w:r w:rsidRPr="00FD3250">
        <w:rPr>
          <w:rFonts w:ascii="Arial" w:eastAsia="Times New Roman" w:hAnsi="Arial" w:cs="Times New Roman"/>
          <w:sz w:val="18"/>
          <w:szCs w:val="18"/>
          <w:lang w:val="en-IE"/>
        </w:rPr>
        <w:t xml:space="preserve"> </w:t>
      </w:r>
      <w:r w:rsidRPr="007B73F2">
        <w:rPr>
          <w:rFonts w:ascii="Arial" w:eastAsia="Times New Roman" w:hAnsi="Arial" w:cs="Times New Roman"/>
          <w:sz w:val="18"/>
          <w:szCs w:val="18"/>
          <w:lang w:val="en-IE"/>
        </w:rPr>
        <w:t xml:space="preserve">Jonstrup </w:t>
      </w:r>
      <w:r w:rsidRPr="007B73F2">
        <w:rPr>
          <w:rFonts w:ascii="Arial" w:eastAsia="Times New Roman" w:hAnsi="Arial" w:cs="Times New Roman"/>
          <w:i/>
          <w:sz w:val="18"/>
          <w:szCs w:val="18"/>
          <w:lang w:val="en-IE"/>
        </w:rPr>
        <w:t>et al.,</w:t>
      </w:r>
      <w:r w:rsidRPr="007B73F2">
        <w:rPr>
          <w:rFonts w:ascii="Arial" w:eastAsia="Times New Roman" w:hAnsi="Arial" w:cs="Times New Roman"/>
          <w:sz w:val="18"/>
          <w:szCs w:val="18"/>
          <w:lang w:val="en-IE"/>
        </w:rPr>
        <w:t xml:space="preserve"> 2013; Warg </w:t>
      </w:r>
      <w:r w:rsidRPr="007B73F2">
        <w:rPr>
          <w:rFonts w:ascii="Arial" w:eastAsia="Times New Roman" w:hAnsi="Arial" w:cs="Times New Roman"/>
          <w:i/>
          <w:sz w:val="18"/>
          <w:szCs w:val="18"/>
          <w:lang w:val="en-IE"/>
        </w:rPr>
        <w:t>et al.,</w:t>
      </w:r>
      <w:r w:rsidRPr="007B73F2">
        <w:rPr>
          <w:rFonts w:ascii="Arial" w:eastAsia="Times New Roman" w:hAnsi="Arial" w:cs="Times New Roman"/>
          <w:sz w:val="18"/>
          <w:szCs w:val="18"/>
          <w:lang w:val="en-IE"/>
        </w:rPr>
        <w:t xml:space="preserve"> 2014a; 2014b).</w:t>
      </w:r>
    </w:p>
    <w:p w14:paraId="79FC2FF7" w14:textId="77777777" w:rsidR="00E65E42" w:rsidRPr="00D403F5" w:rsidRDefault="00E65E42" w:rsidP="00E65E42">
      <w:pPr>
        <w:spacing w:after="240" w:line="240" w:lineRule="auto"/>
        <w:ind w:left="425"/>
        <w:jc w:val="both"/>
        <w:rPr>
          <w:rFonts w:ascii="Arial" w:eastAsia="Times New Roman" w:hAnsi="Arial" w:cs="Times New Roman"/>
          <w:sz w:val="18"/>
          <w:szCs w:val="18"/>
          <w:lang w:val="en-IE"/>
        </w:rPr>
      </w:pPr>
      <w:r w:rsidRPr="00D403F5">
        <w:rPr>
          <w:rFonts w:ascii="Arial" w:eastAsia="Times New Roman" w:hAnsi="Arial" w:cs="Times New Roman"/>
          <w:sz w:val="18"/>
          <w:szCs w:val="18"/>
          <w:lang w:val="en-IE"/>
        </w:rPr>
        <w:t>The following controls should be run with each assay: negative extraction control; positive control; no template control; internal PCR control.</w:t>
      </w:r>
    </w:p>
    <w:p w14:paraId="3F2C154E" w14:textId="77777777" w:rsidR="00DD4A56" w:rsidRDefault="00DD4A56">
      <w:pPr>
        <w:rPr>
          <w:rFonts w:ascii="Ottawa" w:eastAsia="Times New Roman" w:hAnsi="Ottawa" w:cs="Times New Roman"/>
          <w:b/>
          <w:bCs/>
          <w:szCs w:val="20"/>
          <w:lang w:val="en-IE" w:eastAsia="fr-FR"/>
        </w:rPr>
      </w:pPr>
      <w:r>
        <w:rPr>
          <w:rFonts w:ascii="Ottawa" w:eastAsia="Times New Roman" w:hAnsi="Ottawa" w:cs="Times New Roman"/>
          <w:b/>
          <w:bCs/>
          <w:szCs w:val="20"/>
          <w:lang w:val="en-IE" w:eastAsia="fr-FR"/>
        </w:rPr>
        <w:br w:type="page"/>
      </w:r>
    </w:p>
    <w:p w14:paraId="069B5D2A" w14:textId="77777777" w:rsidR="00DD4A56" w:rsidRPr="008A67C2" w:rsidRDefault="00DD4A56" w:rsidP="00DD4A56">
      <w:pPr>
        <w:spacing w:after="480" w:line="240" w:lineRule="auto"/>
        <w:rPr>
          <w:rFonts w:cs="Times New Roman"/>
          <w:bCs/>
          <w:iCs/>
          <w:szCs w:val="20"/>
        </w:rPr>
      </w:pP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5AC91343" w14:textId="4FA31A12" w:rsidR="00E65E42" w:rsidRPr="00BC2337" w:rsidRDefault="00E65E42" w:rsidP="000A4E1E">
      <w:pPr>
        <w:spacing w:after="120" w:line="240" w:lineRule="auto"/>
        <w:ind w:left="993"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4.4.1.</w:t>
      </w:r>
      <w:r w:rsidRPr="00BC2337">
        <w:rPr>
          <w:rFonts w:ascii="Ottawa" w:eastAsia="Times New Roman" w:hAnsi="Ottawa" w:cs="Times New Roman"/>
          <w:b/>
          <w:bCs/>
          <w:szCs w:val="20"/>
          <w:lang w:val="en-IE" w:eastAsia="fr-FR"/>
        </w:rPr>
        <w:tab/>
        <w:t>Real-time RT-PCR</w:t>
      </w:r>
    </w:p>
    <w:p w14:paraId="6EF4C6FB" w14:textId="77777777" w:rsidR="00E65E42" w:rsidRPr="00D403F5" w:rsidRDefault="00E65E42" w:rsidP="000A4E1E">
      <w:pPr>
        <w:spacing w:after="120" w:line="240" w:lineRule="auto"/>
        <w:ind w:left="993"/>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Total RNA can be purified from: aliquots of cell culture medium from infected monolayer cells; or tissue/organs homogenised in MEM specified in Section 4.3.1, tissue samples in RNA stabilising reagent, fresh or frozen tissue samples, ovarian fluid. </w:t>
      </w:r>
    </w:p>
    <w:p w14:paraId="3F827CA0" w14:textId="77777777" w:rsidR="00E65E42" w:rsidRPr="00D403F5" w:rsidRDefault="00E65E42" w:rsidP="000A4E1E">
      <w:pPr>
        <w:spacing w:after="120" w:line="240" w:lineRule="auto"/>
        <w:ind w:left="993"/>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In the case of culture medium from infected monolayer cells, or in tissue homogenised in MEM, aliquots should be centrifuged at 1000 </w:t>
      </w:r>
      <w:r w:rsidRPr="00D403F5">
        <w:rPr>
          <w:rFonts w:ascii="Arial" w:eastAsia="Times New Roman" w:hAnsi="Arial" w:cs="Arial"/>
          <w:b/>
          <w:bCs/>
          <w:i/>
          <w:sz w:val="18"/>
          <w:szCs w:val="18"/>
          <w:lang w:val="en-IE"/>
        </w:rPr>
        <w:t>g</w:t>
      </w:r>
      <w:r w:rsidRPr="00D403F5">
        <w:rPr>
          <w:rFonts w:ascii="Arial" w:eastAsia="Times New Roman" w:hAnsi="Arial" w:cs="Arial"/>
          <w:bCs/>
          <w:sz w:val="18"/>
          <w:szCs w:val="18"/>
          <w:lang w:val="en-IE"/>
        </w:rPr>
        <w:t xml:space="preserve"> for 5 minutes to remove cell debris. </w:t>
      </w:r>
    </w:p>
    <w:p w14:paraId="0BF3E044" w14:textId="77777777" w:rsidR="00E65E42" w:rsidRPr="00D403F5" w:rsidRDefault="00E65E42" w:rsidP="000A4E1E">
      <w:pPr>
        <w:spacing w:after="120" w:line="240" w:lineRule="auto"/>
        <w:ind w:left="993"/>
        <w:jc w:val="both"/>
        <w:rPr>
          <w:rFonts w:ascii="Arial" w:eastAsia="Times New Roman" w:hAnsi="Arial" w:cs="Arial"/>
          <w:sz w:val="18"/>
          <w:szCs w:val="18"/>
          <w:lang w:val="en-IE"/>
        </w:rPr>
      </w:pPr>
      <w:r w:rsidRPr="00D403F5">
        <w:rPr>
          <w:rFonts w:ascii="Arial" w:eastAsia="Times New Roman" w:hAnsi="Arial" w:cs="Arial"/>
          <w:sz w:val="18"/>
          <w:szCs w:val="18"/>
          <w:lang w:val="en-IE"/>
        </w:rPr>
        <w:t>One-step (</w:t>
      </w:r>
      <w:r w:rsidRPr="007B73F2">
        <w:rPr>
          <w:rFonts w:ascii="Arial" w:eastAsia="Times New Roman" w:hAnsi="Arial" w:cs="Arial"/>
          <w:sz w:val="18"/>
          <w:szCs w:val="18"/>
          <w:lang w:val="en-IE"/>
        </w:rPr>
        <w:t xml:space="preserve">Jonstrup </w:t>
      </w:r>
      <w:r w:rsidRPr="007B73F2">
        <w:rPr>
          <w:rFonts w:ascii="Arial" w:eastAsia="Times New Roman" w:hAnsi="Arial" w:cs="Times New Roman"/>
          <w:i/>
          <w:sz w:val="18"/>
          <w:szCs w:val="18"/>
          <w:lang w:val="en-IE"/>
        </w:rPr>
        <w:t>et al.,</w:t>
      </w:r>
      <w:r w:rsidRPr="007B73F2">
        <w:rPr>
          <w:rFonts w:ascii="Arial" w:eastAsia="Times New Roman" w:hAnsi="Arial" w:cs="Times New Roman"/>
          <w:sz w:val="18"/>
          <w:szCs w:val="18"/>
          <w:lang w:val="en-IE"/>
        </w:rPr>
        <w:t xml:space="preserve"> </w:t>
      </w:r>
      <w:r w:rsidRPr="007B73F2">
        <w:rPr>
          <w:rFonts w:ascii="Arial" w:eastAsia="Times New Roman" w:hAnsi="Arial" w:cs="Arial"/>
          <w:sz w:val="18"/>
          <w:szCs w:val="18"/>
          <w:lang w:val="en-IE"/>
        </w:rPr>
        <w:t xml:space="preserve">2013) and two-step (Garver </w:t>
      </w:r>
      <w:r w:rsidRPr="007B73F2">
        <w:rPr>
          <w:rFonts w:ascii="Arial" w:eastAsia="Times New Roman" w:hAnsi="Arial" w:cs="Times New Roman"/>
          <w:i/>
          <w:sz w:val="18"/>
          <w:szCs w:val="18"/>
          <w:lang w:val="en-IE"/>
        </w:rPr>
        <w:t>et al.,</w:t>
      </w:r>
      <w:r w:rsidRPr="007B73F2">
        <w:rPr>
          <w:rFonts w:ascii="Arial" w:eastAsia="Times New Roman" w:hAnsi="Arial" w:cs="Times New Roman"/>
          <w:sz w:val="18"/>
          <w:szCs w:val="18"/>
          <w:lang w:val="en-IE"/>
        </w:rPr>
        <w:t xml:space="preserve"> </w:t>
      </w:r>
      <w:r w:rsidRPr="007B73F2">
        <w:rPr>
          <w:rFonts w:ascii="Arial" w:eastAsia="Times New Roman" w:hAnsi="Arial" w:cs="Arial"/>
          <w:sz w:val="18"/>
          <w:szCs w:val="18"/>
          <w:lang w:val="en-IE"/>
        </w:rPr>
        <w:t>2011) real-time RT-PCR assays targeting the nucleoprotein gene of VHSV have been stage 3 validated and</w:t>
      </w:r>
      <w:r w:rsidRPr="00D403F5">
        <w:rPr>
          <w:rFonts w:ascii="Arial" w:eastAsia="Times New Roman" w:hAnsi="Arial" w:cs="Arial"/>
          <w:sz w:val="18"/>
          <w:szCs w:val="18"/>
          <w:lang w:val="en-IE"/>
        </w:rPr>
        <w:t xml:space="preserve"> are described herein. </w:t>
      </w:r>
    </w:p>
    <w:p w14:paraId="25EF57E3" w14:textId="77777777" w:rsidR="00E65E42" w:rsidRPr="00D403F5" w:rsidRDefault="00E65E42" w:rsidP="000A4E1E">
      <w:pPr>
        <w:spacing w:after="120" w:line="240" w:lineRule="auto"/>
        <w:ind w:left="993"/>
        <w:jc w:val="both"/>
        <w:rPr>
          <w:rFonts w:ascii="Arial" w:eastAsia="Times New Roman" w:hAnsi="Arial" w:cs="Arial"/>
          <w:sz w:val="18"/>
          <w:szCs w:val="18"/>
          <w:lang w:val="en-IE"/>
        </w:rPr>
      </w:pPr>
      <w:r w:rsidRPr="00D403F5">
        <w:rPr>
          <w:rFonts w:ascii="Arial" w:eastAsia="Times New Roman" w:hAnsi="Arial" w:cs="Arial"/>
          <w:sz w:val="18"/>
          <w:szCs w:val="18"/>
          <w:lang w:val="en-IE"/>
        </w:rPr>
        <w:t>Positive and negative controls should be included with each stage of the assay: extraction, reverse-transcription (two-step assay only) and real-time PCR. An internal (endogenous) PCR control can be included however given the large number of fish species susceptible to infection with VHSV, the selection of an internal control is not trivial. If an endogenous control is to be used, primers and probes have to be designed, optimised and validated for each fish species to be tested.</w:t>
      </w:r>
    </w:p>
    <w:p w14:paraId="6A0B685E" w14:textId="77777777" w:rsidR="00E65E42" w:rsidRPr="00D403F5" w:rsidRDefault="00E65E42" w:rsidP="000A4E1E">
      <w:pPr>
        <w:spacing w:after="120" w:line="240" w:lineRule="auto"/>
        <w:ind w:left="993"/>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Total RNA from infected cells and/or tissues is extracted using a phase-separation method (e.g. phenol-chloroform or Trizol) or by use of a commercially</w:t>
      </w:r>
      <w:r>
        <w:rPr>
          <w:rFonts w:ascii="Arial" w:eastAsia="Times New Roman" w:hAnsi="Arial" w:cs="Times New Roman"/>
          <w:bCs/>
          <w:sz w:val="18"/>
          <w:szCs w:val="18"/>
          <w:lang w:val="en-IE" w:eastAsia="fr-FR"/>
        </w:rPr>
        <w:t xml:space="preserve"> </w:t>
      </w:r>
      <w:r w:rsidRPr="00D403F5">
        <w:rPr>
          <w:rFonts w:ascii="Arial" w:eastAsia="Times New Roman" w:hAnsi="Arial" w:cs="Times New Roman"/>
          <w:bCs/>
          <w:sz w:val="18"/>
          <w:szCs w:val="18"/>
          <w:lang w:val="en-IE" w:eastAsia="fr-FR"/>
        </w:rPr>
        <w:t>available RNA isolation kit used according to the manufacturer’s instructions.</w:t>
      </w:r>
    </w:p>
    <w:p w14:paraId="52AFD43C" w14:textId="77777777" w:rsidR="00E65E42" w:rsidRPr="00D403F5" w:rsidRDefault="00E65E42" w:rsidP="000A4E1E">
      <w:pPr>
        <w:keepNext/>
        <w:keepLines/>
        <w:tabs>
          <w:tab w:val="num" w:pos="360"/>
        </w:tabs>
        <w:spacing w:after="120" w:line="240" w:lineRule="auto"/>
        <w:ind w:left="993"/>
        <w:outlineLvl w:val="3"/>
        <w:rPr>
          <w:rFonts w:ascii="Ottawa" w:eastAsia="Times New Roman" w:hAnsi="Ottawa" w:cs="Times New Roman"/>
          <w:bCs/>
          <w:i/>
          <w:iCs/>
          <w:sz w:val="18"/>
          <w:szCs w:val="18"/>
          <w:lang w:val="en-IE"/>
        </w:rPr>
      </w:pPr>
      <w:r w:rsidRPr="00D403F5">
        <w:rPr>
          <w:rFonts w:ascii="Ottawa" w:eastAsia="Times New Roman" w:hAnsi="Ottawa" w:cs="Times New Roman"/>
          <w:bCs/>
          <w:i/>
          <w:iCs/>
          <w:sz w:val="18"/>
          <w:szCs w:val="18"/>
          <w:lang w:val="en-IE"/>
        </w:rPr>
        <w:t>One-step real-time RT-PCR</w:t>
      </w:r>
    </w:p>
    <w:p w14:paraId="3E6DE5D4" w14:textId="77777777" w:rsidR="00E65E42" w:rsidRPr="00D403F5" w:rsidRDefault="00E65E42" w:rsidP="000A4E1E">
      <w:pPr>
        <w:spacing w:after="120" w:line="240" w:lineRule="auto"/>
        <w:ind w:left="993"/>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In one-step RT-PCR gene-specific primers are used both to generate a cDNA transcript and for real-time PCR. Both reactions occur in the same tube, which minimises the probability of contamination.</w:t>
      </w:r>
      <w:r w:rsidRPr="00D403F5">
        <w:rPr>
          <w:rFonts w:ascii="Arial" w:eastAsia="Times New Roman" w:hAnsi="Arial" w:cs="Times New Roman"/>
          <w:bCs/>
          <w:sz w:val="18"/>
          <w:szCs w:val="18"/>
          <w:u w:val="double"/>
          <w:lang w:val="en-IE" w:eastAsia="fr-FR"/>
        </w:rPr>
        <w:t xml:space="preserve"> </w:t>
      </w:r>
      <w:r w:rsidRPr="00D403F5">
        <w:rPr>
          <w:rFonts w:ascii="Arial" w:eastAsia="Times New Roman" w:hAnsi="Arial" w:cs="Times New Roman"/>
          <w:bCs/>
          <w:sz w:val="18"/>
          <w:szCs w:val="18"/>
          <w:lang w:val="en-IE" w:eastAsia="fr-FR"/>
        </w:rPr>
        <w:t xml:space="preserve">The one-step real-time RT-PCR amplification can be performed using forward primer 5’-AAA-CTC-GCA-GGA-TGT-GTG-CGT-CC-3’, reverse primer: 5’-TCT-GCG-ATC-TCA-GTC-AGG-ATG-AA-3’, and FAM-labelled probe: 6’-FAM-TAG-AGG-GCC-TTG-GTG-ATC-TTC-TG-BHQ1. Primers are used at a final concentration of 900 nM and the final probe concentration is 250 nM. 5 µl of extracted RNA (50 ng–2 ug) is added to each 25 µl PCR reaction. The assay was validated using Quantitect Probe RT-PCR kit (Qiagen, Germany) following the manufacturer’s instructions and is recommended as other one-step kits have demonstrated reduced sensitivity </w:t>
      </w:r>
      <w:r w:rsidRPr="007B73F2">
        <w:rPr>
          <w:rFonts w:ascii="Arial" w:eastAsia="Times New Roman" w:hAnsi="Arial" w:cs="Times New Roman"/>
          <w:bCs/>
          <w:sz w:val="18"/>
          <w:szCs w:val="18"/>
          <w:lang w:val="en-IE" w:eastAsia="fr-FR"/>
        </w:rPr>
        <w:t xml:space="preserve">(Jonstrup </w:t>
      </w:r>
      <w:r w:rsidRPr="007B73F2">
        <w:rPr>
          <w:rFonts w:ascii="Arial" w:eastAsia="Times New Roman" w:hAnsi="Arial" w:cs="Times New Roman"/>
          <w:bCs/>
          <w:i/>
          <w:sz w:val="18"/>
          <w:szCs w:val="18"/>
          <w:lang w:val="en-IE" w:eastAsia="fr-FR"/>
        </w:rPr>
        <w:t>et al.,</w:t>
      </w:r>
      <w:r w:rsidRPr="007B73F2">
        <w:rPr>
          <w:rFonts w:ascii="Arial" w:eastAsia="Times New Roman" w:hAnsi="Arial" w:cs="Times New Roman"/>
          <w:bCs/>
          <w:sz w:val="18"/>
          <w:szCs w:val="18"/>
          <w:lang w:val="en-IE" w:eastAsia="fr-FR"/>
        </w:rPr>
        <w:t xml:space="preserve"> 2013). Thermal</w:t>
      </w:r>
      <w:r w:rsidRPr="00D403F5">
        <w:rPr>
          <w:rFonts w:ascii="Arial" w:eastAsia="Times New Roman" w:hAnsi="Arial" w:cs="Times New Roman"/>
          <w:bCs/>
          <w:sz w:val="18"/>
          <w:szCs w:val="18"/>
          <w:lang w:val="en-IE" w:eastAsia="fr-FR"/>
        </w:rPr>
        <w:t xml:space="preserve"> cycling conditions are 50°C for 30 minutes, 95°C for 15 minutes, 40 cycles of 94°C for 15 seconds, 60°C for 40 seconds, 72°C for 20 seconds. </w:t>
      </w:r>
    </w:p>
    <w:p w14:paraId="1916BC4D" w14:textId="77777777" w:rsidR="00E65E42" w:rsidRPr="00D403F5" w:rsidRDefault="00E65E42" w:rsidP="000A4E1E">
      <w:pPr>
        <w:keepNext/>
        <w:keepLines/>
        <w:tabs>
          <w:tab w:val="num" w:pos="360"/>
        </w:tabs>
        <w:spacing w:after="120" w:line="240" w:lineRule="auto"/>
        <w:ind w:left="993"/>
        <w:outlineLvl w:val="3"/>
        <w:rPr>
          <w:rFonts w:ascii="Ottawa" w:eastAsia="Times New Roman" w:hAnsi="Ottawa" w:cs="Times New Roman"/>
          <w:bCs/>
          <w:i/>
          <w:iCs/>
          <w:sz w:val="18"/>
          <w:szCs w:val="18"/>
          <w:lang w:val="en-IE"/>
        </w:rPr>
      </w:pPr>
      <w:r w:rsidRPr="00D403F5">
        <w:rPr>
          <w:rFonts w:ascii="Ottawa" w:eastAsia="Times New Roman" w:hAnsi="Ottawa" w:cs="Times New Roman"/>
          <w:bCs/>
          <w:i/>
          <w:iCs/>
          <w:sz w:val="18"/>
          <w:szCs w:val="18"/>
          <w:lang w:val="en-IE"/>
        </w:rPr>
        <w:t>Two-step real-time RT-PCR</w:t>
      </w:r>
    </w:p>
    <w:p w14:paraId="184297FD" w14:textId="77777777" w:rsidR="00E65E42" w:rsidRPr="00D403F5" w:rsidRDefault="00E65E42" w:rsidP="00DD4A56">
      <w:pPr>
        <w:spacing w:after="120" w:line="240" w:lineRule="auto"/>
        <w:ind w:left="1417" w:hanging="425"/>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i)</w:t>
      </w:r>
      <w:r w:rsidRPr="00D403F5">
        <w:rPr>
          <w:rFonts w:ascii="Arial" w:eastAsia="Times New Roman" w:hAnsi="Arial" w:cs="Times New Roman"/>
          <w:bCs/>
          <w:sz w:val="18"/>
          <w:szCs w:val="18"/>
          <w:lang w:val="en-IE" w:eastAsia="fr-FR"/>
        </w:rPr>
        <w:tab/>
        <w:t>Step 1: Reverse-transcription</w:t>
      </w:r>
    </w:p>
    <w:p w14:paraId="4DCD795C" w14:textId="77777777" w:rsidR="00E65E42" w:rsidRPr="00D403F5" w:rsidRDefault="00E65E42" w:rsidP="00DD4A56">
      <w:pPr>
        <w:spacing w:after="120" w:line="240" w:lineRule="auto"/>
        <w:ind w:left="1418"/>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Extracted</w:t>
      </w:r>
      <w:r w:rsidRPr="00D403F5">
        <w:rPr>
          <w:rFonts w:ascii="Arial" w:eastAsia="Times New Roman" w:hAnsi="Arial" w:cs="Times New Roman"/>
          <w:bCs/>
          <w:sz w:val="18"/>
          <w:szCs w:val="18"/>
          <w:lang w:val="en-IE" w:eastAsia="zh-CN"/>
        </w:rPr>
        <w:t xml:space="preserve"> </w:t>
      </w:r>
      <w:r w:rsidRPr="00D403F5">
        <w:rPr>
          <w:rFonts w:ascii="Arial" w:eastAsia="Times New Roman" w:hAnsi="Arial" w:cs="Times New Roman"/>
          <w:bCs/>
          <w:sz w:val="18"/>
          <w:szCs w:val="18"/>
          <w:lang w:val="en-IE"/>
        </w:rPr>
        <w:t>RNA is reverse transcribed non-discriminately into cDNA using random primers.</w:t>
      </w:r>
      <w:r w:rsidRPr="00D403F5">
        <w:rPr>
          <w:rFonts w:ascii="Arial" w:eastAsia="Times New Roman" w:hAnsi="Arial" w:cs="Times New Roman"/>
          <w:bCs/>
          <w:sz w:val="18"/>
          <w:szCs w:val="18"/>
          <w:lang w:val="en-IE" w:eastAsia="zh-CN"/>
        </w:rPr>
        <w:t xml:space="preserve"> </w:t>
      </w:r>
      <w:r w:rsidRPr="00D403F5">
        <w:rPr>
          <w:rFonts w:ascii="Arial" w:eastAsia="Times New Roman" w:hAnsi="Arial" w:cs="Times New Roman"/>
          <w:bCs/>
          <w:sz w:val="18"/>
          <w:szCs w:val="18"/>
          <w:lang w:val="en-IE"/>
        </w:rPr>
        <w:t>The cDNA synthesis reactions and cycling conditions are best performed using</w:t>
      </w:r>
      <w:r w:rsidRPr="00D403F5">
        <w:rPr>
          <w:rFonts w:ascii="Arial" w:eastAsia="Times New Roman" w:hAnsi="Arial" w:cs="Times New Roman"/>
          <w:bCs/>
          <w:sz w:val="18"/>
          <w:szCs w:val="18"/>
          <w:lang w:val="en-IE" w:eastAsia="zh-CN"/>
        </w:rPr>
        <w:t xml:space="preserve"> </w:t>
      </w:r>
      <w:r w:rsidRPr="00D403F5">
        <w:rPr>
          <w:rFonts w:ascii="Arial" w:eastAsia="Times New Roman" w:hAnsi="Arial" w:cs="Times New Roman"/>
          <w:bCs/>
          <w:sz w:val="18"/>
          <w:szCs w:val="18"/>
          <w:lang w:val="en-IE"/>
        </w:rPr>
        <w:t>manufacturer’s instructions for commercially available kits which have been extensively tested with a variety of RNA templates, including GC- and AU-rich targets and RNAse expressed at low levels.</w:t>
      </w:r>
    </w:p>
    <w:p w14:paraId="5EB59DF4" w14:textId="77777777" w:rsidR="00E65E42" w:rsidRPr="00D403F5" w:rsidRDefault="00E65E42" w:rsidP="00DD4A56">
      <w:pPr>
        <w:spacing w:after="120" w:line="240" w:lineRule="auto"/>
        <w:ind w:left="1417" w:hanging="425"/>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ii)</w:t>
      </w:r>
      <w:r w:rsidRPr="00D403F5">
        <w:rPr>
          <w:rFonts w:ascii="Arial" w:eastAsia="Times New Roman" w:hAnsi="Arial" w:cs="Times New Roman"/>
          <w:bCs/>
          <w:sz w:val="18"/>
          <w:szCs w:val="18"/>
          <w:lang w:val="en-IE" w:eastAsia="fr-FR"/>
        </w:rPr>
        <w:tab/>
        <w:t xml:space="preserve">Step 2: Real-time PCR </w:t>
      </w:r>
    </w:p>
    <w:p w14:paraId="78798A2E" w14:textId="77777777" w:rsidR="00E65E42" w:rsidRPr="00D403F5" w:rsidRDefault="00E65E42" w:rsidP="00DD4A56">
      <w:pPr>
        <w:spacing w:after="120" w:line="240" w:lineRule="auto"/>
        <w:ind w:left="1418"/>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The TaqMan real-time PCR assay uses forward primer 5’-ATG-AGG-CAG-GTG-TCG-GAG-G-3’, reverse primer 5’-TGT-AGT-AGG-ACT-CTC-CCA-GCA-TCC and FAM-labelled probe 5’-6FAM-TAC-GCC-ATC-ATG-ATG-AGT-MGBNFQ-3’. Primers are used at a final concentration of 600 nM, and the final concentration of the probe is 200 nM. 2.5 µl of cDNA product is added to each 25 µl PCR reaction. Thermal cycling conditions are 50°C for 2 minutes, 95°C for 10 minutes followed by 40 cycles of 95°C for 15 seconds and 60°C for 1 minute.</w:t>
      </w:r>
    </w:p>
    <w:p w14:paraId="69B7002B" w14:textId="77777777" w:rsidR="00E65E42" w:rsidRPr="00D403F5" w:rsidRDefault="00E65E42" w:rsidP="000A4E1E">
      <w:pPr>
        <w:spacing w:after="120" w:line="240" w:lineRule="auto"/>
        <w:ind w:left="993"/>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 xml:space="preserve">A sample is negative if no Ct (threshold cycle) is recorded, while samples with a Ct are considered positive for VHSV. Cut-off value depends on the set-up in each laboratory but is usually set at Ct </w:t>
      </w:r>
      <w:r w:rsidRPr="00D403F5">
        <w:rPr>
          <w:rFonts w:ascii="Arial" w:eastAsia="Times New Roman" w:hAnsi="Arial" w:cs="Arial"/>
          <w:bCs/>
          <w:sz w:val="18"/>
          <w:szCs w:val="18"/>
          <w:lang w:val="en-IE" w:eastAsia="fr-FR"/>
        </w:rPr>
        <w:t>≥ 40</w:t>
      </w:r>
      <w:r w:rsidRPr="00D403F5">
        <w:rPr>
          <w:rFonts w:ascii="Arial" w:eastAsia="Times New Roman" w:hAnsi="Arial" w:cs="Times New Roman"/>
          <w:bCs/>
          <w:sz w:val="18"/>
          <w:szCs w:val="18"/>
          <w:lang w:val="en-IE" w:eastAsia="fr-FR"/>
        </w:rPr>
        <w:t>).</w:t>
      </w:r>
    </w:p>
    <w:p w14:paraId="2C8E5C65" w14:textId="77777777" w:rsidR="00E65E42" w:rsidRPr="00BC2337" w:rsidRDefault="00E65E42" w:rsidP="000A4E1E">
      <w:pPr>
        <w:spacing w:after="120" w:line="240" w:lineRule="auto"/>
        <w:ind w:left="993" w:hanging="567"/>
        <w:jc w:val="both"/>
        <w:rPr>
          <w:rFonts w:ascii="Ottawa" w:eastAsia="Times New Roman" w:hAnsi="Ottawa" w:cs="Times New Roman"/>
          <w:b/>
          <w:bCs/>
          <w:szCs w:val="20"/>
          <w:lang w:eastAsia="fr-FR"/>
        </w:rPr>
      </w:pPr>
      <w:r w:rsidRPr="00BC2337">
        <w:rPr>
          <w:rFonts w:ascii="Ottawa" w:eastAsia="Times New Roman" w:hAnsi="Ottawa" w:cs="Times New Roman"/>
          <w:b/>
          <w:bCs/>
          <w:szCs w:val="20"/>
          <w:lang w:eastAsia="fr-FR"/>
        </w:rPr>
        <w:t>4.4.2.</w:t>
      </w:r>
      <w:r w:rsidRPr="00BC2337">
        <w:rPr>
          <w:rFonts w:ascii="Ottawa" w:eastAsia="Times New Roman" w:hAnsi="Ottawa" w:cs="Times New Roman"/>
          <w:b/>
          <w:bCs/>
          <w:szCs w:val="20"/>
          <w:lang w:eastAsia="fr-FR"/>
        </w:rPr>
        <w:tab/>
      </w:r>
      <w:r w:rsidRPr="000A4E1E">
        <w:rPr>
          <w:rFonts w:ascii="Ottawa" w:eastAsia="Times New Roman" w:hAnsi="Ottawa" w:cs="Times New Roman"/>
          <w:b/>
          <w:bCs/>
          <w:szCs w:val="20"/>
          <w:lang w:val="en-IE" w:eastAsia="fr-FR"/>
        </w:rPr>
        <w:t>Conventional</w:t>
      </w:r>
      <w:r w:rsidRPr="00BC2337">
        <w:rPr>
          <w:rFonts w:ascii="Ottawa" w:eastAsia="Times New Roman" w:hAnsi="Ottawa" w:cs="Times New Roman"/>
          <w:b/>
          <w:bCs/>
          <w:szCs w:val="20"/>
          <w:lang w:eastAsia="fr-FR"/>
        </w:rPr>
        <w:t xml:space="preserve"> PCR </w:t>
      </w:r>
    </w:p>
    <w:p w14:paraId="6C7B624F" w14:textId="5D979306" w:rsidR="00E65E42" w:rsidRDefault="00E65E42" w:rsidP="000A4E1E">
      <w:pPr>
        <w:spacing w:after="240" w:line="240" w:lineRule="auto"/>
        <w:ind w:left="993"/>
        <w:jc w:val="both"/>
        <w:rPr>
          <w:rFonts w:ascii="Arial" w:hAnsi="Arial" w:cs="Arial"/>
          <w:sz w:val="18"/>
          <w:szCs w:val="18"/>
          <w:u w:val="double"/>
        </w:rPr>
      </w:pPr>
      <w:r w:rsidRPr="00D403F5">
        <w:rPr>
          <w:rFonts w:ascii="Arial" w:eastAsia="Times New Roman" w:hAnsi="Arial" w:cs="Arial"/>
          <w:bCs/>
          <w:sz w:val="18"/>
          <w:szCs w:val="18"/>
          <w:lang w:val="en-IE"/>
        </w:rPr>
        <w:t>RNA isolation is done as in Section 4.4.1.</w:t>
      </w:r>
      <w:r>
        <w:rPr>
          <w:rFonts w:ascii="Arial" w:eastAsia="Times New Roman" w:hAnsi="Arial" w:cs="Arial"/>
          <w:bCs/>
          <w:sz w:val="18"/>
          <w:szCs w:val="18"/>
          <w:lang w:val="en-IE"/>
        </w:rPr>
        <w:t xml:space="preserve"> </w:t>
      </w:r>
      <w:r w:rsidRPr="00695BD1">
        <w:rPr>
          <w:rFonts w:ascii="Arial" w:hAnsi="Arial" w:cs="Arial"/>
          <w:sz w:val="18"/>
          <w:szCs w:val="18"/>
          <w:highlight w:val="yellow"/>
          <w:u w:val="double"/>
        </w:rPr>
        <w:t>Positive and negative controls should be run with each stage of the assay</w:t>
      </w:r>
      <w:r>
        <w:rPr>
          <w:rFonts w:ascii="Arial" w:hAnsi="Arial" w:cs="Arial"/>
          <w:sz w:val="18"/>
          <w:szCs w:val="18"/>
          <w:highlight w:val="yellow"/>
          <w:u w:val="double"/>
        </w:rPr>
        <w:t>s</w:t>
      </w:r>
      <w:r w:rsidRPr="00695BD1">
        <w:rPr>
          <w:rFonts w:ascii="Arial" w:hAnsi="Arial" w:cs="Arial"/>
          <w:sz w:val="18"/>
          <w:szCs w:val="18"/>
          <w:highlight w:val="yellow"/>
          <w:u w:val="double"/>
        </w:rPr>
        <w:t>: extraction, RT-PCR and second round PCR. Due to the sensitive nature of PCR-based</w:t>
      </w:r>
      <w:r w:rsidRPr="00695BD1">
        <w:rPr>
          <w:rFonts w:ascii="Arial" w:hAnsi="Arial" w:cs="Arial"/>
          <w:sz w:val="18"/>
          <w:szCs w:val="18"/>
          <w:highlight w:val="yellow"/>
          <w:u w:val="double"/>
          <w:lang w:eastAsia="zh-CN"/>
        </w:rPr>
        <w:t xml:space="preserve"> </w:t>
      </w:r>
      <w:r w:rsidRPr="00695BD1">
        <w:rPr>
          <w:rFonts w:ascii="Arial" w:hAnsi="Arial" w:cs="Arial"/>
          <w:sz w:val="18"/>
          <w:szCs w:val="18"/>
          <w:highlight w:val="yellow"/>
          <w:u w:val="double"/>
        </w:rPr>
        <w:t>assays it is highly recommended that master mix, template addition and PCR amplification occur in designated hoods or spatially separated areas.</w:t>
      </w:r>
    </w:p>
    <w:p w14:paraId="547765D0" w14:textId="3CA6095F" w:rsidR="00E65E42" w:rsidRPr="00D403F5" w:rsidRDefault="00E65E42" w:rsidP="000A4E1E">
      <w:pPr>
        <w:spacing w:after="240" w:line="240" w:lineRule="auto"/>
        <w:ind w:left="993"/>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A one-step RT-PCR should be performed as described </w:t>
      </w:r>
      <w:r w:rsidRPr="007B73F2">
        <w:rPr>
          <w:rFonts w:ascii="Arial" w:eastAsia="Times New Roman" w:hAnsi="Arial" w:cs="Arial"/>
          <w:bCs/>
          <w:sz w:val="18"/>
          <w:szCs w:val="18"/>
          <w:lang w:val="en-IE"/>
        </w:rPr>
        <w:t xml:space="preserve">by Kim </w:t>
      </w:r>
      <w:r w:rsidRPr="007B73F2">
        <w:rPr>
          <w:rFonts w:ascii="Arial" w:eastAsia="Times New Roman" w:hAnsi="Arial" w:cs="Arial"/>
          <w:bCs/>
          <w:i/>
          <w:sz w:val="18"/>
          <w:szCs w:val="18"/>
          <w:lang w:val="en-IE"/>
        </w:rPr>
        <w:t>et al.</w:t>
      </w:r>
      <w:r w:rsidRPr="007B73F2">
        <w:rPr>
          <w:rFonts w:ascii="Arial" w:eastAsia="Times New Roman" w:hAnsi="Arial" w:cs="Arial"/>
          <w:bCs/>
          <w:sz w:val="18"/>
          <w:szCs w:val="18"/>
          <w:lang w:val="en-IE"/>
        </w:rPr>
        <w:t xml:space="preserve"> (2018) with</w:t>
      </w:r>
      <w:r w:rsidRPr="00D403F5">
        <w:rPr>
          <w:rFonts w:ascii="Arial" w:eastAsia="Times New Roman" w:hAnsi="Arial" w:cs="Arial"/>
          <w:bCs/>
          <w:sz w:val="18"/>
          <w:szCs w:val="18"/>
          <w:lang w:val="en-IE"/>
        </w:rPr>
        <w:t xml:space="preserve"> 3F2R primer set: forward primers (3F, 5’-(GGG-ACA-GGA-ATG-ACC-ATG-AT-3’) and reverse primer (2R, (5’-TCT-GTC-ACC-TTG-ATC–CCC-TCC-AG-3’) targeting a 319 nt region in the nucleoprotein gene (positions 658–977).</w:t>
      </w:r>
    </w:p>
    <w:p w14:paraId="536EB8BA" w14:textId="77777777" w:rsidR="00DD4A56" w:rsidRPr="008A67C2" w:rsidRDefault="00DD4A56" w:rsidP="00DD4A56">
      <w:pPr>
        <w:spacing w:after="480" w:line="240" w:lineRule="auto"/>
        <w:jc w:val="right"/>
        <w:rPr>
          <w:rFonts w:cs="Times New Roman"/>
          <w:bCs/>
          <w:iCs/>
          <w:szCs w:val="20"/>
        </w:rPr>
      </w:pP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0389B2CF" w14:textId="77777777" w:rsidR="00E65E42" w:rsidRPr="00B172F0" w:rsidRDefault="00E65E42" w:rsidP="000A4E1E">
      <w:pPr>
        <w:spacing w:after="240" w:line="240" w:lineRule="auto"/>
        <w:ind w:left="993"/>
        <w:jc w:val="both"/>
        <w:rPr>
          <w:rFonts w:ascii="Arial" w:eastAsia="Times New Roman" w:hAnsi="Arial" w:cs="Arial"/>
          <w:bCs/>
          <w:sz w:val="18"/>
          <w:szCs w:val="18"/>
          <w:lang w:val="en-IE"/>
        </w:rPr>
      </w:pPr>
      <w:r w:rsidRPr="00D403F5">
        <w:rPr>
          <w:rFonts w:ascii="Arial" w:eastAsia="Times New Roman" w:hAnsi="Arial" w:cs="Times New Roman"/>
          <w:bCs/>
          <w:sz w:val="18"/>
          <w:szCs w:val="18"/>
          <w:lang w:val="en-IE"/>
        </w:rPr>
        <w:t xml:space="preserve">The RT-PCR can be performed using, e.g. Qiagen OneStep RT-PCR System (Qiagen, Germany) or similar kit, according to the manufacturer’s instructions. Briefly, the reaction mixture is adjusted to a final volume of 25 µl including 5 µl of extracted viral RNA, 5 µl 5 × One Step RT-PCR Buffer containing </w:t>
      </w:r>
      <w:r w:rsidRPr="00B172F0">
        <w:rPr>
          <w:rFonts w:ascii="Arial" w:eastAsia="Times New Roman" w:hAnsi="Arial" w:cs="Arial"/>
          <w:bCs/>
          <w:sz w:val="18"/>
          <w:szCs w:val="18"/>
          <w:lang w:val="en-IE"/>
        </w:rPr>
        <w:t>12.5 mM MgCl</w:t>
      </w:r>
      <w:r w:rsidRPr="00B172F0">
        <w:rPr>
          <w:rFonts w:ascii="Arial" w:eastAsia="Times New Roman" w:hAnsi="Arial" w:cs="Arial"/>
          <w:bCs/>
          <w:sz w:val="18"/>
          <w:szCs w:val="18"/>
          <w:vertAlign w:val="subscript"/>
          <w:lang w:val="en-IE"/>
        </w:rPr>
        <w:t>2</w:t>
      </w:r>
      <w:r w:rsidRPr="00B172F0">
        <w:rPr>
          <w:rFonts w:ascii="Arial" w:eastAsia="Times New Roman" w:hAnsi="Arial" w:cs="Arial"/>
          <w:bCs/>
          <w:sz w:val="18"/>
          <w:szCs w:val="18"/>
          <w:lang w:val="en-IE"/>
        </w:rPr>
        <w:t xml:space="preserve"> (final concentration 2.5 mM), 10 pM of each primer, and 1 µl of enzyme mix. </w:t>
      </w:r>
    </w:p>
    <w:p w14:paraId="549D654C" w14:textId="77777777" w:rsidR="00E65E42" w:rsidRPr="00D403F5" w:rsidRDefault="00E65E42" w:rsidP="000A4E1E">
      <w:pPr>
        <w:spacing w:after="240" w:line="240" w:lineRule="auto"/>
        <w:ind w:left="993"/>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The following cycles are recommended: 50°C for 30 minutes, 95°C for 15 minutes, 35 cycles at 94°C for 30 seconds, 60°C for 30 seconds, and 68°C for 60 seconds. Subsequently, the reaction is held at 68°C for 7 minutes.</w:t>
      </w:r>
    </w:p>
    <w:p w14:paraId="3543F3FE" w14:textId="77777777" w:rsidR="00E65E42" w:rsidRPr="00BC2337" w:rsidRDefault="00E65E42" w:rsidP="000A4E1E">
      <w:pPr>
        <w:spacing w:after="120" w:line="240" w:lineRule="auto"/>
        <w:ind w:left="993" w:hanging="567"/>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4.4.3.</w:t>
      </w:r>
      <w:r w:rsidRPr="00BC2337">
        <w:rPr>
          <w:rFonts w:ascii="Ottawa" w:eastAsia="Times New Roman" w:hAnsi="Ottawa" w:cs="Times New Roman"/>
          <w:b/>
          <w:bCs/>
          <w:szCs w:val="20"/>
          <w:lang w:val="en-IE" w:eastAsia="fr-FR"/>
        </w:rPr>
        <w:tab/>
      </w:r>
      <w:r w:rsidRPr="000A4E1E">
        <w:rPr>
          <w:rFonts w:ascii="Ottawa" w:eastAsia="Times New Roman" w:hAnsi="Ottawa" w:cs="Times New Roman"/>
          <w:b/>
          <w:bCs/>
          <w:szCs w:val="20"/>
          <w:lang w:eastAsia="fr-FR"/>
        </w:rPr>
        <w:t>Other</w:t>
      </w:r>
      <w:r w:rsidRPr="00BC2337">
        <w:rPr>
          <w:rFonts w:ascii="Ottawa" w:eastAsia="Times New Roman" w:hAnsi="Ottawa" w:cs="Times New Roman"/>
          <w:b/>
          <w:bCs/>
          <w:szCs w:val="20"/>
          <w:lang w:val="en-IE" w:eastAsia="fr-FR"/>
        </w:rPr>
        <w:t xml:space="preserve"> nucleic acid amplification methods</w:t>
      </w:r>
    </w:p>
    <w:p w14:paraId="0AF439E2" w14:textId="77777777" w:rsidR="00E65E42" w:rsidRPr="00D403F5" w:rsidRDefault="00E65E42" w:rsidP="000A4E1E">
      <w:pPr>
        <w:spacing w:after="240" w:line="240" w:lineRule="auto"/>
        <w:ind w:left="993"/>
        <w:jc w:val="both"/>
        <w:rPr>
          <w:rFonts w:ascii="Arial" w:eastAsia="Times New Roman" w:hAnsi="Arial" w:cs="Times New Roman"/>
          <w:bCs/>
          <w:sz w:val="18"/>
          <w:szCs w:val="18"/>
          <w:lang w:val="en-IE"/>
        </w:rPr>
      </w:pPr>
      <w:r w:rsidRPr="00D403F5">
        <w:rPr>
          <w:rFonts w:ascii="Arial" w:eastAsia="Times New Roman" w:hAnsi="Arial" w:cs="Arial"/>
          <w:bCs/>
          <w:sz w:val="18"/>
          <w:szCs w:val="18"/>
          <w:lang w:val="en-IE"/>
        </w:rPr>
        <w:t>To date, no other nucleic acid amplification method capable of universal VHSV detection has been sufficiently validated.</w:t>
      </w:r>
    </w:p>
    <w:p w14:paraId="565D4813" w14:textId="77777777" w:rsidR="00E65E42" w:rsidRPr="00BC2337" w:rsidRDefault="00E65E42" w:rsidP="00E65E42">
      <w:pPr>
        <w:spacing w:after="240" w:line="240" w:lineRule="auto"/>
        <w:ind w:left="426" w:hanging="426"/>
        <w:jc w:val="both"/>
        <w:rPr>
          <w:rFonts w:ascii="Ottawa" w:eastAsia="MS Mincho" w:hAnsi="Ottawa" w:cs="Times New Roman"/>
          <w:b/>
          <w:sz w:val="21"/>
          <w:szCs w:val="21"/>
          <w:lang w:val="da-DK" w:eastAsia="da-DK"/>
        </w:rPr>
      </w:pPr>
      <w:r w:rsidRPr="00BC2337">
        <w:rPr>
          <w:rFonts w:ascii="Ottawa" w:eastAsia="MS Mincho" w:hAnsi="Ottawa" w:cs="Times New Roman"/>
          <w:b/>
          <w:sz w:val="21"/>
          <w:szCs w:val="21"/>
          <w:lang w:val="da-DK" w:eastAsia="da-DK"/>
        </w:rPr>
        <w:t>4.5.</w:t>
      </w:r>
      <w:r w:rsidRPr="00BC2337">
        <w:rPr>
          <w:rFonts w:ascii="Ottawa" w:eastAsia="MS Mincho" w:hAnsi="Ottawa" w:cs="Times New Roman"/>
          <w:b/>
          <w:sz w:val="21"/>
          <w:szCs w:val="21"/>
          <w:lang w:val="da-DK" w:eastAsia="da-DK"/>
        </w:rPr>
        <w:tab/>
        <w:t>Amplicon sequencing</w:t>
      </w:r>
    </w:p>
    <w:p w14:paraId="53A2EADA" w14:textId="77777777" w:rsidR="00E65E42" w:rsidRPr="00D403F5" w:rsidRDefault="00E65E42" w:rsidP="00E65E42">
      <w:pPr>
        <w:spacing w:after="240" w:line="240" w:lineRule="auto"/>
        <w:ind w:left="425"/>
        <w:jc w:val="both"/>
        <w:rPr>
          <w:rFonts w:ascii="Arial" w:eastAsia="Times New Roman" w:hAnsi="Arial" w:cs="Times New Roman"/>
          <w:sz w:val="18"/>
          <w:szCs w:val="18"/>
          <w:lang w:val="en-IE"/>
        </w:rPr>
      </w:pPr>
      <w:r w:rsidRPr="00D403F5">
        <w:rPr>
          <w:rFonts w:ascii="Arial" w:eastAsia="Times New Roman" w:hAnsi="Arial" w:cs="Arial"/>
          <w:sz w:val="18"/>
          <w:szCs w:val="18"/>
          <w:lang w:val="en-IE"/>
        </w:rPr>
        <w:t xml:space="preserve">Nucleotide sequencing of the glycoprotein gene is commonly used for identification of genetic strains and for epidemiological study and is recommended as one of the final steps for confirmatory diagnosis. There are several conventional PCR assays available that amplify the central (669 nt) or full (1524 nt) glycoprotein gene coding sequence, but there are limited validation data. The glycoprotein gene can be amplified by conventional PCR using the primer sets and concentrations listed in Table 4.2. </w:t>
      </w:r>
      <w:r w:rsidRPr="00D403F5">
        <w:rPr>
          <w:rFonts w:ascii="Arial" w:eastAsia="Times New Roman" w:hAnsi="Arial" w:cs="Times New Roman"/>
          <w:sz w:val="18"/>
          <w:szCs w:val="18"/>
          <w:lang w:val="en-IE"/>
        </w:rPr>
        <w:t>The reverse transcription and subsequent PCR amplification can be done using a kit designed for that purpose according to manufacturing instructions.</w:t>
      </w:r>
    </w:p>
    <w:p w14:paraId="2C1880E4" w14:textId="77777777" w:rsidR="00E65E42" w:rsidRPr="00D403F5" w:rsidRDefault="00E65E42" w:rsidP="00E65E42">
      <w:pPr>
        <w:spacing w:after="120" w:line="240" w:lineRule="auto"/>
        <w:ind w:left="425"/>
        <w:jc w:val="center"/>
        <w:rPr>
          <w:rFonts w:ascii="Ottawa" w:eastAsia="Times New Roman" w:hAnsi="Ottawa" w:cs="Arial"/>
          <w:i/>
          <w:sz w:val="18"/>
          <w:szCs w:val="18"/>
          <w:lang w:val="en-IE"/>
        </w:rPr>
      </w:pPr>
      <w:r w:rsidRPr="00D403F5">
        <w:rPr>
          <w:rFonts w:ascii="Ottawa" w:eastAsia="Times New Roman" w:hAnsi="Ottawa" w:cs="Arial"/>
          <w:b/>
          <w:i/>
          <w:sz w:val="18"/>
          <w:szCs w:val="18"/>
          <w:lang w:val="en-IE"/>
        </w:rPr>
        <w:t>Table 4.2.</w:t>
      </w:r>
      <w:r w:rsidRPr="00D403F5">
        <w:rPr>
          <w:rFonts w:ascii="Ottawa" w:eastAsia="Times New Roman" w:hAnsi="Ottawa" w:cs="Arial"/>
          <w:i/>
          <w:sz w:val="18"/>
          <w:szCs w:val="18"/>
          <w:lang w:val="en-IE"/>
        </w:rPr>
        <w:t xml:space="preserve"> Primer sets for the conventional PCR</w:t>
      </w:r>
    </w:p>
    <w:tbl>
      <w:tblPr>
        <w:tblStyle w:val="Grilledutableau9"/>
        <w:tblW w:w="8750" w:type="dxa"/>
        <w:tblInd w:w="425" w:type="dxa"/>
        <w:tblLook w:val="04A0" w:firstRow="1" w:lastRow="0" w:firstColumn="1" w:lastColumn="0" w:noHBand="0" w:noVBand="1"/>
      </w:tblPr>
      <w:tblGrid>
        <w:gridCol w:w="817"/>
        <w:gridCol w:w="3343"/>
        <w:gridCol w:w="1530"/>
        <w:gridCol w:w="1440"/>
        <w:gridCol w:w="1620"/>
      </w:tblGrid>
      <w:tr w:rsidR="00E65E42" w:rsidRPr="00D403F5" w14:paraId="4EF6FB75" w14:textId="77777777" w:rsidTr="00E65E42">
        <w:trPr>
          <w:tblHeader/>
        </w:trPr>
        <w:tc>
          <w:tcPr>
            <w:tcW w:w="0" w:type="auto"/>
            <w:vAlign w:val="center"/>
          </w:tcPr>
          <w:p w14:paraId="4315808C" w14:textId="77777777" w:rsidR="00E65E42" w:rsidRPr="00D403F5" w:rsidRDefault="00E65E42" w:rsidP="00E65E42">
            <w:pPr>
              <w:rPr>
                <w:rFonts w:ascii="Arial" w:hAnsi="Arial" w:cs="Arial"/>
                <w:b/>
                <w:sz w:val="18"/>
                <w:szCs w:val="18"/>
                <w:lang w:val="en-IE"/>
              </w:rPr>
            </w:pPr>
            <w:r w:rsidRPr="00D403F5">
              <w:rPr>
                <w:rFonts w:ascii="Arial" w:hAnsi="Arial" w:cs="Arial"/>
                <w:b/>
                <w:sz w:val="18"/>
                <w:szCs w:val="18"/>
                <w:lang w:val="en-IE"/>
              </w:rPr>
              <w:t>Primer</w:t>
            </w:r>
          </w:p>
        </w:tc>
        <w:tc>
          <w:tcPr>
            <w:tcW w:w="3343" w:type="dxa"/>
            <w:vAlign w:val="center"/>
          </w:tcPr>
          <w:p w14:paraId="2AF14CE8" w14:textId="77777777" w:rsidR="00E65E42" w:rsidRPr="00D403F5" w:rsidRDefault="00E65E42" w:rsidP="00E65E42">
            <w:pPr>
              <w:rPr>
                <w:rFonts w:ascii="Arial" w:hAnsi="Arial" w:cs="Arial"/>
                <w:b/>
                <w:sz w:val="18"/>
                <w:szCs w:val="18"/>
                <w:lang w:val="en-IE"/>
              </w:rPr>
            </w:pPr>
            <w:r w:rsidRPr="00D403F5">
              <w:rPr>
                <w:rFonts w:ascii="Arial" w:hAnsi="Arial" w:cs="Arial"/>
                <w:b/>
                <w:sz w:val="18"/>
                <w:szCs w:val="18"/>
                <w:lang w:val="en-IE"/>
              </w:rPr>
              <w:t>Sequence (5’–3’)</w:t>
            </w:r>
          </w:p>
        </w:tc>
        <w:tc>
          <w:tcPr>
            <w:tcW w:w="1530" w:type="dxa"/>
            <w:vAlign w:val="center"/>
          </w:tcPr>
          <w:p w14:paraId="06203627" w14:textId="77777777" w:rsidR="00E65E42" w:rsidRPr="00D403F5" w:rsidRDefault="00E65E42" w:rsidP="00E65E42">
            <w:pPr>
              <w:rPr>
                <w:rFonts w:ascii="Arial" w:hAnsi="Arial" w:cs="Arial"/>
                <w:b/>
                <w:sz w:val="18"/>
                <w:szCs w:val="18"/>
                <w:lang w:val="en-IE"/>
              </w:rPr>
            </w:pPr>
            <w:r w:rsidRPr="00D403F5">
              <w:rPr>
                <w:rFonts w:ascii="Arial" w:hAnsi="Arial" w:cs="Arial"/>
                <w:b/>
                <w:sz w:val="18"/>
                <w:szCs w:val="18"/>
                <w:lang w:val="en-IE"/>
              </w:rPr>
              <w:t>Product size (bp)</w:t>
            </w:r>
          </w:p>
        </w:tc>
        <w:tc>
          <w:tcPr>
            <w:tcW w:w="1440" w:type="dxa"/>
            <w:vAlign w:val="center"/>
          </w:tcPr>
          <w:p w14:paraId="1CCA2FCA" w14:textId="77777777" w:rsidR="00E65E42" w:rsidRPr="00D403F5" w:rsidRDefault="00E65E42" w:rsidP="00E65E42">
            <w:pPr>
              <w:rPr>
                <w:rFonts w:ascii="Arial" w:hAnsi="Arial" w:cs="Arial"/>
                <w:b/>
                <w:sz w:val="18"/>
                <w:szCs w:val="18"/>
                <w:lang w:val="en-IE"/>
              </w:rPr>
            </w:pPr>
            <w:r w:rsidRPr="00D403F5">
              <w:rPr>
                <w:rFonts w:ascii="Arial" w:hAnsi="Arial" w:cs="Arial"/>
                <w:b/>
                <w:sz w:val="18"/>
                <w:szCs w:val="18"/>
                <w:lang w:val="en-IE"/>
              </w:rPr>
              <w:t>Final primer concentration</w:t>
            </w:r>
          </w:p>
        </w:tc>
        <w:tc>
          <w:tcPr>
            <w:tcW w:w="1620" w:type="dxa"/>
            <w:vAlign w:val="center"/>
          </w:tcPr>
          <w:p w14:paraId="13982603" w14:textId="77777777" w:rsidR="00E65E42" w:rsidRPr="00D403F5" w:rsidRDefault="00E65E42" w:rsidP="00E65E42">
            <w:pPr>
              <w:rPr>
                <w:rFonts w:ascii="Arial" w:hAnsi="Arial" w:cs="Arial"/>
                <w:b/>
                <w:sz w:val="18"/>
                <w:szCs w:val="18"/>
                <w:lang w:val="en-IE"/>
              </w:rPr>
            </w:pPr>
            <w:r w:rsidRPr="00D403F5">
              <w:rPr>
                <w:rFonts w:ascii="Arial" w:hAnsi="Arial" w:cs="Arial"/>
                <w:b/>
                <w:sz w:val="18"/>
                <w:szCs w:val="18"/>
                <w:lang w:val="en-IE"/>
              </w:rPr>
              <w:t>Reference</w:t>
            </w:r>
          </w:p>
        </w:tc>
      </w:tr>
      <w:tr w:rsidR="00E65E42" w:rsidRPr="00685B5C" w14:paraId="62BD18D1" w14:textId="77777777" w:rsidTr="00E65E42">
        <w:tc>
          <w:tcPr>
            <w:tcW w:w="0" w:type="auto"/>
            <w:vAlign w:val="center"/>
          </w:tcPr>
          <w:p w14:paraId="7419A472" w14:textId="77777777" w:rsidR="00E65E42" w:rsidRPr="00D403F5" w:rsidRDefault="00E65E42" w:rsidP="00E65E42">
            <w:pPr>
              <w:rPr>
                <w:rFonts w:ascii="Arial" w:hAnsi="Arial" w:cs="Arial"/>
                <w:sz w:val="18"/>
                <w:szCs w:val="18"/>
                <w:lang w:val="en-IE"/>
              </w:rPr>
            </w:pPr>
            <w:r w:rsidRPr="00D403F5">
              <w:rPr>
                <w:rFonts w:ascii="Arial" w:hAnsi="Arial" w:cs="Arial"/>
                <w:sz w:val="18"/>
                <w:szCs w:val="18"/>
                <w:lang w:val="en-IE"/>
              </w:rPr>
              <w:t>GB+</w:t>
            </w:r>
          </w:p>
        </w:tc>
        <w:tc>
          <w:tcPr>
            <w:tcW w:w="3343" w:type="dxa"/>
            <w:vAlign w:val="center"/>
          </w:tcPr>
          <w:p w14:paraId="16C6ADAA" w14:textId="77777777" w:rsidR="00E65E42" w:rsidRPr="00D403F5" w:rsidRDefault="00E65E42" w:rsidP="00E65E42">
            <w:pPr>
              <w:rPr>
                <w:rFonts w:ascii="Arial" w:hAnsi="Arial" w:cs="Arial"/>
                <w:sz w:val="18"/>
                <w:szCs w:val="18"/>
                <w:lang w:val="es-ES"/>
              </w:rPr>
            </w:pPr>
            <w:r w:rsidRPr="00D403F5">
              <w:rPr>
                <w:rFonts w:ascii="Arial" w:hAnsi="Arial"/>
                <w:sz w:val="18"/>
                <w:szCs w:val="18"/>
                <w:lang w:val="es-ES"/>
              </w:rPr>
              <w:t>GTC-GAA-GAA-GAG-ATA-GGC</w:t>
            </w:r>
          </w:p>
        </w:tc>
        <w:tc>
          <w:tcPr>
            <w:tcW w:w="1530" w:type="dxa"/>
            <w:vMerge w:val="restart"/>
            <w:vAlign w:val="center"/>
          </w:tcPr>
          <w:p w14:paraId="5F011D29" w14:textId="77777777" w:rsidR="00E65E42" w:rsidRPr="00D403F5" w:rsidRDefault="00E65E42" w:rsidP="00E65E42">
            <w:pPr>
              <w:rPr>
                <w:rFonts w:ascii="Arial" w:hAnsi="Arial" w:cs="Arial"/>
                <w:sz w:val="18"/>
                <w:szCs w:val="18"/>
                <w:lang w:val="en-IE"/>
              </w:rPr>
            </w:pPr>
            <w:r w:rsidRPr="00D403F5">
              <w:rPr>
                <w:rFonts w:ascii="Arial" w:hAnsi="Arial" w:cs="Arial"/>
                <w:sz w:val="18"/>
                <w:szCs w:val="18"/>
                <w:lang w:val="en-IE"/>
              </w:rPr>
              <w:t>1757</w:t>
            </w:r>
          </w:p>
        </w:tc>
        <w:tc>
          <w:tcPr>
            <w:tcW w:w="1440" w:type="dxa"/>
            <w:vAlign w:val="center"/>
          </w:tcPr>
          <w:p w14:paraId="48C895E5" w14:textId="77777777" w:rsidR="00E65E42" w:rsidRPr="00D403F5" w:rsidRDefault="00E65E42" w:rsidP="00E65E42">
            <w:pPr>
              <w:rPr>
                <w:rFonts w:ascii="Arial" w:hAnsi="Arial" w:cs="Arial"/>
                <w:sz w:val="18"/>
                <w:szCs w:val="18"/>
                <w:lang w:val="en-IE"/>
              </w:rPr>
            </w:pPr>
            <w:r w:rsidRPr="00D403F5">
              <w:rPr>
                <w:rFonts w:ascii="Arial" w:hAnsi="Arial" w:cs="Arial"/>
                <w:sz w:val="18"/>
                <w:szCs w:val="18"/>
                <w:lang w:val="en-IE"/>
              </w:rPr>
              <w:t>0.6 µM</w:t>
            </w:r>
          </w:p>
        </w:tc>
        <w:tc>
          <w:tcPr>
            <w:tcW w:w="1620" w:type="dxa"/>
            <w:vMerge w:val="restart"/>
            <w:vAlign w:val="center"/>
          </w:tcPr>
          <w:p w14:paraId="522B5086" w14:textId="77777777" w:rsidR="00E65E42" w:rsidRPr="007B73F2" w:rsidRDefault="00E65E42" w:rsidP="00E65E42">
            <w:pPr>
              <w:rPr>
                <w:rFonts w:ascii="Arial" w:hAnsi="Arial" w:cs="Arial"/>
                <w:sz w:val="18"/>
                <w:szCs w:val="18"/>
                <w:lang w:val="fr-FR"/>
              </w:rPr>
            </w:pPr>
            <w:r w:rsidRPr="007B73F2">
              <w:rPr>
                <w:rFonts w:ascii="Arial" w:hAnsi="Arial" w:cs="Arial"/>
                <w:sz w:val="18"/>
                <w:szCs w:val="18"/>
                <w:lang w:val="fr-FR"/>
              </w:rPr>
              <w:t xml:space="preserve">Einer-Jensen </w:t>
            </w:r>
            <w:r w:rsidRPr="007B73F2">
              <w:rPr>
                <w:rFonts w:ascii="Arial" w:hAnsi="Arial" w:cs="Arial"/>
                <w:sz w:val="18"/>
                <w:szCs w:val="18"/>
                <w:lang w:val="fr-FR"/>
              </w:rPr>
              <w:br/>
            </w:r>
            <w:r w:rsidRPr="007B73F2">
              <w:rPr>
                <w:rFonts w:ascii="Arial" w:hAnsi="Arial" w:cs="Arial"/>
                <w:i/>
                <w:sz w:val="18"/>
                <w:szCs w:val="18"/>
                <w:lang w:val="fr-FR"/>
              </w:rPr>
              <w:t>et al.,</w:t>
            </w:r>
            <w:r w:rsidRPr="007B73F2">
              <w:rPr>
                <w:rFonts w:ascii="Arial" w:hAnsi="Arial" w:cs="Arial"/>
                <w:sz w:val="18"/>
                <w:szCs w:val="18"/>
                <w:lang w:val="fr-FR"/>
              </w:rPr>
              <w:t xml:space="preserve"> 2004</w:t>
            </w:r>
            <w:r w:rsidRPr="007B73F2">
              <w:rPr>
                <w:rFonts w:ascii="Arial" w:hAnsi="Arial" w:cs="Arial"/>
                <w:sz w:val="18"/>
                <w:szCs w:val="18"/>
                <w:lang w:val="fr-FR"/>
              </w:rPr>
              <w:br/>
              <w:t xml:space="preserve">Gudmundsdottir </w:t>
            </w:r>
            <w:r w:rsidRPr="007B73F2">
              <w:rPr>
                <w:rFonts w:ascii="Arial" w:hAnsi="Arial" w:cs="Arial"/>
                <w:i/>
                <w:sz w:val="18"/>
                <w:szCs w:val="18"/>
                <w:lang w:val="fr-FR"/>
              </w:rPr>
              <w:t>et al.,</w:t>
            </w:r>
            <w:r w:rsidRPr="007B73F2">
              <w:rPr>
                <w:rFonts w:ascii="Arial" w:hAnsi="Arial" w:cs="Arial"/>
                <w:sz w:val="18"/>
                <w:szCs w:val="18"/>
                <w:lang w:val="fr-FR"/>
              </w:rPr>
              <w:t xml:space="preserve"> 2019</w:t>
            </w:r>
          </w:p>
        </w:tc>
      </w:tr>
      <w:tr w:rsidR="00E65E42" w:rsidRPr="00D403F5" w14:paraId="57A62930" w14:textId="77777777" w:rsidTr="00E65E42">
        <w:tc>
          <w:tcPr>
            <w:tcW w:w="0" w:type="auto"/>
            <w:vAlign w:val="center"/>
          </w:tcPr>
          <w:p w14:paraId="0B6DF899" w14:textId="77777777" w:rsidR="00E65E42" w:rsidRPr="00D403F5" w:rsidRDefault="00E65E42" w:rsidP="00E65E42">
            <w:pPr>
              <w:rPr>
                <w:rFonts w:ascii="Arial" w:hAnsi="Arial" w:cs="Arial"/>
                <w:sz w:val="18"/>
                <w:szCs w:val="18"/>
                <w:lang w:val="en-IE"/>
              </w:rPr>
            </w:pPr>
            <w:r w:rsidRPr="00D403F5">
              <w:rPr>
                <w:rFonts w:ascii="Arial" w:hAnsi="Arial" w:cs="Arial"/>
                <w:sz w:val="18"/>
                <w:szCs w:val="18"/>
                <w:lang w:val="en-IE"/>
              </w:rPr>
              <w:t>GB-</w:t>
            </w:r>
          </w:p>
        </w:tc>
        <w:tc>
          <w:tcPr>
            <w:tcW w:w="3343" w:type="dxa"/>
            <w:vAlign w:val="center"/>
          </w:tcPr>
          <w:p w14:paraId="14E6C3ED" w14:textId="77777777" w:rsidR="00E65E42" w:rsidRPr="00D403F5" w:rsidRDefault="00E65E42" w:rsidP="00E65E42">
            <w:pPr>
              <w:rPr>
                <w:rFonts w:ascii="Arial" w:hAnsi="Arial" w:cs="Arial"/>
                <w:sz w:val="18"/>
                <w:szCs w:val="18"/>
                <w:lang w:val="fr-FR"/>
              </w:rPr>
            </w:pPr>
            <w:r w:rsidRPr="00D403F5">
              <w:rPr>
                <w:rFonts w:ascii="Arial" w:hAnsi="Arial"/>
                <w:sz w:val="18"/>
                <w:szCs w:val="18"/>
                <w:lang w:val="fr-FR"/>
              </w:rPr>
              <w:t>GTT-GGG-TCG-CCA-TGT-TTC-T</w:t>
            </w:r>
          </w:p>
        </w:tc>
        <w:tc>
          <w:tcPr>
            <w:tcW w:w="1530" w:type="dxa"/>
            <w:vMerge/>
            <w:vAlign w:val="center"/>
          </w:tcPr>
          <w:p w14:paraId="73F7135E" w14:textId="77777777" w:rsidR="00E65E42" w:rsidRPr="00D403F5" w:rsidRDefault="00E65E42" w:rsidP="00E65E42">
            <w:pPr>
              <w:rPr>
                <w:rFonts w:ascii="Arial" w:hAnsi="Arial" w:cs="Arial"/>
                <w:sz w:val="18"/>
                <w:szCs w:val="18"/>
                <w:lang w:val="fr-FR"/>
              </w:rPr>
            </w:pPr>
          </w:p>
        </w:tc>
        <w:tc>
          <w:tcPr>
            <w:tcW w:w="1440" w:type="dxa"/>
            <w:vAlign w:val="center"/>
          </w:tcPr>
          <w:p w14:paraId="68AEE6CC" w14:textId="77777777" w:rsidR="00E65E42" w:rsidRPr="00D403F5" w:rsidRDefault="00E65E42" w:rsidP="00E65E42">
            <w:pPr>
              <w:rPr>
                <w:rFonts w:ascii="Arial" w:hAnsi="Arial" w:cs="Arial"/>
                <w:sz w:val="18"/>
                <w:szCs w:val="18"/>
                <w:lang w:val="en-IE"/>
              </w:rPr>
            </w:pPr>
            <w:r w:rsidRPr="00D403F5">
              <w:rPr>
                <w:rFonts w:ascii="Arial" w:hAnsi="Arial" w:cs="Arial"/>
                <w:sz w:val="18"/>
                <w:szCs w:val="18"/>
                <w:lang w:val="en-IE"/>
              </w:rPr>
              <w:t>0.6 µM</w:t>
            </w:r>
          </w:p>
        </w:tc>
        <w:tc>
          <w:tcPr>
            <w:tcW w:w="1620" w:type="dxa"/>
            <w:vMerge/>
            <w:vAlign w:val="center"/>
          </w:tcPr>
          <w:p w14:paraId="18D8FE72" w14:textId="77777777" w:rsidR="00E65E42" w:rsidRPr="007B73F2" w:rsidRDefault="00E65E42" w:rsidP="00E65E42">
            <w:pPr>
              <w:rPr>
                <w:rFonts w:ascii="Arial" w:hAnsi="Arial" w:cs="Arial"/>
                <w:sz w:val="18"/>
                <w:szCs w:val="18"/>
                <w:lang w:val="en-IE"/>
              </w:rPr>
            </w:pPr>
          </w:p>
        </w:tc>
      </w:tr>
      <w:tr w:rsidR="00E65E42" w:rsidRPr="00D403F5" w14:paraId="587DAB05" w14:textId="77777777" w:rsidTr="00E65E42">
        <w:tc>
          <w:tcPr>
            <w:tcW w:w="0" w:type="auto"/>
            <w:vAlign w:val="center"/>
          </w:tcPr>
          <w:p w14:paraId="1C87051C" w14:textId="77777777" w:rsidR="00E65E42" w:rsidRPr="00D403F5" w:rsidRDefault="00E65E42" w:rsidP="00E65E42">
            <w:pPr>
              <w:rPr>
                <w:rFonts w:ascii="Arial" w:hAnsi="Arial" w:cs="Arial"/>
                <w:sz w:val="18"/>
                <w:szCs w:val="18"/>
                <w:lang w:val="en-IE"/>
              </w:rPr>
            </w:pPr>
            <w:r w:rsidRPr="00D403F5">
              <w:rPr>
                <w:rFonts w:ascii="Arial" w:hAnsi="Arial" w:cs="Arial"/>
                <w:sz w:val="18"/>
                <w:szCs w:val="18"/>
                <w:lang w:val="en-IE"/>
              </w:rPr>
              <w:t>G330+</w:t>
            </w:r>
          </w:p>
        </w:tc>
        <w:tc>
          <w:tcPr>
            <w:tcW w:w="3343" w:type="dxa"/>
            <w:vAlign w:val="center"/>
          </w:tcPr>
          <w:p w14:paraId="02DBC184" w14:textId="77777777" w:rsidR="00E65E42" w:rsidRPr="00D403F5" w:rsidRDefault="00E65E42" w:rsidP="00E65E42">
            <w:pPr>
              <w:rPr>
                <w:rFonts w:ascii="Arial" w:hAnsi="Arial" w:cs="Arial"/>
                <w:sz w:val="18"/>
                <w:szCs w:val="18"/>
                <w:lang w:val="en-IE"/>
              </w:rPr>
            </w:pPr>
            <w:r w:rsidRPr="00D403F5">
              <w:rPr>
                <w:rFonts w:ascii="Arial" w:hAnsi="Arial" w:cs="Arial"/>
                <w:sz w:val="18"/>
                <w:szCs w:val="18"/>
                <w:lang w:val="en-IE"/>
              </w:rPr>
              <w:t>ACT-ACC-TAC-ACA-GAG-TGA-C</w:t>
            </w:r>
          </w:p>
        </w:tc>
        <w:tc>
          <w:tcPr>
            <w:tcW w:w="1530" w:type="dxa"/>
            <w:vMerge w:val="restart"/>
            <w:vAlign w:val="center"/>
          </w:tcPr>
          <w:p w14:paraId="439B9D39" w14:textId="77777777" w:rsidR="00E65E42" w:rsidRPr="00D403F5" w:rsidRDefault="00E65E42" w:rsidP="00E65E42">
            <w:pPr>
              <w:rPr>
                <w:rFonts w:ascii="Arial" w:hAnsi="Arial" w:cs="Arial"/>
                <w:sz w:val="18"/>
                <w:szCs w:val="18"/>
                <w:lang w:val="en-IE"/>
              </w:rPr>
            </w:pPr>
            <w:r w:rsidRPr="00D403F5">
              <w:rPr>
                <w:rFonts w:ascii="Arial" w:hAnsi="Arial" w:cs="Arial"/>
                <w:sz w:val="18"/>
                <w:szCs w:val="18"/>
                <w:lang w:val="en-IE"/>
              </w:rPr>
              <w:t>914</w:t>
            </w:r>
          </w:p>
        </w:tc>
        <w:tc>
          <w:tcPr>
            <w:tcW w:w="1440" w:type="dxa"/>
            <w:vAlign w:val="center"/>
          </w:tcPr>
          <w:p w14:paraId="43EB7D5C" w14:textId="77777777" w:rsidR="00E65E42" w:rsidRPr="00D403F5" w:rsidRDefault="00E65E42" w:rsidP="00E65E42">
            <w:pPr>
              <w:rPr>
                <w:rFonts w:ascii="Arial" w:hAnsi="Arial" w:cs="Arial"/>
                <w:sz w:val="18"/>
                <w:szCs w:val="18"/>
                <w:lang w:val="en-IE"/>
              </w:rPr>
            </w:pPr>
            <w:r w:rsidRPr="00D403F5">
              <w:rPr>
                <w:rFonts w:ascii="Arial" w:hAnsi="Arial" w:cs="Arial"/>
                <w:sz w:val="18"/>
                <w:szCs w:val="18"/>
                <w:lang w:val="en-IE"/>
              </w:rPr>
              <w:t>0.2 µM</w:t>
            </w:r>
          </w:p>
        </w:tc>
        <w:tc>
          <w:tcPr>
            <w:tcW w:w="1620" w:type="dxa"/>
            <w:vMerge w:val="restart"/>
            <w:vAlign w:val="center"/>
          </w:tcPr>
          <w:p w14:paraId="3C35013F" w14:textId="77777777" w:rsidR="00E65E42" w:rsidRPr="007B73F2" w:rsidRDefault="00E65E42" w:rsidP="00E65E42">
            <w:pPr>
              <w:rPr>
                <w:rFonts w:ascii="Arial" w:hAnsi="Arial" w:cs="Arial"/>
                <w:sz w:val="18"/>
                <w:szCs w:val="18"/>
                <w:lang w:val="en-IE"/>
              </w:rPr>
            </w:pPr>
            <w:r w:rsidRPr="007B73F2">
              <w:rPr>
                <w:rFonts w:ascii="Arial" w:hAnsi="Arial" w:cs="Arial"/>
                <w:sz w:val="18"/>
                <w:szCs w:val="18"/>
                <w:lang w:val="en-IE"/>
              </w:rPr>
              <w:t xml:space="preserve">Garver </w:t>
            </w:r>
            <w:r w:rsidRPr="007B73F2">
              <w:rPr>
                <w:rFonts w:ascii="Arial" w:hAnsi="Arial" w:cs="Arial"/>
                <w:i/>
                <w:sz w:val="18"/>
                <w:szCs w:val="18"/>
                <w:lang w:val="en-IE"/>
              </w:rPr>
              <w:t>et al</w:t>
            </w:r>
            <w:r w:rsidRPr="007B73F2">
              <w:rPr>
                <w:rFonts w:ascii="Arial" w:hAnsi="Arial" w:cs="Arial"/>
                <w:sz w:val="18"/>
                <w:szCs w:val="18"/>
                <w:lang w:val="en-IE"/>
              </w:rPr>
              <w:t>., 2013</w:t>
            </w:r>
          </w:p>
        </w:tc>
      </w:tr>
      <w:tr w:rsidR="00E65E42" w:rsidRPr="00D403F5" w14:paraId="6B929034" w14:textId="77777777" w:rsidTr="00E65E42">
        <w:tc>
          <w:tcPr>
            <w:tcW w:w="0" w:type="auto"/>
            <w:vAlign w:val="center"/>
          </w:tcPr>
          <w:p w14:paraId="6816D68D" w14:textId="77777777" w:rsidR="00E65E42" w:rsidRPr="00D403F5" w:rsidRDefault="00E65E42" w:rsidP="00E65E42">
            <w:pPr>
              <w:rPr>
                <w:rFonts w:ascii="Arial" w:hAnsi="Arial" w:cs="Arial"/>
                <w:sz w:val="18"/>
                <w:szCs w:val="18"/>
                <w:lang w:val="en-IE"/>
              </w:rPr>
            </w:pPr>
            <w:r w:rsidRPr="00D403F5">
              <w:rPr>
                <w:rFonts w:ascii="Arial" w:hAnsi="Arial" w:cs="Arial"/>
                <w:sz w:val="18"/>
                <w:szCs w:val="18"/>
                <w:lang w:val="en-IE"/>
              </w:rPr>
              <w:t>G1243-</w:t>
            </w:r>
          </w:p>
        </w:tc>
        <w:tc>
          <w:tcPr>
            <w:tcW w:w="3343" w:type="dxa"/>
            <w:vAlign w:val="center"/>
          </w:tcPr>
          <w:p w14:paraId="4F31C31A" w14:textId="77777777" w:rsidR="00E65E42" w:rsidRPr="00D403F5" w:rsidRDefault="00E65E42" w:rsidP="00E65E42">
            <w:pPr>
              <w:rPr>
                <w:rFonts w:ascii="Arial" w:hAnsi="Arial" w:cs="Arial"/>
                <w:sz w:val="18"/>
                <w:szCs w:val="18"/>
                <w:lang w:val="fr-FR"/>
              </w:rPr>
            </w:pPr>
            <w:r w:rsidRPr="00D403F5">
              <w:rPr>
                <w:rFonts w:ascii="Arial" w:hAnsi="Arial" w:cs="Arial"/>
                <w:sz w:val="18"/>
                <w:szCs w:val="18"/>
                <w:lang w:val="fr-FR"/>
              </w:rPr>
              <w:t>CAA-TTT-GTC-CCC-GAA-TAT-CAT</w:t>
            </w:r>
          </w:p>
        </w:tc>
        <w:tc>
          <w:tcPr>
            <w:tcW w:w="1530" w:type="dxa"/>
            <w:vMerge/>
            <w:vAlign w:val="center"/>
          </w:tcPr>
          <w:p w14:paraId="43169B28" w14:textId="77777777" w:rsidR="00E65E42" w:rsidRPr="00D403F5" w:rsidRDefault="00E65E42" w:rsidP="00E65E42">
            <w:pPr>
              <w:rPr>
                <w:rFonts w:ascii="Arial" w:hAnsi="Arial" w:cs="Arial"/>
                <w:sz w:val="18"/>
                <w:szCs w:val="18"/>
                <w:lang w:val="fr-FR"/>
              </w:rPr>
            </w:pPr>
          </w:p>
        </w:tc>
        <w:tc>
          <w:tcPr>
            <w:tcW w:w="1440" w:type="dxa"/>
            <w:vAlign w:val="center"/>
          </w:tcPr>
          <w:p w14:paraId="554B17C9" w14:textId="77777777" w:rsidR="00E65E42" w:rsidRPr="00D403F5" w:rsidRDefault="00E65E42" w:rsidP="00E65E42">
            <w:pPr>
              <w:rPr>
                <w:rFonts w:ascii="Arial" w:hAnsi="Arial" w:cs="Arial"/>
                <w:sz w:val="18"/>
                <w:szCs w:val="18"/>
              </w:rPr>
            </w:pPr>
            <w:r w:rsidRPr="00D403F5">
              <w:rPr>
                <w:rFonts w:ascii="Arial" w:hAnsi="Arial" w:cs="Arial"/>
                <w:sz w:val="18"/>
                <w:szCs w:val="18"/>
                <w:lang w:val="en-IE"/>
              </w:rPr>
              <w:t>0.2 µM</w:t>
            </w:r>
          </w:p>
        </w:tc>
        <w:tc>
          <w:tcPr>
            <w:tcW w:w="1620" w:type="dxa"/>
            <w:vMerge/>
          </w:tcPr>
          <w:p w14:paraId="3CDC5415" w14:textId="77777777" w:rsidR="00E65E42" w:rsidRPr="00D403F5" w:rsidRDefault="00E65E42" w:rsidP="00E65E42">
            <w:pPr>
              <w:rPr>
                <w:rFonts w:ascii="Arial" w:hAnsi="Arial" w:cs="Arial"/>
                <w:sz w:val="18"/>
                <w:szCs w:val="18"/>
              </w:rPr>
            </w:pPr>
          </w:p>
        </w:tc>
      </w:tr>
      <w:tr w:rsidR="00E65E42" w:rsidRPr="00D403F5" w14:paraId="645F496C" w14:textId="77777777" w:rsidTr="00E65E42">
        <w:tc>
          <w:tcPr>
            <w:tcW w:w="0" w:type="auto"/>
            <w:vAlign w:val="center"/>
          </w:tcPr>
          <w:p w14:paraId="70B30E47" w14:textId="77777777" w:rsidR="00E65E42" w:rsidRPr="00D403F5" w:rsidRDefault="00E65E42" w:rsidP="00E65E42">
            <w:pPr>
              <w:rPr>
                <w:rFonts w:ascii="Arial" w:hAnsi="Arial" w:cs="Arial"/>
                <w:sz w:val="18"/>
                <w:szCs w:val="18"/>
                <w:lang w:val="en-IE"/>
              </w:rPr>
            </w:pPr>
            <w:r w:rsidRPr="00D403F5">
              <w:rPr>
                <w:rFonts w:ascii="Arial" w:hAnsi="Arial" w:cs="Arial"/>
                <w:sz w:val="18"/>
                <w:szCs w:val="18"/>
                <w:lang w:val="en-IE"/>
              </w:rPr>
              <w:t>G422+</w:t>
            </w:r>
          </w:p>
        </w:tc>
        <w:tc>
          <w:tcPr>
            <w:tcW w:w="3343" w:type="dxa"/>
            <w:vAlign w:val="center"/>
          </w:tcPr>
          <w:p w14:paraId="2037AF82" w14:textId="77777777" w:rsidR="00E65E42" w:rsidRPr="008270D6" w:rsidRDefault="00E65E42" w:rsidP="00E65E42">
            <w:pPr>
              <w:widowControl w:val="0"/>
              <w:spacing w:after="240" w:line="254" w:lineRule="auto"/>
              <w:ind w:left="850" w:right="-6" w:hanging="425"/>
              <w:jc w:val="both"/>
              <w:rPr>
                <w:rFonts w:ascii="Arial" w:hAnsi="Arial" w:cs="Arial"/>
                <w:sz w:val="18"/>
                <w:szCs w:val="18"/>
                <w:lang w:val="fr-FR"/>
              </w:rPr>
            </w:pPr>
            <w:r w:rsidRPr="008270D6">
              <w:rPr>
                <w:rFonts w:ascii="Arial" w:hAnsi="Arial" w:cs="Arial"/>
                <w:sz w:val="18"/>
                <w:szCs w:val="18"/>
                <w:lang w:val="fr-FR"/>
              </w:rPr>
              <w:t>TCC-CGT-CAA-GAG-GCC-AC</w:t>
            </w:r>
          </w:p>
        </w:tc>
        <w:tc>
          <w:tcPr>
            <w:tcW w:w="1530" w:type="dxa"/>
            <w:vMerge w:val="restart"/>
            <w:vAlign w:val="center"/>
          </w:tcPr>
          <w:p w14:paraId="1354CF7E" w14:textId="77777777" w:rsidR="00E65E42" w:rsidRPr="00D403F5" w:rsidRDefault="00E65E42" w:rsidP="00E65E42">
            <w:pPr>
              <w:rPr>
                <w:rFonts w:ascii="Arial" w:hAnsi="Arial" w:cs="Arial"/>
                <w:sz w:val="18"/>
                <w:szCs w:val="18"/>
              </w:rPr>
            </w:pPr>
            <w:r w:rsidRPr="00D403F5">
              <w:rPr>
                <w:rFonts w:ascii="Arial" w:hAnsi="Arial" w:cs="Arial"/>
                <w:sz w:val="18"/>
                <w:szCs w:val="18"/>
              </w:rPr>
              <w:t>669</w:t>
            </w:r>
          </w:p>
        </w:tc>
        <w:tc>
          <w:tcPr>
            <w:tcW w:w="1440" w:type="dxa"/>
            <w:vAlign w:val="center"/>
          </w:tcPr>
          <w:p w14:paraId="37A8D044" w14:textId="77777777" w:rsidR="00E65E42" w:rsidRPr="00D403F5" w:rsidRDefault="00E65E42" w:rsidP="00E65E42">
            <w:pPr>
              <w:rPr>
                <w:rFonts w:ascii="Arial" w:hAnsi="Arial" w:cs="Arial"/>
                <w:sz w:val="18"/>
                <w:szCs w:val="18"/>
              </w:rPr>
            </w:pPr>
            <w:r w:rsidRPr="00D403F5">
              <w:rPr>
                <w:rFonts w:ascii="Arial" w:hAnsi="Arial" w:cs="Arial"/>
                <w:sz w:val="18"/>
                <w:szCs w:val="18"/>
                <w:lang w:val="en-IE"/>
              </w:rPr>
              <w:t>0.2 µM</w:t>
            </w:r>
          </w:p>
        </w:tc>
        <w:tc>
          <w:tcPr>
            <w:tcW w:w="1620" w:type="dxa"/>
            <w:vMerge/>
          </w:tcPr>
          <w:p w14:paraId="624AA315" w14:textId="77777777" w:rsidR="00E65E42" w:rsidRPr="00D403F5" w:rsidRDefault="00E65E42" w:rsidP="00E65E42">
            <w:pPr>
              <w:rPr>
                <w:rFonts w:ascii="Arial" w:hAnsi="Arial" w:cs="Arial"/>
                <w:sz w:val="18"/>
                <w:szCs w:val="18"/>
              </w:rPr>
            </w:pPr>
          </w:p>
        </w:tc>
      </w:tr>
      <w:tr w:rsidR="00E65E42" w:rsidRPr="00D403F5" w14:paraId="653AC10A" w14:textId="77777777" w:rsidTr="00E65E42">
        <w:tc>
          <w:tcPr>
            <w:tcW w:w="0" w:type="auto"/>
            <w:vAlign w:val="center"/>
          </w:tcPr>
          <w:p w14:paraId="3690AA8C" w14:textId="77777777" w:rsidR="00E65E42" w:rsidRPr="00D403F5" w:rsidRDefault="00E65E42" w:rsidP="00E65E42">
            <w:pPr>
              <w:rPr>
                <w:rFonts w:ascii="Arial" w:hAnsi="Arial" w:cs="Arial"/>
                <w:sz w:val="18"/>
                <w:szCs w:val="18"/>
                <w:lang w:val="en-IE"/>
              </w:rPr>
            </w:pPr>
            <w:r w:rsidRPr="00D403F5">
              <w:rPr>
                <w:rFonts w:ascii="Arial" w:hAnsi="Arial" w:cs="Arial"/>
                <w:sz w:val="18"/>
                <w:szCs w:val="18"/>
                <w:lang w:val="en-IE"/>
              </w:rPr>
              <w:t>G1179-</w:t>
            </w:r>
          </w:p>
        </w:tc>
        <w:tc>
          <w:tcPr>
            <w:tcW w:w="3343" w:type="dxa"/>
            <w:vAlign w:val="center"/>
          </w:tcPr>
          <w:p w14:paraId="66EB8F6E" w14:textId="77777777" w:rsidR="00E65E42" w:rsidRPr="00D403F5" w:rsidRDefault="00E65E42" w:rsidP="00E65E42">
            <w:pPr>
              <w:rPr>
                <w:rFonts w:ascii="Arial" w:hAnsi="Arial" w:cs="Arial"/>
                <w:sz w:val="18"/>
                <w:szCs w:val="18"/>
                <w:lang w:val="en-IE"/>
              </w:rPr>
            </w:pPr>
            <w:r w:rsidRPr="00D403F5">
              <w:rPr>
                <w:rFonts w:ascii="Arial" w:hAnsi="Arial" w:cs="Arial"/>
                <w:sz w:val="18"/>
                <w:szCs w:val="18"/>
                <w:lang w:val="en-IE"/>
              </w:rPr>
              <w:t>TTC-CAG-GTG-TTG-TTT-ACC-G</w:t>
            </w:r>
          </w:p>
        </w:tc>
        <w:tc>
          <w:tcPr>
            <w:tcW w:w="1530" w:type="dxa"/>
            <w:vMerge/>
            <w:vAlign w:val="center"/>
          </w:tcPr>
          <w:p w14:paraId="75EA4F3E" w14:textId="77777777" w:rsidR="00E65E42" w:rsidRPr="00D403F5" w:rsidRDefault="00E65E42" w:rsidP="00E65E42">
            <w:pPr>
              <w:rPr>
                <w:rFonts w:ascii="Arial" w:hAnsi="Arial" w:cs="Arial"/>
                <w:sz w:val="18"/>
                <w:szCs w:val="18"/>
                <w:lang w:val="en-IE"/>
              </w:rPr>
            </w:pPr>
          </w:p>
        </w:tc>
        <w:tc>
          <w:tcPr>
            <w:tcW w:w="1440" w:type="dxa"/>
            <w:vAlign w:val="center"/>
          </w:tcPr>
          <w:p w14:paraId="38EEE706" w14:textId="77777777" w:rsidR="00E65E42" w:rsidRPr="00D403F5" w:rsidRDefault="00E65E42" w:rsidP="00E65E42">
            <w:pPr>
              <w:rPr>
                <w:rFonts w:ascii="Arial" w:hAnsi="Arial" w:cs="Arial"/>
                <w:sz w:val="18"/>
                <w:szCs w:val="18"/>
                <w:lang w:val="en-IE"/>
              </w:rPr>
            </w:pPr>
            <w:r w:rsidRPr="00D403F5">
              <w:rPr>
                <w:rFonts w:ascii="Arial" w:hAnsi="Arial" w:cs="Arial"/>
                <w:sz w:val="18"/>
                <w:szCs w:val="18"/>
                <w:lang w:val="en-IE"/>
              </w:rPr>
              <w:t>0.2 µM</w:t>
            </w:r>
          </w:p>
        </w:tc>
        <w:tc>
          <w:tcPr>
            <w:tcW w:w="1620" w:type="dxa"/>
            <w:vMerge/>
          </w:tcPr>
          <w:p w14:paraId="4021A16E" w14:textId="77777777" w:rsidR="00E65E42" w:rsidRPr="00D403F5" w:rsidRDefault="00E65E42" w:rsidP="00E65E42">
            <w:pPr>
              <w:rPr>
                <w:rFonts w:ascii="Arial" w:hAnsi="Arial" w:cs="Arial"/>
                <w:sz w:val="18"/>
                <w:szCs w:val="18"/>
                <w:lang w:val="en-IE"/>
              </w:rPr>
            </w:pPr>
          </w:p>
        </w:tc>
      </w:tr>
    </w:tbl>
    <w:p w14:paraId="1A0C92CC" w14:textId="77777777" w:rsidR="00E65E42" w:rsidRPr="00BC2337" w:rsidRDefault="00E65E42" w:rsidP="00E65E42">
      <w:pPr>
        <w:spacing w:before="240" w:after="240" w:line="240" w:lineRule="auto"/>
        <w:ind w:left="426" w:hanging="426"/>
        <w:jc w:val="both"/>
        <w:rPr>
          <w:rFonts w:ascii="Ottawa" w:eastAsia="MS Mincho" w:hAnsi="Ottawa" w:cs="Times New Roman"/>
          <w:b/>
          <w:sz w:val="21"/>
          <w:szCs w:val="21"/>
          <w:lang w:val="da-DK" w:eastAsia="da-DK"/>
        </w:rPr>
      </w:pPr>
      <w:r w:rsidRPr="00BC2337">
        <w:rPr>
          <w:rFonts w:ascii="Ottawa" w:eastAsia="MS Mincho" w:hAnsi="Ottawa" w:cs="Times New Roman"/>
          <w:b/>
          <w:sz w:val="21"/>
          <w:szCs w:val="21"/>
          <w:lang w:val="da-DK" w:eastAsia="da-DK"/>
        </w:rPr>
        <w:t>4.6.</w:t>
      </w:r>
      <w:r w:rsidRPr="00BC2337">
        <w:rPr>
          <w:rFonts w:ascii="Ottawa" w:eastAsia="MS Mincho" w:hAnsi="Ottawa" w:cs="Times New Roman"/>
          <w:b/>
          <w:sz w:val="21"/>
          <w:szCs w:val="21"/>
          <w:lang w:val="da-DK" w:eastAsia="da-DK"/>
        </w:rPr>
        <w:tab/>
      </w:r>
      <w:r w:rsidRPr="00BC2337">
        <w:rPr>
          <w:rFonts w:ascii="Ottawa" w:eastAsia="MS Mincho" w:hAnsi="Ottawa" w:cs="Times New Roman"/>
          <w:b/>
          <w:i/>
          <w:sz w:val="21"/>
          <w:szCs w:val="21"/>
          <w:lang w:val="da-DK" w:eastAsia="da-DK"/>
        </w:rPr>
        <w:t>In-situ</w:t>
      </w:r>
      <w:r w:rsidRPr="00BC2337">
        <w:rPr>
          <w:rFonts w:ascii="Ottawa" w:eastAsia="MS Mincho" w:hAnsi="Ottawa" w:cs="Times New Roman"/>
          <w:b/>
          <w:sz w:val="21"/>
          <w:szCs w:val="21"/>
          <w:lang w:val="da-DK" w:eastAsia="da-DK"/>
        </w:rPr>
        <w:t xml:space="preserve"> hybridisation</w:t>
      </w:r>
    </w:p>
    <w:p w14:paraId="6F6860BE" w14:textId="77777777" w:rsidR="00E65E42" w:rsidRPr="00D403F5" w:rsidRDefault="00E65E42" w:rsidP="00E65E42">
      <w:pPr>
        <w:spacing w:after="240" w:line="240" w:lineRule="auto"/>
        <w:ind w:left="425"/>
        <w:jc w:val="both"/>
        <w:rPr>
          <w:rFonts w:ascii="Arial" w:eastAsia="Times New Roman" w:hAnsi="Arial" w:cs="Times New Roman"/>
          <w:sz w:val="18"/>
          <w:szCs w:val="18"/>
          <w:lang w:val="en-IE"/>
        </w:rPr>
      </w:pPr>
      <w:r w:rsidRPr="00D403F5">
        <w:rPr>
          <w:rFonts w:ascii="Arial" w:eastAsia="Times New Roman" w:hAnsi="Arial" w:cs="Arial"/>
          <w:sz w:val="18"/>
          <w:szCs w:val="18"/>
          <w:lang w:val="en-US"/>
        </w:rPr>
        <w:t xml:space="preserve">Not relevant in relation to primary diagnosis and surveillance of infection with VHSV. </w:t>
      </w:r>
    </w:p>
    <w:p w14:paraId="1254418D" w14:textId="77777777" w:rsidR="00E65E42" w:rsidRPr="00BC2337" w:rsidRDefault="00E65E42" w:rsidP="00E65E42">
      <w:pPr>
        <w:spacing w:after="240" w:line="240" w:lineRule="auto"/>
        <w:ind w:left="426" w:hanging="426"/>
        <w:jc w:val="both"/>
        <w:rPr>
          <w:rFonts w:ascii="Ottawa" w:eastAsia="MS Mincho" w:hAnsi="Ottawa" w:cs="Times New Roman"/>
          <w:b/>
          <w:sz w:val="21"/>
          <w:szCs w:val="21"/>
          <w:lang w:val="da-DK" w:eastAsia="da-DK"/>
        </w:rPr>
      </w:pPr>
      <w:r w:rsidRPr="00BC2337">
        <w:rPr>
          <w:rFonts w:ascii="Ottawa" w:eastAsia="MS Mincho" w:hAnsi="Ottawa" w:cs="Times New Roman"/>
          <w:b/>
          <w:sz w:val="21"/>
          <w:szCs w:val="21"/>
          <w:lang w:val="da-DK" w:eastAsia="da-DK"/>
        </w:rPr>
        <w:t>4.7.</w:t>
      </w:r>
      <w:r w:rsidRPr="00BC2337">
        <w:rPr>
          <w:rFonts w:ascii="Ottawa" w:eastAsia="MS Mincho" w:hAnsi="Ottawa" w:cs="Times New Roman"/>
          <w:b/>
          <w:sz w:val="21"/>
          <w:szCs w:val="21"/>
          <w:lang w:val="da-DK" w:eastAsia="da-DK"/>
        </w:rPr>
        <w:tab/>
        <w:t>Immunohistochemistry</w:t>
      </w:r>
    </w:p>
    <w:p w14:paraId="456380AF" w14:textId="77777777" w:rsidR="00E65E42" w:rsidRPr="00D403F5" w:rsidRDefault="00E65E42" w:rsidP="00E65E42">
      <w:pPr>
        <w:spacing w:after="240" w:line="240" w:lineRule="auto"/>
        <w:ind w:left="425"/>
        <w:jc w:val="both"/>
        <w:rPr>
          <w:rFonts w:ascii="Arial" w:eastAsia="Times New Roman" w:hAnsi="Arial" w:cs="Arial"/>
          <w:sz w:val="18"/>
          <w:szCs w:val="18"/>
          <w:lang w:val="en-IE"/>
        </w:rPr>
      </w:pPr>
      <w:r w:rsidRPr="007B73F2">
        <w:rPr>
          <w:rFonts w:ascii="Arial" w:eastAsia="Times New Roman" w:hAnsi="Arial" w:cs="Arial"/>
          <w:sz w:val="18"/>
          <w:szCs w:val="18"/>
        </w:rPr>
        <w:t xml:space="preserve">Immunohistochemistry reveals VHSV-positive endothelial cells, primarily in the vascular system (Evensen </w:t>
      </w:r>
      <w:r w:rsidRPr="007B73F2">
        <w:rPr>
          <w:rFonts w:ascii="Arial" w:eastAsia="Times New Roman" w:hAnsi="Arial" w:cs="Arial"/>
          <w:i/>
          <w:sz w:val="18"/>
          <w:szCs w:val="18"/>
        </w:rPr>
        <w:t>et al</w:t>
      </w:r>
      <w:r w:rsidRPr="007B73F2">
        <w:rPr>
          <w:rFonts w:ascii="Arial" w:eastAsia="Times New Roman" w:hAnsi="Arial" w:cs="Arial"/>
          <w:sz w:val="18"/>
          <w:szCs w:val="18"/>
        </w:rPr>
        <w:t xml:space="preserve">., 1994). </w:t>
      </w:r>
      <w:r w:rsidRPr="007B73F2">
        <w:rPr>
          <w:rFonts w:ascii="Arial" w:eastAsia="Times New Roman" w:hAnsi="Arial" w:cs="Times New Roman"/>
          <w:sz w:val="18"/>
          <w:szCs w:val="18"/>
          <w:lang w:val="en-IE" w:eastAsia="fr-FR"/>
        </w:rPr>
        <w:t>Specific polyclonal and monoclonal antibodies for immunohistochemistry are commercially available.</w:t>
      </w:r>
    </w:p>
    <w:p w14:paraId="154C97D6" w14:textId="77777777" w:rsidR="00E65E42" w:rsidRPr="00BC2337" w:rsidRDefault="00E65E42" w:rsidP="00E65E42">
      <w:pPr>
        <w:spacing w:after="240" w:line="240" w:lineRule="auto"/>
        <w:ind w:left="426" w:hanging="426"/>
        <w:jc w:val="both"/>
        <w:rPr>
          <w:rFonts w:ascii="Ottawa" w:eastAsia="MS Mincho" w:hAnsi="Ottawa" w:cs="Times New Roman"/>
          <w:b/>
          <w:sz w:val="21"/>
          <w:szCs w:val="21"/>
          <w:lang w:val="da-DK" w:eastAsia="da-DK"/>
        </w:rPr>
      </w:pPr>
      <w:r w:rsidRPr="00BC2337">
        <w:rPr>
          <w:rFonts w:ascii="Ottawa" w:eastAsia="MS Mincho" w:hAnsi="Ottawa" w:cs="Times New Roman"/>
          <w:b/>
          <w:sz w:val="21"/>
          <w:szCs w:val="21"/>
          <w:lang w:val="da-DK" w:eastAsia="da-DK"/>
        </w:rPr>
        <w:t>4.8.</w:t>
      </w:r>
      <w:r w:rsidRPr="00BC2337">
        <w:rPr>
          <w:rFonts w:ascii="Ottawa" w:eastAsia="MS Mincho" w:hAnsi="Ottawa" w:cs="Times New Roman"/>
          <w:b/>
          <w:sz w:val="21"/>
          <w:szCs w:val="21"/>
          <w:lang w:val="da-DK" w:eastAsia="da-DK"/>
        </w:rPr>
        <w:tab/>
        <w:t>Bioassay</w:t>
      </w:r>
    </w:p>
    <w:p w14:paraId="3669B38D" w14:textId="77777777" w:rsidR="00E65E42" w:rsidRPr="00D403F5" w:rsidRDefault="00E65E42" w:rsidP="00E65E42">
      <w:pPr>
        <w:spacing w:after="240" w:line="240" w:lineRule="auto"/>
        <w:ind w:left="425"/>
        <w:jc w:val="both"/>
        <w:rPr>
          <w:rFonts w:ascii="Arial" w:eastAsia="Times New Roman" w:hAnsi="Arial" w:cs="Arial"/>
          <w:sz w:val="18"/>
          <w:szCs w:val="18"/>
          <w:lang w:val="en-IE"/>
        </w:rPr>
      </w:pPr>
      <w:r w:rsidRPr="00D403F5">
        <w:rPr>
          <w:rFonts w:ascii="Arial" w:eastAsia="Times New Roman" w:hAnsi="Arial" w:cs="Times New Roman"/>
          <w:sz w:val="18"/>
          <w:szCs w:val="18"/>
          <w:lang w:val="en-US"/>
        </w:rPr>
        <w:t>Not relevant in relation to primary diagnostics and surveillance of infection with VHSV.</w:t>
      </w:r>
    </w:p>
    <w:p w14:paraId="1019F4A7" w14:textId="77777777" w:rsidR="00E65E42" w:rsidRPr="00BC2337" w:rsidRDefault="00E65E42" w:rsidP="00E65E42">
      <w:pPr>
        <w:spacing w:after="240" w:line="240" w:lineRule="auto"/>
        <w:ind w:left="426" w:hanging="426"/>
        <w:jc w:val="both"/>
        <w:rPr>
          <w:rFonts w:ascii="Ottawa" w:eastAsia="MS Mincho" w:hAnsi="Ottawa" w:cs="Times New Roman"/>
          <w:b/>
          <w:sz w:val="21"/>
          <w:szCs w:val="21"/>
          <w:lang w:val="da-DK" w:eastAsia="da-DK"/>
        </w:rPr>
      </w:pPr>
      <w:r w:rsidRPr="00BC2337">
        <w:rPr>
          <w:rFonts w:ascii="Ottawa" w:eastAsia="MS Mincho" w:hAnsi="Ottawa" w:cs="Times New Roman"/>
          <w:b/>
          <w:sz w:val="21"/>
          <w:szCs w:val="21"/>
          <w:lang w:val="da-DK" w:eastAsia="da-DK"/>
        </w:rPr>
        <w:t>4.9.</w:t>
      </w:r>
      <w:r w:rsidRPr="00BC2337">
        <w:rPr>
          <w:rFonts w:ascii="Ottawa" w:eastAsia="MS Mincho" w:hAnsi="Ottawa" w:cs="Times New Roman"/>
          <w:b/>
          <w:sz w:val="21"/>
          <w:szCs w:val="21"/>
          <w:lang w:val="da-DK" w:eastAsia="da-DK"/>
        </w:rPr>
        <w:tab/>
        <w:t>Antibody</w:t>
      </w:r>
      <w:r>
        <w:rPr>
          <w:rFonts w:ascii="Ottawa" w:eastAsia="MS Mincho" w:hAnsi="Ottawa" w:cs="Times New Roman"/>
          <w:b/>
          <w:sz w:val="21"/>
          <w:szCs w:val="21"/>
          <w:lang w:val="da-DK" w:eastAsia="da-DK"/>
        </w:rPr>
        <w:t>-</w:t>
      </w:r>
      <w:r w:rsidRPr="00BC2337">
        <w:rPr>
          <w:rFonts w:ascii="Ottawa" w:eastAsia="MS Mincho" w:hAnsi="Ottawa" w:cs="Times New Roman"/>
          <w:b/>
          <w:sz w:val="21"/>
          <w:szCs w:val="21"/>
          <w:lang w:val="da-DK" w:eastAsia="da-DK"/>
        </w:rPr>
        <w:t xml:space="preserve"> or antigen</w:t>
      </w:r>
      <w:r>
        <w:rPr>
          <w:rFonts w:ascii="Ottawa" w:eastAsia="MS Mincho" w:hAnsi="Ottawa" w:cs="Times New Roman"/>
          <w:b/>
          <w:sz w:val="21"/>
          <w:szCs w:val="21"/>
          <w:lang w:val="da-DK" w:eastAsia="da-DK"/>
        </w:rPr>
        <w:t>-based</w:t>
      </w:r>
      <w:r w:rsidRPr="00BC2337">
        <w:rPr>
          <w:rFonts w:ascii="Ottawa" w:eastAsia="MS Mincho" w:hAnsi="Ottawa" w:cs="Times New Roman"/>
          <w:b/>
          <w:sz w:val="21"/>
          <w:szCs w:val="21"/>
          <w:lang w:val="da-DK" w:eastAsia="da-DK"/>
        </w:rPr>
        <w:t xml:space="preserve"> detection methods </w:t>
      </w:r>
    </w:p>
    <w:p w14:paraId="4ECB68A2" w14:textId="77777777" w:rsidR="00E65E42" w:rsidRPr="00746B9C" w:rsidRDefault="00E65E42" w:rsidP="00E65E42">
      <w:pPr>
        <w:pStyle w:val="Para20"/>
        <w:rPr>
          <w:szCs w:val="18"/>
          <w:u w:val="double"/>
        </w:rPr>
      </w:pPr>
      <w:r w:rsidRPr="00746B9C">
        <w:rPr>
          <w:szCs w:val="18"/>
          <w:highlight w:val="yellow"/>
          <w:u w:val="double"/>
        </w:rPr>
        <w:t xml:space="preserve">Antibody- and antigen-based detection methods should not be used as a </w:t>
      </w:r>
      <w:r>
        <w:rPr>
          <w:szCs w:val="18"/>
          <w:highlight w:val="yellow"/>
          <w:u w:val="double"/>
        </w:rPr>
        <w:t xml:space="preserve">method of </w:t>
      </w:r>
      <w:r w:rsidRPr="00746B9C">
        <w:rPr>
          <w:szCs w:val="18"/>
          <w:highlight w:val="yellow"/>
          <w:u w:val="double"/>
        </w:rPr>
        <w:t xml:space="preserve">screening </w:t>
      </w:r>
      <w:r>
        <w:rPr>
          <w:szCs w:val="18"/>
          <w:highlight w:val="yellow"/>
          <w:u w:val="double"/>
        </w:rPr>
        <w:t>healthy populations</w:t>
      </w:r>
      <w:r w:rsidRPr="00AE3567">
        <w:rPr>
          <w:strike/>
          <w:szCs w:val="18"/>
          <w:highlight w:val="yellow"/>
          <w:u w:val="double"/>
        </w:rPr>
        <w:t>method</w:t>
      </w:r>
      <w:r w:rsidRPr="00746B9C">
        <w:rPr>
          <w:szCs w:val="18"/>
          <w:highlight w:val="yellow"/>
          <w:u w:val="double"/>
        </w:rPr>
        <w:t>.</w:t>
      </w:r>
    </w:p>
    <w:p w14:paraId="0A5D5E4B" w14:textId="77777777" w:rsidR="00DD4A56" w:rsidRDefault="00DD4A56">
      <w:pPr>
        <w:rPr>
          <w:rFonts w:ascii="Ottawa" w:eastAsia="Times New Roman" w:hAnsi="Ottawa" w:cs="Times New Roman"/>
          <w:b/>
          <w:bCs/>
          <w:szCs w:val="20"/>
          <w:lang w:eastAsia="fr-FR"/>
        </w:rPr>
      </w:pPr>
      <w:r>
        <w:rPr>
          <w:rFonts w:ascii="Ottawa" w:eastAsia="Times New Roman" w:hAnsi="Ottawa" w:cs="Times New Roman"/>
          <w:b/>
          <w:bCs/>
          <w:szCs w:val="20"/>
          <w:lang w:eastAsia="fr-FR"/>
        </w:rPr>
        <w:br w:type="page"/>
      </w:r>
    </w:p>
    <w:p w14:paraId="32D3B43A" w14:textId="77777777" w:rsidR="00DD4A56" w:rsidRPr="008A67C2" w:rsidRDefault="00DD4A56" w:rsidP="00DD4A56">
      <w:pPr>
        <w:spacing w:after="480" w:line="240" w:lineRule="auto"/>
        <w:rPr>
          <w:rFonts w:cs="Times New Roman"/>
          <w:bCs/>
          <w:iCs/>
          <w:szCs w:val="20"/>
        </w:rPr>
      </w:pP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6C79F101" w14:textId="570C3516" w:rsidR="00E65E42" w:rsidRPr="00BC2337" w:rsidRDefault="00E65E42" w:rsidP="000A4E1E">
      <w:pPr>
        <w:spacing w:after="240" w:line="240" w:lineRule="auto"/>
        <w:ind w:left="993" w:hanging="567"/>
        <w:jc w:val="both"/>
        <w:rPr>
          <w:rFonts w:ascii="Ottawa" w:eastAsia="Times New Roman" w:hAnsi="Ottawa" w:cs="Times New Roman"/>
          <w:b/>
          <w:bCs/>
          <w:szCs w:val="20"/>
          <w:lang w:eastAsia="fr-FR"/>
        </w:rPr>
      </w:pPr>
      <w:r w:rsidRPr="00BC2337">
        <w:rPr>
          <w:rFonts w:ascii="Ottawa" w:eastAsia="Times New Roman" w:hAnsi="Ottawa" w:cs="Times New Roman"/>
          <w:b/>
          <w:bCs/>
          <w:szCs w:val="20"/>
          <w:lang w:eastAsia="fr-FR"/>
        </w:rPr>
        <w:t>4.9.1.</w:t>
      </w:r>
      <w:r w:rsidRPr="00BC2337">
        <w:rPr>
          <w:rFonts w:ascii="Ottawa" w:eastAsia="Times New Roman" w:hAnsi="Ottawa" w:cs="Times New Roman"/>
          <w:b/>
          <w:bCs/>
          <w:szCs w:val="20"/>
          <w:lang w:eastAsia="fr-FR"/>
        </w:rPr>
        <w:tab/>
        <w:t>Antigen enzyme-linked immunosorbent assay (ELISA)</w:t>
      </w:r>
    </w:p>
    <w:p w14:paraId="1D1FB19F"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Coat the wells of microplates designed for enzyme-linked immunosorbent assays (ELISAs) with appropriate dilutions of protein-A purified immunoglobulins (Ig) from rabbit anti sera against VHSV in carbonate buffer, pH 9.6 (50 µl well</w:t>
      </w:r>
      <w:r w:rsidRPr="00D403F5">
        <w:rPr>
          <w:rFonts w:ascii="Arial" w:eastAsia="MS Mincho" w:hAnsi="Arial" w:cs="Arial"/>
          <w:sz w:val="18"/>
          <w:szCs w:val="18"/>
          <w:vertAlign w:val="superscript"/>
          <w:lang w:val="en-IE"/>
        </w:rPr>
        <w:t>–1</w:t>
      </w:r>
      <w:r w:rsidRPr="00D403F5">
        <w:rPr>
          <w:rFonts w:ascii="Arial" w:eastAsia="MS Mincho" w:hAnsi="Arial" w:cs="Arial"/>
          <w:sz w:val="18"/>
          <w:szCs w:val="18"/>
          <w:lang w:val="en-IE"/>
        </w:rPr>
        <w:t>).</w:t>
      </w:r>
    </w:p>
    <w:p w14:paraId="63EDD6C8"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Incubate overnight at 4°C.</w:t>
      </w:r>
    </w:p>
    <w:p w14:paraId="3655B570"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Rinse in phosphate-buffered saline (PBS) containing 0.05% Tween-20 (PBST).</w:t>
      </w:r>
    </w:p>
    <w:p w14:paraId="111E4A0E"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Add 1% Triton X-100 to the virus suspension to be identified.</w:t>
      </w:r>
    </w:p>
    <w:p w14:paraId="520BAFAF"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v)</w:t>
      </w:r>
      <w:r w:rsidRPr="00D403F5">
        <w:rPr>
          <w:rFonts w:ascii="Arial" w:eastAsia="MS Mincho" w:hAnsi="Arial" w:cs="Arial"/>
          <w:sz w:val="18"/>
          <w:szCs w:val="18"/>
          <w:lang w:val="en-IE"/>
        </w:rPr>
        <w:tab/>
        <w:t>Dispense 50 µl well</w:t>
      </w:r>
      <w:r w:rsidRPr="00D403F5">
        <w:rPr>
          <w:rFonts w:ascii="Arial" w:eastAsia="MS Mincho" w:hAnsi="Arial" w:cs="Arial"/>
          <w:sz w:val="18"/>
          <w:szCs w:val="18"/>
          <w:vertAlign w:val="superscript"/>
          <w:lang w:val="en-IE"/>
        </w:rPr>
        <w:t>–1</w:t>
      </w:r>
      <w:r w:rsidRPr="00D403F5">
        <w:rPr>
          <w:rFonts w:ascii="Arial" w:eastAsia="MS Mincho" w:hAnsi="Arial" w:cs="Arial"/>
          <w:sz w:val="18"/>
          <w:szCs w:val="18"/>
          <w:lang w:val="en-IE"/>
        </w:rPr>
        <w:t xml:space="preserve"> of two- or four-step dilutions (in PBST containing 1% bovine serum albumin) of the virus to be identified and of VHSV control virus, as well as a negative control (e.g. infectious haematopoietic necrosis virus [IHNV]), and allow to react with the coated antibody to VHSV for 1 hour at 37°C.</w:t>
      </w:r>
    </w:p>
    <w:p w14:paraId="255FBA0C"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vi)</w:t>
      </w:r>
      <w:r w:rsidRPr="00D403F5">
        <w:rPr>
          <w:rFonts w:ascii="Arial" w:eastAsia="MS Mincho" w:hAnsi="Arial" w:cs="Arial"/>
          <w:sz w:val="18"/>
          <w:szCs w:val="18"/>
          <w:lang w:val="en-IE"/>
        </w:rPr>
        <w:tab/>
        <w:t>Rinse in PBST.</w:t>
      </w:r>
    </w:p>
    <w:p w14:paraId="6471204B"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vii)</w:t>
      </w:r>
      <w:r w:rsidRPr="00D403F5">
        <w:rPr>
          <w:rFonts w:ascii="Arial" w:eastAsia="MS Mincho" w:hAnsi="Arial" w:cs="Arial"/>
          <w:sz w:val="18"/>
          <w:szCs w:val="18"/>
          <w:lang w:val="en-IE"/>
        </w:rPr>
        <w:tab/>
        <w:t>Add to the wells monoclonal antibodies to VHSV N protein (IP5B11) 50 µl well</w:t>
      </w:r>
      <w:r w:rsidRPr="00D403F5">
        <w:rPr>
          <w:rFonts w:ascii="Arial" w:eastAsia="MS Mincho" w:hAnsi="Arial" w:cs="Arial"/>
          <w:sz w:val="18"/>
          <w:szCs w:val="18"/>
          <w:vertAlign w:val="superscript"/>
          <w:lang w:val="en-IE"/>
        </w:rPr>
        <w:t>–1</w:t>
      </w:r>
      <w:r w:rsidRPr="00D403F5">
        <w:rPr>
          <w:rFonts w:ascii="Arial" w:eastAsia="MS Mincho" w:hAnsi="Arial" w:cs="Arial"/>
          <w:sz w:val="18"/>
          <w:szCs w:val="18"/>
          <w:lang w:val="en-IE"/>
        </w:rPr>
        <w:t>.</w:t>
      </w:r>
    </w:p>
    <w:p w14:paraId="62F0D774"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viii)</w:t>
      </w:r>
      <w:r w:rsidRPr="00D403F5">
        <w:rPr>
          <w:rFonts w:ascii="Arial" w:eastAsia="MS Mincho" w:hAnsi="Arial" w:cs="Arial"/>
          <w:sz w:val="18"/>
          <w:szCs w:val="18"/>
          <w:lang w:val="en-IE"/>
        </w:rPr>
        <w:tab/>
        <w:t>Incubate for 1 hour at 37°C.</w:t>
      </w:r>
    </w:p>
    <w:p w14:paraId="4C8660CB"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ix)</w:t>
      </w:r>
      <w:r w:rsidRPr="00D403F5">
        <w:rPr>
          <w:rFonts w:ascii="Arial" w:eastAsia="MS Mincho" w:hAnsi="Arial" w:cs="Arial"/>
          <w:sz w:val="18"/>
          <w:szCs w:val="18"/>
          <w:lang w:val="en-IE"/>
        </w:rPr>
        <w:tab/>
        <w:t>Rinse in PBST.</w:t>
      </w:r>
    </w:p>
    <w:p w14:paraId="5A3C3BEA"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x)</w:t>
      </w:r>
      <w:r w:rsidRPr="00D403F5">
        <w:rPr>
          <w:rFonts w:ascii="Arial" w:eastAsia="MS Mincho" w:hAnsi="Arial" w:cs="Arial"/>
          <w:sz w:val="18"/>
          <w:szCs w:val="18"/>
          <w:lang w:val="en-IE"/>
        </w:rPr>
        <w:tab/>
        <w:t>Add to the wells (50 µl well</w:t>
      </w:r>
      <w:r w:rsidRPr="00D403F5">
        <w:rPr>
          <w:rFonts w:ascii="Arial" w:eastAsia="MS Mincho" w:hAnsi="Arial" w:cs="Arial"/>
          <w:sz w:val="18"/>
          <w:szCs w:val="18"/>
          <w:vertAlign w:val="superscript"/>
          <w:lang w:val="en-IE"/>
        </w:rPr>
        <w:t>–1</w:t>
      </w:r>
      <w:r w:rsidRPr="00D403F5">
        <w:rPr>
          <w:rFonts w:ascii="Arial" w:eastAsia="MS Mincho" w:hAnsi="Arial" w:cs="Arial"/>
          <w:sz w:val="18"/>
          <w:szCs w:val="18"/>
          <w:lang w:val="en-IE"/>
        </w:rPr>
        <w:t>) horseradish peroxidase (HRP)-conjugated monoclonal anti-mouse antibodies.</w:t>
      </w:r>
    </w:p>
    <w:p w14:paraId="53D356A0"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xi)</w:t>
      </w:r>
      <w:r w:rsidRPr="00D403F5">
        <w:rPr>
          <w:rFonts w:ascii="Arial" w:eastAsia="MS Mincho" w:hAnsi="Arial" w:cs="Arial"/>
          <w:sz w:val="18"/>
          <w:szCs w:val="18"/>
          <w:lang w:val="en-IE"/>
        </w:rPr>
        <w:tab/>
        <w:t>Incubate for 1 hour at 37°C.</w:t>
      </w:r>
    </w:p>
    <w:p w14:paraId="6DAF1110"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xii)</w:t>
      </w:r>
      <w:r w:rsidRPr="00D403F5">
        <w:rPr>
          <w:rFonts w:ascii="Arial" w:eastAsia="MS Mincho" w:hAnsi="Arial" w:cs="Arial"/>
          <w:sz w:val="18"/>
          <w:szCs w:val="18"/>
          <w:lang w:val="en-IE"/>
        </w:rPr>
        <w:tab/>
        <w:t>Rinse in PBST.</w:t>
      </w:r>
    </w:p>
    <w:p w14:paraId="702E83F4"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xiii)</w:t>
      </w:r>
      <w:r w:rsidRPr="00D403F5">
        <w:rPr>
          <w:rFonts w:ascii="Arial" w:eastAsia="MS Mincho" w:hAnsi="Arial" w:cs="Arial"/>
          <w:sz w:val="18"/>
          <w:szCs w:val="18"/>
          <w:lang w:val="en-IE"/>
        </w:rPr>
        <w:tab/>
        <w:t>Visualise the reaction using TMB (3,3’,5,5’-tetramethylbenzidine) and measure the absorbance at a wavelength of 450 nm.</w:t>
      </w:r>
    </w:p>
    <w:p w14:paraId="43890C45" w14:textId="77777777" w:rsidR="00E65E42" w:rsidRPr="00D403F5" w:rsidRDefault="00E65E42" w:rsidP="00E65E42">
      <w:pPr>
        <w:spacing w:after="240"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The above ELISA version is given as an example. Other ELISA versions of demonstrated performance may be used instead.</w:t>
      </w:r>
    </w:p>
    <w:p w14:paraId="7BA88ACE" w14:textId="77777777" w:rsidR="00E65E42" w:rsidRPr="00D403F5" w:rsidRDefault="00E65E42" w:rsidP="00E65E42">
      <w:pPr>
        <w:spacing w:after="240" w:line="240" w:lineRule="auto"/>
        <w:ind w:left="850"/>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For positive controls, use cell culture supernatant from cultures inoculated with known VHSV isolate.</w:t>
      </w:r>
    </w:p>
    <w:p w14:paraId="0BE1F594" w14:textId="77777777" w:rsidR="00E65E42" w:rsidRPr="00D403F5" w:rsidRDefault="00E65E42" w:rsidP="00E65E42">
      <w:pPr>
        <w:spacing w:after="240" w:line="240" w:lineRule="auto"/>
        <w:ind w:left="850"/>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For negative controls, use cell culture supernatant from same cell line inoculated with heterologous virus (e.g. IHNV) or from non-infected culture.</w:t>
      </w:r>
    </w:p>
    <w:p w14:paraId="7696E23D" w14:textId="77777777" w:rsidR="00E65E42" w:rsidRPr="00BC2337" w:rsidRDefault="00E65E42" w:rsidP="000A4E1E">
      <w:pPr>
        <w:spacing w:after="240" w:line="240" w:lineRule="auto"/>
        <w:ind w:left="993" w:hanging="567"/>
        <w:jc w:val="both"/>
        <w:rPr>
          <w:rFonts w:ascii="Ottawa" w:eastAsia="Times New Roman" w:hAnsi="Ottawa" w:cs="Times New Roman"/>
          <w:b/>
          <w:bCs/>
          <w:szCs w:val="20"/>
          <w:lang w:eastAsia="fr-FR"/>
        </w:rPr>
      </w:pPr>
      <w:r w:rsidRPr="00BC2337">
        <w:rPr>
          <w:rFonts w:ascii="Ottawa" w:eastAsia="Times New Roman" w:hAnsi="Ottawa" w:cs="Times New Roman"/>
          <w:b/>
          <w:bCs/>
          <w:szCs w:val="20"/>
          <w:lang w:eastAsia="fr-FR"/>
        </w:rPr>
        <w:t>4.9.2.</w:t>
      </w:r>
      <w:r w:rsidRPr="00BC2337">
        <w:rPr>
          <w:rFonts w:ascii="Ottawa" w:eastAsia="Times New Roman" w:hAnsi="Ottawa" w:cs="Times New Roman"/>
          <w:b/>
          <w:bCs/>
          <w:szCs w:val="20"/>
          <w:lang w:eastAsia="fr-FR"/>
        </w:rPr>
        <w:tab/>
        <w:t>Indirect fluorescent antibody test (IFAT)</w:t>
      </w:r>
    </w:p>
    <w:p w14:paraId="15723633"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Prepare monolayers of cells in 2 cm</w:t>
      </w:r>
      <w:r w:rsidRPr="00D403F5">
        <w:rPr>
          <w:rFonts w:ascii="Arial" w:eastAsia="MS Mincho" w:hAnsi="Arial" w:cs="Arial"/>
          <w:sz w:val="18"/>
          <w:szCs w:val="18"/>
          <w:vertAlign w:val="superscript"/>
          <w:lang w:val="en-IE"/>
        </w:rPr>
        <w:t>2</w:t>
      </w:r>
      <w:r w:rsidRPr="00D403F5">
        <w:rPr>
          <w:rFonts w:ascii="Arial" w:eastAsia="MS Mincho" w:hAnsi="Arial" w:cs="Arial"/>
          <w:sz w:val="18"/>
          <w:szCs w:val="18"/>
          <w:lang w:val="en-IE"/>
        </w:rPr>
        <w:t xml:space="preserve"> wells of cell culture plastic plates or on cover-slips to reach around 80% confluence, which is usually achieved within 24 hours of incubation at 22°C (seed six cell monolayers per virus isolate to be identified, plus two for positive and two for negative controls). The FCS content of the cell culture medium can be reduced to 2–4%. If numerous virus isolates have to be identified, the use of Terasaki plates is strongly recommended.</w:t>
      </w:r>
    </w:p>
    <w:p w14:paraId="5995F5B4"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When the cell monolayers are ready for infection, i.e. on the same day or on the day after seeding, inoculate the virus suspensions to be identified by making tenfold dilution steps directly in the cell culture wells or flasks.</w:t>
      </w:r>
    </w:p>
    <w:p w14:paraId="68FFD68D"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Dilute the control virus suspension of VHSV in a similar way, in order to obtain a virus titre of about 5000–10,000 plaque-forming units (PFU) ml</w:t>
      </w:r>
      <w:r w:rsidRPr="00D403F5">
        <w:rPr>
          <w:rFonts w:ascii="Arial" w:eastAsia="MS Mincho" w:hAnsi="Arial" w:cs="Arial"/>
          <w:sz w:val="18"/>
          <w:szCs w:val="18"/>
          <w:vertAlign w:val="superscript"/>
          <w:lang w:val="en-IE"/>
        </w:rPr>
        <w:t>–1</w:t>
      </w:r>
      <w:r w:rsidRPr="00D403F5">
        <w:rPr>
          <w:rFonts w:ascii="Arial" w:eastAsia="MS Mincho" w:hAnsi="Arial" w:cs="Arial"/>
          <w:sz w:val="18"/>
          <w:szCs w:val="18"/>
          <w:lang w:val="en-IE"/>
        </w:rPr>
        <w:t xml:space="preserve"> in the cell culture medium.</w:t>
      </w:r>
    </w:p>
    <w:p w14:paraId="39D6C919"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Incubate at 15°C for 24 hours.</w:t>
      </w:r>
    </w:p>
    <w:p w14:paraId="54DA0EFC" w14:textId="77777777" w:rsidR="00DD4A56" w:rsidRPr="008A67C2" w:rsidRDefault="00DD4A56" w:rsidP="00DD4A56">
      <w:pPr>
        <w:spacing w:after="480" w:line="240" w:lineRule="auto"/>
        <w:jc w:val="right"/>
        <w:rPr>
          <w:rFonts w:cs="Times New Roman"/>
          <w:bCs/>
          <w:iCs/>
          <w:szCs w:val="20"/>
        </w:rPr>
      </w:pP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7FED90CE"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v)</w:t>
      </w:r>
      <w:r w:rsidRPr="00D403F5">
        <w:rPr>
          <w:rFonts w:ascii="Arial" w:eastAsia="MS Mincho" w:hAnsi="Arial" w:cs="Arial"/>
          <w:sz w:val="18"/>
          <w:szCs w:val="18"/>
          <w:lang w:val="en-IE"/>
        </w:rPr>
        <w:tab/>
        <w:t>Remove the cell culture medium, rinse once with 0.01 M PBS, pH 7.2, then three times briefly with a cold mixture of acetone 30% and ethanol 70% (v/v) (stored at –20°C).</w:t>
      </w:r>
    </w:p>
    <w:p w14:paraId="57D92F0A"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vi)</w:t>
      </w:r>
      <w:r w:rsidRPr="00D403F5">
        <w:rPr>
          <w:rFonts w:ascii="Arial" w:eastAsia="MS Mincho" w:hAnsi="Arial" w:cs="Arial"/>
          <w:sz w:val="18"/>
          <w:szCs w:val="18"/>
          <w:lang w:val="en-IE"/>
        </w:rPr>
        <w:tab/>
        <w:t>Let the fixative act for 15 minutes. A volume of 0.5 ml is adequate for 2 cm</w:t>
      </w:r>
      <w:r w:rsidRPr="00D403F5">
        <w:rPr>
          <w:rFonts w:ascii="Arial" w:eastAsia="MS Mincho" w:hAnsi="Arial" w:cs="Arial"/>
          <w:sz w:val="18"/>
          <w:szCs w:val="18"/>
          <w:vertAlign w:val="superscript"/>
          <w:lang w:val="en-IE"/>
        </w:rPr>
        <w:t>2</w:t>
      </w:r>
      <w:r w:rsidRPr="00D403F5">
        <w:rPr>
          <w:rFonts w:ascii="Arial" w:eastAsia="MS Mincho" w:hAnsi="Arial" w:cs="Arial"/>
          <w:sz w:val="18"/>
          <w:szCs w:val="18"/>
          <w:lang w:val="en-IE"/>
        </w:rPr>
        <w:t xml:space="preserve"> of cell monolayer.</w:t>
      </w:r>
    </w:p>
    <w:p w14:paraId="41EE6461"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vii)</w:t>
      </w:r>
      <w:r w:rsidRPr="00D403F5">
        <w:rPr>
          <w:rFonts w:ascii="Arial" w:eastAsia="MS Mincho" w:hAnsi="Arial" w:cs="Arial"/>
          <w:sz w:val="18"/>
          <w:szCs w:val="18"/>
          <w:lang w:val="en-IE"/>
        </w:rPr>
        <w:tab/>
        <w:t xml:space="preserve">Allow the cell monolayers to air-dry for at least 30 minutes and process immediately or freeze at </w:t>
      </w:r>
      <w:r w:rsidRPr="00D403F5">
        <w:rPr>
          <w:rFonts w:ascii="Arial" w:eastAsia="MS Mincho" w:hAnsi="Arial" w:cs="Arial"/>
          <w:sz w:val="18"/>
          <w:szCs w:val="18"/>
          <w:lang w:val="en-IE"/>
        </w:rPr>
        <w:br/>
        <w:t>–20°C.</w:t>
      </w:r>
    </w:p>
    <w:p w14:paraId="718DBD98"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viii)</w:t>
      </w:r>
      <w:r w:rsidRPr="00D403F5">
        <w:rPr>
          <w:rFonts w:ascii="Arial" w:eastAsia="MS Mincho" w:hAnsi="Arial" w:cs="Arial"/>
          <w:sz w:val="18"/>
          <w:szCs w:val="18"/>
          <w:lang w:val="en-IE"/>
        </w:rPr>
        <w:tab/>
        <w:t>Prepare a solution of purified VHSV antibody or serum in 0.01 M PBST, pH 7.2, at the appropriate dilution (which has been established previously or is given by the reagent supplier).</w:t>
      </w:r>
    </w:p>
    <w:p w14:paraId="65AF60AF"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ix)</w:t>
      </w:r>
      <w:r w:rsidRPr="00D403F5">
        <w:rPr>
          <w:rFonts w:ascii="Arial" w:eastAsia="MS Mincho" w:hAnsi="Arial" w:cs="Arial"/>
          <w:sz w:val="18"/>
          <w:szCs w:val="18"/>
          <w:lang w:val="en-IE"/>
        </w:rPr>
        <w:tab/>
        <w:t>Rehydrate the dried cell monolayers by using four rinsing steps with the PBST solution and remove this buffer completely after the last rinse.</w:t>
      </w:r>
    </w:p>
    <w:p w14:paraId="141D0C25"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x)</w:t>
      </w:r>
      <w:r w:rsidRPr="00D403F5">
        <w:rPr>
          <w:rFonts w:ascii="Arial" w:eastAsia="MS Mincho" w:hAnsi="Arial" w:cs="Arial"/>
          <w:sz w:val="18"/>
          <w:szCs w:val="18"/>
          <w:lang w:val="en-IE"/>
        </w:rPr>
        <w:tab/>
        <w:t xml:space="preserve">Treat the cell monolayers with the antibody solution for 1 hour at 37°C in a humid chamber and do not allow evaporation to occur, e.g. by adding a piece of wet cotton in the humid chamber. The volume of solution to be used </w:t>
      </w:r>
      <w:r w:rsidRPr="00336B99">
        <w:rPr>
          <w:rFonts w:ascii="Arial" w:eastAsia="MS Mincho" w:hAnsi="Arial" w:cs="Arial"/>
          <w:sz w:val="18"/>
          <w:szCs w:val="18"/>
          <w:lang w:val="en-IE"/>
        </w:rPr>
        <w:t>is 0.25 ml</w:t>
      </w:r>
      <w:r>
        <w:rPr>
          <w:rFonts w:ascii="Arial" w:eastAsia="MS Mincho" w:hAnsi="Arial" w:cs="Arial"/>
          <w:sz w:val="18"/>
          <w:szCs w:val="18"/>
          <w:lang w:val="en-IE"/>
        </w:rPr>
        <w:t xml:space="preserve"> </w:t>
      </w:r>
      <w:r w:rsidRPr="00336B99">
        <w:rPr>
          <w:rFonts w:ascii="Arial" w:eastAsia="MS Mincho" w:hAnsi="Arial" w:cs="Arial"/>
          <w:sz w:val="18"/>
          <w:szCs w:val="18"/>
          <w:highlight w:val="yellow"/>
          <w:u w:val="double"/>
          <w:lang w:val="en-IE"/>
        </w:rPr>
        <w:t>per</w:t>
      </w:r>
      <w:r w:rsidRPr="00336B99">
        <w:rPr>
          <w:rFonts w:ascii="Arial" w:eastAsia="MS Mincho" w:hAnsi="Arial" w:cs="Arial"/>
          <w:sz w:val="18"/>
          <w:szCs w:val="18"/>
          <w:highlight w:val="yellow"/>
          <w:lang w:val="en-IE"/>
        </w:rPr>
        <w:t xml:space="preserve"> </w:t>
      </w:r>
      <w:r w:rsidRPr="00336B99">
        <w:rPr>
          <w:rFonts w:ascii="Arial" w:eastAsia="MS Mincho" w:hAnsi="Arial" w:cs="Arial"/>
          <w:strike/>
          <w:sz w:val="18"/>
          <w:szCs w:val="18"/>
          <w:highlight w:val="yellow"/>
          <w:lang w:val="en-IE"/>
        </w:rPr>
        <w:t>/</w:t>
      </w:r>
      <w:r>
        <w:rPr>
          <w:rFonts w:ascii="Arial" w:eastAsia="MS Mincho" w:hAnsi="Arial" w:cs="Arial"/>
          <w:strike/>
          <w:sz w:val="18"/>
          <w:szCs w:val="18"/>
          <w:lang w:val="en-IE"/>
        </w:rPr>
        <w:t xml:space="preserve"> </w:t>
      </w:r>
      <w:r w:rsidRPr="00336B99">
        <w:rPr>
          <w:rFonts w:ascii="Arial" w:eastAsia="MS Mincho" w:hAnsi="Arial" w:cs="Arial"/>
          <w:sz w:val="18"/>
          <w:szCs w:val="18"/>
          <w:lang w:val="en-IE"/>
        </w:rPr>
        <w:t>2 cm</w:t>
      </w:r>
      <w:r w:rsidRPr="00336B99">
        <w:rPr>
          <w:rFonts w:ascii="Arial" w:eastAsia="MS Mincho" w:hAnsi="Arial" w:cs="Arial"/>
          <w:sz w:val="18"/>
          <w:szCs w:val="18"/>
          <w:vertAlign w:val="superscript"/>
          <w:lang w:val="en-IE"/>
        </w:rPr>
        <w:t>2</w:t>
      </w:r>
      <w:r w:rsidRPr="00336B99">
        <w:rPr>
          <w:rFonts w:ascii="Arial" w:eastAsia="MS Mincho" w:hAnsi="Arial" w:cs="Arial"/>
          <w:sz w:val="18"/>
          <w:szCs w:val="18"/>
          <w:lang w:val="en-IE"/>
        </w:rPr>
        <w:t xml:space="preserve"> well</w:t>
      </w:r>
      <w:r w:rsidRPr="00336B99">
        <w:rPr>
          <w:rFonts w:ascii="Arial" w:eastAsia="MS Mincho" w:hAnsi="Arial" w:cs="Arial"/>
          <w:strike/>
          <w:sz w:val="18"/>
          <w:szCs w:val="18"/>
          <w:highlight w:val="yellow"/>
          <w:vertAlign w:val="superscript"/>
          <w:lang w:val="en-IE"/>
        </w:rPr>
        <w:t>–1</w:t>
      </w:r>
      <w:r w:rsidRPr="00D403F5">
        <w:rPr>
          <w:rFonts w:ascii="Arial" w:eastAsia="MS Mincho" w:hAnsi="Arial" w:cs="Arial"/>
          <w:sz w:val="18"/>
          <w:szCs w:val="18"/>
          <w:lang w:val="en-IE"/>
        </w:rPr>
        <w:t>.</w:t>
      </w:r>
    </w:p>
    <w:p w14:paraId="39679081"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xi)</w:t>
      </w:r>
      <w:r w:rsidRPr="00D403F5">
        <w:rPr>
          <w:rFonts w:ascii="Arial" w:eastAsia="MS Mincho" w:hAnsi="Arial" w:cs="Arial"/>
          <w:sz w:val="18"/>
          <w:szCs w:val="18"/>
          <w:lang w:val="en-IE"/>
        </w:rPr>
        <w:tab/>
        <w:t>Rinse four times with PBST as above.</w:t>
      </w:r>
    </w:p>
    <w:p w14:paraId="551F6D05"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xii)</w:t>
      </w:r>
      <w:r w:rsidRPr="00D403F5">
        <w:rPr>
          <w:rFonts w:ascii="Arial" w:eastAsia="MS Mincho" w:hAnsi="Arial" w:cs="Arial"/>
          <w:sz w:val="18"/>
          <w:szCs w:val="18"/>
          <w:lang w:val="en-IE"/>
        </w:rPr>
        <w:tab/>
        <w:t>Treat the cell monolayers for 1 hour at 37°C with a solution of fluorescein isothiocyanate (FITC)- or tetramethylrhodamine-5-(and-6-) isothiocyanate (TRITC)-conjugated antibody to the immunoglobulin used as the primary antibody and prepared according to the instructions of the supplier. These conjugated antibodies are most often rabbit or goat antibodies.</w:t>
      </w:r>
    </w:p>
    <w:p w14:paraId="31A62F96"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xiii)</w:t>
      </w:r>
      <w:r w:rsidRPr="00D403F5">
        <w:rPr>
          <w:rFonts w:ascii="Arial" w:eastAsia="MS Mincho" w:hAnsi="Arial" w:cs="Arial"/>
          <w:sz w:val="18"/>
          <w:szCs w:val="18"/>
          <w:lang w:val="en-IE"/>
        </w:rPr>
        <w:tab/>
        <w:t>Rinse four times with PBST.</w:t>
      </w:r>
    </w:p>
    <w:p w14:paraId="4F7C4E01"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xiv)</w:t>
      </w:r>
      <w:r w:rsidRPr="00D403F5">
        <w:rPr>
          <w:rFonts w:ascii="Arial" w:eastAsia="MS Mincho" w:hAnsi="Arial" w:cs="Arial"/>
          <w:sz w:val="18"/>
          <w:szCs w:val="18"/>
          <w:lang w:val="en-IE"/>
        </w:rPr>
        <w:tab/>
        <w:t>Examine the treated cell monolayers on plastic plates immediately, or mount the cover-slips using, for example glycerol saline, pH 8.5 prior to microscopic observation.</w:t>
      </w:r>
    </w:p>
    <w:p w14:paraId="6EC96543" w14:textId="77777777" w:rsidR="00E65E42" w:rsidRPr="00D403F5" w:rsidRDefault="00E65E42" w:rsidP="000A4E1E">
      <w:pPr>
        <w:spacing w:after="240" w:line="240" w:lineRule="auto"/>
        <w:ind w:left="851" w:hanging="425"/>
        <w:jc w:val="both"/>
        <w:rPr>
          <w:rFonts w:ascii="Arial" w:eastAsia="MS Mincho" w:hAnsi="Arial" w:cs="Arial"/>
          <w:sz w:val="18"/>
          <w:szCs w:val="18"/>
          <w:lang w:val="en-IE"/>
        </w:rPr>
      </w:pPr>
      <w:r w:rsidRPr="00D403F5">
        <w:rPr>
          <w:rFonts w:ascii="Arial" w:eastAsia="MS Mincho" w:hAnsi="Arial" w:cs="Arial"/>
          <w:sz w:val="18"/>
          <w:szCs w:val="18"/>
          <w:lang w:val="en-IE"/>
        </w:rPr>
        <w:t>xv)</w:t>
      </w:r>
      <w:r w:rsidRPr="00D403F5">
        <w:rPr>
          <w:rFonts w:ascii="Arial" w:eastAsia="MS Mincho" w:hAnsi="Arial" w:cs="Arial"/>
          <w:sz w:val="18"/>
          <w:szCs w:val="18"/>
          <w:lang w:val="en-IE"/>
        </w:rPr>
        <w:tab/>
        <w:t>Examine under incident UV light using a microscope with ×10 eye pieces and ×20–40 objective lens having numerical aperture &gt;0.65 and &gt;1.3 respectively. Positive and negative controls must yield the expected results prior to any other observation.</w:t>
      </w:r>
    </w:p>
    <w:p w14:paraId="3F3EA091" w14:textId="77777777" w:rsidR="00E65E42" w:rsidRPr="00D403F5" w:rsidRDefault="00E65E42" w:rsidP="00E65E42">
      <w:pPr>
        <w:spacing w:after="240"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Other IFAT or immunocytochemical (alkaline phosphatase or peroxidase) techniques of demonstrated performance may be used instead.</w:t>
      </w:r>
    </w:p>
    <w:p w14:paraId="60A2C3CC" w14:textId="77777777" w:rsidR="00E65E42" w:rsidRPr="00D403F5" w:rsidRDefault="00E65E42" w:rsidP="00E65E42">
      <w:pPr>
        <w:spacing w:after="240"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 xml:space="preserve">Always include positive control such as wells or coverslip with cells infected with a known VHSV isolate. </w:t>
      </w:r>
    </w:p>
    <w:p w14:paraId="5F3E633E" w14:textId="77777777" w:rsidR="00E65E42" w:rsidRPr="00BD2E1E" w:rsidRDefault="00E65E42" w:rsidP="000A4E1E">
      <w:pPr>
        <w:pStyle w:val="11"/>
        <w:ind w:left="851" w:hanging="567"/>
        <w:rPr>
          <w:rFonts w:ascii="Ottawa" w:hAnsi="Ottawa"/>
          <w:sz w:val="21"/>
          <w:szCs w:val="21"/>
          <w:lang w:bidi="en-US"/>
        </w:rPr>
      </w:pPr>
      <w:r w:rsidRPr="00BD2E1E">
        <w:rPr>
          <w:rFonts w:ascii="Ottawa" w:hAnsi="Ottawa"/>
          <w:sz w:val="21"/>
          <w:szCs w:val="21"/>
          <w:lang w:bidi="en-US"/>
        </w:rPr>
        <w:t>4.10.</w:t>
      </w:r>
      <w:r w:rsidRPr="00BD2E1E">
        <w:rPr>
          <w:rFonts w:ascii="Ottawa" w:hAnsi="Ottawa"/>
          <w:sz w:val="21"/>
          <w:szCs w:val="21"/>
          <w:lang w:bidi="en-US"/>
        </w:rPr>
        <w:tab/>
        <w:t xml:space="preserve">Other </w:t>
      </w:r>
      <w:r w:rsidRPr="00BF51FB">
        <w:rPr>
          <w:rFonts w:ascii="Ottawa" w:hAnsi="Ottawa"/>
          <w:strike/>
          <w:sz w:val="21"/>
          <w:szCs w:val="21"/>
          <w:highlight w:val="yellow"/>
          <w:lang w:bidi="en-US"/>
        </w:rPr>
        <w:t>serological</w:t>
      </w:r>
      <w:r w:rsidRPr="00D84749">
        <w:rPr>
          <w:rFonts w:ascii="Ottawa" w:hAnsi="Ottawa"/>
          <w:strike/>
          <w:sz w:val="21"/>
          <w:szCs w:val="21"/>
          <w:lang w:bidi="en-US"/>
        </w:rPr>
        <w:t xml:space="preserve"> </w:t>
      </w:r>
      <w:r w:rsidRPr="00BD2E1E">
        <w:rPr>
          <w:rFonts w:ascii="Ottawa" w:hAnsi="Ottawa"/>
          <w:sz w:val="21"/>
          <w:szCs w:val="21"/>
          <w:lang w:bidi="en-US"/>
        </w:rPr>
        <w:t>methods</w:t>
      </w:r>
    </w:p>
    <w:p w14:paraId="77721E35" w14:textId="77777777" w:rsidR="00E65E42" w:rsidRPr="00BC2337" w:rsidRDefault="00E65E42" w:rsidP="000A4E1E">
      <w:pPr>
        <w:spacing w:after="240" w:line="240" w:lineRule="auto"/>
        <w:ind w:left="1560" w:hanging="709"/>
        <w:jc w:val="both"/>
        <w:rPr>
          <w:rFonts w:ascii="Ottawa" w:eastAsia="Times New Roman" w:hAnsi="Ottawa" w:cs="Times New Roman"/>
          <w:b/>
          <w:bCs/>
          <w:szCs w:val="20"/>
          <w:lang w:val="en-IE" w:eastAsia="fr-FR"/>
        </w:rPr>
      </w:pPr>
      <w:r w:rsidRPr="00BC2337">
        <w:rPr>
          <w:rFonts w:ascii="Ottawa" w:eastAsia="Times New Roman" w:hAnsi="Ottawa" w:cs="Times New Roman"/>
          <w:b/>
          <w:bCs/>
          <w:szCs w:val="20"/>
          <w:lang w:val="en-IE" w:eastAsia="fr-FR"/>
        </w:rPr>
        <w:t>4.10.1.</w:t>
      </w:r>
      <w:r w:rsidRPr="00BC2337">
        <w:rPr>
          <w:rFonts w:ascii="Ottawa" w:eastAsia="Times New Roman" w:hAnsi="Ottawa" w:cs="Times New Roman"/>
          <w:b/>
          <w:bCs/>
          <w:szCs w:val="20"/>
          <w:lang w:val="en-IE" w:eastAsia="fr-FR"/>
        </w:rPr>
        <w:tab/>
        <w:t>Neutralisation test</w:t>
      </w:r>
    </w:p>
    <w:p w14:paraId="6FFDCB8A" w14:textId="77777777" w:rsidR="00E65E42" w:rsidRPr="00D403F5" w:rsidRDefault="00E65E42" w:rsidP="000A4E1E">
      <w:pPr>
        <w:spacing w:after="24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 xml:space="preserve">Collect the culture medium of the cell monolayers exhibiting CPE and centrifuge it at 2000 </w:t>
      </w:r>
      <w:r w:rsidRPr="00D403F5">
        <w:rPr>
          <w:rFonts w:ascii="Arial" w:eastAsia="MS Mincho" w:hAnsi="Arial" w:cs="Arial"/>
          <w:b/>
          <w:i/>
          <w:sz w:val="18"/>
          <w:szCs w:val="18"/>
          <w:lang w:val="en-IE"/>
        </w:rPr>
        <w:t>g</w:t>
      </w:r>
      <w:r w:rsidRPr="00D403F5">
        <w:rPr>
          <w:rFonts w:ascii="Arial" w:eastAsia="MS Mincho" w:hAnsi="Arial" w:cs="Arial"/>
          <w:sz w:val="18"/>
          <w:szCs w:val="18"/>
          <w:lang w:val="en-IE"/>
        </w:rPr>
        <w:t xml:space="preserve"> for 15 minutes at 4°C, or filter through a 0.45 µm (or 450 nm) pore membrane to remove cell debris.</w:t>
      </w:r>
    </w:p>
    <w:p w14:paraId="767669BC" w14:textId="77777777" w:rsidR="00E65E42" w:rsidRPr="00D403F5" w:rsidRDefault="00E65E42" w:rsidP="000A4E1E">
      <w:pPr>
        <w:spacing w:after="24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Dilute virus-containing medium from 10</w:t>
      </w:r>
      <w:r w:rsidRPr="00D403F5">
        <w:rPr>
          <w:rFonts w:ascii="Arial" w:eastAsia="MS Mincho" w:hAnsi="Arial" w:cs="Arial"/>
          <w:sz w:val="18"/>
          <w:szCs w:val="18"/>
          <w:vertAlign w:val="superscript"/>
          <w:lang w:val="en-IE"/>
        </w:rPr>
        <w:t>–2</w:t>
      </w:r>
      <w:r w:rsidRPr="00D403F5">
        <w:rPr>
          <w:rFonts w:ascii="Arial" w:eastAsia="MS Mincho" w:hAnsi="Arial" w:cs="Arial"/>
          <w:sz w:val="18"/>
          <w:szCs w:val="18"/>
          <w:lang w:val="en-IE"/>
        </w:rPr>
        <w:t xml:space="preserve"> to 10</w:t>
      </w:r>
      <w:r w:rsidRPr="00D403F5">
        <w:rPr>
          <w:rFonts w:ascii="Arial" w:eastAsia="MS Mincho" w:hAnsi="Arial" w:cs="Arial"/>
          <w:sz w:val="18"/>
          <w:szCs w:val="18"/>
          <w:vertAlign w:val="superscript"/>
          <w:lang w:val="en-IE"/>
        </w:rPr>
        <w:t>–4</w:t>
      </w:r>
      <w:r w:rsidRPr="00D403F5">
        <w:rPr>
          <w:rFonts w:ascii="Arial" w:eastAsia="MS Mincho" w:hAnsi="Arial" w:cs="Arial"/>
          <w:sz w:val="18"/>
          <w:szCs w:val="18"/>
          <w:lang w:val="en-IE"/>
        </w:rPr>
        <w:t>.</w:t>
      </w:r>
    </w:p>
    <w:p w14:paraId="37C35433" w14:textId="77777777" w:rsidR="00E65E42" w:rsidRPr="00D403F5" w:rsidRDefault="00E65E42" w:rsidP="000A4E1E">
      <w:pPr>
        <w:spacing w:after="24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Mix aliquots (for example 200 µl) of each dilution with equal volumes of a VHSV antibody solution and, likewise, treat aliquots of each virus dilution with cell culture medium. The neutralising antibody [NAb] solution must have a 50% plaque reduction titre of at least 2000.</w:t>
      </w:r>
    </w:p>
    <w:p w14:paraId="5B81E897" w14:textId="77777777" w:rsidR="00E65E42" w:rsidRPr="00D403F5" w:rsidRDefault="00E65E42" w:rsidP="000A4E1E">
      <w:pPr>
        <w:spacing w:after="24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In parallel, another neutralisation test must be performed against a homologous virus strain (positive neutralisation test).</w:t>
      </w:r>
    </w:p>
    <w:p w14:paraId="21C4CE4F" w14:textId="77777777" w:rsidR="00E65E42" w:rsidRPr="00D403F5" w:rsidRDefault="00E65E42" w:rsidP="000A4E1E">
      <w:pPr>
        <w:spacing w:after="24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w:t>
      </w:r>
      <w:r w:rsidRPr="00D403F5">
        <w:rPr>
          <w:rFonts w:ascii="Arial" w:eastAsia="MS Mincho" w:hAnsi="Arial" w:cs="Arial"/>
          <w:sz w:val="18"/>
          <w:szCs w:val="18"/>
          <w:lang w:val="en-IE"/>
        </w:rPr>
        <w:tab/>
        <w:t>If required, a similar neutralisation test may be performed using antibodies to IPNV.</w:t>
      </w:r>
    </w:p>
    <w:p w14:paraId="162B844B" w14:textId="77777777" w:rsidR="00E65E42" w:rsidRPr="00D403F5" w:rsidRDefault="00E65E42" w:rsidP="000A4E1E">
      <w:pPr>
        <w:spacing w:after="24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vi)</w:t>
      </w:r>
      <w:r w:rsidRPr="00D403F5">
        <w:rPr>
          <w:rFonts w:ascii="Arial" w:eastAsia="MS Mincho" w:hAnsi="Arial" w:cs="Arial"/>
          <w:sz w:val="18"/>
          <w:szCs w:val="18"/>
          <w:lang w:val="en-IE"/>
        </w:rPr>
        <w:tab/>
        <w:t>Incubate all the mixtures at 15°C for 1 hour.</w:t>
      </w:r>
    </w:p>
    <w:p w14:paraId="4D13E879" w14:textId="77777777" w:rsidR="00DD4A56" w:rsidRDefault="00DD4A56">
      <w:pPr>
        <w:rPr>
          <w:u w:val="single"/>
          <w:lang w:val="en-IE"/>
        </w:rPr>
      </w:pPr>
      <w:r>
        <w:rPr>
          <w:u w:val="single"/>
          <w:lang w:val="en-IE"/>
        </w:rPr>
        <w:br w:type="page"/>
      </w:r>
    </w:p>
    <w:p w14:paraId="44283066" w14:textId="3CD83271" w:rsidR="00DD4A56" w:rsidRPr="008A67C2" w:rsidRDefault="00DD4A56" w:rsidP="00DD4A56">
      <w:pPr>
        <w:spacing w:after="480" w:line="240" w:lineRule="auto"/>
        <w:rPr>
          <w:rFonts w:cs="Times New Roman"/>
          <w:bCs/>
          <w:iCs/>
          <w:szCs w:val="20"/>
        </w:rPr>
      </w:pP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1E7EF1B0" w14:textId="77777777" w:rsidR="00E65E42" w:rsidRPr="00D403F5" w:rsidRDefault="00E65E42" w:rsidP="001E34B0">
      <w:pPr>
        <w:spacing w:after="12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vii)</w:t>
      </w:r>
      <w:r w:rsidRPr="00D403F5">
        <w:rPr>
          <w:rFonts w:ascii="Arial" w:eastAsia="MS Mincho" w:hAnsi="Arial" w:cs="Arial"/>
          <w:sz w:val="18"/>
          <w:szCs w:val="18"/>
          <w:lang w:val="en-IE"/>
        </w:rPr>
        <w:tab/>
        <w:t>Transfer aliquots of each of the above mixtures on to 24–48 hour-old monolayers, overlaid with cell culture medium containing 10% FCS (inoculate two wells per dilution), and incubate at 15°C; 24- or 12-well cell culture plates are suitable for this purpose, using a 50 µl inoculum.</w:t>
      </w:r>
    </w:p>
    <w:p w14:paraId="070AA882" w14:textId="77777777" w:rsidR="00E65E42" w:rsidRPr="00D403F5" w:rsidRDefault="00E65E42" w:rsidP="001E34B0">
      <w:pPr>
        <w:spacing w:after="12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viii)</w:t>
      </w:r>
      <w:r w:rsidRPr="00D403F5">
        <w:rPr>
          <w:rFonts w:ascii="Arial" w:eastAsia="MS Mincho" w:hAnsi="Arial" w:cs="Arial"/>
          <w:sz w:val="18"/>
          <w:szCs w:val="18"/>
          <w:lang w:val="en-IE"/>
        </w:rPr>
        <w:tab/>
        <w:t>Check the cell cultures for the onset of CPE and read the result as soon as it occurs in non-neutralised controls (cell monolayers being protected in positive neutralisation controls). Results are recorded either after a simple microscopic examination (phase contrast preferable) or after discarding the cell culture medium and staining cell monolayers with a solution of 1% crystal violet in 20% ethanol.</w:t>
      </w:r>
    </w:p>
    <w:p w14:paraId="3EEF4636" w14:textId="77777777" w:rsidR="00E65E42" w:rsidRPr="00D403F5" w:rsidRDefault="00E65E42" w:rsidP="001E34B0">
      <w:pPr>
        <w:spacing w:after="12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ix)</w:t>
      </w:r>
      <w:r w:rsidRPr="00D403F5">
        <w:rPr>
          <w:rFonts w:ascii="Arial" w:eastAsia="MS Mincho" w:hAnsi="Arial" w:cs="Arial"/>
          <w:sz w:val="18"/>
          <w:szCs w:val="18"/>
          <w:lang w:val="en-IE"/>
        </w:rPr>
        <w:tab/>
        <w:t>The tested virus is identified as VHSV when CPE is prevented or noticeably delayed in the cell cultures that received the virus suspension treated with the VHSV-specific antibody, whereas CPE is evident in all other cell cultures.</w:t>
      </w:r>
    </w:p>
    <w:p w14:paraId="7C656E4A" w14:textId="77777777" w:rsidR="00E65E42" w:rsidRPr="00D403F5" w:rsidRDefault="00E65E42" w:rsidP="001E34B0">
      <w:pPr>
        <w:spacing w:after="12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w:t>
      </w:r>
      <w:r w:rsidRPr="00D403F5">
        <w:rPr>
          <w:rFonts w:ascii="Arial" w:eastAsia="MS Mincho" w:hAnsi="Arial" w:cs="Arial"/>
          <w:sz w:val="18"/>
          <w:szCs w:val="18"/>
          <w:lang w:val="en-IE"/>
        </w:rPr>
        <w:tab/>
        <w:t>In the absence of any neutralisation by NAb to VHSV, it is mandatory to conduct an RT-PCR, an ELISA or IFAT, using the suspect sample. Some cases of antigenic drift of surface antigen have been observed, resulting in occasional failure of the neutralisation test using NAb to VHSV.</w:t>
      </w:r>
    </w:p>
    <w:p w14:paraId="5A450391" w14:textId="77777777" w:rsidR="00E65E42" w:rsidRPr="00D403F5" w:rsidRDefault="00E65E42" w:rsidP="001E34B0">
      <w:pPr>
        <w:spacing w:after="120"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Other neutralisation tests of demonstrated performance may be used instead.</w:t>
      </w:r>
    </w:p>
    <w:p w14:paraId="24A6C717" w14:textId="77777777" w:rsidR="00E65E42" w:rsidRPr="001E34B0" w:rsidRDefault="00E65E42" w:rsidP="00E65E42">
      <w:pPr>
        <w:spacing w:after="280" w:line="240" w:lineRule="auto"/>
        <w:ind w:left="284" w:hanging="284"/>
        <w:jc w:val="both"/>
        <w:rPr>
          <w:rFonts w:ascii="Ottawa" w:eastAsia="MS Mincho" w:hAnsi="Ottawa" w:cs="Times New Roman"/>
          <w:b/>
          <w:sz w:val="22"/>
          <w:lang w:eastAsia="fr-FR"/>
        </w:rPr>
      </w:pPr>
      <w:r w:rsidRPr="001E34B0">
        <w:rPr>
          <w:rFonts w:ascii="Ottawa" w:eastAsia="MS Mincho" w:hAnsi="Ottawa" w:cs="Times New Roman"/>
          <w:b/>
          <w:sz w:val="22"/>
          <w:lang w:eastAsia="fr-FR"/>
        </w:rPr>
        <w:t>5.</w:t>
      </w:r>
      <w:r w:rsidRPr="001E34B0">
        <w:rPr>
          <w:rFonts w:ascii="Ottawa" w:eastAsia="MS Mincho" w:hAnsi="Ottawa" w:cs="Times New Roman"/>
          <w:b/>
          <w:sz w:val="22"/>
          <w:lang w:eastAsia="fr-FR"/>
        </w:rPr>
        <w:tab/>
        <w:t>Test(s) recommended for surveillance to demonstrate freedom in apparently healthy populations</w:t>
      </w:r>
    </w:p>
    <w:p w14:paraId="2D308909" w14:textId="77777777" w:rsidR="00E65E42" w:rsidRPr="00D403F5" w:rsidRDefault="00E65E42" w:rsidP="001E34B0">
      <w:pPr>
        <w:spacing w:after="280" w:line="240" w:lineRule="auto"/>
        <w:ind w:left="284"/>
        <w:jc w:val="both"/>
        <w:rPr>
          <w:rFonts w:ascii="Arial" w:eastAsia="Times New Roman" w:hAnsi="Arial" w:cs="Times New Roman"/>
          <w:sz w:val="18"/>
          <w:szCs w:val="18"/>
          <w:lang w:val="en-IE" w:bidi="en-US"/>
        </w:rPr>
      </w:pPr>
      <w:r w:rsidRPr="00D403F5">
        <w:rPr>
          <w:rFonts w:ascii="Arial" w:eastAsia="Times New Roman" w:hAnsi="Arial" w:cs="Times New Roman"/>
          <w:sz w:val="18"/>
          <w:szCs w:val="18"/>
          <w:lang w:val="en-IE" w:bidi="en-US"/>
        </w:rPr>
        <w:t xml:space="preserve">Virus isolation, real-time RT-PCR and conventional PCR are the recommended tests for surveillance to demonstrate freedom of disease in apparently healthy population. </w:t>
      </w:r>
    </w:p>
    <w:p w14:paraId="3A05E347" w14:textId="77777777" w:rsidR="00E65E42" w:rsidRPr="001E34B0" w:rsidRDefault="00E65E42" w:rsidP="00E65E42">
      <w:pPr>
        <w:spacing w:after="280" w:line="240" w:lineRule="auto"/>
        <w:ind w:left="284" w:hanging="284"/>
        <w:jc w:val="both"/>
        <w:rPr>
          <w:rFonts w:ascii="Ottawa" w:eastAsia="MS Mincho" w:hAnsi="Ottawa" w:cs="Times New Roman"/>
          <w:b/>
          <w:sz w:val="22"/>
          <w:lang w:eastAsia="fr-FR"/>
        </w:rPr>
      </w:pPr>
      <w:r w:rsidRPr="001E34B0">
        <w:rPr>
          <w:rFonts w:ascii="Ottawa" w:eastAsia="MS Mincho" w:hAnsi="Ottawa" w:cs="Times New Roman"/>
          <w:b/>
          <w:sz w:val="22"/>
          <w:lang w:eastAsia="fr-FR"/>
        </w:rPr>
        <w:t>6.</w:t>
      </w:r>
      <w:r w:rsidRPr="001E34B0">
        <w:rPr>
          <w:rFonts w:ascii="Ottawa" w:eastAsia="MS Mincho" w:hAnsi="Ottawa" w:cs="Times New Roman"/>
          <w:b/>
          <w:sz w:val="22"/>
          <w:lang w:eastAsia="fr-FR"/>
        </w:rPr>
        <w:tab/>
        <w:t>Corroborative diagnostic criteria</w:t>
      </w:r>
    </w:p>
    <w:p w14:paraId="0EECFFCD" w14:textId="77777777" w:rsidR="00E65E42" w:rsidRPr="00D403F5" w:rsidRDefault="00E65E42" w:rsidP="001E34B0">
      <w:pPr>
        <w:spacing w:after="280" w:line="240" w:lineRule="auto"/>
        <w:ind w:left="284"/>
        <w:jc w:val="both"/>
        <w:rPr>
          <w:rFonts w:ascii="Arial" w:eastAsia="Times New Roman" w:hAnsi="Arial" w:cs="Arial"/>
          <w:sz w:val="18"/>
          <w:szCs w:val="18"/>
          <w:lang w:val="en-IE" w:bidi="en-US"/>
        </w:rPr>
      </w:pPr>
      <w:r w:rsidRPr="00D403F5">
        <w:rPr>
          <w:rFonts w:ascii="Arial" w:eastAsia="Times New Roman" w:hAnsi="Arial" w:cs="Arial"/>
          <w:sz w:val="18"/>
          <w:szCs w:val="18"/>
          <w:lang w:val="en-IE" w:bidi="en-US"/>
        </w:rPr>
        <w:t>This section only addresses the diagnostic test results for detection of infection in the absence (Section 6.1.) or in the presence of clinical signs (Section 6.2.) but does not evaluate whether the infectious agent is the cause of the clinical event.</w:t>
      </w:r>
    </w:p>
    <w:p w14:paraId="351E0941" w14:textId="77777777" w:rsidR="00E65E42" w:rsidRPr="00D403F5" w:rsidRDefault="00E65E42" w:rsidP="001E34B0">
      <w:pPr>
        <w:spacing w:after="280" w:line="240" w:lineRule="auto"/>
        <w:ind w:left="284"/>
        <w:jc w:val="both"/>
        <w:rPr>
          <w:rFonts w:ascii="Arial" w:eastAsia="Times New Roman" w:hAnsi="Arial" w:cs="Arial"/>
          <w:sz w:val="18"/>
          <w:szCs w:val="18"/>
          <w:lang w:val="en-IE" w:bidi="en-US"/>
        </w:rPr>
      </w:pPr>
      <w:r w:rsidRPr="00D403F5">
        <w:rPr>
          <w:rFonts w:ascii="Arial" w:eastAsia="Times New Roman" w:hAnsi="Arial" w:cs="Arial"/>
          <w:sz w:val="18"/>
          <w:szCs w:val="18"/>
          <w:lang w:val="en-IE" w:bidi="en-US"/>
        </w:rPr>
        <w:t>The case definitions for a suspect and confirmed case have been developed to support decision making related to trade and confirmation of disease status at the country, zone or compartment level. Case definitions for disease confirmation in endemically affected areas may be less stringent. It is recommended that all samples that yield suspect positive test results in an otherwise pathogen-free country or zone or compartment should be referred immediately to the OIE Reference Laboratory for confirmation, whether or not clinical signs are associated with the case. If a laboratory does not have the capacity to undertake the necessary diagnostic tests it should seek advice from the appropriate OIE Reference Laboratory.</w:t>
      </w:r>
    </w:p>
    <w:p w14:paraId="5C55DBC7" w14:textId="77777777" w:rsidR="00E65E42" w:rsidRPr="00BC2337" w:rsidRDefault="00E65E42" w:rsidP="000A4E1E">
      <w:pPr>
        <w:spacing w:after="280" w:line="240" w:lineRule="auto"/>
        <w:ind w:left="709" w:hanging="425"/>
        <w:jc w:val="both"/>
        <w:rPr>
          <w:rFonts w:ascii="Ottawa" w:eastAsia="MS Mincho" w:hAnsi="Ottawa" w:cs="Times New Roman"/>
          <w:b/>
          <w:sz w:val="21"/>
          <w:szCs w:val="21"/>
          <w:lang w:val="da-DK" w:eastAsia="da-DK"/>
        </w:rPr>
      </w:pPr>
      <w:r w:rsidRPr="00BC2337">
        <w:rPr>
          <w:rFonts w:ascii="Ottawa" w:eastAsia="MS Mincho" w:hAnsi="Ottawa" w:cs="Times New Roman"/>
          <w:b/>
          <w:sz w:val="21"/>
          <w:szCs w:val="21"/>
          <w:lang w:val="en-IE" w:eastAsia="da-DK"/>
        </w:rPr>
        <w:t>6</w:t>
      </w:r>
      <w:r w:rsidRPr="00BC2337">
        <w:rPr>
          <w:rFonts w:ascii="Ottawa" w:eastAsia="MS Mincho" w:hAnsi="Ottawa" w:cs="Times New Roman"/>
          <w:b/>
          <w:sz w:val="21"/>
          <w:szCs w:val="21"/>
          <w:lang w:val="da-DK" w:eastAsia="da-DK"/>
        </w:rPr>
        <w:t>.1.</w:t>
      </w:r>
      <w:r w:rsidRPr="00BC2337">
        <w:rPr>
          <w:rFonts w:ascii="Ottawa" w:eastAsia="MS Mincho" w:hAnsi="Ottawa" w:cs="Times New Roman"/>
          <w:b/>
          <w:sz w:val="21"/>
          <w:szCs w:val="21"/>
          <w:lang w:val="da-DK" w:eastAsia="da-DK"/>
        </w:rPr>
        <w:tab/>
        <w:t>Apparently healthy animals or animals of unknown health</w:t>
      </w:r>
      <w:r w:rsidRPr="00BC2337">
        <w:rPr>
          <w:rFonts w:ascii="Ottawa" w:eastAsia="MS Mincho" w:hAnsi="Ottawa" w:cs="Times New Roman"/>
          <w:b/>
          <w:sz w:val="21"/>
          <w:szCs w:val="21"/>
          <w:lang w:val="en-IE" w:eastAsia="da-DK"/>
        </w:rPr>
        <w:t xml:space="preserve"> status</w:t>
      </w:r>
      <w:r w:rsidRPr="00BC2337">
        <w:rPr>
          <w:rFonts w:ascii="Ottawa" w:eastAsia="MS Mincho" w:hAnsi="Ottawa" w:cs="Arial"/>
          <w:b/>
          <w:sz w:val="21"/>
          <w:szCs w:val="21"/>
          <w:vertAlign w:val="superscript"/>
          <w:lang w:val="da-DK" w:eastAsia="da-DK"/>
        </w:rPr>
        <w:footnoteReference w:id="4"/>
      </w:r>
    </w:p>
    <w:p w14:paraId="64DD40F9" w14:textId="77777777" w:rsidR="00E65E42" w:rsidRPr="001444D9" w:rsidRDefault="00E65E42" w:rsidP="001E34B0">
      <w:pPr>
        <w:spacing w:line="240" w:lineRule="auto"/>
        <w:ind w:left="709"/>
        <w:jc w:val="both"/>
        <w:rPr>
          <w:rFonts w:ascii="Arial" w:eastAsia="MS Mincho" w:hAnsi="Arial" w:cs="Arial"/>
          <w:sz w:val="18"/>
          <w:szCs w:val="18"/>
          <w:u w:val="double"/>
          <w:lang w:val="en-IE" w:eastAsia="da-DK"/>
        </w:rPr>
      </w:pPr>
      <w:r w:rsidRPr="00BF51FB">
        <w:rPr>
          <w:rFonts w:ascii="Arial" w:eastAsia="MS Mincho" w:hAnsi="Arial" w:cs="Arial"/>
          <w:sz w:val="18"/>
          <w:szCs w:val="18"/>
          <w:highlight w:val="yellow"/>
          <w:u w:val="double"/>
          <w:lang w:val="en-IE" w:eastAsia="da-DK"/>
        </w:rPr>
        <w:t>Apparently healthy populations may fall under suspicion, and therefore be sampled, if there is an epidemiological link to an infected population. Geographical proximity to, or movement of animals or animal products or equipment, etc., from a known infected population equate to an epidemiological link. Alternatively, healthy populations are sampled in surveys to demonstrate disease freedom.</w:t>
      </w:r>
    </w:p>
    <w:p w14:paraId="17128EF0"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eastAsia="fr-FR"/>
        </w:rPr>
      </w:pPr>
      <w:r w:rsidRPr="00BC2337">
        <w:rPr>
          <w:rFonts w:ascii="Ottawa" w:eastAsia="Times New Roman" w:hAnsi="Ottawa" w:cs="Times New Roman"/>
          <w:b/>
          <w:bCs/>
          <w:szCs w:val="20"/>
          <w:lang w:eastAsia="fr-FR"/>
        </w:rPr>
        <w:t>6.1.1.</w:t>
      </w:r>
      <w:r w:rsidRPr="00BC2337">
        <w:rPr>
          <w:rFonts w:ascii="Ottawa" w:eastAsia="Times New Roman" w:hAnsi="Ottawa" w:cs="Times New Roman"/>
          <w:b/>
          <w:bCs/>
          <w:szCs w:val="20"/>
          <w:lang w:eastAsia="fr-FR"/>
        </w:rPr>
        <w:tab/>
        <w:t>Definition of suspect case in apparently healthy animals</w:t>
      </w:r>
    </w:p>
    <w:p w14:paraId="3E02580B" w14:textId="77777777" w:rsidR="00E65E42" w:rsidRPr="00892AF8" w:rsidRDefault="00E65E42" w:rsidP="000A4E1E">
      <w:pPr>
        <w:spacing w:after="120" w:line="240" w:lineRule="auto"/>
        <w:ind w:left="709"/>
        <w:jc w:val="both"/>
        <w:rPr>
          <w:rFonts w:ascii="Arial" w:eastAsia="Times New Roman" w:hAnsi="Arial" w:cs="Arial"/>
          <w:bCs/>
          <w:sz w:val="18"/>
          <w:szCs w:val="18"/>
          <w:lang w:val="en-IE"/>
        </w:rPr>
      </w:pPr>
      <w:r w:rsidRPr="00892AF8">
        <w:rPr>
          <w:rFonts w:ascii="Arial" w:eastAsia="Times New Roman" w:hAnsi="Arial" w:cs="Arial"/>
          <w:bCs/>
          <w:sz w:val="18"/>
          <w:szCs w:val="18"/>
          <w:lang w:val="en-IE"/>
        </w:rPr>
        <w:t xml:space="preserve">The presence of infection with VHSV shall be suspected if at least one </w:t>
      </w:r>
      <w:r w:rsidRPr="00B0238A">
        <w:rPr>
          <w:rFonts w:ascii="Arial" w:eastAsia="Times New Roman" w:hAnsi="Arial" w:cs="Arial"/>
          <w:bCs/>
          <w:sz w:val="18"/>
          <w:szCs w:val="18"/>
          <w:lang w:val="en-IE"/>
        </w:rPr>
        <w:t>of the following criteria is met</w:t>
      </w:r>
      <w:r w:rsidRPr="00892AF8">
        <w:rPr>
          <w:rFonts w:ascii="Arial" w:eastAsia="Times New Roman" w:hAnsi="Arial" w:cs="Arial"/>
          <w:bCs/>
          <w:sz w:val="18"/>
          <w:szCs w:val="18"/>
          <w:lang w:val="en-IE"/>
        </w:rPr>
        <w:t>:</w:t>
      </w:r>
    </w:p>
    <w:p w14:paraId="7AF86314" w14:textId="77777777" w:rsidR="00E65E42" w:rsidRPr="00D403F5" w:rsidRDefault="00E65E42" w:rsidP="000A4E1E">
      <w:pPr>
        <w:spacing w:after="120" w:line="240" w:lineRule="auto"/>
        <w:ind w:left="1134"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VHSV-typical CPE in cell cultures</w:t>
      </w:r>
      <w:r w:rsidRPr="00BF51FB">
        <w:rPr>
          <w:rFonts w:ascii="Arial" w:eastAsia="MS Mincho" w:hAnsi="Arial" w:cs="Arial"/>
          <w:strike/>
          <w:sz w:val="18"/>
          <w:szCs w:val="18"/>
          <w:lang w:val="en-IE"/>
        </w:rPr>
        <w:t xml:space="preserve"> </w:t>
      </w:r>
      <w:r w:rsidRPr="00BF51FB">
        <w:rPr>
          <w:rFonts w:ascii="Arial" w:eastAsia="MS Mincho" w:hAnsi="Arial" w:cs="Arial"/>
          <w:strike/>
          <w:sz w:val="18"/>
          <w:szCs w:val="18"/>
          <w:highlight w:val="yellow"/>
          <w:lang w:val="en-IE"/>
        </w:rPr>
        <w:t>before confirmation</w:t>
      </w:r>
      <w:r w:rsidRPr="00D403F5">
        <w:rPr>
          <w:rFonts w:ascii="Arial" w:eastAsia="MS Mincho" w:hAnsi="Arial" w:cs="Arial"/>
          <w:sz w:val="18"/>
          <w:szCs w:val="18"/>
          <w:lang w:val="en-IE"/>
        </w:rPr>
        <w:t>;</w:t>
      </w:r>
    </w:p>
    <w:p w14:paraId="25FDE23D" w14:textId="77777777" w:rsidR="00E65E42" w:rsidRPr="00D403F5" w:rsidRDefault="00E65E42" w:rsidP="000A4E1E">
      <w:pPr>
        <w:spacing w:after="120" w:line="240" w:lineRule="auto"/>
        <w:ind w:left="1134"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A positive result from a real-time PCR assay;</w:t>
      </w:r>
    </w:p>
    <w:p w14:paraId="17DD0E43" w14:textId="77777777" w:rsidR="00E65E42" w:rsidRPr="00D403F5" w:rsidRDefault="00E65E42" w:rsidP="000A4E1E">
      <w:pPr>
        <w:spacing w:after="120" w:line="240" w:lineRule="auto"/>
        <w:ind w:left="1134" w:hanging="425"/>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A positive result from a conventional PCR assay;</w:t>
      </w:r>
    </w:p>
    <w:p w14:paraId="1678DA7D" w14:textId="77777777" w:rsidR="00E65E42" w:rsidRPr="00D403F5" w:rsidRDefault="00E65E42" w:rsidP="000A4E1E">
      <w:pPr>
        <w:spacing w:after="280" w:line="240" w:lineRule="auto"/>
        <w:ind w:left="1134"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Detection of antibodies (by Ab-ELISA or serum neutralisation in adults only).</w:t>
      </w:r>
    </w:p>
    <w:p w14:paraId="74FA60CD" w14:textId="77777777" w:rsidR="001E34B0" w:rsidRDefault="001E34B0">
      <w:pPr>
        <w:rPr>
          <w:u w:val="single"/>
        </w:rPr>
      </w:pPr>
      <w:r>
        <w:rPr>
          <w:u w:val="single"/>
        </w:rPr>
        <w:br w:type="page"/>
      </w:r>
    </w:p>
    <w:p w14:paraId="3022A246" w14:textId="4DF2C19C" w:rsidR="00DD4A56" w:rsidRPr="008A67C2" w:rsidRDefault="00DD4A56" w:rsidP="00DD4A56">
      <w:pPr>
        <w:spacing w:after="480" w:line="240" w:lineRule="auto"/>
        <w:jc w:val="right"/>
        <w:rPr>
          <w:rFonts w:cs="Times New Roman"/>
          <w:bCs/>
          <w:iCs/>
          <w:szCs w:val="20"/>
        </w:rPr>
      </w:pP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35629F17"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eastAsia="fr-FR"/>
        </w:rPr>
      </w:pPr>
      <w:r w:rsidRPr="00BC2337">
        <w:rPr>
          <w:rFonts w:ascii="Ottawa" w:eastAsia="Times New Roman" w:hAnsi="Ottawa" w:cs="Times New Roman"/>
          <w:b/>
          <w:bCs/>
          <w:szCs w:val="20"/>
          <w:lang w:eastAsia="fr-FR"/>
        </w:rPr>
        <w:t>6.1.2.</w:t>
      </w:r>
      <w:r w:rsidRPr="00BC2337">
        <w:rPr>
          <w:rFonts w:ascii="Ottawa" w:eastAsia="Times New Roman" w:hAnsi="Ottawa" w:cs="Times New Roman"/>
          <w:b/>
          <w:bCs/>
          <w:szCs w:val="20"/>
          <w:lang w:eastAsia="fr-FR"/>
        </w:rPr>
        <w:tab/>
        <w:t>Definition of confirmed case in apparently healthy animals</w:t>
      </w:r>
    </w:p>
    <w:p w14:paraId="237DF93E" w14:textId="77777777" w:rsidR="00E65E42" w:rsidRPr="00D403F5" w:rsidRDefault="00E65E42" w:rsidP="000A4E1E">
      <w:pPr>
        <w:spacing w:after="240" w:line="240" w:lineRule="auto"/>
        <w:ind w:left="709"/>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 xml:space="preserve">The presence of infection with VHSV is considered to be confirmed if, in addition to the criteria in </w:t>
      </w:r>
      <w:r w:rsidRPr="00D403F5">
        <w:rPr>
          <w:rFonts w:ascii="Arial" w:eastAsia="Times New Roman" w:hAnsi="Arial" w:cs="Times New Roman"/>
          <w:bCs/>
          <w:spacing w:val="-2"/>
          <w:sz w:val="18"/>
          <w:szCs w:val="18"/>
          <w:lang w:val="en-IE"/>
        </w:rPr>
        <w:t>Section 6.1.1.</w:t>
      </w:r>
      <w:r w:rsidRPr="00D403F5">
        <w:rPr>
          <w:rFonts w:ascii="Arial" w:eastAsia="Times New Roman" w:hAnsi="Arial" w:cs="Times New Roman"/>
          <w:bCs/>
          <w:sz w:val="18"/>
          <w:szCs w:val="18"/>
          <w:lang w:val="en-IE"/>
        </w:rPr>
        <w:t xml:space="preserve">, one or more of the following criteria </w:t>
      </w:r>
      <w:r>
        <w:rPr>
          <w:rFonts w:ascii="Arial" w:eastAsia="Times New Roman" w:hAnsi="Arial" w:cs="Times New Roman"/>
          <w:bCs/>
          <w:sz w:val="18"/>
          <w:szCs w:val="18"/>
          <w:lang w:val="en-IE"/>
        </w:rPr>
        <w:t>is</w:t>
      </w:r>
      <w:r w:rsidRPr="00D403F5">
        <w:rPr>
          <w:rFonts w:ascii="Arial" w:eastAsia="Times New Roman" w:hAnsi="Arial" w:cs="Times New Roman"/>
          <w:bCs/>
          <w:sz w:val="18"/>
          <w:szCs w:val="18"/>
          <w:lang w:val="en-IE"/>
        </w:rPr>
        <w:t xml:space="preserve"> met:</w:t>
      </w:r>
    </w:p>
    <w:p w14:paraId="32CF88BB" w14:textId="77777777" w:rsidR="00E65E42" w:rsidRPr="00BF51FB" w:rsidRDefault="00E65E42" w:rsidP="000A4E1E">
      <w:pPr>
        <w:spacing w:after="120" w:line="240" w:lineRule="auto"/>
        <w:ind w:left="1134" w:hanging="425"/>
        <w:jc w:val="both"/>
        <w:rPr>
          <w:rFonts w:ascii="Arial" w:eastAsia="MS Mincho" w:hAnsi="Arial" w:cs="Arial"/>
          <w:strike/>
          <w:sz w:val="18"/>
          <w:szCs w:val="18"/>
          <w:lang w:val="en-IE"/>
        </w:rPr>
      </w:pPr>
      <w:r w:rsidRPr="00BF51FB">
        <w:rPr>
          <w:rFonts w:ascii="Arial" w:eastAsia="MS Mincho" w:hAnsi="Arial" w:cs="Arial"/>
          <w:strike/>
          <w:sz w:val="18"/>
          <w:szCs w:val="18"/>
          <w:highlight w:val="yellow"/>
          <w:lang w:val="en-IE"/>
        </w:rPr>
        <w:t>i)</w:t>
      </w:r>
      <w:r w:rsidRPr="000A4E1E">
        <w:rPr>
          <w:rFonts w:ascii="Arial" w:eastAsia="MS Mincho" w:hAnsi="Arial" w:cs="Arial"/>
          <w:sz w:val="18"/>
          <w:szCs w:val="18"/>
          <w:lang w:val="en-IE"/>
        </w:rPr>
        <w:tab/>
      </w:r>
      <w:r w:rsidRPr="00BF51FB">
        <w:rPr>
          <w:rFonts w:ascii="Arial" w:eastAsia="MS Mincho" w:hAnsi="Arial" w:cs="Arial"/>
          <w:strike/>
          <w:sz w:val="18"/>
          <w:szCs w:val="18"/>
          <w:highlight w:val="yellow"/>
          <w:lang w:val="en-IE"/>
        </w:rPr>
        <w:t>VHSV isolation in cell culture followed by virus identification by conventional RT-PCR, and by sequencing of the amplicon;</w:t>
      </w:r>
    </w:p>
    <w:p w14:paraId="5EBD332A" w14:textId="77777777" w:rsidR="00E65E42" w:rsidRPr="00D403F5" w:rsidRDefault="00E65E42" w:rsidP="000A4E1E">
      <w:pPr>
        <w:spacing w:after="120" w:line="240" w:lineRule="auto"/>
        <w:ind w:left="1134" w:hanging="425"/>
        <w:jc w:val="both"/>
        <w:rPr>
          <w:rFonts w:ascii="Arial" w:eastAsia="MS Mincho" w:hAnsi="Arial" w:cs="Arial"/>
          <w:sz w:val="18"/>
          <w:szCs w:val="18"/>
          <w:lang w:val="en-IE"/>
        </w:rPr>
      </w:pPr>
      <w:r w:rsidRPr="00BF51FB">
        <w:rPr>
          <w:rFonts w:ascii="Arial" w:eastAsia="MS Mincho" w:hAnsi="Arial" w:cs="Arial"/>
          <w:strike/>
          <w:sz w:val="18"/>
          <w:szCs w:val="18"/>
          <w:highlight w:val="yellow"/>
          <w:lang w:val="en-IE"/>
        </w:rPr>
        <w:t>ii</w:t>
      </w:r>
      <w:r>
        <w:rPr>
          <w:rFonts w:ascii="Arial" w:eastAsia="MS Mincho" w:hAnsi="Arial" w:cs="Arial"/>
          <w:strike/>
          <w:sz w:val="18"/>
          <w:szCs w:val="18"/>
          <w:lang w:val="en-IE"/>
        </w:rPr>
        <w:t xml:space="preserve"> </w:t>
      </w:r>
      <w:r w:rsidRPr="00BF51FB">
        <w:rPr>
          <w:rFonts w:ascii="Arial" w:eastAsia="MS Mincho" w:hAnsi="Arial" w:cs="Arial"/>
          <w:strike/>
          <w:sz w:val="18"/>
          <w:szCs w:val="18"/>
          <w:highlight w:val="yellow"/>
          <w:u w:val="double"/>
          <w:lang w:val="en-IE"/>
        </w:rPr>
        <w:t>i</w:t>
      </w:r>
      <w:r w:rsidRPr="00BF51FB">
        <w:rPr>
          <w:rFonts w:ascii="Arial" w:eastAsia="MS Mincho" w:hAnsi="Arial" w:cs="Arial"/>
          <w:sz w:val="18"/>
          <w:szCs w:val="18"/>
          <w:highlight w:val="yellow"/>
          <w:u w:val="double"/>
          <w:lang w:val="en-IE"/>
        </w:rPr>
        <w:t>)</w:t>
      </w:r>
      <w:r w:rsidRPr="00D403F5">
        <w:rPr>
          <w:rFonts w:ascii="Arial" w:eastAsia="MS Mincho" w:hAnsi="Arial" w:cs="Arial"/>
          <w:sz w:val="18"/>
          <w:szCs w:val="18"/>
          <w:lang w:val="en-IE"/>
        </w:rPr>
        <w:tab/>
        <w:t>VHSV isolation in cell culture, followed by virus identification by real-time RT-PCR, Ag-ELISA, or IFAT</w:t>
      </w:r>
      <w:r>
        <w:rPr>
          <w:rFonts w:ascii="Arial" w:eastAsia="MS Mincho" w:hAnsi="Arial" w:cs="Arial"/>
          <w:sz w:val="18"/>
          <w:szCs w:val="18"/>
          <w:lang w:val="en-IE"/>
        </w:rPr>
        <w:t xml:space="preserve"> </w:t>
      </w:r>
      <w:r w:rsidRPr="00D84749">
        <w:rPr>
          <w:rFonts w:ascii="Arial" w:hAnsi="Arial" w:cs="Arial"/>
          <w:sz w:val="18"/>
          <w:szCs w:val="18"/>
          <w:lang w:val="en-IE"/>
        </w:rPr>
        <w:t>and detection of VHSV in tissue preparations by conventional RT-PCR and sequencing of the amplicon</w:t>
      </w:r>
      <w:r w:rsidRPr="00D403F5">
        <w:rPr>
          <w:rFonts w:ascii="Arial" w:eastAsia="MS Mincho" w:hAnsi="Arial" w:cs="Arial"/>
          <w:sz w:val="18"/>
          <w:szCs w:val="18"/>
          <w:lang w:val="en-IE"/>
        </w:rPr>
        <w:t>;</w:t>
      </w:r>
    </w:p>
    <w:p w14:paraId="1B60CC2B" w14:textId="77777777" w:rsidR="00E65E42" w:rsidRDefault="00E65E42" w:rsidP="000A4E1E">
      <w:pPr>
        <w:spacing w:after="120" w:line="240" w:lineRule="auto"/>
        <w:ind w:left="1134" w:hanging="425"/>
        <w:jc w:val="both"/>
        <w:rPr>
          <w:rFonts w:ascii="Arial" w:eastAsia="MS Mincho" w:hAnsi="Arial" w:cs="Arial"/>
          <w:sz w:val="18"/>
          <w:szCs w:val="18"/>
          <w:lang w:val="en-IE"/>
        </w:rPr>
      </w:pPr>
      <w:r w:rsidRPr="00BF51FB">
        <w:rPr>
          <w:rFonts w:ascii="Arial" w:eastAsia="MS Mincho" w:hAnsi="Arial" w:cs="Arial"/>
          <w:strike/>
          <w:sz w:val="18"/>
          <w:szCs w:val="18"/>
          <w:highlight w:val="yellow"/>
          <w:lang w:val="en-IE"/>
        </w:rPr>
        <w:t>iii</w:t>
      </w:r>
      <w:r>
        <w:rPr>
          <w:rFonts w:ascii="Arial" w:eastAsia="MS Mincho" w:hAnsi="Arial" w:cs="Arial"/>
          <w:strike/>
          <w:sz w:val="18"/>
          <w:szCs w:val="18"/>
          <w:lang w:val="en-IE"/>
        </w:rPr>
        <w:t xml:space="preserve"> </w:t>
      </w:r>
      <w:r w:rsidRPr="00BF51FB">
        <w:rPr>
          <w:rFonts w:ascii="Arial" w:eastAsia="MS Mincho" w:hAnsi="Arial" w:cs="Arial"/>
          <w:sz w:val="18"/>
          <w:szCs w:val="18"/>
          <w:highlight w:val="yellow"/>
          <w:u w:val="double"/>
          <w:lang w:val="en-IE"/>
        </w:rPr>
        <w:t>ii)</w:t>
      </w:r>
      <w:r w:rsidRPr="00D403F5">
        <w:rPr>
          <w:rFonts w:ascii="Arial" w:eastAsia="MS Mincho" w:hAnsi="Arial" w:cs="Arial"/>
          <w:sz w:val="18"/>
          <w:szCs w:val="18"/>
          <w:lang w:val="en-IE"/>
        </w:rPr>
        <w:tab/>
        <w:t xml:space="preserve">VHSV isolation in cell culture, followed by virus identification by real-time RT-PCR, Ag-ELISA, or IFAT </w:t>
      </w:r>
      <w:bookmarkStart w:id="155" w:name="_Hlk23492996"/>
      <w:r w:rsidRPr="00D403F5">
        <w:rPr>
          <w:rFonts w:ascii="Arial" w:eastAsia="MS Mincho" w:hAnsi="Arial" w:cs="Arial"/>
          <w:sz w:val="18"/>
          <w:szCs w:val="18"/>
          <w:lang w:val="en-IE"/>
        </w:rPr>
        <w:t>and detection of VHSV in tissue preparations by real-time RT-PCR</w:t>
      </w:r>
      <w:bookmarkEnd w:id="155"/>
      <w:r w:rsidRPr="00D403F5">
        <w:rPr>
          <w:rFonts w:ascii="Arial" w:eastAsia="MS Mincho" w:hAnsi="Arial" w:cs="Arial"/>
          <w:sz w:val="18"/>
          <w:szCs w:val="18"/>
          <w:lang w:val="en-IE"/>
        </w:rPr>
        <w:t>;</w:t>
      </w:r>
    </w:p>
    <w:p w14:paraId="6B855566" w14:textId="77777777" w:rsidR="00E65E42" w:rsidRPr="00BF51FB" w:rsidRDefault="00E65E42" w:rsidP="000A4E1E">
      <w:pPr>
        <w:spacing w:after="240" w:line="240" w:lineRule="auto"/>
        <w:ind w:left="1134" w:hanging="425"/>
        <w:jc w:val="both"/>
        <w:rPr>
          <w:rFonts w:ascii="Arial" w:eastAsia="MS Mincho" w:hAnsi="Arial" w:cs="Arial"/>
          <w:sz w:val="18"/>
          <w:szCs w:val="18"/>
          <w:u w:val="double"/>
          <w:lang w:val="en-IE"/>
        </w:rPr>
      </w:pPr>
      <w:r w:rsidRPr="00D84749">
        <w:rPr>
          <w:rFonts w:ascii="Arial" w:eastAsia="MS Mincho" w:hAnsi="Arial" w:cs="Arial"/>
          <w:strike/>
          <w:sz w:val="18"/>
          <w:szCs w:val="18"/>
          <w:highlight w:val="yellow"/>
          <w:lang w:val="en-IE"/>
        </w:rPr>
        <w:t xml:space="preserve">iv </w:t>
      </w:r>
      <w:r w:rsidRPr="00BF51FB">
        <w:rPr>
          <w:rFonts w:ascii="Arial" w:eastAsia="MS Mincho" w:hAnsi="Arial" w:cs="Arial"/>
          <w:sz w:val="18"/>
          <w:szCs w:val="18"/>
          <w:highlight w:val="yellow"/>
          <w:u w:val="double"/>
          <w:lang w:val="en-IE"/>
        </w:rPr>
        <w:t>iii)</w:t>
      </w:r>
      <w:r w:rsidRPr="00D84749">
        <w:rPr>
          <w:rFonts w:ascii="Arial" w:eastAsia="MS Mincho" w:hAnsi="Arial" w:cs="Arial"/>
          <w:sz w:val="18"/>
          <w:szCs w:val="18"/>
          <w:highlight w:val="yellow"/>
          <w:lang w:val="en-IE"/>
        </w:rPr>
        <w:tab/>
      </w:r>
      <w:r w:rsidRPr="00D84749">
        <w:rPr>
          <w:rFonts w:ascii="Arial" w:eastAsia="MS Mincho" w:hAnsi="Arial" w:cs="Arial"/>
          <w:sz w:val="18"/>
          <w:szCs w:val="18"/>
          <w:lang w:val="en-IE"/>
        </w:rPr>
        <w:t>Detection of VHSV in tissue preparations by real-time RT-PCR, and by a conventional RT-PCR</w:t>
      </w:r>
      <w:r w:rsidRPr="00D84749">
        <w:rPr>
          <w:rFonts w:ascii="Arial" w:eastAsia="MS Mincho" w:hAnsi="Arial" w:cs="Arial"/>
          <w:sz w:val="18"/>
          <w:szCs w:val="18"/>
          <w:u w:val="double"/>
          <w:lang w:val="en-IE"/>
        </w:rPr>
        <w:t xml:space="preserve"> </w:t>
      </w:r>
      <w:r w:rsidRPr="00BF51FB">
        <w:rPr>
          <w:rFonts w:ascii="Arial" w:eastAsia="MS Mincho" w:hAnsi="Arial" w:cs="Arial"/>
          <w:sz w:val="18"/>
          <w:szCs w:val="18"/>
          <w:highlight w:val="yellow"/>
          <w:u w:val="double"/>
          <w:lang w:val="en-IE"/>
        </w:rPr>
        <w:t>(targeting a non-overlapping region of the genome)</w:t>
      </w:r>
      <w:r w:rsidRPr="00D84749">
        <w:rPr>
          <w:rFonts w:ascii="Arial" w:eastAsia="MS Mincho" w:hAnsi="Arial" w:cs="Arial"/>
          <w:sz w:val="18"/>
          <w:szCs w:val="18"/>
          <w:lang w:val="en-IE"/>
        </w:rPr>
        <w:t xml:space="preserve"> and sequencing of the amplicon</w:t>
      </w:r>
    </w:p>
    <w:p w14:paraId="752A2AB4" w14:textId="77777777" w:rsidR="00E65E42" w:rsidRPr="00D403F5" w:rsidRDefault="00E65E42" w:rsidP="000A4E1E">
      <w:pPr>
        <w:spacing w:line="240" w:lineRule="auto"/>
        <w:ind w:left="709"/>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Reference Laboratories should be contacted for specimen referral when testing laboratories cannot undertake any of the recommended test methods and testing is being undertaken that will result in notification to the OIE.</w:t>
      </w:r>
    </w:p>
    <w:p w14:paraId="6DB536F2" w14:textId="77777777" w:rsidR="00E65E42" w:rsidRPr="00BC2337" w:rsidRDefault="00E65E42" w:rsidP="000A4E1E">
      <w:pPr>
        <w:spacing w:line="240" w:lineRule="auto"/>
        <w:ind w:left="709" w:hanging="425"/>
        <w:jc w:val="both"/>
        <w:rPr>
          <w:rFonts w:ascii="Ottawa" w:eastAsia="MS Mincho" w:hAnsi="Ottawa" w:cs="Times New Roman"/>
          <w:b/>
          <w:sz w:val="21"/>
          <w:szCs w:val="21"/>
          <w:lang w:val="da-DK" w:eastAsia="da-DK"/>
        </w:rPr>
      </w:pPr>
      <w:r w:rsidRPr="00BC2337">
        <w:rPr>
          <w:rFonts w:ascii="Ottawa" w:eastAsia="MS Mincho" w:hAnsi="Ottawa" w:cs="Times New Roman"/>
          <w:b/>
          <w:sz w:val="21"/>
          <w:szCs w:val="21"/>
          <w:lang w:val="da-DK" w:eastAsia="da-DK"/>
        </w:rPr>
        <w:t>6.2</w:t>
      </w:r>
      <w:r w:rsidRPr="00BC2337">
        <w:rPr>
          <w:rFonts w:ascii="Ottawa" w:eastAsia="MS Mincho" w:hAnsi="Ottawa" w:cs="Times New Roman"/>
          <w:b/>
          <w:sz w:val="21"/>
          <w:szCs w:val="21"/>
          <w:lang w:val="da-DK" w:eastAsia="da-DK"/>
        </w:rPr>
        <w:tab/>
        <w:t>Clinically affected animals</w:t>
      </w:r>
    </w:p>
    <w:p w14:paraId="5C09CFFB" w14:textId="77777777" w:rsidR="00E65E42" w:rsidRPr="00D403F5" w:rsidRDefault="00E65E42" w:rsidP="000A4E1E">
      <w:pPr>
        <w:spacing w:line="240" w:lineRule="auto"/>
        <w:ind w:left="709"/>
        <w:jc w:val="both"/>
        <w:rPr>
          <w:rFonts w:ascii="Arial" w:eastAsia="Times New Roman" w:hAnsi="Arial" w:cs="Times New Roman"/>
          <w:sz w:val="18"/>
          <w:szCs w:val="18"/>
          <w:lang w:val="en-IE"/>
        </w:rPr>
      </w:pPr>
      <w:r w:rsidRPr="00D403F5">
        <w:rPr>
          <w:rFonts w:ascii="Arial" w:eastAsia="Times New Roman" w:hAnsi="Arial" w:cs="Times New Roman"/>
          <w:sz w:val="18"/>
          <w:szCs w:val="18"/>
          <w:lang w:val="en-IE"/>
        </w:rPr>
        <w:t>No clinical signs are pathognomonic for infection with VHSV however, they may narrow the range of possible diagnoses.</w:t>
      </w:r>
    </w:p>
    <w:p w14:paraId="7F7CC9F0"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eastAsia="fr-FR"/>
        </w:rPr>
      </w:pPr>
      <w:r w:rsidRPr="00BC2337">
        <w:rPr>
          <w:rFonts w:ascii="Ottawa" w:eastAsia="Times New Roman" w:hAnsi="Ottawa" w:cs="Times New Roman"/>
          <w:b/>
          <w:bCs/>
          <w:szCs w:val="20"/>
          <w:lang w:eastAsia="fr-FR"/>
        </w:rPr>
        <w:t>6.2.1. Definition of suspect case in clinically affected animals</w:t>
      </w:r>
    </w:p>
    <w:p w14:paraId="715C02C2" w14:textId="77777777" w:rsidR="00E65E42" w:rsidRPr="00D403F5" w:rsidRDefault="00E65E42" w:rsidP="000A4E1E">
      <w:pPr>
        <w:spacing w:after="240" w:line="240" w:lineRule="auto"/>
        <w:ind w:left="709"/>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 xml:space="preserve">The presence of infection </w:t>
      </w:r>
      <w:r w:rsidRPr="00BF51FB">
        <w:rPr>
          <w:rFonts w:ascii="Arial" w:eastAsia="Times New Roman" w:hAnsi="Arial" w:cs="Times New Roman"/>
          <w:bCs/>
          <w:sz w:val="18"/>
          <w:szCs w:val="18"/>
          <w:highlight w:val="yellow"/>
          <w:u w:val="double"/>
          <w:lang w:val="en-IE"/>
        </w:rPr>
        <w:t>with VHSV</w:t>
      </w:r>
      <w:r>
        <w:rPr>
          <w:rFonts w:ascii="Arial" w:eastAsia="Times New Roman" w:hAnsi="Arial" w:cs="Times New Roman"/>
          <w:bCs/>
          <w:sz w:val="18"/>
          <w:szCs w:val="18"/>
          <w:lang w:val="en-IE"/>
        </w:rPr>
        <w:t xml:space="preserve"> </w:t>
      </w:r>
      <w:r w:rsidRPr="00D403F5">
        <w:rPr>
          <w:rFonts w:ascii="Arial" w:eastAsia="Times New Roman" w:hAnsi="Arial" w:cs="Times New Roman"/>
          <w:bCs/>
          <w:sz w:val="18"/>
          <w:szCs w:val="18"/>
          <w:lang w:val="en-IE"/>
        </w:rPr>
        <w:t xml:space="preserve">shall be suspected if at least one of the following criteria </w:t>
      </w:r>
      <w:r>
        <w:rPr>
          <w:rFonts w:ascii="Arial" w:eastAsia="Times New Roman" w:hAnsi="Arial" w:cs="Times New Roman"/>
          <w:bCs/>
          <w:sz w:val="18"/>
          <w:szCs w:val="18"/>
          <w:lang w:val="en-IE"/>
        </w:rPr>
        <w:t>is</w:t>
      </w:r>
      <w:r w:rsidRPr="00D403F5">
        <w:rPr>
          <w:rFonts w:ascii="Arial" w:eastAsia="Times New Roman" w:hAnsi="Arial" w:cs="Times New Roman"/>
          <w:bCs/>
          <w:sz w:val="18"/>
          <w:szCs w:val="18"/>
          <w:lang w:val="en-IE"/>
        </w:rPr>
        <w:t xml:space="preserve"> met:</w:t>
      </w:r>
    </w:p>
    <w:p w14:paraId="71E2AF01" w14:textId="77777777" w:rsidR="00E65E42" w:rsidRPr="00D403F5" w:rsidRDefault="00E65E42" w:rsidP="000A4E1E">
      <w:pPr>
        <w:spacing w:after="120" w:line="240" w:lineRule="auto"/>
        <w:ind w:left="1134"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r>
      <w:r w:rsidRPr="00D403F5">
        <w:rPr>
          <w:rFonts w:ascii="Arial" w:eastAsia="MS Mincho" w:hAnsi="Arial" w:cs="Arial"/>
          <w:sz w:val="18"/>
          <w:szCs w:val="18"/>
          <w:lang w:val="en-IE" w:bidi="en-US"/>
        </w:rPr>
        <w:t xml:space="preserve">Gross pathology or clinical signs associated with </w:t>
      </w:r>
      <w:r w:rsidRPr="00D403F5">
        <w:rPr>
          <w:rFonts w:ascii="Arial" w:eastAsia="MS Mincho" w:hAnsi="Arial" w:cs="Arial"/>
          <w:sz w:val="18"/>
          <w:szCs w:val="18"/>
          <w:lang w:val="en-IE"/>
        </w:rPr>
        <w:t xml:space="preserve">infection with </w:t>
      </w:r>
      <w:r w:rsidRPr="00D403F5">
        <w:rPr>
          <w:rFonts w:ascii="Arial" w:eastAsia="MS Mincho" w:hAnsi="Arial" w:cs="Arial"/>
          <w:sz w:val="18"/>
          <w:szCs w:val="18"/>
          <w:lang w:val="en-IE" w:bidi="en-US"/>
        </w:rPr>
        <w:t>VHSV as described in this chapter, with or without elevated mortality;</w:t>
      </w:r>
    </w:p>
    <w:p w14:paraId="2060B42C" w14:textId="77777777" w:rsidR="00E65E42" w:rsidRPr="00D403F5" w:rsidRDefault="00E65E42" w:rsidP="000A4E1E">
      <w:pPr>
        <w:spacing w:after="120" w:line="240" w:lineRule="auto"/>
        <w:ind w:left="1134"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 xml:space="preserve">Histopathological changes consistent with infection with </w:t>
      </w:r>
      <w:r w:rsidRPr="00D403F5">
        <w:rPr>
          <w:rFonts w:ascii="Arial" w:eastAsia="MS Mincho" w:hAnsi="Arial" w:cs="Arial"/>
          <w:sz w:val="18"/>
          <w:szCs w:val="18"/>
          <w:lang w:val="en-IE" w:bidi="en-US"/>
        </w:rPr>
        <w:t>VHSV as described in this chapter;</w:t>
      </w:r>
    </w:p>
    <w:p w14:paraId="38ECCABC" w14:textId="77777777" w:rsidR="00E65E42" w:rsidRPr="00D403F5" w:rsidRDefault="00E65E42" w:rsidP="000A4E1E">
      <w:pPr>
        <w:spacing w:after="120" w:line="240" w:lineRule="auto"/>
        <w:ind w:left="1134" w:hanging="425"/>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A positive result from real-time PCR</w:t>
      </w:r>
      <w:r w:rsidRPr="00BF51FB">
        <w:rPr>
          <w:rFonts w:ascii="Arial" w:eastAsia="MS Mincho" w:hAnsi="Arial" w:cs="Arial"/>
          <w:strike/>
          <w:sz w:val="18"/>
          <w:szCs w:val="18"/>
          <w:highlight w:val="yellow"/>
          <w:lang w:val="en-IE"/>
        </w:rPr>
        <w:t>, conventional PCR, or IFAT;</w:t>
      </w:r>
    </w:p>
    <w:p w14:paraId="6F2A6476" w14:textId="77777777" w:rsidR="00E65E42" w:rsidRDefault="00E65E42" w:rsidP="000A4E1E">
      <w:pPr>
        <w:spacing w:after="120" w:line="240" w:lineRule="auto"/>
        <w:ind w:left="1134"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A positive result from a conventional PCR;</w:t>
      </w:r>
    </w:p>
    <w:p w14:paraId="485CFEB9" w14:textId="77777777" w:rsidR="00E65E42" w:rsidRPr="00BF51FB" w:rsidRDefault="00E65E42" w:rsidP="000A4E1E">
      <w:pPr>
        <w:spacing w:after="120" w:line="240" w:lineRule="auto"/>
        <w:ind w:left="1134" w:hanging="425"/>
        <w:jc w:val="both"/>
        <w:rPr>
          <w:rFonts w:ascii="Arial" w:eastAsia="MS Mincho" w:hAnsi="Arial" w:cs="Arial"/>
          <w:sz w:val="18"/>
          <w:szCs w:val="18"/>
          <w:u w:val="double"/>
          <w:lang w:val="en-IE"/>
        </w:rPr>
      </w:pPr>
      <w:r w:rsidRPr="00BF51FB">
        <w:rPr>
          <w:rFonts w:ascii="Arial" w:eastAsia="MS Mincho" w:hAnsi="Arial" w:cs="Arial"/>
          <w:sz w:val="18"/>
          <w:szCs w:val="18"/>
          <w:highlight w:val="yellow"/>
          <w:u w:val="double"/>
          <w:lang w:val="en-IE"/>
        </w:rPr>
        <w:t>v)</w:t>
      </w:r>
      <w:r w:rsidRPr="00DD4A56">
        <w:rPr>
          <w:rFonts w:ascii="Arial" w:eastAsia="MS Mincho" w:hAnsi="Arial" w:cs="Arial"/>
          <w:sz w:val="18"/>
          <w:szCs w:val="18"/>
          <w:lang w:val="en-IE"/>
        </w:rPr>
        <w:tab/>
      </w:r>
      <w:r w:rsidRPr="00BF51FB">
        <w:rPr>
          <w:rFonts w:ascii="Arial" w:eastAsia="MS Mincho" w:hAnsi="Arial" w:cs="Arial"/>
          <w:sz w:val="18"/>
          <w:szCs w:val="18"/>
          <w:highlight w:val="yellow"/>
          <w:u w:val="double"/>
          <w:lang w:val="en-IE"/>
        </w:rPr>
        <w:t>A positive result by IFAT</w:t>
      </w:r>
    </w:p>
    <w:p w14:paraId="32A4E2CA" w14:textId="77777777" w:rsidR="00E65E42" w:rsidRPr="00D403F5" w:rsidRDefault="00E65E42" w:rsidP="000A4E1E">
      <w:pPr>
        <w:spacing w:after="240" w:line="240" w:lineRule="auto"/>
        <w:ind w:left="1134" w:hanging="425"/>
        <w:jc w:val="both"/>
        <w:rPr>
          <w:rFonts w:ascii="Arial" w:eastAsia="MS Mincho" w:hAnsi="Arial" w:cs="Arial"/>
          <w:sz w:val="18"/>
          <w:szCs w:val="18"/>
          <w:lang w:val="en-IE"/>
        </w:rPr>
      </w:pPr>
      <w:r w:rsidRPr="000819B5">
        <w:rPr>
          <w:rFonts w:ascii="Arial" w:eastAsia="MS Mincho" w:hAnsi="Arial" w:cs="Arial"/>
          <w:sz w:val="18"/>
          <w:szCs w:val="18"/>
          <w:lang w:val="en-IE"/>
        </w:rPr>
        <w:t>v</w:t>
      </w:r>
      <w:r w:rsidRPr="00BF51FB">
        <w:rPr>
          <w:rFonts w:ascii="Arial" w:eastAsia="MS Mincho" w:hAnsi="Arial" w:cs="Arial"/>
          <w:sz w:val="18"/>
          <w:szCs w:val="18"/>
          <w:highlight w:val="yellow"/>
          <w:u w:val="double"/>
          <w:lang w:val="en-IE"/>
        </w:rPr>
        <w:t>i</w:t>
      </w:r>
      <w:r w:rsidRPr="000819B5">
        <w:rPr>
          <w:rFonts w:ascii="Arial" w:eastAsia="MS Mincho" w:hAnsi="Arial" w:cs="Arial"/>
          <w:sz w:val="18"/>
          <w:szCs w:val="18"/>
          <w:lang w:val="en-IE"/>
        </w:rPr>
        <w:t>)</w:t>
      </w:r>
      <w:r w:rsidRPr="000819B5">
        <w:rPr>
          <w:rFonts w:ascii="Arial" w:eastAsia="MS Mincho" w:hAnsi="Arial" w:cs="Arial"/>
          <w:sz w:val="18"/>
          <w:szCs w:val="18"/>
          <w:lang w:val="en-IE"/>
        </w:rPr>
        <w:tab/>
      </w:r>
      <w:r w:rsidRPr="00BF51FB">
        <w:rPr>
          <w:rFonts w:ascii="Arial" w:eastAsia="MS Mincho" w:hAnsi="Arial" w:cs="Arial"/>
          <w:sz w:val="18"/>
          <w:szCs w:val="18"/>
          <w:highlight w:val="yellow"/>
          <w:u w:val="double"/>
          <w:lang w:val="en-IE"/>
        </w:rPr>
        <w:t>VHSV-</w:t>
      </w:r>
      <w:r w:rsidRPr="001246B8">
        <w:rPr>
          <w:rFonts w:ascii="Arial" w:eastAsia="MS Mincho" w:hAnsi="Arial" w:cs="Arial"/>
          <w:sz w:val="18"/>
          <w:szCs w:val="18"/>
          <w:highlight w:val="yellow"/>
          <w:u w:val="double"/>
          <w:lang w:val="en-IE"/>
        </w:rPr>
        <w:t xml:space="preserve">typical </w:t>
      </w:r>
      <w:r w:rsidRPr="00BF51FB">
        <w:rPr>
          <w:rFonts w:ascii="Arial" w:eastAsia="MS Mincho" w:hAnsi="Arial" w:cs="Arial"/>
          <w:sz w:val="18"/>
          <w:szCs w:val="18"/>
          <w:highlight w:val="yellow"/>
          <w:u w:val="double"/>
          <w:lang w:val="en-IE"/>
        </w:rPr>
        <w:t>CPE</w:t>
      </w:r>
      <w:r w:rsidRPr="001246B8">
        <w:rPr>
          <w:rFonts w:ascii="Arial" w:eastAsia="MS Mincho" w:hAnsi="Arial" w:cs="Arial"/>
          <w:strike/>
          <w:sz w:val="18"/>
          <w:szCs w:val="18"/>
          <w:highlight w:val="yellow"/>
          <w:lang w:val="en-IE"/>
        </w:rPr>
        <w:t xml:space="preserve"> Cytopathic </w:t>
      </w:r>
      <w:r w:rsidRPr="00BF51FB">
        <w:rPr>
          <w:rFonts w:ascii="Arial" w:eastAsia="MS Mincho" w:hAnsi="Arial" w:cs="Arial"/>
          <w:strike/>
          <w:sz w:val="18"/>
          <w:szCs w:val="18"/>
          <w:highlight w:val="yellow"/>
          <w:lang w:val="en-IE"/>
        </w:rPr>
        <w:t>effect</w:t>
      </w:r>
      <w:r w:rsidRPr="001246B8">
        <w:rPr>
          <w:rFonts w:ascii="Arial" w:eastAsia="MS Mincho" w:hAnsi="Arial" w:cs="Arial"/>
          <w:sz w:val="18"/>
          <w:szCs w:val="18"/>
          <w:highlight w:val="yellow"/>
          <w:lang w:val="en-IE"/>
        </w:rPr>
        <w:t xml:space="preserve"> </w:t>
      </w:r>
      <w:r w:rsidRPr="00D403F5">
        <w:rPr>
          <w:rFonts w:ascii="Arial" w:eastAsia="MS Mincho" w:hAnsi="Arial" w:cs="Arial"/>
          <w:sz w:val="18"/>
          <w:szCs w:val="18"/>
          <w:lang w:val="en-IE"/>
        </w:rPr>
        <w:t>in cell culture.</w:t>
      </w:r>
    </w:p>
    <w:p w14:paraId="7A9D2237" w14:textId="77777777" w:rsidR="00E65E42" w:rsidRPr="00BC2337" w:rsidRDefault="00E65E42" w:rsidP="000A4E1E">
      <w:pPr>
        <w:spacing w:after="120" w:line="240" w:lineRule="auto"/>
        <w:ind w:left="1276" w:hanging="567"/>
        <w:jc w:val="both"/>
        <w:rPr>
          <w:rFonts w:ascii="Ottawa" w:eastAsia="Times New Roman" w:hAnsi="Ottawa" w:cs="Times New Roman"/>
          <w:b/>
          <w:bCs/>
          <w:szCs w:val="20"/>
          <w:lang w:eastAsia="fr-FR"/>
        </w:rPr>
      </w:pPr>
      <w:r w:rsidRPr="00BC2337">
        <w:rPr>
          <w:rFonts w:ascii="Ottawa" w:eastAsia="Times New Roman" w:hAnsi="Ottawa" w:cs="Times New Roman"/>
          <w:b/>
          <w:bCs/>
          <w:szCs w:val="20"/>
          <w:lang w:eastAsia="fr-FR"/>
        </w:rPr>
        <w:t>6.2.2.</w:t>
      </w:r>
      <w:r w:rsidRPr="00BC2337">
        <w:rPr>
          <w:rFonts w:ascii="Ottawa" w:eastAsia="Times New Roman" w:hAnsi="Ottawa" w:cs="Times New Roman"/>
          <w:b/>
          <w:bCs/>
          <w:szCs w:val="20"/>
          <w:lang w:eastAsia="fr-FR"/>
        </w:rPr>
        <w:tab/>
        <w:t>Definition of confirmed case in clinically affected animals</w:t>
      </w:r>
    </w:p>
    <w:p w14:paraId="79369914" w14:textId="77777777" w:rsidR="00E65E42" w:rsidRPr="00D403F5" w:rsidRDefault="00E65E42" w:rsidP="000A4E1E">
      <w:pPr>
        <w:spacing w:after="120" w:line="240" w:lineRule="auto"/>
        <w:ind w:left="709"/>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The presence of infection with VHSV shall be confirmed if</w:t>
      </w:r>
      <w:r w:rsidRPr="00BF51FB">
        <w:rPr>
          <w:rFonts w:ascii="Arial" w:eastAsia="Times New Roman" w:hAnsi="Arial" w:cs="Times New Roman"/>
          <w:bCs/>
          <w:sz w:val="18"/>
          <w:szCs w:val="18"/>
          <w:highlight w:val="yellow"/>
          <w:u w:val="double"/>
          <w:lang w:val="en-IE"/>
        </w:rPr>
        <w:t>, in addition to the criteria in Section 6.2.1.,</w:t>
      </w:r>
      <w:r>
        <w:rPr>
          <w:rFonts w:ascii="Arial" w:eastAsia="Times New Roman" w:hAnsi="Arial" w:cs="Times New Roman"/>
          <w:bCs/>
          <w:sz w:val="18"/>
          <w:szCs w:val="18"/>
          <w:lang w:val="en-IE"/>
        </w:rPr>
        <w:t xml:space="preserve"> </w:t>
      </w:r>
      <w:r w:rsidRPr="00BF51FB">
        <w:rPr>
          <w:rFonts w:ascii="Arial" w:eastAsia="Times New Roman" w:hAnsi="Arial" w:cs="Times New Roman"/>
          <w:bCs/>
          <w:strike/>
          <w:sz w:val="18"/>
          <w:szCs w:val="18"/>
          <w:highlight w:val="yellow"/>
          <w:lang w:val="en-IE"/>
        </w:rPr>
        <w:t>positive results has been obtained on at least one animal from two tests used in the following combination</w:t>
      </w:r>
      <w:r>
        <w:rPr>
          <w:rFonts w:ascii="Arial" w:eastAsia="Times New Roman" w:hAnsi="Arial" w:cs="Times New Roman"/>
          <w:bCs/>
          <w:strike/>
          <w:sz w:val="18"/>
          <w:szCs w:val="18"/>
          <w:highlight w:val="yellow"/>
          <w:lang w:val="en-IE"/>
        </w:rPr>
        <w:t xml:space="preserve"> </w:t>
      </w:r>
      <w:r w:rsidRPr="00BF51FB">
        <w:rPr>
          <w:rFonts w:ascii="Arial" w:eastAsia="Times New Roman" w:hAnsi="Arial" w:cs="Times New Roman"/>
          <w:bCs/>
          <w:sz w:val="18"/>
          <w:szCs w:val="18"/>
          <w:highlight w:val="yellow"/>
          <w:u w:val="double"/>
          <w:lang w:val="en-IE"/>
        </w:rPr>
        <w:t xml:space="preserve">one or more of the following criteria </w:t>
      </w:r>
      <w:r>
        <w:rPr>
          <w:rFonts w:ascii="Arial" w:eastAsia="Times New Roman" w:hAnsi="Arial" w:cs="Times New Roman"/>
          <w:bCs/>
          <w:sz w:val="18"/>
          <w:szCs w:val="18"/>
          <w:highlight w:val="yellow"/>
          <w:u w:val="double"/>
          <w:lang w:val="en-IE"/>
        </w:rPr>
        <w:t>is</w:t>
      </w:r>
      <w:r w:rsidRPr="00BF51FB">
        <w:rPr>
          <w:rFonts w:ascii="Arial" w:eastAsia="Times New Roman" w:hAnsi="Arial" w:cs="Times New Roman"/>
          <w:bCs/>
          <w:sz w:val="18"/>
          <w:szCs w:val="18"/>
          <w:highlight w:val="yellow"/>
          <w:u w:val="double"/>
          <w:lang w:val="en-IE"/>
        </w:rPr>
        <w:t xml:space="preserve"> met:</w:t>
      </w:r>
    </w:p>
    <w:p w14:paraId="3E9B9345" w14:textId="77777777" w:rsidR="00E65E42" w:rsidRPr="00BF51FB" w:rsidRDefault="00E65E42" w:rsidP="000A4E1E">
      <w:pPr>
        <w:spacing w:line="240" w:lineRule="auto"/>
        <w:ind w:left="1134" w:hanging="425"/>
        <w:jc w:val="both"/>
        <w:rPr>
          <w:rFonts w:ascii="Arial" w:eastAsia="MS Mincho" w:hAnsi="Arial" w:cs="Arial"/>
          <w:sz w:val="18"/>
          <w:szCs w:val="18"/>
          <w:highlight w:val="yellow"/>
          <w:u w:val="double"/>
          <w:lang w:val="en-IE"/>
        </w:rPr>
      </w:pPr>
      <w:r w:rsidRPr="00BF51FB">
        <w:rPr>
          <w:rFonts w:ascii="Arial" w:eastAsia="MS Mincho" w:hAnsi="Arial" w:cs="Arial"/>
          <w:sz w:val="18"/>
          <w:szCs w:val="18"/>
          <w:highlight w:val="yellow"/>
          <w:u w:val="double"/>
          <w:lang w:val="en-IE"/>
        </w:rPr>
        <w:t>i)</w:t>
      </w:r>
      <w:r w:rsidRPr="00DD4A56">
        <w:rPr>
          <w:rFonts w:ascii="Arial" w:eastAsia="MS Mincho" w:hAnsi="Arial" w:cs="Arial"/>
          <w:sz w:val="18"/>
          <w:szCs w:val="18"/>
          <w:lang w:val="en-IE"/>
        </w:rPr>
        <w:tab/>
      </w:r>
      <w:r w:rsidRPr="00BF51FB">
        <w:rPr>
          <w:rFonts w:ascii="Arial" w:eastAsia="MS Mincho" w:hAnsi="Arial" w:cs="Arial"/>
          <w:sz w:val="18"/>
          <w:szCs w:val="18"/>
          <w:highlight w:val="yellow"/>
          <w:u w:val="double"/>
          <w:lang w:val="en-IE"/>
        </w:rPr>
        <w:t xml:space="preserve">VHSV isolation in cell culture, followed by virus identification by real-time RT-PCR, Ag-ELISA, or IFAT </w:t>
      </w:r>
      <w:r w:rsidRPr="00BF51FB">
        <w:rPr>
          <w:rFonts w:ascii="Arial" w:hAnsi="Arial" w:cs="Arial"/>
          <w:sz w:val="18"/>
          <w:szCs w:val="18"/>
          <w:highlight w:val="yellow"/>
          <w:u w:val="double"/>
          <w:lang w:val="en-IE"/>
        </w:rPr>
        <w:t>and</w:t>
      </w:r>
      <w:r>
        <w:rPr>
          <w:rFonts w:ascii="Arial" w:hAnsi="Arial" w:cs="Arial"/>
          <w:sz w:val="18"/>
          <w:szCs w:val="18"/>
          <w:highlight w:val="yellow"/>
          <w:u w:val="double"/>
          <w:lang w:val="en-IE"/>
        </w:rPr>
        <w:t xml:space="preserve"> </w:t>
      </w:r>
      <w:r w:rsidRPr="00BF51FB">
        <w:rPr>
          <w:rFonts w:ascii="Arial" w:hAnsi="Arial" w:cs="Arial"/>
          <w:sz w:val="18"/>
          <w:szCs w:val="18"/>
          <w:highlight w:val="yellow"/>
          <w:u w:val="double"/>
          <w:lang w:val="en-IE"/>
        </w:rPr>
        <w:t>detection of VHSV in tissue preparations by conventional RT-PCR and sequencing of the amplicon</w:t>
      </w:r>
      <w:r w:rsidRPr="00BF51FB">
        <w:rPr>
          <w:rFonts w:ascii="Arial" w:eastAsia="MS Mincho" w:hAnsi="Arial" w:cs="Arial"/>
          <w:sz w:val="18"/>
          <w:szCs w:val="18"/>
          <w:highlight w:val="yellow"/>
          <w:u w:val="double"/>
          <w:lang w:val="en-IE"/>
        </w:rPr>
        <w:t>;</w:t>
      </w:r>
    </w:p>
    <w:p w14:paraId="716D9368" w14:textId="77777777" w:rsidR="00E65E42" w:rsidRPr="00BF51FB" w:rsidRDefault="00E65E42" w:rsidP="000A4E1E">
      <w:pPr>
        <w:spacing w:line="240" w:lineRule="auto"/>
        <w:ind w:left="1134" w:hanging="425"/>
        <w:jc w:val="both"/>
        <w:rPr>
          <w:rFonts w:ascii="Arial" w:eastAsia="MS Mincho" w:hAnsi="Arial" w:cs="Arial"/>
          <w:sz w:val="18"/>
          <w:szCs w:val="18"/>
          <w:highlight w:val="yellow"/>
          <w:u w:val="double"/>
          <w:lang w:val="en-IE"/>
        </w:rPr>
      </w:pPr>
      <w:r w:rsidRPr="00BF51FB">
        <w:rPr>
          <w:rFonts w:ascii="Arial" w:eastAsia="MS Mincho" w:hAnsi="Arial" w:cs="Arial"/>
          <w:sz w:val="18"/>
          <w:szCs w:val="18"/>
          <w:highlight w:val="yellow"/>
          <w:u w:val="double"/>
          <w:lang w:val="en-IE"/>
        </w:rPr>
        <w:t>ii)</w:t>
      </w:r>
      <w:r w:rsidRPr="00DD4A56">
        <w:rPr>
          <w:rFonts w:ascii="Arial" w:eastAsia="MS Mincho" w:hAnsi="Arial" w:cs="Arial"/>
          <w:sz w:val="18"/>
          <w:szCs w:val="18"/>
          <w:lang w:val="en-IE"/>
        </w:rPr>
        <w:tab/>
      </w:r>
      <w:r w:rsidRPr="00BF51FB">
        <w:rPr>
          <w:rFonts w:ascii="Arial" w:eastAsia="MS Mincho" w:hAnsi="Arial" w:cs="Arial"/>
          <w:sz w:val="18"/>
          <w:szCs w:val="18"/>
          <w:highlight w:val="yellow"/>
          <w:u w:val="double"/>
          <w:lang w:val="en-IE"/>
        </w:rPr>
        <w:t>VHSV isolation in cell culture, followed by virus identification by real-time RT-PCR, Ag-ELISA, or IFAT and detection of VHSV in tissue preparations by real-time RT-PCR;</w:t>
      </w:r>
    </w:p>
    <w:p w14:paraId="13BCF8B7" w14:textId="77777777" w:rsidR="00E65E42" w:rsidRPr="001246B8" w:rsidRDefault="00E65E42" w:rsidP="000A4E1E">
      <w:pPr>
        <w:spacing w:line="240" w:lineRule="auto"/>
        <w:ind w:left="1134" w:hanging="425"/>
        <w:jc w:val="both"/>
        <w:rPr>
          <w:rFonts w:ascii="Arial" w:eastAsia="MS Mincho" w:hAnsi="Arial" w:cs="Arial"/>
          <w:sz w:val="18"/>
          <w:szCs w:val="18"/>
          <w:u w:val="double"/>
          <w:lang w:val="en-IE"/>
        </w:rPr>
      </w:pPr>
      <w:r w:rsidRPr="00BF51FB">
        <w:rPr>
          <w:rFonts w:ascii="Arial" w:eastAsia="MS Mincho" w:hAnsi="Arial" w:cs="Arial"/>
          <w:sz w:val="18"/>
          <w:szCs w:val="18"/>
          <w:highlight w:val="yellow"/>
          <w:u w:val="double"/>
          <w:lang w:val="en-IE"/>
        </w:rPr>
        <w:t>iii)</w:t>
      </w:r>
      <w:r w:rsidRPr="00DD4A56">
        <w:rPr>
          <w:rFonts w:ascii="Arial" w:eastAsia="MS Mincho" w:hAnsi="Arial" w:cs="Arial"/>
          <w:sz w:val="18"/>
          <w:szCs w:val="18"/>
          <w:lang w:val="en-IE"/>
        </w:rPr>
        <w:tab/>
      </w:r>
      <w:r w:rsidRPr="00DD4A56">
        <w:rPr>
          <w:rFonts w:ascii="Arial" w:eastAsia="MS Mincho" w:hAnsi="Arial" w:cs="Arial"/>
          <w:sz w:val="18"/>
          <w:szCs w:val="18"/>
          <w:highlight w:val="yellow"/>
          <w:lang w:val="en-IE"/>
        </w:rPr>
        <w:t>Detection of VHSV in tissue preparations by real-time RT-PCR, and by a conventional RT-PCR</w:t>
      </w:r>
      <w:r w:rsidRPr="00DD4A56">
        <w:rPr>
          <w:rFonts w:ascii="Arial" w:eastAsia="MS Mincho" w:hAnsi="Arial" w:cs="Arial"/>
          <w:sz w:val="18"/>
          <w:szCs w:val="18"/>
          <w:highlight w:val="yellow"/>
          <w:u w:val="double"/>
          <w:lang w:val="en-IE"/>
        </w:rPr>
        <w:t xml:space="preserve"> (targeting </w:t>
      </w:r>
      <w:r w:rsidRPr="00BF51FB">
        <w:rPr>
          <w:rFonts w:ascii="Arial" w:eastAsia="MS Mincho" w:hAnsi="Arial" w:cs="Arial"/>
          <w:sz w:val="18"/>
          <w:szCs w:val="18"/>
          <w:highlight w:val="yellow"/>
          <w:u w:val="double"/>
          <w:lang w:val="en-IE"/>
        </w:rPr>
        <w:t>a non-overlapping region of the genome) and sequencing of the amplicon</w:t>
      </w:r>
      <w:r>
        <w:rPr>
          <w:rFonts w:ascii="Arial" w:eastAsia="MS Mincho" w:hAnsi="Arial" w:cs="Arial"/>
          <w:sz w:val="18"/>
          <w:szCs w:val="18"/>
          <w:u w:val="double"/>
          <w:lang w:val="en-IE"/>
        </w:rPr>
        <w:t>.</w:t>
      </w:r>
    </w:p>
    <w:p w14:paraId="539E48BD" w14:textId="77777777" w:rsidR="00E65E42" w:rsidRPr="00BF51FB" w:rsidRDefault="00E65E42" w:rsidP="000A4E1E">
      <w:pPr>
        <w:spacing w:after="120" w:line="240" w:lineRule="auto"/>
        <w:ind w:left="1134" w:hanging="425"/>
        <w:jc w:val="both"/>
        <w:rPr>
          <w:rFonts w:ascii="Arial" w:eastAsia="MS Mincho" w:hAnsi="Arial" w:cs="Arial"/>
          <w:strike/>
          <w:sz w:val="18"/>
          <w:szCs w:val="18"/>
          <w:highlight w:val="yellow"/>
          <w:lang w:val="en-IE"/>
        </w:rPr>
      </w:pPr>
      <w:r>
        <w:rPr>
          <w:rFonts w:ascii="Arial" w:eastAsia="MS Mincho" w:hAnsi="Arial" w:cs="Arial"/>
          <w:strike/>
          <w:sz w:val="18"/>
          <w:szCs w:val="18"/>
          <w:highlight w:val="yellow"/>
          <w:lang w:val="en-IE"/>
        </w:rPr>
        <w:t>i)</w:t>
      </w:r>
      <w:r w:rsidRPr="00DD4A56">
        <w:rPr>
          <w:rFonts w:ascii="Arial" w:eastAsia="MS Mincho" w:hAnsi="Arial" w:cs="Arial"/>
          <w:sz w:val="18"/>
          <w:szCs w:val="18"/>
          <w:lang w:val="en-IE"/>
        </w:rPr>
        <w:tab/>
      </w:r>
      <w:r w:rsidRPr="00BF51FB">
        <w:rPr>
          <w:rFonts w:ascii="Arial" w:eastAsia="MS Mincho" w:hAnsi="Arial" w:cs="Arial"/>
          <w:strike/>
          <w:sz w:val="18"/>
          <w:szCs w:val="18"/>
          <w:highlight w:val="yellow"/>
          <w:lang w:val="en-IE"/>
        </w:rPr>
        <w:t>VHSV isolation in cell culture, followed by virus identification by conventional RT-PCR, and sequencing of the amplicon;</w:t>
      </w:r>
    </w:p>
    <w:p w14:paraId="7A5966B4" w14:textId="77777777" w:rsidR="00E65E42" w:rsidRPr="00BF51FB" w:rsidRDefault="00E65E42" w:rsidP="000A4E1E">
      <w:pPr>
        <w:spacing w:after="120" w:line="240" w:lineRule="auto"/>
        <w:ind w:left="1134" w:hanging="425"/>
        <w:jc w:val="both"/>
        <w:rPr>
          <w:rFonts w:ascii="Arial" w:eastAsia="MS Mincho" w:hAnsi="Arial" w:cs="Arial"/>
          <w:strike/>
          <w:sz w:val="18"/>
          <w:szCs w:val="18"/>
          <w:highlight w:val="yellow"/>
          <w:lang w:val="en-IE"/>
        </w:rPr>
      </w:pPr>
      <w:r w:rsidRPr="00BF51FB">
        <w:rPr>
          <w:rFonts w:ascii="Arial" w:eastAsia="MS Mincho" w:hAnsi="Arial" w:cs="Arial"/>
          <w:strike/>
          <w:sz w:val="18"/>
          <w:szCs w:val="18"/>
          <w:highlight w:val="yellow"/>
          <w:lang w:val="en-IE"/>
        </w:rPr>
        <w:t>ii)</w:t>
      </w:r>
      <w:r w:rsidRPr="00DD4A56">
        <w:rPr>
          <w:rFonts w:ascii="Arial" w:eastAsia="MS Mincho" w:hAnsi="Arial" w:cs="Arial"/>
          <w:sz w:val="18"/>
          <w:szCs w:val="18"/>
          <w:lang w:val="en-IE"/>
        </w:rPr>
        <w:tab/>
      </w:r>
      <w:r w:rsidRPr="00BF51FB">
        <w:rPr>
          <w:rFonts w:ascii="Arial" w:eastAsia="MS Mincho" w:hAnsi="Arial" w:cs="Arial"/>
          <w:strike/>
          <w:sz w:val="18"/>
          <w:szCs w:val="18"/>
          <w:highlight w:val="yellow"/>
          <w:lang w:val="en-IE"/>
        </w:rPr>
        <w:t>VHSV isolation in cell culture, followed by virus identification by real-time RT-PCR, Ag-ELISA, or IFAT and detection of VHSV in tissue preparations by conventional RT-PCR and sequencing of the amplicon;</w:t>
      </w:r>
    </w:p>
    <w:p w14:paraId="395C6DFD" w14:textId="77777777" w:rsidR="00DD4A56" w:rsidRDefault="00DD4A56">
      <w:pPr>
        <w:rPr>
          <w:u w:val="single"/>
          <w:lang w:val="en-IE"/>
        </w:rPr>
      </w:pPr>
      <w:r>
        <w:rPr>
          <w:u w:val="single"/>
          <w:lang w:val="en-IE"/>
        </w:rPr>
        <w:br w:type="page"/>
      </w:r>
    </w:p>
    <w:p w14:paraId="6BBE0B48" w14:textId="66933B72" w:rsidR="00DD4A56" w:rsidRPr="008A67C2" w:rsidRDefault="00DD4A56" w:rsidP="00DD4A56">
      <w:pPr>
        <w:spacing w:after="480" w:line="240" w:lineRule="auto"/>
        <w:rPr>
          <w:rFonts w:cs="Times New Roman"/>
          <w:bCs/>
          <w:iCs/>
          <w:szCs w:val="20"/>
        </w:rPr>
      </w:pP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52C604BF" w14:textId="77777777" w:rsidR="00E65E42" w:rsidRPr="00BF51FB" w:rsidRDefault="00E65E42" w:rsidP="000A4E1E">
      <w:pPr>
        <w:spacing w:after="120" w:line="240" w:lineRule="auto"/>
        <w:ind w:left="1134" w:hanging="425"/>
        <w:jc w:val="both"/>
        <w:rPr>
          <w:rFonts w:ascii="Arial" w:eastAsia="MS Mincho" w:hAnsi="Arial" w:cs="Arial"/>
          <w:strike/>
          <w:sz w:val="18"/>
          <w:szCs w:val="18"/>
          <w:highlight w:val="yellow"/>
          <w:lang w:val="en-IE"/>
        </w:rPr>
      </w:pPr>
      <w:r w:rsidRPr="00BF51FB">
        <w:rPr>
          <w:rFonts w:ascii="Arial" w:eastAsia="MS Mincho" w:hAnsi="Arial" w:cs="Arial"/>
          <w:strike/>
          <w:sz w:val="18"/>
          <w:szCs w:val="18"/>
          <w:highlight w:val="yellow"/>
          <w:lang w:val="en-IE"/>
        </w:rPr>
        <w:t>iii)</w:t>
      </w:r>
      <w:r w:rsidRPr="00DD4A56">
        <w:rPr>
          <w:rFonts w:ascii="Arial" w:eastAsia="MS Mincho" w:hAnsi="Arial" w:cs="Arial"/>
          <w:sz w:val="18"/>
          <w:szCs w:val="18"/>
          <w:lang w:val="en-IE"/>
        </w:rPr>
        <w:tab/>
      </w:r>
      <w:r w:rsidRPr="00BF51FB">
        <w:rPr>
          <w:rFonts w:ascii="Arial" w:eastAsia="MS Mincho" w:hAnsi="Arial" w:cs="Arial"/>
          <w:strike/>
          <w:sz w:val="18"/>
          <w:szCs w:val="18"/>
          <w:highlight w:val="yellow"/>
          <w:lang w:val="en-IE"/>
        </w:rPr>
        <w:t>VHSV isolation in cell culture, followed by virus identification by real-time RT-PCR, Ag-ELISA, or IFAT and detection of VHSV in tissue preparations by real-time RT-PCR;</w:t>
      </w:r>
    </w:p>
    <w:p w14:paraId="11B0E8E2" w14:textId="77777777" w:rsidR="00E65E42" w:rsidRPr="00BF51FB" w:rsidRDefault="00E65E42" w:rsidP="000A4E1E">
      <w:pPr>
        <w:spacing w:after="120" w:line="240" w:lineRule="auto"/>
        <w:ind w:left="1134" w:hanging="425"/>
        <w:jc w:val="both"/>
        <w:rPr>
          <w:rFonts w:ascii="Arial" w:eastAsia="MS Mincho" w:hAnsi="Arial" w:cs="Arial"/>
          <w:strike/>
          <w:sz w:val="18"/>
          <w:szCs w:val="18"/>
          <w:highlight w:val="yellow"/>
          <w:lang w:val="en-IE"/>
        </w:rPr>
      </w:pPr>
      <w:r w:rsidRPr="00BF51FB">
        <w:rPr>
          <w:rFonts w:ascii="Arial" w:eastAsia="MS Mincho" w:hAnsi="Arial" w:cs="Arial"/>
          <w:strike/>
          <w:sz w:val="18"/>
          <w:szCs w:val="18"/>
          <w:highlight w:val="yellow"/>
          <w:lang w:val="en-IE"/>
        </w:rPr>
        <w:t>iv)</w:t>
      </w:r>
      <w:r w:rsidRPr="00DD4A56">
        <w:rPr>
          <w:rFonts w:ascii="Arial" w:eastAsia="MS Mincho" w:hAnsi="Arial" w:cs="Arial"/>
          <w:sz w:val="18"/>
          <w:szCs w:val="18"/>
          <w:lang w:val="en-IE"/>
        </w:rPr>
        <w:tab/>
      </w:r>
      <w:r w:rsidRPr="00BF51FB">
        <w:rPr>
          <w:rFonts w:ascii="Arial" w:eastAsia="MS Mincho" w:hAnsi="Arial" w:cs="Arial"/>
          <w:strike/>
          <w:sz w:val="18"/>
          <w:szCs w:val="18"/>
          <w:highlight w:val="yellow"/>
          <w:lang w:val="en-IE"/>
        </w:rPr>
        <w:t>VHSV isolation in cell culture, followed by virus identification by real-time RT-PCR, Ag-ELISA, or IFAT and a positive result from immunohistopathology);</w:t>
      </w:r>
    </w:p>
    <w:p w14:paraId="4AE2E33E" w14:textId="77777777" w:rsidR="00E65E42" w:rsidRDefault="00E65E42" w:rsidP="000A4E1E">
      <w:pPr>
        <w:spacing w:after="240" w:line="240" w:lineRule="auto"/>
        <w:ind w:left="1134" w:hanging="425"/>
        <w:jc w:val="both"/>
        <w:rPr>
          <w:rFonts w:ascii="Arial" w:eastAsia="MS Mincho" w:hAnsi="Arial" w:cs="Arial"/>
          <w:strike/>
          <w:sz w:val="18"/>
          <w:szCs w:val="18"/>
          <w:lang w:val="en-IE"/>
        </w:rPr>
      </w:pPr>
      <w:r w:rsidRPr="00BF51FB">
        <w:rPr>
          <w:rFonts w:ascii="Arial" w:eastAsia="MS Mincho" w:hAnsi="Arial" w:cs="Arial"/>
          <w:strike/>
          <w:sz w:val="18"/>
          <w:szCs w:val="18"/>
          <w:highlight w:val="yellow"/>
          <w:lang w:val="en-IE"/>
        </w:rPr>
        <w:t>v)</w:t>
      </w:r>
      <w:r w:rsidRPr="00DD4A56">
        <w:rPr>
          <w:rFonts w:ascii="Arial" w:eastAsia="MS Mincho" w:hAnsi="Arial" w:cs="Arial"/>
          <w:sz w:val="18"/>
          <w:szCs w:val="18"/>
          <w:lang w:val="en-IE"/>
        </w:rPr>
        <w:tab/>
      </w:r>
      <w:r w:rsidRPr="00BF51FB">
        <w:rPr>
          <w:rFonts w:ascii="Arial" w:eastAsia="MS Mincho" w:hAnsi="Arial" w:cs="Arial"/>
          <w:strike/>
          <w:sz w:val="18"/>
          <w:szCs w:val="18"/>
          <w:highlight w:val="yellow"/>
          <w:lang w:val="en-IE"/>
        </w:rPr>
        <w:t>Detection of VHSV in tissue preparations by real-time RT-PCR and by conventional RT-PCR, followed by sequencing of the amplicon.</w:t>
      </w:r>
      <w:r w:rsidRPr="00BF51FB">
        <w:rPr>
          <w:rFonts w:ascii="Arial" w:eastAsia="MS Mincho" w:hAnsi="Arial" w:cs="Arial"/>
          <w:strike/>
          <w:sz w:val="18"/>
          <w:szCs w:val="18"/>
          <w:lang w:val="en-IE"/>
        </w:rPr>
        <w:t xml:space="preserve"> </w:t>
      </w:r>
    </w:p>
    <w:p w14:paraId="7D34A3C0" w14:textId="77777777" w:rsidR="00E65E42" w:rsidRPr="00D403F5" w:rsidRDefault="00E65E42" w:rsidP="000A4E1E">
      <w:pPr>
        <w:spacing w:after="240" w:line="240" w:lineRule="auto"/>
        <w:ind w:left="709"/>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Reference Laboratories should be contacted for specimen referral when testing laboratories cannot undertake any of the recommended test methods and testing is being undertaken that will result in notification to the OIE.</w:t>
      </w:r>
    </w:p>
    <w:p w14:paraId="677B01F8" w14:textId="77777777" w:rsidR="00E65E42" w:rsidRDefault="00E65E42" w:rsidP="000A4E1E">
      <w:pPr>
        <w:spacing w:after="280" w:line="240" w:lineRule="auto"/>
        <w:ind w:left="709" w:hanging="425"/>
        <w:jc w:val="both"/>
        <w:rPr>
          <w:rFonts w:ascii="Ottawa" w:eastAsia="Times New Roman" w:hAnsi="Ottawa" w:cs="Times New Roman"/>
          <w:b/>
          <w:bCs/>
          <w:sz w:val="21"/>
          <w:szCs w:val="21"/>
          <w:lang w:eastAsia="fr-FR"/>
        </w:rPr>
      </w:pPr>
      <w:r w:rsidRPr="00BC2337">
        <w:rPr>
          <w:rFonts w:ascii="Ottawa" w:eastAsia="Times New Roman" w:hAnsi="Ottawa" w:cs="Times New Roman"/>
          <w:b/>
          <w:bCs/>
          <w:sz w:val="21"/>
          <w:szCs w:val="21"/>
          <w:lang w:eastAsia="fr-FR"/>
        </w:rPr>
        <w:t>6.3.</w:t>
      </w:r>
      <w:r w:rsidRPr="00BC2337">
        <w:rPr>
          <w:rFonts w:ascii="Ottawa" w:eastAsia="Times New Roman" w:hAnsi="Ottawa" w:cs="Times New Roman"/>
          <w:b/>
          <w:bCs/>
          <w:sz w:val="21"/>
          <w:szCs w:val="21"/>
          <w:lang w:eastAsia="fr-FR"/>
        </w:rPr>
        <w:tab/>
        <w:t>Diagnostic sensitivity and specificity for diagnostic tests</w:t>
      </w:r>
    </w:p>
    <w:p w14:paraId="750785CB" w14:textId="77777777" w:rsidR="00E65E42" w:rsidRPr="00AE3567" w:rsidRDefault="00E65E42" w:rsidP="001E34B0">
      <w:pPr>
        <w:keepNext/>
        <w:keepLines/>
        <w:spacing w:after="120"/>
        <w:ind w:left="709"/>
        <w:jc w:val="both"/>
        <w:rPr>
          <w:rFonts w:ascii="Arial" w:hAnsi="Arial"/>
          <w:bCs/>
          <w:sz w:val="18"/>
          <w:szCs w:val="18"/>
          <w:u w:val="double"/>
          <w:lang w:val="en-IE"/>
        </w:rPr>
      </w:pPr>
      <w:r w:rsidRPr="00AE3567">
        <w:rPr>
          <w:rFonts w:ascii="Arial" w:hAnsi="Arial"/>
          <w:bCs/>
          <w:sz w:val="18"/>
          <w:szCs w:val="18"/>
          <w:highlight w:val="yellow"/>
          <w:u w:val="double"/>
          <w:lang w:val="en-IE"/>
        </w:rPr>
        <w:t>The diagnostic performance of tests recommended for surveillance or diagnosis of infection with VHSV are provided in Table 6.3. This information can be used for the design of surveys for infection with VHSV, however, it should be noted that diagnostic performance is specific to the circumstances of each diagnostic accuracy study (including the test purpose, source population, tissue sample types and host species) and diagnostic performance may vary under different conditions. Data is only presented where tests are validated to atleast level two of the validation pathway described in Chapter 1.1.2. and the information is available within published diagnostic accuracy studies.</w:t>
      </w:r>
    </w:p>
    <w:p w14:paraId="3CA4C2DE" w14:textId="77777777" w:rsidR="00E65E42" w:rsidRDefault="00E65E42" w:rsidP="00E65E42">
      <w:pPr>
        <w:keepNext/>
        <w:keepLines/>
        <w:spacing w:after="120"/>
        <w:ind w:firstLine="1"/>
        <w:rPr>
          <w:rFonts w:ascii="Arial" w:hAnsi="Arial"/>
          <w:bCs/>
          <w:sz w:val="18"/>
          <w:szCs w:val="18"/>
          <w:lang w:val="en-IE"/>
        </w:rPr>
      </w:pPr>
    </w:p>
    <w:p w14:paraId="17D49DE3" w14:textId="77777777" w:rsidR="00E65E42" w:rsidRPr="00AE3567" w:rsidRDefault="00E65E42" w:rsidP="00E65E42">
      <w:pPr>
        <w:keepNext/>
        <w:keepLines/>
        <w:spacing w:after="120"/>
        <w:ind w:firstLine="1"/>
        <w:jc w:val="center"/>
        <w:rPr>
          <w:rFonts w:ascii="Ottawa" w:eastAsia="Times New Roman" w:hAnsi="Ottawa" w:cs="Times New Roman"/>
          <w:b/>
          <w:bCs/>
          <w:sz w:val="21"/>
          <w:szCs w:val="21"/>
          <w:u w:val="double"/>
          <w:lang w:eastAsia="fr-FR"/>
        </w:rPr>
      </w:pPr>
      <w:r w:rsidRPr="00AE3567">
        <w:rPr>
          <w:rFonts w:ascii="Ottawa" w:hAnsi="Ottawa"/>
          <w:b/>
          <w:bCs/>
          <w:i/>
          <w:sz w:val="18"/>
          <w:szCs w:val="18"/>
          <w:highlight w:val="yellow"/>
          <w:u w:val="double"/>
          <w:lang w:val="en-IE" w:bidi="en-US"/>
        </w:rPr>
        <w:t>Table 6.</w:t>
      </w:r>
      <w:r w:rsidRPr="00C256AA">
        <w:rPr>
          <w:rFonts w:ascii="Ottawa" w:hAnsi="Ottawa"/>
          <w:b/>
          <w:bCs/>
          <w:i/>
          <w:sz w:val="18"/>
          <w:szCs w:val="18"/>
          <w:highlight w:val="yellow"/>
          <w:u w:val="double"/>
          <w:lang w:val="en-IE" w:bidi="en-US"/>
        </w:rPr>
        <w:t>1</w:t>
      </w:r>
      <w:r w:rsidRPr="00AE3567">
        <w:rPr>
          <w:rFonts w:ascii="Ottawa" w:hAnsi="Ottawa"/>
          <w:b/>
          <w:bCs/>
          <w:i/>
          <w:sz w:val="18"/>
          <w:szCs w:val="18"/>
          <w:highlight w:val="yellow"/>
          <w:u w:val="double"/>
          <w:lang w:val="en-IE" w:bidi="en-US"/>
        </w:rPr>
        <w:t>.</w:t>
      </w:r>
      <w:r w:rsidRPr="00AE3567">
        <w:rPr>
          <w:rFonts w:ascii="Ottawa" w:hAnsi="Ottawa"/>
          <w:bCs/>
          <w:i/>
          <w:sz w:val="18"/>
          <w:szCs w:val="18"/>
          <w:highlight w:val="yellow"/>
          <w:u w:val="double"/>
          <w:lang w:val="en-IE" w:bidi="en-US"/>
        </w:rPr>
        <w:t xml:space="preserve"> Diagnostic performance of tests recommended for surveillance or diagnosis</w:t>
      </w:r>
    </w:p>
    <w:tbl>
      <w:tblPr>
        <w:tblW w:w="8898" w:type="dxa"/>
        <w:tblInd w:w="108" w:type="dxa"/>
        <w:tblCellMar>
          <w:left w:w="0" w:type="dxa"/>
          <w:right w:w="0" w:type="dxa"/>
        </w:tblCellMar>
        <w:tblLook w:val="04A0" w:firstRow="1" w:lastRow="0" w:firstColumn="1" w:lastColumn="0" w:noHBand="0" w:noVBand="1"/>
      </w:tblPr>
      <w:tblGrid>
        <w:gridCol w:w="731"/>
        <w:gridCol w:w="1146"/>
        <w:gridCol w:w="1134"/>
        <w:gridCol w:w="1273"/>
        <w:gridCol w:w="1132"/>
        <w:gridCol w:w="707"/>
        <w:gridCol w:w="708"/>
        <w:gridCol w:w="1070"/>
        <w:gridCol w:w="997"/>
      </w:tblGrid>
      <w:tr w:rsidR="00E65E42" w:rsidRPr="00D403F5" w14:paraId="53D97492" w14:textId="77777777" w:rsidTr="00E65E42">
        <w:tc>
          <w:tcPr>
            <w:tcW w:w="7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B9BBC5" w14:textId="77777777" w:rsidR="00E65E42" w:rsidRPr="00D403F5" w:rsidRDefault="00E65E42" w:rsidP="00E65E42">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Test type</w:t>
            </w:r>
          </w:p>
        </w:tc>
        <w:tc>
          <w:tcPr>
            <w:tcW w:w="114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A655826" w14:textId="77777777" w:rsidR="00E65E42" w:rsidRPr="00D403F5" w:rsidRDefault="00E65E42" w:rsidP="00E65E42">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Test purpose</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CF36CA4" w14:textId="77777777" w:rsidR="00E65E42" w:rsidRPr="00D403F5" w:rsidRDefault="00E65E42" w:rsidP="00E65E42">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Source populations</w:t>
            </w:r>
          </w:p>
        </w:tc>
        <w:tc>
          <w:tcPr>
            <w:tcW w:w="127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19BAA52" w14:textId="77777777" w:rsidR="00E65E42" w:rsidRPr="00D403F5" w:rsidRDefault="00E65E42" w:rsidP="00E65E42">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Tissue or sample types</w:t>
            </w:r>
          </w:p>
        </w:tc>
        <w:tc>
          <w:tcPr>
            <w:tcW w:w="113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BE1BDFE" w14:textId="77777777" w:rsidR="00E65E42" w:rsidRPr="00D403F5" w:rsidRDefault="00E65E42" w:rsidP="00E65E42">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Species</w:t>
            </w:r>
          </w:p>
        </w:tc>
        <w:tc>
          <w:tcPr>
            <w:tcW w:w="7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E428793" w14:textId="77777777" w:rsidR="00E65E42" w:rsidRPr="00D403F5" w:rsidRDefault="00E65E42" w:rsidP="00E65E42">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DSe (</w:t>
            </w:r>
            <w:r w:rsidRPr="00D403F5">
              <w:rPr>
                <w:rFonts w:ascii="Arial Narrow" w:eastAsia="Times New Roman" w:hAnsi="Arial Narrow" w:cs="Times New Roman"/>
                <w:b/>
                <w:bCs/>
                <w:i/>
                <w:iCs/>
                <w:sz w:val="18"/>
                <w:szCs w:val="18"/>
                <w:lang w:val="en-IE" w:eastAsia="fr-FR"/>
              </w:rPr>
              <w:t>n</w:t>
            </w:r>
            <w:r w:rsidRPr="00D403F5">
              <w:rPr>
                <w:rFonts w:ascii="Arial Narrow" w:eastAsia="Times New Roman" w:hAnsi="Arial Narrow" w:cs="Times New Roman"/>
                <w:b/>
                <w:bCs/>
                <w:sz w:val="18"/>
                <w:szCs w:val="18"/>
                <w:lang w:val="en-IE" w:eastAsia="fr-FR"/>
              </w:rPr>
              <w:t>)</w:t>
            </w:r>
          </w:p>
        </w:tc>
        <w:tc>
          <w:tcPr>
            <w:tcW w:w="7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957F096" w14:textId="77777777" w:rsidR="00E65E42" w:rsidRPr="00D403F5" w:rsidRDefault="00E65E42" w:rsidP="00E65E42">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DSp (</w:t>
            </w:r>
            <w:r w:rsidRPr="00D403F5">
              <w:rPr>
                <w:rFonts w:ascii="Arial Narrow" w:eastAsia="Times New Roman" w:hAnsi="Arial Narrow" w:cs="Times New Roman"/>
                <w:b/>
                <w:bCs/>
                <w:i/>
                <w:iCs/>
                <w:sz w:val="18"/>
                <w:szCs w:val="18"/>
                <w:lang w:val="en-IE" w:eastAsia="fr-FR"/>
              </w:rPr>
              <w:t>n</w:t>
            </w:r>
            <w:r w:rsidRPr="00D403F5">
              <w:rPr>
                <w:rFonts w:ascii="Arial Narrow" w:eastAsia="Times New Roman" w:hAnsi="Arial Narrow" w:cs="Times New Roman"/>
                <w:b/>
                <w:bCs/>
                <w:sz w:val="18"/>
                <w:szCs w:val="18"/>
                <w:lang w:val="en-IE" w:eastAsia="fr-FR"/>
              </w:rPr>
              <w:t>)</w:t>
            </w:r>
          </w:p>
        </w:tc>
        <w:tc>
          <w:tcPr>
            <w:tcW w:w="107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DB590B2" w14:textId="77777777" w:rsidR="00E65E42" w:rsidRPr="00D403F5" w:rsidRDefault="00E65E42" w:rsidP="00E65E42">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Reference test</w:t>
            </w:r>
          </w:p>
        </w:tc>
        <w:tc>
          <w:tcPr>
            <w:tcW w:w="9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97CCD36" w14:textId="77777777" w:rsidR="00E65E42" w:rsidRPr="00D403F5" w:rsidRDefault="00E65E42" w:rsidP="00E65E42">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Citation</w:t>
            </w:r>
          </w:p>
        </w:tc>
      </w:tr>
      <w:tr w:rsidR="00E65E42" w:rsidRPr="00D403F5" w14:paraId="13AF5D8C" w14:textId="77777777" w:rsidTr="00E65E42">
        <w:tc>
          <w:tcPr>
            <w:tcW w:w="7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859EAB7"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Times New Roman"/>
                <w:sz w:val="18"/>
                <w:szCs w:val="18"/>
                <w:lang w:val="en-IE" w:eastAsia="fr-FR"/>
              </w:rPr>
              <w:t>Cell culture</w:t>
            </w:r>
          </w:p>
        </w:tc>
        <w:tc>
          <w:tcPr>
            <w:tcW w:w="1146" w:type="dxa"/>
            <w:tcBorders>
              <w:top w:val="nil"/>
              <w:left w:val="nil"/>
              <w:bottom w:val="single" w:sz="8" w:space="0" w:color="auto"/>
              <w:right w:val="single" w:sz="8" w:space="0" w:color="auto"/>
            </w:tcBorders>
            <w:tcMar>
              <w:top w:w="0" w:type="dxa"/>
              <w:left w:w="108" w:type="dxa"/>
              <w:bottom w:w="0" w:type="dxa"/>
              <w:right w:w="108" w:type="dxa"/>
            </w:tcMar>
            <w:vAlign w:val="center"/>
          </w:tcPr>
          <w:p w14:paraId="0C8E5AFB"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fr-FR" w:eastAsia="fr-FR"/>
              </w:rPr>
            </w:pPr>
            <w:r w:rsidRPr="00AE3567">
              <w:rPr>
                <w:rFonts w:ascii="Arial Narrow" w:eastAsia="Times New Roman" w:hAnsi="Arial Narrow" w:cs="Times New Roman"/>
                <w:sz w:val="18"/>
                <w:szCs w:val="18"/>
                <w:lang w:val="fr-FR" w:eastAsia="fr-FR"/>
              </w:rPr>
              <w:t>Surveillance</w:t>
            </w:r>
            <w:r w:rsidRPr="007350DD">
              <w:rPr>
                <w:rFonts w:ascii="Arial Narrow" w:eastAsia="Times New Roman" w:hAnsi="Arial Narrow" w:cs="Times New Roman"/>
                <w:color w:val="FF0000"/>
                <w:sz w:val="18"/>
                <w:szCs w:val="18"/>
                <w:lang w:val="fr-FR" w:eastAsia="fr-FR"/>
              </w:rPr>
              <w:br/>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tcPr>
          <w:p w14:paraId="4C450342"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Times New Roman"/>
                <w:sz w:val="18"/>
                <w:szCs w:val="18"/>
                <w:lang w:val="en-IE" w:eastAsia="fr-FR"/>
              </w:rPr>
              <w:t>Experimentally infected fish</w:t>
            </w:r>
          </w:p>
        </w:tc>
        <w:tc>
          <w:tcPr>
            <w:tcW w:w="1273" w:type="dxa"/>
            <w:tcBorders>
              <w:top w:val="nil"/>
              <w:left w:val="nil"/>
              <w:bottom w:val="single" w:sz="8" w:space="0" w:color="auto"/>
              <w:right w:val="single" w:sz="8" w:space="0" w:color="auto"/>
            </w:tcBorders>
            <w:tcMar>
              <w:top w:w="0" w:type="dxa"/>
              <w:left w:w="108" w:type="dxa"/>
              <w:bottom w:w="0" w:type="dxa"/>
              <w:right w:w="108" w:type="dxa"/>
            </w:tcMar>
            <w:vAlign w:val="center"/>
          </w:tcPr>
          <w:p w14:paraId="0E9ADE09"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Arial"/>
                <w:sz w:val="18"/>
                <w:szCs w:val="18"/>
                <w:lang w:eastAsia="fr-FR"/>
              </w:rPr>
              <w:t>Kidney, heart and spleen</w:t>
            </w:r>
          </w:p>
        </w:tc>
        <w:tc>
          <w:tcPr>
            <w:tcW w:w="1132" w:type="dxa"/>
            <w:tcBorders>
              <w:top w:val="nil"/>
              <w:left w:val="nil"/>
              <w:bottom w:val="single" w:sz="8" w:space="0" w:color="auto"/>
              <w:right w:val="single" w:sz="8" w:space="0" w:color="auto"/>
            </w:tcBorders>
            <w:tcMar>
              <w:top w:w="0" w:type="dxa"/>
              <w:left w:w="108" w:type="dxa"/>
              <w:bottom w:w="0" w:type="dxa"/>
              <w:right w:w="108" w:type="dxa"/>
            </w:tcMar>
            <w:vAlign w:val="center"/>
          </w:tcPr>
          <w:p w14:paraId="6644B7B0"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Arial"/>
                <w:sz w:val="18"/>
                <w:szCs w:val="18"/>
                <w:lang w:eastAsia="fr-FR"/>
              </w:rPr>
              <w:t>Rainbow trout</w:t>
            </w:r>
          </w:p>
        </w:tc>
        <w:tc>
          <w:tcPr>
            <w:tcW w:w="707" w:type="dxa"/>
            <w:tcBorders>
              <w:top w:val="nil"/>
              <w:left w:val="nil"/>
              <w:bottom w:val="single" w:sz="8" w:space="0" w:color="auto"/>
              <w:right w:val="single" w:sz="8" w:space="0" w:color="auto"/>
            </w:tcBorders>
            <w:tcMar>
              <w:top w:w="0" w:type="dxa"/>
              <w:left w:w="108" w:type="dxa"/>
              <w:bottom w:w="0" w:type="dxa"/>
              <w:right w:w="108" w:type="dxa"/>
            </w:tcMar>
            <w:vAlign w:val="center"/>
          </w:tcPr>
          <w:p w14:paraId="7547D285"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86 (84)</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tcPr>
          <w:p w14:paraId="5F64349F"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tcPr>
          <w:p w14:paraId="22439ECA"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en-IE" w:eastAsia="fr-FR"/>
              </w:rPr>
              <w:t xml:space="preserve">Real-time </w:t>
            </w:r>
            <w:r w:rsidRPr="00D403F5">
              <w:rPr>
                <w:rFonts w:ascii="Arial Narrow" w:eastAsia="Times New Roman" w:hAnsi="Arial Narrow" w:cs="Times New Roman"/>
                <w:sz w:val="18"/>
                <w:szCs w:val="18"/>
                <w:lang w:val="en-IE" w:eastAsia="fr-FR"/>
              </w:rPr>
              <w:br/>
              <w:t>RT-PCR</w:t>
            </w:r>
          </w:p>
        </w:tc>
        <w:tc>
          <w:tcPr>
            <w:tcW w:w="997" w:type="dxa"/>
            <w:tcBorders>
              <w:top w:val="nil"/>
              <w:left w:val="nil"/>
              <w:bottom w:val="single" w:sz="8" w:space="0" w:color="auto"/>
              <w:right w:val="single" w:sz="8" w:space="0" w:color="auto"/>
            </w:tcBorders>
            <w:tcMar>
              <w:top w:w="0" w:type="dxa"/>
              <w:left w:w="108" w:type="dxa"/>
              <w:bottom w:w="0" w:type="dxa"/>
              <w:right w:w="108" w:type="dxa"/>
            </w:tcMar>
            <w:vAlign w:val="center"/>
          </w:tcPr>
          <w:p w14:paraId="172F7BDC"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en-IE" w:eastAsia="fr-FR"/>
              </w:rPr>
            </w:pPr>
            <w:r w:rsidRPr="007B73F2">
              <w:rPr>
                <w:rFonts w:ascii="Arial Narrow" w:eastAsia="Times New Roman" w:hAnsi="Arial Narrow" w:cs="Arial"/>
                <w:noProof/>
                <w:sz w:val="18"/>
                <w:szCs w:val="18"/>
                <w:lang w:eastAsia="fr-FR"/>
              </w:rPr>
              <w:t>Jonstrup</w:t>
            </w:r>
            <w:r w:rsidRPr="00D403F5">
              <w:rPr>
                <w:rFonts w:ascii="Arial Narrow" w:eastAsia="Times New Roman" w:hAnsi="Arial Narrow" w:cs="Arial"/>
                <w:noProof/>
                <w:sz w:val="18"/>
                <w:szCs w:val="18"/>
                <w:lang w:eastAsia="fr-FR"/>
              </w:rPr>
              <w:t xml:space="preserve"> </w:t>
            </w:r>
            <w:r w:rsidRPr="00D403F5">
              <w:rPr>
                <w:rFonts w:ascii="Arial Narrow" w:eastAsia="Times New Roman" w:hAnsi="Arial Narrow" w:cs="Arial"/>
                <w:noProof/>
                <w:sz w:val="18"/>
                <w:szCs w:val="18"/>
                <w:lang w:eastAsia="fr-FR"/>
              </w:rPr>
              <w:br/>
            </w:r>
            <w:r w:rsidRPr="00D403F5">
              <w:rPr>
                <w:rFonts w:ascii="Arial Narrow" w:eastAsia="Times New Roman" w:hAnsi="Arial Narrow" w:cs="Arial"/>
                <w:i/>
                <w:sz w:val="18"/>
                <w:szCs w:val="18"/>
              </w:rPr>
              <w:t>et al.,</w:t>
            </w:r>
            <w:r w:rsidRPr="00D403F5">
              <w:rPr>
                <w:rFonts w:ascii="Arial Narrow" w:eastAsia="Times New Roman" w:hAnsi="Arial Narrow" w:cs="Arial"/>
                <w:sz w:val="18"/>
                <w:szCs w:val="18"/>
              </w:rPr>
              <w:t xml:space="preserve"> </w:t>
            </w:r>
            <w:r w:rsidRPr="00D403F5">
              <w:rPr>
                <w:rFonts w:ascii="Arial Narrow" w:eastAsia="Times New Roman" w:hAnsi="Arial Narrow" w:cs="Arial"/>
                <w:noProof/>
                <w:sz w:val="18"/>
                <w:szCs w:val="18"/>
                <w:lang w:eastAsia="fr-FR"/>
              </w:rPr>
              <w:t>201</w:t>
            </w:r>
            <w:r w:rsidRPr="007350DD">
              <w:rPr>
                <w:rFonts w:ascii="Arial Narrow" w:eastAsia="Times New Roman" w:hAnsi="Arial Narrow" w:cs="Arial"/>
                <w:noProof/>
                <w:sz w:val="18"/>
                <w:szCs w:val="18"/>
                <w:highlight w:val="yellow"/>
                <w:u w:val="double"/>
                <w:lang w:eastAsia="fr-FR"/>
              </w:rPr>
              <w:t>3</w:t>
            </w:r>
          </w:p>
        </w:tc>
      </w:tr>
      <w:tr w:rsidR="00E65E42" w:rsidRPr="00892AF8" w14:paraId="6ACD433A" w14:textId="77777777" w:rsidTr="00E65E42">
        <w:tc>
          <w:tcPr>
            <w:tcW w:w="7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9A4874B" w14:textId="77777777" w:rsidR="00E65E42" w:rsidRPr="00892AF8" w:rsidRDefault="00E65E42" w:rsidP="00E65E42">
            <w:pPr>
              <w:spacing w:after="0" w:line="240" w:lineRule="auto"/>
              <w:ind w:left="-57"/>
              <w:jc w:val="center"/>
              <w:rPr>
                <w:rFonts w:ascii="Arial Narrow" w:eastAsia="Times New Roman" w:hAnsi="Arial Narrow" w:cs="Times New Roman"/>
                <w:sz w:val="18"/>
                <w:szCs w:val="18"/>
                <w:highlight w:val="yellow"/>
                <w:u w:val="double"/>
                <w:lang w:val="en-IE" w:eastAsia="fr-FR"/>
              </w:rPr>
            </w:pPr>
            <w:r w:rsidRPr="00892AF8">
              <w:rPr>
                <w:rFonts w:ascii="Arial Narrow" w:eastAsia="Times New Roman" w:hAnsi="Arial Narrow" w:cs="Times New Roman"/>
                <w:sz w:val="18"/>
                <w:szCs w:val="18"/>
                <w:highlight w:val="yellow"/>
                <w:u w:val="double"/>
                <w:lang w:val="en-IE" w:eastAsia="fr-FR"/>
              </w:rPr>
              <w:t>Cell culture</w:t>
            </w:r>
          </w:p>
        </w:tc>
        <w:tc>
          <w:tcPr>
            <w:tcW w:w="1146" w:type="dxa"/>
            <w:tcBorders>
              <w:top w:val="nil"/>
              <w:left w:val="nil"/>
              <w:bottom w:val="single" w:sz="8" w:space="0" w:color="auto"/>
              <w:right w:val="single" w:sz="8" w:space="0" w:color="auto"/>
            </w:tcBorders>
            <w:tcMar>
              <w:top w:w="0" w:type="dxa"/>
              <w:left w:w="108" w:type="dxa"/>
              <w:bottom w:w="0" w:type="dxa"/>
              <w:right w:w="108" w:type="dxa"/>
            </w:tcMar>
            <w:vAlign w:val="center"/>
          </w:tcPr>
          <w:p w14:paraId="47E7345E" w14:textId="77777777" w:rsidR="00E65E42" w:rsidRPr="00892AF8" w:rsidRDefault="00E65E42" w:rsidP="00E65E42">
            <w:pPr>
              <w:spacing w:after="0" w:line="240" w:lineRule="auto"/>
              <w:ind w:left="-57"/>
              <w:jc w:val="center"/>
              <w:rPr>
                <w:rFonts w:ascii="Arial Narrow" w:eastAsia="Times New Roman" w:hAnsi="Arial Narrow" w:cs="Times New Roman"/>
                <w:strike/>
                <w:sz w:val="18"/>
                <w:szCs w:val="18"/>
                <w:highlight w:val="yellow"/>
                <w:u w:val="double"/>
                <w:lang w:val="fr-FR" w:eastAsia="fr-FR"/>
              </w:rPr>
            </w:pPr>
            <w:r w:rsidRPr="00892AF8">
              <w:rPr>
                <w:rFonts w:ascii="Arial Narrow" w:eastAsia="Times New Roman" w:hAnsi="Arial Narrow" w:cs="Times New Roman"/>
                <w:sz w:val="18"/>
                <w:szCs w:val="18"/>
                <w:highlight w:val="yellow"/>
                <w:u w:val="double"/>
                <w:lang w:val="fr-FR" w:eastAsia="fr-FR"/>
              </w:rPr>
              <w:t>Clinical diagnosis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tcPr>
          <w:p w14:paraId="0BD0D81D" w14:textId="77777777" w:rsidR="00E65E42" w:rsidRPr="00892AF8" w:rsidRDefault="00E65E42" w:rsidP="00E65E42">
            <w:pPr>
              <w:spacing w:after="0" w:line="240" w:lineRule="auto"/>
              <w:ind w:left="-57"/>
              <w:jc w:val="center"/>
              <w:rPr>
                <w:rFonts w:ascii="Arial Narrow" w:eastAsia="Times New Roman" w:hAnsi="Arial Narrow" w:cs="Times New Roman"/>
                <w:sz w:val="18"/>
                <w:szCs w:val="18"/>
                <w:highlight w:val="yellow"/>
                <w:u w:val="double"/>
                <w:lang w:val="en-IE" w:eastAsia="fr-FR"/>
              </w:rPr>
            </w:pPr>
            <w:r w:rsidRPr="00892AF8">
              <w:rPr>
                <w:rFonts w:ascii="Arial Narrow" w:eastAsia="Times New Roman" w:hAnsi="Arial Narrow" w:cs="Times New Roman"/>
                <w:sz w:val="18"/>
                <w:szCs w:val="18"/>
                <w:highlight w:val="yellow"/>
                <w:u w:val="double"/>
                <w:lang w:val="en-IE" w:eastAsia="fr-FR"/>
              </w:rPr>
              <w:t>Experimentally infected fish</w:t>
            </w:r>
          </w:p>
        </w:tc>
        <w:tc>
          <w:tcPr>
            <w:tcW w:w="1273" w:type="dxa"/>
            <w:tcBorders>
              <w:top w:val="nil"/>
              <w:left w:val="nil"/>
              <w:bottom w:val="single" w:sz="8" w:space="0" w:color="auto"/>
              <w:right w:val="single" w:sz="8" w:space="0" w:color="auto"/>
            </w:tcBorders>
            <w:tcMar>
              <w:top w:w="0" w:type="dxa"/>
              <w:left w:w="108" w:type="dxa"/>
              <w:bottom w:w="0" w:type="dxa"/>
              <w:right w:w="108" w:type="dxa"/>
            </w:tcMar>
            <w:vAlign w:val="center"/>
          </w:tcPr>
          <w:p w14:paraId="65FF7B78" w14:textId="77777777" w:rsidR="00E65E42" w:rsidRPr="00892AF8" w:rsidRDefault="00E65E42" w:rsidP="00E65E42">
            <w:pPr>
              <w:spacing w:after="0" w:line="240" w:lineRule="auto"/>
              <w:ind w:left="-57"/>
              <w:jc w:val="center"/>
              <w:rPr>
                <w:rFonts w:ascii="Arial Narrow" w:eastAsia="Times New Roman" w:hAnsi="Arial Narrow" w:cs="Arial"/>
                <w:sz w:val="18"/>
                <w:szCs w:val="18"/>
                <w:highlight w:val="yellow"/>
                <w:u w:val="double"/>
                <w:lang w:eastAsia="fr-FR"/>
              </w:rPr>
            </w:pPr>
            <w:r w:rsidRPr="00892AF8">
              <w:rPr>
                <w:rFonts w:ascii="Arial Narrow" w:eastAsia="Times New Roman" w:hAnsi="Arial Narrow" w:cs="Arial"/>
                <w:sz w:val="18"/>
                <w:szCs w:val="18"/>
                <w:highlight w:val="yellow"/>
                <w:u w:val="double"/>
                <w:lang w:eastAsia="fr-FR"/>
              </w:rPr>
              <w:t>Kidney</w:t>
            </w:r>
          </w:p>
        </w:tc>
        <w:tc>
          <w:tcPr>
            <w:tcW w:w="1132" w:type="dxa"/>
            <w:tcBorders>
              <w:top w:val="nil"/>
              <w:left w:val="nil"/>
              <w:bottom w:val="single" w:sz="8" w:space="0" w:color="auto"/>
              <w:right w:val="single" w:sz="8" w:space="0" w:color="auto"/>
            </w:tcBorders>
            <w:tcMar>
              <w:top w:w="0" w:type="dxa"/>
              <w:left w:w="108" w:type="dxa"/>
              <w:bottom w:w="0" w:type="dxa"/>
              <w:right w:w="108" w:type="dxa"/>
            </w:tcMar>
            <w:vAlign w:val="center"/>
          </w:tcPr>
          <w:p w14:paraId="15308782" w14:textId="77777777" w:rsidR="00E65E42" w:rsidRPr="00892AF8" w:rsidRDefault="00E65E42" w:rsidP="00E65E42">
            <w:pPr>
              <w:spacing w:after="0" w:line="240" w:lineRule="auto"/>
              <w:ind w:left="-57"/>
              <w:jc w:val="center"/>
              <w:rPr>
                <w:rFonts w:ascii="Arial Narrow" w:eastAsia="Times New Roman" w:hAnsi="Arial Narrow" w:cs="Arial"/>
                <w:sz w:val="18"/>
                <w:szCs w:val="18"/>
                <w:highlight w:val="yellow"/>
                <w:u w:val="double"/>
                <w:lang w:eastAsia="fr-FR"/>
              </w:rPr>
            </w:pPr>
            <w:r w:rsidRPr="00892AF8">
              <w:rPr>
                <w:rFonts w:ascii="Arial Narrow" w:eastAsia="Times New Roman" w:hAnsi="Arial Narrow" w:cs="Arial"/>
                <w:sz w:val="18"/>
                <w:szCs w:val="18"/>
                <w:highlight w:val="yellow"/>
                <w:u w:val="double"/>
                <w:lang w:eastAsia="fr-FR"/>
              </w:rPr>
              <w:t>Atlantic salmon</w:t>
            </w:r>
          </w:p>
        </w:tc>
        <w:tc>
          <w:tcPr>
            <w:tcW w:w="707" w:type="dxa"/>
            <w:tcBorders>
              <w:top w:val="nil"/>
              <w:left w:val="nil"/>
              <w:bottom w:val="single" w:sz="8" w:space="0" w:color="auto"/>
              <w:right w:val="single" w:sz="8" w:space="0" w:color="auto"/>
            </w:tcBorders>
            <w:tcMar>
              <w:top w:w="0" w:type="dxa"/>
              <w:left w:w="108" w:type="dxa"/>
              <w:bottom w:w="0" w:type="dxa"/>
              <w:right w:w="108" w:type="dxa"/>
            </w:tcMar>
            <w:vAlign w:val="center"/>
          </w:tcPr>
          <w:p w14:paraId="01CB42B3" w14:textId="77777777" w:rsidR="00E65E42" w:rsidRPr="00892AF8" w:rsidRDefault="00E65E42" w:rsidP="00E65E42">
            <w:pPr>
              <w:spacing w:after="0" w:line="240" w:lineRule="auto"/>
              <w:ind w:left="-57"/>
              <w:jc w:val="center"/>
              <w:rPr>
                <w:rFonts w:ascii="Arial Narrow" w:eastAsia="Times New Roman" w:hAnsi="Arial Narrow" w:cs="Times New Roman"/>
                <w:sz w:val="18"/>
                <w:szCs w:val="18"/>
                <w:highlight w:val="yellow"/>
                <w:u w:val="double"/>
                <w:lang w:val="fr-FR" w:eastAsia="fr-FR"/>
              </w:rPr>
            </w:pPr>
            <w:r w:rsidRPr="00892AF8">
              <w:rPr>
                <w:rFonts w:ascii="Arial Narrow" w:eastAsia="Times New Roman" w:hAnsi="Arial Narrow" w:cs="Times New Roman"/>
                <w:sz w:val="18"/>
                <w:szCs w:val="18"/>
                <w:highlight w:val="yellow"/>
                <w:u w:val="double"/>
                <w:lang w:val="fr-FR" w:eastAsia="fr-FR"/>
              </w:rPr>
              <w:t>100</w:t>
            </w:r>
            <w:r w:rsidRPr="00892AF8">
              <w:rPr>
                <w:rFonts w:ascii="Arial Narrow" w:eastAsia="Times New Roman" w:hAnsi="Arial Narrow" w:cs="Times New Roman"/>
                <w:sz w:val="18"/>
                <w:szCs w:val="18"/>
                <w:highlight w:val="yellow"/>
                <w:u w:val="double"/>
                <w:lang w:val="fr-FR" w:eastAsia="fr-FR"/>
              </w:rPr>
              <w:br/>
              <w:t>(100)</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tcPr>
          <w:p w14:paraId="6DCA708A" w14:textId="77777777" w:rsidR="00E65E42" w:rsidRPr="00892AF8" w:rsidRDefault="00E65E42" w:rsidP="00E65E42">
            <w:pPr>
              <w:spacing w:after="0" w:line="240" w:lineRule="auto"/>
              <w:ind w:left="-57"/>
              <w:jc w:val="center"/>
              <w:rPr>
                <w:rFonts w:ascii="Arial Narrow" w:eastAsia="Times New Roman" w:hAnsi="Arial Narrow" w:cs="Times New Roman"/>
                <w:sz w:val="18"/>
                <w:szCs w:val="18"/>
                <w:highlight w:val="yellow"/>
                <w:u w:val="double"/>
                <w:lang w:val="fr-FR" w:eastAsia="fr-FR"/>
              </w:rPr>
            </w:pPr>
            <w:r w:rsidRPr="00892AF8">
              <w:rPr>
                <w:rFonts w:ascii="Arial Narrow" w:eastAsia="Times New Roman" w:hAnsi="Arial Narrow" w:cs="Times New Roman"/>
                <w:sz w:val="18"/>
                <w:szCs w:val="18"/>
                <w:highlight w:val="yellow"/>
                <w:u w:val="double"/>
                <w:lang w:val="fr-FR" w:eastAsia="fr-FR"/>
              </w:rPr>
              <w:t>94.4</w:t>
            </w:r>
            <w:r w:rsidRPr="00892AF8">
              <w:rPr>
                <w:rFonts w:ascii="Arial Narrow" w:eastAsia="Times New Roman" w:hAnsi="Arial Narrow" w:cs="Times New Roman"/>
                <w:sz w:val="18"/>
                <w:szCs w:val="18"/>
                <w:highlight w:val="yellow"/>
                <w:u w:val="double"/>
                <w:lang w:val="fr-FR" w:eastAsia="fr-FR"/>
              </w:rPr>
              <w:br/>
              <w:t>(100)</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tcPr>
          <w:p w14:paraId="0A4C6216" w14:textId="77777777" w:rsidR="00E65E42" w:rsidRPr="00892AF8" w:rsidRDefault="00E65E42" w:rsidP="00E65E42">
            <w:pPr>
              <w:spacing w:after="0" w:line="240" w:lineRule="auto"/>
              <w:ind w:left="-57"/>
              <w:jc w:val="center"/>
              <w:rPr>
                <w:rFonts w:ascii="Arial Narrow" w:eastAsia="Times New Roman" w:hAnsi="Arial Narrow" w:cs="Times New Roman"/>
                <w:sz w:val="18"/>
                <w:szCs w:val="18"/>
                <w:highlight w:val="yellow"/>
                <w:u w:val="double"/>
                <w:lang w:val="en-IE" w:eastAsia="fr-FR"/>
              </w:rPr>
            </w:pPr>
            <w:r w:rsidRPr="00892AF8">
              <w:rPr>
                <w:rFonts w:ascii="Arial Narrow" w:eastAsia="Times New Roman" w:hAnsi="Arial Narrow" w:cs="Times New Roman"/>
                <w:sz w:val="18"/>
                <w:szCs w:val="18"/>
                <w:highlight w:val="yellow"/>
                <w:u w:val="double"/>
                <w:lang w:val="en-IE" w:eastAsia="fr-FR"/>
              </w:rPr>
              <w:t>Pseudo-gold standard</w:t>
            </w:r>
            <w:r w:rsidRPr="00B72FFF">
              <w:rPr>
                <w:rFonts w:ascii="Arial" w:eastAsia="Calibri" w:hAnsi="Arial" w:cs="Arial"/>
                <w:sz w:val="16"/>
                <w:szCs w:val="16"/>
                <w:highlight w:val="yellow"/>
                <w:u w:val="double"/>
                <w:lang w:val="en-NZ"/>
              </w:rPr>
              <w:t>*</w:t>
            </w:r>
          </w:p>
        </w:tc>
        <w:tc>
          <w:tcPr>
            <w:tcW w:w="997" w:type="dxa"/>
            <w:tcBorders>
              <w:top w:val="nil"/>
              <w:left w:val="nil"/>
              <w:bottom w:val="single" w:sz="8" w:space="0" w:color="auto"/>
              <w:right w:val="single" w:sz="8" w:space="0" w:color="auto"/>
            </w:tcBorders>
            <w:tcMar>
              <w:top w:w="0" w:type="dxa"/>
              <w:left w:w="108" w:type="dxa"/>
              <w:bottom w:w="0" w:type="dxa"/>
              <w:right w:w="108" w:type="dxa"/>
            </w:tcMar>
            <w:vAlign w:val="center"/>
          </w:tcPr>
          <w:p w14:paraId="2F5BAB74" w14:textId="77777777" w:rsidR="00E65E42" w:rsidRPr="00892AF8" w:rsidRDefault="00E65E42" w:rsidP="00E65E42">
            <w:pPr>
              <w:spacing w:after="0" w:line="240" w:lineRule="auto"/>
              <w:ind w:left="-57"/>
              <w:jc w:val="center"/>
              <w:rPr>
                <w:rFonts w:ascii="Arial Narrow" w:eastAsia="Times New Roman" w:hAnsi="Arial Narrow" w:cs="Arial"/>
                <w:noProof/>
                <w:sz w:val="18"/>
                <w:szCs w:val="18"/>
                <w:u w:val="double"/>
                <w:lang w:eastAsia="fr-FR"/>
              </w:rPr>
            </w:pPr>
            <w:r w:rsidRPr="00892AF8">
              <w:rPr>
                <w:rFonts w:ascii="Arial Narrow" w:eastAsia="Times New Roman" w:hAnsi="Arial Narrow" w:cs="Arial"/>
                <w:sz w:val="18"/>
                <w:szCs w:val="18"/>
                <w:highlight w:val="yellow"/>
                <w:u w:val="double"/>
                <w:lang w:eastAsia="fr-FR"/>
              </w:rPr>
              <w:t xml:space="preserve">Garver </w:t>
            </w:r>
            <w:r w:rsidRPr="00892AF8">
              <w:rPr>
                <w:rFonts w:ascii="Arial Narrow" w:eastAsia="Times New Roman" w:hAnsi="Arial Narrow" w:cs="Arial"/>
                <w:i/>
                <w:sz w:val="18"/>
                <w:szCs w:val="18"/>
                <w:highlight w:val="yellow"/>
                <w:u w:val="double"/>
              </w:rPr>
              <w:t>et al.,</w:t>
            </w:r>
            <w:r w:rsidRPr="00892AF8">
              <w:rPr>
                <w:rFonts w:ascii="Arial Narrow" w:eastAsia="Times New Roman" w:hAnsi="Arial Narrow" w:cs="Arial"/>
                <w:sz w:val="18"/>
                <w:szCs w:val="18"/>
                <w:highlight w:val="yellow"/>
                <w:u w:val="double"/>
              </w:rPr>
              <w:t xml:space="preserve"> </w:t>
            </w:r>
            <w:r w:rsidRPr="00892AF8">
              <w:rPr>
                <w:rFonts w:ascii="Arial Narrow" w:eastAsia="Times New Roman" w:hAnsi="Arial Narrow" w:cs="Arial"/>
                <w:sz w:val="18"/>
                <w:szCs w:val="18"/>
                <w:highlight w:val="yellow"/>
                <w:u w:val="double"/>
                <w:lang w:eastAsia="fr-FR"/>
              </w:rPr>
              <w:t>2011</w:t>
            </w:r>
          </w:p>
        </w:tc>
      </w:tr>
      <w:tr w:rsidR="00E65E42" w:rsidRPr="00D403F5" w14:paraId="1B55F2D8" w14:textId="77777777" w:rsidTr="00E65E42">
        <w:tc>
          <w:tcPr>
            <w:tcW w:w="7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F98E9DA"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Times New Roman"/>
                <w:sz w:val="18"/>
                <w:szCs w:val="18"/>
                <w:lang w:val="en-IE" w:eastAsia="fr-FR"/>
              </w:rPr>
              <w:t xml:space="preserve">Real-time </w:t>
            </w:r>
            <w:r w:rsidRPr="00D403F5">
              <w:rPr>
                <w:rFonts w:ascii="Arial Narrow" w:eastAsia="Times New Roman" w:hAnsi="Arial Narrow" w:cs="Times New Roman"/>
                <w:sz w:val="18"/>
                <w:szCs w:val="18"/>
                <w:lang w:val="en-IE" w:eastAsia="fr-FR"/>
              </w:rPr>
              <w:br/>
              <w:t>RT-PCR</w:t>
            </w:r>
          </w:p>
        </w:tc>
        <w:tc>
          <w:tcPr>
            <w:tcW w:w="1146" w:type="dxa"/>
            <w:tcBorders>
              <w:top w:val="nil"/>
              <w:left w:val="nil"/>
              <w:bottom w:val="single" w:sz="8" w:space="0" w:color="auto"/>
              <w:right w:val="single" w:sz="8" w:space="0" w:color="auto"/>
            </w:tcBorders>
            <w:tcMar>
              <w:top w:w="0" w:type="dxa"/>
              <w:left w:w="108" w:type="dxa"/>
              <w:bottom w:w="0" w:type="dxa"/>
              <w:right w:w="108" w:type="dxa"/>
            </w:tcMar>
            <w:vAlign w:val="center"/>
          </w:tcPr>
          <w:p w14:paraId="08502BB0"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Surveillance</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tcPr>
          <w:p w14:paraId="06A8AA1A"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Times New Roman"/>
                <w:sz w:val="18"/>
                <w:szCs w:val="18"/>
                <w:lang w:val="en-IE" w:eastAsia="fr-FR"/>
              </w:rPr>
              <w:t>Experimentally infected fish</w:t>
            </w:r>
          </w:p>
        </w:tc>
        <w:tc>
          <w:tcPr>
            <w:tcW w:w="1273" w:type="dxa"/>
            <w:tcBorders>
              <w:top w:val="nil"/>
              <w:left w:val="nil"/>
              <w:bottom w:val="single" w:sz="8" w:space="0" w:color="auto"/>
              <w:right w:val="single" w:sz="8" w:space="0" w:color="auto"/>
            </w:tcBorders>
            <w:tcMar>
              <w:top w:w="0" w:type="dxa"/>
              <w:left w:w="108" w:type="dxa"/>
              <w:bottom w:w="0" w:type="dxa"/>
              <w:right w:w="108" w:type="dxa"/>
            </w:tcMar>
            <w:vAlign w:val="center"/>
          </w:tcPr>
          <w:p w14:paraId="0F924C8A"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Times New Roman"/>
                <w:sz w:val="18"/>
                <w:szCs w:val="18"/>
                <w:lang w:val="en-IE" w:eastAsia="fr-FR"/>
              </w:rPr>
              <w:t>Kidney</w:t>
            </w:r>
          </w:p>
        </w:tc>
        <w:tc>
          <w:tcPr>
            <w:tcW w:w="1132" w:type="dxa"/>
            <w:tcBorders>
              <w:top w:val="nil"/>
              <w:left w:val="nil"/>
              <w:bottom w:val="single" w:sz="8" w:space="0" w:color="auto"/>
              <w:right w:val="single" w:sz="8" w:space="0" w:color="auto"/>
            </w:tcBorders>
            <w:tcMar>
              <w:top w:w="0" w:type="dxa"/>
              <w:left w:w="108" w:type="dxa"/>
              <w:bottom w:w="0" w:type="dxa"/>
              <w:right w:w="108" w:type="dxa"/>
            </w:tcMar>
            <w:vAlign w:val="center"/>
          </w:tcPr>
          <w:p w14:paraId="7A8EFA3C"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Arial"/>
                <w:sz w:val="18"/>
                <w:szCs w:val="18"/>
                <w:lang w:eastAsia="fr-FR"/>
              </w:rPr>
              <w:t>Atlantic salmon</w:t>
            </w:r>
          </w:p>
        </w:tc>
        <w:tc>
          <w:tcPr>
            <w:tcW w:w="707" w:type="dxa"/>
            <w:tcBorders>
              <w:top w:val="nil"/>
              <w:left w:val="nil"/>
              <w:bottom w:val="single" w:sz="8" w:space="0" w:color="auto"/>
              <w:right w:val="single" w:sz="8" w:space="0" w:color="auto"/>
            </w:tcBorders>
            <w:tcMar>
              <w:top w:w="0" w:type="dxa"/>
              <w:left w:w="108" w:type="dxa"/>
              <w:bottom w:w="0" w:type="dxa"/>
              <w:right w:w="108" w:type="dxa"/>
            </w:tcMar>
            <w:vAlign w:val="center"/>
          </w:tcPr>
          <w:p w14:paraId="5A22C12A"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Arial"/>
                <w:sz w:val="18"/>
                <w:szCs w:val="18"/>
                <w:lang w:eastAsia="fr-FR"/>
              </w:rPr>
              <w:t>93 (30)</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tcPr>
          <w:p w14:paraId="02593B5B"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Arial"/>
                <w:sz w:val="18"/>
                <w:szCs w:val="18"/>
                <w:lang w:eastAsia="fr-FR"/>
              </w:rPr>
              <w:t>100 (70)</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tcPr>
          <w:p w14:paraId="3446D665"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en-IE" w:eastAsia="fr-FR"/>
              </w:rPr>
              <w:t>Cell culture</w:t>
            </w:r>
          </w:p>
        </w:tc>
        <w:tc>
          <w:tcPr>
            <w:tcW w:w="997" w:type="dxa"/>
            <w:tcBorders>
              <w:top w:val="nil"/>
              <w:left w:val="nil"/>
              <w:bottom w:val="single" w:sz="8" w:space="0" w:color="auto"/>
              <w:right w:val="single" w:sz="8" w:space="0" w:color="auto"/>
            </w:tcBorders>
            <w:tcMar>
              <w:top w:w="0" w:type="dxa"/>
              <w:left w:w="108" w:type="dxa"/>
              <w:bottom w:w="0" w:type="dxa"/>
              <w:right w:w="108" w:type="dxa"/>
            </w:tcMar>
            <w:vAlign w:val="center"/>
          </w:tcPr>
          <w:p w14:paraId="1C9BAD59"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en-IE" w:eastAsia="fr-FR"/>
              </w:rPr>
            </w:pPr>
            <w:r w:rsidRPr="007B73F2">
              <w:rPr>
                <w:rFonts w:ascii="Arial Narrow" w:eastAsia="Times New Roman" w:hAnsi="Arial Narrow" w:cs="Arial"/>
                <w:sz w:val="18"/>
                <w:szCs w:val="18"/>
                <w:lang w:eastAsia="fr-FR"/>
              </w:rPr>
              <w:t xml:space="preserve">Garver </w:t>
            </w:r>
            <w:r w:rsidRPr="007B73F2">
              <w:rPr>
                <w:rFonts w:ascii="Arial Narrow" w:eastAsia="Times New Roman" w:hAnsi="Arial Narrow" w:cs="Arial"/>
                <w:i/>
                <w:sz w:val="18"/>
                <w:szCs w:val="18"/>
              </w:rPr>
              <w:t>et al.,</w:t>
            </w:r>
            <w:r w:rsidRPr="007B73F2">
              <w:rPr>
                <w:rFonts w:ascii="Arial Narrow" w:eastAsia="Times New Roman" w:hAnsi="Arial Narrow" w:cs="Arial"/>
                <w:sz w:val="18"/>
                <w:szCs w:val="18"/>
              </w:rPr>
              <w:t xml:space="preserve"> </w:t>
            </w:r>
            <w:r w:rsidRPr="007B73F2">
              <w:rPr>
                <w:rFonts w:ascii="Arial Narrow" w:eastAsia="Times New Roman" w:hAnsi="Arial Narrow" w:cs="Arial"/>
                <w:sz w:val="18"/>
                <w:szCs w:val="18"/>
                <w:lang w:eastAsia="fr-FR"/>
              </w:rPr>
              <w:t>2011</w:t>
            </w:r>
          </w:p>
        </w:tc>
      </w:tr>
      <w:tr w:rsidR="00E65E42" w:rsidRPr="00D403F5" w14:paraId="05488643" w14:textId="77777777" w:rsidTr="00E65E42">
        <w:tc>
          <w:tcPr>
            <w:tcW w:w="7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B521532"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Times New Roman"/>
                <w:sz w:val="18"/>
                <w:szCs w:val="18"/>
                <w:lang w:val="en-IE" w:eastAsia="fr-FR"/>
              </w:rPr>
              <w:t xml:space="preserve">Real-time </w:t>
            </w:r>
            <w:r w:rsidRPr="00D403F5">
              <w:rPr>
                <w:rFonts w:ascii="Arial Narrow" w:eastAsia="Times New Roman" w:hAnsi="Arial Narrow" w:cs="Times New Roman"/>
                <w:sz w:val="18"/>
                <w:szCs w:val="18"/>
                <w:lang w:val="en-IE" w:eastAsia="fr-FR"/>
              </w:rPr>
              <w:br/>
              <w:t>RT-PCR</w:t>
            </w:r>
          </w:p>
        </w:tc>
        <w:tc>
          <w:tcPr>
            <w:tcW w:w="114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703F901"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Surveillance</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E746D09"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Times New Roman"/>
                <w:sz w:val="18"/>
                <w:szCs w:val="18"/>
                <w:lang w:val="en-IE" w:eastAsia="fr-FR"/>
              </w:rPr>
              <w:t>Experimentally infected fish</w:t>
            </w:r>
          </w:p>
        </w:tc>
        <w:tc>
          <w:tcPr>
            <w:tcW w:w="127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387CBA9"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Arial"/>
                <w:sz w:val="18"/>
                <w:szCs w:val="18"/>
                <w:lang w:eastAsia="fr-FR"/>
              </w:rPr>
              <w:t>Kidney, heart and spleen</w:t>
            </w:r>
          </w:p>
        </w:tc>
        <w:tc>
          <w:tcPr>
            <w:tcW w:w="113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B9CE09E" w14:textId="77777777" w:rsidR="00E65E42" w:rsidRPr="00D403F5" w:rsidRDefault="00E65E42" w:rsidP="00E65E42">
            <w:pPr>
              <w:spacing w:after="0" w:line="240" w:lineRule="auto"/>
              <w:ind w:left="-57"/>
              <w:jc w:val="center"/>
              <w:rPr>
                <w:rFonts w:ascii="Arial Narrow" w:eastAsia="Times New Roman" w:hAnsi="Arial Narrow" w:cs="Arial"/>
                <w:sz w:val="18"/>
                <w:szCs w:val="18"/>
                <w:lang w:eastAsia="fr-FR"/>
              </w:rPr>
            </w:pPr>
            <w:r w:rsidRPr="00D403F5">
              <w:rPr>
                <w:rFonts w:ascii="Arial Narrow" w:eastAsia="Times New Roman" w:hAnsi="Arial Narrow" w:cs="Arial"/>
                <w:sz w:val="18"/>
                <w:szCs w:val="18"/>
                <w:lang w:eastAsia="fr-FR"/>
              </w:rPr>
              <w:t>Rainbow trout</w:t>
            </w:r>
          </w:p>
        </w:tc>
        <w:tc>
          <w:tcPr>
            <w:tcW w:w="7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C61FF84"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90 (84)</w:t>
            </w:r>
          </w:p>
        </w:tc>
        <w:tc>
          <w:tcPr>
            <w:tcW w:w="7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6943701"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100 (43)</w:t>
            </w:r>
          </w:p>
        </w:tc>
        <w:tc>
          <w:tcPr>
            <w:tcW w:w="107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F0F0936" w14:textId="77777777" w:rsidR="00E65E42" w:rsidRPr="00D403F5" w:rsidRDefault="00E65E42" w:rsidP="00E65E42">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Cell culture</w:t>
            </w:r>
          </w:p>
        </w:tc>
        <w:tc>
          <w:tcPr>
            <w:tcW w:w="9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EE15361" w14:textId="77777777" w:rsidR="00E65E42" w:rsidRPr="00D403F5" w:rsidRDefault="00E65E42" w:rsidP="00E65E42">
            <w:pPr>
              <w:spacing w:after="0" w:line="240" w:lineRule="auto"/>
              <w:ind w:left="-57"/>
              <w:jc w:val="center"/>
              <w:rPr>
                <w:rFonts w:ascii="Arial Narrow" w:eastAsia="Times New Roman" w:hAnsi="Arial Narrow" w:cs="Arial"/>
                <w:noProof/>
                <w:sz w:val="18"/>
                <w:szCs w:val="18"/>
                <w:lang w:eastAsia="fr-FR"/>
              </w:rPr>
            </w:pPr>
            <w:r w:rsidRPr="007B73F2">
              <w:rPr>
                <w:rFonts w:ascii="Arial Narrow" w:eastAsia="Times New Roman" w:hAnsi="Arial Narrow" w:cs="Arial"/>
                <w:noProof/>
                <w:sz w:val="18"/>
                <w:szCs w:val="18"/>
                <w:lang w:eastAsia="fr-FR"/>
              </w:rPr>
              <w:t>Jonstrup</w:t>
            </w:r>
            <w:r w:rsidRPr="00D403F5">
              <w:rPr>
                <w:rFonts w:ascii="Arial Narrow" w:eastAsia="Times New Roman" w:hAnsi="Arial Narrow" w:cs="Arial"/>
                <w:noProof/>
                <w:sz w:val="18"/>
                <w:szCs w:val="18"/>
                <w:lang w:eastAsia="fr-FR"/>
              </w:rPr>
              <w:t xml:space="preserve"> </w:t>
            </w:r>
            <w:r w:rsidRPr="00D403F5">
              <w:rPr>
                <w:rFonts w:ascii="Arial Narrow" w:eastAsia="Times New Roman" w:hAnsi="Arial Narrow" w:cs="Arial"/>
                <w:noProof/>
                <w:sz w:val="18"/>
                <w:szCs w:val="18"/>
                <w:lang w:eastAsia="fr-FR"/>
              </w:rPr>
              <w:br/>
            </w:r>
            <w:r w:rsidRPr="00D403F5">
              <w:rPr>
                <w:rFonts w:ascii="Arial Narrow" w:eastAsia="Times New Roman" w:hAnsi="Arial Narrow" w:cs="Arial"/>
                <w:i/>
                <w:sz w:val="18"/>
                <w:szCs w:val="18"/>
              </w:rPr>
              <w:t>et al.,</w:t>
            </w:r>
            <w:r w:rsidRPr="00D403F5">
              <w:rPr>
                <w:rFonts w:ascii="Arial Narrow" w:eastAsia="Times New Roman" w:hAnsi="Arial Narrow" w:cs="Arial"/>
                <w:sz w:val="18"/>
                <w:szCs w:val="18"/>
              </w:rPr>
              <w:t xml:space="preserve"> </w:t>
            </w:r>
            <w:r w:rsidRPr="00D403F5">
              <w:rPr>
                <w:rFonts w:ascii="Arial Narrow" w:eastAsia="Times New Roman" w:hAnsi="Arial Narrow" w:cs="Arial"/>
                <w:noProof/>
                <w:sz w:val="18"/>
                <w:szCs w:val="18"/>
                <w:lang w:eastAsia="fr-FR"/>
              </w:rPr>
              <w:t>201</w:t>
            </w:r>
            <w:r w:rsidRPr="007350DD">
              <w:rPr>
                <w:rFonts w:ascii="Arial Narrow" w:eastAsia="Times New Roman" w:hAnsi="Arial Narrow" w:cs="Arial"/>
                <w:noProof/>
                <w:sz w:val="18"/>
                <w:szCs w:val="18"/>
                <w:highlight w:val="yellow"/>
                <w:u w:val="double"/>
                <w:lang w:eastAsia="fr-FR"/>
              </w:rPr>
              <w:t>3</w:t>
            </w:r>
          </w:p>
        </w:tc>
      </w:tr>
    </w:tbl>
    <w:p w14:paraId="4A535988" w14:textId="77777777" w:rsidR="00E65E42" w:rsidRPr="00A76E83" w:rsidRDefault="00E65E42" w:rsidP="00E65E42">
      <w:pPr>
        <w:spacing w:before="120" w:after="240"/>
        <w:ind w:firstLine="284"/>
        <w:jc w:val="center"/>
        <w:rPr>
          <w:rFonts w:ascii="Calibri" w:eastAsia="Calibri" w:hAnsi="Calibri" w:cs="Times New Roman"/>
          <w:sz w:val="16"/>
          <w:szCs w:val="16"/>
          <w:lang w:val="en-NZ"/>
        </w:rPr>
      </w:pPr>
      <w:r w:rsidRPr="00B72FFF">
        <w:rPr>
          <w:rFonts w:ascii="Arial" w:eastAsia="Calibri" w:hAnsi="Arial" w:cs="Arial"/>
          <w:sz w:val="16"/>
          <w:szCs w:val="16"/>
          <w:highlight w:val="yellow"/>
          <w:u w:val="double"/>
          <w:lang w:val="en-NZ"/>
        </w:rPr>
        <w:t xml:space="preserve">* a compilation of 8 test results to evaluate both the RT-qPCR and virus isolation assay (Garver </w:t>
      </w:r>
      <w:r w:rsidRPr="00AE3567">
        <w:rPr>
          <w:rFonts w:ascii="Arial" w:eastAsia="Calibri" w:hAnsi="Arial" w:cs="Arial"/>
          <w:i/>
          <w:iCs/>
          <w:sz w:val="16"/>
          <w:szCs w:val="16"/>
          <w:highlight w:val="yellow"/>
          <w:u w:val="double"/>
          <w:lang w:val="en-NZ"/>
        </w:rPr>
        <w:t>et al,</w:t>
      </w:r>
      <w:r w:rsidRPr="00AE3567">
        <w:rPr>
          <w:rFonts w:ascii="Arial" w:eastAsia="Calibri" w:hAnsi="Arial" w:cs="Arial"/>
          <w:sz w:val="16"/>
          <w:szCs w:val="16"/>
          <w:highlight w:val="yellow"/>
          <w:u w:val="double"/>
          <w:lang w:val="en-NZ"/>
        </w:rPr>
        <w:t xml:space="preserve"> 2011);</w:t>
      </w:r>
      <w:r>
        <w:rPr>
          <w:rFonts w:ascii="Arial" w:eastAsia="Calibri" w:hAnsi="Arial" w:cs="Arial"/>
          <w:sz w:val="16"/>
          <w:szCs w:val="16"/>
          <w:u w:val="double"/>
          <w:lang w:val="en-NZ"/>
        </w:rPr>
        <w:t xml:space="preserve">                    </w:t>
      </w:r>
      <w:r w:rsidRPr="00A76E83">
        <w:rPr>
          <w:rFonts w:ascii="Arial" w:eastAsia="Calibri" w:hAnsi="Arial" w:cs="Arial"/>
          <w:sz w:val="16"/>
          <w:szCs w:val="16"/>
          <w:lang w:val="en-NZ"/>
        </w:rPr>
        <w:t xml:space="preserve">DSe = diagnostic sensitivity, DSp = diagnostic specificity; </w:t>
      </w:r>
      <w:r w:rsidRPr="00A76E83">
        <w:rPr>
          <w:rFonts w:ascii="Arial" w:hAnsi="Arial"/>
          <w:i/>
          <w:iCs/>
          <w:sz w:val="16"/>
          <w:szCs w:val="16"/>
          <w:highlight w:val="yellow"/>
          <w:u w:val="double"/>
        </w:rPr>
        <w:t>n</w:t>
      </w:r>
      <w:r w:rsidRPr="00A76E83">
        <w:rPr>
          <w:rFonts w:ascii="Arial" w:hAnsi="Arial"/>
          <w:sz w:val="16"/>
          <w:szCs w:val="16"/>
          <w:highlight w:val="yellow"/>
          <w:u w:val="double"/>
        </w:rPr>
        <w:t xml:space="preserve"> = number of samples used in the study</w:t>
      </w:r>
      <w:r w:rsidRPr="00A76E83">
        <w:rPr>
          <w:rFonts w:ascii="Arial" w:eastAsia="Calibri" w:hAnsi="Arial" w:cs="Arial"/>
          <w:sz w:val="16"/>
          <w:szCs w:val="16"/>
          <w:lang w:val="en-NZ"/>
        </w:rPr>
        <w:t xml:space="preserve"> .</w:t>
      </w:r>
    </w:p>
    <w:p w14:paraId="7A9EA226" w14:textId="77777777" w:rsidR="00E65E42" w:rsidRPr="00D62973" w:rsidRDefault="00E65E42" w:rsidP="00E65E42">
      <w:pPr>
        <w:spacing w:after="240" w:line="240" w:lineRule="auto"/>
        <w:ind w:left="284" w:hanging="284"/>
        <w:jc w:val="both"/>
        <w:rPr>
          <w:rFonts w:ascii="Ottawa" w:eastAsia="MS Mincho" w:hAnsi="Ottawa" w:cs="Times New Roman"/>
          <w:b/>
          <w:lang w:eastAsia="fr-FR" w:bidi="en-US"/>
        </w:rPr>
      </w:pPr>
      <w:r w:rsidRPr="00D62973">
        <w:rPr>
          <w:rFonts w:ascii="Ottawa" w:eastAsia="MS Mincho" w:hAnsi="Ottawa" w:cs="Times New Roman"/>
          <w:b/>
          <w:lang w:eastAsia="fr-FR" w:bidi="en-US"/>
        </w:rPr>
        <w:t>7.</w:t>
      </w:r>
      <w:r w:rsidRPr="00D62973">
        <w:rPr>
          <w:rFonts w:ascii="Ottawa" w:eastAsia="MS Mincho" w:hAnsi="Ottawa" w:cs="Times New Roman"/>
          <w:b/>
          <w:lang w:eastAsia="fr-FR" w:bidi="en-US"/>
        </w:rPr>
        <w:tab/>
        <w:t>References</w:t>
      </w:r>
    </w:p>
    <w:p w14:paraId="32BF93A7" w14:textId="77777777" w:rsidR="00E65E42" w:rsidRPr="00D403F5" w:rsidRDefault="00E65E42" w:rsidP="001E34B0">
      <w:pPr>
        <w:spacing w:after="28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Ahne</w:t>
      </w:r>
      <w:r w:rsidRPr="00D403F5">
        <w:rPr>
          <w:rFonts w:ascii="Arial" w:eastAsia="Times New Roman" w:hAnsi="Arial" w:cs="Arial"/>
          <w:sz w:val="18"/>
          <w:szCs w:val="18"/>
          <w:lang w:bidi="en-US"/>
        </w:rPr>
        <w:t xml:space="preserve"> W. (1982). Vergleichende Untersuchung über die Stabilität von vier fischpatogenen Viren (VHSV, PFR, SVCV, IPNV) (Comparative studies on the stability of four fish-pathogenic viruses [VHSV, PFR, SVCV, IPNV]). </w:t>
      </w:r>
      <w:r w:rsidRPr="00D403F5">
        <w:rPr>
          <w:rFonts w:ascii="Arial" w:eastAsia="Times New Roman" w:hAnsi="Arial" w:cs="Arial"/>
          <w:i/>
          <w:sz w:val="18"/>
          <w:szCs w:val="18"/>
          <w:lang w:bidi="en-US"/>
        </w:rPr>
        <w:t xml:space="preserve">Zentralbl. Veterinarmed. </w:t>
      </w:r>
      <w:r w:rsidRPr="00D403F5">
        <w:rPr>
          <w:rFonts w:ascii="Arial" w:eastAsia="Times New Roman" w:hAnsi="Arial" w:cs="Arial"/>
          <w:sz w:val="18"/>
          <w:szCs w:val="18"/>
          <w:lang w:bidi="en-US"/>
        </w:rPr>
        <w:t>[</w:t>
      </w:r>
      <w:r w:rsidRPr="00D403F5">
        <w:rPr>
          <w:rFonts w:ascii="Arial" w:eastAsia="Times New Roman" w:hAnsi="Arial" w:cs="Arial"/>
          <w:i/>
          <w:sz w:val="18"/>
          <w:szCs w:val="18"/>
          <w:lang w:bidi="en-US"/>
        </w:rPr>
        <w:t>B</w:t>
      </w:r>
      <w:r w:rsidRPr="00D403F5">
        <w:rPr>
          <w:rFonts w:ascii="Arial" w:eastAsia="Times New Roman" w:hAnsi="Arial" w:cs="Arial"/>
          <w:sz w:val="18"/>
          <w:szCs w:val="18"/>
          <w:lang w:bidi="en-US"/>
        </w:rPr>
        <w:t>]</w:t>
      </w:r>
      <w:r w:rsidRPr="00D403F5">
        <w:rPr>
          <w:rFonts w:ascii="Arial" w:eastAsia="Times New Roman" w:hAnsi="Arial" w:cs="Arial"/>
          <w:i/>
          <w:sz w:val="18"/>
          <w:szCs w:val="18"/>
          <w:lang w:bidi="en-US"/>
        </w:rPr>
        <w:t>,</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29</w:t>
      </w:r>
      <w:r w:rsidRPr="00D403F5">
        <w:rPr>
          <w:rFonts w:ascii="Arial" w:eastAsia="Times New Roman" w:hAnsi="Arial" w:cs="Arial"/>
          <w:sz w:val="18"/>
          <w:szCs w:val="18"/>
          <w:lang w:bidi="en-US"/>
        </w:rPr>
        <w:t>, 457–476. (In German).</w:t>
      </w:r>
    </w:p>
    <w:p w14:paraId="7A902D47" w14:textId="77777777" w:rsidR="00E65E42" w:rsidRPr="00D403F5" w:rsidRDefault="00E65E42" w:rsidP="001E34B0">
      <w:pPr>
        <w:spacing w:after="280" w:line="240" w:lineRule="auto"/>
        <w:ind w:left="284"/>
        <w:jc w:val="both"/>
        <w:rPr>
          <w:rFonts w:ascii="Arial" w:eastAsia="Times New Roman" w:hAnsi="Arial" w:cs="Arial"/>
          <w:sz w:val="18"/>
          <w:szCs w:val="18"/>
          <w:lang w:bidi="en-US"/>
        </w:rPr>
      </w:pPr>
      <w:r w:rsidRPr="00D403F5">
        <w:rPr>
          <w:rFonts w:ascii="Arial" w:eastAsia="Times New Roman" w:hAnsi="Arial" w:cs="Times New Roman"/>
          <w:bCs/>
          <w:smallCaps/>
          <w:sz w:val="18"/>
          <w:szCs w:val="18"/>
          <w:lang w:val="en-IE" w:bidi="en-US"/>
        </w:rPr>
        <w:t>Altuntas C. &amp; Ogut H.</w:t>
      </w:r>
      <w:r w:rsidRPr="00D403F5">
        <w:rPr>
          <w:rFonts w:ascii="Arial" w:eastAsia="Times New Roman" w:hAnsi="Arial" w:cs="Times New Roman"/>
          <w:bCs/>
          <w:sz w:val="18"/>
          <w:szCs w:val="18"/>
          <w:lang w:val="en-IE" w:bidi="en-US"/>
        </w:rPr>
        <w:t xml:space="preserve"> (2010). Monthly occurrence and prevalence of viral haemorrhagic septicaemia virus (VHSV) in whiting </w:t>
      </w:r>
      <w:r w:rsidRPr="00D403F5">
        <w:rPr>
          <w:rFonts w:ascii="Arial" w:eastAsia="Times New Roman" w:hAnsi="Arial" w:cs="Times New Roman"/>
          <w:bCs/>
          <w:i/>
          <w:sz w:val="18"/>
          <w:szCs w:val="18"/>
          <w:lang w:val="en-IE" w:bidi="en-US"/>
        </w:rPr>
        <w:t>Merlangius merlangus. Dis. Aquat. Org</w:t>
      </w:r>
      <w:r w:rsidRPr="00D403F5">
        <w:rPr>
          <w:rFonts w:ascii="Arial" w:eastAsia="Times New Roman" w:hAnsi="Arial" w:cs="Times New Roman"/>
          <w:bCs/>
          <w:sz w:val="18"/>
          <w:szCs w:val="18"/>
          <w:lang w:val="en-IE" w:bidi="en-US"/>
        </w:rPr>
        <w:t xml:space="preserve">., </w:t>
      </w:r>
      <w:r w:rsidRPr="00D403F5">
        <w:rPr>
          <w:rFonts w:ascii="Arial" w:eastAsia="Times New Roman" w:hAnsi="Arial" w:cs="Times New Roman"/>
          <w:b/>
          <w:bCs/>
          <w:sz w:val="18"/>
          <w:szCs w:val="18"/>
          <w:lang w:val="en-IE" w:bidi="en-US"/>
        </w:rPr>
        <w:t>88</w:t>
      </w:r>
      <w:r w:rsidRPr="00D403F5">
        <w:rPr>
          <w:rFonts w:ascii="Arial" w:eastAsia="Times New Roman" w:hAnsi="Arial" w:cs="Times New Roman"/>
          <w:bCs/>
          <w:sz w:val="18"/>
          <w:szCs w:val="18"/>
          <w:lang w:val="en-IE" w:bidi="en-US"/>
        </w:rPr>
        <w:t>, 107–113.</w:t>
      </w:r>
    </w:p>
    <w:p w14:paraId="0826052B" w14:textId="77777777" w:rsidR="00E65E42" w:rsidRPr="00B82C30" w:rsidRDefault="00E65E42" w:rsidP="001E34B0">
      <w:pPr>
        <w:spacing w:after="280" w:line="240" w:lineRule="auto"/>
        <w:ind w:left="284"/>
        <w:jc w:val="both"/>
        <w:rPr>
          <w:rFonts w:ascii="Arial" w:eastAsia="Times New Roman" w:hAnsi="Arial" w:cs="Arial"/>
          <w:sz w:val="18"/>
          <w:szCs w:val="18"/>
          <w:lang w:val="nb-NO" w:bidi="en-US"/>
        </w:rPr>
      </w:pPr>
      <w:r w:rsidRPr="00D403F5">
        <w:rPr>
          <w:rFonts w:ascii="Arial" w:eastAsia="Times New Roman" w:hAnsi="Arial" w:cs="Arial"/>
          <w:smallCaps/>
          <w:sz w:val="18"/>
          <w:szCs w:val="18"/>
          <w:lang w:bidi="en-US"/>
        </w:rPr>
        <w:t>Arkush K.D., Mendonca H.L., Mcbride A.M., Yun S., Mcdowell T.S. &amp; Hedrick R.P.</w:t>
      </w:r>
      <w:r w:rsidRPr="00D403F5">
        <w:rPr>
          <w:rFonts w:ascii="Arial" w:eastAsia="Times New Roman" w:hAnsi="Arial" w:cs="Arial"/>
          <w:sz w:val="18"/>
          <w:szCs w:val="18"/>
          <w:lang w:bidi="en-US"/>
        </w:rPr>
        <w:t xml:space="preserve"> (2006). Effects of temperature on infectivity and of commercial freezing on survival of the North American strain of viral hemorrhagic septicemia virus (VHSV). </w:t>
      </w:r>
      <w:r w:rsidRPr="00B82C30">
        <w:rPr>
          <w:rFonts w:ascii="Arial" w:eastAsia="Times New Roman" w:hAnsi="Arial" w:cs="Arial"/>
          <w:i/>
          <w:sz w:val="18"/>
          <w:szCs w:val="18"/>
          <w:lang w:val="nb-NO" w:bidi="en-US"/>
        </w:rPr>
        <w:t>Dis. Aquat. Org.,</w:t>
      </w:r>
      <w:r w:rsidRPr="00B82C30">
        <w:rPr>
          <w:rFonts w:ascii="Arial" w:eastAsia="Times New Roman" w:hAnsi="Arial" w:cs="Arial"/>
          <w:sz w:val="18"/>
          <w:szCs w:val="18"/>
          <w:lang w:val="nb-NO" w:bidi="en-US"/>
        </w:rPr>
        <w:t xml:space="preserve"> </w:t>
      </w:r>
      <w:r w:rsidRPr="00B82C30">
        <w:rPr>
          <w:rFonts w:ascii="Arial" w:eastAsia="Times New Roman" w:hAnsi="Arial" w:cs="Arial"/>
          <w:b/>
          <w:sz w:val="18"/>
          <w:szCs w:val="18"/>
          <w:lang w:val="nb-NO" w:bidi="en-US"/>
        </w:rPr>
        <w:t>69</w:t>
      </w:r>
      <w:r w:rsidRPr="00B82C30">
        <w:rPr>
          <w:rFonts w:ascii="Arial" w:eastAsia="Times New Roman" w:hAnsi="Arial" w:cs="Arial"/>
          <w:sz w:val="18"/>
          <w:szCs w:val="18"/>
          <w:lang w:val="nb-NO" w:bidi="en-US"/>
        </w:rPr>
        <w:t>, 145–151.</w:t>
      </w:r>
    </w:p>
    <w:p w14:paraId="35A0E637" w14:textId="77777777" w:rsidR="00E65E42" w:rsidRPr="00D403F5" w:rsidRDefault="00E65E42" w:rsidP="001E34B0">
      <w:pPr>
        <w:spacing w:after="280" w:line="240" w:lineRule="auto"/>
        <w:ind w:left="284"/>
        <w:jc w:val="both"/>
        <w:rPr>
          <w:rFonts w:ascii="Arial" w:eastAsia="Times New Roman" w:hAnsi="Arial" w:cs="Times New Roman"/>
          <w:sz w:val="18"/>
          <w:szCs w:val="18"/>
          <w:lang w:val="en-IE" w:bidi="en-US"/>
        </w:rPr>
      </w:pPr>
      <w:r w:rsidRPr="00B82C30">
        <w:rPr>
          <w:rFonts w:ascii="Arial" w:eastAsia="Times New Roman" w:hAnsi="Arial" w:cs="Times New Roman"/>
          <w:smallCaps/>
          <w:sz w:val="18"/>
          <w:szCs w:val="18"/>
          <w:lang w:val="nb-NO" w:bidi="en-US"/>
        </w:rPr>
        <w:t>Auinger B.M., Pfandl K. &amp; Boenigk J.</w:t>
      </w:r>
      <w:r w:rsidRPr="00B82C30">
        <w:rPr>
          <w:rFonts w:ascii="Arial" w:eastAsia="Times New Roman" w:hAnsi="Arial" w:cs="Times New Roman"/>
          <w:sz w:val="18"/>
          <w:szCs w:val="18"/>
          <w:lang w:val="nb-NO" w:bidi="en-US"/>
        </w:rPr>
        <w:t xml:space="preserve"> (2008). </w:t>
      </w:r>
      <w:r w:rsidRPr="00D403F5">
        <w:rPr>
          <w:rFonts w:ascii="Arial" w:eastAsia="Times New Roman" w:hAnsi="Arial" w:cs="Times New Roman"/>
          <w:sz w:val="18"/>
          <w:szCs w:val="18"/>
          <w:lang w:val="en-IE" w:bidi="en-US"/>
        </w:rPr>
        <w:t xml:space="preserve">Improved methodology for identification of protists and microalgae from plankton samples preserved in Lugol’s iodine solution: combining microscopic analysis with single-cell PCR. </w:t>
      </w:r>
      <w:r w:rsidRPr="00D403F5">
        <w:rPr>
          <w:rFonts w:ascii="Arial" w:eastAsia="Times New Roman" w:hAnsi="Arial" w:cs="Times New Roman"/>
          <w:i/>
          <w:sz w:val="18"/>
          <w:szCs w:val="18"/>
          <w:lang w:val="en-IE" w:bidi="en-US"/>
        </w:rPr>
        <w:t xml:space="preserve">Appl. Environ. Microbiol., </w:t>
      </w:r>
      <w:r w:rsidRPr="00D403F5">
        <w:rPr>
          <w:rFonts w:ascii="Arial" w:eastAsia="Times New Roman" w:hAnsi="Arial" w:cs="Times New Roman"/>
          <w:b/>
          <w:sz w:val="18"/>
          <w:szCs w:val="18"/>
          <w:lang w:val="en-IE" w:bidi="en-US"/>
        </w:rPr>
        <w:t>74</w:t>
      </w:r>
      <w:r w:rsidRPr="00D403F5">
        <w:rPr>
          <w:rFonts w:ascii="Arial" w:eastAsia="Times New Roman" w:hAnsi="Arial" w:cs="Times New Roman"/>
          <w:sz w:val="18"/>
          <w:szCs w:val="18"/>
          <w:lang w:val="en-IE" w:bidi="en-US"/>
        </w:rPr>
        <w:t>, 2505–2510.</w:t>
      </w:r>
    </w:p>
    <w:p w14:paraId="43D309AC" w14:textId="77777777" w:rsidR="00DD4A56" w:rsidRDefault="00DD4A56">
      <w:pPr>
        <w:rPr>
          <w:u w:val="single"/>
          <w:lang w:val="en-IE"/>
        </w:rPr>
      </w:pPr>
      <w:r>
        <w:rPr>
          <w:u w:val="single"/>
          <w:lang w:val="en-IE"/>
        </w:rPr>
        <w:br w:type="page"/>
      </w:r>
    </w:p>
    <w:p w14:paraId="50CB394E" w14:textId="0D384C47" w:rsidR="00DD4A56" w:rsidRPr="008A67C2" w:rsidRDefault="00DD4A56" w:rsidP="00DD4A56">
      <w:pPr>
        <w:spacing w:after="480" w:line="240" w:lineRule="auto"/>
        <w:jc w:val="right"/>
        <w:rPr>
          <w:rFonts w:cs="Times New Roman"/>
          <w:bCs/>
          <w:iCs/>
          <w:szCs w:val="20"/>
        </w:rPr>
      </w:pP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78AC8A2B" w14:textId="77777777" w:rsidR="00E65E42" w:rsidRPr="00D403F5" w:rsidRDefault="00E65E42" w:rsidP="001E34B0">
      <w:pPr>
        <w:spacing w:after="280" w:line="240" w:lineRule="auto"/>
        <w:ind w:left="284"/>
        <w:jc w:val="both"/>
        <w:rPr>
          <w:rFonts w:ascii="Arial" w:eastAsia="Times New Roman" w:hAnsi="Arial" w:cs="Arial"/>
          <w:smallCaps/>
          <w:sz w:val="18"/>
          <w:szCs w:val="18"/>
          <w:lang w:bidi="en-US"/>
        </w:rPr>
      </w:pPr>
      <w:r w:rsidRPr="00D403F5">
        <w:rPr>
          <w:rFonts w:ascii="Arial" w:eastAsia="Times New Roman" w:hAnsi="Arial" w:cs="Times New Roman"/>
          <w:smallCaps/>
          <w:sz w:val="18"/>
          <w:szCs w:val="18"/>
          <w:lang w:val="en-IE" w:bidi="en-US"/>
        </w:rPr>
        <w:t>Batts W.N., Traxler G.S. &amp; Winton J.R</w:t>
      </w:r>
      <w:r w:rsidRPr="00D403F5">
        <w:rPr>
          <w:rFonts w:ascii="Arial" w:eastAsia="Times New Roman" w:hAnsi="Arial" w:cs="Times New Roman"/>
          <w:sz w:val="18"/>
          <w:szCs w:val="18"/>
          <w:lang w:val="en-IE" w:bidi="en-US"/>
        </w:rPr>
        <w:t xml:space="preserve">. (1991). Factors affecting the efficiency of plating for selected fish rhabdoviruses. </w:t>
      </w:r>
      <w:r w:rsidRPr="00D403F5">
        <w:rPr>
          <w:rFonts w:ascii="Arial" w:eastAsia="Times New Roman" w:hAnsi="Arial" w:cs="Times New Roman"/>
          <w:i/>
          <w:sz w:val="18"/>
          <w:szCs w:val="18"/>
          <w:lang w:val="en-IE" w:bidi="en-US"/>
        </w:rPr>
        <w:t>In:</w:t>
      </w:r>
      <w:r w:rsidRPr="00D403F5">
        <w:rPr>
          <w:rFonts w:ascii="Arial" w:eastAsia="Times New Roman" w:hAnsi="Arial" w:cs="Times New Roman"/>
          <w:sz w:val="18"/>
          <w:szCs w:val="18"/>
          <w:lang w:val="en-IE" w:bidi="en-US"/>
        </w:rPr>
        <w:t xml:space="preserve"> Proceeding of the 2nd International Symposium on Viruses of Lower Vertebrates, Fryer J.L., ed. July 29–31, Oregon University, Corvallis, OR, 17−24.</w:t>
      </w:r>
    </w:p>
    <w:p w14:paraId="0E3D8AAF" w14:textId="77777777" w:rsidR="00E65E42" w:rsidRPr="00D403F5" w:rsidRDefault="00E65E42" w:rsidP="001E34B0">
      <w:pPr>
        <w:spacing w:after="28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Bovo G., Håstein T., Hill B., LaPatra S., Michel C., Olesen N.J., Shchelkunov I., Storset A., Wollfrom T. &amp; Midtlying P.J.</w:t>
      </w:r>
      <w:r w:rsidRPr="00D403F5">
        <w:rPr>
          <w:rFonts w:ascii="Arial" w:eastAsia="Times New Roman" w:hAnsi="Arial" w:cs="Arial"/>
          <w:sz w:val="18"/>
          <w:szCs w:val="18"/>
          <w:lang w:bidi="en-US"/>
        </w:rPr>
        <w:t xml:space="preserve"> (2005a). QLK2-CT-2002-01546: Fish Egg Trade Work package 1 report: Hazard identification for vertical transfer of fish disease agents, 1–35. VESO, P.O. Box 8109, Dep., N-0032 Oslo, Norway. </w:t>
      </w:r>
    </w:p>
    <w:p w14:paraId="69FE272D" w14:textId="77777777" w:rsidR="00E65E42" w:rsidRPr="00D403F5" w:rsidRDefault="00E65E42" w:rsidP="001E34B0">
      <w:pPr>
        <w:spacing w:after="28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Bovo G., Hill B., Husby A., Håstein T., Michel C., Olesen N.J., Storset A. &amp; Midtlyng P.</w:t>
      </w:r>
      <w:r w:rsidRPr="00D403F5">
        <w:rPr>
          <w:rFonts w:ascii="Arial" w:eastAsia="Times New Roman" w:hAnsi="Arial" w:cs="Arial"/>
          <w:sz w:val="18"/>
          <w:szCs w:val="18"/>
          <w:lang w:bidi="en-US"/>
        </w:rPr>
        <w:t xml:space="preserve"> (2005b). Fish Egg Trade Work package 3 report: Pathogen survival outside the host, and susceptibility to disinfection, 1–53. VESO, P.O. Box 8109 Dep., N-0032 Oslo, Norway. Available at: http://</w:t>
      </w:r>
      <w:hyperlink r:id="rId208" w:history="1">
        <w:r w:rsidRPr="00D403F5">
          <w:rPr>
            <w:rFonts w:ascii="Arial" w:eastAsia="Times New Roman" w:hAnsi="Arial" w:cs="Arial"/>
            <w:color w:val="0000FF"/>
            <w:sz w:val="18"/>
            <w:szCs w:val="18"/>
            <w:lang w:bidi="en-US"/>
          </w:rPr>
          <w:t>www.eurl-fish.eu/-/media/Sites/EURL-FISH/english/activities/scientific%20reports/fisheggtrade%20wp_3.ashx?la=da</w:t>
        </w:r>
      </w:hyperlink>
      <w:r w:rsidRPr="00D403F5">
        <w:rPr>
          <w:rFonts w:ascii="Arial" w:eastAsia="Times New Roman" w:hAnsi="Arial" w:cs="Arial"/>
          <w:sz w:val="18"/>
          <w:szCs w:val="18"/>
          <w:lang w:bidi="en-US"/>
        </w:rPr>
        <w:t xml:space="preserve"> </w:t>
      </w:r>
    </w:p>
    <w:p w14:paraId="5631CDC0" w14:textId="77777777" w:rsidR="00E65E42" w:rsidRPr="00912356" w:rsidRDefault="00E65E42" w:rsidP="001E34B0">
      <w:pPr>
        <w:spacing w:after="280" w:line="240" w:lineRule="auto"/>
        <w:ind w:left="284"/>
        <w:jc w:val="both"/>
        <w:rPr>
          <w:rFonts w:ascii="Arial" w:eastAsia="Times New Roman" w:hAnsi="Arial" w:cs="Times New Roman"/>
          <w:bCs/>
          <w:sz w:val="18"/>
          <w:szCs w:val="18"/>
          <w:u w:val="double"/>
          <w:lang w:val="en-US" w:bidi="en-US"/>
        </w:rPr>
      </w:pPr>
      <w:r w:rsidRPr="00912356">
        <w:rPr>
          <w:rFonts w:ascii="Arial" w:eastAsia="Times New Roman" w:hAnsi="Arial" w:cs="Times New Roman"/>
          <w:bCs/>
          <w:smallCaps/>
          <w:sz w:val="18"/>
          <w:szCs w:val="18"/>
          <w:highlight w:val="yellow"/>
          <w:u w:val="double"/>
          <w:lang w:val="en-US" w:bidi="en-US"/>
        </w:rPr>
        <w:t xml:space="preserve">Castric J. &amp; </w:t>
      </w:r>
      <w:r>
        <w:rPr>
          <w:rFonts w:ascii="Arial" w:eastAsia="Times New Roman" w:hAnsi="Arial" w:cs="Times New Roman"/>
          <w:bCs/>
          <w:smallCaps/>
          <w:sz w:val="18"/>
          <w:szCs w:val="18"/>
          <w:highlight w:val="yellow"/>
          <w:u w:val="double"/>
          <w:lang w:val="en-US" w:bidi="en-US"/>
        </w:rPr>
        <w:t xml:space="preserve">de </w:t>
      </w:r>
      <w:r w:rsidRPr="00912356">
        <w:rPr>
          <w:rFonts w:ascii="Arial" w:eastAsia="Times New Roman" w:hAnsi="Arial" w:cs="Times New Roman"/>
          <w:bCs/>
          <w:smallCaps/>
          <w:sz w:val="18"/>
          <w:szCs w:val="18"/>
          <w:highlight w:val="yellow"/>
          <w:u w:val="double"/>
          <w:lang w:val="en-US" w:bidi="en-US"/>
        </w:rPr>
        <w:t>Kinkelin P.</w:t>
      </w:r>
      <w:r w:rsidRPr="00912356">
        <w:rPr>
          <w:rFonts w:ascii="Arial" w:eastAsia="Times New Roman" w:hAnsi="Arial" w:cs="Times New Roman"/>
          <w:bCs/>
          <w:sz w:val="18"/>
          <w:szCs w:val="18"/>
          <w:highlight w:val="yellow"/>
          <w:u w:val="double"/>
          <w:lang w:val="en-US" w:bidi="en-US"/>
        </w:rPr>
        <w:t xml:space="preserve"> </w:t>
      </w:r>
      <w:r w:rsidRPr="00912356">
        <w:rPr>
          <w:rFonts w:ascii="Arial" w:eastAsia="Times New Roman" w:hAnsi="Arial" w:cs="Times New Roman"/>
          <w:bCs/>
          <w:caps/>
          <w:sz w:val="18"/>
          <w:szCs w:val="18"/>
          <w:highlight w:val="yellow"/>
          <w:u w:val="double"/>
          <w:lang w:val="en-US" w:bidi="en-US"/>
        </w:rPr>
        <w:t>(1</w:t>
      </w:r>
      <w:r w:rsidRPr="00912356">
        <w:rPr>
          <w:rFonts w:ascii="Arial" w:eastAsia="Times New Roman" w:hAnsi="Arial" w:cs="Times New Roman"/>
          <w:bCs/>
          <w:sz w:val="18"/>
          <w:szCs w:val="18"/>
          <w:highlight w:val="yellow"/>
          <w:u w:val="double"/>
          <w:lang w:val="en-US" w:bidi="en-US"/>
        </w:rPr>
        <w:t>984). Experimental study of the susceptibility of two marine fish species, sea bass (</w:t>
      </w:r>
      <w:r w:rsidRPr="00912356">
        <w:rPr>
          <w:rFonts w:ascii="Arial" w:eastAsia="Times New Roman" w:hAnsi="Arial" w:cs="Times New Roman"/>
          <w:bCs/>
          <w:i/>
          <w:iCs/>
          <w:sz w:val="18"/>
          <w:szCs w:val="18"/>
          <w:highlight w:val="yellow"/>
          <w:u w:val="double"/>
          <w:lang w:val="en-US" w:bidi="en-US"/>
        </w:rPr>
        <w:t>Dicentrarchus labrax</w:t>
      </w:r>
      <w:r w:rsidRPr="00912356">
        <w:rPr>
          <w:rFonts w:ascii="Arial" w:eastAsia="Times New Roman" w:hAnsi="Arial" w:cs="Times New Roman"/>
          <w:bCs/>
          <w:sz w:val="18"/>
          <w:szCs w:val="18"/>
          <w:highlight w:val="yellow"/>
          <w:u w:val="double"/>
          <w:lang w:val="en-US" w:bidi="en-US"/>
        </w:rPr>
        <w:t>) and turbot (</w:t>
      </w:r>
      <w:r w:rsidRPr="00912356">
        <w:rPr>
          <w:rFonts w:ascii="Arial" w:eastAsia="Times New Roman" w:hAnsi="Arial" w:cs="Times New Roman"/>
          <w:bCs/>
          <w:i/>
          <w:iCs/>
          <w:sz w:val="18"/>
          <w:szCs w:val="18"/>
          <w:highlight w:val="yellow"/>
          <w:u w:val="double"/>
          <w:lang w:val="en-US" w:bidi="en-US"/>
        </w:rPr>
        <w:t>Scophthalmus maximus</w:t>
      </w:r>
      <w:r w:rsidRPr="00912356">
        <w:rPr>
          <w:rFonts w:ascii="Arial" w:eastAsia="Times New Roman" w:hAnsi="Arial" w:cs="Times New Roman"/>
          <w:bCs/>
          <w:sz w:val="18"/>
          <w:szCs w:val="18"/>
          <w:highlight w:val="yellow"/>
          <w:u w:val="double"/>
          <w:lang w:val="en-US" w:bidi="en-US"/>
        </w:rPr>
        <w:t>), to viral haemorrhagic septicaemia. Aquaculture, 41, 203–212.</w:t>
      </w:r>
      <w:r w:rsidRPr="00912356">
        <w:rPr>
          <w:rFonts w:ascii="Arial" w:eastAsia="Times New Roman" w:hAnsi="Arial" w:cs="Times New Roman"/>
          <w:bCs/>
          <w:sz w:val="18"/>
          <w:szCs w:val="18"/>
          <w:u w:val="double"/>
          <w:lang w:val="en-US" w:bidi="en-US"/>
        </w:rPr>
        <w:t xml:space="preserve"> </w:t>
      </w:r>
    </w:p>
    <w:p w14:paraId="4FAF27E0" w14:textId="77777777" w:rsidR="00E65E42" w:rsidRPr="00D403F5" w:rsidRDefault="00E65E42" w:rsidP="001E34B0">
      <w:pPr>
        <w:spacing w:after="280" w:line="240" w:lineRule="auto"/>
        <w:ind w:left="284"/>
        <w:jc w:val="both"/>
        <w:rPr>
          <w:rFonts w:ascii="Arial" w:eastAsia="Times New Roman" w:hAnsi="Arial" w:cs="Arial"/>
          <w:sz w:val="18"/>
          <w:szCs w:val="18"/>
          <w:lang w:bidi="en-US"/>
        </w:rPr>
      </w:pPr>
      <w:r w:rsidRPr="00BF51FB">
        <w:rPr>
          <w:rFonts w:ascii="Arial" w:eastAsia="Times New Roman" w:hAnsi="Arial" w:cs="Times New Roman"/>
          <w:bCs/>
          <w:smallCaps/>
          <w:sz w:val="18"/>
          <w:szCs w:val="18"/>
          <w:lang w:val="en-US" w:bidi="en-US"/>
        </w:rPr>
        <w:t>Chico V., Gomez N., Estepa A. &amp; Perez L.</w:t>
      </w:r>
      <w:r w:rsidRPr="00BF51FB">
        <w:rPr>
          <w:rFonts w:ascii="Arial" w:eastAsia="Times New Roman" w:hAnsi="Arial" w:cs="Times New Roman"/>
          <w:bCs/>
          <w:sz w:val="18"/>
          <w:szCs w:val="18"/>
          <w:lang w:val="en-US" w:bidi="en-US"/>
        </w:rPr>
        <w:t xml:space="preserve"> (2006). </w:t>
      </w:r>
      <w:r w:rsidRPr="00D403F5">
        <w:rPr>
          <w:rFonts w:ascii="Arial" w:eastAsia="Times New Roman" w:hAnsi="Arial" w:cs="Times New Roman"/>
          <w:bCs/>
          <w:sz w:val="18"/>
          <w:szCs w:val="18"/>
          <w:lang w:val="en-IE" w:bidi="en-US"/>
        </w:rPr>
        <w:t xml:space="preserve">Rapid detection and quantitation of viral hemorrhagic septicemia virus in experimentally challenged rainbow trout by real-time RT-PCR. </w:t>
      </w:r>
      <w:r w:rsidRPr="00D403F5">
        <w:rPr>
          <w:rFonts w:ascii="Arial" w:eastAsia="Times New Roman" w:hAnsi="Arial" w:cs="Times New Roman"/>
          <w:bCs/>
          <w:i/>
          <w:sz w:val="18"/>
          <w:szCs w:val="18"/>
          <w:lang w:val="en-IE" w:bidi="en-US"/>
        </w:rPr>
        <w:t>J. Virol. Methods</w:t>
      </w:r>
      <w:r w:rsidRPr="00D403F5">
        <w:rPr>
          <w:rFonts w:ascii="Arial" w:eastAsia="Times New Roman" w:hAnsi="Arial" w:cs="Times New Roman"/>
          <w:bCs/>
          <w:sz w:val="18"/>
          <w:szCs w:val="18"/>
          <w:lang w:val="en-IE" w:bidi="en-US"/>
        </w:rPr>
        <w:t xml:space="preserve">, </w:t>
      </w:r>
      <w:r w:rsidRPr="00D403F5">
        <w:rPr>
          <w:rFonts w:ascii="Arial" w:eastAsia="Times New Roman" w:hAnsi="Arial" w:cs="Times New Roman"/>
          <w:b/>
          <w:bCs/>
          <w:sz w:val="18"/>
          <w:szCs w:val="18"/>
          <w:lang w:val="en-IE" w:bidi="en-US"/>
        </w:rPr>
        <w:t>132</w:t>
      </w:r>
      <w:r w:rsidRPr="00D403F5">
        <w:rPr>
          <w:rFonts w:ascii="Arial" w:eastAsia="Times New Roman" w:hAnsi="Arial" w:cs="Times New Roman"/>
          <w:bCs/>
          <w:sz w:val="18"/>
          <w:szCs w:val="18"/>
          <w:lang w:val="en-IE" w:bidi="en-US"/>
        </w:rPr>
        <w:t>, 154–159.</w:t>
      </w:r>
    </w:p>
    <w:p w14:paraId="0D999026" w14:textId="77777777" w:rsidR="00E65E42" w:rsidRPr="00D403F5" w:rsidRDefault="00E65E42" w:rsidP="001E34B0">
      <w:pPr>
        <w:spacing w:after="240" w:line="240" w:lineRule="auto"/>
        <w:ind w:left="284"/>
        <w:jc w:val="both"/>
        <w:rPr>
          <w:rFonts w:ascii="Arial" w:eastAsia="Times New Roman" w:hAnsi="Arial" w:cs="Times New Roman"/>
          <w:bCs/>
          <w:sz w:val="18"/>
          <w:szCs w:val="18"/>
          <w:lang w:val="nb-NO"/>
        </w:rPr>
      </w:pPr>
      <w:r w:rsidRPr="00D403F5">
        <w:rPr>
          <w:rFonts w:ascii="Arial" w:eastAsia="Times New Roman" w:hAnsi="Arial" w:cs="Times New Roman"/>
          <w:bCs/>
          <w:smallCaps/>
          <w:sz w:val="18"/>
          <w:szCs w:val="18"/>
        </w:rPr>
        <w:t>Cornwell E.R., Bellmund C.A., Groocock G.H., Wong P.T., Hambury K.L., Getchell R.G. &amp; Bowser P.R.</w:t>
      </w:r>
      <w:r w:rsidRPr="00D403F5">
        <w:rPr>
          <w:rFonts w:ascii="Arial" w:eastAsia="Times New Roman" w:hAnsi="Arial" w:cs="Times New Roman"/>
          <w:bCs/>
          <w:sz w:val="18"/>
          <w:szCs w:val="18"/>
        </w:rPr>
        <w:t xml:space="preserve"> (2013).</w:t>
      </w:r>
      <w:r w:rsidRPr="00D403F5">
        <w:rPr>
          <w:rFonts w:ascii="Arial" w:eastAsia="Times New Roman" w:hAnsi="Arial" w:cs="Times New Roman"/>
          <w:bCs/>
          <w:sz w:val="18"/>
          <w:szCs w:val="18"/>
          <w:lang w:val="en-IE"/>
        </w:rPr>
        <w:t xml:space="preserve"> </w:t>
      </w:r>
      <w:r w:rsidRPr="00D403F5">
        <w:rPr>
          <w:rFonts w:ascii="Arial" w:eastAsia="Times New Roman" w:hAnsi="Arial" w:cs="Times New Roman"/>
          <w:bCs/>
          <w:sz w:val="18"/>
          <w:szCs w:val="18"/>
        </w:rPr>
        <w:t>Fin and gill biopsies are effective nonlethal samples for detection of viral hemorrhagic septicemia virus genotype IVb.</w:t>
      </w:r>
      <w:r w:rsidRPr="00D403F5">
        <w:rPr>
          <w:rFonts w:ascii="Arial" w:eastAsia="Times New Roman" w:hAnsi="Arial" w:cs="Times New Roman"/>
          <w:bCs/>
          <w:sz w:val="18"/>
          <w:szCs w:val="18"/>
          <w:lang w:val="en-IE"/>
        </w:rPr>
        <w:t xml:space="preserve"> </w:t>
      </w:r>
      <w:r w:rsidRPr="00D403F5">
        <w:rPr>
          <w:rFonts w:ascii="Arial" w:eastAsia="Times New Roman" w:hAnsi="Arial" w:cs="Times New Roman"/>
          <w:bCs/>
          <w:sz w:val="18"/>
          <w:szCs w:val="18"/>
        </w:rPr>
        <w:t xml:space="preserve">J. </w:t>
      </w:r>
      <w:r w:rsidRPr="00D403F5">
        <w:rPr>
          <w:rFonts w:ascii="Arial" w:eastAsia="Times New Roman" w:hAnsi="Arial" w:cs="Times New Roman"/>
          <w:bCs/>
          <w:i/>
          <w:sz w:val="18"/>
          <w:szCs w:val="18"/>
        </w:rPr>
        <w:t xml:space="preserve">Vet. </w:t>
      </w:r>
      <w:r w:rsidRPr="00D403F5">
        <w:rPr>
          <w:rFonts w:ascii="Arial" w:eastAsia="Times New Roman" w:hAnsi="Arial" w:cs="Times New Roman"/>
          <w:bCs/>
          <w:i/>
          <w:sz w:val="18"/>
          <w:szCs w:val="18"/>
          <w:lang w:val="nb-NO"/>
        </w:rPr>
        <w:t>Diagn. Invest</w:t>
      </w:r>
      <w:r w:rsidRPr="00D403F5">
        <w:rPr>
          <w:rFonts w:ascii="Arial" w:eastAsia="Times New Roman" w:hAnsi="Arial" w:cs="Times New Roman"/>
          <w:bCs/>
          <w:sz w:val="18"/>
          <w:szCs w:val="18"/>
          <w:lang w:val="nb-NO"/>
        </w:rPr>
        <w:t xml:space="preserve">., </w:t>
      </w:r>
      <w:r w:rsidRPr="00D403F5">
        <w:rPr>
          <w:rFonts w:ascii="Arial" w:eastAsia="Times New Roman" w:hAnsi="Arial" w:cs="Times New Roman"/>
          <w:b/>
          <w:bCs/>
          <w:sz w:val="18"/>
          <w:szCs w:val="18"/>
          <w:lang w:val="nb-NO"/>
        </w:rPr>
        <w:t>25</w:t>
      </w:r>
      <w:r w:rsidRPr="00D403F5">
        <w:rPr>
          <w:rFonts w:ascii="Arial" w:eastAsia="Times New Roman" w:hAnsi="Arial" w:cs="Times New Roman"/>
          <w:bCs/>
          <w:sz w:val="18"/>
          <w:szCs w:val="18"/>
          <w:lang w:val="nb-NO"/>
        </w:rPr>
        <w:t>, 203–209.</w:t>
      </w:r>
    </w:p>
    <w:p w14:paraId="573BB820" w14:textId="77777777" w:rsidR="00E65E42" w:rsidRPr="00370ACE" w:rsidRDefault="00E65E42" w:rsidP="001E34B0">
      <w:pPr>
        <w:spacing w:after="240" w:line="240" w:lineRule="auto"/>
        <w:ind w:left="284"/>
        <w:jc w:val="both"/>
        <w:rPr>
          <w:rFonts w:ascii="Arial" w:eastAsia="Times New Roman" w:hAnsi="Arial" w:cs="Arial"/>
          <w:sz w:val="18"/>
          <w:szCs w:val="18"/>
          <w:lang w:val="en-US" w:bidi="en-US"/>
        </w:rPr>
      </w:pPr>
      <w:r w:rsidRPr="00D403F5">
        <w:rPr>
          <w:rFonts w:ascii="Arial" w:eastAsia="Times New Roman" w:hAnsi="Arial" w:cs="Arial"/>
          <w:smallCaps/>
          <w:sz w:val="18"/>
          <w:szCs w:val="18"/>
          <w:lang w:val="nb-NO" w:bidi="en-US"/>
        </w:rPr>
        <w:t>Dale O.B., Orpetveit I., Lyngstad T.M., Kahns S., Skall H.F., Olesen N.J. &amp; Dannevig B.</w:t>
      </w:r>
      <w:r w:rsidRPr="00D403F5">
        <w:rPr>
          <w:rFonts w:ascii="Arial" w:eastAsia="Times New Roman" w:hAnsi="Arial" w:cs="Arial"/>
          <w:sz w:val="18"/>
          <w:szCs w:val="18"/>
          <w:lang w:val="nb-NO" w:bidi="en-US"/>
        </w:rPr>
        <w:t xml:space="preserve">H. (2009). </w:t>
      </w:r>
      <w:r w:rsidRPr="00D403F5">
        <w:rPr>
          <w:rFonts w:ascii="Arial" w:eastAsia="Times New Roman" w:hAnsi="Arial" w:cs="Arial"/>
          <w:sz w:val="18"/>
          <w:szCs w:val="18"/>
          <w:lang w:bidi="en-US"/>
        </w:rPr>
        <w:t xml:space="preserve">Outbreak of viral haemorrhagic septicaemia (VHS) in seawater-farmed rainbow trout in Norway caused by VHS virus Genotype III. </w:t>
      </w:r>
      <w:r w:rsidRPr="00D403F5">
        <w:rPr>
          <w:rFonts w:ascii="Arial" w:eastAsia="Times New Roman" w:hAnsi="Arial" w:cs="Arial"/>
          <w:i/>
          <w:sz w:val="18"/>
          <w:szCs w:val="18"/>
          <w:lang w:bidi="en-US"/>
        </w:rPr>
        <w:t xml:space="preserve">Dis. </w:t>
      </w:r>
      <w:r w:rsidRPr="00E47078">
        <w:rPr>
          <w:rFonts w:ascii="Arial" w:eastAsia="Times New Roman" w:hAnsi="Arial" w:cs="Arial"/>
          <w:i/>
          <w:sz w:val="18"/>
          <w:szCs w:val="18"/>
          <w:lang w:val="en-IE" w:bidi="en-US"/>
        </w:rPr>
        <w:t xml:space="preserve">Aquat. </w:t>
      </w:r>
      <w:r w:rsidRPr="00370ACE">
        <w:rPr>
          <w:rFonts w:ascii="Arial" w:eastAsia="Times New Roman" w:hAnsi="Arial" w:cs="Arial"/>
          <w:i/>
          <w:sz w:val="18"/>
          <w:szCs w:val="18"/>
          <w:lang w:val="en-US" w:bidi="en-US"/>
        </w:rPr>
        <w:t>Org.,</w:t>
      </w:r>
      <w:r w:rsidRPr="00370ACE">
        <w:rPr>
          <w:rFonts w:ascii="Arial" w:eastAsia="Times New Roman" w:hAnsi="Arial" w:cs="Arial"/>
          <w:sz w:val="18"/>
          <w:szCs w:val="18"/>
          <w:lang w:val="en-US" w:bidi="en-US"/>
        </w:rPr>
        <w:t xml:space="preserve"> </w:t>
      </w:r>
      <w:r w:rsidRPr="00370ACE">
        <w:rPr>
          <w:rFonts w:ascii="Arial" w:eastAsia="Times New Roman" w:hAnsi="Arial" w:cs="Arial"/>
          <w:b/>
          <w:sz w:val="18"/>
          <w:szCs w:val="18"/>
          <w:lang w:val="en-US" w:bidi="en-US"/>
        </w:rPr>
        <w:t>85</w:t>
      </w:r>
      <w:r w:rsidRPr="00370ACE">
        <w:rPr>
          <w:rFonts w:ascii="Arial" w:eastAsia="Times New Roman" w:hAnsi="Arial" w:cs="Arial"/>
          <w:sz w:val="18"/>
          <w:szCs w:val="18"/>
          <w:lang w:val="en-US" w:bidi="en-US"/>
        </w:rPr>
        <w:t>, 93–103.</w:t>
      </w:r>
    </w:p>
    <w:p w14:paraId="291397EA" w14:textId="77777777" w:rsidR="00E65E42" w:rsidRPr="00D403F5" w:rsidRDefault="00E65E42" w:rsidP="001E34B0">
      <w:pPr>
        <w:spacing w:after="240" w:line="240" w:lineRule="auto"/>
        <w:ind w:left="284"/>
        <w:jc w:val="both"/>
        <w:rPr>
          <w:rFonts w:ascii="Arial" w:eastAsia="Times New Roman" w:hAnsi="Arial" w:cs="Arial"/>
          <w:sz w:val="18"/>
          <w:szCs w:val="18"/>
          <w:lang w:val="fr-FR" w:bidi="en-US"/>
        </w:rPr>
      </w:pPr>
      <w:r w:rsidRPr="00370ACE">
        <w:rPr>
          <w:rFonts w:ascii="Arial" w:eastAsia="Times New Roman" w:hAnsi="Arial" w:cs="Times New Roman"/>
          <w:bCs/>
          <w:smallCaps/>
          <w:sz w:val="18"/>
          <w:szCs w:val="18"/>
          <w:lang w:val="en-US" w:bidi="en-US"/>
        </w:rPr>
        <w:t>De Kinkelin P. &amp; Le Berre M</w:t>
      </w:r>
      <w:r w:rsidRPr="00370ACE">
        <w:rPr>
          <w:rFonts w:ascii="Arial" w:eastAsia="Times New Roman" w:hAnsi="Arial" w:cs="Times New Roman"/>
          <w:bCs/>
          <w:sz w:val="18"/>
          <w:szCs w:val="18"/>
          <w:lang w:val="en-US" w:bidi="en-US"/>
        </w:rPr>
        <w:t xml:space="preserve">. (1977). </w:t>
      </w:r>
      <w:r w:rsidRPr="00D403F5">
        <w:rPr>
          <w:rFonts w:ascii="Arial" w:eastAsia="Times New Roman" w:hAnsi="Arial" w:cs="Times New Roman"/>
          <w:bCs/>
          <w:sz w:val="18"/>
          <w:szCs w:val="18"/>
          <w:lang w:val="en-IE" w:bidi="en-US"/>
        </w:rPr>
        <w:t>Isolation of a pathogenic rhabdovirus of brown trout (</w:t>
      </w:r>
      <w:r w:rsidRPr="00D403F5">
        <w:rPr>
          <w:rFonts w:ascii="Arial" w:eastAsia="Times New Roman" w:hAnsi="Arial" w:cs="Times New Roman"/>
          <w:bCs/>
          <w:i/>
          <w:sz w:val="18"/>
          <w:szCs w:val="18"/>
          <w:lang w:val="en-IE" w:bidi="en-US"/>
        </w:rPr>
        <w:t>Salmo trutta</w:t>
      </w:r>
      <w:r w:rsidRPr="00D403F5">
        <w:rPr>
          <w:rFonts w:ascii="Arial" w:eastAsia="Times New Roman" w:hAnsi="Arial" w:cs="Times New Roman"/>
          <w:bCs/>
          <w:sz w:val="18"/>
          <w:szCs w:val="18"/>
          <w:lang w:val="en-IE" w:bidi="en-US"/>
        </w:rPr>
        <w:t xml:space="preserve"> L., 1766). </w:t>
      </w:r>
      <w:r w:rsidRPr="00D403F5">
        <w:rPr>
          <w:rFonts w:ascii="Arial" w:eastAsia="Times New Roman" w:hAnsi="Arial" w:cs="Times New Roman"/>
          <w:bCs/>
          <w:i/>
          <w:sz w:val="18"/>
          <w:szCs w:val="18"/>
          <w:lang w:val="fr-FR" w:bidi="en-US"/>
        </w:rPr>
        <w:t>C.R. Hebd. Séances Acad. Sci.,</w:t>
      </w:r>
      <w:r w:rsidRPr="00D403F5">
        <w:rPr>
          <w:rFonts w:ascii="Arial" w:eastAsia="Times New Roman" w:hAnsi="Arial" w:cs="Times New Roman"/>
          <w:bCs/>
          <w:sz w:val="18"/>
          <w:szCs w:val="18"/>
          <w:lang w:val="fr-FR" w:bidi="en-US"/>
        </w:rPr>
        <w:t xml:space="preserve"> </w:t>
      </w:r>
      <w:r w:rsidRPr="00D403F5">
        <w:rPr>
          <w:rFonts w:ascii="Arial" w:eastAsia="Times New Roman" w:hAnsi="Arial" w:cs="Times New Roman"/>
          <w:b/>
          <w:bCs/>
          <w:sz w:val="18"/>
          <w:szCs w:val="18"/>
          <w:lang w:val="fr-FR" w:bidi="en-US"/>
        </w:rPr>
        <w:t>284</w:t>
      </w:r>
      <w:r w:rsidRPr="00D403F5">
        <w:rPr>
          <w:rFonts w:ascii="Arial" w:eastAsia="Times New Roman" w:hAnsi="Arial" w:cs="Times New Roman"/>
          <w:bCs/>
          <w:sz w:val="18"/>
          <w:szCs w:val="18"/>
          <w:lang w:val="fr-FR" w:bidi="en-US"/>
        </w:rPr>
        <w:t>, 101–104.</w:t>
      </w:r>
    </w:p>
    <w:p w14:paraId="6FB7C23F" w14:textId="77777777" w:rsidR="00E65E42" w:rsidRPr="00D403F5" w:rsidRDefault="00E65E42" w:rsidP="001E34B0">
      <w:pPr>
        <w:spacing w:after="240" w:line="240" w:lineRule="auto"/>
        <w:ind w:left="284"/>
        <w:jc w:val="both"/>
        <w:rPr>
          <w:rFonts w:ascii="Arial" w:eastAsia="Times New Roman" w:hAnsi="Arial" w:cs="Arial"/>
          <w:sz w:val="18"/>
          <w:szCs w:val="18"/>
          <w:lang w:val="nb-NO" w:bidi="en-US"/>
        </w:rPr>
      </w:pPr>
      <w:r w:rsidRPr="00D403F5">
        <w:rPr>
          <w:rFonts w:ascii="Arial" w:eastAsia="Times New Roman" w:hAnsi="Arial" w:cs="Arial"/>
          <w:smallCaps/>
          <w:sz w:val="18"/>
          <w:szCs w:val="18"/>
          <w:lang w:val="fr-FR" w:bidi="en-US"/>
        </w:rPr>
        <w:t>Dorson M., Quillet E., Hollebecq M.G., Torhy C. &amp; Chevassus B.</w:t>
      </w:r>
      <w:r w:rsidRPr="00D403F5">
        <w:rPr>
          <w:rFonts w:ascii="Arial" w:eastAsia="Times New Roman" w:hAnsi="Arial" w:cs="Arial"/>
          <w:sz w:val="18"/>
          <w:szCs w:val="18"/>
          <w:lang w:val="fr-FR" w:bidi="en-US"/>
        </w:rPr>
        <w:t xml:space="preserve"> (1995). </w:t>
      </w:r>
      <w:r w:rsidRPr="00D403F5">
        <w:rPr>
          <w:rFonts w:ascii="Arial" w:eastAsia="Times New Roman" w:hAnsi="Arial" w:cs="Arial"/>
          <w:sz w:val="18"/>
          <w:szCs w:val="18"/>
          <w:lang w:bidi="en-US"/>
        </w:rPr>
        <w:t xml:space="preserve">Selection of rainbow trout resistant to viral haemorrhagic septicaemia virus and transmission of resistance by gynogenesis. </w:t>
      </w:r>
      <w:r w:rsidRPr="00D403F5">
        <w:rPr>
          <w:rFonts w:ascii="Arial" w:eastAsia="Times New Roman" w:hAnsi="Arial" w:cs="Arial"/>
          <w:i/>
          <w:sz w:val="18"/>
          <w:szCs w:val="18"/>
          <w:lang w:val="nb-NO" w:bidi="en-US"/>
        </w:rPr>
        <w:t>Vet. Res.,</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26</w:t>
      </w:r>
      <w:r w:rsidRPr="00D403F5">
        <w:rPr>
          <w:rFonts w:ascii="Arial" w:eastAsia="Times New Roman" w:hAnsi="Arial" w:cs="Arial"/>
          <w:sz w:val="18"/>
          <w:szCs w:val="18"/>
          <w:lang w:val="nb-NO" w:bidi="en-US"/>
        </w:rPr>
        <w:t>, 361–368.</w:t>
      </w:r>
    </w:p>
    <w:p w14:paraId="77A3EDB5" w14:textId="77777777" w:rsidR="00E65E42" w:rsidRPr="00D403F5" w:rsidRDefault="00E65E42" w:rsidP="001E34B0">
      <w:pPr>
        <w:spacing w:after="240" w:line="240" w:lineRule="auto"/>
        <w:ind w:left="284"/>
        <w:jc w:val="both"/>
        <w:rPr>
          <w:rFonts w:ascii="Arial" w:eastAsia="Times New Roman" w:hAnsi="Arial" w:cs="Arial"/>
          <w:sz w:val="18"/>
          <w:szCs w:val="18"/>
          <w:lang w:val="en-IE" w:bidi="en-US"/>
        </w:rPr>
      </w:pPr>
      <w:r w:rsidRPr="00D403F5">
        <w:rPr>
          <w:rFonts w:ascii="Arial" w:eastAsia="Times New Roman" w:hAnsi="Arial" w:cs="Arial"/>
          <w:smallCaps/>
          <w:sz w:val="18"/>
          <w:szCs w:val="18"/>
          <w:lang w:val="nb-NO" w:bidi="en-US"/>
        </w:rPr>
        <w:t xml:space="preserve">Einer-Jensen K., Ahrens P., Forsberg R. &amp; Lorenzen N. </w:t>
      </w:r>
      <w:r w:rsidRPr="00D403F5">
        <w:rPr>
          <w:rFonts w:ascii="Arial" w:eastAsia="Times New Roman" w:hAnsi="Arial" w:cs="Arial"/>
          <w:sz w:val="18"/>
          <w:szCs w:val="18"/>
          <w:lang w:val="nb-NO" w:bidi="en-US"/>
        </w:rPr>
        <w:t xml:space="preserve">(2004). </w:t>
      </w:r>
      <w:r w:rsidRPr="00D403F5">
        <w:rPr>
          <w:rFonts w:ascii="Arial" w:eastAsia="Times New Roman" w:hAnsi="Arial" w:cs="Arial"/>
          <w:sz w:val="18"/>
          <w:szCs w:val="18"/>
          <w:lang w:bidi="en-US"/>
        </w:rPr>
        <w:t xml:space="preserve">Evolution of the fish rhabdovirus viral haemorrhagic septicaemia virus. </w:t>
      </w:r>
      <w:r w:rsidRPr="00D403F5">
        <w:rPr>
          <w:rFonts w:ascii="Arial" w:eastAsia="Times New Roman" w:hAnsi="Arial" w:cs="Arial"/>
          <w:i/>
          <w:sz w:val="18"/>
          <w:szCs w:val="18"/>
          <w:lang w:val="en-IE" w:bidi="en-US"/>
        </w:rPr>
        <w:t>J. Gen. Virol.,</w:t>
      </w:r>
      <w:r w:rsidRPr="00D403F5">
        <w:rPr>
          <w:rFonts w:ascii="Arial" w:eastAsia="Times New Roman" w:hAnsi="Arial" w:cs="Arial"/>
          <w:sz w:val="18"/>
          <w:szCs w:val="18"/>
          <w:lang w:val="en-IE" w:bidi="en-US"/>
        </w:rPr>
        <w:t xml:space="preserve"> </w:t>
      </w:r>
      <w:r w:rsidRPr="00D403F5">
        <w:rPr>
          <w:rFonts w:ascii="Arial" w:eastAsia="Times New Roman" w:hAnsi="Arial" w:cs="Arial"/>
          <w:b/>
          <w:sz w:val="18"/>
          <w:szCs w:val="18"/>
          <w:lang w:val="en-IE" w:bidi="en-US"/>
        </w:rPr>
        <w:t>85</w:t>
      </w:r>
      <w:r w:rsidRPr="00D403F5">
        <w:rPr>
          <w:rFonts w:ascii="Arial" w:eastAsia="Times New Roman" w:hAnsi="Arial" w:cs="Arial"/>
          <w:sz w:val="18"/>
          <w:szCs w:val="18"/>
          <w:lang w:val="en-IE" w:bidi="en-US"/>
        </w:rPr>
        <w:t>, 1167–1179.</w:t>
      </w:r>
    </w:p>
    <w:p w14:paraId="66E33EA6" w14:textId="77777777" w:rsidR="00E65E42" w:rsidRPr="00D403F5" w:rsidRDefault="00E65E42" w:rsidP="001E34B0">
      <w:pPr>
        <w:spacing w:after="240" w:line="240" w:lineRule="auto"/>
        <w:ind w:left="284"/>
        <w:jc w:val="both"/>
        <w:rPr>
          <w:rFonts w:ascii="Arial" w:eastAsia="Times New Roman" w:hAnsi="Arial" w:cs="Arial"/>
          <w:sz w:val="18"/>
          <w:szCs w:val="18"/>
          <w:lang w:val="nb-NO" w:bidi="en-US"/>
        </w:rPr>
      </w:pPr>
      <w:r w:rsidRPr="00D403F5">
        <w:rPr>
          <w:rFonts w:ascii="Arial" w:eastAsia="Times New Roman" w:hAnsi="Arial" w:cs="Arial"/>
          <w:smallCaps/>
          <w:sz w:val="18"/>
          <w:szCs w:val="18"/>
          <w:lang w:bidi="en-US"/>
        </w:rPr>
        <w:t xml:space="preserve">Elsayed E., Faisal M., Thomas M., Whelan G., Batts W. &amp; Winton J. </w:t>
      </w:r>
      <w:r w:rsidRPr="00D403F5">
        <w:rPr>
          <w:rFonts w:ascii="Arial" w:eastAsia="Times New Roman" w:hAnsi="Arial" w:cs="Arial"/>
          <w:sz w:val="18"/>
          <w:szCs w:val="18"/>
          <w:lang w:bidi="en-US"/>
        </w:rPr>
        <w:t xml:space="preserve">(2006). Isolation of viral haemorrhagic septicaemia virus from muskellunge, </w:t>
      </w:r>
      <w:r w:rsidRPr="00D403F5">
        <w:rPr>
          <w:rFonts w:ascii="Arial" w:eastAsia="Times New Roman" w:hAnsi="Arial" w:cs="Arial"/>
          <w:i/>
          <w:sz w:val="18"/>
          <w:szCs w:val="18"/>
          <w:lang w:bidi="en-US"/>
        </w:rPr>
        <w:t>Esox masquinongy</w:t>
      </w:r>
      <w:r w:rsidRPr="00D403F5">
        <w:rPr>
          <w:rFonts w:ascii="Arial" w:eastAsia="Times New Roman" w:hAnsi="Arial" w:cs="Arial"/>
          <w:sz w:val="18"/>
          <w:szCs w:val="18"/>
          <w:lang w:bidi="en-US"/>
        </w:rPr>
        <w:t xml:space="preserve"> (Mitchill), in Lake St Clair, Michigan, USA reveals a new sublineage of the North American genotype. </w:t>
      </w:r>
      <w:r w:rsidRPr="00D403F5">
        <w:rPr>
          <w:rFonts w:ascii="Arial" w:eastAsia="Times New Roman" w:hAnsi="Arial" w:cs="Arial"/>
          <w:i/>
          <w:sz w:val="18"/>
          <w:szCs w:val="18"/>
          <w:lang w:val="nb-NO" w:bidi="en-US"/>
        </w:rPr>
        <w:t>J. Fish Dis.,</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29</w:t>
      </w:r>
      <w:r w:rsidRPr="00D403F5">
        <w:rPr>
          <w:rFonts w:ascii="Arial" w:eastAsia="Times New Roman" w:hAnsi="Arial" w:cs="Arial"/>
          <w:sz w:val="18"/>
          <w:szCs w:val="18"/>
          <w:lang w:val="nb-NO" w:bidi="en-US"/>
        </w:rPr>
        <w:t>, 611–619.</w:t>
      </w:r>
    </w:p>
    <w:p w14:paraId="36E756EC"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val="nb-NO" w:bidi="en-US"/>
        </w:rPr>
        <w:t>Evensen Ø., Meier W., Wahli T., Olesen N.J., Jørgensen P.E.V. &amp; Håstein T.</w:t>
      </w:r>
      <w:r w:rsidRPr="00D403F5">
        <w:rPr>
          <w:rFonts w:ascii="Arial" w:eastAsia="Times New Roman" w:hAnsi="Arial" w:cs="Arial"/>
          <w:sz w:val="18"/>
          <w:szCs w:val="18"/>
          <w:lang w:val="nb-NO" w:bidi="en-US"/>
        </w:rPr>
        <w:t xml:space="preserve"> (1994). </w:t>
      </w:r>
      <w:r w:rsidRPr="00D403F5">
        <w:rPr>
          <w:rFonts w:ascii="Arial" w:eastAsia="Times New Roman" w:hAnsi="Arial" w:cs="Arial"/>
          <w:sz w:val="18"/>
          <w:szCs w:val="18"/>
          <w:lang w:bidi="en-US"/>
        </w:rPr>
        <w:t xml:space="preserve">Comparison of immunohistochemistry and virus cultivation for detection of viral haemorrhagic septicaemia virus in experimentally infected rainbow trout </w:t>
      </w:r>
      <w:r w:rsidRPr="00D403F5">
        <w:rPr>
          <w:rFonts w:ascii="Arial" w:eastAsia="Times New Roman" w:hAnsi="Arial" w:cs="Arial"/>
          <w:i/>
          <w:sz w:val="18"/>
          <w:szCs w:val="18"/>
          <w:lang w:bidi="en-US"/>
        </w:rPr>
        <w:t>Oncorhynchus mykiss</w:t>
      </w:r>
      <w:r w:rsidRPr="00D403F5">
        <w:rPr>
          <w:rFonts w:ascii="Arial" w:eastAsia="Times New Roman" w:hAnsi="Arial" w:cs="Arial"/>
          <w:sz w:val="18"/>
          <w:szCs w:val="18"/>
          <w:lang w:bidi="en-US"/>
        </w:rPr>
        <w:t xml:space="preserve">. </w:t>
      </w:r>
      <w:r w:rsidRPr="00D403F5">
        <w:rPr>
          <w:rFonts w:ascii="Arial" w:eastAsia="Times New Roman" w:hAnsi="Arial" w:cs="Arial"/>
          <w:i/>
          <w:sz w:val="18"/>
          <w:szCs w:val="18"/>
          <w:lang w:bidi="en-US"/>
        </w:rPr>
        <w:t>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20</w:t>
      </w:r>
      <w:r w:rsidRPr="00D403F5">
        <w:rPr>
          <w:rFonts w:ascii="Arial" w:eastAsia="Times New Roman" w:hAnsi="Arial" w:cs="Arial"/>
          <w:sz w:val="18"/>
          <w:szCs w:val="18"/>
          <w:lang w:bidi="en-US"/>
        </w:rPr>
        <w:t>, 101–109.</w:t>
      </w:r>
    </w:p>
    <w:p w14:paraId="63FE75CC"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Faisal M. &amp; Schulz C.A. (2009</w:t>
      </w:r>
      <w:r w:rsidRPr="00D403F5">
        <w:rPr>
          <w:rFonts w:ascii="Arial" w:eastAsia="Times New Roman" w:hAnsi="Arial" w:cs="Arial"/>
          <w:sz w:val="18"/>
          <w:szCs w:val="18"/>
          <w:lang w:bidi="en-US"/>
        </w:rPr>
        <w:t xml:space="preserve">). Detection of Viral hemorrhagic septicemia virus (VHSV) from the leech </w:t>
      </w:r>
      <w:r w:rsidRPr="00D403F5">
        <w:rPr>
          <w:rFonts w:ascii="Arial" w:eastAsia="Times New Roman" w:hAnsi="Arial" w:cs="Arial"/>
          <w:i/>
          <w:sz w:val="18"/>
          <w:szCs w:val="18"/>
          <w:lang w:bidi="en-US"/>
        </w:rPr>
        <w:t xml:space="preserve">Myzobdella lugubris </w:t>
      </w:r>
      <w:r w:rsidRPr="00D403F5">
        <w:rPr>
          <w:rFonts w:ascii="Arial" w:eastAsia="Times New Roman" w:hAnsi="Arial" w:cs="Arial"/>
          <w:sz w:val="18"/>
          <w:szCs w:val="18"/>
          <w:lang w:bidi="en-US"/>
        </w:rPr>
        <w:t xml:space="preserve">Leidy, 1851. </w:t>
      </w:r>
      <w:r w:rsidRPr="00D403F5">
        <w:rPr>
          <w:rFonts w:ascii="Arial" w:eastAsia="Times New Roman" w:hAnsi="Arial" w:cs="Arial"/>
          <w:i/>
          <w:sz w:val="18"/>
          <w:szCs w:val="18"/>
          <w:lang w:bidi="en-US"/>
        </w:rPr>
        <w:t>Parasit. Vectors,</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2</w:t>
      </w:r>
      <w:r w:rsidRPr="00D403F5">
        <w:rPr>
          <w:rFonts w:ascii="Arial" w:eastAsia="Times New Roman" w:hAnsi="Arial" w:cs="Arial"/>
          <w:sz w:val="18"/>
          <w:szCs w:val="18"/>
          <w:lang w:bidi="en-US"/>
        </w:rPr>
        <w:t>, 45.</w:t>
      </w:r>
    </w:p>
    <w:p w14:paraId="33F9F9B0" w14:textId="77777777" w:rsidR="00E65E42" w:rsidRPr="000D7670"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Faisal M. &amp; Winters A.D. (2011</w:t>
      </w:r>
      <w:r w:rsidRPr="00D403F5">
        <w:rPr>
          <w:rFonts w:ascii="Arial" w:eastAsia="Times New Roman" w:hAnsi="Arial" w:cs="Arial"/>
          <w:sz w:val="18"/>
          <w:szCs w:val="18"/>
          <w:lang w:bidi="en-US"/>
        </w:rPr>
        <w:t xml:space="preserve">). Detection of viral hemorrhagic septicemia virus (VHSV) from </w:t>
      </w:r>
      <w:r w:rsidRPr="00D403F5">
        <w:rPr>
          <w:rFonts w:ascii="Arial" w:eastAsia="Times New Roman" w:hAnsi="Arial" w:cs="Arial"/>
          <w:i/>
          <w:sz w:val="18"/>
          <w:szCs w:val="18"/>
          <w:lang w:bidi="en-US"/>
        </w:rPr>
        <w:t xml:space="preserve">Diporeia </w:t>
      </w:r>
      <w:r w:rsidRPr="00D403F5">
        <w:rPr>
          <w:rFonts w:ascii="Arial" w:eastAsia="Times New Roman" w:hAnsi="Arial" w:cs="Arial"/>
          <w:sz w:val="18"/>
          <w:szCs w:val="18"/>
          <w:lang w:bidi="en-US"/>
        </w:rPr>
        <w:t xml:space="preserve">spp. (Pontoporeiidae, Amphipoda) in the Laurentian Great Lakes, USA. </w:t>
      </w:r>
      <w:r w:rsidRPr="000D7670">
        <w:rPr>
          <w:rFonts w:ascii="Arial" w:eastAsia="Times New Roman" w:hAnsi="Arial" w:cs="Arial"/>
          <w:i/>
          <w:sz w:val="18"/>
          <w:szCs w:val="18"/>
          <w:lang w:bidi="en-US"/>
        </w:rPr>
        <w:t>Parasit. Vectors,</w:t>
      </w:r>
      <w:r w:rsidRPr="000D7670">
        <w:rPr>
          <w:rFonts w:ascii="Arial" w:eastAsia="Times New Roman" w:hAnsi="Arial" w:cs="Arial"/>
          <w:sz w:val="18"/>
          <w:szCs w:val="18"/>
          <w:lang w:bidi="en-US"/>
        </w:rPr>
        <w:t xml:space="preserve"> </w:t>
      </w:r>
      <w:r w:rsidRPr="000D7670">
        <w:rPr>
          <w:rFonts w:ascii="Arial" w:eastAsia="Times New Roman" w:hAnsi="Arial" w:cs="Arial"/>
          <w:b/>
          <w:sz w:val="18"/>
          <w:szCs w:val="18"/>
          <w:lang w:bidi="en-US"/>
        </w:rPr>
        <w:t>4</w:t>
      </w:r>
      <w:r w:rsidRPr="000D7670">
        <w:rPr>
          <w:rFonts w:ascii="Arial" w:eastAsia="Times New Roman" w:hAnsi="Arial" w:cs="Arial"/>
          <w:sz w:val="18"/>
          <w:szCs w:val="18"/>
          <w:lang w:bidi="en-US"/>
        </w:rPr>
        <w:t>, 2.</w:t>
      </w:r>
    </w:p>
    <w:p w14:paraId="17ECA1F7" w14:textId="77777777" w:rsidR="00E65E42" w:rsidRPr="00D403F5" w:rsidRDefault="00E65E42" w:rsidP="001E34B0">
      <w:pPr>
        <w:spacing w:after="240" w:line="240" w:lineRule="auto"/>
        <w:ind w:left="284"/>
        <w:jc w:val="both"/>
        <w:rPr>
          <w:rFonts w:ascii="Arial" w:eastAsia="Times New Roman" w:hAnsi="Arial" w:cs="Arial"/>
          <w:sz w:val="18"/>
          <w:szCs w:val="18"/>
          <w:lang w:val="nb-NO" w:bidi="en-US"/>
        </w:rPr>
      </w:pPr>
      <w:r w:rsidRPr="007C38E6">
        <w:rPr>
          <w:rFonts w:ascii="Arial" w:eastAsia="Times New Roman" w:hAnsi="Arial" w:cs="Arial"/>
          <w:smallCaps/>
          <w:sz w:val="18"/>
          <w:szCs w:val="18"/>
          <w:lang w:val="nb-NO" w:bidi="en-US"/>
        </w:rPr>
        <w:t xml:space="preserve">Gadd T., Jakava-Viljanen M., Einer-Jensen K., Ariel E., Koski P. &amp; Sihvonen L. </w:t>
      </w:r>
      <w:r w:rsidRPr="007C38E6">
        <w:rPr>
          <w:rFonts w:ascii="Arial" w:eastAsia="Times New Roman" w:hAnsi="Arial" w:cs="Arial"/>
          <w:sz w:val="18"/>
          <w:szCs w:val="18"/>
          <w:lang w:val="nb-NO" w:bidi="en-US"/>
        </w:rPr>
        <w:t xml:space="preserve">(2010). </w:t>
      </w:r>
      <w:r w:rsidRPr="00D403F5">
        <w:rPr>
          <w:rFonts w:ascii="Arial" w:eastAsia="Times New Roman" w:hAnsi="Arial" w:cs="Arial"/>
          <w:sz w:val="18"/>
          <w:szCs w:val="18"/>
          <w:lang w:bidi="en-US"/>
        </w:rPr>
        <w:t xml:space="preserve">Viral haemorrhagic septicaemia virus (VHSV) genotype II isolated from European river lamprey </w:t>
      </w:r>
      <w:r w:rsidRPr="00D403F5">
        <w:rPr>
          <w:rFonts w:ascii="Arial" w:eastAsia="Times New Roman" w:hAnsi="Arial" w:cs="Arial"/>
          <w:i/>
          <w:sz w:val="18"/>
          <w:szCs w:val="18"/>
          <w:lang w:bidi="en-US"/>
        </w:rPr>
        <w:t>Lampetra fluviatilis</w:t>
      </w:r>
      <w:r w:rsidRPr="00D403F5">
        <w:rPr>
          <w:rFonts w:ascii="Arial" w:eastAsia="Times New Roman" w:hAnsi="Arial" w:cs="Arial"/>
          <w:sz w:val="18"/>
          <w:szCs w:val="18"/>
          <w:lang w:bidi="en-US"/>
        </w:rPr>
        <w:t xml:space="preserve"> in Finland during surveillance from 1999 to 2008, </w:t>
      </w:r>
      <w:r w:rsidRPr="00D403F5">
        <w:rPr>
          <w:rFonts w:ascii="Arial" w:eastAsia="Times New Roman" w:hAnsi="Arial" w:cs="Arial"/>
          <w:i/>
          <w:sz w:val="18"/>
          <w:szCs w:val="18"/>
          <w:lang w:bidi="en-US"/>
        </w:rPr>
        <w:t xml:space="preserve">Dis. </w:t>
      </w:r>
      <w:r w:rsidRPr="00D403F5">
        <w:rPr>
          <w:rFonts w:ascii="Arial" w:eastAsia="Times New Roman" w:hAnsi="Arial" w:cs="Arial"/>
          <w:i/>
          <w:sz w:val="18"/>
          <w:szCs w:val="18"/>
          <w:lang w:val="nb-NO" w:bidi="en-US"/>
        </w:rPr>
        <w:t>Aquat. Org.,</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88</w:t>
      </w:r>
      <w:r w:rsidRPr="00D403F5">
        <w:rPr>
          <w:rFonts w:ascii="Arial" w:eastAsia="Times New Roman" w:hAnsi="Arial" w:cs="Arial"/>
          <w:sz w:val="18"/>
          <w:szCs w:val="18"/>
          <w:lang w:val="nb-NO" w:bidi="en-US"/>
        </w:rPr>
        <w:t>, 189–198.</w:t>
      </w:r>
    </w:p>
    <w:p w14:paraId="6C0E5014" w14:textId="77777777" w:rsidR="00E65E42" w:rsidRPr="00D403F5" w:rsidRDefault="00E65E42" w:rsidP="001E34B0">
      <w:pPr>
        <w:spacing w:after="240" w:line="240" w:lineRule="auto"/>
        <w:ind w:left="284"/>
        <w:jc w:val="both"/>
        <w:rPr>
          <w:rFonts w:ascii="Arial" w:eastAsia="Times New Roman" w:hAnsi="Arial" w:cs="Arial"/>
          <w:bCs/>
          <w:sz w:val="18"/>
          <w:szCs w:val="18"/>
          <w:lang w:val="en-IE" w:bidi="en-US"/>
        </w:rPr>
      </w:pPr>
      <w:r w:rsidRPr="00D403F5">
        <w:rPr>
          <w:rFonts w:ascii="Arial" w:eastAsia="Times New Roman" w:hAnsi="Arial" w:cs="Arial"/>
          <w:bCs/>
          <w:smallCaps/>
          <w:sz w:val="18"/>
          <w:szCs w:val="18"/>
          <w:lang w:val="da-DK" w:bidi="en-US"/>
        </w:rPr>
        <w:t>Gadd T., Jakava</w:t>
      </w:r>
      <w:r w:rsidRPr="00D403F5">
        <w:rPr>
          <w:rFonts w:ascii="Cambria Math" w:eastAsia="Times New Roman" w:hAnsi="Cambria Math" w:cs="Cambria Math"/>
          <w:bCs/>
          <w:smallCaps/>
          <w:sz w:val="18"/>
          <w:szCs w:val="18"/>
          <w:lang w:val="da-DK" w:bidi="en-US"/>
        </w:rPr>
        <w:t>‐</w:t>
      </w:r>
      <w:r w:rsidRPr="00D403F5">
        <w:rPr>
          <w:rFonts w:ascii="Arial" w:eastAsia="Times New Roman" w:hAnsi="Arial" w:cs="Arial"/>
          <w:bCs/>
          <w:smallCaps/>
          <w:sz w:val="18"/>
          <w:szCs w:val="18"/>
          <w:lang w:val="da-DK" w:bidi="en-US"/>
        </w:rPr>
        <w:t>Viljanen M., Tapiovaara H., Koski P. &amp; Sihvonen L.</w:t>
      </w:r>
      <w:r w:rsidRPr="00D403F5">
        <w:rPr>
          <w:rFonts w:ascii="Arial" w:eastAsia="Times New Roman" w:hAnsi="Arial" w:cs="Arial"/>
          <w:bCs/>
          <w:sz w:val="18"/>
          <w:szCs w:val="18"/>
          <w:lang w:val="da-DK" w:bidi="en-US"/>
        </w:rPr>
        <w:t xml:space="preserve"> (2011). </w:t>
      </w:r>
      <w:r w:rsidRPr="00D403F5">
        <w:rPr>
          <w:rFonts w:ascii="Arial" w:eastAsia="Times New Roman" w:hAnsi="Arial" w:cs="Arial"/>
          <w:bCs/>
          <w:sz w:val="18"/>
          <w:szCs w:val="18"/>
          <w:lang w:val="en-IE" w:bidi="en-US"/>
        </w:rPr>
        <w:t xml:space="preserve">Epidemiological aspects of viral haemorrhagic septicaemia virus genotype II isolated from Baltic herring, </w:t>
      </w:r>
      <w:r w:rsidRPr="00D403F5">
        <w:rPr>
          <w:rFonts w:ascii="Arial" w:eastAsia="Times New Roman" w:hAnsi="Arial" w:cs="Arial"/>
          <w:bCs/>
          <w:i/>
          <w:sz w:val="18"/>
          <w:szCs w:val="18"/>
          <w:lang w:val="en-IE" w:bidi="en-US"/>
        </w:rPr>
        <w:t>Clupea harengus membras</w:t>
      </w:r>
      <w:r w:rsidRPr="00D403F5">
        <w:rPr>
          <w:rFonts w:ascii="Arial" w:eastAsia="Times New Roman" w:hAnsi="Arial" w:cs="Arial"/>
          <w:bCs/>
          <w:sz w:val="18"/>
          <w:szCs w:val="18"/>
          <w:lang w:val="en-IE" w:bidi="en-US"/>
        </w:rPr>
        <w:t xml:space="preserve"> L. </w:t>
      </w:r>
      <w:r w:rsidRPr="00D403F5">
        <w:rPr>
          <w:rFonts w:ascii="Arial" w:eastAsia="Times New Roman" w:hAnsi="Arial" w:cs="Arial"/>
          <w:bCs/>
          <w:i/>
          <w:sz w:val="18"/>
          <w:szCs w:val="18"/>
          <w:lang w:val="en-IE" w:bidi="en-US"/>
        </w:rPr>
        <w:t>J. Fish Dis.,</w:t>
      </w:r>
      <w:r w:rsidRPr="00D403F5">
        <w:rPr>
          <w:rFonts w:ascii="Arial" w:eastAsia="Times New Roman" w:hAnsi="Arial" w:cs="Arial"/>
          <w:bCs/>
          <w:sz w:val="18"/>
          <w:szCs w:val="18"/>
          <w:lang w:val="en-IE" w:bidi="en-US"/>
        </w:rPr>
        <w:t xml:space="preserve"> </w:t>
      </w:r>
      <w:r w:rsidRPr="00D403F5">
        <w:rPr>
          <w:rFonts w:ascii="Arial" w:eastAsia="Times New Roman" w:hAnsi="Arial" w:cs="Arial"/>
          <w:b/>
          <w:bCs/>
          <w:sz w:val="18"/>
          <w:szCs w:val="18"/>
          <w:lang w:val="en-IE" w:bidi="en-US"/>
        </w:rPr>
        <w:t>34</w:t>
      </w:r>
      <w:r w:rsidRPr="00D403F5">
        <w:rPr>
          <w:rFonts w:ascii="Arial" w:eastAsia="Times New Roman" w:hAnsi="Arial" w:cs="Arial"/>
          <w:bCs/>
          <w:sz w:val="18"/>
          <w:szCs w:val="18"/>
          <w:lang w:val="en-IE" w:bidi="en-US"/>
        </w:rPr>
        <w:t>, 517–529.</w:t>
      </w:r>
    </w:p>
    <w:p w14:paraId="0F6275A8" w14:textId="6A13C942" w:rsidR="00DD4A56" w:rsidRPr="008A67C2" w:rsidRDefault="00DD4A56" w:rsidP="001E34B0">
      <w:pPr>
        <w:spacing w:after="480" w:line="240" w:lineRule="auto"/>
        <w:rPr>
          <w:rFonts w:cs="Times New Roman"/>
          <w:bCs/>
          <w:iCs/>
          <w:szCs w:val="20"/>
        </w:rPr>
      </w:pPr>
      <w:r>
        <w:rPr>
          <w:u w:val="single"/>
        </w:rPr>
        <w:br w:type="page"/>
      </w: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7C22F6D0"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bCs/>
          <w:smallCaps/>
          <w:sz w:val="18"/>
          <w:szCs w:val="18"/>
          <w:lang w:val="en-IE" w:bidi="en-US"/>
        </w:rPr>
        <w:t>Gagne N., Mackinnon A.M., Boston L., Souter B., Cook</w:t>
      </w:r>
      <w:r w:rsidRPr="00D403F5">
        <w:rPr>
          <w:rFonts w:ascii="Cambria Math" w:eastAsia="Times New Roman" w:hAnsi="Cambria Math" w:cs="Cambria Math"/>
          <w:bCs/>
          <w:smallCaps/>
          <w:sz w:val="18"/>
          <w:szCs w:val="18"/>
          <w:lang w:val="en-IE" w:bidi="en-US"/>
        </w:rPr>
        <w:t>‐</w:t>
      </w:r>
      <w:r w:rsidRPr="00D403F5">
        <w:rPr>
          <w:rFonts w:ascii="Arial" w:eastAsia="Times New Roman" w:hAnsi="Arial" w:cs="Arial"/>
          <w:bCs/>
          <w:smallCaps/>
          <w:sz w:val="18"/>
          <w:szCs w:val="18"/>
          <w:lang w:val="en-IE" w:bidi="en-US"/>
        </w:rPr>
        <w:t xml:space="preserve">Versloot M., Griffiths S., &amp; Olivier G. </w:t>
      </w:r>
      <w:r w:rsidRPr="00D403F5">
        <w:rPr>
          <w:rFonts w:ascii="Arial" w:eastAsia="Times New Roman" w:hAnsi="Arial" w:cs="Arial"/>
          <w:bCs/>
          <w:sz w:val="18"/>
          <w:szCs w:val="18"/>
          <w:lang w:val="en-IE" w:bidi="en-US"/>
        </w:rPr>
        <w:t xml:space="preserve">(2007). Isolation of viral haemorrhagic septicaemia virus from mummichog, stickleback, striped bass and brown trout in eastern Canada. </w:t>
      </w:r>
      <w:r w:rsidRPr="00D403F5">
        <w:rPr>
          <w:rFonts w:ascii="Arial" w:eastAsia="Times New Roman" w:hAnsi="Arial" w:cs="Arial"/>
          <w:bCs/>
          <w:i/>
          <w:sz w:val="18"/>
          <w:szCs w:val="18"/>
          <w:lang w:val="en-IE" w:bidi="en-US"/>
        </w:rPr>
        <w:t>J. Fish Dis</w:t>
      </w:r>
      <w:r w:rsidRPr="00D403F5">
        <w:rPr>
          <w:rFonts w:ascii="Arial" w:eastAsia="Times New Roman" w:hAnsi="Arial" w:cs="Arial"/>
          <w:bCs/>
          <w:sz w:val="18"/>
          <w:szCs w:val="18"/>
          <w:lang w:val="en-IE" w:bidi="en-US"/>
        </w:rPr>
        <w:t xml:space="preserve">., </w:t>
      </w:r>
      <w:r w:rsidRPr="00D403F5">
        <w:rPr>
          <w:rFonts w:ascii="Arial" w:eastAsia="Times New Roman" w:hAnsi="Arial" w:cs="Arial"/>
          <w:b/>
          <w:bCs/>
          <w:sz w:val="18"/>
          <w:szCs w:val="18"/>
          <w:lang w:val="en-IE" w:bidi="en-US"/>
        </w:rPr>
        <w:t>30</w:t>
      </w:r>
      <w:r w:rsidRPr="00D403F5">
        <w:rPr>
          <w:rFonts w:ascii="Arial" w:eastAsia="Times New Roman" w:hAnsi="Arial" w:cs="Arial"/>
          <w:bCs/>
          <w:sz w:val="18"/>
          <w:szCs w:val="18"/>
          <w:lang w:val="en-IE" w:bidi="en-US"/>
        </w:rPr>
        <w:t>, 213–223.</w:t>
      </w:r>
    </w:p>
    <w:p w14:paraId="64638AF6" w14:textId="77777777" w:rsidR="00E65E42" w:rsidRPr="00D403F5" w:rsidRDefault="00E65E42" w:rsidP="001E34B0">
      <w:pPr>
        <w:tabs>
          <w:tab w:val="left" w:pos="0"/>
        </w:tabs>
        <w:spacing w:after="240" w:line="240" w:lineRule="auto"/>
        <w:ind w:left="284"/>
        <w:jc w:val="both"/>
        <w:rPr>
          <w:rFonts w:ascii="Arial" w:eastAsia="Times New Roman" w:hAnsi="Arial" w:cs="Arial"/>
          <w:sz w:val="18"/>
          <w:szCs w:val="18"/>
        </w:rPr>
      </w:pPr>
      <w:r w:rsidRPr="00D403F5">
        <w:rPr>
          <w:rFonts w:ascii="Arial" w:eastAsia="Times New Roman" w:hAnsi="Arial" w:cs="Arial"/>
          <w:smallCaps/>
          <w:sz w:val="18"/>
          <w:szCs w:val="18"/>
        </w:rPr>
        <w:t xml:space="preserve">Garver K.A., Hawley L.M., McClure C.A., Schroeder T., Aldous S., Doig F., Snow M., Edes S., Baynes C. &amp; Richard J. </w:t>
      </w:r>
      <w:r w:rsidRPr="00D403F5">
        <w:rPr>
          <w:rFonts w:ascii="Arial" w:eastAsia="Times New Roman" w:hAnsi="Arial" w:cs="Arial"/>
          <w:sz w:val="18"/>
          <w:szCs w:val="18"/>
        </w:rPr>
        <w:t xml:space="preserve">(2011). Development and validation of a reverse transcription quantitative PCR for universal detection of viral hemorrhagic septicemia virus. </w:t>
      </w:r>
      <w:r w:rsidRPr="00D403F5">
        <w:rPr>
          <w:rFonts w:ascii="Arial" w:eastAsia="Times New Roman" w:hAnsi="Arial" w:cs="Arial"/>
          <w:i/>
          <w:sz w:val="18"/>
          <w:szCs w:val="18"/>
        </w:rPr>
        <w:t>Dis. Aquat. Org.,</w:t>
      </w:r>
      <w:r w:rsidRPr="00D403F5">
        <w:rPr>
          <w:rFonts w:ascii="Arial" w:eastAsia="Times New Roman" w:hAnsi="Arial" w:cs="Arial"/>
          <w:sz w:val="18"/>
          <w:szCs w:val="18"/>
        </w:rPr>
        <w:t xml:space="preserve"> </w:t>
      </w:r>
      <w:r w:rsidRPr="00D403F5">
        <w:rPr>
          <w:rFonts w:ascii="Arial" w:eastAsia="Times New Roman" w:hAnsi="Arial" w:cs="Arial"/>
          <w:b/>
          <w:sz w:val="18"/>
          <w:szCs w:val="18"/>
        </w:rPr>
        <w:t>95</w:t>
      </w:r>
      <w:r w:rsidRPr="00D403F5">
        <w:rPr>
          <w:rFonts w:ascii="Arial" w:eastAsia="Times New Roman" w:hAnsi="Arial" w:cs="Arial"/>
          <w:sz w:val="18"/>
          <w:szCs w:val="18"/>
        </w:rPr>
        <w:t>, 97–112.</w:t>
      </w:r>
    </w:p>
    <w:p w14:paraId="59D6F3E1" w14:textId="77777777" w:rsidR="00E65E42" w:rsidRPr="00D403F5" w:rsidRDefault="00E65E42" w:rsidP="001E34B0">
      <w:pPr>
        <w:spacing w:after="240" w:line="240" w:lineRule="auto"/>
        <w:ind w:left="284"/>
        <w:jc w:val="both"/>
        <w:rPr>
          <w:rFonts w:ascii="Arial" w:eastAsia="Times New Roman" w:hAnsi="Arial" w:cs="Arial"/>
          <w:sz w:val="18"/>
          <w:szCs w:val="18"/>
          <w:lang w:eastAsia="en-GB"/>
        </w:rPr>
      </w:pPr>
      <w:r w:rsidRPr="00D403F5">
        <w:rPr>
          <w:rFonts w:ascii="Arial" w:eastAsia="Times New Roman" w:hAnsi="Arial" w:cs="Arial"/>
          <w:bCs/>
          <w:smallCaps/>
          <w:sz w:val="18"/>
          <w:szCs w:val="18"/>
          <w:lang w:eastAsia="en-GB"/>
        </w:rPr>
        <w:t>Garver</w:t>
      </w:r>
      <w:r w:rsidRPr="00D403F5">
        <w:rPr>
          <w:rFonts w:ascii="Arial" w:eastAsia="Times New Roman" w:hAnsi="Arial" w:cs="Arial"/>
          <w:smallCaps/>
          <w:sz w:val="18"/>
          <w:szCs w:val="18"/>
          <w:lang w:eastAsia="en-GB"/>
        </w:rPr>
        <w:t xml:space="preserve"> K.A., Traxler G.S., Hawley L.M., Richard J., Ross J.P. &amp; Lovy</w:t>
      </w:r>
      <w:r w:rsidRPr="00D403F5">
        <w:rPr>
          <w:rFonts w:ascii="Arial" w:eastAsia="Times New Roman" w:hAnsi="Arial" w:cs="Arial"/>
          <w:sz w:val="18"/>
          <w:szCs w:val="18"/>
          <w:lang w:eastAsia="en-GB"/>
        </w:rPr>
        <w:t xml:space="preserve"> J. (2013). Molecular epidemiology of viral haemorrhagic septicaemia virus (VHSV) in British Columbia, Canada, reveals transmission from wild to farmed fish. </w:t>
      </w:r>
      <w:r w:rsidRPr="00D403F5">
        <w:rPr>
          <w:rFonts w:ascii="Arial" w:eastAsia="Times New Roman" w:hAnsi="Arial" w:cs="Arial"/>
          <w:i/>
          <w:sz w:val="18"/>
          <w:szCs w:val="18"/>
          <w:lang w:eastAsia="en-GB"/>
        </w:rPr>
        <w:t>Dis. Aquat. Org</w:t>
      </w:r>
      <w:r w:rsidRPr="00D403F5">
        <w:rPr>
          <w:rFonts w:ascii="Arial" w:eastAsia="Times New Roman" w:hAnsi="Arial" w:cs="Arial"/>
          <w:sz w:val="18"/>
          <w:szCs w:val="18"/>
          <w:lang w:eastAsia="en-GB"/>
        </w:rPr>
        <w:t xml:space="preserve">, </w:t>
      </w:r>
      <w:r w:rsidRPr="00D403F5">
        <w:rPr>
          <w:rFonts w:ascii="Arial" w:eastAsia="Times New Roman" w:hAnsi="Arial" w:cs="Arial"/>
          <w:b/>
          <w:sz w:val="18"/>
          <w:szCs w:val="18"/>
          <w:lang w:eastAsia="en-GB"/>
        </w:rPr>
        <w:t>104</w:t>
      </w:r>
      <w:r w:rsidRPr="00D403F5">
        <w:rPr>
          <w:rFonts w:ascii="Arial" w:eastAsia="Times New Roman" w:hAnsi="Arial" w:cs="Arial"/>
          <w:sz w:val="18"/>
          <w:szCs w:val="18"/>
          <w:lang w:eastAsia="en-GB"/>
        </w:rPr>
        <w:t>, 93–104. doi: 10.3354/dao02588.</w:t>
      </w:r>
    </w:p>
    <w:p w14:paraId="2656E9E3" w14:textId="77777777" w:rsidR="00E65E42" w:rsidRPr="00D403F5" w:rsidRDefault="00E65E42" w:rsidP="001E34B0">
      <w:pPr>
        <w:spacing w:after="240" w:line="240" w:lineRule="auto"/>
        <w:ind w:left="284"/>
        <w:jc w:val="both"/>
        <w:rPr>
          <w:rFonts w:ascii="Arial" w:eastAsia="Times New Roman" w:hAnsi="Arial" w:cs="Arial"/>
          <w:sz w:val="18"/>
          <w:szCs w:val="18"/>
          <w:lang w:eastAsia="en-GB"/>
        </w:rPr>
      </w:pPr>
      <w:r w:rsidRPr="00D403F5">
        <w:rPr>
          <w:rFonts w:ascii="Arial" w:eastAsia="Times New Roman" w:hAnsi="Arial" w:cs="Arial"/>
          <w:smallCaps/>
          <w:sz w:val="18"/>
          <w:szCs w:val="18"/>
          <w:lang w:eastAsia="en-GB"/>
        </w:rPr>
        <w:t>Goodwin A.E. &amp; Merry G.E.</w:t>
      </w:r>
      <w:r w:rsidRPr="00D403F5">
        <w:rPr>
          <w:rFonts w:ascii="Arial" w:eastAsia="Times New Roman" w:hAnsi="Arial" w:cs="Arial"/>
          <w:sz w:val="18"/>
          <w:szCs w:val="18"/>
          <w:lang w:eastAsia="en-GB"/>
        </w:rPr>
        <w:t xml:space="preserve"> (2011). Mortality and carrier status of bluegills exposed to viral hemorrhagic septicemia virus genotype IVb at different temperatures. </w:t>
      </w:r>
      <w:r w:rsidRPr="00D403F5">
        <w:rPr>
          <w:rFonts w:ascii="Arial" w:eastAsia="Times New Roman" w:hAnsi="Arial" w:cs="Arial"/>
          <w:i/>
          <w:sz w:val="18"/>
          <w:szCs w:val="18"/>
          <w:lang w:eastAsia="en-GB"/>
        </w:rPr>
        <w:t>J. Aquat. Anim. Health</w:t>
      </w:r>
      <w:r w:rsidRPr="00D403F5">
        <w:rPr>
          <w:rFonts w:ascii="Arial" w:eastAsia="Times New Roman" w:hAnsi="Arial" w:cs="Arial"/>
          <w:sz w:val="18"/>
          <w:szCs w:val="18"/>
          <w:lang w:eastAsia="en-GB"/>
        </w:rPr>
        <w:t xml:space="preserve">, </w:t>
      </w:r>
      <w:r w:rsidRPr="00D403F5">
        <w:rPr>
          <w:rFonts w:ascii="Arial" w:eastAsia="Times New Roman" w:hAnsi="Arial" w:cs="Arial"/>
          <w:b/>
          <w:sz w:val="18"/>
          <w:szCs w:val="18"/>
          <w:lang w:eastAsia="en-GB"/>
        </w:rPr>
        <w:t>23</w:t>
      </w:r>
      <w:r w:rsidRPr="00D403F5">
        <w:rPr>
          <w:rFonts w:ascii="Arial" w:eastAsia="Times New Roman" w:hAnsi="Arial" w:cs="Arial"/>
          <w:sz w:val="18"/>
          <w:szCs w:val="18"/>
          <w:lang w:eastAsia="en-GB"/>
        </w:rPr>
        <w:t>, 85–91.</w:t>
      </w:r>
    </w:p>
    <w:p w14:paraId="6F577990" w14:textId="77777777" w:rsidR="00E65E42" w:rsidRPr="00D403F5" w:rsidRDefault="00E65E42" w:rsidP="001E34B0">
      <w:pPr>
        <w:spacing w:after="240" w:line="240" w:lineRule="auto"/>
        <w:ind w:left="284"/>
        <w:jc w:val="both"/>
        <w:rPr>
          <w:rFonts w:ascii="Arial" w:eastAsia="Times New Roman" w:hAnsi="Arial" w:cs="Arial"/>
          <w:sz w:val="18"/>
          <w:szCs w:val="18"/>
        </w:rPr>
      </w:pPr>
      <w:r w:rsidRPr="00D403F5">
        <w:rPr>
          <w:rFonts w:ascii="Arial" w:eastAsia="Times New Roman" w:hAnsi="Arial" w:cs="Arial"/>
          <w:smallCaps/>
          <w:sz w:val="18"/>
          <w:szCs w:val="18"/>
        </w:rPr>
        <w:t>Gross L., Richard J., Hershberger P. &amp; Garver K</w:t>
      </w:r>
      <w:r w:rsidRPr="00D403F5">
        <w:rPr>
          <w:rFonts w:ascii="Arial" w:eastAsia="Times New Roman" w:hAnsi="Arial" w:cs="Arial"/>
          <w:sz w:val="18"/>
          <w:szCs w:val="18"/>
        </w:rPr>
        <w:t xml:space="preserve">. (2019). </w:t>
      </w:r>
      <w:r w:rsidRPr="00D403F5">
        <w:rPr>
          <w:rFonts w:ascii="Arial" w:eastAsia="Times New Roman" w:hAnsi="Arial" w:cs="Arial"/>
          <w:sz w:val="18"/>
          <w:szCs w:val="18"/>
          <w:lang w:val="en-IE"/>
        </w:rPr>
        <w:t xml:space="preserve">Low susceptibility of sockeye salmon </w:t>
      </w:r>
      <w:r w:rsidRPr="00D403F5">
        <w:rPr>
          <w:rFonts w:ascii="Arial" w:eastAsia="Times New Roman" w:hAnsi="Arial" w:cs="Arial"/>
          <w:i/>
          <w:sz w:val="18"/>
          <w:szCs w:val="18"/>
          <w:lang w:val="en-IE"/>
        </w:rPr>
        <w:t>Oncorhynchus nerka</w:t>
      </w:r>
      <w:r w:rsidRPr="00D403F5">
        <w:rPr>
          <w:rFonts w:ascii="Arial" w:eastAsia="Times New Roman" w:hAnsi="Arial" w:cs="Arial"/>
          <w:sz w:val="18"/>
          <w:szCs w:val="18"/>
          <w:lang w:val="en-IE"/>
        </w:rPr>
        <w:t xml:space="preserve"> to viral hemorrhagic septicemia virus genotype IVa.</w:t>
      </w:r>
      <w:r w:rsidRPr="00D403F5">
        <w:rPr>
          <w:rFonts w:ascii="Arial" w:eastAsia="Times New Roman" w:hAnsi="Arial" w:cs="Arial"/>
          <w:sz w:val="18"/>
          <w:szCs w:val="18"/>
        </w:rPr>
        <w:t xml:space="preserve"> </w:t>
      </w:r>
      <w:r w:rsidRPr="00D403F5">
        <w:rPr>
          <w:rFonts w:ascii="Arial" w:eastAsia="Times New Roman" w:hAnsi="Arial" w:cs="Arial"/>
          <w:i/>
          <w:sz w:val="18"/>
          <w:szCs w:val="18"/>
        </w:rPr>
        <w:t>Dis. Aquat. Org</w:t>
      </w:r>
      <w:r w:rsidRPr="00D403F5">
        <w:rPr>
          <w:rFonts w:ascii="Arial" w:eastAsia="Times New Roman" w:hAnsi="Arial" w:cs="Arial"/>
          <w:sz w:val="18"/>
          <w:szCs w:val="18"/>
        </w:rPr>
        <w:t xml:space="preserve">., </w:t>
      </w:r>
      <w:r w:rsidRPr="00D403F5">
        <w:rPr>
          <w:rFonts w:ascii="Arial" w:eastAsia="Times New Roman" w:hAnsi="Arial" w:cs="Arial"/>
          <w:b/>
          <w:sz w:val="18"/>
          <w:szCs w:val="18"/>
        </w:rPr>
        <w:t>135</w:t>
      </w:r>
      <w:r w:rsidRPr="00D403F5">
        <w:rPr>
          <w:rFonts w:ascii="Arial" w:eastAsia="Times New Roman" w:hAnsi="Arial" w:cs="Arial"/>
          <w:sz w:val="18"/>
          <w:szCs w:val="18"/>
        </w:rPr>
        <w:t>, 201–209. doi: 10.3354/dao03398</w:t>
      </w:r>
    </w:p>
    <w:p w14:paraId="09DF69D3"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Times New Roman"/>
          <w:smallCaps/>
          <w:sz w:val="18"/>
          <w:szCs w:val="18"/>
          <w:lang w:val="en-IE" w:bidi="en-US"/>
        </w:rPr>
        <w:t xml:space="preserve">Gudmundsdottir S., Vendramin N., Cuenca A., Sigurðardottir H., Kristmundsson A., Iburg T.M. &amp; Olesen N.J. </w:t>
      </w:r>
      <w:r w:rsidRPr="00D403F5">
        <w:rPr>
          <w:rFonts w:ascii="Arial" w:eastAsia="Times New Roman" w:hAnsi="Arial" w:cs="Times New Roman"/>
          <w:sz w:val="18"/>
          <w:szCs w:val="18"/>
          <w:lang w:val="en-IE" w:bidi="en-US"/>
        </w:rPr>
        <w:t>(2019). Outbreak of viral haemorrhagic septicaemia (VHS) in lumpfish (</w:t>
      </w:r>
      <w:r w:rsidRPr="00D403F5">
        <w:rPr>
          <w:rFonts w:ascii="Arial" w:eastAsia="Times New Roman" w:hAnsi="Arial" w:cs="Times New Roman"/>
          <w:i/>
          <w:sz w:val="18"/>
          <w:szCs w:val="18"/>
          <w:lang w:val="en-IE" w:bidi="en-US"/>
        </w:rPr>
        <w:t>Cyclopterus lumpus</w:t>
      </w:r>
      <w:r w:rsidRPr="00D403F5">
        <w:rPr>
          <w:rFonts w:ascii="Arial" w:eastAsia="Times New Roman" w:hAnsi="Arial" w:cs="Times New Roman"/>
          <w:sz w:val="18"/>
          <w:szCs w:val="18"/>
          <w:lang w:val="en-IE" w:bidi="en-US"/>
        </w:rPr>
        <w:t xml:space="preserve">) in Iceland caused by VHS virus Genotype IV. </w:t>
      </w:r>
      <w:r w:rsidRPr="00D403F5">
        <w:rPr>
          <w:rFonts w:ascii="Arial" w:eastAsia="Times New Roman" w:hAnsi="Arial" w:cs="Times New Roman"/>
          <w:i/>
          <w:sz w:val="18"/>
          <w:szCs w:val="18"/>
          <w:lang w:val="en-IE" w:bidi="en-US"/>
        </w:rPr>
        <w:t>J. Fish Dis.</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42</w:t>
      </w:r>
      <w:r w:rsidRPr="00D403F5">
        <w:rPr>
          <w:rFonts w:ascii="Arial" w:eastAsia="Times New Roman" w:hAnsi="Arial" w:cs="Times New Roman"/>
          <w:sz w:val="18"/>
          <w:szCs w:val="18"/>
          <w:lang w:val="en-IE" w:bidi="en-US"/>
        </w:rPr>
        <w:t>, 47–62. https://doi.org/10.1111/jfd.12910</w:t>
      </w:r>
    </w:p>
    <w:p w14:paraId="5AEB7554" w14:textId="77777777" w:rsidR="00E65E42" w:rsidRPr="00D403F5" w:rsidRDefault="00E65E42" w:rsidP="001E34B0">
      <w:pPr>
        <w:spacing w:after="240" w:line="240" w:lineRule="auto"/>
        <w:ind w:left="284"/>
        <w:jc w:val="both"/>
        <w:rPr>
          <w:rFonts w:ascii="Arial" w:eastAsia="Times New Roman" w:hAnsi="Arial" w:cs="Arial"/>
          <w:sz w:val="18"/>
          <w:szCs w:val="18"/>
          <w:lang w:val="nb-NO" w:bidi="en-US"/>
        </w:rPr>
      </w:pPr>
      <w:r w:rsidRPr="00D403F5">
        <w:rPr>
          <w:rFonts w:ascii="Arial" w:eastAsia="Times New Roman" w:hAnsi="Arial" w:cs="Arial"/>
          <w:smallCaps/>
          <w:sz w:val="18"/>
          <w:szCs w:val="18"/>
          <w:lang w:bidi="en-US"/>
        </w:rPr>
        <w:t>Hawley L.M. &amp; Garver K.A. (</w:t>
      </w:r>
      <w:r w:rsidRPr="00D403F5">
        <w:rPr>
          <w:rFonts w:ascii="Arial" w:eastAsia="Times New Roman" w:hAnsi="Arial" w:cs="Arial"/>
          <w:sz w:val="18"/>
          <w:szCs w:val="18"/>
          <w:lang w:bidi="en-US"/>
        </w:rPr>
        <w:t xml:space="preserve">2008). Stability of viral hemorrhagic septicemia virus (VHSV) in freshwater and seawater at various temperatures. </w:t>
      </w:r>
      <w:r w:rsidRPr="00D403F5">
        <w:rPr>
          <w:rFonts w:ascii="Arial" w:eastAsia="Times New Roman" w:hAnsi="Arial" w:cs="Arial"/>
          <w:i/>
          <w:sz w:val="18"/>
          <w:szCs w:val="18"/>
          <w:lang w:val="nb-NO" w:bidi="en-US"/>
        </w:rPr>
        <w:t>Dis. Aquat. Org.,</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82</w:t>
      </w:r>
      <w:r w:rsidRPr="00D403F5">
        <w:rPr>
          <w:rFonts w:ascii="Arial" w:eastAsia="Times New Roman" w:hAnsi="Arial" w:cs="Arial"/>
          <w:sz w:val="18"/>
          <w:szCs w:val="18"/>
          <w:lang w:val="nb-NO" w:bidi="en-US"/>
        </w:rPr>
        <w:t>, 171–178.</w:t>
      </w:r>
    </w:p>
    <w:p w14:paraId="160101C4"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val="nb-NO" w:bidi="en-US"/>
        </w:rPr>
        <w:t>Henryon M., Berg P., Olesen N.J., Kjær T.E., Slierendrecht W.J., Jokumsen A. &amp; Lund I</w:t>
      </w:r>
      <w:r w:rsidRPr="00D403F5">
        <w:rPr>
          <w:rFonts w:ascii="Arial" w:eastAsia="Times New Roman" w:hAnsi="Arial" w:cs="Arial"/>
          <w:sz w:val="18"/>
          <w:szCs w:val="18"/>
          <w:lang w:val="nb-NO" w:bidi="en-US"/>
        </w:rPr>
        <w:t xml:space="preserve">. (2005). </w:t>
      </w:r>
      <w:r w:rsidRPr="00D403F5">
        <w:rPr>
          <w:rFonts w:ascii="Arial" w:eastAsia="Times New Roman" w:hAnsi="Arial" w:cs="Arial"/>
          <w:sz w:val="18"/>
          <w:szCs w:val="18"/>
          <w:lang w:bidi="en-US"/>
        </w:rPr>
        <w:t xml:space="preserve">Selective breeding provides an approach to increase resistance of rainbow trout to the diseases, enteric redmouth disease, rainbow trout fry syndrome, and viral haemorrhagic septicaemia. </w:t>
      </w:r>
      <w:r w:rsidRPr="00D403F5">
        <w:rPr>
          <w:rFonts w:ascii="Arial" w:eastAsia="Times New Roman" w:hAnsi="Arial" w:cs="Arial"/>
          <w:i/>
          <w:sz w:val="18"/>
          <w:szCs w:val="18"/>
          <w:lang w:bidi="en-US"/>
        </w:rPr>
        <w:t>Aquaculture,</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250</w:t>
      </w:r>
      <w:r w:rsidRPr="00D403F5">
        <w:rPr>
          <w:rFonts w:ascii="Arial" w:eastAsia="Times New Roman" w:hAnsi="Arial" w:cs="Arial"/>
          <w:sz w:val="18"/>
          <w:szCs w:val="18"/>
          <w:lang w:bidi="en-US"/>
        </w:rPr>
        <w:t>, 621–636.</w:t>
      </w:r>
    </w:p>
    <w:p w14:paraId="3FAD8569" w14:textId="77777777" w:rsidR="00E65E42" w:rsidRPr="00D403F5" w:rsidRDefault="00E65E42" w:rsidP="001E34B0">
      <w:pPr>
        <w:spacing w:after="240" w:line="240" w:lineRule="auto"/>
        <w:ind w:left="284"/>
        <w:jc w:val="both"/>
        <w:rPr>
          <w:rFonts w:ascii="Arial" w:eastAsia="Times New Roman" w:hAnsi="Arial" w:cs="Arial"/>
          <w:sz w:val="18"/>
          <w:szCs w:val="18"/>
          <w:lang w:val="nb-NO" w:bidi="en-US"/>
        </w:rPr>
      </w:pPr>
      <w:r w:rsidRPr="00D403F5">
        <w:rPr>
          <w:rFonts w:ascii="Arial" w:eastAsia="Times New Roman" w:hAnsi="Arial" w:cs="Arial"/>
          <w:smallCaps/>
          <w:sz w:val="18"/>
          <w:szCs w:val="18"/>
          <w:lang w:bidi="en-US"/>
        </w:rPr>
        <w:t xml:space="preserve">Henryon M., Jokumsen A., Berg P., Lund I., Pedersen P.B., Olesen N.J. &amp; Slierendrecht W.J. </w:t>
      </w:r>
      <w:r w:rsidRPr="00D403F5">
        <w:rPr>
          <w:rFonts w:ascii="Arial" w:eastAsia="Times New Roman" w:hAnsi="Arial" w:cs="Arial"/>
          <w:sz w:val="18"/>
          <w:szCs w:val="18"/>
          <w:lang w:bidi="en-US"/>
        </w:rPr>
        <w:t>(2002a). Erratum to “Genetic variation for growth rate, feed conversion efficiency, and disease resistance exists within a farmed population of rainbow trout” (</w:t>
      </w:r>
      <w:r w:rsidRPr="00D403F5">
        <w:rPr>
          <w:rFonts w:ascii="Arial" w:eastAsia="Times New Roman" w:hAnsi="Arial" w:cs="Arial"/>
          <w:i/>
          <w:sz w:val="18"/>
          <w:szCs w:val="18"/>
          <w:lang w:bidi="en-US"/>
        </w:rPr>
        <w:t>Aquaculture</w:t>
      </w:r>
      <w:r w:rsidRPr="00D403F5">
        <w:rPr>
          <w:rFonts w:ascii="Arial" w:eastAsia="Times New Roman" w:hAnsi="Arial" w:cs="Arial"/>
          <w:sz w:val="18"/>
          <w:szCs w:val="18"/>
          <w:lang w:bidi="en-US"/>
        </w:rPr>
        <w:t xml:space="preserve">, 2002, </w:t>
      </w:r>
      <w:r w:rsidRPr="00D403F5">
        <w:rPr>
          <w:rFonts w:ascii="Arial" w:eastAsia="Times New Roman" w:hAnsi="Arial" w:cs="Arial"/>
          <w:b/>
          <w:sz w:val="18"/>
          <w:szCs w:val="18"/>
          <w:lang w:bidi="en-US"/>
        </w:rPr>
        <w:t>209</w:t>
      </w:r>
      <w:r w:rsidRPr="00D403F5">
        <w:rPr>
          <w:rFonts w:ascii="Arial" w:eastAsia="Times New Roman" w:hAnsi="Arial" w:cs="Arial"/>
          <w:sz w:val="18"/>
          <w:szCs w:val="18"/>
          <w:lang w:bidi="en-US"/>
        </w:rPr>
        <w:t xml:space="preserve">, 59–76). </w:t>
      </w:r>
      <w:r w:rsidRPr="00D403F5">
        <w:rPr>
          <w:rFonts w:ascii="Arial" w:eastAsia="Times New Roman" w:hAnsi="Arial" w:cs="Arial"/>
          <w:i/>
          <w:sz w:val="18"/>
          <w:szCs w:val="18"/>
          <w:lang w:val="nb-NO" w:bidi="en-US"/>
        </w:rPr>
        <w:t>Aquaculture,</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216</w:t>
      </w:r>
      <w:r w:rsidRPr="00D403F5">
        <w:rPr>
          <w:rFonts w:ascii="Arial" w:eastAsia="Times New Roman" w:hAnsi="Arial" w:cs="Arial"/>
          <w:sz w:val="18"/>
          <w:szCs w:val="18"/>
          <w:lang w:val="nb-NO" w:bidi="en-US"/>
        </w:rPr>
        <w:t>, 389–390.</w:t>
      </w:r>
    </w:p>
    <w:p w14:paraId="7EE3D260"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val="nb-NO" w:bidi="en-US"/>
        </w:rPr>
        <w:t>Henryon M., Jokumsen A., Berg P., Lund I., Pedersen P.B., Olesen N.J. &amp; Slierendrecht W.J. (</w:t>
      </w:r>
      <w:r w:rsidRPr="00D403F5">
        <w:rPr>
          <w:rFonts w:ascii="Arial" w:eastAsia="Times New Roman" w:hAnsi="Arial" w:cs="Arial"/>
          <w:sz w:val="18"/>
          <w:szCs w:val="18"/>
          <w:lang w:val="nb-NO" w:bidi="en-US"/>
        </w:rPr>
        <w:t xml:space="preserve">2002b). </w:t>
      </w:r>
      <w:r w:rsidRPr="00D403F5">
        <w:rPr>
          <w:rFonts w:ascii="Arial" w:eastAsia="Times New Roman" w:hAnsi="Arial" w:cs="Arial"/>
          <w:sz w:val="18"/>
          <w:szCs w:val="18"/>
          <w:lang w:bidi="en-US"/>
        </w:rPr>
        <w:t xml:space="preserve">Genetic variation for growth rate, feed conversion efficiency, and disease resistance exists within a farmed population of rainbow trout. </w:t>
      </w:r>
      <w:r w:rsidRPr="00D403F5">
        <w:rPr>
          <w:rFonts w:ascii="Arial" w:eastAsia="Times New Roman" w:hAnsi="Arial" w:cs="Arial"/>
          <w:i/>
          <w:sz w:val="18"/>
          <w:szCs w:val="18"/>
          <w:lang w:bidi="en-US"/>
        </w:rPr>
        <w:t>Aquaculture,</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209</w:t>
      </w:r>
      <w:r w:rsidRPr="00D403F5">
        <w:rPr>
          <w:rFonts w:ascii="Arial" w:eastAsia="Times New Roman" w:hAnsi="Arial" w:cs="Arial"/>
          <w:sz w:val="18"/>
          <w:szCs w:val="18"/>
          <w:lang w:bidi="en-US"/>
        </w:rPr>
        <w:t>, 59–76.</w:t>
      </w:r>
    </w:p>
    <w:p w14:paraId="050AA6CA" w14:textId="77777777" w:rsidR="00E65E42" w:rsidRDefault="00E65E42" w:rsidP="001E34B0">
      <w:pPr>
        <w:spacing w:after="240" w:line="240" w:lineRule="auto"/>
        <w:ind w:left="284"/>
        <w:jc w:val="both"/>
        <w:rPr>
          <w:rFonts w:ascii="Arial" w:eastAsia="Times New Roman" w:hAnsi="Arial" w:cs="Arial"/>
          <w:color w:val="333333"/>
          <w:sz w:val="18"/>
          <w:szCs w:val="18"/>
          <w:lang w:val="en" w:eastAsia="en-CA" w:bidi="en-US"/>
        </w:rPr>
      </w:pPr>
      <w:r w:rsidRPr="00D403F5">
        <w:rPr>
          <w:rFonts w:ascii="Arial" w:eastAsia="Times New Roman" w:hAnsi="Arial" w:cs="Times New Roman"/>
          <w:bCs/>
          <w:smallCaps/>
          <w:sz w:val="18"/>
          <w:szCs w:val="18"/>
          <w:lang w:val="en" w:eastAsia="en-CA" w:bidi="en-US"/>
        </w:rPr>
        <w:t>Hershberger P</w:t>
      </w:r>
      <w:r>
        <w:rPr>
          <w:rFonts w:ascii="Arial" w:eastAsia="Times New Roman" w:hAnsi="Arial" w:cs="Times New Roman"/>
          <w:bCs/>
          <w:smallCaps/>
          <w:sz w:val="18"/>
          <w:szCs w:val="18"/>
          <w:lang w:val="en" w:eastAsia="en-CA" w:bidi="en-US"/>
        </w:rPr>
        <w:t>.</w:t>
      </w:r>
      <w:r w:rsidRPr="00D403F5">
        <w:rPr>
          <w:rFonts w:ascii="Arial" w:eastAsia="Times New Roman" w:hAnsi="Arial" w:cs="Times New Roman"/>
          <w:bCs/>
          <w:smallCaps/>
          <w:sz w:val="18"/>
          <w:szCs w:val="18"/>
          <w:lang w:val="en" w:eastAsia="en-CA" w:bidi="en-US"/>
        </w:rPr>
        <w:t>, Gregg J</w:t>
      </w:r>
      <w:r>
        <w:rPr>
          <w:rFonts w:ascii="Arial" w:eastAsia="Times New Roman" w:hAnsi="Arial" w:cs="Times New Roman"/>
          <w:bCs/>
          <w:smallCaps/>
          <w:sz w:val="18"/>
          <w:szCs w:val="18"/>
          <w:lang w:val="en" w:eastAsia="en-CA" w:bidi="en-US"/>
        </w:rPr>
        <w:t>.</w:t>
      </w:r>
      <w:r w:rsidRPr="00D403F5">
        <w:rPr>
          <w:rFonts w:ascii="Arial" w:eastAsia="Times New Roman" w:hAnsi="Arial" w:cs="Times New Roman"/>
          <w:bCs/>
          <w:smallCaps/>
          <w:sz w:val="18"/>
          <w:szCs w:val="18"/>
          <w:lang w:val="en" w:eastAsia="en-CA" w:bidi="en-US"/>
        </w:rPr>
        <w:t>, Grady C</w:t>
      </w:r>
      <w:r>
        <w:rPr>
          <w:rFonts w:ascii="Arial" w:eastAsia="Times New Roman" w:hAnsi="Arial" w:cs="Times New Roman"/>
          <w:bCs/>
          <w:smallCaps/>
          <w:sz w:val="18"/>
          <w:szCs w:val="18"/>
          <w:lang w:val="en" w:eastAsia="en-CA" w:bidi="en-US"/>
        </w:rPr>
        <w:t>.</w:t>
      </w:r>
      <w:r w:rsidRPr="00D403F5">
        <w:rPr>
          <w:rFonts w:ascii="Arial" w:eastAsia="Times New Roman" w:hAnsi="Arial" w:cs="Times New Roman"/>
          <w:bCs/>
          <w:smallCaps/>
          <w:sz w:val="18"/>
          <w:szCs w:val="18"/>
          <w:lang w:val="en" w:eastAsia="en-CA" w:bidi="en-US"/>
        </w:rPr>
        <w:t>, Collins R</w:t>
      </w:r>
      <w:r>
        <w:rPr>
          <w:rFonts w:ascii="Arial" w:eastAsia="Times New Roman" w:hAnsi="Arial" w:cs="Times New Roman"/>
          <w:bCs/>
          <w:smallCaps/>
          <w:sz w:val="18"/>
          <w:szCs w:val="18"/>
          <w:lang w:val="en" w:eastAsia="en-CA" w:bidi="en-US"/>
        </w:rPr>
        <w:t>. &amp;</w:t>
      </w:r>
      <w:r w:rsidRPr="00D403F5">
        <w:rPr>
          <w:rFonts w:ascii="Arial" w:eastAsia="Times New Roman" w:hAnsi="Arial" w:cs="Times New Roman"/>
          <w:bCs/>
          <w:smallCaps/>
          <w:sz w:val="18"/>
          <w:szCs w:val="18"/>
          <w:lang w:val="en" w:eastAsia="en-CA" w:bidi="en-US"/>
        </w:rPr>
        <w:t xml:space="preserve"> Winton J</w:t>
      </w:r>
      <w:r w:rsidRPr="00D403F5">
        <w:rPr>
          <w:rFonts w:ascii="Arial" w:eastAsia="Times New Roman" w:hAnsi="Arial" w:cs="Arial"/>
          <w:color w:val="333333"/>
          <w:sz w:val="18"/>
          <w:szCs w:val="18"/>
          <w:lang w:val="en" w:eastAsia="en-CA" w:bidi="en-US"/>
        </w:rPr>
        <w:t xml:space="preserve">. (2010). Kinetics of viral shedding provide insights into the epidemiology of viral hemorrhagic septicemia in Pacific herring. </w:t>
      </w:r>
      <w:r w:rsidRPr="00D403F5">
        <w:rPr>
          <w:rFonts w:ascii="Arial" w:eastAsia="Times New Roman" w:hAnsi="Arial" w:cs="Arial"/>
          <w:i/>
          <w:color w:val="333333"/>
          <w:sz w:val="18"/>
          <w:szCs w:val="18"/>
          <w:lang w:val="en" w:eastAsia="en-CA" w:bidi="en-US"/>
        </w:rPr>
        <w:t>Marine Ecology-Progress Series</w:t>
      </w:r>
      <w:r w:rsidRPr="00D403F5">
        <w:rPr>
          <w:rFonts w:ascii="Arial" w:eastAsia="Times New Roman" w:hAnsi="Arial" w:cs="Arial"/>
          <w:color w:val="333333"/>
          <w:sz w:val="18"/>
          <w:szCs w:val="18"/>
          <w:lang w:val="en" w:eastAsia="en-CA" w:bidi="en-US"/>
        </w:rPr>
        <w:t>, 400:187e93.</w:t>
      </w:r>
    </w:p>
    <w:p w14:paraId="04AD34E1" w14:textId="77777777" w:rsidR="00E65E42" w:rsidRPr="00BA71C6" w:rsidRDefault="00E65E42" w:rsidP="001E34B0">
      <w:pPr>
        <w:spacing w:after="240" w:line="240" w:lineRule="auto"/>
        <w:ind w:left="284"/>
        <w:jc w:val="both"/>
        <w:rPr>
          <w:rFonts w:ascii="Arial" w:eastAsia="Times New Roman" w:hAnsi="Arial" w:cs="Arial"/>
          <w:color w:val="333333"/>
          <w:sz w:val="18"/>
          <w:szCs w:val="18"/>
          <w:u w:val="double"/>
          <w:lang w:val="en" w:eastAsia="en-CA" w:bidi="en-US"/>
        </w:rPr>
      </w:pPr>
      <w:r w:rsidRPr="00BA71C6">
        <w:rPr>
          <w:rFonts w:ascii="Arial" w:hAnsi="Arial" w:cs="Arial"/>
          <w:smallCaps/>
          <w:sz w:val="18"/>
          <w:szCs w:val="18"/>
          <w:highlight w:val="yellow"/>
          <w:u w:val="double"/>
        </w:rPr>
        <w:t>Isshiki T., Nishizawa T., Kobayashi T., Nagano T. &amp; Miyazaki T</w:t>
      </w:r>
      <w:r w:rsidRPr="00BA71C6">
        <w:rPr>
          <w:rFonts w:ascii="Arial" w:hAnsi="Arial" w:cs="Arial"/>
          <w:sz w:val="18"/>
          <w:szCs w:val="18"/>
          <w:highlight w:val="yellow"/>
          <w:u w:val="double"/>
        </w:rPr>
        <w:t xml:space="preserve">. (2001). An outbreak of VHSV (viral hemorrhagic septicemia virus) infection in farmed Japanese flounder </w:t>
      </w:r>
      <w:r w:rsidRPr="00BA71C6">
        <w:rPr>
          <w:rFonts w:ascii="Arial" w:hAnsi="Arial" w:cs="Arial"/>
          <w:i/>
          <w:iCs/>
          <w:sz w:val="18"/>
          <w:szCs w:val="18"/>
          <w:highlight w:val="yellow"/>
          <w:u w:val="double"/>
        </w:rPr>
        <w:t>Paralichthys olivaceus</w:t>
      </w:r>
      <w:r w:rsidRPr="00BA71C6">
        <w:rPr>
          <w:rFonts w:ascii="Arial" w:hAnsi="Arial" w:cs="Arial"/>
          <w:sz w:val="18"/>
          <w:szCs w:val="18"/>
          <w:highlight w:val="yellow"/>
          <w:u w:val="double"/>
        </w:rPr>
        <w:t xml:space="preserve"> in Japan. </w:t>
      </w:r>
      <w:r w:rsidRPr="00BA71C6">
        <w:rPr>
          <w:rFonts w:ascii="Arial" w:hAnsi="Arial" w:cs="Arial"/>
          <w:i/>
          <w:iCs/>
          <w:sz w:val="18"/>
          <w:szCs w:val="18"/>
          <w:highlight w:val="yellow"/>
          <w:u w:val="double"/>
        </w:rPr>
        <w:t>Dis. Aquat. Org</w:t>
      </w:r>
      <w:r w:rsidRPr="00BA71C6">
        <w:rPr>
          <w:rFonts w:ascii="Arial" w:hAnsi="Arial" w:cs="Arial"/>
          <w:sz w:val="18"/>
          <w:szCs w:val="18"/>
          <w:highlight w:val="yellow"/>
          <w:u w:val="double"/>
        </w:rPr>
        <w:t xml:space="preserve">., </w:t>
      </w:r>
      <w:r w:rsidRPr="00BA71C6">
        <w:rPr>
          <w:rFonts w:ascii="Arial" w:hAnsi="Arial" w:cs="Arial"/>
          <w:b/>
          <w:bCs/>
          <w:sz w:val="18"/>
          <w:szCs w:val="18"/>
          <w:highlight w:val="yellow"/>
          <w:u w:val="double"/>
        </w:rPr>
        <w:t>47</w:t>
      </w:r>
      <w:r w:rsidRPr="00BA71C6">
        <w:rPr>
          <w:rFonts w:ascii="Arial" w:hAnsi="Arial" w:cs="Arial"/>
          <w:sz w:val="18"/>
          <w:szCs w:val="18"/>
          <w:highlight w:val="yellow"/>
          <w:u w:val="double"/>
        </w:rPr>
        <w:t>, 87–99</w:t>
      </w:r>
      <w:r>
        <w:rPr>
          <w:rFonts w:ascii="Arial" w:hAnsi="Arial" w:cs="Arial"/>
          <w:sz w:val="18"/>
          <w:szCs w:val="18"/>
          <w:u w:val="double"/>
        </w:rPr>
        <w:t>.</w:t>
      </w:r>
    </w:p>
    <w:p w14:paraId="03D256A3" w14:textId="77777777" w:rsidR="00E65E42" w:rsidRPr="00AE3567" w:rsidRDefault="00E65E42" w:rsidP="001E34B0">
      <w:pPr>
        <w:spacing w:after="240" w:line="240" w:lineRule="auto"/>
        <w:ind w:left="284"/>
        <w:jc w:val="both"/>
        <w:rPr>
          <w:rFonts w:ascii="Arial" w:eastAsia="Times New Roman" w:hAnsi="Arial" w:cs="Arial"/>
          <w:sz w:val="18"/>
          <w:szCs w:val="18"/>
          <w:lang w:val="en-US" w:bidi="en-US"/>
        </w:rPr>
      </w:pPr>
      <w:r w:rsidRPr="00D403F5">
        <w:rPr>
          <w:rFonts w:ascii="Arial" w:eastAsia="Times New Roman" w:hAnsi="Arial" w:cs="Arial"/>
          <w:smallCaps/>
          <w:sz w:val="18"/>
          <w:szCs w:val="18"/>
          <w:lang w:val="en-US" w:bidi="en-US"/>
        </w:rPr>
        <w:t>Ito T. &amp; Olesen N.J.</w:t>
      </w:r>
      <w:r w:rsidRPr="00D403F5">
        <w:rPr>
          <w:rFonts w:ascii="Arial" w:eastAsia="Times New Roman" w:hAnsi="Arial" w:cs="Arial"/>
          <w:sz w:val="18"/>
          <w:szCs w:val="18"/>
          <w:lang w:val="en-US" w:bidi="en-US"/>
        </w:rPr>
        <w:t xml:space="preserve"> (2017). </w:t>
      </w:r>
      <w:r w:rsidRPr="00D403F5">
        <w:rPr>
          <w:rFonts w:ascii="Arial" w:eastAsia="Times New Roman" w:hAnsi="Arial" w:cs="Arial"/>
          <w:sz w:val="18"/>
          <w:szCs w:val="18"/>
          <w:lang w:bidi="en-US"/>
        </w:rPr>
        <w:t xml:space="preserve">Viral haemorrhagic septicaemia virus (VHSV) remains viable for several days but at low levels in the water flea </w:t>
      </w:r>
      <w:r w:rsidRPr="00D403F5">
        <w:rPr>
          <w:rFonts w:ascii="Arial" w:eastAsia="Times New Roman" w:hAnsi="Arial" w:cs="Arial"/>
          <w:i/>
          <w:sz w:val="18"/>
          <w:szCs w:val="18"/>
          <w:lang w:bidi="en-US"/>
        </w:rPr>
        <w:t xml:space="preserve">Moina macrocopa. </w:t>
      </w:r>
      <w:r w:rsidRPr="00AE3567">
        <w:rPr>
          <w:rFonts w:ascii="Arial" w:eastAsia="Times New Roman" w:hAnsi="Arial" w:cs="Arial"/>
          <w:i/>
          <w:sz w:val="18"/>
          <w:szCs w:val="18"/>
          <w:lang w:val="en-US" w:bidi="en-US"/>
        </w:rPr>
        <w:t>Dis. Aquat. Org</w:t>
      </w:r>
      <w:r w:rsidRPr="00AE3567">
        <w:rPr>
          <w:rFonts w:ascii="Arial" w:eastAsia="Times New Roman" w:hAnsi="Arial" w:cs="Arial"/>
          <w:sz w:val="18"/>
          <w:szCs w:val="18"/>
          <w:lang w:val="en-US" w:bidi="en-US"/>
        </w:rPr>
        <w:t xml:space="preserve">., </w:t>
      </w:r>
      <w:r w:rsidRPr="00AE3567">
        <w:rPr>
          <w:rFonts w:ascii="Arial" w:eastAsia="Times New Roman" w:hAnsi="Arial" w:cs="Arial"/>
          <w:b/>
          <w:sz w:val="18"/>
          <w:szCs w:val="18"/>
          <w:lang w:val="en-US" w:bidi="en-US"/>
        </w:rPr>
        <w:t>127</w:t>
      </w:r>
      <w:r w:rsidRPr="00AE3567">
        <w:rPr>
          <w:rFonts w:ascii="Arial" w:eastAsia="Times New Roman" w:hAnsi="Arial" w:cs="Arial"/>
          <w:sz w:val="18"/>
          <w:szCs w:val="18"/>
          <w:lang w:val="en-US" w:bidi="en-US"/>
        </w:rPr>
        <w:t>, 11–18.</w:t>
      </w:r>
    </w:p>
    <w:p w14:paraId="375255DA" w14:textId="77777777" w:rsidR="00E65E42" w:rsidRPr="00AE3567" w:rsidRDefault="00E65E42" w:rsidP="001E34B0">
      <w:pPr>
        <w:pStyle w:val="desc"/>
        <w:ind w:left="284"/>
        <w:jc w:val="both"/>
        <w:rPr>
          <w:rFonts w:ascii="Arial" w:hAnsi="Arial" w:cs="Arial"/>
          <w:sz w:val="18"/>
          <w:szCs w:val="18"/>
          <w:u w:val="double"/>
          <w:lang w:val="nb-NO"/>
        </w:rPr>
      </w:pPr>
      <w:r w:rsidRPr="007B73F2">
        <w:rPr>
          <w:rFonts w:ascii="Arial" w:hAnsi="Arial" w:cs="Arial"/>
          <w:smallCaps/>
          <w:sz w:val="18"/>
          <w:szCs w:val="18"/>
          <w:highlight w:val="yellow"/>
          <w:u w:val="double"/>
          <w:lang w:val="en-IE"/>
        </w:rPr>
        <w:t>Jensen N.J. &amp; Larsen J.L.</w:t>
      </w:r>
      <w:r w:rsidRPr="007B73F2">
        <w:rPr>
          <w:rFonts w:ascii="Arial" w:hAnsi="Arial" w:cs="Arial"/>
          <w:sz w:val="18"/>
          <w:szCs w:val="18"/>
          <w:highlight w:val="yellow"/>
          <w:u w:val="double"/>
          <w:lang w:val="en-IE"/>
        </w:rPr>
        <w:t xml:space="preserve"> (1979). </w:t>
      </w:r>
      <w:r w:rsidRPr="002277D0">
        <w:rPr>
          <w:rFonts w:ascii="Arial" w:hAnsi="Arial" w:cs="Arial"/>
          <w:sz w:val="18"/>
          <w:szCs w:val="18"/>
          <w:highlight w:val="yellow"/>
          <w:u w:val="double"/>
          <w:lang w:val="en-IE"/>
        </w:rPr>
        <w:t>T</w:t>
      </w:r>
      <w:r w:rsidRPr="002277D0">
        <w:rPr>
          <w:rFonts w:ascii="Arial" w:hAnsi="Arial" w:cs="Arial"/>
          <w:sz w:val="18"/>
          <w:szCs w:val="18"/>
          <w:highlight w:val="yellow"/>
          <w:u w:val="double"/>
        </w:rPr>
        <w:t xml:space="preserve">he Ulcus-syndrome in cod (Gadus morhua). I. A pathological and histopathological study. </w:t>
      </w:r>
      <w:r w:rsidRPr="00AE3567">
        <w:rPr>
          <w:rStyle w:val="jrnl"/>
          <w:rFonts w:ascii="Arial" w:hAnsi="Arial" w:cs="Arial"/>
          <w:i/>
          <w:iCs/>
          <w:sz w:val="18"/>
          <w:szCs w:val="18"/>
          <w:highlight w:val="yellow"/>
          <w:u w:val="double"/>
          <w:lang w:val="nb-NO"/>
        </w:rPr>
        <w:t>Nord Vet. Med</w:t>
      </w:r>
      <w:r w:rsidRPr="00AE3567">
        <w:rPr>
          <w:rFonts w:ascii="Arial" w:hAnsi="Arial" w:cs="Arial"/>
          <w:sz w:val="18"/>
          <w:szCs w:val="18"/>
          <w:highlight w:val="yellow"/>
          <w:u w:val="double"/>
          <w:lang w:val="nb-NO"/>
        </w:rPr>
        <w:t xml:space="preserve">., </w:t>
      </w:r>
      <w:r w:rsidRPr="00AE3567">
        <w:rPr>
          <w:rFonts w:ascii="Arial" w:hAnsi="Arial" w:cs="Arial"/>
          <w:b/>
          <w:bCs/>
          <w:sz w:val="18"/>
          <w:szCs w:val="18"/>
          <w:highlight w:val="yellow"/>
          <w:u w:val="double"/>
          <w:lang w:val="nb-NO"/>
        </w:rPr>
        <w:t>31</w:t>
      </w:r>
      <w:r w:rsidRPr="00AE3567">
        <w:rPr>
          <w:rFonts w:ascii="Arial" w:hAnsi="Arial" w:cs="Arial"/>
          <w:sz w:val="18"/>
          <w:szCs w:val="18"/>
          <w:highlight w:val="yellow"/>
          <w:u w:val="double"/>
          <w:lang w:val="nb-NO"/>
        </w:rPr>
        <w:t>, 222–228.</w:t>
      </w:r>
      <w:r w:rsidRPr="00AE3567">
        <w:rPr>
          <w:rFonts w:ascii="Arial" w:hAnsi="Arial" w:cs="Arial"/>
          <w:sz w:val="18"/>
          <w:szCs w:val="18"/>
          <w:u w:val="double"/>
          <w:lang w:val="nb-NO"/>
        </w:rPr>
        <w:t xml:space="preserve"> </w:t>
      </w:r>
    </w:p>
    <w:p w14:paraId="6CB44D3B" w14:textId="77777777" w:rsidR="00E65E42" w:rsidRPr="00D403F5" w:rsidRDefault="00E65E42" w:rsidP="001E34B0">
      <w:pPr>
        <w:spacing w:after="240" w:line="240" w:lineRule="auto"/>
        <w:ind w:left="284"/>
        <w:jc w:val="both"/>
        <w:rPr>
          <w:rFonts w:ascii="Arial" w:eastAsia="Times New Roman" w:hAnsi="Arial" w:cs="Arial"/>
          <w:sz w:val="18"/>
          <w:szCs w:val="18"/>
          <w:lang w:val="nb-NO" w:bidi="en-US"/>
        </w:rPr>
      </w:pPr>
      <w:r w:rsidRPr="00D403F5">
        <w:rPr>
          <w:rFonts w:ascii="Arial" w:eastAsia="Times New Roman" w:hAnsi="Arial" w:cs="Times New Roman"/>
          <w:smallCaps/>
          <w:sz w:val="18"/>
          <w:szCs w:val="18"/>
          <w:lang w:val="nb-NO" w:bidi="en-US"/>
        </w:rPr>
        <w:t>Johansen R., Bergh Ø., Modahl I., Dahle G., Gjerset B., Holst J.C., Sandlund N.</w:t>
      </w:r>
      <w:r w:rsidRPr="00D403F5">
        <w:rPr>
          <w:rFonts w:ascii="Arial" w:eastAsia="Times New Roman" w:hAnsi="Arial" w:cs="Times New Roman"/>
          <w:sz w:val="18"/>
          <w:szCs w:val="18"/>
          <w:lang w:val="nb-NO" w:bidi="en-US"/>
        </w:rPr>
        <w:t xml:space="preserve"> (2013). </w:t>
      </w:r>
      <w:r w:rsidRPr="00D403F5">
        <w:rPr>
          <w:rFonts w:ascii="Arial" w:eastAsia="Times New Roman" w:hAnsi="Arial" w:cs="Times New Roman"/>
          <w:sz w:val="18"/>
          <w:szCs w:val="18"/>
          <w:lang w:val="en-IE" w:bidi="en-US"/>
        </w:rPr>
        <w:t xml:space="preserve">High prevalence of viral haemorrhagic septicaemia virus (VHSV) in Norwegian spring-spawning herring. </w:t>
      </w:r>
      <w:r w:rsidRPr="00D403F5">
        <w:rPr>
          <w:rFonts w:ascii="Arial" w:eastAsia="Times New Roman" w:hAnsi="Arial" w:cs="Times New Roman"/>
          <w:i/>
          <w:sz w:val="18"/>
          <w:szCs w:val="18"/>
          <w:lang w:val="nb-NO" w:bidi="en-US"/>
        </w:rPr>
        <w:t>Mar. Ecol. Prog. Ser</w:t>
      </w:r>
      <w:r w:rsidRPr="00D403F5">
        <w:rPr>
          <w:rFonts w:ascii="Arial" w:eastAsia="Times New Roman" w:hAnsi="Arial" w:cs="Times New Roman"/>
          <w:sz w:val="18"/>
          <w:szCs w:val="18"/>
          <w:lang w:val="nb-NO" w:bidi="en-US"/>
        </w:rPr>
        <w:t xml:space="preserve">., </w:t>
      </w:r>
      <w:r w:rsidRPr="00D403F5">
        <w:rPr>
          <w:rFonts w:ascii="Arial" w:eastAsia="Times New Roman" w:hAnsi="Arial" w:cs="Times New Roman"/>
          <w:b/>
          <w:sz w:val="18"/>
          <w:szCs w:val="18"/>
          <w:lang w:val="nb-NO" w:bidi="en-US"/>
        </w:rPr>
        <w:t>478</w:t>
      </w:r>
      <w:r w:rsidRPr="00D403F5">
        <w:rPr>
          <w:rFonts w:ascii="Arial" w:eastAsia="Times New Roman" w:hAnsi="Arial" w:cs="Times New Roman"/>
          <w:sz w:val="18"/>
          <w:szCs w:val="18"/>
          <w:lang w:val="nb-NO" w:bidi="en-US"/>
        </w:rPr>
        <w:t>, 223–230.</w:t>
      </w:r>
    </w:p>
    <w:p w14:paraId="5C03C3BF" w14:textId="77777777" w:rsidR="00E65E42" w:rsidRPr="00AE3567" w:rsidRDefault="00E65E42" w:rsidP="001E34B0">
      <w:pPr>
        <w:spacing w:after="240" w:line="240" w:lineRule="auto"/>
        <w:ind w:left="284"/>
        <w:jc w:val="both"/>
        <w:rPr>
          <w:rFonts w:ascii="Arial" w:eastAsia="Times New Roman" w:hAnsi="Arial" w:cs="Arial"/>
          <w:smallCaps/>
          <w:sz w:val="18"/>
          <w:szCs w:val="18"/>
          <w:lang w:bidi="en-US"/>
        </w:rPr>
      </w:pPr>
      <w:r w:rsidRPr="00D403F5">
        <w:rPr>
          <w:rFonts w:ascii="Arial" w:eastAsia="Times New Roman" w:hAnsi="Arial" w:cs="Times New Roman"/>
          <w:bCs/>
          <w:smallCaps/>
          <w:sz w:val="18"/>
          <w:szCs w:val="18"/>
          <w:lang w:val="nb-NO" w:bidi="en-US"/>
        </w:rPr>
        <w:t>Jonstrup S.P., Gray T., Kahns S., Skall H.F., Snow M. &amp; Olesen N.J.</w:t>
      </w:r>
      <w:r w:rsidRPr="00D403F5">
        <w:rPr>
          <w:rFonts w:ascii="Arial" w:eastAsia="Times New Roman" w:hAnsi="Arial" w:cs="Times New Roman"/>
          <w:bCs/>
          <w:sz w:val="18"/>
          <w:szCs w:val="18"/>
          <w:lang w:val="nb-NO" w:bidi="en-US"/>
        </w:rPr>
        <w:t xml:space="preserve"> (2009). </w:t>
      </w:r>
      <w:r w:rsidRPr="00D403F5">
        <w:rPr>
          <w:rFonts w:ascii="Arial" w:eastAsia="Times New Roman" w:hAnsi="Arial" w:cs="Times New Roman"/>
          <w:bCs/>
          <w:sz w:val="18"/>
          <w:szCs w:val="18"/>
          <w:lang w:val="en-US" w:bidi="en-US"/>
        </w:rPr>
        <w:t>FishPathogens.eu/vhsv: a user</w:t>
      </w:r>
      <w:r w:rsidRPr="00D403F5">
        <w:rPr>
          <w:rFonts w:ascii="Cambria Math" w:eastAsia="Times New Roman" w:hAnsi="Cambria Math" w:cs="Cambria Math"/>
          <w:bCs/>
          <w:sz w:val="18"/>
          <w:szCs w:val="18"/>
          <w:lang w:val="en-US" w:bidi="en-US"/>
        </w:rPr>
        <w:t>‐</w:t>
      </w:r>
      <w:r w:rsidRPr="00D403F5">
        <w:rPr>
          <w:rFonts w:ascii="Arial" w:eastAsia="Times New Roman" w:hAnsi="Arial" w:cs="Times New Roman"/>
          <w:bCs/>
          <w:sz w:val="18"/>
          <w:szCs w:val="18"/>
          <w:lang w:val="en-US" w:bidi="en-US"/>
        </w:rPr>
        <w:t xml:space="preserve">friendly viral haemorrhagic septicaemia virus isolate and sequence database. </w:t>
      </w:r>
      <w:r w:rsidRPr="00D403F5">
        <w:rPr>
          <w:rFonts w:ascii="Arial" w:eastAsia="Times New Roman" w:hAnsi="Arial" w:cs="Times New Roman"/>
          <w:bCs/>
          <w:i/>
          <w:sz w:val="18"/>
          <w:szCs w:val="18"/>
          <w:lang w:val="da-DK" w:bidi="en-US"/>
        </w:rPr>
        <w:t>J. Fish Dis</w:t>
      </w:r>
      <w:r w:rsidRPr="00D403F5">
        <w:rPr>
          <w:rFonts w:ascii="Arial" w:eastAsia="Times New Roman" w:hAnsi="Arial" w:cs="Times New Roman"/>
          <w:bCs/>
          <w:sz w:val="18"/>
          <w:szCs w:val="18"/>
          <w:lang w:val="da-DK" w:bidi="en-US"/>
        </w:rPr>
        <w:t xml:space="preserve">., </w:t>
      </w:r>
      <w:r w:rsidRPr="00D403F5">
        <w:rPr>
          <w:rFonts w:ascii="Arial" w:eastAsia="Times New Roman" w:hAnsi="Arial" w:cs="Times New Roman"/>
          <w:b/>
          <w:bCs/>
          <w:sz w:val="18"/>
          <w:szCs w:val="18"/>
          <w:lang w:val="da-DK" w:bidi="en-US"/>
        </w:rPr>
        <w:t>32</w:t>
      </w:r>
      <w:r w:rsidRPr="00D403F5">
        <w:rPr>
          <w:rFonts w:ascii="Arial" w:eastAsia="Times New Roman" w:hAnsi="Arial" w:cs="Times New Roman"/>
          <w:bCs/>
          <w:sz w:val="18"/>
          <w:szCs w:val="18"/>
          <w:lang w:val="da-DK" w:bidi="en-US"/>
        </w:rPr>
        <w:t>, 925</w:t>
      </w:r>
      <w:r w:rsidRPr="00D403F5">
        <w:rPr>
          <w:rFonts w:ascii="Arial" w:eastAsia="Times New Roman" w:hAnsi="Arial" w:cs="Arial"/>
          <w:bCs/>
          <w:sz w:val="18"/>
          <w:szCs w:val="18"/>
          <w:lang w:val="da-DK" w:bidi="en-US"/>
        </w:rPr>
        <w:t>–</w:t>
      </w:r>
      <w:r w:rsidRPr="00D403F5">
        <w:rPr>
          <w:rFonts w:ascii="Arial" w:eastAsia="Times New Roman" w:hAnsi="Arial" w:cs="Times New Roman"/>
          <w:bCs/>
          <w:sz w:val="18"/>
          <w:szCs w:val="18"/>
          <w:lang w:val="da-DK" w:bidi="en-US"/>
        </w:rPr>
        <w:t>929.</w:t>
      </w:r>
      <w:r w:rsidRPr="00AE3567">
        <w:rPr>
          <w:rFonts w:ascii="Arial" w:eastAsia="Times New Roman" w:hAnsi="Arial" w:cs="Times New Roman"/>
          <w:sz w:val="18"/>
          <w:szCs w:val="18"/>
          <w:lang w:bidi="en-US"/>
        </w:rPr>
        <w:t xml:space="preserve"> </w:t>
      </w:r>
      <w:hyperlink r:id="rId209" w:history="1">
        <w:r w:rsidRPr="00AE3567">
          <w:rPr>
            <w:rFonts w:ascii="Arial" w:eastAsia="Times New Roman" w:hAnsi="Arial" w:cs="Arial"/>
            <w:color w:val="0000FF"/>
            <w:sz w:val="18"/>
            <w:szCs w:val="18"/>
            <w:lang w:bidi="en-US"/>
          </w:rPr>
          <w:t>www.fishpathogens.eu</w:t>
        </w:r>
      </w:hyperlink>
    </w:p>
    <w:p w14:paraId="600D7348" w14:textId="3A409CA1" w:rsidR="00DD4A56" w:rsidRPr="008A67C2" w:rsidRDefault="00DD4A56" w:rsidP="001E34B0">
      <w:pPr>
        <w:spacing w:after="480" w:line="240" w:lineRule="auto"/>
        <w:jc w:val="right"/>
        <w:rPr>
          <w:rFonts w:cs="Times New Roman"/>
          <w:bCs/>
          <w:iCs/>
          <w:szCs w:val="20"/>
        </w:rPr>
      </w:pPr>
      <w:r>
        <w:rPr>
          <w:u w:val="single"/>
        </w:rPr>
        <w:br w:type="page"/>
      </w: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17796535" w14:textId="77777777" w:rsidR="00E65E42"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Jonstrup S.P., Kahns S., Skall H.F., Boutrup T.S. &amp; Olesen N.J.</w:t>
      </w:r>
      <w:r w:rsidRPr="00D403F5">
        <w:rPr>
          <w:rFonts w:ascii="Arial" w:eastAsia="Times New Roman" w:hAnsi="Arial" w:cs="Arial"/>
          <w:sz w:val="18"/>
          <w:szCs w:val="18"/>
          <w:lang w:bidi="en-US"/>
        </w:rPr>
        <w:t xml:space="preserve"> (2013). Development and validation of a novel Taqman based real time RT-PCR assay suitable for demonstrating freedom from viral haemorrhagic septicaemia virus. </w:t>
      </w:r>
      <w:r w:rsidRPr="00D403F5">
        <w:rPr>
          <w:rFonts w:ascii="Arial" w:eastAsia="Times New Roman" w:hAnsi="Arial" w:cs="Arial"/>
          <w:i/>
          <w:sz w:val="18"/>
          <w:szCs w:val="18"/>
          <w:lang w:bidi="en-US"/>
        </w:rPr>
        <w:t xml:space="preserve">J. Fish Dis., </w:t>
      </w:r>
      <w:r w:rsidRPr="00D403F5">
        <w:rPr>
          <w:rFonts w:ascii="Arial" w:eastAsia="Times New Roman" w:hAnsi="Arial" w:cs="Times New Roman"/>
          <w:b/>
          <w:sz w:val="18"/>
          <w:szCs w:val="18"/>
          <w:lang w:val="en-IE" w:bidi="en-US"/>
        </w:rPr>
        <w:t>36</w:t>
      </w:r>
      <w:r w:rsidRPr="00D403F5">
        <w:rPr>
          <w:rFonts w:ascii="Arial" w:eastAsia="Times New Roman" w:hAnsi="Arial" w:cs="Times New Roman"/>
          <w:sz w:val="18"/>
          <w:szCs w:val="18"/>
          <w:lang w:val="en-IE" w:bidi="en-US"/>
        </w:rPr>
        <w:t>, 9–23</w:t>
      </w:r>
      <w:r w:rsidRPr="00D403F5">
        <w:rPr>
          <w:rFonts w:ascii="Arial" w:eastAsia="Times New Roman" w:hAnsi="Arial" w:cs="Arial"/>
          <w:sz w:val="18"/>
          <w:szCs w:val="18"/>
          <w:lang w:bidi="en-US"/>
        </w:rPr>
        <w:t>.</w:t>
      </w:r>
    </w:p>
    <w:p w14:paraId="272C6E88" w14:textId="77777777" w:rsidR="00E65E42" w:rsidRPr="00937296" w:rsidRDefault="00E65E42" w:rsidP="001E34B0">
      <w:pPr>
        <w:spacing w:after="240" w:line="240" w:lineRule="auto"/>
        <w:ind w:left="284"/>
        <w:jc w:val="both"/>
        <w:rPr>
          <w:rFonts w:ascii="Arial" w:eastAsia="Times New Roman" w:hAnsi="Arial" w:cs="Times New Roman"/>
          <w:sz w:val="18"/>
          <w:szCs w:val="18"/>
          <w:lang w:val="en-IE" w:bidi="en-US"/>
        </w:rPr>
      </w:pPr>
      <w:r w:rsidRPr="00F422BE">
        <w:rPr>
          <w:rFonts w:ascii="Arial" w:eastAsia="Times New Roman" w:hAnsi="Arial" w:cs="Times New Roman"/>
          <w:bCs/>
          <w:smallCaps/>
          <w:sz w:val="18"/>
          <w:szCs w:val="18"/>
          <w:lang w:bidi="en-US"/>
        </w:rPr>
        <w:t>Kahns S., Skall H.F., Kaas R.S., Korsholm H., Jensen B.B., Jonstrup S.P., Dodge M.J., Einer-Jensen K., Stone D. &amp; Olesen, N. J.</w:t>
      </w:r>
      <w:r w:rsidRPr="00F422BE">
        <w:rPr>
          <w:rFonts w:ascii="Arial" w:eastAsia="Times New Roman" w:hAnsi="Arial" w:cs="Times New Roman"/>
          <w:sz w:val="18"/>
          <w:szCs w:val="18"/>
          <w:lang w:bidi="en-US"/>
        </w:rPr>
        <w:t xml:space="preserve"> (2012). </w:t>
      </w:r>
      <w:r w:rsidRPr="00D403F5">
        <w:rPr>
          <w:rFonts w:ascii="Arial" w:eastAsia="Times New Roman" w:hAnsi="Arial" w:cs="Times New Roman"/>
          <w:sz w:val="18"/>
          <w:szCs w:val="18"/>
          <w:lang w:val="en-IE" w:bidi="en-US"/>
        </w:rPr>
        <w:t xml:space="preserve">European freshwater VHSV genotype Ia isolates divide into two distinct subpopulations. </w:t>
      </w:r>
      <w:r w:rsidRPr="00937296">
        <w:rPr>
          <w:rFonts w:ascii="Arial" w:eastAsia="Times New Roman" w:hAnsi="Arial" w:cs="Times New Roman"/>
          <w:i/>
          <w:sz w:val="18"/>
          <w:szCs w:val="18"/>
          <w:lang w:val="en-IE" w:bidi="en-US"/>
        </w:rPr>
        <w:t>Dis. Aquat. Org</w:t>
      </w:r>
      <w:r w:rsidRPr="00937296">
        <w:rPr>
          <w:rFonts w:ascii="Arial" w:eastAsia="Times New Roman" w:hAnsi="Arial" w:cs="Times New Roman"/>
          <w:sz w:val="18"/>
          <w:szCs w:val="18"/>
          <w:lang w:val="en-IE" w:bidi="en-US"/>
        </w:rPr>
        <w:t xml:space="preserve">., </w:t>
      </w:r>
      <w:r w:rsidRPr="00937296">
        <w:rPr>
          <w:rFonts w:ascii="Arial" w:eastAsia="Times New Roman" w:hAnsi="Arial" w:cs="Times New Roman"/>
          <w:b/>
          <w:sz w:val="18"/>
          <w:szCs w:val="18"/>
          <w:lang w:val="en-IE" w:bidi="en-US"/>
        </w:rPr>
        <w:t>99</w:t>
      </w:r>
      <w:r w:rsidRPr="00937296">
        <w:rPr>
          <w:rFonts w:ascii="Arial" w:eastAsia="Times New Roman" w:hAnsi="Arial" w:cs="Times New Roman"/>
          <w:sz w:val="18"/>
          <w:szCs w:val="18"/>
          <w:lang w:val="en-IE" w:bidi="en-US"/>
        </w:rPr>
        <w:t>, 23–35.</w:t>
      </w:r>
    </w:p>
    <w:p w14:paraId="6E992DCC"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937296">
        <w:rPr>
          <w:rFonts w:ascii="Arial" w:eastAsia="Times New Roman" w:hAnsi="Arial" w:cs="Times New Roman"/>
          <w:bCs/>
          <w:smallCaps/>
          <w:sz w:val="18"/>
          <w:szCs w:val="18"/>
          <w:lang w:val="en-IE" w:bidi="en-US"/>
        </w:rPr>
        <w:t>Kalayci G., Incoglu S. &amp; Ozkan B.</w:t>
      </w:r>
      <w:r w:rsidRPr="00937296">
        <w:rPr>
          <w:rFonts w:ascii="Arial" w:eastAsia="Times New Roman" w:hAnsi="Arial" w:cs="Times New Roman"/>
          <w:sz w:val="18"/>
          <w:szCs w:val="18"/>
          <w:lang w:val="en-IE" w:bidi="en-US"/>
        </w:rPr>
        <w:t xml:space="preserve"> (2006). </w:t>
      </w:r>
      <w:r w:rsidRPr="00D403F5">
        <w:rPr>
          <w:rFonts w:ascii="Arial" w:eastAsia="Times New Roman" w:hAnsi="Arial" w:cs="Times New Roman"/>
          <w:sz w:val="18"/>
          <w:szCs w:val="18"/>
          <w:lang w:val="en-IE" w:bidi="en-US"/>
        </w:rPr>
        <w:t>First isolation of viral haemorrhagic septicaemia (VHS) virus from turbot (</w:t>
      </w:r>
      <w:r w:rsidRPr="00D403F5">
        <w:rPr>
          <w:rFonts w:ascii="Arial" w:eastAsia="Times New Roman" w:hAnsi="Arial" w:cs="Times New Roman"/>
          <w:i/>
          <w:sz w:val="18"/>
          <w:szCs w:val="18"/>
          <w:lang w:val="en-IE" w:bidi="en-US"/>
        </w:rPr>
        <w:t>Scophthalmus maximus</w:t>
      </w:r>
      <w:r w:rsidRPr="00D403F5">
        <w:rPr>
          <w:rFonts w:ascii="Arial" w:eastAsia="Times New Roman" w:hAnsi="Arial" w:cs="Times New Roman"/>
          <w:sz w:val="18"/>
          <w:szCs w:val="18"/>
          <w:lang w:val="en-IE" w:bidi="en-US"/>
        </w:rPr>
        <w:t xml:space="preserve">) cultured in the Trabzon coastal area of the Black Sea in Turkey. </w:t>
      </w:r>
      <w:r w:rsidRPr="00D403F5">
        <w:rPr>
          <w:rFonts w:ascii="Arial" w:eastAsia="Times New Roman" w:hAnsi="Arial" w:cs="Times New Roman"/>
          <w:i/>
          <w:sz w:val="18"/>
          <w:szCs w:val="18"/>
          <w:lang w:val="en-IE" w:bidi="en-US"/>
        </w:rPr>
        <w:t xml:space="preserve">Bull. Eur. Ass. Fish Pathol., </w:t>
      </w:r>
      <w:r w:rsidRPr="00D403F5">
        <w:rPr>
          <w:rFonts w:ascii="Arial" w:eastAsia="Times New Roman" w:hAnsi="Arial" w:cs="Times New Roman"/>
          <w:b/>
          <w:sz w:val="18"/>
          <w:szCs w:val="18"/>
          <w:lang w:val="en-IE" w:bidi="en-US"/>
        </w:rPr>
        <w:t>26</w:t>
      </w:r>
      <w:r w:rsidRPr="00D403F5">
        <w:rPr>
          <w:rFonts w:ascii="Arial" w:eastAsia="Times New Roman" w:hAnsi="Arial" w:cs="Times New Roman"/>
          <w:sz w:val="18"/>
          <w:szCs w:val="18"/>
          <w:lang w:val="en-IE" w:bidi="en-US"/>
        </w:rPr>
        <w:t>, 157–162.</w:t>
      </w:r>
    </w:p>
    <w:p w14:paraId="057ED583"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color w:val="000000"/>
          <w:sz w:val="18"/>
          <w:szCs w:val="18"/>
          <w:lang w:val="en-IE" w:bidi="en-US"/>
        </w:rPr>
        <w:t>Kim H.J., Cuenca A. &amp; Olesen N.J.</w:t>
      </w:r>
      <w:r w:rsidRPr="00D403F5">
        <w:rPr>
          <w:rFonts w:ascii="Arial" w:eastAsia="Times New Roman" w:hAnsi="Arial" w:cs="Arial"/>
          <w:color w:val="000000"/>
          <w:sz w:val="18"/>
          <w:szCs w:val="18"/>
          <w:lang w:val="en-IE" w:bidi="en-US"/>
        </w:rPr>
        <w:t xml:space="preserve"> (2018). </w:t>
      </w:r>
      <w:r w:rsidRPr="00D403F5">
        <w:rPr>
          <w:rFonts w:ascii="Arial" w:eastAsia="Times New Roman" w:hAnsi="Arial" w:cs="Arial"/>
          <w:sz w:val="18"/>
          <w:szCs w:val="18"/>
          <w:lang w:val="en-IE" w:bidi="en-US"/>
        </w:rPr>
        <w:t xml:space="preserve">Validation of a novel one-step reverse transcription polymerase chain reaction method for detecting viral haemorrhagic septicaemia virus. </w:t>
      </w:r>
      <w:r w:rsidRPr="00D403F5">
        <w:rPr>
          <w:rFonts w:ascii="Arial" w:eastAsia="Times New Roman" w:hAnsi="Arial" w:cs="Arial"/>
          <w:i/>
          <w:sz w:val="18"/>
          <w:szCs w:val="18"/>
          <w:lang w:val="en-IE" w:bidi="en-US"/>
        </w:rPr>
        <w:t>Aquaculture</w:t>
      </w:r>
      <w:r w:rsidRPr="00D403F5">
        <w:rPr>
          <w:rFonts w:ascii="Arial" w:eastAsia="Times New Roman" w:hAnsi="Arial" w:cs="Arial"/>
          <w:sz w:val="18"/>
          <w:szCs w:val="18"/>
          <w:lang w:val="en-IE" w:bidi="en-US"/>
        </w:rPr>
        <w:t xml:space="preserve">, </w:t>
      </w:r>
      <w:r w:rsidRPr="00D403F5">
        <w:rPr>
          <w:rFonts w:ascii="Arial" w:eastAsia="Times New Roman" w:hAnsi="Arial" w:cs="Arial"/>
          <w:b/>
          <w:sz w:val="18"/>
          <w:szCs w:val="18"/>
          <w:lang w:val="en-IE" w:bidi="en-US"/>
        </w:rPr>
        <w:t>492</w:t>
      </w:r>
      <w:r w:rsidRPr="00D403F5">
        <w:rPr>
          <w:rFonts w:ascii="Arial" w:eastAsia="Times New Roman" w:hAnsi="Arial" w:cs="Arial"/>
          <w:sz w:val="18"/>
          <w:szCs w:val="18"/>
          <w:lang w:val="en-IE" w:bidi="en-US"/>
        </w:rPr>
        <w:t>, 170–183.</w:t>
      </w:r>
    </w:p>
    <w:p w14:paraId="6DD1B35E" w14:textId="77777777" w:rsidR="00E65E42" w:rsidRPr="006E7852"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Kocan R.M., Hershberger P.K., Elder N.E. &amp; Winton J.R.</w:t>
      </w:r>
      <w:r w:rsidRPr="00D403F5">
        <w:rPr>
          <w:rFonts w:ascii="Arial" w:eastAsia="Times New Roman" w:hAnsi="Arial" w:cs="Arial"/>
          <w:sz w:val="18"/>
          <w:szCs w:val="18"/>
          <w:lang w:bidi="en-US"/>
        </w:rPr>
        <w:t xml:space="preserve"> (2001). Survival of the North American strain of viral hemorrhagic septicemia virus (VHSV) in filtered seawater and seawater containing ovarian fluid, crude oil and serum-enriched culture medium. </w:t>
      </w:r>
      <w:r w:rsidRPr="003162AB">
        <w:rPr>
          <w:rFonts w:ascii="Arial" w:eastAsia="Times New Roman" w:hAnsi="Arial" w:cs="Arial"/>
          <w:i/>
          <w:sz w:val="18"/>
          <w:szCs w:val="18"/>
          <w:lang w:bidi="en-US"/>
        </w:rPr>
        <w:t>Dis. Aquat. Org.,</w:t>
      </w:r>
      <w:r w:rsidRPr="003162AB">
        <w:rPr>
          <w:rFonts w:ascii="Arial" w:eastAsia="Times New Roman" w:hAnsi="Arial" w:cs="Arial"/>
          <w:sz w:val="18"/>
          <w:szCs w:val="18"/>
          <w:lang w:bidi="en-US"/>
        </w:rPr>
        <w:t xml:space="preserve"> </w:t>
      </w:r>
      <w:r w:rsidRPr="003162AB">
        <w:rPr>
          <w:rFonts w:ascii="Arial" w:eastAsia="Times New Roman" w:hAnsi="Arial" w:cs="Arial"/>
          <w:b/>
          <w:sz w:val="18"/>
          <w:szCs w:val="18"/>
          <w:lang w:bidi="en-US"/>
        </w:rPr>
        <w:t>44</w:t>
      </w:r>
      <w:r w:rsidRPr="003E304A">
        <w:rPr>
          <w:rFonts w:ascii="Arial" w:eastAsia="Times New Roman" w:hAnsi="Arial" w:cs="Arial"/>
          <w:sz w:val="18"/>
          <w:szCs w:val="18"/>
          <w:lang w:bidi="en-US"/>
        </w:rPr>
        <w:t>, 75–78.</w:t>
      </w:r>
    </w:p>
    <w:p w14:paraId="20DB0081"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bookmarkStart w:id="156" w:name="_Hlk19091737"/>
      <w:r w:rsidRPr="00D403F5">
        <w:rPr>
          <w:rFonts w:ascii="Arial" w:eastAsia="Times New Roman" w:hAnsi="Arial" w:cs="Times New Roman"/>
          <w:caps/>
          <w:sz w:val="18"/>
          <w:szCs w:val="18"/>
          <w:lang w:val="da-DK" w:bidi="en-US"/>
        </w:rPr>
        <w:t>L</w:t>
      </w:r>
      <w:r w:rsidRPr="00D403F5">
        <w:rPr>
          <w:rFonts w:ascii="Arial" w:eastAsia="Times New Roman" w:hAnsi="Arial" w:cs="Times New Roman"/>
          <w:smallCaps/>
          <w:sz w:val="18"/>
          <w:szCs w:val="18"/>
          <w:lang w:val="da-DK" w:bidi="en-US"/>
        </w:rPr>
        <w:t>opez-Vazquez C., Dopazo C.P., Olveira J.G., Barja I. &amp; Bandín J.L</w:t>
      </w:r>
      <w:r w:rsidRPr="00D403F5">
        <w:rPr>
          <w:rFonts w:ascii="Arial" w:eastAsia="Times New Roman" w:hAnsi="Arial" w:cs="Times New Roman"/>
          <w:caps/>
          <w:sz w:val="18"/>
          <w:szCs w:val="18"/>
          <w:lang w:val="da-DK" w:bidi="en-US"/>
        </w:rPr>
        <w:t>.</w:t>
      </w:r>
      <w:r w:rsidRPr="00D403F5">
        <w:rPr>
          <w:rFonts w:ascii="Arial" w:eastAsia="Times New Roman" w:hAnsi="Arial" w:cs="Times New Roman"/>
          <w:sz w:val="18"/>
          <w:szCs w:val="18"/>
          <w:lang w:val="da-DK" w:bidi="en-US"/>
        </w:rPr>
        <w:t xml:space="preserve"> </w:t>
      </w:r>
      <w:r w:rsidRPr="003162AB">
        <w:rPr>
          <w:rFonts w:ascii="Arial" w:eastAsia="Times New Roman" w:hAnsi="Arial" w:cs="Times New Roman"/>
          <w:sz w:val="18"/>
          <w:szCs w:val="18"/>
          <w:lang w:bidi="en-US"/>
        </w:rPr>
        <w:t xml:space="preserve">(2006a). </w:t>
      </w:r>
      <w:r w:rsidRPr="00D403F5">
        <w:rPr>
          <w:rFonts w:ascii="Arial" w:eastAsia="Times New Roman" w:hAnsi="Arial" w:cs="Times New Roman"/>
          <w:sz w:val="18"/>
          <w:szCs w:val="18"/>
          <w:lang w:bidi="en-US"/>
        </w:rPr>
        <w:t xml:space="preserve">Development of a rapid, sensitive and non-lethal diagnostic assay for the detection of viral haemorrhagic septicaemia virus </w:t>
      </w:r>
      <w:r w:rsidRPr="00D403F5">
        <w:rPr>
          <w:rFonts w:ascii="Arial" w:eastAsia="Times New Roman" w:hAnsi="Arial" w:cs="Times New Roman"/>
          <w:i/>
          <w:sz w:val="18"/>
          <w:szCs w:val="18"/>
          <w:lang w:bidi="en-US"/>
        </w:rPr>
        <w:t>J. Virol. Methods</w:t>
      </w:r>
      <w:r w:rsidRPr="00D403F5">
        <w:rPr>
          <w:rFonts w:ascii="Arial" w:eastAsia="Times New Roman" w:hAnsi="Arial" w:cs="Times New Roman"/>
          <w:sz w:val="18"/>
          <w:szCs w:val="18"/>
          <w:lang w:bidi="en-US"/>
        </w:rPr>
        <w:t xml:space="preserve">, </w:t>
      </w:r>
      <w:r w:rsidRPr="00D403F5">
        <w:rPr>
          <w:rFonts w:ascii="Arial" w:eastAsia="Times New Roman" w:hAnsi="Arial" w:cs="Times New Roman"/>
          <w:b/>
          <w:sz w:val="18"/>
          <w:szCs w:val="18"/>
          <w:lang w:bidi="en-US"/>
        </w:rPr>
        <w:t>133</w:t>
      </w:r>
      <w:r w:rsidRPr="00D403F5">
        <w:rPr>
          <w:rFonts w:ascii="Arial" w:eastAsia="Times New Roman" w:hAnsi="Arial" w:cs="Times New Roman"/>
          <w:sz w:val="18"/>
          <w:szCs w:val="18"/>
          <w:lang w:bidi="en-US"/>
        </w:rPr>
        <w:t>, 167–174.</w:t>
      </w:r>
    </w:p>
    <w:p w14:paraId="0CAF2950" w14:textId="77777777" w:rsidR="00E65E42" w:rsidRPr="00D403F5" w:rsidRDefault="00E65E42" w:rsidP="001E34B0">
      <w:pPr>
        <w:spacing w:after="240" w:line="240" w:lineRule="auto"/>
        <w:ind w:left="284"/>
        <w:jc w:val="both"/>
        <w:rPr>
          <w:rFonts w:ascii="Arial" w:eastAsia="Times New Roman" w:hAnsi="Arial" w:cs="Arial"/>
          <w:sz w:val="18"/>
          <w:szCs w:val="18"/>
          <w:lang w:val="nb-NO" w:bidi="en-US"/>
        </w:rPr>
      </w:pPr>
      <w:r w:rsidRPr="00D403F5">
        <w:rPr>
          <w:rFonts w:ascii="Arial" w:eastAsia="Times New Roman" w:hAnsi="Arial" w:cs="Arial"/>
          <w:smallCaps/>
          <w:sz w:val="18"/>
          <w:szCs w:val="18"/>
          <w:lang w:bidi="en-US"/>
        </w:rPr>
        <w:t>Lopez-Vazquez C., Raynard R.S., Bain N., Snow M., Bandín I.&amp;Dopazo C.P.</w:t>
      </w:r>
      <w:r w:rsidRPr="00D403F5">
        <w:rPr>
          <w:rFonts w:ascii="Arial" w:eastAsia="Times New Roman" w:hAnsi="Arial" w:cs="Arial"/>
          <w:sz w:val="18"/>
          <w:szCs w:val="18"/>
          <w:lang w:bidi="en-US"/>
        </w:rPr>
        <w:t xml:space="preserve"> (2006b). Genotyping of marine viral haemorrhagic septicaemia virus isolated from the Flemish Cap by nucleotide sequence analysis and restriction fragment length polymorphism patterns. </w:t>
      </w:r>
      <w:r w:rsidRPr="00D403F5">
        <w:rPr>
          <w:rFonts w:ascii="Arial" w:eastAsia="Times New Roman" w:hAnsi="Arial" w:cs="Arial"/>
          <w:i/>
          <w:sz w:val="18"/>
          <w:szCs w:val="18"/>
          <w:lang w:val="nb-NO" w:bidi="en-US"/>
        </w:rPr>
        <w:t>Dis. Aquat. Org.</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73</w:t>
      </w:r>
      <w:r w:rsidRPr="00D403F5">
        <w:rPr>
          <w:rFonts w:ascii="Arial" w:eastAsia="Times New Roman" w:hAnsi="Arial" w:cs="Arial"/>
          <w:sz w:val="18"/>
          <w:szCs w:val="18"/>
          <w:lang w:val="nb-NO" w:bidi="en-US"/>
        </w:rPr>
        <w:t>, 23–31.</w:t>
      </w:r>
    </w:p>
    <w:p w14:paraId="36D08A60"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bookmarkStart w:id="157" w:name="_Hlk19091634"/>
      <w:bookmarkEnd w:id="156"/>
      <w:r w:rsidRPr="00D403F5">
        <w:rPr>
          <w:rFonts w:ascii="Arial" w:eastAsia="Times New Roman" w:hAnsi="Arial" w:cs="Arial"/>
          <w:smallCaps/>
          <w:sz w:val="18"/>
          <w:szCs w:val="18"/>
          <w:lang w:val="nb-NO" w:bidi="en-US"/>
        </w:rPr>
        <w:t>Lorenzen E., Carstensen B. &amp; Olesen N.J.</w:t>
      </w:r>
      <w:r w:rsidRPr="00D403F5">
        <w:rPr>
          <w:rFonts w:ascii="Arial" w:eastAsia="Times New Roman" w:hAnsi="Arial" w:cs="Arial"/>
          <w:sz w:val="18"/>
          <w:szCs w:val="18"/>
          <w:lang w:val="nb-NO" w:bidi="en-US"/>
        </w:rPr>
        <w:t xml:space="preserve"> (1999). </w:t>
      </w:r>
      <w:r w:rsidRPr="00D403F5">
        <w:rPr>
          <w:rFonts w:ascii="Arial" w:eastAsia="Times New Roman" w:hAnsi="Arial" w:cs="Arial"/>
          <w:sz w:val="18"/>
          <w:szCs w:val="18"/>
          <w:lang w:bidi="en-US"/>
        </w:rPr>
        <w:t xml:space="preserve">Inter-laboratory comparison of cell lines for susceptibility to three viruses: VHSV, IHNV and IPNV. </w:t>
      </w:r>
      <w:r w:rsidRPr="00D403F5">
        <w:rPr>
          <w:rFonts w:ascii="Arial" w:eastAsia="Times New Roman" w:hAnsi="Arial" w:cs="Arial"/>
          <w:i/>
          <w:sz w:val="18"/>
          <w:szCs w:val="18"/>
          <w:lang w:bidi="en-US"/>
        </w:rPr>
        <w:t>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37</w:t>
      </w:r>
      <w:r w:rsidRPr="00D403F5">
        <w:rPr>
          <w:rFonts w:ascii="Arial" w:eastAsia="Times New Roman" w:hAnsi="Arial" w:cs="Arial"/>
          <w:sz w:val="18"/>
          <w:szCs w:val="18"/>
          <w:lang w:bidi="en-US"/>
        </w:rPr>
        <w:t>, 81–88.</w:t>
      </w:r>
    </w:p>
    <w:p w14:paraId="79595412"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val="en-IE" w:bidi="en-US"/>
        </w:rPr>
        <w:t xml:space="preserve">Lorenzen N. &amp; LaPatra S.E. </w:t>
      </w:r>
      <w:r w:rsidRPr="00D403F5">
        <w:rPr>
          <w:rFonts w:ascii="Arial" w:eastAsia="Times New Roman" w:hAnsi="Arial" w:cs="Arial"/>
          <w:sz w:val="18"/>
          <w:szCs w:val="18"/>
          <w:lang w:val="en-IE" w:bidi="en-US"/>
        </w:rPr>
        <w:t xml:space="preserve">(2005). </w:t>
      </w:r>
      <w:r w:rsidRPr="00D403F5">
        <w:rPr>
          <w:rFonts w:ascii="Arial" w:eastAsia="Times New Roman" w:hAnsi="Arial" w:cs="Arial"/>
          <w:sz w:val="18"/>
          <w:szCs w:val="18"/>
          <w:lang w:bidi="en-US"/>
        </w:rPr>
        <w:t xml:space="preserve">DNA vaccines for aquacultured fish. </w:t>
      </w:r>
      <w:r w:rsidRPr="00D403F5">
        <w:rPr>
          <w:rFonts w:ascii="Arial" w:eastAsia="Times New Roman" w:hAnsi="Arial" w:cs="Arial"/>
          <w:i/>
          <w:sz w:val="18"/>
          <w:szCs w:val="18"/>
          <w:lang w:bidi="en-US"/>
        </w:rPr>
        <w:t xml:space="preserve">Rev. sci. tech. Off. int. Epiz., </w:t>
      </w:r>
      <w:r w:rsidRPr="00D403F5">
        <w:rPr>
          <w:rFonts w:ascii="Arial" w:eastAsia="Times New Roman" w:hAnsi="Arial" w:cs="Arial"/>
          <w:b/>
          <w:sz w:val="18"/>
          <w:szCs w:val="18"/>
          <w:lang w:bidi="en-US"/>
        </w:rPr>
        <w:t>24</w:t>
      </w:r>
      <w:r w:rsidRPr="00D403F5">
        <w:rPr>
          <w:rFonts w:ascii="Arial" w:eastAsia="Times New Roman" w:hAnsi="Arial" w:cs="Arial"/>
          <w:sz w:val="18"/>
          <w:szCs w:val="18"/>
          <w:lang w:bidi="en-US"/>
        </w:rPr>
        <w:t>, 201–213.</w:t>
      </w:r>
    </w:p>
    <w:bookmarkEnd w:id="157"/>
    <w:p w14:paraId="72FB3684" w14:textId="77777777" w:rsidR="00E65E42" w:rsidRPr="00526343" w:rsidRDefault="00E65E42" w:rsidP="001E34B0">
      <w:pPr>
        <w:spacing w:after="240" w:line="240" w:lineRule="auto"/>
        <w:ind w:left="284"/>
        <w:jc w:val="both"/>
        <w:rPr>
          <w:rFonts w:ascii="Arial" w:eastAsia="Times New Roman" w:hAnsi="Arial" w:cs="Arial"/>
          <w:strike/>
          <w:sz w:val="18"/>
          <w:szCs w:val="18"/>
          <w:lang w:bidi="en-US"/>
        </w:rPr>
      </w:pPr>
      <w:r w:rsidRPr="00AE3567">
        <w:rPr>
          <w:rFonts w:ascii="Arial" w:eastAsia="Times New Roman" w:hAnsi="Arial" w:cs="Arial"/>
          <w:smallCaps/>
          <w:strike/>
          <w:sz w:val="18"/>
          <w:szCs w:val="18"/>
          <w:highlight w:val="yellow"/>
          <w:lang w:val="en-US" w:bidi="en-US"/>
        </w:rPr>
        <w:t>Meier W. &amp; Jorgensen P.E.V.</w:t>
      </w:r>
      <w:r w:rsidRPr="00AE3567">
        <w:rPr>
          <w:rFonts w:ascii="Arial" w:eastAsia="Times New Roman" w:hAnsi="Arial" w:cs="Arial"/>
          <w:strike/>
          <w:sz w:val="18"/>
          <w:szCs w:val="18"/>
          <w:highlight w:val="yellow"/>
          <w:lang w:val="en-US" w:bidi="en-US"/>
        </w:rPr>
        <w:t xml:space="preserve"> (1980). </w:t>
      </w:r>
      <w:r w:rsidRPr="00526343">
        <w:rPr>
          <w:rFonts w:ascii="Arial" w:eastAsia="Times New Roman" w:hAnsi="Arial" w:cs="Arial"/>
          <w:strike/>
          <w:sz w:val="18"/>
          <w:szCs w:val="18"/>
          <w:highlight w:val="yellow"/>
          <w:lang w:bidi="en-US"/>
        </w:rPr>
        <w:t>Isolation of VHS virus from pike fry (</w:t>
      </w:r>
      <w:r w:rsidRPr="00526343">
        <w:rPr>
          <w:rFonts w:ascii="Arial" w:eastAsia="Times New Roman" w:hAnsi="Arial" w:cs="Arial"/>
          <w:i/>
          <w:strike/>
          <w:sz w:val="18"/>
          <w:szCs w:val="18"/>
          <w:highlight w:val="yellow"/>
          <w:lang w:bidi="en-US"/>
        </w:rPr>
        <w:t>Esox</w:t>
      </w:r>
      <w:r w:rsidRPr="00526343">
        <w:rPr>
          <w:rFonts w:ascii="Arial" w:eastAsia="Times New Roman" w:hAnsi="Arial" w:cs="Arial"/>
          <w:strike/>
          <w:sz w:val="18"/>
          <w:szCs w:val="18"/>
          <w:highlight w:val="yellow"/>
          <w:lang w:bidi="en-US"/>
        </w:rPr>
        <w:t xml:space="preserve"> </w:t>
      </w:r>
      <w:r w:rsidRPr="00526343">
        <w:rPr>
          <w:rFonts w:ascii="Arial" w:eastAsia="Times New Roman" w:hAnsi="Arial" w:cs="Arial"/>
          <w:i/>
          <w:strike/>
          <w:sz w:val="18"/>
          <w:szCs w:val="18"/>
          <w:highlight w:val="yellow"/>
          <w:lang w:bidi="en-US"/>
        </w:rPr>
        <w:t>lucius</w:t>
      </w:r>
      <w:r w:rsidRPr="00526343">
        <w:rPr>
          <w:rFonts w:ascii="Arial" w:eastAsia="Times New Roman" w:hAnsi="Arial" w:cs="Arial"/>
          <w:strike/>
          <w:sz w:val="18"/>
          <w:szCs w:val="18"/>
          <w:highlight w:val="yellow"/>
          <w:lang w:bidi="en-US"/>
        </w:rPr>
        <w:t xml:space="preserve">) with hemorrhagic symptoms. </w:t>
      </w:r>
      <w:r w:rsidRPr="00526343">
        <w:rPr>
          <w:rFonts w:ascii="Arial" w:eastAsia="Times New Roman" w:hAnsi="Arial" w:cs="Arial"/>
          <w:i/>
          <w:strike/>
          <w:sz w:val="18"/>
          <w:szCs w:val="18"/>
          <w:highlight w:val="yellow"/>
          <w:lang w:bidi="en-US"/>
        </w:rPr>
        <w:t>In:</w:t>
      </w:r>
      <w:r w:rsidRPr="00526343">
        <w:rPr>
          <w:rFonts w:ascii="Arial" w:eastAsia="Times New Roman" w:hAnsi="Arial" w:cs="Arial"/>
          <w:strike/>
          <w:sz w:val="18"/>
          <w:szCs w:val="18"/>
          <w:highlight w:val="yellow"/>
          <w:lang w:bidi="en-US"/>
        </w:rPr>
        <w:t xml:space="preserve"> Fish Diseases</w:t>
      </w:r>
      <w:r w:rsidRPr="00526343">
        <w:rPr>
          <w:rFonts w:ascii="Arial" w:eastAsia="Times New Roman" w:hAnsi="Arial" w:cs="Arial"/>
          <w:i/>
          <w:strike/>
          <w:sz w:val="18"/>
          <w:szCs w:val="18"/>
          <w:highlight w:val="yellow"/>
          <w:lang w:bidi="en-US"/>
        </w:rPr>
        <w:t xml:space="preserve">, </w:t>
      </w:r>
      <w:r w:rsidRPr="00526343">
        <w:rPr>
          <w:rFonts w:ascii="Arial" w:eastAsia="Times New Roman" w:hAnsi="Arial" w:cs="Arial"/>
          <w:strike/>
          <w:sz w:val="18"/>
          <w:szCs w:val="18"/>
          <w:highlight w:val="yellow"/>
          <w:lang w:bidi="en-US"/>
        </w:rPr>
        <w:t>Third COPRAQ Session</w:t>
      </w:r>
      <w:r w:rsidRPr="00526343">
        <w:rPr>
          <w:rFonts w:ascii="Arial" w:eastAsia="Times New Roman" w:hAnsi="Arial" w:cs="Arial"/>
          <w:i/>
          <w:strike/>
          <w:sz w:val="18"/>
          <w:szCs w:val="18"/>
          <w:highlight w:val="yellow"/>
          <w:lang w:bidi="en-US"/>
        </w:rPr>
        <w:t>,</w:t>
      </w:r>
      <w:r w:rsidRPr="00526343">
        <w:rPr>
          <w:rFonts w:ascii="Arial" w:eastAsia="Times New Roman" w:hAnsi="Arial" w:cs="Arial"/>
          <w:strike/>
          <w:sz w:val="18"/>
          <w:szCs w:val="18"/>
          <w:highlight w:val="yellow"/>
          <w:lang w:bidi="en-US"/>
        </w:rPr>
        <w:t xml:space="preserve"> Ahne W., ed. Springer-Verlag, Berlin, Germany and New York, USA, 8–17.</w:t>
      </w:r>
    </w:p>
    <w:p w14:paraId="2A674916" w14:textId="77777777" w:rsidR="00E65E42" w:rsidRPr="00AE3567" w:rsidRDefault="00E65E42" w:rsidP="001E34B0">
      <w:pPr>
        <w:spacing w:after="240" w:line="240" w:lineRule="auto"/>
        <w:ind w:left="284"/>
        <w:jc w:val="both"/>
        <w:rPr>
          <w:rFonts w:ascii="Arial" w:eastAsia="Times New Roman" w:hAnsi="Arial" w:cs="Arial"/>
          <w:sz w:val="18"/>
          <w:szCs w:val="18"/>
          <w:u w:val="double"/>
          <w:lang w:val="en-US" w:bidi="en-US"/>
        </w:rPr>
      </w:pPr>
      <w:r w:rsidRPr="00AE3567">
        <w:rPr>
          <w:rFonts w:ascii="Arial" w:eastAsia="Times New Roman" w:hAnsi="Arial" w:cs="Arial"/>
          <w:smallCaps/>
          <w:sz w:val="18"/>
          <w:szCs w:val="18"/>
          <w:highlight w:val="yellow"/>
          <w:u w:val="double"/>
          <w:lang w:val="en-US" w:bidi="en-US"/>
        </w:rPr>
        <w:t>Meyers T.R., Sullivan J., Emmenegger E., Follett J., Short S., Batts W.N. &amp; Winton J.R.</w:t>
      </w:r>
      <w:r w:rsidRPr="00AE3567">
        <w:rPr>
          <w:rFonts w:ascii="Arial" w:eastAsia="Times New Roman" w:hAnsi="Arial" w:cs="Arial"/>
          <w:sz w:val="18"/>
          <w:szCs w:val="18"/>
          <w:highlight w:val="yellow"/>
          <w:u w:val="double"/>
          <w:lang w:val="en-US" w:bidi="en-US"/>
        </w:rPr>
        <w:t xml:space="preserve"> (1992). Identification of viral haemorrhagic septicaemia virus from Pacific cod Gadus macrocephalus in Prince William Sound, Alaska, USA. </w:t>
      </w:r>
      <w:r w:rsidRPr="00AE3567">
        <w:rPr>
          <w:rFonts w:ascii="Arial" w:eastAsia="Times New Roman" w:hAnsi="Arial" w:cs="Arial"/>
          <w:i/>
          <w:iCs/>
          <w:sz w:val="18"/>
          <w:szCs w:val="18"/>
          <w:highlight w:val="yellow"/>
          <w:u w:val="double"/>
          <w:lang w:val="en-US" w:bidi="en-US"/>
        </w:rPr>
        <w:t>Dis. Aquat. Org.</w:t>
      </w:r>
      <w:r w:rsidRPr="00AE3567">
        <w:rPr>
          <w:rFonts w:ascii="Arial" w:eastAsia="Times New Roman" w:hAnsi="Arial" w:cs="Arial"/>
          <w:sz w:val="18"/>
          <w:szCs w:val="18"/>
          <w:highlight w:val="yellow"/>
          <w:u w:val="double"/>
          <w:lang w:val="en-US" w:bidi="en-US"/>
        </w:rPr>
        <w:t xml:space="preserve">, </w:t>
      </w:r>
      <w:r w:rsidRPr="00AE3567">
        <w:rPr>
          <w:rFonts w:ascii="Arial" w:eastAsia="Times New Roman" w:hAnsi="Arial" w:cs="Arial"/>
          <w:b/>
          <w:bCs/>
          <w:sz w:val="18"/>
          <w:szCs w:val="18"/>
          <w:highlight w:val="yellow"/>
          <w:u w:val="double"/>
          <w:lang w:val="en-US" w:bidi="en-US"/>
        </w:rPr>
        <w:t>12</w:t>
      </w:r>
      <w:r w:rsidRPr="00AE3567">
        <w:rPr>
          <w:rFonts w:ascii="Arial" w:eastAsia="Times New Roman" w:hAnsi="Arial" w:cs="Arial"/>
          <w:sz w:val="18"/>
          <w:szCs w:val="18"/>
          <w:highlight w:val="yellow"/>
          <w:u w:val="double"/>
          <w:lang w:val="en-US" w:bidi="en-US"/>
        </w:rPr>
        <w:t>, 167–175.</w:t>
      </w:r>
    </w:p>
    <w:p w14:paraId="576B9075" w14:textId="77777777" w:rsidR="00E65E42" w:rsidRPr="0038706F" w:rsidRDefault="00E65E42" w:rsidP="001E34B0">
      <w:pPr>
        <w:spacing w:after="240" w:line="240" w:lineRule="auto"/>
        <w:ind w:left="284"/>
        <w:jc w:val="both"/>
        <w:rPr>
          <w:rFonts w:ascii="Arial" w:eastAsia="Times New Roman" w:hAnsi="Arial" w:cs="Arial"/>
          <w:sz w:val="18"/>
          <w:szCs w:val="18"/>
          <w:u w:val="double"/>
          <w:lang w:bidi="en-US"/>
        </w:rPr>
      </w:pPr>
      <w:r w:rsidRPr="00AE3567">
        <w:rPr>
          <w:rFonts w:ascii="Arial" w:eastAsia="Times New Roman" w:hAnsi="Arial" w:cs="Arial"/>
          <w:smallCaps/>
          <w:sz w:val="18"/>
          <w:szCs w:val="18"/>
          <w:highlight w:val="yellow"/>
          <w:u w:val="double"/>
          <w:lang w:val="en-US" w:bidi="en-US"/>
        </w:rPr>
        <w:t>Meyers T.R. &amp; Winton J.R.</w:t>
      </w:r>
      <w:r w:rsidRPr="00AE3567">
        <w:rPr>
          <w:rFonts w:ascii="Arial" w:eastAsia="Times New Roman" w:hAnsi="Arial" w:cs="Arial"/>
          <w:sz w:val="18"/>
          <w:szCs w:val="18"/>
          <w:highlight w:val="yellow"/>
          <w:u w:val="double"/>
          <w:lang w:val="en-US" w:bidi="en-US"/>
        </w:rPr>
        <w:t xml:space="preserve"> (1995). Viral haemorrhagic septicaemia virus in North America. </w:t>
      </w:r>
      <w:r w:rsidRPr="00AE3567">
        <w:rPr>
          <w:rFonts w:ascii="Arial" w:eastAsia="Times New Roman" w:hAnsi="Arial" w:cs="Arial"/>
          <w:i/>
          <w:iCs/>
          <w:sz w:val="18"/>
          <w:szCs w:val="18"/>
          <w:highlight w:val="yellow"/>
          <w:u w:val="double"/>
          <w:lang w:val="en-US" w:bidi="en-US"/>
        </w:rPr>
        <w:t>Ann. Rev. Fish Dis.</w:t>
      </w:r>
      <w:r w:rsidRPr="00AE3567">
        <w:rPr>
          <w:rFonts w:ascii="Arial" w:eastAsia="Times New Roman" w:hAnsi="Arial" w:cs="Arial"/>
          <w:sz w:val="18"/>
          <w:szCs w:val="18"/>
          <w:highlight w:val="yellow"/>
          <w:u w:val="double"/>
          <w:lang w:val="en-US" w:bidi="en-US"/>
        </w:rPr>
        <w:t xml:space="preserve">, </w:t>
      </w:r>
      <w:r w:rsidRPr="00AE3567">
        <w:rPr>
          <w:rFonts w:ascii="Arial" w:eastAsia="Times New Roman" w:hAnsi="Arial" w:cs="Arial"/>
          <w:b/>
          <w:bCs/>
          <w:sz w:val="18"/>
          <w:szCs w:val="18"/>
          <w:highlight w:val="yellow"/>
          <w:u w:val="double"/>
          <w:lang w:val="en-US" w:bidi="en-US"/>
        </w:rPr>
        <w:t>5</w:t>
      </w:r>
      <w:r w:rsidRPr="00AE3567">
        <w:rPr>
          <w:rFonts w:ascii="Arial" w:eastAsia="Times New Roman" w:hAnsi="Arial" w:cs="Arial"/>
          <w:sz w:val="18"/>
          <w:szCs w:val="18"/>
          <w:highlight w:val="yellow"/>
          <w:u w:val="double"/>
          <w:lang w:val="en-US" w:bidi="en-US"/>
        </w:rPr>
        <w:t>, 3–24.</w:t>
      </w:r>
    </w:p>
    <w:p w14:paraId="5491AC93"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Times New Roman"/>
          <w:smallCaps/>
          <w:sz w:val="18"/>
          <w:szCs w:val="18"/>
          <w:lang w:val="en-IE" w:bidi="en-US"/>
        </w:rPr>
        <w:t>Munro E.S. &amp; Gregory A.</w:t>
      </w:r>
      <w:r w:rsidRPr="00D403F5">
        <w:rPr>
          <w:rFonts w:ascii="Arial" w:eastAsia="Times New Roman" w:hAnsi="Arial" w:cs="Times New Roman"/>
          <w:sz w:val="18"/>
          <w:szCs w:val="18"/>
          <w:lang w:val="en-IE" w:bidi="en-US"/>
        </w:rPr>
        <w:t xml:space="preserve"> (2010). The risk associated with vertical transmission of viral haemorrhagic septicaemia virus (VHSV) in rainbow trout (</w:t>
      </w:r>
      <w:r w:rsidRPr="00D403F5">
        <w:rPr>
          <w:rFonts w:ascii="Arial" w:eastAsia="Times New Roman" w:hAnsi="Arial" w:cs="Times New Roman"/>
          <w:i/>
          <w:sz w:val="18"/>
          <w:szCs w:val="18"/>
          <w:lang w:val="en-IE" w:bidi="en-US"/>
        </w:rPr>
        <w:t>Oncorhynchus mykiss</w:t>
      </w:r>
      <w:r w:rsidRPr="00D403F5">
        <w:rPr>
          <w:rFonts w:ascii="Arial" w:eastAsia="Times New Roman" w:hAnsi="Arial" w:cs="Times New Roman"/>
          <w:sz w:val="18"/>
          <w:szCs w:val="18"/>
          <w:lang w:val="en-IE" w:bidi="en-US"/>
        </w:rPr>
        <w:t xml:space="preserve">) eggs. </w:t>
      </w:r>
      <w:r w:rsidRPr="00D403F5">
        <w:rPr>
          <w:rFonts w:ascii="Arial" w:eastAsia="Times New Roman" w:hAnsi="Arial" w:cs="Times New Roman"/>
          <w:i/>
          <w:sz w:val="18"/>
          <w:szCs w:val="18"/>
          <w:lang w:val="en-IE" w:bidi="en-US"/>
        </w:rPr>
        <w:t>Bull. Eur. Ass. Fish Pathol.</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30</w:t>
      </w:r>
      <w:r w:rsidRPr="00D403F5">
        <w:rPr>
          <w:rFonts w:ascii="Arial" w:eastAsia="Times New Roman" w:hAnsi="Arial" w:cs="Times New Roman"/>
          <w:sz w:val="18"/>
          <w:szCs w:val="18"/>
          <w:lang w:val="en-IE" w:bidi="en-US"/>
        </w:rPr>
        <w:t>, 154–158.</w:t>
      </w:r>
    </w:p>
    <w:p w14:paraId="73965599"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Times New Roman"/>
          <w:smallCaps/>
          <w:sz w:val="18"/>
          <w:szCs w:val="18"/>
          <w:lang w:val="en-IE" w:bidi="en-US"/>
        </w:rPr>
        <w:t>Munro E.S., McIntosh R.E., Weir S.J., Noguera P.A., Sandilands J.M., Matejusova I., Mayes A.S. &amp; Smith R.</w:t>
      </w:r>
      <w:r w:rsidRPr="00D403F5">
        <w:rPr>
          <w:rFonts w:ascii="Arial" w:eastAsia="Times New Roman" w:hAnsi="Arial" w:cs="Times New Roman"/>
          <w:sz w:val="18"/>
          <w:szCs w:val="18"/>
          <w:lang w:val="en-IE" w:bidi="en-US"/>
        </w:rPr>
        <w:t xml:space="preserve"> (2015). A mortality event in wrasse species (Labridae) associated with the presence of viral haemorrhagic septicaemia virus </w:t>
      </w:r>
      <w:r w:rsidRPr="00D403F5">
        <w:rPr>
          <w:rFonts w:ascii="Arial" w:eastAsia="Times New Roman" w:hAnsi="Arial" w:cs="Times New Roman"/>
          <w:i/>
          <w:sz w:val="18"/>
          <w:szCs w:val="18"/>
          <w:lang w:val="en-IE" w:bidi="en-US"/>
        </w:rPr>
        <w:t>J. Fish Dis</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38</w:t>
      </w:r>
      <w:r w:rsidRPr="00D403F5">
        <w:rPr>
          <w:rFonts w:ascii="Arial" w:eastAsia="Times New Roman" w:hAnsi="Arial" w:cs="Times New Roman"/>
          <w:sz w:val="18"/>
          <w:szCs w:val="18"/>
          <w:lang w:val="en-IE" w:bidi="en-US"/>
        </w:rPr>
        <w:t>, 335–341.</w:t>
      </w:r>
    </w:p>
    <w:p w14:paraId="695EB262"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val="es-ES" w:bidi="en-US"/>
        </w:rPr>
        <w:t>Nishizawa T., Iida H., Takano R., Isshiki T., Nakajima K. &amp; Muroga K.</w:t>
      </w:r>
      <w:r w:rsidRPr="00D403F5">
        <w:rPr>
          <w:rFonts w:ascii="Arial" w:eastAsia="Times New Roman" w:hAnsi="Arial" w:cs="Arial"/>
          <w:sz w:val="18"/>
          <w:szCs w:val="18"/>
          <w:lang w:val="es-ES" w:bidi="en-US"/>
        </w:rPr>
        <w:t xml:space="preserve"> (2002). </w:t>
      </w:r>
      <w:r w:rsidRPr="00D403F5">
        <w:rPr>
          <w:rFonts w:ascii="Arial" w:eastAsia="Times New Roman" w:hAnsi="Arial" w:cs="Arial"/>
          <w:sz w:val="18"/>
          <w:szCs w:val="18"/>
          <w:lang w:bidi="en-US"/>
        </w:rPr>
        <w:t xml:space="preserve">Genetic relatedness among Japanese, American and European isolates of viral haemorrhagic septicaemia virus (VHSV) based on partial G and P genes. </w:t>
      </w:r>
      <w:r w:rsidRPr="00D403F5">
        <w:rPr>
          <w:rFonts w:ascii="Arial" w:eastAsia="Times New Roman" w:hAnsi="Arial" w:cs="Arial"/>
          <w:i/>
          <w:sz w:val="18"/>
          <w:szCs w:val="18"/>
          <w:lang w:bidi="en-US"/>
        </w:rPr>
        <w:t>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48</w:t>
      </w:r>
      <w:r w:rsidRPr="00D403F5">
        <w:rPr>
          <w:rFonts w:ascii="Arial" w:eastAsia="Times New Roman" w:hAnsi="Arial" w:cs="Arial"/>
          <w:sz w:val="18"/>
          <w:szCs w:val="18"/>
          <w:lang w:bidi="en-US"/>
        </w:rPr>
        <w:t>, 143–148.</w:t>
      </w:r>
    </w:p>
    <w:p w14:paraId="70EE57B4"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Nishizawa T., Savas H., Isidan H., Üstündag C., Iwamoto H. &amp; Yoshimizu M.</w:t>
      </w:r>
      <w:r w:rsidRPr="00D403F5">
        <w:rPr>
          <w:rFonts w:ascii="Arial" w:eastAsia="Times New Roman" w:hAnsi="Arial" w:cs="Arial"/>
          <w:sz w:val="18"/>
          <w:szCs w:val="18"/>
          <w:lang w:bidi="en-US"/>
        </w:rPr>
        <w:t xml:space="preserve"> (2006). Genotyping and pathogenicity of viral hemorrhagic septicemia virus from free-living turbot (</w:t>
      </w:r>
      <w:r w:rsidRPr="00D403F5">
        <w:rPr>
          <w:rFonts w:ascii="Arial" w:eastAsia="Times New Roman" w:hAnsi="Arial" w:cs="Arial"/>
          <w:i/>
          <w:sz w:val="18"/>
          <w:szCs w:val="18"/>
          <w:lang w:bidi="en-US"/>
        </w:rPr>
        <w:t>Psetta maxima</w:t>
      </w:r>
      <w:r w:rsidRPr="00D403F5">
        <w:rPr>
          <w:rFonts w:ascii="Arial" w:eastAsia="Times New Roman" w:hAnsi="Arial" w:cs="Arial"/>
          <w:sz w:val="18"/>
          <w:szCs w:val="18"/>
          <w:lang w:bidi="en-US"/>
        </w:rPr>
        <w:t xml:space="preserve">) in a Turkish coastal area of the Black Sea. </w:t>
      </w:r>
      <w:r w:rsidRPr="00D403F5">
        <w:rPr>
          <w:rFonts w:ascii="Arial" w:eastAsia="Times New Roman" w:hAnsi="Arial" w:cs="Arial"/>
          <w:i/>
          <w:sz w:val="18"/>
          <w:szCs w:val="18"/>
          <w:lang w:bidi="en-US"/>
        </w:rPr>
        <w:t>Appl. Environ. Microbiol.,</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72</w:t>
      </w:r>
      <w:r w:rsidRPr="00D403F5">
        <w:rPr>
          <w:rFonts w:ascii="Arial" w:eastAsia="Times New Roman" w:hAnsi="Arial" w:cs="Arial"/>
          <w:sz w:val="18"/>
          <w:szCs w:val="18"/>
          <w:lang w:bidi="en-US"/>
        </w:rPr>
        <w:t>, 2373–2378.</w:t>
      </w:r>
    </w:p>
    <w:p w14:paraId="36851B5D" w14:textId="77777777" w:rsidR="001E34B0" w:rsidRDefault="001E34B0">
      <w:pPr>
        <w:rPr>
          <w:u w:val="single"/>
        </w:rPr>
      </w:pPr>
      <w:r>
        <w:rPr>
          <w:u w:val="single"/>
        </w:rPr>
        <w:br w:type="page"/>
      </w:r>
    </w:p>
    <w:p w14:paraId="55F66B2D" w14:textId="74C7F814" w:rsidR="001E34B0" w:rsidRPr="008A67C2" w:rsidRDefault="001E34B0" w:rsidP="001E34B0">
      <w:pPr>
        <w:spacing w:after="480" w:line="240" w:lineRule="auto"/>
        <w:rPr>
          <w:rFonts w:cs="Times New Roman"/>
          <w:bCs/>
          <w:iCs/>
          <w:szCs w:val="20"/>
        </w:rPr>
      </w:pP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02A78922" w14:textId="77777777" w:rsidR="00E65E42" w:rsidRPr="00D403F5" w:rsidRDefault="00E65E42" w:rsidP="001E34B0">
      <w:pPr>
        <w:spacing w:after="240" w:line="240" w:lineRule="auto"/>
        <w:ind w:left="284"/>
        <w:jc w:val="both"/>
        <w:rPr>
          <w:rFonts w:ascii="Arial" w:eastAsia="Times New Roman" w:hAnsi="Arial" w:cs="Times New Roman"/>
          <w:bCs/>
          <w:sz w:val="18"/>
          <w:szCs w:val="18"/>
          <w:lang w:val="en-IE"/>
        </w:rPr>
      </w:pPr>
      <w:r w:rsidRPr="00D403F5">
        <w:rPr>
          <w:rFonts w:ascii="Arial" w:eastAsia="Times New Roman" w:hAnsi="Arial" w:cs="Times New Roman"/>
          <w:bCs/>
          <w:smallCaps/>
          <w:sz w:val="18"/>
          <w:szCs w:val="18"/>
          <w:lang w:val="en-IE"/>
        </w:rPr>
        <w:t>Nordblom</w:t>
      </w:r>
      <w:r w:rsidRPr="00D403F5">
        <w:rPr>
          <w:rFonts w:ascii="Arial" w:eastAsia="Times New Roman" w:hAnsi="Arial" w:cs="Times New Roman"/>
          <w:bCs/>
          <w:sz w:val="18"/>
          <w:szCs w:val="18"/>
          <w:lang w:val="en-IE"/>
        </w:rPr>
        <w:t xml:space="preserve"> B. (1998) Report on an Outbreak of Viral Haemorrhagic Septicaemia in Sweden. Report for the Standing Veterinary Committee, Swedish Board of Agriculture, Department for Animal Production and Health.</w:t>
      </w:r>
    </w:p>
    <w:p w14:paraId="704490D3" w14:textId="77777777" w:rsidR="00E65E42" w:rsidRPr="00D403F5" w:rsidRDefault="00E65E42" w:rsidP="001E34B0">
      <w:pPr>
        <w:spacing w:after="240" w:line="240" w:lineRule="auto"/>
        <w:ind w:left="284"/>
        <w:jc w:val="both"/>
        <w:rPr>
          <w:rFonts w:ascii="Arial" w:eastAsia="Times New Roman" w:hAnsi="Arial" w:cs="Times New Roman"/>
          <w:bCs/>
          <w:sz w:val="18"/>
          <w:szCs w:val="18"/>
          <w:lang w:val="en-IE"/>
        </w:rPr>
      </w:pPr>
      <w:r w:rsidRPr="00D403F5">
        <w:rPr>
          <w:rFonts w:ascii="Arial" w:eastAsia="Times New Roman" w:hAnsi="Arial" w:cs="Times New Roman"/>
          <w:bCs/>
          <w:smallCaps/>
          <w:sz w:val="18"/>
          <w:szCs w:val="18"/>
          <w:lang w:val="nb-NO"/>
        </w:rPr>
        <w:t>Nordblom B. &amp; Norell A.W.</w:t>
      </w:r>
      <w:r w:rsidRPr="00D403F5">
        <w:rPr>
          <w:rFonts w:ascii="Arial" w:eastAsia="Times New Roman" w:hAnsi="Arial" w:cs="Times New Roman"/>
          <w:bCs/>
          <w:sz w:val="18"/>
          <w:szCs w:val="18"/>
          <w:lang w:val="nb-NO"/>
        </w:rPr>
        <w:t xml:space="preserve"> (2000). </w:t>
      </w:r>
      <w:r w:rsidRPr="00D403F5">
        <w:rPr>
          <w:rFonts w:ascii="Arial" w:eastAsia="Times New Roman" w:hAnsi="Arial" w:cs="Times New Roman"/>
          <w:bCs/>
          <w:sz w:val="18"/>
          <w:szCs w:val="18"/>
          <w:lang w:val="en-IE"/>
        </w:rPr>
        <w:t>Report on an Outbreak of VHS (Viral Hemorrhagic Septicaemia) in Farmed Fish in Sweden. Report for the Standing Veterinary Committee, Swedish Board of Agriculture, Department for Animal Production and Health.</w:t>
      </w:r>
    </w:p>
    <w:p w14:paraId="1174E6B1" w14:textId="77777777" w:rsidR="00E65E42" w:rsidRPr="007D5099" w:rsidRDefault="00E65E42" w:rsidP="001E34B0">
      <w:pPr>
        <w:spacing w:after="240" w:line="240" w:lineRule="auto"/>
        <w:ind w:left="284"/>
        <w:jc w:val="both"/>
        <w:rPr>
          <w:rFonts w:ascii="Arial" w:hAnsi="Arial" w:cs="Arial"/>
          <w:sz w:val="18"/>
          <w:szCs w:val="18"/>
          <w:u w:val="double"/>
        </w:rPr>
      </w:pPr>
      <w:r w:rsidRPr="007D5099">
        <w:rPr>
          <w:rFonts w:ascii="Arial" w:eastAsia="Times New Roman" w:hAnsi="Arial" w:cs="Arial"/>
          <w:bCs/>
          <w:smallCaps/>
          <w:sz w:val="18"/>
          <w:szCs w:val="18"/>
          <w:highlight w:val="yellow"/>
          <w:u w:val="double"/>
        </w:rPr>
        <w:t xml:space="preserve">Ogut H. &amp; Altuntas C. (2014). </w:t>
      </w:r>
      <w:r w:rsidRPr="007D5099">
        <w:rPr>
          <w:rFonts w:ascii="Arial" w:hAnsi="Arial" w:cs="Arial"/>
          <w:sz w:val="18"/>
          <w:szCs w:val="18"/>
          <w:highlight w:val="yellow"/>
          <w:u w:val="double"/>
        </w:rPr>
        <w:t xml:space="preserve">Survey of viral haemorrhagic septicaemia virus in wild fishes in the southeastern Black Sea. </w:t>
      </w:r>
      <w:r w:rsidRPr="007D5099">
        <w:rPr>
          <w:rFonts w:ascii="Arial" w:hAnsi="Arial" w:cs="Arial"/>
          <w:i/>
          <w:iCs/>
          <w:sz w:val="18"/>
          <w:szCs w:val="18"/>
          <w:highlight w:val="yellow"/>
          <w:u w:val="double"/>
        </w:rPr>
        <w:t>Dis. Aquat. Org</w:t>
      </w:r>
      <w:r w:rsidRPr="007D5099">
        <w:rPr>
          <w:rFonts w:ascii="Arial" w:hAnsi="Arial" w:cs="Arial"/>
          <w:sz w:val="18"/>
          <w:szCs w:val="18"/>
          <w:highlight w:val="yellow"/>
          <w:u w:val="double"/>
        </w:rPr>
        <w:t xml:space="preserve">., </w:t>
      </w:r>
      <w:r w:rsidRPr="007D5099">
        <w:rPr>
          <w:rFonts w:ascii="Arial" w:hAnsi="Arial" w:cs="Arial"/>
          <w:b/>
          <w:bCs/>
          <w:sz w:val="18"/>
          <w:szCs w:val="18"/>
          <w:highlight w:val="yellow"/>
          <w:u w:val="double"/>
        </w:rPr>
        <w:t>109</w:t>
      </w:r>
      <w:r w:rsidRPr="007D5099">
        <w:rPr>
          <w:rFonts w:ascii="Arial" w:hAnsi="Arial" w:cs="Arial"/>
          <w:sz w:val="18"/>
          <w:szCs w:val="18"/>
          <w:highlight w:val="yellow"/>
          <w:u w:val="double"/>
        </w:rPr>
        <w:t>, 99–106. doi: 10.3354/dao02728.</w:t>
      </w:r>
    </w:p>
    <w:p w14:paraId="4CC2DE68" w14:textId="77777777" w:rsidR="00E65E42" w:rsidRPr="00D403F5" w:rsidRDefault="00E65E42" w:rsidP="001E34B0">
      <w:pPr>
        <w:spacing w:after="240" w:line="240" w:lineRule="auto"/>
        <w:ind w:left="284"/>
        <w:jc w:val="both"/>
        <w:rPr>
          <w:rFonts w:ascii="Arial" w:eastAsia="Times New Roman" w:hAnsi="Arial" w:cs="Times New Roman"/>
          <w:bCs/>
          <w:sz w:val="18"/>
          <w:szCs w:val="18"/>
          <w:lang w:val="en-IE"/>
        </w:rPr>
      </w:pPr>
      <w:r w:rsidRPr="00D403F5">
        <w:rPr>
          <w:rFonts w:ascii="Arial" w:eastAsia="Times New Roman" w:hAnsi="Arial" w:cs="Times New Roman"/>
          <w:bCs/>
          <w:smallCaps/>
          <w:sz w:val="18"/>
          <w:szCs w:val="18"/>
          <w:lang w:val="en-IE"/>
        </w:rPr>
        <w:t>Oidtmann B., Joiner C., Reese R.A., Stone D., Dodge M. &amp; Dixon P.</w:t>
      </w:r>
      <w:r w:rsidRPr="00D403F5">
        <w:rPr>
          <w:rFonts w:ascii="Arial" w:eastAsia="Times New Roman" w:hAnsi="Arial" w:cs="Times New Roman"/>
          <w:bCs/>
          <w:sz w:val="18"/>
          <w:szCs w:val="18"/>
          <w:lang w:val="en-IE"/>
        </w:rPr>
        <w:t xml:space="preserve"> (2011). Risks Associated with Commodity Trade: Transmission of Viral Haemorrhagic Septicaemia Virus (VHSV) to Rainbow Trout Fry from VHSV-Carrying Tissue-Homogenates. </w:t>
      </w:r>
      <w:r w:rsidRPr="00D403F5">
        <w:rPr>
          <w:rFonts w:ascii="Arial" w:eastAsia="Times New Roman" w:hAnsi="Arial" w:cs="Times New Roman"/>
          <w:bCs/>
          <w:i/>
          <w:sz w:val="18"/>
          <w:szCs w:val="18"/>
          <w:lang w:val="en-IE"/>
        </w:rPr>
        <w:t>Transbound. Emerg. Dis</w:t>
      </w:r>
      <w:r w:rsidRPr="00D403F5">
        <w:rPr>
          <w:rFonts w:ascii="Arial" w:eastAsia="Times New Roman" w:hAnsi="Arial" w:cs="Times New Roman"/>
          <w:bCs/>
          <w:sz w:val="18"/>
          <w:szCs w:val="18"/>
          <w:lang w:val="en-IE"/>
        </w:rPr>
        <w:t xml:space="preserve">., </w:t>
      </w:r>
      <w:r w:rsidRPr="00D403F5">
        <w:rPr>
          <w:rFonts w:ascii="Arial" w:eastAsia="Times New Roman" w:hAnsi="Arial" w:cs="Times New Roman"/>
          <w:b/>
          <w:bCs/>
          <w:sz w:val="18"/>
          <w:szCs w:val="18"/>
          <w:lang w:val="en-IE"/>
        </w:rPr>
        <w:t>58</w:t>
      </w:r>
      <w:r w:rsidRPr="00D403F5">
        <w:rPr>
          <w:rFonts w:ascii="Arial" w:eastAsia="Times New Roman" w:hAnsi="Arial" w:cs="Times New Roman"/>
          <w:bCs/>
          <w:sz w:val="18"/>
          <w:szCs w:val="18"/>
          <w:lang w:val="en-IE"/>
        </w:rPr>
        <w:t>, 224–231.</w:t>
      </w:r>
    </w:p>
    <w:p w14:paraId="6ADB07E8"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bookmarkStart w:id="158" w:name="_Hlk19091225"/>
      <w:r w:rsidRPr="00D403F5">
        <w:rPr>
          <w:rFonts w:ascii="Arial" w:eastAsia="Times New Roman" w:hAnsi="Arial" w:cs="Arial"/>
          <w:smallCaps/>
          <w:sz w:val="18"/>
          <w:szCs w:val="18"/>
          <w:lang w:bidi="en-US"/>
        </w:rPr>
        <w:t>Olesen N.J. &amp; J</w:t>
      </w:r>
      <w:r>
        <w:rPr>
          <w:rFonts w:ascii="Arial" w:eastAsia="Times New Roman" w:hAnsi="Arial" w:cs="Arial"/>
          <w:smallCaps/>
          <w:sz w:val="18"/>
          <w:szCs w:val="18"/>
          <w:lang w:bidi="en-US"/>
        </w:rPr>
        <w:t>o</w:t>
      </w:r>
      <w:r w:rsidRPr="00D403F5">
        <w:rPr>
          <w:rFonts w:ascii="Arial" w:eastAsia="Times New Roman" w:hAnsi="Arial" w:cs="Arial"/>
          <w:smallCaps/>
          <w:sz w:val="18"/>
          <w:szCs w:val="18"/>
          <w:lang w:bidi="en-US"/>
        </w:rPr>
        <w:t>rgensen P.E.</w:t>
      </w:r>
      <w:r w:rsidRPr="00D403F5">
        <w:rPr>
          <w:rFonts w:ascii="Arial" w:eastAsia="Times New Roman" w:hAnsi="Arial" w:cs="Arial"/>
          <w:sz w:val="18"/>
          <w:szCs w:val="18"/>
          <w:lang w:bidi="en-US"/>
        </w:rPr>
        <w:t xml:space="preserve"> (1982). Can and do herons serve as vectors for Egtved virus? </w:t>
      </w:r>
      <w:r w:rsidRPr="00D403F5">
        <w:rPr>
          <w:rFonts w:ascii="Arial" w:eastAsia="Times New Roman" w:hAnsi="Arial" w:cs="Arial"/>
          <w:i/>
          <w:sz w:val="18"/>
          <w:szCs w:val="18"/>
          <w:lang w:bidi="en-US"/>
        </w:rPr>
        <w:t>Bull. Eur. Ass. Fish Pathol.,</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2</w:t>
      </w:r>
      <w:r w:rsidRPr="00D403F5">
        <w:rPr>
          <w:rFonts w:ascii="Arial" w:eastAsia="Times New Roman" w:hAnsi="Arial" w:cs="Arial"/>
          <w:sz w:val="18"/>
          <w:szCs w:val="18"/>
          <w:lang w:bidi="en-US"/>
        </w:rPr>
        <w:t>, 48.</w:t>
      </w:r>
    </w:p>
    <w:bookmarkEnd w:id="158"/>
    <w:p w14:paraId="6FCB3E19"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Parry L. &amp; Dixon P.F</w:t>
      </w:r>
      <w:r w:rsidRPr="00D403F5">
        <w:rPr>
          <w:rFonts w:ascii="Arial" w:eastAsia="Times New Roman" w:hAnsi="Arial" w:cs="Arial"/>
          <w:sz w:val="18"/>
          <w:szCs w:val="18"/>
          <w:lang w:bidi="en-US"/>
        </w:rPr>
        <w:t xml:space="preserve">. (1997). Stability of nine viral haemorrhagic septicaemia virus (VHSV) isolates in seawater. </w:t>
      </w:r>
      <w:r w:rsidRPr="00D403F5">
        <w:rPr>
          <w:rFonts w:ascii="Arial" w:eastAsia="Times New Roman" w:hAnsi="Arial" w:cs="Arial"/>
          <w:i/>
          <w:sz w:val="18"/>
          <w:szCs w:val="18"/>
          <w:lang w:bidi="en-US"/>
        </w:rPr>
        <w:t>Bull. Eur. Ass. Fish Pathol.,</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17</w:t>
      </w:r>
      <w:r w:rsidRPr="00D403F5">
        <w:rPr>
          <w:rFonts w:ascii="Arial" w:eastAsia="Times New Roman" w:hAnsi="Arial" w:cs="Arial"/>
          <w:sz w:val="18"/>
          <w:szCs w:val="18"/>
          <w:lang w:bidi="en-US"/>
        </w:rPr>
        <w:t>, 31–36.</w:t>
      </w:r>
    </w:p>
    <w:p w14:paraId="631A37CC"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BF51FB">
        <w:rPr>
          <w:rFonts w:ascii="Arial" w:eastAsia="Times New Roman" w:hAnsi="Arial" w:cs="Arial"/>
          <w:smallCaps/>
          <w:sz w:val="18"/>
          <w:szCs w:val="18"/>
          <w:lang w:bidi="en-US"/>
        </w:rPr>
        <w:t xml:space="preserve">Peddie S., Mclauchlan P.E., Ellis A.E. &amp; Secombes C.J. </w:t>
      </w:r>
      <w:r w:rsidRPr="00BF51FB">
        <w:rPr>
          <w:rFonts w:ascii="Arial" w:eastAsia="Times New Roman" w:hAnsi="Arial" w:cs="Arial"/>
          <w:sz w:val="18"/>
          <w:szCs w:val="18"/>
          <w:lang w:bidi="en-US"/>
        </w:rPr>
        <w:t xml:space="preserve">(2003). </w:t>
      </w:r>
      <w:r w:rsidRPr="00D403F5">
        <w:rPr>
          <w:rFonts w:ascii="Arial" w:eastAsia="Times New Roman" w:hAnsi="Arial" w:cs="Arial"/>
          <w:sz w:val="18"/>
          <w:szCs w:val="18"/>
          <w:lang w:bidi="en-US"/>
        </w:rPr>
        <w:t xml:space="preserve">Effect of intraperitoneally administered IL-1b-derived peptides on resistance to viral haemorrhagic septicaemia in rainbow trout </w:t>
      </w:r>
      <w:r w:rsidRPr="00D403F5">
        <w:rPr>
          <w:rFonts w:ascii="Arial" w:eastAsia="Times New Roman" w:hAnsi="Arial" w:cs="Arial"/>
          <w:i/>
          <w:sz w:val="18"/>
          <w:szCs w:val="18"/>
          <w:lang w:bidi="en-US"/>
        </w:rPr>
        <w:t>Oncorhynchus mykiss. 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56</w:t>
      </w:r>
      <w:r w:rsidRPr="00D403F5">
        <w:rPr>
          <w:rFonts w:ascii="Arial" w:eastAsia="Times New Roman" w:hAnsi="Arial" w:cs="Arial"/>
          <w:sz w:val="18"/>
          <w:szCs w:val="18"/>
          <w:lang w:bidi="en-US"/>
        </w:rPr>
        <w:t>, 195–200.</w:t>
      </w:r>
    </w:p>
    <w:p w14:paraId="7FDB6A8B"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Peters F. &amp; Neukirch M. (</w:t>
      </w:r>
      <w:r w:rsidRPr="00D403F5">
        <w:rPr>
          <w:rFonts w:ascii="Arial" w:eastAsia="Times New Roman" w:hAnsi="Arial" w:cs="Arial"/>
          <w:sz w:val="18"/>
          <w:szCs w:val="18"/>
          <w:lang w:bidi="en-US"/>
        </w:rPr>
        <w:t xml:space="preserve">1986). Transmission of some fish pathogenic viruses by the heron, </w:t>
      </w:r>
      <w:r w:rsidRPr="00D403F5">
        <w:rPr>
          <w:rFonts w:ascii="Arial" w:eastAsia="Times New Roman" w:hAnsi="Arial" w:cs="Arial"/>
          <w:i/>
          <w:sz w:val="18"/>
          <w:szCs w:val="18"/>
          <w:lang w:bidi="en-US"/>
        </w:rPr>
        <w:t>Ardea cinerea</w:t>
      </w:r>
      <w:r w:rsidRPr="00D403F5">
        <w:rPr>
          <w:rFonts w:ascii="Arial" w:eastAsia="Times New Roman" w:hAnsi="Arial" w:cs="Arial"/>
          <w:sz w:val="18"/>
          <w:szCs w:val="18"/>
          <w:lang w:bidi="en-US"/>
        </w:rPr>
        <w:t xml:space="preserve">. </w:t>
      </w:r>
      <w:r w:rsidRPr="00D403F5">
        <w:rPr>
          <w:rFonts w:ascii="Arial" w:eastAsia="Times New Roman" w:hAnsi="Arial" w:cs="Arial"/>
          <w:i/>
          <w:sz w:val="18"/>
          <w:szCs w:val="18"/>
          <w:lang w:bidi="en-US"/>
        </w:rPr>
        <w:t>J. Fish Dis.,</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9</w:t>
      </w:r>
      <w:r w:rsidRPr="00D403F5">
        <w:rPr>
          <w:rFonts w:ascii="Arial" w:eastAsia="Times New Roman" w:hAnsi="Arial" w:cs="Arial"/>
          <w:sz w:val="18"/>
          <w:szCs w:val="18"/>
          <w:lang w:bidi="en-US"/>
        </w:rPr>
        <w:t>, 539–544.</w:t>
      </w:r>
    </w:p>
    <w:p w14:paraId="1F9343BE" w14:textId="77777777" w:rsidR="00E65E42" w:rsidRPr="00D403F5" w:rsidRDefault="00E65E42" w:rsidP="001E34B0">
      <w:pPr>
        <w:spacing w:after="240" w:line="240" w:lineRule="auto"/>
        <w:ind w:left="284"/>
        <w:jc w:val="both"/>
        <w:rPr>
          <w:rFonts w:ascii="Arial" w:eastAsia="Times New Roman" w:hAnsi="Arial" w:cs="Times New Roman"/>
          <w:sz w:val="18"/>
          <w:szCs w:val="18"/>
          <w:lang w:val="en-IE" w:bidi="en-US"/>
        </w:rPr>
      </w:pPr>
      <w:r w:rsidRPr="00D403F5">
        <w:rPr>
          <w:rFonts w:ascii="Arial" w:eastAsia="Times New Roman" w:hAnsi="Arial" w:cs="Times New Roman"/>
          <w:bCs/>
          <w:smallCaps/>
          <w:sz w:val="18"/>
          <w:szCs w:val="18"/>
          <w:lang w:val="en-IE" w:bidi="en-US"/>
        </w:rPr>
        <w:t>Pham P.H., Sokeechand B.S.H., Garver K.A., Jones G., Lumsden J.S. &amp; Bols N.C.</w:t>
      </w:r>
      <w:r w:rsidRPr="00D403F5">
        <w:rPr>
          <w:rFonts w:ascii="Arial" w:eastAsia="Times New Roman" w:hAnsi="Arial" w:cs="Times New Roman"/>
          <w:sz w:val="18"/>
          <w:szCs w:val="18"/>
          <w:lang w:val="en-IE" w:bidi="en-US"/>
        </w:rPr>
        <w:t xml:space="preserve"> (2018). Fish viruses stored in RNAlater can remain infectious and even be temporarily protected from inactivation by heat or by tissue homogenates. </w:t>
      </w:r>
      <w:r w:rsidRPr="00D403F5">
        <w:rPr>
          <w:rFonts w:ascii="Arial" w:eastAsia="Times New Roman" w:hAnsi="Arial" w:cs="Times New Roman"/>
          <w:i/>
          <w:sz w:val="18"/>
          <w:szCs w:val="18"/>
          <w:lang w:val="en-IE" w:bidi="en-US"/>
        </w:rPr>
        <w:t>J. Virol. Methods</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253</w:t>
      </w:r>
      <w:r w:rsidRPr="00D403F5">
        <w:rPr>
          <w:rFonts w:ascii="Arial" w:eastAsia="Times New Roman" w:hAnsi="Arial" w:cs="Times New Roman"/>
          <w:sz w:val="18"/>
          <w:szCs w:val="18"/>
          <w:lang w:val="en-IE" w:bidi="en-US"/>
        </w:rPr>
        <w:t>, 31–37.</w:t>
      </w:r>
    </w:p>
    <w:p w14:paraId="6F9AA391" w14:textId="77777777" w:rsidR="00E65E42" w:rsidRPr="00D403F5" w:rsidRDefault="00E65E42" w:rsidP="001E34B0">
      <w:pPr>
        <w:spacing w:after="240" w:line="240" w:lineRule="auto"/>
        <w:ind w:left="284"/>
        <w:jc w:val="both"/>
        <w:rPr>
          <w:rFonts w:ascii="Arial" w:eastAsia="Times New Roman" w:hAnsi="Arial" w:cs="Times New Roman"/>
          <w:sz w:val="18"/>
          <w:szCs w:val="18"/>
          <w:lang w:val="en-IE" w:bidi="en-US"/>
        </w:rPr>
      </w:pPr>
      <w:r w:rsidRPr="00D403F5">
        <w:rPr>
          <w:rFonts w:ascii="Arial" w:eastAsia="Times New Roman" w:hAnsi="Arial" w:cs="Times New Roman"/>
          <w:bCs/>
          <w:smallCaps/>
          <w:sz w:val="18"/>
          <w:szCs w:val="18"/>
          <w:lang w:val="en-IE" w:bidi="en-US"/>
        </w:rPr>
        <w:t>Pierce L.R. &amp; Stepien C.A.</w:t>
      </w:r>
      <w:r w:rsidRPr="00D403F5">
        <w:rPr>
          <w:rFonts w:ascii="Arial" w:eastAsia="Times New Roman" w:hAnsi="Arial" w:cs="Times New Roman"/>
          <w:sz w:val="18"/>
          <w:szCs w:val="18"/>
          <w:lang w:val="en-IE" w:bidi="en-US"/>
        </w:rPr>
        <w:t xml:space="preserve"> (2012). Evolution and biogeography of an emerging quasispecies: Diversity patterns of the fish Viral Hemorrhagic Septicemia virus (VHSv). </w:t>
      </w:r>
      <w:r w:rsidRPr="00D403F5">
        <w:rPr>
          <w:rFonts w:ascii="Arial" w:eastAsia="Times New Roman" w:hAnsi="Arial" w:cs="Times New Roman"/>
          <w:i/>
          <w:sz w:val="18"/>
          <w:szCs w:val="18"/>
          <w:lang w:val="en-IE" w:bidi="en-US"/>
        </w:rPr>
        <w:t>Mol. Phyl. Evol.,</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63</w:t>
      </w:r>
      <w:r w:rsidRPr="00D403F5">
        <w:rPr>
          <w:rFonts w:ascii="Arial" w:eastAsia="Times New Roman" w:hAnsi="Arial" w:cs="Times New Roman"/>
          <w:sz w:val="18"/>
          <w:szCs w:val="18"/>
          <w:lang w:val="en-IE" w:bidi="en-US"/>
        </w:rPr>
        <w:t>, 327–341.</w:t>
      </w:r>
    </w:p>
    <w:p w14:paraId="1A81DFD3" w14:textId="77777777" w:rsidR="00E65E42" w:rsidRPr="00D403F5" w:rsidRDefault="00E65E42" w:rsidP="001E34B0">
      <w:pPr>
        <w:spacing w:after="240" w:line="240" w:lineRule="auto"/>
        <w:ind w:left="284"/>
        <w:jc w:val="both"/>
        <w:rPr>
          <w:rFonts w:ascii="Arial" w:eastAsia="Times New Roman" w:hAnsi="Arial" w:cs="Arial"/>
          <w:smallCaps/>
          <w:sz w:val="18"/>
          <w:szCs w:val="18"/>
          <w:lang w:val="nb-NO" w:bidi="en-US"/>
        </w:rPr>
      </w:pPr>
      <w:r w:rsidRPr="00D403F5">
        <w:rPr>
          <w:rFonts w:ascii="Arial" w:eastAsia="Times New Roman" w:hAnsi="Arial" w:cs="Times New Roman"/>
          <w:bCs/>
          <w:smallCaps/>
          <w:sz w:val="18"/>
          <w:szCs w:val="18"/>
          <w:lang w:val="en-IE" w:bidi="en-US"/>
        </w:rPr>
        <w:t>Raja-Halli M., Vehmas T.K., Rimaila-Pärnänen E., Sainmaa S., Skall H.F., Olesen N.J. &amp; Tapiovaara H.</w:t>
      </w:r>
      <w:r w:rsidRPr="00D403F5">
        <w:rPr>
          <w:rFonts w:ascii="Arial" w:eastAsia="Times New Roman" w:hAnsi="Arial" w:cs="Times New Roman"/>
          <w:sz w:val="18"/>
          <w:szCs w:val="18"/>
          <w:lang w:val="en-IE" w:bidi="en-US"/>
        </w:rPr>
        <w:t xml:space="preserve"> (2006). Viral haemorrhagic septicaemia (VHS) outbreaks in Finnish rainbow trout farms. </w:t>
      </w:r>
      <w:r w:rsidRPr="00D403F5">
        <w:rPr>
          <w:rFonts w:ascii="Arial" w:eastAsia="Times New Roman" w:hAnsi="Arial" w:cs="Times New Roman"/>
          <w:i/>
          <w:sz w:val="18"/>
          <w:szCs w:val="18"/>
          <w:lang w:val="nb-NO" w:bidi="en-US"/>
        </w:rPr>
        <w:t>Dis. Aquat. Org</w:t>
      </w:r>
      <w:r w:rsidRPr="00D403F5">
        <w:rPr>
          <w:rFonts w:ascii="Arial" w:eastAsia="Times New Roman" w:hAnsi="Arial" w:cs="Times New Roman"/>
          <w:sz w:val="18"/>
          <w:szCs w:val="18"/>
          <w:lang w:val="nb-NO" w:bidi="en-US"/>
        </w:rPr>
        <w:t xml:space="preserve">., </w:t>
      </w:r>
      <w:r w:rsidRPr="00D403F5">
        <w:rPr>
          <w:rFonts w:ascii="Arial" w:eastAsia="Times New Roman" w:hAnsi="Arial" w:cs="Times New Roman"/>
          <w:b/>
          <w:sz w:val="18"/>
          <w:szCs w:val="18"/>
          <w:lang w:val="nb-NO" w:bidi="en-US"/>
        </w:rPr>
        <w:t>72</w:t>
      </w:r>
      <w:r w:rsidRPr="00D403F5">
        <w:rPr>
          <w:rFonts w:ascii="Arial" w:eastAsia="Times New Roman" w:hAnsi="Arial" w:cs="Times New Roman"/>
          <w:sz w:val="18"/>
          <w:szCs w:val="18"/>
          <w:lang w:val="nb-NO" w:bidi="en-US"/>
        </w:rPr>
        <w:t>, 201–211.</w:t>
      </w:r>
    </w:p>
    <w:p w14:paraId="037455BB" w14:textId="77777777" w:rsidR="00E65E42" w:rsidRPr="00D403F5" w:rsidRDefault="00E65E42" w:rsidP="001E34B0">
      <w:pPr>
        <w:spacing w:after="240" w:line="240" w:lineRule="auto"/>
        <w:ind w:left="284"/>
        <w:jc w:val="both"/>
        <w:rPr>
          <w:rFonts w:ascii="Arial" w:eastAsia="Times New Roman" w:hAnsi="Arial" w:cs="Times New Roman"/>
          <w:bCs/>
          <w:sz w:val="18"/>
          <w:szCs w:val="18"/>
          <w:lang w:val="en-IE"/>
        </w:rPr>
      </w:pPr>
      <w:r w:rsidRPr="00D403F5">
        <w:rPr>
          <w:rFonts w:ascii="Arial" w:eastAsia="Times New Roman" w:hAnsi="Arial" w:cs="Times New Roman"/>
          <w:bCs/>
          <w:smallCaps/>
          <w:sz w:val="18"/>
          <w:szCs w:val="18"/>
          <w:lang w:val="da-DK"/>
        </w:rPr>
        <w:t xml:space="preserve">Sandlund N., Gjerset B., Bergh Ø., Modahl I., Olesen N.J. &amp; Johansen R. </w:t>
      </w:r>
      <w:r w:rsidRPr="00D403F5">
        <w:rPr>
          <w:rFonts w:ascii="Arial" w:eastAsia="Times New Roman" w:hAnsi="Arial" w:cs="Times New Roman"/>
          <w:bCs/>
          <w:sz w:val="18"/>
          <w:szCs w:val="18"/>
          <w:lang w:val="nb-NO"/>
        </w:rPr>
        <w:t xml:space="preserve">(2014). </w:t>
      </w:r>
      <w:r w:rsidRPr="00D403F5">
        <w:rPr>
          <w:rFonts w:ascii="Arial" w:eastAsia="Times New Roman" w:hAnsi="Arial" w:cs="Times New Roman"/>
          <w:bCs/>
          <w:sz w:val="18"/>
          <w:szCs w:val="18"/>
          <w:lang w:val="en-IE"/>
        </w:rPr>
        <w:t xml:space="preserve">Screening for Viral Hemorrhagic Septicemia Virus in Marine Fish along the Norwegian Coastal Line. </w:t>
      </w:r>
      <w:r w:rsidRPr="00D403F5">
        <w:rPr>
          <w:rFonts w:ascii="Arial" w:eastAsia="Times New Roman" w:hAnsi="Arial" w:cs="Times New Roman"/>
          <w:bCs/>
          <w:i/>
          <w:sz w:val="18"/>
          <w:szCs w:val="18"/>
          <w:lang w:val="en-IE"/>
        </w:rPr>
        <w:t>PLoS ONE</w:t>
      </w:r>
      <w:r w:rsidRPr="00D403F5">
        <w:rPr>
          <w:rFonts w:ascii="Arial" w:eastAsia="Times New Roman" w:hAnsi="Arial" w:cs="Times New Roman"/>
          <w:bCs/>
          <w:sz w:val="18"/>
          <w:szCs w:val="18"/>
          <w:lang w:val="en-IE"/>
        </w:rPr>
        <w:t xml:space="preserve"> 9(9): e108529. doi:10.1371/journal.pone.0108529</w:t>
      </w:r>
    </w:p>
    <w:p w14:paraId="2109A3A1" w14:textId="77777777" w:rsidR="00E65E42" w:rsidRPr="003413B6" w:rsidRDefault="00E65E42" w:rsidP="001E34B0">
      <w:pPr>
        <w:spacing w:after="240" w:line="240" w:lineRule="auto"/>
        <w:ind w:left="284"/>
        <w:jc w:val="both"/>
        <w:rPr>
          <w:rFonts w:ascii="Arial" w:eastAsia="Times New Roman" w:hAnsi="Arial" w:cs="Arial"/>
          <w:strike/>
          <w:sz w:val="18"/>
          <w:szCs w:val="18"/>
          <w:lang w:bidi="en-US"/>
        </w:rPr>
      </w:pPr>
      <w:r w:rsidRPr="003413B6">
        <w:rPr>
          <w:rFonts w:ascii="Arial" w:eastAsia="Times New Roman" w:hAnsi="Arial" w:cs="Arial"/>
          <w:smallCaps/>
          <w:strike/>
          <w:sz w:val="18"/>
          <w:szCs w:val="18"/>
          <w:highlight w:val="yellow"/>
          <w:lang w:bidi="en-US"/>
        </w:rPr>
        <w:t>Schlotfeldt H.J. &amp; Ahne W. (</w:t>
      </w:r>
      <w:r w:rsidRPr="003413B6">
        <w:rPr>
          <w:rFonts w:ascii="Arial" w:eastAsia="Times New Roman" w:hAnsi="Arial" w:cs="Arial"/>
          <w:strike/>
          <w:sz w:val="18"/>
          <w:szCs w:val="18"/>
          <w:highlight w:val="yellow"/>
          <w:lang w:bidi="en-US"/>
        </w:rPr>
        <w:t>1988). Epizootics in brown trout (</w:t>
      </w:r>
      <w:r w:rsidRPr="003413B6">
        <w:rPr>
          <w:rFonts w:ascii="Arial" w:eastAsia="Times New Roman" w:hAnsi="Arial" w:cs="Arial"/>
          <w:i/>
          <w:strike/>
          <w:sz w:val="18"/>
          <w:szCs w:val="18"/>
          <w:highlight w:val="yellow"/>
          <w:lang w:bidi="en-US"/>
        </w:rPr>
        <w:t>Salmo trutta fario</w:t>
      </w:r>
      <w:r w:rsidRPr="003413B6">
        <w:rPr>
          <w:rFonts w:ascii="Arial" w:eastAsia="Times New Roman" w:hAnsi="Arial" w:cs="Arial"/>
          <w:strike/>
          <w:sz w:val="18"/>
          <w:szCs w:val="18"/>
          <w:highlight w:val="yellow"/>
          <w:lang w:bidi="en-US"/>
        </w:rPr>
        <w:t xml:space="preserve">) caused by VHSV-F1. </w:t>
      </w:r>
      <w:r w:rsidRPr="003413B6">
        <w:rPr>
          <w:rFonts w:ascii="Arial" w:eastAsia="Times New Roman" w:hAnsi="Arial" w:cs="Arial"/>
          <w:i/>
          <w:strike/>
          <w:sz w:val="18"/>
          <w:szCs w:val="18"/>
          <w:highlight w:val="yellow"/>
          <w:lang w:bidi="en-US"/>
        </w:rPr>
        <w:t>J. Appl. Ichthyol.,</w:t>
      </w:r>
      <w:r w:rsidRPr="003413B6">
        <w:rPr>
          <w:rFonts w:ascii="Arial" w:eastAsia="Times New Roman" w:hAnsi="Arial" w:cs="Arial"/>
          <w:strike/>
          <w:sz w:val="18"/>
          <w:szCs w:val="18"/>
          <w:highlight w:val="yellow"/>
          <w:lang w:bidi="en-US"/>
        </w:rPr>
        <w:t xml:space="preserve"> </w:t>
      </w:r>
      <w:r w:rsidRPr="003413B6">
        <w:rPr>
          <w:rFonts w:ascii="Arial" w:eastAsia="Times New Roman" w:hAnsi="Arial" w:cs="Arial"/>
          <w:b/>
          <w:strike/>
          <w:sz w:val="18"/>
          <w:szCs w:val="18"/>
          <w:highlight w:val="yellow"/>
          <w:lang w:bidi="en-US"/>
        </w:rPr>
        <w:t>4</w:t>
      </w:r>
      <w:r w:rsidRPr="003413B6">
        <w:rPr>
          <w:rFonts w:ascii="Arial" w:eastAsia="Times New Roman" w:hAnsi="Arial" w:cs="Arial"/>
          <w:strike/>
          <w:sz w:val="18"/>
          <w:szCs w:val="18"/>
          <w:highlight w:val="yellow"/>
          <w:lang w:bidi="en-US"/>
        </w:rPr>
        <w:t>, 147–148.</w:t>
      </w:r>
    </w:p>
    <w:p w14:paraId="09D70FEA"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AE3567">
        <w:rPr>
          <w:rFonts w:ascii="Arial" w:eastAsia="Times New Roman" w:hAnsi="Arial" w:cs="Arial"/>
          <w:smallCaps/>
          <w:sz w:val="18"/>
          <w:szCs w:val="18"/>
          <w:lang w:bidi="en-US"/>
        </w:rPr>
        <w:t xml:space="preserve">Schlotfeldt H.-J., Ahne W., Jørgensen P.E.V. &amp; Glende W. </w:t>
      </w:r>
      <w:r w:rsidRPr="00AE3567">
        <w:rPr>
          <w:rFonts w:ascii="Arial" w:eastAsia="Times New Roman" w:hAnsi="Arial" w:cs="Arial"/>
          <w:sz w:val="18"/>
          <w:szCs w:val="18"/>
          <w:lang w:bidi="en-US"/>
        </w:rPr>
        <w:t xml:space="preserve">(1991). </w:t>
      </w:r>
      <w:r w:rsidRPr="00D403F5">
        <w:rPr>
          <w:rFonts w:ascii="Arial" w:eastAsia="Times New Roman" w:hAnsi="Arial" w:cs="Arial"/>
          <w:sz w:val="18"/>
          <w:szCs w:val="18"/>
          <w:lang w:bidi="en-US"/>
        </w:rPr>
        <w:t>Occurrence of viral haemorrhagic septicaemia in turbot (</w:t>
      </w:r>
      <w:r w:rsidRPr="00D403F5">
        <w:rPr>
          <w:rFonts w:ascii="Arial" w:eastAsia="Times New Roman" w:hAnsi="Arial" w:cs="Arial"/>
          <w:i/>
          <w:sz w:val="18"/>
          <w:szCs w:val="18"/>
          <w:lang w:bidi="en-US"/>
        </w:rPr>
        <w:t>Scophthalmus maximus</w:t>
      </w:r>
      <w:r w:rsidRPr="00D403F5">
        <w:rPr>
          <w:rFonts w:ascii="Arial" w:eastAsia="Times New Roman" w:hAnsi="Arial" w:cs="Arial"/>
          <w:sz w:val="18"/>
          <w:szCs w:val="18"/>
          <w:lang w:bidi="en-US"/>
        </w:rPr>
        <w:t xml:space="preserve">) – a natural outbreak. </w:t>
      </w:r>
      <w:r w:rsidRPr="00D403F5">
        <w:rPr>
          <w:rFonts w:ascii="Arial" w:eastAsia="Times New Roman" w:hAnsi="Arial" w:cs="Arial"/>
          <w:i/>
          <w:sz w:val="18"/>
          <w:szCs w:val="18"/>
          <w:lang w:bidi="en-US"/>
        </w:rPr>
        <w:t>Bull. Eur. Assoc. Fish Pathol.,</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11</w:t>
      </w:r>
      <w:r w:rsidRPr="00D403F5">
        <w:rPr>
          <w:rFonts w:ascii="Arial" w:eastAsia="Times New Roman" w:hAnsi="Arial" w:cs="Arial"/>
          <w:sz w:val="18"/>
          <w:szCs w:val="18"/>
          <w:lang w:bidi="en-US"/>
        </w:rPr>
        <w:t>, 105–107.</w:t>
      </w:r>
    </w:p>
    <w:p w14:paraId="1A8A2EDF" w14:textId="77777777" w:rsidR="00E65E42" w:rsidRPr="00AE3567" w:rsidRDefault="00E65E42" w:rsidP="001E34B0">
      <w:pPr>
        <w:spacing w:after="240" w:line="240" w:lineRule="auto"/>
        <w:ind w:left="284"/>
        <w:jc w:val="both"/>
        <w:rPr>
          <w:rFonts w:ascii="Arial" w:eastAsia="Times New Roman" w:hAnsi="Arial" w:cs="Times New Roman"/>
          <w:sz w:val="18"/>
          <w:szCs w:val="18"/>
          <w:lang w:val="en-US" w:bidi="en-US"/>
        </w:rPr>
      </w:pPr>
      <w:r w:rsidRPr="00AE3567">
        <w:rPr>
          <w:rFonts w:ascii="Arial" w:eastAsia="Times New Roman" w:hAnsi="Arial" w:cs="Times New Roman"/>
          <w:smallCaps/>
          <w:sz w:val="18"/>
          <w:szCs w:val="18"/>
          <w:lang w:bidi="en-US"/>
        </w:rPr>
        <w:t xml:space="preserve">Schonherz A.A., Hansen M.H., Jørgensen H.B., Berg P., Lorenzen N. &amp; Einer-Jensen K. </w:t>
      </w:r>
      <w:r w:rsidRPr="00AE3567">
        <w:rPr>
          <w:rFonts w:ascii="Arial" w:eastAsia="Times New Roman" w:hAnsi="Arial" w:cs="Times New Roman"/>
          <w:sz w:val="18"/>
          <w:szCs w:val="18"/>
          <w:lang w:bidi="en-US"/>
        </w:rPr>
        <w:t xml:space="preserve">(2012). </w:t>
      </w:r>
      <w:r w:rsidRPr="00D403F5">
        <w:rPr>
          <w:rFonts w:ascii="Arial" w:eastAsia="Times New Roman" w:hAnsi="Arial" w:cs="Times New Roman"/>
          <w:sz w:val="18"/>
          <w:szCs w:val="18"/>
          <w:lang w:val="en-IE" w:bidi="en-US"/>
        </w:rPr>
        <w:t xml:space="preserve">Oral transmission as a route of infection for viral haemorrhagic septicaemia virus in rainbow trout, </w:t>
      </w:r>
      <w:r w:rsidRPr="00D403F5">
        <w:rPr>
          <w:rFonts w:ascii="Arial" w:eastAsia="Times New Roman" w:hAnsi="Arial" w:cs="Times New Roman"/>
          <w:i/>
          <w:sz w:val="18"/>
          <w:szCs w:val="18"/>
          <w:lang w:val="en-IE" w:bidi="en-US"/>
        </w:rPr>
        <w:t>Oncorhynchus mykiss</w:t>
      </w:r>
      <w:r w:rsidRPr="00D403F5">
        <w:rPr>
          <w:rFonts w:ascii="Arial" w:eastAsia="Times New Roman" w:hAnsi="Arial" w:cs="Times New Roman"/>
          <w:sz w:val="18"/>
          <w:szCs w:val="18"/>
          <w:lang w:val="en-IE" w:bidi="en-US"/>
        </w:rPr>
        <w:t xml:space="preserve"> (Walbaum). </w:t>
      </w:r>
      <w:r w:rsidRPr="00AE3567">
        <w:rPr>
          <w:rFonts w:ascii="Arial" w:eastAsia="Times New Roman" w:hAnsi="Arial" w:cs="Times New Roman"/>
          <w:i/>
          <w:sz w:val="18"/>
          <w:szCs w:val="18"/>
          <w:lang w:val="en-US" w:bidi="en-US"/>
        </w:rPr>
        <w:t>J. Fish Dis.</w:t>
      </w:r>
      <w:r w:rsidRPr="00AE3567">
        <w:rPr>
          <w:rFonts w:ascii="Arial" w:eastAsia="Times New Roman" w:hAnsi="Arial" w:cs="Times New Roman"/>
          <w:sz w:val="18"/>
          <w:szCs w:val="18"/>
          <w:lang w:val="en-US" w:bidi="en-US"/>
        </w:rPr>
        <w:t xml:space="preserve">, </w:t>
      </w:r>
      <w:r w:rsidRPr="00AE3567">
        <w:rPr>
          <w:rFonts w:ascii="Arial" w:eastAsia="Times New Roman" w:hAnsi="Arial" w:cs="Times New Roman"/>
          <w:b/>
          <w:sz w:val="18"/>
          <w:szCs w:val="18"/>
          <w:lang w:val="en-US" w:bidi="en-US"/>
        </w:rPr>
        <w:t>35</w:t>
      </w:r>
      <w:r w:rsidRPr="00AE3567">
        <w:rPr>
          <w:rFonts w:ascii="Arial" w:eastAsia="Times New Roman" w:hAnsi="Arial" w:cs="Times New Roman"/>
          <w:sz w:val="18"/>
          <w:szCs w:val="18"/>
          <w:lang w:val="en-US" w:bidi="en-US"/>
        </w:rPr>
        <w:t>, 395–406.</w:t>
      </w:r>
    </w:p>
    <w:p w14:paraId="4234D097" w14:textId="77777777" w:rsidR="00E65E42" w:rsidRPr="00AE3567" w:rsidRDefault="00E65E42" w:rsidP="001E34B0">
      <w:pPr>
        <w:spacing w:after="240" w:line="240" w:lineRule="auto"/>
        <w:ind w:left="284"/>
        <w:jc w:val="both"/>
        <w:rPr>
          <w:rFonts w:ascii="Arial" w:eastAsia="Times New Roman" w:hAnsi="Arial" w:cs="Times New Roman"/>
          <w:sz w:val="18"/>
          <w:szCs w:val="18"/>
          <w:u w:val="double"/>
          <w:lang w:val="en-US" w:bidi="en-US"/>
        </w:rPr>
      </w:pPr>
      <w:r w:rsidRPr="00AE3567">
        <w:rPr>
          <w:rFonts w:ascii="Arial" w:eastAsia="Times New Roman" w:hAnsi="Arial" w:cs="Times New Roman"/>
          <w:smallCaps/>
          <w:sz w:val="18"/>
          <w:szCs w:val="18"/>
          <w:highlight w:val="yellow"/>
          <w:u w:val="double"/>
          <w:lang w:val="en-US" w:bidi="en-US"/>
        </w:rPr>
        <w:t>Siah A., Duesend H., Frisch H., Nylund A., McKenzie.&amp; Saksida S.</w:t>
      </w:r>
      <w:r w:rsidRPr="00AE3567">
        <w:rPr>
          <w:rFonts w:ascii="Arial" w:eastAsia="Times New Roman" w:hAnsi="Arial" w:cs="Times New Roman"/>
          <w:sz w:val="18"/>
          <w:szCs w:val="18"/>
          <w:highlight w:val="yellow"/>
          <w:u w:val="double"/>
          <w:lang w:val="en-US" w:bidi="en-US"/>
        </w:rPr>
        <w:t xml:space="preserve"> (2014). Development of a Multiplex Assay to Measure the Effects of Shipping and Storage Conditions on the Quality of RNA Used in Molecular Assay for Detection of Viral Haemorrhagic Septicemia Virus. </w:t>
      </w:r>
      <w:r w:rsidRPr="00AE3567">
        <w:rPr>
          <w:rFonts w:ascii="Arial" w:eastAsia="Times New Roman" w:hAnsi="Arial" w:cs="Times New Roman"/>
          <w:i/>
          <w:iCs/>
          <w:sz w:val="18"/>
          <w:szCs w:val="18"/>
          <w:highlight w:val="yellow"/>
          <w:u w:val="double"/>
          <w:lang w:val="en-US" w:bidi="en-US"/>
        </w:rPr>
        <w:t>J. Aquat. Anim. Health</w:t>
      </w:r>
      <w:r w:rsidRPr="00AE3567">
        <w:rPr>
          <w:rFonts w:ascii="Arial" w:eastAsia="Times New Roman" w:hAnsi="Arial" w:cs="Times New Roman"/>
          <w:sz w:val="18"/>
          <w:szCs w:val="18"/>
          <w:highlight w:val="yellow"/>
          <w:u w:val="double"/>
          <w:lang w:val="en-US" w:bidi="en-US"/>
        </w:rPr>
        <w:t xml:space="preserve">, </w:t>
      </w:r>
      <w:r w:rsidRPr="00AE3567">
        <w:rPr>
          <w:rFonts w:ascii="Arial" w:eastAsia="Times New Roman" w:hAnsi="Arial" w:cs="Times New Roman"/>
          <w:b/>
          <w:bCs/>
          <w:sz w:val="18"/>
          <w:szCs w:val="18"/>
          <w:highlight w:val="yellow"/>
          <w:u w:val="double"/>
          <w:lang w:val="en-US" w:bidi="en-US"/>
        </w:rPr>
        <w:t>26</w:t>
      </w:r>
      <w:r w:rsidRPr="00AE3567">
        <w:rPr>
          <w:rFonts w:ascii="Arial" w:eastAsia="Times New Roman" w:hAnsi="Arial" w:cs="Times New Roman"/>
          <w:sz w:val="18"/>
          <w:szCs w:val="18"/>
          <w:highlight w:val="yellow"/>
          <w:u w:val="double"/>
          <w:lang w:val="en-US" w:bidi="en-US"/>
        </w:rPr>
        <w:t>, 173–180.</w:t>
      </w:r>
    </w:p>
    <w:p w14:paraId="7F3317CE" w14:textId="77777777" w:rsidR="00E65E42" w:rsidRPr="00D403F5" w:rsidRDefault="00E65E42" w:rsidP="001E34B0">
      <w:pPr>
        <w:spacing w:after="240" w:line="240" w:lineRule="auto"/>
        <w:ind w:left="284"/>
        <w:jc w:val="both"/>
        <w:rPr>
          <w:rFonts w:ascii="Arial" w:eastAsia="Times New Roman" w:hAnsi="Arial" w:cs="Times New Roman"/>
          <w:bCs/>
          <w:sz w:val="18"/>
          <w:szCs w:val="18"/>
          <w:lang w:val="nb-NO"/>
        </w:rPr>
      </w:pPr>
      <w:r w:rsidRPr="00AE3567">
        <w:rPr>
          <w:rFonts w:ascii="Arial" w:eastAsia="Times New Roman" w:hAnsi="Arial" w:cs="Times New Roman"/>
          <w:bCs/>
          <w:smallCaps/>
          <w:sz w:val="18"/>
          <w:szCs w:val="18"/>
          <w:lang w:val="en-US"/>
        </w:rPr>
        <w:t>Skall H.F, Jørgensen C. &amp; Olesen N.J.</w:t>
      </w:r>
      <w:r w:rsidRPr="00AE3567">
        <w:rPr>
          <w:rFonts w:ascii="Arial" w:eastAsia="Times New Roman" w:hAnsi="Arial" w:cs="Times New Roman"/>
          <w:bCs/>
          <w:sz w:val="18"/>
          <w:szCs w:val="18"/>
          <w:lang w:val="en-US"/>
        </w:rPr>
        <w:t xml:space="preserve"> (2015). </w:t>
      </w:r>
      <w:r w:rsidRPr="00D403F5">
        <w:rPr>
          <w:rFonts w:ascii="Arial" w:eastAsia="Times New Roman" w:hAnsi="Arial" w:cs="Times New Roman"/>
          <w:bCs/>
          <w:sz w:val="18"/>
          <w:szCs w:val="18"/>
          <w:lang w:val="en-IE"/>
        </w:rPr>
        <w:t xml:space="preserve">Evaluation of the effect of percolation and NaCl solutions on viral haemorrhagic septicaemia virus (VHSV) under experimental conditions. </w:t>
      </w:r>
      <w:r w:rsidRPr="00D403F5">
        <w:rPr>
          <w:rFonts w:ascii="Arial" w:eastAsia="Times New Roman" w:hAnsi="Arial" w:cs="Times New Roman"/>
          <w:bCs/>
          <w:i/>
          <w:sz w:val="18"/>
          <w:szCs w:val="18"/>
          <w:lang w:val="nb-NO"/>
        </w:rPr>
        <w:t>Aquaculture</w:t>
      </w:r>
      <w:r w:rsidRPr="00D403F5">
        <w:rPr>
          <w:rFonts w:ascii="Arial" w:eastAsia="Times New Roman" w:hAnsi="Arial" w:cs="Times New Roman"/>
          <w:bCs/>
          <w:sz w:val="18"/>
          <w:szCs w:val="18"/>
          <w:lang w:val="nb-NO"/>
        </w:rPr>
        <w:t xml:space="preserve">, </w:t>
      </w:r>
      <w:r w:rsidRPr="00D403F5">
        <w:rPr>
          <w:rFonts w:ascii="Arial" w:eastAsia="Times New Roman" w:hAnsi="Arial" w:cs="Times New Roman"/>
          <w:b/>
          <w:bCs/>
          <w:sz w:val="18"/>
          <w:szCs w:val="18"/>
          <w:lang w:val="nb-NO"/>
        </w:rPr>
        <w:t>448</w:t>
      </w:r>
      <w:r w:rsidRPr="00D403F5">
        <w:rPr>
          <w:rFonts w:ascii="Arial" w:eastAsia="Times New Roman" w:hAnsi="Arial" w:cs="Times New Roman"/>
          <w:bCs/>
          <w:sz w:val="18"/>
          <w:szCs w:val="18"/>
          <w:lang w:val="nb-NO"/>
        </w:rPr>
        <w:t>, 507–511.</w:t>
      </w:r>
    </w:p>
    <w:p w14:paraId="662529B4" w14:textId="77777777" w:rsidR="00E65E42" w:rsidRPr="00D403F5" w:rsidRDefault="00E65E42" w:rsidP="001E34B0">
      <w:pPr>
        <w:spacing w:after="240" w:line="240" w:lineRule="auto"/>
        <w:ind w:left="284"/>
        <w:jc w:val="both"/>
        <w:rPr>
          <w:rFonts w:ascii="Arial" w:eastAsia="Times New Roman" w:hAnsi="Arial" w:cs="Arial"/>
          <w:sz w:val="18"/>
          <w:szCs w:val="18"/>
          <w:lang w:val="nb-NO" w:bidi="en-US"/>
        </w:rPr>
      </w:pPr>
      <w:r w:rsidRPr="00D403F5">
        <w:rPr>
          <w:rFonts w:ascii="Arial" w:eastAsia="Times New Roman" w:hAnsi="Arial" w:cs="Arial"/>
          <w:smallCaps/>
          <w:sz w:val="18"/>
          <w:szCs w:val="18"/>
          <w:lang w:val="nb-NO" w:bidi="en-US"/>
        </w:rPr>
        <w:t>Skall H.F., Olesen N.J. &amp; Mellergaard S. (2</w:t>
      </w:r>
      <w:r w:rsidRPr="00D403F5">
        <w:rPr>
          <w:rFonts w:ascii="Arial" w:eastAsia="Times New Roman" w:hAnsi="Arial" w:cs="Arial"/>
          <w:sz w:val="18"/>
          <w:szCs w:val="18"/>
          <w:lang w:val="nb-NO" w:bidi="en-US"/>
        </w:rPr>
        <w:t xml:space="preserve">005a). </w:t>
      </w:r>
      <w:r w:rsidRPr="00D403F5">
        <w:rPr>
          <w:rFonts w:ascii="Arial" w:eastAsia="Times New Roman" w:hAnsi="Arial" w:cs="Arial"/>
          <w:sz w:val="18"/>
          <w:szCs w:val="18"/>
          <w:lang w:bidi="en-US"/>
        </w:rPr>
        <w:t xml:space="preserve">Viral haemorrhagic septicaemia virus in marine fish and its implications for fish farming – a review. </w:t>
      </w:r>
      <w:r w:rsidRPr="00D403F5">
        <w:rPr>
          <w:rFonts w:ascii="Arial" w:eastAsia="Times New Roman" w:hAnsi="Arial" w:cs="Arial"/>
          <w:i/>
          <w:sz w:val="18"/>
          <w:szCs w:val="18"/>
          <w:lang w:val="nb-NO" w:bidi="en-US"/>
        </w:rPr>
        <w:t>J. Fish Dis.,</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28</w:t>
      </w:r>
      <w:r w:rsidRPr="00D403F5">
        <w:rPr>
          <w:rFonts w:ascii="Arial" w:eastAsia="Times New Roman" w:hAnsi="Arial" w:cs="Arial"/>
          <w:sz w:val="18"/>
          <w:szCs w:val="18"/>
          <w:lang w:val="nb-NO" w:bidi="en-US"/>
        </w:rPr>
        <w:t>, 509–529.</w:t>
      </w:r>
    </w:p>
    <w:p w14:paraId="205D1635" w14:textId="77777777" w:rsidR="001E34B0" w:rsidRPr="00DD4A56" w:rsidRDefault="001E34B0" w:rsidP="001E34B0">
      <w:pPr>
        <w:spacing w:after="480" w:line="240" w:lineRule="auto"/>
        <w:jc w:val="right"/>
        <w:rPr>
          <w:rFonts w:cs="Times New Roman"/>
          <w:bCs/>
          <w:iCs/>
          <w:szCs w:val="20"/>
          <w:lang w:val="nb-NO"/>
        </w:rPr>
      </w:pPr>
      <w:r w:rsidRPr="00DD4A56">
        <w:rPr>
          <w:u w:val="single"/>
          <w:lang w:val="nb-NO"/>
        </w:rPr>
        <w:lastRenderedPageBreak/>
        <w:t>A</w:t>
      </w:r>
      <w:r w:rsidRPr="00DD4A56">
        <w:rPr>
          <w:rFonts w:cs="Times New Roman"/>
          <w:bCs/>
          <w:iCs/>
          <w:szCs w:val="20"/>
          <w:u w:val="single"/>
          <w:lang w:val="nb-NO"/>
        </w:rPr>
        <w:t>nnex 14</w:t>
      </w:r>
      <w:r w:rsidRPr="00DD4A56">
        <w:rPr>
          <w:rFonts w:cs="Times New Roman"/>
          <w:bCs/>
          <w:iCs/>
          <w:szCs w:val="20"/>
          <w:lang w:val="nb-NO"/>
        </w:rPr>
        <w:t xml:space="preserve"> (contd)</w:t>
      </w:r>
    </w:p>
    <w:p w14:paraId="3ABDBF93" w14:textId="77777777" w:rsidR="00E65E42" w:rsidRPr="00D403F5" w:rsidRDefault="00E65E42" w:rsidP="001E34B0">
      <w:pPr>
        <w:spacing w:after="240" w:line="240" w:lineRule="auto"/>
        <w:ind w:left="284"/>
        <w:jc w:val="both"/>
        <w:rPr>
          <w:rFonts w:ascii="Arial" w:eastAsia="Times New Roman" w:hAnsi="Arial" w:cs="Arial"/>
          <w:sz w:val="18"/>
          <w:szCs w:val="18"/>
          <w:lang w:val="nb-NO" w:bidi="en-US"/>
        </w:rPr>
      </w:pPr>
      <w:r w:rsidRPr="00D403F5">
        <w:rPr>
          <w:rFonts w:ascii="Arial" w:eastAsia="Times New Roman" w:hAnsi="Arial" w:cs="Arial"/>
          <w:smallCaps/>
          <w:sz w:val="18"/>
          <w:szCs w:val="18"/>
          <w:lang w:val="da-DK" w:bidi="en-US"/>
        </w:rPr>
        <w:t>Skall H.F., Olesen N.J. &amp; Mellergaard S.</w:t>
      </w:r>
      <w:r w:rsidRPr="00D403F5">
        <w:rPr>
          <w:rFonts w:ascii="Arial" w:eastAsia="Times New Roman" w:hAnsi="Arial" w:cs="Arial"/>
          <w:sz w:val="18"/>
          <w:szCs w:val="18"/>
          <w:lang w:val="da-DK" w:bidi="en-US"/>
        </w:rPr>
        <w:t xml:space="preserve"> (2005b). </w:t>
      </w:r>
      <w:r w:rsidRPr="00D403F5">
        <w:rPr>
          <w:rFonts w:ascii="Arial" w:eastAsia="Times New Roman" w:hAnsi="Arial" w:cs="Arial"/>
          <w:sz w:val="18"/>
          <w:szCs w:val="18"/>
          <w:lang w:bidi="en-US"/>
        </w:rPr>
        <w:t xml:space="preserve">Prevalence of viral haemorrhagic septicaemia virus in Danish marine fishes and its occurrence in new host species. </w:t>
      </w:r>
      <w:r w:rsidRPr="00D403F5">
        <w:rPr>
          <w:rFonts w:ascii="Arial" w:eastAsia="Times New Roman" w:hAnsi="Arial" w:cs="Arial"/>
          <w:i/>
          <w:sz w:val="18"/>
          <w:szCs w:val="18"/>
          <w:lang w:val="nb-NO" w:bidi="en-US"/>
        </w:rPr>
        <w:t>Dis. Aquat. Org</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66</w:t>
      </w:r>
      <w:r w:rsidRPr="00D403F5">
        <w:rPr>
          <w:rFonts w:ascii="Arial" w:eastAsia="Times New Roman" w:hAnsi="Arial" w:cs="Arial"/>
          <w:sz w:val="18"/>
          <w:szCs w:val="18"/>
          <w:lang w:val="nb-NO" w:bidi="en-US"/>
        </w:rPr>
        <w:t>, 145–151.</w:t>
      </w:r>
    </w:p>
    <w:p w14:paraId="1C6B346F" w14:textId="77777777" w:rsidR="00E65E42"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val="nb-NO" w:bidi="en-US"/>
        </w:rPr>
        <w:t xml:space="preserve">Skall H.F., Slierendrecht W.J., King J.A. &amp; Olesen N.J. (2004). </w:t>
      </w:r>
      <w:r w:rsidRPr="00D403F5">
        <w:rPr>
          <w:rFonts w:ascii="Arial" w:eastAsia="Times New Roman" w:hAnsi="Arial" w:cs="Arial"/>
          <w:sz w:val="18"/>
          <w:szCs w:val="18"/>
          <w:lang w:bidi="en-US"/>
        </w:rPr>
        <w:t>Experimental infection of rainbow trout (</w:t>
      </w:r>
      <w:r w:rsidRPr="00D403F5">
        <w:rPr>
          <w:rFonts w:ascii="Arial" w:eastAsia="Times New Roman" w:hAnsi="Arial" w:cs="Arial"/>
          <w:i/>
          <w:sz w:val="18"/>
          <w:szCs w:val="18"/>
          <w:lang w:bidi="en-US"/>
        </w:rPr>
        <w:t>Oncorhynchus mykiss</w:t>
      </w:r>
      <w:r w:rsidRPr="00D403F5">
        <w:rPr>
          <w:rFonts w:ascii="Arial" w:eastAsia="Times New Roman" w:hAnsi="Arial" w:cs="Arial"/>
          <w:sz w:val="18"/>
          <w:szCs w:val="18"/>
          <w:lang w:bidi="en-US"/>
        </w:rPr>
        <w:t xml:space="preserve">) with viral haemorrhagic septicaemia virus isolates from European marine and farmed fishes. </w:t>
      </w:r>
      <w:r w:rsidRPr="00D403F5">
        <w:rPr>
          <w:rFonts w:ascii="Arial" w:eastAsia="Times New Roman" w:hAnsi="Arial" w:cs="Arial"/>
          <w:i/>
          <w:sz w:val="18"/>
          <w:szCs w:val="18"/>
          <w:lang w:bidi="en-US"/>
        </w:rPr>
        <w:t>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58</w:t>
      </w:r>
      <w:r w:rsidRPr="00D403F5">
        <w:rPr>
          <w:rFonts w:ascii="Arial" w:eastAsia="Times New Roman" w:hAnsi="Arial" w:cs="Arial"/>
          <w:sz w:val="18"/>
          <w:szCs w:val="18"/>
          <w:lang w:bidi="en-US"/>
        </w:rPr>
        <w:t>, 99–110.</w:t>
      </w:r>
    </w:p>
    <w:p w14:paraId="57C74B7B" w14:textId="77777777" w:rsidR="00E65E42" w:rsidRPr="00266FAC" w:rsidRDefault="00E65E42" w:rsidP="001E34B0">
      <w:pPr>
        <w:spacing w:after="240" w:line="240" w:lineRule="auto"/>
        <w:ind w:left="284"/>
        <w:jc w:val="both"/>
        <w:rPr>
          <w:rFonts w:ascii="Arial" w:eastAsia="Times New Roman" w:hAnsi="Arial" w:cs="Times New Roman"/>
          <w:sz w:val="18"/>
          <w:szCs w:val="18"/>
          <w:u w:val="double"/>
          <w:lang w:val="en-IE" w:bidi="en-US"/>
        </w:rPr>
      </w:pPr>
      <w:r w:rsidRPr="00AE3567">
        <w:rPr>
          <w:rFonts w:ascii="Arial" w:eastAsia="Times New Roman" w:hAnsi="Arial" w:cs="Arial"/>
          <w:smallCaps/>
          <w:sz w:val="18"/>
          <w:szCs w:val="18"/>
          <w:highlight w:val="yellow"/>
          <w:u w:val="double"/>
          <w:lang w:val="en-US" w:bidi="en-US"/>
        </w:rPr>
        <w:t>Smail D.A.</w:t>
      </w:r>
      <w:r w:rsidRPr="00AE3567">
        <w:rPr>
          <w:rFonts w:ascii="Arial" w:eastAsia="Times New Roman" w:hAnsi="Arial" w:cs="Arial"/>
          <w:sz w:val="18"/>
          <w:szCs w:val="18"/>
          <w:highlight w:val="yellow"/>
          <w:u w:val="double"/>
          <w:lang w:val="en-US" w:bidi="en-US"/>
        </w:rPr>
        <w:t xml:space="preserve"> (2000). Isolation and identification of </w:t>
      </w:r>
      <w:r w:rsidRPr="00266FAC">
        <w:rPr>
          <w:rFonts w:ascii="Arial" w:eastAsia="Times New Roman" w:hAnsi="Arial" w:cs="Arial"/>
          <w:sz w:val="18"/>
          <w:szCs w:val="18"/>
          <w:highlight w:val="yellow"/>
          <w:u w:val="double"/>
          <w:lang w:bidi="en-US"/>
        </w:rPr>
        <w:t xml:space="preserve">Viral Haemorrhagic Septicaemia (VHS) viruses from cod </w:t>
      </w:r>
      <w:r w:rsidRPr="00266FAC">
        <w:rPr>
          <w:rFonts w:ascii="Arial" w:eastAsia="Times New Roman" w:hAnsi="Arial" w:cs="Arial"/>
          <w:i/>
          <w:iCs/>
          <w:sz w:val="18"/>
          <w:szCs w:val="18"/>
          <w:highlight w:val="yellow"/>
          <w:u w:val="double"/>
          <w:lang w:bidi="en-US"/>
        </w:rPr>
        <w:t>Gadus morhua</w:t>
      </w:r>
      <w:r w:rsidRPr="00266FAC">
        <w:rPr>
          <w:rFonts w:ascii="Arial" w:eastAsia="Times New Roman" w:hAnsi="Arial" w:cs="Arial"/>
          <w:sz w:val="18"/>
          <w:szCs w:val="18"/>
          <w:highlight w:val="yellow"/>
          <w:u w:val="double"/>
          <w:lang w:bidi="en-US"/>
        </w:rPr>
        <w:t xml:space="preserve"> with uncus syndrome and from haddock </w:t>
      </w:r>
      <w:r w:rsidRPr="00266FAC">
        <w:rPr>
          <w:rFonts w:ascii="Arial" w:eastAsia="Times New Roman" w:hAnsi="Arial" w:cs="Arial"/>
          <w:i/>
          <w:iCs/>
          <w:sz w:val="18"/>
          <w:szCs w:val="18"/>
          <w:highlight w:val="yellow"/>
          <w:u w:val="double"/>
          <w:lang w:bidi="en-US"/>
        </w:rPr>
        <w:t>Melanogrammus aeglefinus</w:t>
      </w:r>
      <w:r w:rsidRPr="00266FAC">
        <w:rPr>
          <w:rFonts w:ascii="Arial" w:eastAsia="Times New Roman" w:hAnsi="Arial" w:cs="Arial"/>
          <w:sz w:val="18"/>
          <w:szCs w:val="18"/>
          <w:highlight w:val="yellow"/>
          <w:u w:val="double"/>
          <w:lang w:bidi="en-US"/>
        </w:rPr>
        <w:t xml:space="preserve"> having skin haemorrhages in the North Sea. </w:t>
      </w:r>
      <w:r w:rsidRPr="00266FAC">
        <w:rPr>
          <w:rFonts w:ascii="Arial" w:eastAsia="Times New Roman" w:hAnsi="Arial" w:cs="Arial"/>
          <w:i/>
          <w:iCs/>
          <w:sz w:val="18"/>
          <w:szCs w:val="18"/>
          <w:highlight w:val="yellow"/>
          <w:u w:val="double"/>
          <w:lang w:bidi="en-US"/>
        </w:rPr>
        <w:t>Dis. Aquat. Org</w:t>
      </w:r>
      <w:r w:rsidRPr="00266FAC">
        <w:rPr>
          <w:rFonts w:ascii="Arial" w:eastAsia="Times New Roman" w:hAnsi="Arial" w:cs="Arial"/>
          <w:sz w:val="18"/>
          <w:szCs w:val="18"/>
          <w:highlight w:val="yellow"/>
          <w:u w:val="double"/>
          <w:lang w:bidi="en-US"/>
        </w:rPr>
        <w:t xml:space="preserve">., </w:t>
      </w:r>
      <w:r w:rsidRPr="00266FAC">
        <w:rPr>
          <w:rFonts w:ascii="Arial" w:eastAsia="Times New Roman" w:hAnsi="Arial" w:cs="Arial"/>
          <w:b/>
          <w:bCs/>
          <w:sz w:val="18"/>
          <w:szCs w:val="18"/>
          <w:highlight w:val="yellow"/>
          <w:u w:val="double"/>
          <w:lang w:bidi="en-US"/>
        </w:rPr>
        <w:t>41</w:t>
      </w:r>
      <w:r w:rsidRPr="00266FAC">
        <w:rPr>
          <w:rFonts w:ascii="Arial" w:eastAsia="Times New Roman" w:hAnsi="Arial" w:cs="Arial"/>
          <w:sz w:val="18"/>
          <w:szCs w:val="18"/>
          <w:highlight w:val="yellow"/>
          <w:u w:val="double"/>
          <w:lang w:bidi="en-US"/>
        </w:rPr>
        <w:t>, 231–235.</w:t>
      </w:r>
    </w:p>
    <w:p w14:paraId="13A7A0A0" w14:textId="77777777" w:rsidR="00E65E42" w:rsidRPr="00D403F5" w:rsidRDefault="00E65E42" w:rsidP="001E34B0">
      <w:pPr>
        <w:spacing w:after="240" w:line="240" w:lineRule="auto"/>
        <w:ind w:left="284"/>
        <w:jc w:val="both"/>
        <w:rPr>
          <w:rFonts w:ascii="Arial" w:eastAsia="Times New Roman" w:hAnsi="Arial" w:cs="Times New Roman"/>
          <w:sz w:val="18"/>
          <w:szCs w:val="18"/>
          <w:lang w:val="en-IE" w:bidi="en-US"/>
        </w:rPr>
      </w:pPr>
      <w:r w:rsidRPr="00D403F5">
        <w:rPr>
          <w:rFonts w:ascii="Arial" w:eastAsia="Times New Roman" w:hAnsi="Arial" w:cs="Times New Roman"/>
          <w:smallCaps/>
          <w:sz w:val="18"/>
          <w:szCs w:val="18"/>
          <w:lang w:val="en-IE" w:bidi="en-US"/>
        </w:rPr>
        <w:t>Smail D.A. &amp; Snow</w:t>
      </w:r>
      <w:r w:rsidRPr="00D403F5">
        <w:rPr>
          <w:rFonts w:ascii="Arial" w:eastAsia="Times New Roman" w:hAnsi="Arial" w:cs="Times New Roman"/>
          <w:sz w:val="18"/>
          <w:szCs w:val="18"/>
          <w:lang w:val="en-IE" w:bidi="en-US"/>
        </w:rPr>
        <w:t xml:space="preserve"> M. (2011). </w:t>
      </w:r>
      <w:r w:rsidRPr="00D403F5">
        <w:rPr>
          <w:rFonts w:ascii="Arial" w:eastAsia="Times New Roman" w:hAnsi="Arial" w:cs="Times New Roman"/>
          <w:bCs/>
          <w:sz w:val="18"/>
          <w:szCs w:val="18"/>
          <w:lang w:val="en-IE" w:bidi="en-US"/>
        </w:rPr>
        <w:t>Viral Haemorrhagic Septicaemia</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i/>
          <w:sz w:val="18"/>
          <w:szCs w:val="18"/>
          <w:lang w:val="en-IE" w:bidi="en-US"/>
        </w:rPr>
        <w:t>In:</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Cs/>
          <w:sz w:val="18"/>
          <w:szCs w:val="18"/>
          <w:lang w:val="en-IE" w:bidi="en-US"/>
        </w:rPr>
        <w:t>Fish Diseases and Disorders, Volume 3</w:t>
      </w:r>
      <w:r w:rsidRPr="00D403F5">
        <w:rPr>
          <w:rFonts w:ascii="Arial" w:eastAsia="Times New Roman" w:hAnsi="Arial" w:cs="Times New Roman"/>
          <w:sz w:val="18"/>
          <w:szCs w:val="18"/>
          <w:lang w:val="en-IE" w:bidi="en-US"/>
        </w:rPr>
        <w:t xml:space="preserve">: Viral, Bacterial and Fungal Infections, Second Edition, Woo P.T.K. &amp; Bruno D.W. eds. </w:t>
      </w:r>
      <w:r w:rsidRPr="00D403F5">
        <w:rPr>
          <w:rFonts w:ascii="Arial" w:eastAsia="Times New Roman" w:hAnsi="Arial" w:cs="Times New Roman"/>
          <w:iCs/>
          <w:sz w:val="18"/>
          <w:szCs w:val="18"/>
          <w:lang w:val="en-IE" w:bidi="en-US"/>
        </w:rPr>
        <w:t>CABI</w:t>
      </w:r>
      <w:r w:rsidRPr="00D403F5">
        <w:rPr>
          <w:rFonts w:ascii="Arial" w:eastAsia="Times New Roman" w:hAnsi="Arial" w:cs="Times New Roman"/>
          <w:sz w:val="18"/>
          <w:szCs w:val="18"/>
          <w:lang w:val="en-IE" w:bidi="en-US"/>
        </w:rPr>
        <w:t>, Wallingford, UK, 110–142.</w:t>
      </w:r>
    </w:p>
    <w:p w14:paraId="20C9E608"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 xml:space="preserve">Snow M., Bain N., Black J., Taupin V., Cunningham C.O., King J.A., Skall H.F. &amp; Raynard R.S. </w:t>
      </w:r>
      <w:r w:rsidRPr="00D403F5">
        <w:rPr>
          <w:rFonts w:ascii="Arial" w:eastAsia="Times New Roman" w:hAnsi="Arial" w:cs="Arial"/>
          <w:sz w:val="18"/>
          <w:szCs w:val="18"/>
          <w:lang w:bidi="en-US"/>
        </w:rPr>
        <w:t xml:space="preserve">(2004). Genetic population structure of marine viral haemorrhagic septicaemia virus (VHSV). </w:t>
      </w:r>
      <w:r w:rsidRPr="00D403F5">
        <w:rPr>
          <w:rFonts w:ascii="Arial" w:eastAsia="Times New Roman" w:hAnsi="Arial" w:cs="Arial"/>
          <w:i/>
          <w:sz w:val="18"/>
          <w:szCs w:val="18"/>
          <w:lang w:bidi="en-US"/>
        </w:rPr>
        <w:t>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61</w:t>
      </w:r>
      <w:r w:rsidRPr="00D403F5">
        <w:rPr>
          <w:rFonts w:ascii="Arial" w:eastAsia="Times New Roman" w:hAnsi="Arial" w:cs="Arial"/>
          <w:sz w:val="18"/>
          <w:szCs w:val="18"/>
          <w:lang w:bidi="en-US"/>
        </w:rPr>
        <w:t>, 11–21.</w:t>
      </w:r>
    </w:p>
    <w:p w14:paraId="7C8A7474"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Times New Roman"/>
          <w:bCs/>
          <w:smallCaps/>
          <w:sz w:val="18"/>
          <w:szCs w:val="18"/>
          <w:lang w:val="en-IE" w:bidi="en-US"/>
        </w:rPr>
        <w:t>Stepien C.A., Pierce L.R., Leaman D.W., Niner M.D. &amp; Shepherd B.S</w:t>
      </w:r>
      <w:r w:rsidRPr="00D403F5">
        <w:rPr>
          <w:rFonts w:ascii="Arial" w:eastAsia="Times New Roman" w:hAnsi="Arial" w:cs="Times New Roman"/>
          <w:bCs/>
          <w:sz w:val="18"/>
          <w:szCs w:val="18"/>
          <w:lang w:val="en-IE" w:bidi="en-US"/>
        </w:rPr>
        <w:t xml:space="preserve">. (2015). Gene Diversification of an Emerging Pathogen: A Decade of Mutation in a Novel Fish Viral Hemorrhagic Septicemia (VHS) Substrain since Its First Appearance in the Laurentian Great Lakes. </w:t>
      </w:r>
      <w:r w:rsidRPr="00D403F5">
        <w:rPr>
          <w:rFonts w:ascii="Arial" w:eastAsia="Times New Roman" w:hAnsi="Arial" w:cs="Times New Roman"/>
          <w:bCs/>
          <w:i/>
          <w:sz w:val="18"/>
          <w:szCs w:val="18"/>
          <w:lang w:val="en-IE" w:bidi="en-US"/>
        </w:rPr>
        <w:t>PLoS one</w:t>
      </w:r>
      <w:r w:rsidRPr="00D403F5">
        <w:rPr>
          <w:rFonts w:ascii="Arial" w:eastAsia="Times New Roman" w:hAnsi="Arial" w:cs="Times New Roman"/>
          <w:bCs/>
          <w:sz w:val="18"/>
          <w:szCs w:val="18"/>
          <w:lang w:val="en-IE" w:bidi="en-US"/>
        </w:rPr>
        <w:t>, 1–25.</w:t>
      </w:r>
    </w:p>
    <w:p w14:paraId="66A28524" w14:textId="77777777" w:rsidR="00E65E42" w:rsidRPr="00D403F5" w:rsidRDefault="00E65E42" w:rsidP="001E34B0">
      <w:pPr>
        <w:spacing w:after="240" w:line="240" w:lineRule="auto"/>
        <w:ind w:left="284"/>
        <w:jc w:val="both"/>
        <w:rPr>
          <w:rFonts w:ascii="Arial" w:eastAsia="Times New Roman" w:hAnsi="Arial" w:cs="Arial"/>
          <w:smallCaps/>
          <w:sz w:val="18"/>
          <w:szCs w:val="18"/>
          <w:lang w:bidi="en-US"/>
        </w:rPr>
      </w:pPr>
      <w:r w:rsidRPr="00D403F5">
        <w:rPr>
          <w:rFonts w:ascii="Arial" w:eastAsia="Times New Roman" w:hAnsi="Arial" w:cs="Arial"/>
          <w:smallCaps/>
          <w:sz w:val="18"/>
          <w:szCs w:val="18"/>
          <w:lang w:bidi="en-US"/>
        </w:rPr>
        <w:t>Thompson T.M., Batts W.N., Faisal M., Bowser P., Casey J.W., Phillips K., Garver K.A., Winton J. &amp; Kurath G.</w:t>
      </w:r>
      <w:r w:rsidRPr="00D403F5">
        <w:rPr>
          <w:rFonts w:ascii="Arial" w:eastAsia="Times New Roman" w:hAnsi="Arial" w:cs="Arial"/>
          <w:sz w:val="18"/>
          <w:szCs w:val="18"/>
          <w:lang w:bidi="en-US"/>
        </w:rPr>
        <w:t xml:space="preserve"> (2011). Emergence of Viral hemorrhagic septicemia virus in the North American Great Lakes region is associated with low viral genetic diversity. </w:t>
      </w:r>
      <w:r w:rsidRPr="00D403F5">
        <w:rPr>
          <w:rFonts w:ascii="Arial" w:eastAsia="Times New Roman" w:hAnsi="Arial" w:cs="Arial"/>
          <w:i/>
          <w:sz w:val="18"/>
          <w:szCs w:val="18"/>
          <w:lang w:bidi="en-US"/>
        </w:rPr>
        <w:t>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96</w:t>
      </w:r>
      <w:r w:rsidRPr="00D403F5">
        <w:rPr>
          <w:rFonts w:ascii="Arial" w:eastAsia="Times New Roman" w:hAnsi="Arial" w:cs="Arial"/>
          <w:sz w:val="18"/>
          <w:szCs w:val="18"/>
          <w:lang w:bidi="en-US"/>
        </w:rPr>
        <w:t>, 29–43.</w:t>
      </w:r>
    </w:p>
    <w:p w14:paraId="03DAB1CA" w14:textId="77777777" w:rsidR="00E65E42" w:rsidRPr="00D403F5" w:rsidRDefault="00E65E42" w:rsidP="001E34B0">
      <w:pPr>
        <w:spacing w:after="240" w:line="240" w:lineRule="auto"/>
        <w:ind w:left="284"/>
        <w:jc w:val="both"/>
        <w:rPr>
          <w:rFonts w:ascii="Arial" w:eastAsia="Times New Roman" w:hAnsi="Arial" w:cs="Arial"/>
          <w:color w:val="333333"/>
          <w:sz w:val="18"/>
          <w:szCs w:val="18"/>
          <w:lang w:val="en-IE" w:bidi="en-US"/>
        </w:rPr>
      </w:pPr>
      <w:r w:rsidRPr="00D403F5">
        <w:rPr>
          <w:rFonts w:ascii="Arial" w:eastAsia="Times New Roman" w:hAnsi="Arial" w:cs="Arial"/>
          <w:smallCaps/>
          <w:color w:val="333333"/>
          <w:sz w:val="18"/>
          <w:szCs w:val="18"/>
          <w:lang w:val="en-IE" w:bidi="en-US"/>
        </w:rPr>
        <w:t>Throckmorton E., Brenden T., Peters A.K., Newcomb T.J., Whelan G.E. &amp; Faisal M.</w:t>
      </w:r>
      <w:r w:rsidRPr="00D403F5">
        <w:rPr>
          <w:rFonts w:ascii="Arial" w:eastAsia="Times New Roman" w:hAnsi="Arial" w:cs="Arial"/>
          <w:color w:val="333333"/>
          <w:sz w:val="18"/>
          <w:szCs w:val="18"/>
          <w:lang w:val="en-IE" w:bidi="en-US"/>
        </w:rPr>
        <w:t xml:space="preserve"> (2017). Potential Reservoirs and Risk Factors for VHSV IVb in an Enzootic System: Budd Lake, Michigan. </w:t>
      </w:r>
      <w:r w:rsidRPr="00D403F5">
        <w:rPr>
          <w:rFonts w:ascii="Arial" w:eastAsia="Times New Roman" w:hAnsi="Arial" w:cs="Arial"/>
          <w:i/>
          <w:color w:val="333333"/>
          <w:sz w:val="18"/>
          <w:szCs w:val="18"/>
          <w:lang w:val="en-IE" w:bidi="en-US"/>
        </w:rPr>
        <w:t>J. Aquat. Anim. Health</w:t>
      </w:r>
      <w:r w:rsidRPr="00D403F5">
        <w:rPr>
          <w:rFonts w:ascii="Arial" w:eastAsia="Times New Roman" w:hAnsi="Arial" w:cs="Arial"/>
          <w:color w:val="333333"/>
          <w:sz w:val="18"/>
          <w:szCs w:val="18"/>
          <w:lang w:val="en-IE" w:bidi="en-US"/>
        </w:rPr>
        <w:t xml:space="preserve">, </w:t>
      </w:r>
      <w:r w:rsidRPr="00D403F5">
        <w:rPr>
          <w:rFonts w:ascii="Arial" w:eastAsia="Times New Roman" w:hAnsi="Arial" w:cs="Arial"/>
          <w:b/>
          <w:color w:val="333333"/>
          <w:sz w:val="18"/>
          <w:szCs w:val="18"/>
          <w:lang w:val="en-IE" w:bidi="en-US"/>
        </w:rPr>
        <w:t>29</w:t>
      </w:r>
      <w:r w:rsidRPr="00D403F5">
        <w:rPr>
          <w:rFonts w:ascii="Arial" w:eastAsia="Times New Roman" w:hAnsi="Arial" w:cs="Arial"/>
          <w:color w:val="333333"/>
          <w:sz w:val="18"/>
          <w:szCs w:val="18"/>
          <w:lang w:val="en-IE" w:bidi="en-US"/>
        </w:rPr>
        <w:t xml:space="preserve">, </w:t>
      </w:r>
      <w:r w:rsidRPr="00D403F5">
        <w:rPr>
          <w:rFonts w:ascii="Arial" w:eastAsia="MS Mincho" w:hAnsi="Arial" w:cs="Arial"/>
          <w:color w:val="333333"/>
          <w:sz w:val="18"/>
          <w:szCs w:val="18"/>
          <w:lang w:val="en-IE" w:bidi="en-US"/>
        </w:rPr>
        <w:t>31–42.</w:t>
      </w:r>
      <w:r w:rsidRPr="00D403F5">
        <w:rPr>
          <w:rFonts w:ascii="Arial" w:eastAsia="Times New Roman" w:hAnsi="Arial" w:cs="Arial"/>
          <w:color w:val="333333"/>
          <w:sz w:val="18"/>
          <w:szCs w:val="18"/>
          <w:lang w:val="en-IE" w:bidi="en-US"/>
        </w:rPr>
        <w:t xml:space="preserve"> doi: </w:t>
      </w:r>
      <w:hyperlink r:id="rId210" w:history="1">
        <w:r w:rsidRPr="00D403F5">
          <w:rPr>
            <w:rFonts w:ascii="Arial" w:eastAsia="Times New Roman" w:hAnsi="Arial" w:cs="Arial"/>
            <w:color w:val="333333"/>
            <w:sz w:val="18"/>
            <w:szCs w:val="18"/>
            <w:lang w:val="en-IE" w:bidi="en-US"/>
          </w:rPr>
          <w:t>10.1080/08997659.2016.1254121</w:t>
        </w:r>
      </w:hyperlink>
    </w:p>
    <w:p w14:paraId="77E34196"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Times New Roman"/>
          <w:bCs/>
          <w:smallCaps/>
          <w:sz w:val="18"/>
          <w:szCs w:val="18"/>
          <w:lang w:val="en-IE" w:bidi="en-US"/>
        </w:rPr>
        <w:t xml:space="preserve">Toplak I., Hostnik P., Rihtarič D., Olesen N.J., Skall H.F. &amp; Jenčič V. </w:t>
      </w:r>
      <w:r w:rsidRPr="00D403F5">
        <w:rPr>
          <w:rFonts w:ascii="Arial" w:eastAsia="Times New Roman" w:hAnsi="Arial" w:cs="Times New Roman"/>
          <w:bCs/>
          <w:sz w:val="18"/>
          <w:szCs w:val="18"/>
          <w:lang w:val="en-IE" w:bidi="en-US"/>
        </w:rPr>
        <w:t xml:space="preserve">(2010). First isolation and genotyping of viruses from recent outbreaks of viral haemorrhagic septicaemia (VHS) in Slovenia. </w:t>
      </w:r>
      <w:r w:rsidRPr="00D403F5">
        <w:rPr>
          <w:rFonts w:ascii="Arial" w:eastAsia="Times New Roman" w:hAnsi="Arial" w:cs="Times New Roman"/>
          <w:bCs/>
          <w:i/>
          <w:sz w:val="18"/>
          <w:szCs w:val="18"/>
          <w:lang w:val="en-IE" w:bidi="en-US"/>
        </w:rPr>
        <w:t>Dis. Aquat. Org</w:t>
      </w:r>
      <w:r w:rsidRPr="00D403F5">
        <w:rPr>
          <w:rFonts w:ascii="Arial" w:eastAsia="Times New Roman" w:hAnsi="Arial" w:cs="Times New Roman"/>
          <w:bCs/>
          <w:sz w:val="18"/>
          <w:szCs w:val="18"/>
          <w:lang w:val="en-IE" w:bidi="en-US"/>
        </w:rPr>
        <w:t xml:space="preserve">., </w:t>
      </w:r>
      <w:r w:rsidRPr="00D403F5">
        <w:rPr>
          <w:rFonts w:ascii="Arial" w:eastAsia="Times New Roman" w:hAnsi="Arial" w:cs="Times New Roman"/>
          <w:b/>
          <w:bCs/>
          <w:sz w:val="18"/>
          <w:szCs w:val="18"/>
          <w:lang w:val="en-IE" w:bidi="en-US"/>
        </w:rPr>
        <w:t>92</w:t>
      </w:r>
      <w:r w:rsidRPr="00D403F5">
        <w:rPr>
          <w:rFonts w:ascii="Arial" w:eastAsia="Times New Roman" w:hAnsi="Arial" w:cs="Times New Roman"/>
          <w:bCs/>
          <w:sz w:val="18"/>
          <w:szCs w:val="18"/>
          <w:lang w:val="en-IE" w:bidi="en-US"/>
        </w:rPr>
        <w:t>, 21–2.</w:t>
      </w:r>
    </w:p>
    <w:p w14:paraId="645801F7" w14:textId="77777777" w:rsidR="00E65E42"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United States Department of the Interior, US Geological Survey</w:t>
      </w:r>
      <w:r w:rsidRPr="00D403F5">
        <w:rPr>
          <w:rFonts w:ascii="Arial" w:eastAsia="Times New Roman" w:hAnsi="Arial" w:cs="Arial"/>
          <w:sz w:val="18"/>
          <w:szCs w:val="18"/>
          <w:lang w:bidi="en-US"/>
        </w:rPr>
        <w:t xml:space="preserve"> (2007). Detection of viral hemorrhagic septicemia virus. USGS FS 2007-3055. US Department of the Interior, US Geological Survey. Fact Sheets.</w:t>
      </w:r>
    </w:p>
    <w:p w14:paraId="1F503EEB" w14:textId="77777777" w:rsidR="00E65E42" w:rsidRPr="0038706F" w:rsidRDefault="00E65E42" w:rsidP="001E34B0">
      <w:pPr>
        <w:spacing w:after="240" w:line="240" w:lineRule="auto"/>
        <w:ind w:left="284"/>
        <w:jc w:val="both"/>
        <w:rPr>
          <w:rFonts w:ascii="Arial" w:eastAsia="Times New Roman" w:hAnsi="Arial" w:cs="Times New Roman"/>
          <w:sz w:val="18"/>
          <w:szCs w:val="18"/>
          <w:u w:val="double"/>
          <w:lang w:val="en-IE" w:bidi="en-US"/>
        </w:rPr>
      </w:pPr>
      <w:r w:rsidRPr="00F422BE">
        <w:rPr>
          <w:rFonts w:ascii="Arial" w:eastAsia="Times New Roman" w:hAnsi="Arial" w:cs="Times New Roman"/>
          <w:smallCaps/>
          <w:sz w:val="18"/>
          <w:szCs w:val="18"/>
          <w:highlight w:val="yellow"/>
          <w:u w:val="double"/>
          <w:lang w:val="en-US" w:bidi="en-US"/>
        </w:rPr>
        <w:t>Vestergard Jorgensen P.E. &amp; Olesen N.J.</w:t>
      </w:r>
      <w:r w:rsidRPr="00F422BE">
        <w:rPr>
          <w:rFonts w:ascii="Arial" w:eastAsia="Times New Roman" w:hAnsi="Arial" w:cs="Times New Roman"/>
          <w:sz w:val="18"/>
          <w:szCs w:val="18"/>
          <w:highlight w:val="yellow"/>
          <w:u w:val="double"/>
          <w:lang w:val="en-US" w:bidi="en-US"/>
        </w:rPr>
        <w:t xml:space="preserve"> (1987). </w:t>
      </w:r>
      <w:r w:rsidRPr="0038706F">
        <w:rPr>
          <w:rFonts w:ascii="Arial" w:eastAsia="Times New Roman" w:hAnsi="Arial" w:cs="Times New Roman"/>
          <w:sz w:val="18"/>
          <w:szCs w:val="18"/>
          <w:highlight w:val="yellow"/>
          <w:u w:val="double"/>
          <w:lang w:val="en-IE" w:bidi="en-US"/>
        </w:rPr>
        <w:t xml:space="preserve">Cod ulcus syndrome rhabdovirus is indistinguishable from the Egtved (VHS) virus. </w:t>
      </w:r>
      <w:r w:rsidRPr="0038706F">
        <w:rPr>
          <w:rFonts w:ascii="Arial" w:eastAsia="Times New Roman" w:hAnsi="Arial" w:cs="Times New Roman"/>
          <w:i/>
          <w:iCs/>
          <w:sz w:val="18"/>
          <w:szCs w:val="18"/>
          <w:highlight w:val="yellow"/>
          <w:u w:val="double"/>
          <w:lang w:val="en-IE" w:bidi="en-US"/>
        </w:rPr>
        <w:t>Bull. Eur. Ass. Fish Pathol</w:t>
      </w:r>
      <w:r w:rsidRPr="0038706F">
        <w:rPr>
          <w:rFonts w:ascii="Arial" w:eastAsia="Times New Roman" w:hAnsi="Arial" w:cs="Times New Roman"/>
          <w:sz w:val="18"/>
          <w:szCs w:val="18"/>
          <w:highlight w:val="yellow"/>
          <w:u w:val="double"/>
          <w:lang w:val="en-IE" w:bidi="en-US"/>
        </w:rPr>
        <w:t xml:space="preserve">., </w:t>
      </w:r>
      <w:r w:rsidRPr="0038706F">
        <w:rPr>
          <w:rFonts w:ascii="Arial" w:eastAsia="Times New Roman" w:hAnsi="Arial" w:cs="Times New Roman"/>
          <w:b/>
          <w:bCs/>
          <w:sz w:val="18"/>
          <w:szCs w:val="18"/>
          <w:highlight w:val="yellow"/>
          <w:u w:val="double"/>
          <w:lang w:val="en-IE" w:bidi="en-US"/>
        </w:rPr>
        <w:t>7</w:t>
      </w:r>
      <w:r w:rsidRPr="0038706F">
        <w:rPr>
          <w:rFonts w:ascii="Arial" w:eastAsia="Times New Roman" w:hAnsi="Arial" w:cs="Times New Roman"/>
          <w:sz w:val="18"/>
          <w:szCs w:val="18"/>
          <w:highlight w:val="yellow"/>
          <w:u w:val="double"/>
          <w:lang w:val="en-IE" w:bidi="en-US"/>
        </w:rPr>
        <w:t>, 73.</w:t>
      </w:r>
    </w:p>
    <w:p w14:paraId="648A7D35"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Walker P</w:t>
      </w:r>
      <w:r>
        <w:rPr>
          <w:rFonts w:ascii="Arial" w:eastAsia="Times New Roman" w:hAnsi="Arial" w:cs="Arial"/>
          <w:smallCaps/>
          <w:sz w:val="18"/>
          <w:szCs w:val="18"/>
          <w:lang w:bidi="en-US"/>
        </w:rPr>
        <w:t>.</w:t>
      </w:r>
      <w:r w:rsidRPr="00D403F5">
        <w:rPr>
          <w:rFonts w:ascii="Arial" w:eastAsia="Times New Roman" w:hAnsi="Arial" w:cs="Arial"/>
          <w:smallCaps/>
          <w:sz w:val="18"/>
          <w:szCs w:val="18"/>
          <w:lang w:bidi="en-US"/>
        </w:rPr>
        <w:t>J</w:t>
      </w:r>
      <w:r>
        <w:rPr>
          <w:rFonts w:ascii="Arial" w:eastAsia="Times New Roman" w:hAnsi="Arial" w:cs="Arial"/>
          <w:smallCaps/>
          <w:sz w:val="18"/>
          <w:szCs w:val="18"/>
          <w:lang w:bidi="en-US"/>
        </w:rPr>
        <w:t>.</w:t>
      </w:r>
      <w:r w:rsidRPr="00D403F5">
        <w:rPr>
          <w:rFonts w:ascii="Arial" w:eastAsia="Times New Roman" w:hAnsi="Arial" w:cs="Arial"/>
          <w:smallCaps/>
          <w:sz w:val="18"/>
          <w:szCs w:val="18"/>
          <w:lang w:bidi="en-US"/>
        </w:rPr>
        <w:t>, Benmansour A</w:t>
      </w:r>
      <w:r>
        <w:rPr>
          <w:rFonts w:ascii="Arial" w:eastAsia="Times New Roman" w:hAnsi="Arial" w:cs="Arial"/>
          <w:smallCaps/>
          <w:sz w:val="18"/>
          <w:szCs w:val="18"/>
          <w:lang w:bidi="en-US"/>
        </w:rPr>
        <w:t>.</w:t>
      </w:r>
      <w:r w:rsidRPr="00D403F5">
        <w:rPr>
          <w:rFonts w:ascii="Arial" w:eastAsia="Times New Roman" w:hAnsi="Arial" w:cs="Arial"/>
          <w:smallCaps/>
          <w:sz w:val="18"/>
          <w:szCs w:val="18"/>
          <w:lang w:bidi="en-US"/>
        </w:rPr>
        <w:t>, Dietzgen R</w:t>
      </w:r>
      <w:r>
        <w:rPr>
          <w:rFonts w:ascii="Arial" w:eastAsia="Times New Roman" w:hAnsi="Arial" w:cs="Arial"/>
          <w:smallCaps/>
          <w:sz w:val="18"/>
          <w:szCs w:val="18"/>
          <w:lang w:bidi="en-US"/>
        </w:rPr>
        <w:t>.</w:t>
      </w:r>
      <w:r w:rsidRPr="00D403F5">
        <w:rPr>
          <w:rFonts w:ascii="Arial" w:eastAsia="Times New Roman" w:hAnsi="Arial" w:cs="Arial"/>
          <w:smallCaps/>
          <w:sz w:val="18"/>
          <w:szCs w:val="18"/>
          <w:lang w:bidi="en-US"/>
        </w:rPr>
        <w:t xml:space="preserve"> </w:t>
      </w:r>
      <w:r w:rsidRPr="00D403F5">
        <w:rPr>
          <w:rFonts w:ascii="Arial" w:eastAsia="Times New Roman" w:hAnsi="Arial" w:cs="Arial"/>
          <w:i/>
          <w:smallCaps/>
          <w:sz w:val="18"/>
          <w:szCs w:val="18"/>
          <w:lang w:bidi="en-US"/>
        </w:rPr>
        <w:t>et al</w:t>
      </w:r>
      <w:r w:rsidRPr="00D403F5">
        <w:rPr>
          <w:rFonts w:ascii="Arial" w:eastAsia="Times New Roman" w:hAnsi="Arial" w:cs="Arial"/>
          <w:smallCaps/>
          <w:sz w:val="18"/>
          <w:szCs w:val="18"/>
          <w:lang w:bidi="en-US"/>
        </w:rPr>
        <w:t>.</w:t>
      </w:r>
      <w:r w:rsidRPr="00D403F5">
        <w:rPr>
          <w:rFonts w:ascii="Arial" w:eastAsia="Times New Roman" w:hAnsi="Arial" w:cs="Arial"/>
          <w:sz w:val="18"/>
          <w:szCs w:val="18"/>
          <w:lang w:bidi="en-US"/>
        </w:rPr>
        <w:t xml:space="preserve"> (2000). Family Rhabdoviridae. </w:t>
      </w:r>
      <w:r w:rsidRPr="00D403F5">
        <w:rPr>
          <w:rFonts w:ascii="Arial" w:eastAsia="Times New Roman" w:hAnsi="Arial" w:cs="Arial"/>
          <w:i/>
          <w:sz w:val="18"/>
          <w:szCs w:val="18"/>
          <w:lang w:bidi="en-US"/>
        </w:rPr>
        <w:t xml:space="preserve">In: </w:t>
      </w:r>
      <w:r w:rsidRPr="00D403F5">
        <w:rPr>
          <w:rFonts w:ascii="Arial" w:eastAsia="Times New Roman" w:hAnsi="Arial" w:cs="Arial"/>
          <w:sz w:val="18"/>
          <w:szCs w:val="18"/>
          <w:lang w:bidi="en-US"/>
        </w:rPr>
        <w:t>Virus Taxonomy. Classification and Nomenclature of Viruses. Seventh Report of the International Committee on Taxonomy of Viruses, Van Regenmortel M.H.V., Fauquet C.M., Bishop D.H.L.</w:t>
      </w:r>
      <w:r w:rsidRPr="00D403F5">
        <w:rPr>
          <w:rFonts w:ascii="Arial" w:eastAsia="Times New Roman" w:hAnsi="Arial" w:cs="Arial"/>
          <w:i/>
          <w:sz w:val="18"/>
          <w:szCs w:val="18"/>
          <w:lang w:bidi="en-US"/>
        </w:rPr>
        <w:t xml:space="preserve"> et al.,</w:t>
      </w:r>
      <w:r w:rsidRPr="00D403F5">
        <w:rPr>
          <w:rFonts w:ascii="Arial" w:eastAsia="Times New Roman" w:hAnsi="Arial" w:cs="Arial"/>
          <w:sz w:val="18"/>
          <w:szCs w:val="18"/>
          <w:lang w:bidi="en-US"/>
        </w:rPr>
        <w:t xml:space="preserve"> eds. 563–583.</w:t>
      </w:r>
    </w:p>
    <w:p w14:paraId="2FF2512B" w14:textId="77777777" w:rsidR="00E65E42" w:rsidRPr="00D403F5" w:rsidRDefault="00E65E42" w:rsidP="001E34B0">
      <w:pPr>
        <w:spacing w:after="240" w:line="240" w:lineRule="auto"/>
        <w:ind w:left="284"/>
        <w:jc w:val="both"/>
        <w:rPr>
          <w:rFonts w:ascii="Arial" w:eastAsia="Times New Roman" w:hAnsi="Arial" w:cs="Times New Roman"/>
          <w:sz w:val="18"/>
          <w:szCs w:val="18"/>
          <w:lang w:val="en-IE" w:bidi="en-US"/>
        </w:rPr>
      </w:pPr>
      <w:r w:rsidRPr="00D403F5">
        <w:rPr>
          <w:rFonts w:ascii="Arial" w:eastAsia="Times New Roman" w:hAnsi="Arial" w:cs="Times New Roman"/>
          <w:bCs/>
          <w:smallCaps/>
          <w:sz w:val="18"/>
          <w:szCs w:val="18"/>
          <w:lang w:val="en-IE" w:bidi="en-US"/>
        </w:rPr>
        <w:t>Warg J.V., Clement T., Cornwell E.R., Cruz A., Getchell R.G., Giray C., Goodwin A.E., Groocock G.H., Faisal M., Kim R., Merry G.E., Phelps N.B.D., Reising M.M., Standish I., Zhang Y. &amp; Toohey-Kurth K</w:t>
      </w:r>
      <w:r w:rsidRPr="00D403F5">
        <w:rPr>
          <w:rFonts w:ascii="Arial" w:eastAsia="Times New Roman" w:hAnsi="Arial" w:cs="Times New Roman"/>
          <w:sz w:val="18"/>
          <w:szCs w:val="18"/>
          <w:lang w:val="en-IE" w:bidi="en-US"/>
        </w:rPr>
        <w:t xml:space="preserve">. (2014a). Detection and surveillance of viral hemorrhagic septicemia virus using real-time RT-PCR. I. Initial comparison of four protocols. </w:t>
      </w:r>
      <w:r w:rsidRPr="00D403F5">
        <w:rPr>
          <w:rFonts w:ascii="Arial" w:eastAsia="Times New Roman" w:hAnsi="Arial" w:cs="Times New Roman"/>
          <w:i/>
          <w:sz w:val="18"/>
          <w:szCs w:val="18"/>
          <w:lang w:val="en-IE" w:bidi="en-US"/>
        </w:rPr>
        <w:t>Dis. Aquat. Org</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111</w:t>
      </w:r>
      <w:r w:rsidRPr="00D403F5">
        <w:rPr>
          <w:rFonts w:ascii="Arial" w:eastAsia="Times New Roman" w:hAnsi="Arial" w:cs="Times New Roman"/>
          <w:sz w:val="18"/>
          <w:szCs w:val="18"/>
          <w:lang w:val="en-IE" w:bidi="en-US"/>
        </w:rPr>
        <w:t>, 1–13.</w:t>
      </w:r>
    </w:p>
    <w:p w14:paraId="7E209C35"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Times New Roman"/>
          <w:bCs/>
          <w:smallCaps/>
          <w:sz w:val="18"/>
          <w:szCs w:val="18"/>
          <w:lang w:val="en-IE" w:bidi="en-US"/>
        </w:rPr>
        <w:t>Warg J.V., Clement T., Cornwell E.R., Cruz A., Getchell R.G., Giray C., Goodwin A.E., Groocock G.H., Faisal M., Kim R., Merry G.E., Phelps N.B.D., Reising M.M., Standish I., Zhang Y. &amp; Toohey-Kurth K</w:t>
      </w:r>
      <w:r w:rsidRPr="00D403F5">
        <w:rPr>
          <w:rFonts w:ascii="Arial" w:eastAsia="Times New Roman" w:hAnsi="Arial" w:cs="Times New Roman"/>
          <w:sz w:val="18"/>
          <w:szCs w:val="18"/>
          <w:lang w:val="en-IE" w:bidi="en-US"/>
        </w:rPr>
        <w:t xml:space="preserve">. (2014b). Detection and surveillance of viral hemorrhagic septicemia virus using real-time RT-PCR. II. Diagnostic evaluation of two protocols. </w:t>
      </w:r>
      <w:r w:rsidRPr="00D403F5">
        <w:rPr>
          <w:rFonts w:ascii="Arial" w:eastAsia="Times New Roman" w:hAnsi="Arial" w:cs="Times New Roman"/>
          <w:i/>
          <w:sz w:val="18"/>
          <w:szCs w:val="18"/>
          <w:lang w:val="en-IE" w:bidi="en-US"/>
        </w:rPr>
        <w:t>Dis. Aquat. Org</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111</w:t>
      </w:r>
      <w:r w:rsidRPr="00D403F5">
        <w:rPr>
          <w:rFonts w:ascii="Arial" w:eastAsia="Times New Roman" w:hAnsi="Arial" w:cs="Times New Roman"/>
          <w:sz w:val="18"/>
          <w:szCs w:val="18"/>
          <w:lang w:val="en-IE" w:bidi="en-US"/>
        </w:rPr>
        <w:t>, 15–22.</w:t>
      </w:r>
    </w:p>
    <w:p w14:paraId="4415A94C" w14:textId="77777777" w:rsidR="00E65E42" w:rsidRDefault="00E65E42" w:rsidP="001E34B0">
      <w:pPr>
        <w:spacing w:after="240" w:line="240" w:lineRule="auto"/>
        <w:ind w:left="284"/>
        <w:jc w:val="both"/>
        <w:rPr>
          <w:rFonts w:ascii="Arial" w:eastAsia="Times New Roman" w:hAnsi="Arial" w:cs="Times New Roman"/>
          <w:sz w:val="18"/>
          <w:szCs w:val="18"/>
          <w:lang w:val="en-IE" w:bidi="en-US"/>
        </w:rPr>
      </w:pPr>
      <w:r w:rsidRPr="00D403F5">
        <w:rPr>
          <w:rFonts w:ascii="Arial" w:eastAsia="Times New Roman" w:hAnsi="Arial" w:cs="Times New Roman"/>
          <w:smallCaps/>
          <w:sz w:val="18"/>
          <w:szCs w:val="18"/>
          <w:lang w:val="da-DK" w:bidi="en-US"/>
        </w:rPr>
        <w:t xml:space="preserve">Verrier E.R., Dorson M., Mauger S., Torhy C., Ciobotaru C., </w:t>
      </w:r>
      <w:r w:rsidRPr="00685B5C">
        <w:rPr>
          <w:rFonts w:ascii="Arial" w:eastAsia="Times New Roman" w:hAnsi="Arial" w:cs="Times New Roman"/>
          <w:smallCaps/>
          <w:sz w:val="18"/>
          <w:szCs w:val="18"/>
          <w:lang w:val="en-IE" w:bidi="en-US"/>
        </w:rPr>
        <w:t>Hervet C., Dechamp N., Genet C., Boudinot P. &amp; Quillet E</w:t>
      </w:r>
      <w:r w:rsidRPr="00685B5C">
        <w:rPr>
          <w:rFonts w:ascii="Arial" w:eastAsia="Times New Roman" w:hAnsi="Arial" w:cs="Times New Roman"/>
          <w:sz w:val="18"/>
          <w:szCs w:val="18"/>
          <w:lang w:val="en-IE" w:bidi="en-US"/>
        </w:rPr>
        <w:t xml:space="preserve">. (2013). </w:t>
      </w:r>
      <w:r w:rsidRPr="00D403F5">
        <w:rPr>
          <w:rFonts w:ascii="Arial" w:eastAsia="Times New Roman" w:hAnsi="Arial" w:cs="Times New Roman"/>
          <w:sz w:val="18"/>
          <w:szCs w:val="18"/>
          <w:lang w:val="en-IE" w:bidi="en-US"/>
        </w:rPr>
        <w:t xml:space="preserve">Resistance to a Rhabdovirus (VHSV) in Rainbow Trout: Identification of a Major QTL Related to Innate Mechanisms. </w:t>
      </w:r>
      <w:r w:rsidRPr="00D403F5">
        <w:rPr>
          <w:rFonts w:ascii="Arial" w:eastAsia="Times New Roman" w:hAnsi="Arial" w:cs="Times New Roman"/>
          <w:i/>
          <w:sz w:val="18"/>
          <w:szCs w:val="18"/>
          <w:lang w:val="en-IE" w:bidi="en-US"/>
        </w:rPr>
        <w:t>PLoS ONE</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8</w:t>
      </w:r>
      <w:r w:rsidRPr="00D403F5">
        <w:rPr>
          <w:rFonts w:ascii="Arial" w:eastAsia="Times New Roman" w:hAnsi="Arial" w:cs="Times New Roman"/>
          <w:sz w:val="18"/>
          <w:szCs w:val="18"/>
          <w:lang w:val="en-IE" w:bidi="en-US"/>
        </w:rPr>
        <w:t>(2): e55302. doi:10.1371/journal.pone.0055302</w:t>
      </w:r>
    </w:p>
    <w:p w14:paraId="0E0C8ED2" w14:textId="77777777" w:rsidR="00E65E42" w:rsidRPr="00D403F5" w:rsidRDefault="00E65E42" w:rsidP="001E34B0">
      <w:pPr>
        <w:spacing w:after="240" w:line="240" w:lineRule="auto"/>
        <w:ind w:left="284"/>
        <w:jc w:val="both"/>
        <w:rPr>
          <w:rFonts w:ascii="Arial" w:eastAsia="Times New Roman" w:hAnsi="Arial" w:cs="Arial"/>
          <w:sz w:val="18"/>
          <w:szCs w:val="18"/>
          <w:lang w:bidi="en-US"/>
        </w:rPr>
      </w:pPr>
      <w:r w:rsidRPr="00D403F5">
        <w:rPr>
          <w:rFonts w:ascii="Arial" w:eastAsia="Times New Roman" w:hAnsi="Arial" w:cs="Times New Roman"/>
          <w:bCs/>
          <w:smallCaps/>
          <w:sz w:val="18"/>
          <w:szCs w:val="18"/>
          <w:lang w:val="en-IE" w:bidi="en-US"/>
        </w:rPr>
        <w:t>Winton J., Kurath G. &amp; Batts W</w:t>
      </w:r>
      <w:r w:rsidRPr="00D403F5">
        <w:rPr>
          <w:rFonts w:ascii="Arial" w:eastAsia="Times New Roman" w:hAnsi="Arial" w:cs="Times New Roman"/>
          <w:bCs/>
          <w:sz w:val="18"/>
          <w:szCs w:val="18"/>
          <w:lang w:val="en-IE" w:bidi="en-US"/>
        </w:rPr>
        <w:t xml:space="preserve">. (2008). Molecular epidemiology of viral hemorrhagic septicemia virus in the Great Lakes region (USGS Fact Sheet 2008-3003). Available at </w:t>
      </w:r>
      <w:hyperlink r:id="rId211" w:history="1">
        <w:r w:rsidRPr="00D403F5">
          <w:rPr>
            <w:rFonts w:ascii="Arial" w:eastAsia="Times New Roman" w:hAnsi="Arial" w:cs="Times New Roman"/>
            <w:bCs/>
            <w:color w:val="0000FF"/>
            <w:sz w:val="18"/>
            <w:szCs w:val="18"/>
            <w:lang w:val="en-IE" w:bidi="en-US"/>
          </w:rPr>
          <w:t>http://wfrc.usgs.gov/products/fs20083003.pdf</w:t>
        </w:r>
      </w:hyperlink>
      <w:r w:rsidRPr="00D403F5">
        <w:rPr>
          <w:rFonts w:ascii="Arial" w:eastAsia="Times New Roman" w:hAnsi="Arial" w:cs="Times New Roman"/>
          <w:bCs/>
          <w:sz w:val="18"/>
          <w:szCs w:val="18"/>
          <w:lang w:val="en-IE" w:bidi="en-US"/>
        </w:rPr>
        <w:t xml:space="preserve"> </w:t>
      </w:r>
    </w:p>
    <w:p w14:paraId="019679C3" w14:textId="5B574C28" w:rsidR="00DD4A56" w:rsidRPr="008A67C2" w:rsidRDefault="00DD4A56" w:rsidP="001E34B0">
      <w:pPr>
        <w:spacing w:after="480" w:line="240" w:lineRule="auto"/>
        <w:rPr>
          <w:rFonts w:cs="Times New Roman"/>
          <w:bCs/>
          <w:iCs/>
          <w:szCs w:val="20"/>
        </w:rPr>
      </w:pPr>
      <w:r>
        <w:rPr>
          <w:rFonts w:ascii="Arial" w:eastAsia="Times New Roman" w:hAnsi="Arial" w:cs="Arial"/>
          <w:smallCaps/>
          <w:sz w:val="18"/>
          <w:szCs w:val="18"/>
          <w:lang w:bidi="en-US"/>
        </w:rPr>
        <w:br w:type="page"/>
      </w:r>
      <w:r w:rsidRPr="008A67C2">
        <w:rPr>
          <w:u w:val="single"/>
        </w:rPr>
        <w:lastRenderedPageBreak/>
        <w:t>A</w:t>
      </w:r>
      <w:r w:rsidRPr="008A67C2">
        <w:rPr>
          <w:rFonts w:cs="Times New Roman"/>
          <w:bCs/>
          <w:iCs/>
          <w:szCs w:val="20"/>
          <w:u w:val="single"/>
        </w:rPr>
        <w:t>nnex 14</w:t>
      </w:r>
      <w:r w:rsidRPr="008A67C2">
        <w:rPr>
          <w:rFonts w:cs="Times New Roman"/>
          <w:bCs/>
          <w:iCs/>
          <w:szCs w:val="20"/>
        </w:rPr>
        <w:t xml:space="preserve"> (contd)</w:t>
      </w:r>
    </w:p>
    <w:p w14:paraId="12CFC956" w14:textId="3F0D334F" w:rsidR="00E65E42" w:rsidRPr="00D403F5" w:rsidRDefault="00E65E42" w:rsidP="001E34B0">
      <w:pPr>
        <w:spacing w:after="240" w:line="240" w:lineRule="auto"/>
        <w:ind w:left="284"/>
        <w:jc w:val="both"/>
        <w:rPr>
          <w:rFonts w:ascii="Arial" w:eastAsia="Times New Roman" w:hAnsi="Arial" w:cs="Times New Roman"/>
          <w:sz w:val="18"/>
          <w:szCs w:val="18"/>
          <w:lang w:val="en-IE" w:bidi="en-US"/>
        </w:rPr>
      </w:pPr>
      <w:r w:rsidRPr="00D403F5">
        <w:rPr>
          <w:rFonts w:ascii="Arial" w:eastAsia="Times New Roman" w:hAnsi="Arial" w:cs="Arial"/>
          <w:smallCaps/>
          <w:sz w:val="18"/>
          <w:szCs w:val="18"/>
          <w:lang w:bidi="en-US"/>
        </w:rPr>
        <w:t>Wolf K</w:t>
      </w:r>
      <w:r w:rsidRPr="00D403F5">
        <w:rPr>
          <w:rFonts w:ascii="Arial" w:eastAsia="Times New Roman" w:hAnsi="Arial" w:cs="Arial"/>
          <w:sz w:val="18"/>
          <w:szCs w:val="18"/>
          <w:lang w:bidi="en-US"/>
        </w:rPr>
        <w:t>. (1988). Viral hemorrhagic septicemia.</w:t>
      </w:r>
      <w:r w:rsidRPr="00D403F5">
        <w:rPr>
          <w:rFonts w:ascii="Arial" w:eastAsia="Times New Roman" w:hAnsi="Arial" w:cs="Arial"/>
          <w:i/>
          <w:sz w:val="18"/>
          <w:szCs w:val="18"/>
          <w:lang w:bidi="en-US"/>
        </w:rPr>
        <w:t xml:space="preserve"> In: </w:t>
      </w:r>
      <w:r w:rsidRPr="00D403F5">
        <w:rPr>
          <w:rFonts w:ascii="Arial" w:eastAsia="Times New Roman" w:hAnsi="Arial" w:cs="Arial"/>
          <w:sz w:val="18"/>
          <w:szCs w:val="18"/>
          <w:lang w:bidi="en-US"/>
        </w:rPr>
        <w:t>Fish Viruses and Fish Viral Diseases. Cornell University Press, Ithaca, New York, USA, 217–249.</w:t>
      </w:r>
    </w:p>
    <w:p w14:paraId="486BA0D0" w14:textId="77777777" w:rsidR="00E65E42" w:rsidRPr="00D403F5" w:rsidRDefault="00E65E42" w:rsidP="00E65E42">
      <w:pPr>
        <w:spacing w:after="0" w:line="240" w:lineRule="auto"/>
        <w:jc w:val="center"/>
        <w:rPr>
          <w:rFonts w:ascii="Arial" w:eastAsia="Times New Roman" w:hAnsi="Arial" w:cs="Arial"/>
          <w:sz w:val="18"/>
          <w:szCs w:val="18"/>
          <w:lang w:val="en-IE" w:bidi="en-US"/>
        </w:rPr>
      </w:pPr>
      <w:r w:rsidRPr="00D403F5">
        <w:rPr>
          <w:rFonts w:ascii="Arial" w:eastAsia="Times New Roman" w:hAnsi="Arial" w:cs="Arial"/>
          <w:sz w:val="18"/>
          <w:szCs w:val="18"/>
          <w:lang w:val="en-IE" w:bidi="en-US"/>
        </w:rPr>
        <w:t>*</w:t>
      </w:r>
      <w:r w:rsidRPr="00D403F5">
        <w:rPr>
          <w:rFonts w:ascii="Arial" w:eastAsia="Times New Roman" w:hAnsi="Arial" w:cs="Arial"/>
          <w:sz w:val="18"/>
          <w:szCs w:val="18"/>
          <w:lang w:val="en-IE" w:bidi="en-US"/>
        </w:rPr>
        <w:br/>
        <w:t>*   *</w:t>
      </w:r>
    </w:p>
    <w:p w14:paraId="64052AB8" w14:textId="77777777" w:rsidR="00E65E42" w:rsidRPr="00D403F5" w:rsidRDefault="00E65E42" w:rsidP="00E65E42">
      <w:pPr>
        <w:spacing w:after="480"/>
        <w:jc w:val="center"/>
        <w:rPr>
          <w:rFonts w:ascii="Arial" w:eastAsia="Calibri" w:hAnsi="Arial" w:cs="Arial"/>
          <w:sz w:val="18"/>
          <w:szCs w:val="18"/>
          <w:lang w:val="en-IE"/>
        </w:rPr>
      </w:pPr>
      <w:r w:rsidRPr="00D403F5">
        <w:rPr>
          <w:rFonts w:ascii="Arial" w:eastAsia="Calibri" w:hAnsi="Arial" w:cs="Arial"/>
          <w:b/>
          <w:sz w:val="18"/>
          <w:szCs w:val="18"/>
          <w:lang w:val="en-IE" w:eastAsia="fr-FR"/>
        </w:rPr>
        <w:t>NB:</w:t>
      </w:r>
      <w:r w:rsidRPr="00D403F5">
        <w:rPr>
          <w:rFonts w:ascii="Arial" w:eastAsia="Calibri" w:hAnsi="Arial" w:cs="Arial"/>
          <w:sz w:val="18"/>
          <w:szCs w:val="18"/>
          <w:lang w:val="en-IE" w:eastAsia="fr-FR"/>
        </w:rPr>
        <w:t xml:space="preserve"> There </w:t>
      </w:r>
      <w:r w:rsidRPr="00D403F5">
        <w:rPr>
          <w:rFonts w:ascii="Arial" w:eastAsia="Calibri" w:hAnsi="Arial" w:cs="Arial"/>
          <w:sz w:val="18"/>
          <w:szCs w:val="18"/>
          <w:lang w:val="en-IE"/>
        </w:rPr>
        <w:t xml:space="preserve">are OIE Reference Laboratories for </w:t>
      </w:r>
      <w:r w:rsidRPr="00D403F5">
        <w:rPr>
          <w:rFonts w:ascii="Arial" w:eastAsia="Calibri" w:hAnsi="Arial" w:cs="Arial"/>
          <w:sz w:val="18"/>
          <w:szCs w:val="18"/>
          <w:lang w:val="en-NZ"/>
        </w:rPr>
        <w:t xml:space="preserve">Infection with </w:t>
      </w:r>
      <w:r w:rsidRPr="00D403F5">
        <w:rPr>
          <w:rFonts w:ascii="Arial" w:eastAsia="Calibri" w:hAnsi="Arial" w:cs="Arial"/>
          <w:sz w:val="18"/>
          <w:szCs w:val="18"/>
        </w:rPr>
        <w:t xml:space="preserve">viral haemorrhagic septicaemia </w:t>
      </w:r>
      <w:r w:rsidRPr="00D403F5">
        <w:rPr>
          <w:rFonts w:ascii="Arial" w:eastAsia="Calibri" w:hAnsi="Arial" w:cs="Arial"/>
          <w:sz w:val="18"/>
          <w:szCs w:val="18"/>
          <w:lang w:val="en-IE"/>
        </w:rPr>
        <w:t>virus</w:t>
      </w:r>
      <w:r w:rsidRPr="00D403F5">
        <w:rPr>
          <w:rFonts w:ascii="Arial" w:eastAsia="Calibri" w:hAnsi="Arial" w:cs="Arial"/>
          <w:sz w:val="18"/>
          <w:szCs w:val="18"/>
          <w:lang w:val="en-IE" w:eastAsia="fr-FR"/>
        </w:rPr>
        <w:br/>
        <w:t xml:space="preserve">(see </w:t>
      </w:r>
      <w:r w:rsidRPr="00D403F5">
        <w:rPr>
          <w:rFonts w:ascii="Arial" w:eastAsia="Calibri" w:hAnsi="Arial" w:cs="Arial"/>
          <w:sz w:val="18"/>
          <w:szCs w:val="18"/>
          <w:lang w:val="en-IE"/>
        </w:rPr>
        <w:t xml:space="preserve">Table at the end of this </w:t>
      </w:r>
      <w:r w:rsidRPr="00D403F5">
        <w:rPr>
          <w:rFonts w:ascii="Arial" w:eastAsia="Calibri" w:hAnsi="Arial" w:cs="Arial"/>
          <w:i/>
          <w:iCs/>
          <w:sz w:val="18"/>
          <w:szCs w:val="18"/>
          <w:lang w:val="en-IE"/>
        </w:rPr>
        <w:t>Aquatic Manual</w:t>
      </w:r>
      <w:r w:rsidRPr="00D403F5">
        <w:rPr>
          <w:rFonts w:ascii="Arial" w:eastAsia="Calibri" w:hAnsi="Arial" w:cs="Arial"/>
          <w:sz w:val="18"/>
          <w:szCs w:val="18"/>
          <w:lang w:val="en-IE"/>
        </w:rPr>
        <w:t xml:space="preserve"> or </w:t>
      </w:r>
      <w:r w:rsidRPr="00D403F5">
        <w:rPr>
          <w:rFonts w:ascii="Arial" w:eastAsia="Calibri" w:hAnsi="Arial" w:cs="Arial"/>
          <w:sz w:val="18"/>
          <w:szCs w:val="18"/>
          <w:lang w:val="en-IE" w:eastAsia="fr-FR"/>
        </w:rPr>
        <w:t xml:space="preserve">consult the OIE web site for the most up-to-date list: </w:t>
      </w:r>
      <w:hyperlink r:id="rId212" w:history="1">
        <w:r w:rsidRPr="00D403F5">
          <w:rPr>
            <w:rFonts w:ascii="Arial" w:eastAsia="Calibri" w:hAnsi="Arial" w:cs="Arial"/>
            <w:color w:val="0000FF"/>
            <w:sz w:val="18"/>
            <w:szCs w:val="18"/>
            <w:lang w:val="en-IE"/>
          </w:rPr>
          <w:t>http://www.oie.int/en/scientific-expertise/reference-laboratories/list-of-laboratories/</w:t>
        </w:r>
      </w:hyperlink>
      <w:r w:rsidRPr="00D403F5">
        <w:rPr>
          <w:rFonts w:ascii="Arial" w:eastAsia="Calibri" w:hAnsi="Arial" w:cs="Arial"/>
          <w:sz w:val="18"/>
          <w:szCs w:val="18"/>
          <w:lang w:val="en-IE" w:eastAsia="fr-FR"/>
        </w:rPr>
        <w:t xml:space="preserve"> </w:t>
      </w:r>
      <w:hyperlink r:id="rId213" w:history="1"/>
      <w:r w:rsidRPr="00D403F5">
        <w:rPr>
          <w:rFonts w:ascii="Arial" w:eastAsia="Calibri" w:hAnsi="Arial" w:cs="Arial"/>
          <w:sz w:val="18"/>
          <w:szCs w:val="18"/>
          <w:lang w:val="en-IE" w:eastAsia="fr-FR"/>
        </w:rPr>
        <w:t xml:space="preserve">). </w:t>
      </w:r>
      <w:r w:rsidRPr="00D403F5">
        <w:rPr>
          <w:rFonts w:ascii="Arial" w:eastAsia="Calibri" w:hAnsi="Arial" w:cs="Arial"/>
          <w:sz w:val="18"/>
          <w:szCs w:val="18"/>
          <w:lang w:val="en-IE" w:eastAsia="fr-FR"/>
        </w:rPr>
        <w:br/>
      </w:r>
      <w:r w:rsidRPr="00D403F5">
        <w:rPr>
          <w:rFonts w:ascii="Arial" w:eastAsia="Calibri" w:hAnsi="Arial" w:cs="Arial"/>
          <w:sz w:val="18"/>
          <w:szCs w:val="18"/>
          <w:lang w:val="en-IE"/>
        </w:rPr>
        <w:t xml:space="preserve">Please contact the OIE Reference Laboratories for any further information on infection with </w:t>
      </w:r>
      <w:r w:rsidRPr="00D403F5">
        <w:rPr>
          <w:rFonts w:ascii="Arial" w:eastAsia="Calibri" w:hAnsi="Arial" w:cs="Arial"/>
          <w:sz w:val="18"/>
          <w:szCs w:val="18"/>
          <w:lang w:val="en-IE"/>
        </w:rPr>
        <w:br/>
        <w:t>viral haemorrhagic septicaemia virus</w:t>
      </w:r>
    </w:p>
    <w:p w14:paraId="3544C8E9" w14:textId="77777777" w:rsidR="00E65E42" w:rsidRPr="00D403F5" w:rsidRDefault="00E65E42" w:rsidP="00E65E42">
      <w:pPr>
        <w:spacing w:after="0" w:line="240" w:lineRule="auto"/>
        <w:jc w:val="center"/>
        <w:rPr>
          <w:rFonts w:ascii="Arial" w:eastAsia="Times New Roman" w:hAnsi="Arial" w:cs="Arial"/>
          <w:b/>
          <w:bCs/>
          <w:sz w:val="18"/>
          <w:szCs w:val="18"/>
          <w:lang w:val="en-IE"/>
        </w:rPr>
      </w:pPr>
      <w:r w:rsidRPr="00D403F5">
        <w:rPr>
          <w:rFonts w:ascii="Arial" w:eastAsia="Times New Roman" w:hAnsi="Arial" w:cs="Arial"/>
          <w:b/>
          <w:bCs/>
          <w:smallCaps/>
          <w:sz w:val="18"/>
          <w:szCs w:val="18"/>
          <w:lang w:val="en-IE"/>
        </w:rPr>
        <w:t>NB:</w:t>
      </w:r>
      <w:r w:rsidRPr="00D403F5">
        <w:rPr>
          <w:rFonts w:ascii="Arial" w:eastAsia="Times New Roman" w:hAnsi="Arial" w:cs="Arial"/>
          <w:bCs/>
          <w:smallCaps/>
          <w:sz w:val="18"/>
          <w:szCs w:val="18"/>
          <w:lang w:val="en-IE"/>
        </w:rPr>
        <w:t xml:space="preserve"> First adopted in 1995 as viral haemorrhagic septicaemi</w:t>
      </w:r>
      <w:r>
        <w:rPr>
          <w:rFonts w:ascii="Arial" w:eastAsia="Times New Roman" w:hAnsi="Arial" w:cs="Arial"/>
          <w:bCs/>
          <w:smallCaps/>
          <w:sz w:val="18"/>
          <w:szCs w:val="18"/>
          <w:lang w:val="en-IE"/>
        </w:rPr>
        <w:t>a</w:t>
      </w:r>
      <w:r w:rsidRPr="00D403F5">
        <w:rPr>
          <w:rFonts w:ascii="Arial" w:eastAsia="Times New Roman" w:hAnsi="Arial" w:cs="Arial"/>
          <w:bCs/>
          <w:smallCaps/>
          <w:sz w:val="18"/>
          <w:szCs w:val="18"/>
          <w:lang w:val="en-IE"/>
        </w:rPr>
        <w:t>;</w:t>
      </w:r>
      <w:r w:rsidRPr="00D403F5">
        <w:rPr>
          <w:rFonts w:ascii="Arial" w:eastAsia="Times New Roman" w:hAnsi="Arial" w:cs="Arial"/>
          <w:bCs/>
          <w:smallCaps/>
          <w:sz w:val="18"/>
          <w:szCs w:val="18"/>
          <w:lang w:val="en-IE"/>
        </w:rPr>
        <w:br/>
        <w:t>most recent updates adopted in 2012.</w:t>
      </w:r>
    </w:p>
    <w:p w14:paraId="2ADC53FC" w14:textId="77777777" w:rsidR="00E65E42" w:rsidRDefault="00E65E42" w:rsidP="00E65E42">
      <w:pPr>
        <w:spacing w:after="0"/>
        <w:jc w:val="center"/>
        <w:rPr>
          <w:rFonts w:ascii="Arial" w:eastAsia="Calibri" w:hAnsi="Arial" w:cs="Arial"/>
          <w:sz w:val="18"/>
          <w:szCs w:val="18"/>
          <w:lang w:val="en-IE" w:bidi="en-US"/>
        </w:rPr>
      </w:pPr>
    </w:p>
    <w:p w14:paraId="618EAD02" w14:textId="77777777" w:rsidR="00E65E42" w:rsidRDefault="00E65E42" w:rsidP="00E65E42">
      <w:pPr>
        <w:spacing w:after="0"/>
        <w:jc w:val="center"/>
        <w:rPr>
          <w:rFonts w:ascii="Arial" w:eastAsia="Calibri" w:hAnsi="Arial" w:cs="Arial"/>
          <w:sz w:val="18"/>
          <w:szCs w:val="18"/>
          <w:lang w:val="en-IE" w:bidi="en-US"/>
        </w:rPr>
      </w:pPr>
    </w:p>
    <w:p w14:paraId="399003FD" w14:textId="77777777" w:rsidR="00E65E42" w:rsidRDefault="00E65E42" w:rsidP="00E65E42">
      <w:pPr>
        <w:spacing w:after="0"/>
        <w:jc w:val="center"/>
        <w:rPr>
          <w:rFonts w:ascii="Arial" w:eastAsia="Calibri" w:hAnsi="Arial" w:cs="Arial"/>
          <w:sz w:val="18"/>
          <w:szCs w:val="18"/>
          <w:lang w:val="en-IE" w:bidi="en-US"/>
        </w:rPr>
      </w:pPr>
    </w:p>
    <w:p w14:paraId="64F5C7B7" w14:textId="77777777" w:rsidR="00E65E42" w:rsidRDefault="00E65E42" w:rsidP="00E65E42">
      <w:pPr>
        <w:spacing w:after="0"/>
        <w:jc w:val="center"/>
        <w:rPr>
          <w:rFonts w:ascii="Arial" w:eastAsia="Calibri" w:hAnsi="Arial" w:cs="Arial"/>
          <w:sz w:val="18"/>
          <w:szCs w:val="18"/>
          <w:lang w:val="en-IE" w:bidi="en-US"/>
        </w:rPr>
      </w:pPr>
    </w:p>
    <w:p w14:paraId="43FBAA45" w14:textId="77777777" w:rsidR="00E65E42" w:rsidRDefault="00E65E42" w:rsidP="00E65E42">
      <w:pPr>
        <w:spacing w:after="0"/>
        <w:jc w:val="center"/>
        <w:rPr>
          <w:rFonts w:ascii="Arial" w:eastAsia="Calibri" w:hAnsi="Arial" w:cs="Arial"/>
          <w:sz w:val="18"/>
          <w:szCs w:val="18"/>
          <w:lang w:val="en-IE" w:bidi="en-US"/>
        </w:rPr>
      </w:pPr>
    </w:p>
    <w:p w14:paraId="28BFFD66" w14:textId="77777777" w:rsidR="00E65E42" w:rsidRDefault="00E65E42" w:rsidP="00E65E42">
      <w:pPr>
        <w:spacing w:after="0"/>
        <w:jc w:val="center"/>
        <w:rPr>
          <w:rFonts w:ascii="Arial" w:eastAsia="Calibri" w:hAnsi="Arial" w:cs="Arial"/>
          <w:sz w:val="18"/>
          <w:szCs w:val="18"/>
          <w:lang w:val="en-IE" w:bidi="en-US"/>
        </w:rPr>
      </w:pPr>
    </w:p>
    <w:p w14:paraId="6868EDD8" w14:textId="77777777" w:rsidR="00E65E42" w:rsidRDefault="00E65E42" w:rsidP="00E65E42">
      <w:pPr>
        <w:spacing w:after="0"/>
        <w:jc w:val="center"/>
        <w:rPr>
          <w:rFonts w:ascii="Arial" w:eastAsia="Calibri" w:hAnsi="Arial" w:cs="Arial"/>
          <w:sz w:val="18"/>
          <w:szCs w:val="18"/>
          <w:lang w:val="en-IE" w:bidi="en-US"/>
        </w:rPr>
      </w:pPr>
    </w:p>
    <w:p w14:paraId="1C7975BA" w14:textId="77777777" w:rsidR="00E65E42" w:rsidRDefault="00E65E42" w:rsidP="00E65E42">
      <w:pPr>
        <w:spacing w:after="0"/>
        <w:jc w:val="center"/>
        <w:rPr>
          <w:rFonts w:ascii="Arial" w:eastAsia="Calibri" w:hAnsi="Arial" w:cs="Arial"/>
          <w:sz w:val="18"/>
          <w:szCs w:val="18"/>
          <w:lang w:val="en-IE" w:bidi="en-US"/>
        </w:rPr>
      </w:pPr>
    </w:p>
    <w:p w14:paraId="7AA61684" w14:textId="77777777" w:rsidR="00E65E42" w:rsidRDefault="00E65E42" w:rsidP="00E65E42">
      <w:pPr>
        <w:spacing w:after="0"/>
        <w:jc w:val="center"/>
        <w:rPr>
          <w:rFonts w:ascii="Arial" w:eastAsia="Calibri" w:hAnsi="Arial" w:cs="Arial"/>
          <w:sz w:val="18"/>
          <w:szCs w:val="18"/>
          <w:lang w:val="en-IE" w:bidi="en-US"/>
        </w:rPr>
      </w:pPr>
    </w:p>
    <w:p w14:paraId="50BABDC3" w14:textId="77777777" w:rsidR="00E65E42" w:rsidRDefault="00E65E42" w:rsidP="00E65E42">
      <w:pPr>
        <w:spacing w:after="0"/>
        <w:jc w:val="center"/>
        <w:rPr>
          <w:rFonts w:ascii="Arial" w:eastAsia="Calibri" w:hAnsi="Arial" w:cs="Arial"/>
          <w:sz w:val="18"/>
          <w:szCs w:val="18"/>
          <w:lang w:val="en-IE" w:bidi="en-US"/>
        </w:rPr>
      </w:pPr>
    </w:p>
    <w:p w14:paraId="270ECCC4" w14:textId="77777777" w:rsidR="00E65E42" w:rsidRDefault="00E65E42" w:rsidP="00E65E42">
      <w:pPr>
        <w:spacing w:after="0"/>
        <w:jc w:val="center"/>
        <w:rPr>
          <w:rFonts w:ascii="Arial" w:eastAsia="Calibri" w:hAnsi="Arial" w:cs="Arial"/>
          <w:sz w:val="18"/>
          <w:szCs w:val="18"/>
          <w:lang w:val="en-IE" w:bidi="en-US"/>
        </w:rPr>
      </w:pPr>
    </w:p>
    <w:p w14:paraId="7DD23665" w14:textId="77777777" w:rsidR="00E65E42" w:rsidRDefault="00E65E42" w:rsidP="00E65E42">
      <w:pPr>
        <w:spacing w:after="0"/>
        <w:jc w:val="center"/>
        <w:rPr>
          <w:rFonts w:ascii="Arial" w:eastAsia="Calibri" w:hAnsi="Arial" w:cs="Arial"/>
          <w:sz w:val="18"/>
          <w:szCs w:val="18"/>
          <w:lang w:val="en-IE" w:bidi="en-US"/>
        </w:rPr>
      </w:pPr>
    </w:p>
    <w:p w14:paraId="047DAD91" w14:textId="77777777" w:rsidR="00E65E42" w:rsidRDefault="00E65E42" w:rsidP="00E65E42">
      <w:pPr>
        <w:spacing w:after="0"/>
        <w:jc w:val="center"/>
        <w:rPr>
          <w:rFonts w:ascii="Arial" w:eastAsia="Calibri" w:hAnsi="Arial" w:cs="Arial"/>
          <w:sz w:val="18"/>
          <w:szCs w:val="18"/>
          <w:lang w:val="en-IE" w:bidi="en-US"/>
        </w:rPr>
      </w:pPr>
    </w:p>
    <w:p w14:paraId="6478444D" w14:textId="77777777" w:rsidR="00E65E42" w:rsidRDefault="00E65E42" w:rsidP="00E65E42">
      <w:pPr>
        <w:spacing w:after="0"/>
        <w:jc w:val="center"/>
        <w:rPr>
          <w:rFonts w:ascii="Arial" w:eastAsia="Calibri" w:hAnsi="Arial" w:cs="Arial"/>
          <w:sz w:val="18"/>
          <w:szCs w:val="18"/>
          <w:lang w:val="en-IE" w:bidi="en-US"/>
        </w:rPr>
      </w:pPr>
    </w:p>
    <w:p w14:paraId="3FEE2FBB" w14:textId="77777777" w:rsidR="00E65E42" w:rsidRPr="00E65E42" w:rsidRDefault="00E65E42" w:rsidP="00E65E42">
      <w:pPr>
        <w:pStyle w:val="Titre2"/>
        <w:spacing w:after="480"/>
        <w:jc w:val="right"/>
        <w:rPr>
          <w:rFonts w:ascii="Arial" w:hAnsi="Arial" w:cs="Arial"/>
          <w:sz w:val="18"/>
          <w:szCs w:val="18"/>
          <w:lang w:val="en-IE"/>
        </w:rPr>
      </w:pPr>
    </w:p>
    <w:p w14:paraId="69A6DCFF" w14:textId="77777777" w:rsidR="00E65E42" w:rsidRDefault="00E65E42" w:rsidP="00E65E42">
      <w:pPr>
        <w:pStyle w:val="Titre2"/>
        <w:spacing w:after="480"/>
        <w:rPr>
          <w:rFonts w:ascii="Arial" w:hAnsi="Arial" w:cs="Arial"/>
          <w:sz w:val="18"/>
          <w:szCs w:val="18"/>
        </w:rPr>
        <w:sectPr w:rsidR="00E65E42" w:rsidSect="00EE0A09">
          <w:headerReference w:type="even" r:id="rId214"/>
          <w:headerReference w:type="default" r:id="rId215"/>
          <w:headerReference w:type="first" r:id="rId216"/>
          <w:type w:val="evenPage"/>
          <w:pgSz w:w="11906" w:h="16838"/>
          <w:pgMar w:top="1440" w:right="1440" w:bottom="1440" w:left="1440" w:header="708" w:footer="708" w:gutter="0"/>
          <w:cols w:space="708"/>
          <w:docGrid w:linePitch="360"/>
        </w:sectPr>
      </w:pPr>
    </w:p>
    <w:p w14:paraId="0DA6725B" w14:textId="183FCE44" w:rsidR="000A62A2" w:rsidRPr="00CA456F" w:rsidRDefault="000A62A2" w:rsidP="00CA456F">
      <w:pPr>
        <w:pStyle w:val="Titre3"/>
        <w:spacing w:before="0" w:after="480" w:line="240" w:lineRule="auto"/>
        <w:jc w:val="right"/>
        <w:rPr>
          <w:rFonts w:cs="Times New Roman"/>
          <w:bCs/>
          <w:i w:val="0"/>
          <w:iCs/>
          <w:szCs w:val="20"/>
        </w:rPr>
      </w:pPr>
      <w:bookmarkStart w:id="159" w:name="_Annex_15"/>
      <w:bookmarkEnd w:id="159"/>
      <w:r w:rsidRPr="00CA456F">
        <w:rPr>
          <w:rFonts w:cs="Times New Roman"/>
          <w:i w:val="0"/>
          <w:szCs w:val="20"/>
          <w:u w:val="single"/>
        </w:rPr>
        <w:lastRenderedPageBreak/>
        <w:t>A</w:t>
      </w:r>
      <w:r w:rsidRPr="00CA456F">
        <w:rPr>
          <w:rFonts w:cs="Times New Roman"/>
          <w:bCs/>
          <w:i w:val="0"/>
          <w:iCs/>
          <w:szCs w:val="20"/>
          <w:u w:val="single"/>
        </w:rPr>
        <w:t>nnex 15</w:t>
      </w:r>
    </w:p>
    <w:p w14:paraId="457DBDC3" w14:textId="77777777" w:rsidR="000A62A2" w:rsidRPr="002210B3" w:rsidRDefault="000A62A2" w:rsidP="000A62A2">
      <w:pPr>
        <w:pStyle w:val="Chaptertitle"/>
        <w:rPr>
          <w:rFonts w:cs="Arial"/>
          <w:b/>
          <w:sz w:val="32"/>
          <w:szCs w:val="32"/>
          <w:lang w:val="en-IE"/>
        </w:rPr>
      </w:pPr>
      <w:r w:rsidRPr="00116864">
        <w:rPr>
          <w:rFonts w:cs="Arial"/>
          <w:lang w:val="en-IE"/>
        </w:rPr>
        <w:t>CHAPTER 2.3.3.</w:t>
      </w:r>
      <w:r w:rsidRPr="00116864">
        <w:rPr>
          <w:rFonts w:cs="Arial"/>
          <w:lang w:val="en-IE"/>
        </w:rPr>
        <w:br/>
      </w:r>
      <w:r w:rsidRPr="00116864">
        <w:rPr>
          <w:rFonts w:cs="Arial"/>
          <w:lang w:val="en-IE"/>
        </w:rPr>
        <w:br/>
      </w:r>
      <w:bookmarkStart w:id="160" w:name="_Hlk37335837"/>
      <w:r w:rsidRPr="00116864">
        <w:rPr>
          <w:rFonts w:cs="Arial"/>
          <w:b/>
          <w:sz w:val="32"/>
          <w:szCs w:val="32"/>
          <w:lang w:val="en-IE"/>
        </w:rPr>
        <w:t xml:space="preserve">INFECTION WITH </w:t>
      </w:r>
      <w:r w:rsidRPr="00116864">
        <w:rPr>
          <w:rFonts w:cs="Arial"/>
          <w:b/>
          <w:i/>
          <w:sz w:val="32"/>
          <w:szCs w:val="32"/>
          <w:lang w:val="en-IE"/>
        </w:rPr>
        <w:t>GYRODACTYLUS SALARIS</w:t>
      </w:r>
      <w:bookmarkEnd w:id="160"/>
    </w:p>
    <w:p w14:paraId="03E5BE3B" w14:textId="77777777" w:rsidR="000A62A2" w:rsidRPr="000A62A2" w:rsidRDefault="000A62A2" w:rsidP="000A62A2">
      <w:pPr>
        <w:pStyle w:val="Titre1"/>
        <w:spacing w:before="0" w:after="120" w:line="240" w:lineRule="auto"/>
        <w:ind w:left="425" w:hanging="425"/>
        <w:rPr>
          <w:rFonts w:ascii="Ottawa" w:hAnsi="Ottawa" w:cs="Arial"/>
          <w:b/>
          <w:color w:val="auto"/>
          <w:sz w:val="22"/>
          <w:szCs w:val="22"/>
          <w:lang w:val="en-IE"/>
        </w:rPr>
      </w:pPr>
      <w:r w:rsidRPr="000A62A2">
        <w:rPr>
          <w:rFonts w:ascii="Ottawa" w:hAnsi="Ottawa" w:cs="Arial"/>
          <w:b/>
          <w:color w:val="auto"/>
          <w:sz w:val="22"/>
          <w:szCs w:val="22"/>
          <w:lang w:val="en-IE"/>
        </w:rPr>
        <w:t>1.</w:t>
      </w:r>
      <w:r w:rsidRPr="000A62A2">
        <w:rPr>
          <w:rFonts w:ascii="Ottawa" w:hAnsi="Ottawa" w:cs="Arial"/>
          <w:b/>
          <w:color w:val="auto"/>
          <w:sz w:val="22"/>
          <w:szCs w:val="22"/>
          <w:lang w:val="en-IE"/>
        </w:rPr>
        <w:tab/>
        <w:t>Scope</w:t>
      </w:r>
    </w:p>
    <w:p w14:paraId="1FBF8F7D" w14:textId="77777777" w:rsidR="000A62A2" w:rsidRPr="002210B3" w:rsidRDefault="000A62A2" w:rsidP="000A62A2">
      <w:pPr>
        <w:widowControl w:val="0"/>
        <w:autoSpaceDE w:val="0"/>
        <w:autoSpaceDN w:val="0"/>
        <w:adjustRightInd w:val="0"/>
        <w:spacing w:after="120" w:line="240" w:lineRule="auto"/>
        <w:ind w:left="426"/>
        <w:jc w:val="both"/>
        <w:rPr>
          <w:rFonts w:ascii="Arial" w:hAnsi="Arial" w:cs="Arial"/>
          <w:sz w:val="18"/>
          <w:szCs w:val="18"/>
          <w:lang w:val="en-IE" w:eastAsia="en-IE"/>
        </w:rPr>
      </w:pPr>
      <w:r w:rsidRPr="002210B3">
        <w:rPr>
          <w:rFonts w:ascii="Arial" w:hAnsi="Arial" w:cs="Arial"/>
          <w:sz w:val="18"/>
          <w:szCs w:val="18"/>
          <w:lang w:val="en-IE"/>
        </w:rPr>
        <w:t xml:space="preserve">For the purpose of this chapter, </w:t>
      </w:r>
      <w:bookmarkStart w:id="161" w:name="_Hlk536682838"/>
      <w:r w:rsidRPr="002210B3">
        <w:rPr>
          <w:rFonts w:ascii="Arial" w:hAnsi="Arial" w:cs="Arial"/>
          <w:i/>
          <w:iCs/>
          <w:sz w:val="18"/>
          <w:szCs w:val="18"/>
          <w:lang w:val="en-IE" w:eastAsia="fr-FR"/>
        </w:rPr>
        <w:t>Gyrodactylus salaris</w:t>
      </w:r>
      <w:bookmarkEnd w:id="161"/>
      <w:r w:rsidRPr="002210B3">
        <w:rPr>
          <w:rFonts w:ascii="Arial" w:hAnsi="Arial" w:cs="Arial"/>
          <w:i/>
          <w:iCs/>
          <w:sz w:val="18"/>
          <w:szCs w:val="18"/>
          <w:lang w:val="en-IE" w:eastAsia="en-IE"/>
        </w:rPr>
        <w:t xml:space="preserve"> </w:t>
      </w:r>
      <w:r w:rsidRPr="002210B3">
        <w:rPr>
          <w:rFonts w:ascii="Arial" w:hAnsi="Arial" w:cs="Arial"/>
          <w:sz w:val="18"/>
          <w:szCs w:val="18"/>
          <w:lang w:val="en-IE" w:eastAsia="en-IE"/>
        </w:rPr>
        <w:t xml:space="preserve">means infection with the pathogenic agent </w:t>
      </w:r>
      <w:r w:rsidRPr="002210B3">
        <w:rPr>
          <w:rFonts w:ascii="Arial" w:hAnsi="Arial" w:cs="Arial"/>
          <w:i/>
          <w:iCs/>
          <w:sz w:val="18"/>
          <w:szCs w:val="18"/>
          <w:lang w:val="en-IE" w:eastAsia="en-IE"/>
        </w:rPr>
        <w:t xml:space="preserve">G. salaris </w:t>
      </w:r>
      <w:r w:rsidRPr="002210B3">
        <w:rPr>
          <w:rFonts w:ascii="Arial" w:hAnsi="Arial" w:cs="Arial"/>
          <w:sz w:val="18"/>
          <w:szCs w:val="18"/>
          <w:lang w:val="en-IE" w:eastAsia="en-IE"/>
        </w:rPr>
        <w:t>(</w:t>
      </w:r>
      <w:r w:rsidRPr="002210B3">
        <w:rPr>
          <w:rFonts w:ascii="Arial" w:hAnsi="Arial" w:cs="Arial"/>
          <w:i/>
          <w:iCs/>
          <w:sz w:val="18"/>
          <w:szCs w:val="18"/>
          <w:lang w:val="en-IE" w:eastAsia="en-IE"/>
        </w:rPr>
        <w:t>G. salaris</w:t>
      </w:r>
      <w:r w:rsidRPr="002210B3">
        <w:rPr>
          <w:rFonts w:ascii="Arial" w:hAnsi="Arial" w:cs="Arial"/>
          <w:sz w:val="18"/>
          <w:szCs w:val="18"/>
          <w:lang w:val="en-IE" w:eastAsia="en-IE"/>
        </w:rPr>
        <w:t xml:space="preserve">) of the Genus </w:t>
      </w:r>
      <w:r w:rsidRPr="002210B3">
        <w:rPr>
          <w:rFonts w:ascii="Arial" w:hAnsi="Arial" w:cs="Arial"/>
          <w:i/>
          <w:iCs/>
          <w:sz w:val="18"/>
          <w:szCs w:val="18"/>
          <w:lang w:val="en-IE" w:eastAsia="en-IE"/>
        </w:rPr>
        <w:t xml:space="preserve">Gyrodactylus </w:t>
      </w:r>
      <w:r w:rsidRPr="002210B3">
        <w:rPr>
          <w:rFonts w:ascii="Arial" w:hAnsi="Arial" w:cs="Arial"/>
          <w:sz w:val="18"/>
          <w:szCs w:val="18"/>
          <w:lang w:val="en-IE" w:eastAsia="en-IE"/>
        </w:rPr>
        <w:t xml:space="preserve">and Family </w:t>
      </w:r>
      <w:r w:rsidRPr="002210B3">
        <w:rPr>
          <w:rFonts w:ascii="Arial" w:hAnsi="Arial" w:cs="Arial"/>
          <w:i/>
          <w:iCs/>
          <w:sz w:val="18"/>
          <w:szCs w:val="18"/>
          <w:lang w:val="en-IE" w:eastAsia="en-IE"/>
        </w:rPr>
        <w:t>Gyrodactylidae</w:t>
      </w:r>
      <w:r w:rsidRPr="002210B3">
        <w:rPr>
          <w:rFonts w:ascii="Arial" w:hAnsi="Arial" w:cs="Arial"/>
          <w:iCs/>
          <w:sz w:val="18"/>
          <w:szCs w:val="18"/>
          <w:lang w:val="en-IE" w:eastAsia="en-IE"/>
        </w:rPr>
        <w:t xml:space="preserve">, </w:t>
      </w:r>
      <w:r w:rsidRPr="00057E23">
        <w:rPr>
          <w:rFonts w:ascii="Arial" w:hAnsi="Arial" w:cs="Arial"/>
          <w:iCs/>
          <w:sz w:val="18"/>
          <w:szCs w:val="18"/>
          <w:lang w:val="en-IE" w:eastAsia="zh-CN"/>
        </w:rPr>
        <w:t>O</w:t>
      </w:r>
      <w:r w:rsidRPr="00057E23">
        <w:rPr>
          <w:rFonts w:ascii="Arial" w:hAnsi="Arial" w:cs="Arial"/>
          <w:iCs/>
          <w:sz w:val="18"/>
          <w:szCs w:val="18"/>
          <w:lang w:val="en-IE" w:eastAsia="en-IE"/>
        </w:rPr>
        <w:t xml:space="preserve">rder </w:t>
      </w:r>
      <w:r w:rsidRPr="00057E23">
        <w:rPr>
          <w:rFonts w:ascii="Arial" w:hAnsi="Arial" w:cs="Arial"/>
          <w:i/>
          <w:iCs/>
          <w:sz w:val="18"/>
          <w:szCs w:val="18"/>
          <w:lang w:val="en-IE" w:eastAsia="en-IE"/>
        </w:rPr>
        <w:t>Gyrodactylidea</w:t>
      </w:r>
      <w:r w:rsidRPr="00057E23">
        <w:rPr>
          <w:rFonts w:ascii="Arial" w:hAnsi="Arial" w:cs="Arial"/>
          <w:iCs/>
          <w:sz w:val="18"/>
          <w:szCs w:val="18"/>
          <w:lang w:val="en-IE" w:eastAsia="en-IE"/>
        </w:rPr>
        <w:t xml:space="preserve">, and Class </w:t>
      </w:r>
      <w:r w:rsidRPr="00057E23">
        <w:rPr>
          <w:rFonts w:ascii="Arial" w:hAnsi="Arial" w:cs="Arial"/>
          <w:i/>
          <w:iCs/>
          <w:sz w:val="18"/>
          <w:szCs w:val="18"/>
          <w:lang w:val="en-IE" w:eastAsia="en-IE"/>
        </w:rPr>
        <w:t>Monogenea</w:t>
      </w:r>
      <w:r w:rsidRPr="002210B3">
        <w:rPr>
          <w:rFonts w:ascii="Arial" w:hAnsi="Arial" w:cs="Arial"/>
          <w:sz w:val="18"/>
          <w:szCs w:val="18"/>
          <w:lang w:val="en-IE" w:eastAsia="en-IE"/>
        </w:rPr>
        <w:t>.</w:t>
      </w:r>
    </w:p>
    <w:p w14:paraId="12F06EC7" w14:textId="77777777" w:rsidR="000A62A2" w:rsidRPr="000A62A2" w:rsidRDefault="000A62A2" w:rsidP="000A62A2">
      <w:pPr>
        <w:pStyle w:val="Titre1"/>
        <w:spacing w:before="0" w:after="120" w:line="240" w:lineRule="auto"/>
        <w:ind w:left="425" w:hanging="425"/>
        <w:rPr>
          <w:rFonts w:ascii="Ottawa" w:hAnsi="Ottawa" w:cs="Arial"/>
          <w:b/>
          <w:color w:val="auto"/>
          <w:sz w:val="22"/>
          <w:szCs w:val="22"/>
          <w:lang w:val="en-IE"/>
        </w:rPr>
      </w:pPr>
      <w:r w:rsidRPr="000A62A2">
        <w:rPr>
          <w:rFonts w:ascii="Ottawa" w:hAnsi="Ottawa" w:cs="Arial"/>
          <w:b/>
          <w:color w:val="auto"/>
          <w:sz w:val="22"/>
          <w:szCs w:val="22"/>
          <w:lang w:val="en-IE"/>
        </w:rPr>
        <w:t>2.</w:t>
      </w:r>
      <w:r w:rsidRPr="000A62A2">
        <w:rPr>
          <w:rFonts w:ascii="Ottawa" w:hAnsi="Ottawa" w:cs="Arial"/>
          <w:b/>
          <w:color w:val="auto"/>
          <w:sz w:val="22"/>
          <w:szCs w:val="22"/>
          <w:lang w:val="en-IE"/>
        </w:rPr>
        <w:tab/>
        <w:t>Disease information</w:t>
      </w:r>
    </w:p>
    <w:p w14:paraId="2CD67CE5" w14:textId="77777777" w:rsidR="000A62A2" w:rsidRPr="000A62A2" w:rsidRDefault="000A62A2" w:rsidP="000A62A2">
      <w:pPr>
        <w:pStyle w:val="Titre2"/>
        <w:spacing w:before="0" w:after="120" w:line="240" w:lineRule="auto"/>
        <w:ind w:left="851" w:hanging="425"/>
        <w:rPr>
          <w:rFonts w:ascii="Ottawa" w:hAnsi="Ottawa"/>
          <w:b/>
          <w:sz w:val="21"/>
          <w:szCs w:val="21"/>
          <w:lang w:val="en-IE"/>
        </w:rPr>
      </w:pPr>
      <w:r w:rsidRPr="000A62A2">
        <w:rPr>
          <w:rFonts w:ascii="Ottawa" w:hAnsi="Ottawa"/>
          <w:b/>
          <w:sz w:val="21"/>
          <w:szCs w:val="21"/>
          <w:lang w:val="en-IE"/>
        </w:rPr>
        <w:t>2.1.</w:t>
      </w:r>
      <w:r w:rsidRPr="000A62A2">
        <w:rPr>
          <w:rFonts w:ascii="Ottawa" w:hAnsi="Ottawa"/>
          <w:b/>
          <w:sz w:val="21"/>
          <w:szCs w:val="21"/>
          <w:lang w:val="en-IE"/>
        </w:rPr>
        <w:tab/>
        <w:t>Agent factors</w:t>
      </w:r>
    </w:p>
    <w:p w14:paraId="3B82244D" w14:textId="77777777" w:rsidR="000A62A2" w:rsidRPr="000A62A2" w:rsidRDefault="000A62A2" w:rsidP="000A62A2">
      <w:pPr>
        <w:pStyle w:val="Titre3"/>
        <w:spacing w:before="0" w:after="120" w:line="240" w:lineRule="auto"/>
        <w:ind w:left="851"/>
        <w:rPr>
          <w:rFonts w:ascii="Ottawa" w:hAnsi="Ottawa"/>
          <w:b/>
          <w:i w:val="0"/>
          <w:lang w:val="en-IE"/>
        </w:rPr>
      </w:pPr>
      <w:r w:rsidRPr="000A62A2">
        <w:rPr>
          <w:rFonts w:ascii="Ottawa" w:hAnsi="Ottawa"/>
          <w:b/>
          <w:i w:val="0"/>
          <w:lang w:val="en-IE"/>
        </w:rPr>
        <w:t>2.1.1.</w:t>
      </w:r>
      <w:r w:rsidRPr="000A62A2">
        <w:rPr>
          <w:rFonts w:ascii="Ottawa" w:hAnsi="Ottawa"/>
          <w:b/>
          <w:i w:val="0"/>
          <w:lang w:val="en-IE"/>
        </w:rPr>
        <w:tab/>
        <w:t>Aetiological agent</w:t>
      </w:r>
    </w:p>
    <w:p w14:paraId="0AB75FEA" w14:textId="77777777" w:rsidR="000A62A2" w:rsidRPr="002210B3" w:rsidRDefault="000A62A2" w:rsidP="000A62A2">
      <w:pPr>
        <w:pStyle w:val="Para3"/>
        <w:spacing w:after="120"/>
        <w:rPr>
          <w:rFonts w:cs="Arial"/>
          <w:lang w:bidi="en-US"/>
        </w:rPr>
      </w:pPr>
      <w:r w:rsidRPr="002210B3">
        <w:rPr>
          <w:rFonts w:cs="Arial"/>
          <w:lang w:bidi="en-US"/>
        </w:rPr>
        <w:t xml:space="preserve">Several strains or clades of </w:t>
      </w:r>
      <w:r w:rsidRPr="002210B3">
        <w:rPr>
          <w:rFonts w:cs="Arial"/>
          <w:i/>
          <w:iCs/>
          <w:lang w:bidi="en-US"/>
        </w:rPr>
        <w:t>G. salaris</w:t>
      </w:r>
      <w:r w:rsidRPr="002210B3">
        <w:rPr>
          <w:rFonts w:cs="Arial"/>
          <w:lang w:bidi="en-US"/>
        </w:rPr>
        <w:t xml:space="preserve"> have been identified on the basis of genotyping with the mitochondrial cytochrome oxidase 1 (CO1) marker (Hansen </w:t>
      </w:r>
      <w:r w:rsidRPr="002210B3">
        <w:rPr>
          <w:rFonts w:cs="Arial"/>
          <w:i/>
          <w:iCs/>
          <w:lang w:bidi="en-US"/>
        </w:rPr>
        <w:t>et al.,</w:t>
      </w:r>
      <w:r w:rsidRPr="002210B3">
        <w:rPr>
          <w:rFonts w:cs="Arial"/>
          <w:lang w:bidi="en-US"/>
        </w:rPr>
        <w:t xml:space="preserve"> 2003; 2007b; Meinil</w:t>
      </w:r>
      <w:r>
        <w:rPr>
          <w:rFonts w:cs="Arial"/>
          <w:lang w:bidi="en-US"/>
        </w:rPr>
        <w:t>a</w:t>
      </w:r>
      <w:r w:rsidRPr="002210B3">
        <w:rPr>
          <w:rFonts w:cs="Arial"/>
          <w:lang w:bidi="en-US"/>
        </w:rPr>
        <w:t xml:space="preserve"> </w:t>
      </w:r>
      <w:r w:rsidRPr="002210B3">
        <w:rPr>
          <w:rFonts w:cs="Arial"/>
          <w:i/>
          <w:iCs/>
          <w:lang w:bidi="en-US"/>
        </w:rPr>
        <w:t>et al.,</w:t>
      </w:r>
      <w:r w:rsidRPr="002210B3">
        <w:rPr>
          <w:rFonts w:cs="Arial"/>
          <w:lang w:bidi="en-US"/>
        </w:rPr>
        <w:t xml:space="preserve"> 2002; 2004</w:t>
      </w:r>
      <w:r w:rsidRPr="002210B3">
        <w:rPr>
          <w:rStyle w:val="Lienhypertexte"/>
          <w:rFonts w:cs="Arial"/>
          <w:color w:val="auto"/>
          <w:lang w:bidi="en-US"/>
        </w:rPr>
        <w:t xml:space="preserve">; Mieszkowska </w:t>
      </w:r>
      <w:r w:rsidRPr="002210B3">
        <w:rPr>
          <w:rStyle w:val="Lienhypertexte"/>
          <w:rFonts w:cs="Arial"/>
          <w:i/>
          <w:iCs/>
          <w:color w:val="auto"/>
          <w:lang w:bidi="en-US"/>
        </w:rPr>
        <w:t xml:space="preserve">et al., </w:t>
      </w:r>
      <w:r w:rsidRPr="002210B3">
        <w:rPr>
          <w:rStyle w:val="Lienhypertexte"/>
          <w:rFonts w:cs="Arial"/>
          <w:color w:val="auto"/>
          <w:lang w:bidi="en-US"/>
        </w:rPr>
        <w:t>2018</w:t>
      </w:r>
      <w:r w:rsidRPr="002210B3">
        <w:rPr>
          <w:rFonts w:cs="Arial"/>
          <w:lang w:bidi="en-US"/>
        </w:rPr>
        <w:t xml:space="preserve">). Although there does not seem to be an unambiguous correspondence between parasite strains as identified by CO1 and pathogenicity (Hansen </w:t>
      </w:r>
      <w:r w:rsidRPr="002210B3">
        <w:rPr>
          <w:rFonts w:cs="Arial"/>
          <w:i/>
          <w:lang w:bidi="en-US"/>
        </w:rPr>
        <w:t>et al</w:t>
      </w:r>
      <w:r w:rsidRPr="002210B3">
        <w:rPr>
          <w:rFonts w:cs="Arial"/>
          <w:lang w:bidi="en-US"/>
        </w:rPr>
        <w:t xml:space="preserve">., 2007a), all strains recovered from Atlantic salmon </w:t>
      </w:r>
      <w:r>
        <w:rPr>
          <w:rFonts w:cs="Arial"/>
          <w:lang w:bidi="en-US"/>
        </w:rPr>
        <w:t>(</w:t>
      </w:r>
      <w:r>
        <w:rPr>
          <w:rFonts w:cs="Arial"/>
          <w:i/>
          <w:iCs/>
          <w:lang w:bidi="en-US"/>
        </w:rPr>
        <w:t xml:space="preserve">Salmo </w:t>
      </w:r>
      <w:r w:rsidRPr="00057E23">
        <w:rPr>
          <w:rFonts w:cs="Arial"/>
          <w:i/>
          <w:iCs/>
          <w:lang w:bidi="en-US"/>
        </w:rPr>
        <w:t>salar</w:t>
      </w:r>
      <w:r>
        <w:rPr>
          <w:rFonts w:cs="Arial"/>
          <w:lang w:bidi="en-US"/>
        </w:rPr>
        <w:t xml:space="preserve">) </w:t>
      </w:r>
      <w:r w:rsidRPr="00B97383">
        <w:rPr>
          <w:rFonts w:cs="Arial"/>
          <w:lang w:bidi="en-US"/>
        </w:rPr>
        <w:t>that</w:t>
      </w:r>
      <w:r w:rsidRPr="002210B3">
        <w:rPr>
          <w:rFonts w:cs="Arial"/>
          <w:lang w:bidi="en-US"/>
        </w:rPr>
        <w:t xml:space="preserve"> have been studied in laboratory experiments, so far, are highly pathogenic to strains of Atlantic salmon. Strains non-pathogenic to </w:t>
      </w:r>
      <w:r>
        <w:rPr>
          <w:rFonts w:cs="Arial"/>
          <w:lang w:bidi="en-US"/>
        </w:rPr>
        <w:t xml:space="preserve">Atlantic </w:t>
      </w:r>
      <w:r w:rsidRPr="002210B3">
        <w:rPr>
          <w:rFonts w:cs="Arial"/>
          <w:lang w:bidi="en-US"/>
        </w:rPr>
        <w:t>salmon have been recovered from non-anadromous Arctic charr (</w:t>
      </w:r>
      <w:r w:rsidRPr="002210B3">
        <w:rPr>
          <w:rFonts w:cs="Arial"/>
          <w:i/>
          <w:iCs/>
          <w:lang w:bidi="en-US"/>
        </w:rPr>
        <w:t>Salvelinus alpinus</w:t>
      </w:r>
      <w:r w:rsidRPr="002210B3">
        <w:rPr>
          <w:rFonts w:cs="Arial"/>
          <w:lang w:bidi="en-US"/>
        </w:rPr>
        <w:t xml:space="preserve">) in Norway (Olstad </w:t>
      </w:r>
      <w:r w:rsidRPr="002210B3">
        <w:rPr>
          <w:rFonts w:cs="Arial"/>
          <w:i/>
          <w:lang w:bidi="en-US"/>
        </w:rPr>
        <w:t>et al</w:t>
      </w:r>
      <w:r w:rsidRPr="002210B3">
        <w:rPr>
          <w:rFonts w:cs="Arial"/>
          <w:lang w:bidi="en-US"/>
        </w:rPr>
        <w:t xml:space="preserve">., 2007a; Robertsen </w:t>
      </w:r>
      <w:r w:rsidRPr="002210B3">
        <w:rPr>
          <w:rFonts w:cs="Arial"/>
          <w:i/>
          <w:lang w:bidi="en-US"/>
        </w:rPr>
        <w:t>et al</w:t>
      </w:r>
      <w:r w:rsidRPr="002210B3">
        <w:rPr>
          <w:rFonts w:cs="Arial"/>
          <w:lang w:bidi="en-US"/>
        </w:rPr>
        <w:t>., 2007) and rainbow trout (</w:t>
      </w:r>
      <w:r w:rsidRPr="002210B3">
        <w:rPr>
          <w:rFonts w:cs="Arial"/>
          <w:i/>
          <w:iCs/>
          <w:lang w:bidi="en-US"/>
        </w:rPr>
        <w:t>Oncorhynchus mykiss</w:t>
      </w:r>
      <w:r w:rsidRPr="002210B3">
        <w:rPr>
          <w:rFonts w:cs="Arial"/>
          <w:lang w:bidi="en-US"/>
        </w:rPr>
        <w:t>) in Denmark (J</w:t>
      </w:r>
      <w:r>
        <w:rPr>
          <w:rFonts w:cs="Arial"/>
          <w:lang w:bidi="en-US"/>
        </w:rPr>
        <w:t>o</w:t>
      </w:r>
      <w:r w:rsidRPr="002210B3">
        <w:rPr>
          <w:rFonts w:cs="Arial"/>
          <w:lang w:bidi="en-US"/>
        </w:rPr>
        <w:t xml:space="preserve">rgensen </w:t>
      </w:r>
      <w:r w:rsidRPr="002210B3">
        <w:rPr>
          <w:rFonts w:cs="Arial"/>
          <w:i/>
          <w:lang w:bidi="en-US"/>
        </w:rPr>
        <w:t>et al</w:t>
      </w:r>
      <w:r w:rsidRPr="002210B3">
        <w:rPr>
          <w:rFonts w:cs="Arial"/>
          <w:lang w:bidi="en-US"/>
        </w:rPr>
        <w:t>., 2007; Lindenstr</w:t>
      </w:r>
      <w:r>
        <w:rPr>
          <w:rFonts w:cs="Arial"/>
          <w:lang w:bidi="en-US"/>
        </w:rPr>
        <w:t>o</w:t>
      </w:r>
      <w:r w:rsidRPr="002210B3">
        <w:rPr>
          <w:rFonts w:cs="Arial"/>
          <w:lang w:bidi="en-US"/>
        </w:rPr>
        <w:t xml:space="preserve">m </w:t>
      </w:r>
      <w:r w:rsidRPr="002210B3">
        <w:rPr>
          <w:rFonts w:cs="Arial"/>
          <w:i/>
          <w:lang w:bidi="en-US"/>
        </w:rPr>
        <w:t>et al</w:t>
      </w:r>
      <w:r w:rsidRPr="002210B3">
        <w:rPr>
          <w:rFonts w:cs="Arial"/>
          <w:lang w:bidi="en-US"/>
        </w:rPr>
        <w:t>., 2003).</w:t>
      </w:r>
    </w:p>
    <w:p w14:paraId="37E7417D" w14:textId="77777777" w:rsidR="000A62A2" w:rsidRPr="002210B3" w:rsidRDefault="000A62A2" w:rsidP="000A62A2">
      <w:pPr>
        <w:pStyle w:val="Para3"/>
      </w:pPr>
      <w:r w:rsidRPr="002210B3">
        <w:rPr>
          <w:spacing w:val="-2"/>
        </w:rPr>
        <w:t xml:space="preserve">There has been a long taxonomic/scientific debate on whether </w:t>
      </w:r>
      <w:r w:rsidRPr="002210B3">
        <w:rPr>
          <w:i/>
          <w:iCs/>
          <w:spacing w:val="-2"/>
        </w:rPr>
        <w:t>Gydrodacytlus. thymalli</w:t>
      </w:r>
      <w:r w:rsidRPr="002210B3">
        <w:rPr>
          <w:spacing w:val="-2"/>
        </w:rPr>
        <w:t>, a species described from grayling (</w:t>
      </w:r>
      <w:r w:rsidRPr="002210B3">
        <w:rPr>
          <w:i/>
          <w:iCs/>
          <w:spacing w:val="-2"/>
        </w:rPr>
        <w:t>Thymallus thymallus</w:t>
      </w:r>
      <w:r w:rsidRPr="002210B3">
        <w:rPr>
          <w:spacing w:val="-2"/>
        </w:rPr>
        <w:t xml:space="preserve">), is a junior synonym of </w:t>
      </w:r>
      <w:r w:rsidRPr="002210B3">
        <w:rPr>
          <w:i/>
          <w:iCs/>
          <w:spacing w:val="-2"/>
        </w:rPr>
        <w:t>G. salaris</w:t>
      </w:r>
      <w:r w:rsidRPr="002210B3">
        <w:rPr>
          <w:spacing w:val="-2"/>
        </w:rPr>
        <w:t xml:space="preserve"> (see e.g. Hansen </w:t>
      </w:r>
      <w:r w:rsidRPr="002210B3">
        <w:rPr>
          <w:i/>
          <w:spacing w:val="-2"/>
        </w:rPr>
        <w:t>et al</w:t>
      </w:r>
      <w:r w:rsidRPr="002210B3">
        <w:rPr>
          <w:spacing w:val="-2"/>
        </w:rPr>
        <w:t>., 2003</w:t>
      </w:r>
      <w:r>
        <w:rPr>
          <w:spacing w:val="-2"/>
        </w:rPr>
        <w:t>;</w:t>
      </w:r>
      <w:r w:rsidRPr="002210B3">
        <w:rPr>
          <w:spacing w:val="-2"/>
        </w:rPr>
        <w:t xml:space="preserve"> 2007</w:t>
      </w:r>
      <w:r>
        <w:rPr>
          <w:spacing w:val="-2"/>
        </w:rPr>
        <w:t>a, 2007b;</w:t>
      </w:r>
      <w:r w:rsidRPr="002210B3">
        <w:rPr>
          <w:spacing w:val="-2"/>
        </w:rPr>
        <w:t xml:space="preserve"> Meinil</w:t>
      </w:r>
      <w:r>
        <w:rPr>
          <w:spacing w:val="-2"/>
        </w:rPr>
        <w:t>a</w:t>
      </w:r>
      <w:r w:rsidRPr="002210B3">
        <w:rPr>
          <w:spacing w:val="-2"/>
        </w:rPr>
        <w:t xml:space="preserve"> </w:t>
      </w:r>
      <w:r w:rsidRPr="002210B3">
        <w:rPr>
          <w:i/>
          <w:spacing w:val="-2"/>
        </w:rPr>
        <w:t>et al</w:t>
      </w:r>
      <w:r w:rsidRPr="002210B3">
        <w:rPr>
          <w:spacing w:val="-2"/>
        </w:rPr>
        <w:t xml:space="preserve">, 2004, Fromm </w:t>
      </w:r>
      <w:r w:rsidRPr="002210B3">
        <w:rPr>
          <w:i/>
          <w:spacing w:val="-2"/>
        </w:rPr>
        <w:t>et al</w:t>
      </w:r>
      <w:r w:rsidRPr="002210B3">
        <w:rPr>
          <w:spacing w:val="-2"/>
        </w:rPr>
        <w:t>, 2014)</w:t>
      </w:r>
      <w:r w:rsidRPr="002210B3">
        <w:t xml:space="preserve">, and </w:t>
      </w:r>
      <w:r w:rsidRPr="002210B3">
        <w:rPr>
          <w:spacing w:val="-2"/>
        </w:rPr>
        <w:t>most evidence favour</w:t>
      </w:r>
      <w:r>
        <w:rPr>
          <w:spacing w:val="-2"/>
        </w:rPr>
        <w:t>s</w:t>
      </w:r>
      <w:r w:rsidRPr="002210B3">
        <w:rPr>
          <w:spacing w:val="-2"/>
        </w:rPr>
        <w:t xml:space="preserve"> such a synonymization</w:t>
      </w:r>
      <w:r w:rsidRPr="002210B3">
        <w:t xml:space="preserve">. The National Center for Biotechnology Information (NCBI) has accepted the synonymization of </w:t>
      </w:r>
      <w:r w:rsidRPr="002210B3">
        <w:rPr>
          <w:i/>
          <w:iCs/>
        </w:rPr>
        <w:t>G. salaris</w:t>
      </w:r>
      <w:r w:rsidRPr="002210B3">
        <w:t xml:space="preserve"> and </w:t>
      </w:r>
      <w:r w:rsidRPr="002210B3">
        <w:rPr>
          <w:i/>
          <w:iCs/>
        </w:rPr>
        <w:t>G.</w:t>
      </w:r>
      <w:r>
        <w:rPr>
          <w:i/>
          <w:iCs/>
        </w:rPr>
        <w:t> </w:t>
      </w:r>
      <w:r w:rsidRPr="002210B3">
        <w:rPr>
          <w:i/>
          <w:iCs/>
        </w:rPr>
        <w:t>thymalli</w:t>
      </w:r>
      <w:r w:rsidRPr="002210B3">
        <w:t xml:space="preserve"> with the result that all</w:t>
      </w:r>
      <w:r>
        <w:t xml:space="preserve"> accessions of</w:t>
      </w:r>
      <w:r w:rsidRPr="002210B3">
        <w:t xml:space="preserve"> DNA sequences previously assigned to </w:t>
      </w:r>
      <w:r w:rsidRPr="002210B3">
        <w:rPr>
          <w:i/>
          <w:iCs/>
        </w:rPr>
        <w:t>G. thymalli</w:t>
      </w:r>
      <w:r w:rsidRPr="002210B3">
        <w:t xml:space="preserve"> are now assigned to </w:t>
      </w:r>
      <w:r w:rsidRPr="002210B3">
        <w:rPr>
          <w:i/>
          <w:iCs/>
        </w:rPr>
        <w:t>G.</w:t>
      </w:r>
      <w:r>
        <w:rPr>
          <w:i/>
          <w:iCs/>
        </w:rPr>
        <w:t> </w:t>
      </w:r>
      <w:r w:rsidRPr="002210B3">
        <w:rPr>
          <w:i/>
          <w:iCs/>
        </w:rPr>
        <w:t>salaris</w:t>
      </w:r>
      <w:r w:rsidRPr="002210B3">
        <w:rPr>
          <w:spacing w:val="-2"/>
          <w:szCs w:val="18"/>
        </w:rPr>
        <w:t>.</w:t>
      </w:r>
      <w:r w:rsidRPr="002210B3">
        <w:rPr>
          <w:spacing w:val="-2"/>
        </w:rPr>
        <w:t xml:space="preserve"> Irrespective of this debate, strains isolated from grayling have never been found pathogenic to Atlantic salmon in experimental trials (see e.g. Sterud </w:t>
      </w:r>
      <w:r w:rsidRPr="002210B3">
        <w:rPr>
          <w:i/>
          <w:spacing w:val="-2"/>
        </w:rPr>
        <w:t>et al</w:t>
      </w:r>
      <w:r w:rsidRPr="002210B3">
        <w:rPr>
          <w:spacing w:val="-2"/>
        </w:rPr>
        <w:t>., 2002)</w:t>
      </w:r>
      <w:r w:rsidRPr="002210B3">
        <w:rPr>
          <w:spacing w:val="-2"/>
          <w:szCs w:val="18"/>
        </w:rPr>
        <w:t xml:space="preserve">, </w:t>
      </w:r>
      <w:r w:rsidRPr="002210B3">
        <w:t xml:space="preserve">and </w:t>
      </w:r>
      <w:r w:rsidRPr="002210B3">
        <w:rPr>
          <w:spacing w:val="-2"/>
        </w:rPr>
        <w:t>do not seem to occur on Atlantic salmon when in sympatry</w:t>
      </w:r>
      <w:r>
        <w:rPr>
          <w:spacing w:val="-2"/>
        </w:rPr>
        <w:t xml:space="preserve"> with grayling</w:t>
      </w:r>
      <w:r w:rsidRPr="002210B3">
        <w:rPr>
          <w:spacing w:val="-2"/>
        </w:rPr>
        <w:t xml:space="preserve"> (Anttila </w:t>
      </w:r>
      <w:r w:rsidRPr="002210B3">
        <w:rPr>
          <w:i/>
          <w:spacing w:val="-2"/>
        </w:rPr>
        <w:t>et al</w:t>
      </w:r>
      <w:r w:rsidRPr="002210B3">
        <w:rPr>
          <w:spacing w:val="-2"/>
        </w:rPr>
        <w:t>., 2008)</w:t>
      </w:r>
      <w:r w:rsidRPr="002210B3">
        <w:rPr>
          <w:spacing w:val="-2"/>
          <w:szCs w:val="18"/>
        </w:rPr>
        <w:t>.</w:t>
      </w:r>
      <w:bookmarkStart w:id="162" w:name="_Hlk20653131"/>
      <w:r w:rsidRPr="002210B3">
        <w:rPr>
          <w:spacing w:val="-2"/>
        </w:rPr>
        <w:t xml:space="preserve"> In this chapter, it is assumed that </w:t>
      </w:r>
      <w:r w:rsidRPr="002210B3">
        <w:rPr>
          <w:i/>
          <w:iCs/>
          <w:spacing w:val="-2"/>
        </w:rPr>
        <w:t>G.</w:t>
      </w:r>
      <w:r>
        <w:rPr>
          <w:i/>
          <w:iCs/>
          <w:spacing w:val="-2"/>
        </w:rPr>
        <w:t> </w:t>
      </w:r>
      <w:r w:rsidRPr="002210B3">
        <w:rPr>
          <w:i/>
          <w:iCs/>
          <w:spacing w:val="-2"/>
        </w:rPr>
        <w:t>salaris</w:t>
      </w:r>
      <w:r w:rsidRPr="002210B3">
        <w:rPr>
          <w:spacing w:val="-2"/>
        </w:rPr>
        <w:t xml:space="preserve"> and </w:t>
      </w:r>
      <w:r w:rsidRPr="002210B3">
        <w:rPr>
          <w:i/>
          <w:iCs/>
          <w:spacing w:val="-2"/>
        </w:rPr>
        <w:t>G. thymalli</w:t>
      </w:r>
      <w:r w:rsidRPr="002210B3">
        <w:rPr>
          <w:spacing w:val="-2"/>
        </w:rPr>
        <w:t xml:space="preserve"> are two species.</w:t>
      </w:r>
      <w:bookmarkEnd w:id="162"/>
    </w:p>
    <w:p w14:paraId="3DC83C11" w14:textId="77777777" w:rsidR="000A62A2" w:rsidRPr="000A62A2" w:rsidRDefault="000A62A2" w:rsidP="000A62A2">
      <w:pPr>
        <w:pStyle w:val="Titre3"/>
        <w:spacing w:before="0" w:after="120" w:line="240" w:lineRule="auto"/>
        <w:ind w:left="851"/>
        <w:rPr>
          <w:rFonts w:ascii="Ottawa" w:hAnsi="Ottawa"/>
          <w:b/>
          <w:i w:val="0"/>
          <w:lang w:val="en-IE"/>
        </w:rPr>
      </w:pPr>
      <w:r w:rsidRPr="000A62A2">
        <w:rPr>
          <w:rFonts w:ascii="Ottawa" w:hAnsi="Ottawa"/>
          <w:b/>
          <w:i w:val="0"/>
          <w:lang w:val="en-IE"/>
        </w:rPr>
        <w:t>2.1.2.</w:t>
      </w:r>
      <w:r w:rsidRPr="000A62A2">
        <w:rPr>
          <w:rFonts w:ascii="Ottawa" w:hAnsi="Ottawa"/>
          <w:b/>
          <w:i w:val="0"/>
          <w:lang w:val="en-IE"/>
        </w:rPr>
        <w:tab/>
        <w:t>Survival and stability on host tissues</w:t>
      </w:r>
    </w:p>
    <w:p w14:paraId="45B521FB" w14:textId="77777777" w:rsidR="000A62A2" w:rsidRPr="002210B3" w:rsidRDefault="000A62A2" w:rsidP="000A62A2">
      <w:pPr>
        <w:pStyle w:val="Para3"/>
        <w:rPr>
          <w:rFonts w:cs="Arial"/>
          <w:lang w:bidi="en-US"/>
        </w:rPr>
      </w:pPr>
      <w:r w:rsidRPr="002210B3">
        <w:rPr>
          <w:rFonts w:cs="Arial"/>
        </w:rPr>
        <w:t xml:space="preserve">Survival of </w:t>
      </w:r>
      <w:r w:rsidRPr="002210B3">
        <w:rPr>
          <w:rFonts w:cs="Arial"/>
          <w:i/>
          <w:iCs/>
        </w:rPr>
        <w:t>G. salaris</w:t>
      </w:r>
      <w:r w:rsidRPr="002210B3">
        <w:rPr>
          <w:rFonts w:cs="Arial"/>
          <w:lang w:bidi="en-US"/>
        </w:rPr>
        <w:t xml:space="preserve"> attached to a dead host is temperature dependent: maximum survival times for </w:t>
      </w:r>
      <w:r w:rsidRPr="002210B3">
        <w:rPr>
          <w:rFonts w:cs="Arial"/>
          <w:i/>
          <w:iCs/>
          <w:lang w:bidi="en-US"/>
        </w:rPr>
        <w:t>G. salaris</w:t>
      </w:r>
      <w:r w:rsidRPr="002210B3">
        <w:rPr>
          <w:rFonts w:cs="Arial"/>
          <w:lang w:bidi="en-US"/>
        </w:rPr>
        <w:t xml:space="preserve"> on dead Atlantic salmon are 72, 142 and 365 hours at 18, 12 and 3°C, respectively (Olstad </w:t>
      </w:r>
      <w:r w:rsidRPr="002210B3">
        <w:rPr>
          <w:rFonts w:cs="Arial"/>
          <w:i/>
          <w:lang w:bidi="en-US"/>
        </w:rPr>
        <w:t>et al</w:t>
      </w:r>
      <w:r w:rsidRPr="002210B3">
        <w:rPr>
          <w:rFonts w:cs="Arial"/>
          <w:lang w:bidi="en-US"/>
        </w:rPr>
        <w:t>., 2006).</w:t>
      </w:r>
    </w:p>
    <w:p w14:paraId="50E570CD" w14:textId="77777777" w:rsidR="000A62A2" w:rsidRPr="000A62A2" w:rsidRDefault="000A62A2" w:rsidP="000A62A2">
      <w:pPr>
        <w:pStyle w:val="Titre3"/>
        <w:spacing w:before="0" w:after="120" w:line="240" w:lineRule="auto"/>
        <w:ind w:left="851"/>
        <w:rPr>
          <w:rFonts w:ascii="Ottawa" w:hAnsi="Ottawa"/>
          <w:b/>
          <w:i w:val="0"/>
          <w:lang w:val="en-IE"/>
        </w:rPr>
      </w:pPr>
      <w:r w:rsidRPr="000A62A2">
        <w:rPr>
          <w:rFonts w:ascii="Ottawa" w:hAnsi="Ottawa"/>
          <w:b/>
          <w:i w:val="0"/>
          <w:lang w:val="en-IE"/>
        </w:rPr>
        <w:t>2.1.3.</w:t>
      </w:r>
      <w:r w:rsidRPr="000A62A2">
        <w:rPr>
          <w:rFonts w:ascii="Ottawa" w:hAnsi="Ottawa"/>
          <w:b/>
          <w:i w:val="0"/>
          <w:lang w:val="en-IE"/>
        </w:rPr>
        <w:tab/>
        <w:t>Survival and stability off the host or in processed or stored samples</w:t>
      </w:r>
    </w:p>
    <w:p w14:paraId="0D25416A" w14:textId="77777777" w:rsidR="000A62A2" w:rsidRPr="002210B3" w:rsidRDefault="000A62A2" w:rsidP="000A62A2">
      <w:pPr>
        <w:pStyle w:val="Para3"/>
        <w:rPr>
          <w:rFonts w:cs="Arial"/>
          <w:lang w:bidi="en-US"/>
        </w:rPr>
      </w:pPr>
      <w:r w:rsidRPr="002210B3">
        <w:rPr>
          <w:rFonts w:cs="Arial"/>
          <w:lang w:bidi="en-US"/>
        </w:rPr>
        <w:t xml:space="preserve">Survival of detached </w:t>
      </w:r>
      <w:r w:rsidRPr="002210B3">
        <w:rPr>
          <w:rFonts w:cs="Arial"/>
          <w:i/>
          <w:iCs/>
          <w:lang w:bidi="en-US"/>
        </w:rPr>
        <w:t>G. salaris</w:t>
      </w:r>
      <w:r w:rsidRPr="002210B3">
        <w:rPr>
          <w:rFonts w:cs="Arial"/>
          <w:lang w:bidi="en-US"/>
        </w:rPr>
        <w:t xml:space="preserve"> is temperature dependent: approximately 24 hours at 19°C, 54 hours at 13°C, 96 hours at 7°C and 132 hours at 3°C (Olstad </w:t>
      </w:r>
      <w:r w:rsidRPr="002210B3">
        <w:rPr>
          <w:rFonts w:cs="Arial"/>
          <w:i/>
          <w:lang w:bidi="en-US"/>
        </w:rPr>
        <w:t>et al</w:t>
      </w:r>
      <w:r w:rsidRPr="002210B3">
        <w:rPr>
          <w:rFonts w:cs="Arial"/>
          <w:lang w:bidi="en-US"/>
        </w:rPr>
        <w:t xml:space="preserve">., 2006). </w:t>
      </w:r>
      <w:r w:rsidRPr="002210B3">
        <w:rPr>
          <w:rFonts w:cs="Arial"/>
          <w:i/>
          <w:iCs/>
          <w:szCs w:val="18"/>
          <w:lang w:eastAsia="fr-FR"/>
        </w:rPr>
        <w:t>G</w:t>
      </w:r>
      <w:r>
        <w:rPr>
          <w:rFonts w:cs="Arial"/>
          <w:i/>
          <w:iCs/>
          <w:szCs w:val="18"/>
          <w:lang w:eastAsia="fr-FR"/>
        </w:rPr>
        <w:t>.</w:t>
      </w:r>
      <w:r w:rsidRPr="002210B3">
        <w:rPr>
          <w:rFonts w:cs="Arial"/>
          <w:i/>
          <w:iCs/>
          <w:szCs w:val="18"/>
          <w:lang w:eastAsia="fr-FR"/>
        </w:rPr>
        <w:t xml:space="preserve"> </w:t>
      </w:r>
      <w:r w:rsidRPr="002210B3">
        <w:rPr>
          <w:rFonts w:cs="Arial"/>
          <w:i/>
          <w:iCs/>
          <w:lang w:bidi="en-US"/>
        </w:rPr>
        <w:t>salaris</w:t>
      </w:r>
      <w:r w:rsidRPr="002210B3">
        <w:rPr>
          <w:rFonts w:cs="Arial"/>
          <w:lang w:bidi="en-US"/>
        </w:rPr>
        <w:t xml:space="preserve"> is known to survive between temperatures of 0°C to 25°C. Tolerance to temperatures above 25°C is unknown. </w:t>
      </w:r>
      <w:r w:rsidRPr="002210B3">
        <w:rPr>
          <w:rFonts w:cs="Arial"/>
          <w:i/>
          <w:iCs/>
          <w:lang w:bidi="en-US"/>
        </w:rPr>
        <w:t>G. salaris</w:t>
      </w:r>
      <w:r w:rsidRPr="002210B3">
        <w:rPr>
          <w:rFonts w:cs="Arial"/>
          <w:lang w:bidi="en-US"/>
        </w:rPr>
        <w:t xml:space="preserve"> is </w:t>
      </w:r>
      <w:r>
        <w:rPr>
          <w:rFonts w:cs="Arial"/>
          <w:lang w:bidi="en-US"/>
        </w:rPr>
        <w:t>sensitive</w:t>
      </w:r>
      <w:r w:rsidRPr="002210B3">
        <w:rPr>
          <w:rFonts w:cs="Arial"/>
          <w:lang w:bidi="en-US"/>
        </w:rPr>
        <w:t xml:space="preserve"> to freezing</w:t>
      </w:r>
      <w:r>
        <w:rPr>
          <w:rFonts w:cs="Arial"/>
          <w:lang w:bidi="en-US"/>
        </w:rPr>
        <w:t xml:space="preserve"> and</w:t>
      </w:r>
      <w:r w:rsidRPr="002210B3">
        <w:rPr>
          <w:rFonts w:cs="Arial"/>
          <w:lang w:bidi="en-US"/>
        </w:rPr>
        <w:t xml:space="preserve"> desiccation. </w:t>
      </w:r>
      <w:r w:rsidRPr="00057E23">
        <w:rPr>
          <w:rFonts w:cs="Arial"/>
          <w:iCs/>
          <w:lang w:bidi="en-US"/>
        </w:rPr>
        <w:t>It</w:t>
      </w:r>
      <w:r w:rsidRPr="002210B3">
        <w:rPr>
          <w:rFonts w:cs="Arial"/>
          <w:lang w:bidi="en-US"/>
        </w:rPr>
        <w:t xml:space="preserve"> dies after a few days at pH≤5. It is more sensitive to low pH (5.1&lt;pH&lt;6.4) in association with aluminium and zinc than the host Atlantic salmon (Pol</w:t>
      </w:r>
      <w:r>
        <w:rPr>
          <w:rFonts w:cs="Arial"/>
          <w:lang w:bidi="en-US"/>
        </w:rPr>
        <w:t>e</w:t>
      </w:r>
      <w:r w:rsidRPr="002210B3">
        <w:rPr>
          <w:rFonts w:cs="Arial"/>
          <w:lang w:bidi="en-US"/>
        </w:rPr>
        <w:t xml:space="preserve">o </w:t>
      </w:r>
      <w:r w:rsidRPr="002210B3">
        <w:rPr>
          <w:rFonts w:cs="Arial"/>
          <w:i/>
          <w:lang w:bidi="en-US"/>
        </w:rPr>
        <w:t>et al</w:t>
      </w:r>
      <w:r w:rsidRPr="002210B3">
        <w:rPr>
          <w:rFonts w:cs="Arial"/>
          <w:lang w:bidi="en-US"/>
        </w:rPr>
        <w:t xml:space="preserve">., 2004; Soleng </w:t>
      </w:r>
      <w:r w:rsidRPr="002210B3">
        <w:rPr>
          <w:rFonts w:cs="Arial"/>
          <w:i/>
          <w:lang w:bidi="en-US"/>
        </w:rPr>
        <w:t>et al</w:t>
      </w:r>
      <w:r w:rsidRPr="002210B3">
        <w:rPr>
          <w:rFonts w:cs="Arial"/>
          <w:lang w:bidi="en-US"/>
        </w:rPr>
        <w:t>., 1999), and re</w:t>
      </w:r>
      <w:r w:rsidRPr="002210B3">
        <w:rPr>
          <w:rFonts w:cs="Arial"/>
          <w:lang w:eastAsia="fr-FR"/>
        </w:rPr>
        <w:t xml:space="preserve">cently, it was also found that </w:t>
      </w:r>
      <w:r w:rsidRPr="002210B3">
        <w:rPr>
          <w:rFonts w:cs="Arial"/>
          <w:i/>
          <w:lang w:eastAsia="fr-FR"/>
        </w:rPr>
        <w:t>G. salaris</w:t>
      </w:r>
      <w:r w:rsidRPr="002210B3">
        <w:rPr>
          <w:rFonts w:cs="Arial"/>
          <w:lang w:eastAsia="fr-FR"/>
        </w:rPr>
        <w:t xml:space="preserve"> is sensitive to low doses of chlorine (</w:t>
      </w:r>
      <w:r w:rsidRPr="00057E23">
        <w:rPr>
          <w:rFonts w:cs="Arial"/>
          <w:lang w:eastAsia="fr-FR"/>
        </w:rPr>
        <w:t xml:space="preserve">Hagen </w:t>
      </w:r>
      <w:r w:rsidRPr="00057E23">
        <w:rPr>
          <w:rFonts w:cs="Arial"/>
          <w:i/>
          <w:lang w:eastAsia="fr-FR"/>
        </w:rPr>
        <w:t>et al</w:t>
      </w:r>
      <w:r w:rsidRPr="00057E23">
        <w:rPr>
          <w:rFonts w:cs="Arial"/>
          <w:lang w:eastAsia="fr-FR"/>
        </w:rPr>
        <w:t>., 2014</w:t>
      </w:r>
      <w:r w:rsidRPr="002210B3">
        <w:rPr>
          <w:rFonts w:cs="Arial"/>
          <w:lang w:eastAsia="fr-FR"/>
        </w:rPr>
        <w:t>)</w:t>
      </w:r>
      <w:r w:rsidRPr="002210B3">
        <w:rPr>
          <w:rFonts w:cs="Arial"/>
          <w:lang w:bidi="en-US"/>
        </w:rPr>
        <w:t>. For inactivation methods, see Section 2.4.</w:t>
      </w:r>
      <w:r>
        <w:rPr>
          <w:rFonts w:cs="Arial"/>
          <w:lang w:bidi="en-US"/>
        </w:rPr>
        <w:t>5</w:t>
      </w:r>
      <w:r w:rsidRPr="002210B3">
        <w:rPr>
          <w:rFonts w:cs="Arial"/>
          <w:lang w:bidi="en-US"/>
        </w:rPr>
        <w:t>.</w:t>
      </w:r>
    </w:p>
    <w:p w14:paraId="694B4A49" w14:textId="77777777" w:rsidR="000A62A2" w:rsidRPr="000A62A2" w:rsidRDefault="000A62A2" w:rsidP="00016309">
      <w:pPr>
        <w:pStyle w:val="Titre2"/>
        <w:spacing w:before="0" w:after="240"/>
        <w:ind w:left="851" w:hanging="425"/>
        <w:rPr>
          <w:rFonts w:ascii="Ottawa" w:hAnsi="Ottawa"/>
          <w:b/>
          <w:sz w:val="21"/>
          <w:szCs w:val="21"/>
          <w:lang w:val="en-IE"/>
        </w:rPr>
      </w:pPr>
      <w:r w:rsidRPr="000A62A2">
        <w:rPr>
          <w:rFonts w:ascii="Ottawa" w:hAnsi="Ottawa"/>
          <w:b/>
          <w:sz w:val="21"/>
          <w:szCs w:val="21"/>
          <w:lang w:val="en-IE"/>
        </w:rPr>
        <w:t>2.2.</w:t>
      </w:r>
      <w:r w:rsidRPr="000A62A2">
        <w:rPr>
          <w:rFonts w:ascii="Ottawa" w:hAnsi="Ottawa"/>
          <w:b/>
          <w:sz w:val="21"/>
          <w:szCs w:val="21"/>
          <w:lang w:val="en-IE"/>
        </w:rPr>
        <w:tab/>
        <w:t>Host factors</w:t>
      </w:r>
    </w:p>
    <w:p w14:paraId="086DB701" w14:textId="77777777" w:rsidR="000A62A2" w:rsidRPr="000A62A2" w:rsidRDefault="000A62A2" w:rsidP="00016309">
      <w:pPr>
        <w:pStyle w:val="Titre3"/>
        <w:spacing w:before="0" w:after="240" w:line="240" w:lineRule="auto"/>
        <w:ind w:left="851"/>
        <w:rPr>
          <w:rFonts w:ascii="Ottawa" w:hAnsi="Ottawa"/>
          <w:b/>
          <w:i w:val="0"/>
          <w:lang w:val="en-IE"/>
        </w:rPr>
      </w:pPr>
      <w:r w:rsidRPr="000A62A2">
        <w:rPr>
          <w:rFonts w:ascii="Ottawa" w:hAnsi="Ottawa"/>
          <w:b/>
          <w:i w:val="0"/>
          <w:lang w:val="en-IE"/>
        </w:rPr>
        <w:t>2.2.1.</w:t>
      </w:r>
      <w:r w:rsidRPr="000A62A2">
        <w:rPr>
          <w:rFonts w:ascii="Ottawa" w:hAnsi="Ottawa"/>
          <w:b/>
          <w:i w:val="0"/>
          <w:lang w:val="en-IE"/>
        </w:rPr>
        <w:tab/>
        <w:t xml:space="preserve">Susceptible host species </w:t>
      </w:r>
    </w:p>
    <w:p w14:paraId="741244BA" w14:textId="77777777" w:rsidR="000A62A2" w:rsidRPr="002210B3" w:rsidRDefault="000A62A2" w:rsidP="000A62A2">
      <w:pPr>
        <w:pStyle w:val="Para3"/>
      </w:pPr>
      <w:r w:rsidRPr="002210B3">
        <w:rPr>
          <w:lang w:bidi="en-US"/>
        </w:rPr>
        <w:t xml:space="preserve">Species that fulfil the criteria for listing as susceptible to infection with </w:t>
      </w:r>
      <w:r w:rsidRPr="002210B3">
        <w:rPr>
          <w:i/>
          <w:iCs/>
          <w:lang w:bidi="en-US"/>
        </w:rPr>
        <w:t>G. salaris</w:t>
      </w:r>
      <w:r w:rsidRPr="002210B3">
        <w:rPr>
          <w:lang w:bidi="en-US"/>
        </w:rPr>
        <w:t xml:space="preserve"> according to Chapter 1.5. of the </w:t>
      </w:r>
      <w:r w:rsidRPr="002210B3">
        <w:rPr>
          <w:i/>
          <w:iCs/>
          <w:lang w:bidi="en-US"/>
        </w:rPr>
        <w:t>Aquatic Animal Health Code</w:t>
      </w:r>
      <w:r w:rsidRPr="002210B3">
        <w:rPr>
          <w:lang w:bidi="en-US"/>
        </w:rPr>
        <w:t xml:space="preserve"> (</w:t>
      </w:r>
      <w:r w:rsidRPr="002210B3">
        <w:rPr>
          <w:i/>
          <w:iCs/>
          <w:lang w:bidi="en-US"/>
        </w:rPr>
        <w:t>Aquatic Code</w:t>
      </w:r>
      <w:r w:rsidRPr="002210B3">
        <w:rPr>
          <w:lang w:bidi="en-US"/>
        </w:rPr>
        <w:t>) include: Atlantic salmon (</w:t>
      </w:r>
      <w:r w:rsidRPr="002210B3">
        <w:rPr>
          <w:i/>
          <w:iCs/>
          <w:lang w:bidi="en-US"/>
        </w:rPr>
        <w:t>Salmo salar</w:t>
      </w:r>
      <w:r w:rsidRPr="002210B3">
        <w:rPr>
          <w:lang w:bidi="en-US"/>
        </w:rPr>
        <w:t>), rainbow trout (</w:t>
      </w:r>
      <w:r w:rsidRPr="002210B3">
        <w:rPr>
          <w:i/>
          <w:iCs/>
          <w:lang w:bidi="en-US"/>
        </w:rPr>
        <w:t>Oncorhynchus mykiss</w:t>
      </w:r>
      <w:r w:rsidRPr="002210B3">
        <w:rPr>
          <w:lang w:bidi="en-US"/>
        </w:rPr>
        <w:t>), Arctic char (</w:t>
      </w:r>
      <w:r w:rsidRPr="002210B3">
        <w:rPr>
          <w:i/>
          <w:iCs/>
          <w:lang w:bidi="en-US"/>
        </w:rPr>
        <w:t>Salvelinus alpinus</w:t>
      </w:r>
      <w:r w:rsidRPr="002210B3">
        <w:rPr>
          <w:lang w:bidi="en-US"/>
        </w:rPr>
        <w:t>), brown trout (</w:t>
      </w:r>
      <w:r w:rsidRPr="002210B3">
        <w:rPr>
          <w:i/>
          <w:iCs/>
          <w:lang w:bidi="en-US"/>
        </w:rPr>
        <w:t>Salmo trutta</w:t>
      </w:r>
      <w:r w:rsidRPr="002210B3">
        <w:rPr>
          <w:lang w:bidi="en-US"/>
        </w:rPr>
        <w:t>), grayling (</w:t>
      </w:r>
      <w:r w:rsidRPr="002210B3">
        <w:rPr>
          <w:i/>
          <w:iCs/>
          <w:lang w:bidi="en-US"/>
        </w:rPr>
        <w:t>Thymallus thymallus</w:t>
      </w:r>
      <w:r w:rsidRPr="002210B3">
        <w:rPr>
          <w:lang w:bidi="en-US"/>
        </w:rPr>
        <w:t>), and North American brook trout (</w:t>
      </w:r>
      <w:r w:rsidRPr="002210B3">
        <w:rPr>
          <w:i/>
          <w:iCs/>
          <w:lang w:bidi="en-US"/>
        </w:rPr>
        <w:t>Salvelinus fontinalis</w:t>
      </w:r>
      <w:r w:rsidRPr="002210B3">
        <w:rPr>
          <w:lang w:bidi="en-US"/>
        </w:rPr>
        <w:t>).</w:t>
      </w:r>
    </w:p>
    <w:p w14:paraId="7BE38994" w14:textId="77777777" w:rsidR="000A62A2" w:rsidRPr="000A62A2" w:rsidRDefault="000A62A2" w:rsidP="000A62A2">
      <w:pPr>
        <w:pStyle w:val="Titre3"/>
        <w:spacing w:before="0" w:after="480" w:line="240" w:lineRule="auto"/>
        <w:rPr>
          <w:bCs/>
          <w:i w:val="0"/>
          <w:iCs/>
        </w:rPr>
      </w:pPr>
      <w:r w:rsidRPr="000A62A2">
        <w:rPr>
          <w:rFonts w:cs="Times New Roman"/>
          <w:i w:val="0"/>
          <w:szCs w:val="20"/>
          <w:u w:val="single"/>
        </w:rPr>
        <w:lastRenderedPageBreak/>
        <w:t>A</w:t>
      </w:r>
      <w:r w:rsidRPr="000A62A2">
        <w:rPr>
          <w:rFonts w:cs="Times New Roman"/>
          <w:bCs/>
          <w:i w:val="0"/>
          <w:iCs/>
          <w:szCs w:val="20"/>
          <w:u w:val="single"/>
        </w:rPr>
        <w:t>nnex 15</w:t>
      </w:r>
      <w:r w:rsidRPr="000A62A2">
        <w:rPr>
          <w:rFonts w:cs="Times New Roman"/>
          <w:bCs/>
          <w:i w:val="0"/>
          <w:iCs/>
          <w:szCs w:val="20"/>
        </w:rPr>
        <w:t xml:space="preserve"> (contd)</w:t>
      </w:r>
    </w:p>
    <w:p w14:paraId="6321F643" w14:textId="77777777" w:rsidR="000A62A2" w:rsidRPr="000A62A2" w:rsidRDefault="000A62A2" w:rsidP="000A62A2">
      <w:pPr>
        <w:pStyle w:val="Titre3"/>
        <w:spacing w:before="0" w:after="240" w:line="240" w:lineRule="auto"/>
        <w:ind w:left="851"/>
        <w:rPr>
          <w:rFonts w:ascii="Ottawa" w:hAnsi="Ottawa"/>
          <w:b/>
          <w:i w:val="0"/>
          <w:lang w:val="en-IE"/>
        </w:rPr>
      </w:pPr>
      <w:r w:rsidRPr="000A62A2">
        <w:rPr>
          <w:rFonts w:ascii="Ottawa" w:hAnsi="Ottawa"/>
          <w:b/>
          <w:i w:val="0"/>
          <w:lang w:val="en-IE"/>
        </w:rPr>
        <w:t>2.2.2.</w:t>
      </w:r>
      <w:r w:rsidRPr="000A62A2">
        <w:rPr>
          <w:rFonts w:ascii="Ottawa" w:hAnsi="Ottawa"/>
          <w:b/>
          <w:i w:val="0"/>
          <w:lang w:val="en-IE"/>
        </w:rPr>
        <w:tab/>
        <w:t>Species with incomplete evidence for susceptibility</w:t>
      </w:r>
    </w:p>
    <w:p w14:paraId="28F16027" w14:textId="77777777" w:rsidR="000A62A2" w:rsidRPr="002210B3" w:rsidRDefault="000A62A2" w:rsidP="000A62A2">
      <w:pPr>
        <w:pStyle w:val="Para3"/>
        <w:rPr>
          <w:rFonts w:cs="Arial"/>
          <w:lang w:eastAsia="fr-FR"/>
        </w:rPr>
      </w:pPr>
      <w:r w:rsidRPr="002210B3">
        <w:rPr>
          <w:rFonts w:cs="Arial"/>
          <w:lang w:eastAsia="zh-CN"/>
        </w:rPr>
        <w:t>N</w:t>
      </w:r>
      <w:r w:rsidRPr="002210B3">
        <w:rPr>
          <w:rFonts w:cs="Arial"/>
          <w:lang w:eastAsia="fr-FR"/>
        </w:rPr>
        <w:t>one known.</w:t>
      </w:r>
    </w:p>
    <w:p w14:paraId="4F027CA7" w14:textId="77777777" w:rsidR="000A62A2" w:rsidRPr="002210B3" w:rsidRDefault="000A62A2" w:rsidP="000A62A2">
      <w:pPr>
        <w:spacing w:after="120"/>
        <w:ind w:left="851"/>
        <w:jc w:val="both"/>
        <w:rPr>
          <w:rFonts w:ascii="Ottawa" w:hAnsi="Ottawa"/>
          <w:b/>
          <w:bCs/>
          <w:lang w:val="en-IE" w:eastAsia="fr-FR"/>
        </w:rPr>
      </w:pPr>
      <w:r w:rsidRPr="002210B3">
        <w:rPr>
          <w:rFonts w:ascii="Ottawa" w:hAnsi="Ottawa"/>
          <w:b/>
          <w:bCs/>
          <w:lang w:val="en-IE" w:eastAsia="fr-FR"/>
        </w:rPr>
        <w:t>2.2.3.</w:t>
      </w:r>
      <w:r w:rsidRPr="002210B3">
        <w:rPr>
          <w:rFonts w:ascii="Ottawa" w:hAnsi="Ottawa"/>
          <w:b/>
          <w:bCs/>
          <w:lang w:val="en-IE" w:eastAsia="fr-FR"/>
        </w:rPr>
        <w:tab/>
        <w:t>Non-susceptible species</w:t>
      </w:r>
    </w:p>
    <w:p w14:paraId="2D74ED42" w14:textId="77777777" w:rsidR="000A62A2" w:rsidRPr="002210B3" w:rsidRDefault="000A62A2" w:rsidP="000A62A2">
      <w:pPr>
        <w:pStyle w:val="Para3"/>
        <w:rPr>
          <w:rFonts w:cs="Arial"/>
          <w:lang w:eastAsia="fr-FR"/>
        </w:rPr>
      </w:pPr>
      <w:r w:rsidRPr="002210B3">
        <w:rPr>
          <w:rFonts w:cs="Arial"/>
          <w:iCs/>
        </w:rPr>
        <w:t xml:space="preserve">Species </w:t>
      </w:r>
      <w:r w:rsidRPr="002210B3">
        <w:rPr>
          <w:rFonts w:cs="Arial"/>
          <w:bCs w:val="0"/>
          <w:iCs/>
        </w:rPr>
        <w:t>that have been found non-s</w:t>
      </w:r>
      <w:r w:rsidRPr="002210B3">
        <w:rPr>
          <w:rFonts w:cs="Arial"/>
          <w:iCs/>
        </w:rPr>
        <w:t>usceptib</w:t>
      </w:r>
      <w:r w:rsidRPr="002210B3">
        <w:rPr>
          <w:rFonts w:cs="Arial"/>
          <w:bCs w:val="0"/>
          <w:iCs/>
        </w:rPr>
        <w:t xml:space="preserve">le to infection with </w:t>
      </w:r>
      <w:r w:rsidRPr="00B76465">
        <w:rPr>
          <w:rFonts w:cs="Arial"/>
          <w:bCs w:val="0"/>
          <w:i/>
        </w:rPr>
        <w:t>G. salaris</w:t>
      </w:r>
      <w:r w:rsidRPr="002210B3">
        <w:rPr>
          <w:rFonts w:cs="Arial"/>
          <w:bCs w:val="0"/>
          <w:iCs/>
        </w:rPr>
        <w:t xml:space="preserve"> </w:t>
      </w:r>
      <w:r w:rsidRPr="002210B3">
        <w:rPr>
          <w:rFonts w:cs="Arial"/>
        </w:rPr>
        <w:t xml:space="preserve">according to Chapter 1.5. of the </w:t>
      </w:r>
      <w:r w:rsidRPr="002210B3">
        <w:rPr>
          <w:rFonts w:cs="Arial"/>
          <w:i/>
          <w:iCs/>
        </w:rPr>
        <w:t>Aquatic Code</w:t>
      </w:r>
      <w:r w:rsidRPr="002210B3">
        <w:rPr>
          <w:rFonts w:cs="Arial"/>
          <w:iCs/>
        </w:rPr>
        <w:t xml:space="preserve"> are: [under study].</w:t>
      </w:r>
    </w:p>
    <w:p w14:paraId="79BEC79A" w14:textId="77777777" w:rsidR="000A62A2" w:rsidRPr="002210B3" w:rsidRDefault="000A62A2" w:rsidP="000A62A2">
      <w:pPr>
        <w:pStyle w:val="111"/>
        <w:ind w:firstLine="0"/>
        <w:rPr>
          <w:lang w:val="en-IE"/>
        </w:rPr>
      </w:pPr>
      <w:r w:rsidRPr="002210B3">
        <w:rPr>
          <w:lang w:val="en-IE"/>
        </w:rPr>
        <w:t>2.2.4.</w:t>
      </w:r>
      <w:r w:rsidRPr="002210B3">
        <w:rPr>
          <w:lang w:val="en-IE"/>
        </w:rPr>
        <w:tab/>
        <w:t>Likelihood of infection by species, host life stage, population or sub-populations</w:t>
      </w:r>
    </w:p>
    <w:p w14:paraId="26FC5BDA" w14:textId="77777777" w:rsidR="000A62A2" w:rsidRPr="002210B3" w:rsidRDefault="000A62A2" w:rsidP="000A62A2">
      <w:pPr>
        <w:pStyle w:val="Para3"/>
      </w:pPr>
      <w:r w:rsidRPr="002210B3">
        <w:t xml:space="preserve">The prevalence and abundance of </w:t>
      </w:r>
      <w:r w:rsidRPr="002210B3">
        <w:rPr>
          <w:i/>
          <w:iCs/>
        </w:rPr>
        <w:t>G. salaris</w:t>
      </w:r>
      <w:r w:rsidRPr="002210B3">
        <w:t xml:space="preserve"> on Atlantic salmon are higher than in other susceptible species. All life stages are susceptible, but prevalence and abundance in Atlantic salmon are highest in fry and parr stages, where mortality is </w:t>
      </w:r>
      <w:r>
        <w:t xml:space="preserve">also </w:t>
      </w:r>
      <w:r w:rsidRPr="002210B3">
        <w:t>most likely to be observed.</w:t>
      </w:r>
    </w:p>
    <w:p w14:paraId="3A5C8C3E" w14:textId="77777777" w:rsidR="000A62A2" w:rsidRPr="000A62A2" w:rsidRDefault="000A62A2" w:rsidP="000A62A2">
      <w:pPr>
        <w:pStyle w:val="Titre3"/>
        <w:spacing w:before="0" w:after="240" w:line="240" w:lineRule="auto"/>
        <w:ind w:left="851"/>
        <w:rPr>
          <w:rFonts w:ascii="Ottawa" w:eastAsia="Times New Roman" w:hAnsi="Ottawa" w:cs="Times New Roman"/>
          <w:b/>
          <w:bCs/>
          <w:i w:val="0"/>
          <w:szCs w:val="22"/>
          <w:lang w:val="en-IE" w:eastAsia="fr-FR"/>
        </w:rPr>
      </w:pPr>
      <w:r w:rsidRPr="000A62A2">
        <w:rPr>
          <w:rFonts w:ascii="Ottawa" w:eastAsia="Times New Roman" w:hAnsi="Ottawa" w:cs="Times New Roman"/>
          <w:b/>
          <w:bCs/>
          <w:i w:val="0"/>
          <w:szCs w:val="22"/>
          <w:lang w:val="en-IE" w:eastAsia="fr-FR"/>
        </w:rPr>
        <w:t>2.2.5.</w:t>
      </w:r>
      <w:r w:rsidRPr="000A62A2">
        <w:rPr>
          <w:rFonts w:ascii="Ottawa" w:eastAsia="Times New Roman" w:hAnsi="Ottawa" w:cs="Times New Roman"/>
          <w:b/>
          <w:bCs/>
          <w:i w:val="0"/>
          <w:szCs w:val="22"/>
          <w:lang w:val="en-IE" w:eastAsia="fr-FR"/>
        </w:rPr>
        <w:tab/>
        <w:t>Distribution of the pathogen on the host</w:t>
      </w:r>
    </w:p>
    <w:p w14:paraId="0B7CFC65" w14:textId="77777777" w:rsidR="000A62A2" w:rsidRPr="002210B3" w:rsidRDefault="000A62A2" w:rsidP="000A62A2">
      <w:pPr>
        <w:pStyle w:val="Para3"/>
        <w:rPr>
          <w:rFonts w:cs="Arial"/>
          <w:iCs/>
          <w:lang w:eastAsia="fr-FR"/>
        </w:rPr>
      </w:pPr>
      <w:r w:rsidRPr="002210B3">
        <w:rPr>
          <w:rFonts w:cs="Arial"/>
          <w:i/>
          <w:iCs/>
          <w:szCs w:val="18"/>
          <w:lang w:eastAsia="fr-FR"/>
        </w:rPr>
        <w:t>G</w:t>
      </w:r>
      <w:r>
        <w:rPr>
          <w:rFonts w:cs="Arial"/>
          <w:i/>
          <w:iCs/>
          <w:szCs w:val="18"/>
          <w:lang w:eastAsia="fr-FR"/>
        </w:rPr>
        <w:t>.</w:t>
      </w:r>
      <w:r w:rsidRPr="002210B3">
        <w:rPr>
          <w:rFonts w:cs="Arial"/>
          <w:i/>
          <w:iCs/>
          <w:szCs w:val="18"/>
          <w:lang w:eastAsia="fr-FR"/>
        </w:rPr>
        <w:t xml:space="preserve"> </w:t>
      </w:r>
      <w:r w:rsidRPr="002210B3">
        <w:rPr>
          <w:rFonts w:cs="Arial"/>
          <w:i/>
          <w:iCs/>
          <w:lang w:eastAsia="fr-FR"/>
        </w:rPr>
        <w:t>salaris</w:t>
      </w:r>
      <w:r w:rsidRPr="002210B3">
        <w:rPr>
          <w:rFonts w:cs="Arial"/>
          <w:iCs/>
          <w:lang w:eastAsia="fr-FR"/>
        </w:rPr>
        <w:t xml:space="preserve"> usually occurs on the fins of infected Atlantic salmon, but the parasite distribution on the host may vary depending on intensity of infection (Jensen &amp; Johnsen, 1992; Mo, 1992</w:t>
      </w:r>
      <w:r w:rsidRPr="002210B3">
        <w:rPr>
          <w:rStyle w:val="Lienhypertexte"/>
          <w:rFonts w:cs="Arial"/>
          <w:iCs/>
          <w:color w:val="auto"/>
          <w:lang w:eastAsia="fr-FR"/>
        </w:rPr>
        <w:t xml:space="preserve">; Paladini </w:t>
      </w:r>
      <w:r w:rsidRPr="002210B3">
        <w:rPr>
          <w:rStyle w:val="Lienhypertexte"/>
          <w:rFonts w:cs="Arial"/>
          <w:i/>
          <w:iCs/>
          <w:color w:val="auto"/>
          <w:lang w:eastAsia="fr-FR"/>
        </w:rPr>
        <w:t>et al</w:t>
      </w:r>
      <w:r w:rsidRPr="002210B3">
        <w:rPr>
          <w:rStyle w:val="Lienhypertexte"/>
          <w:rFonts w:cs="Arial"/>
          <w:iCs/>
          <w:color w:val="auto"/>
          <w:lang w:eastAsia="fr-FR"/>
        </w:rPr>
        <w:t>., 2014</w:t>
      </w:r>
      <w:r w:rsidRPr="002210B3">
        <w:rPr>
          <w:rFonts w:cs="Arial"/>
          <w:iCs/>
          <w:lang w:eastAsia="fr-FR"/>
        </w:rPr>
        <w:t>). Parasites are also commonly found on the body but less commonly on the gills. On other hosts, the distribution may be different, but in general the parasite is relatively less abundant on the fins and relatively more common on the body compared with Atlantic salmon.</w:t>
      </w:r>
    </w:p>
    <w:p w14:paraId="54EB684F" w14:textId="77777777" w:rsidR="000A62A2" w:rsidRPr="002210B3" w:rsidRDefault="000A62A2" w:rsidP="000A62A2">
      <w:pPr>
        <w:pStyle w:val="111"/>
        <w:ind w:firstLine="0"/>
        <w:rPr>
          <w:lang w:val="en-IE"/>
        </w:rPr>
      </w:pPr>
      <w:r w:rsidRPr="002210B3">
        <w:rPr>
          <w:lang w:val="en-IE"/>
        </w:rPr>
        <w:t>2.2.6.</w:t>
      </w:r>
      <w:r w:rsidRPr="002210B3">
        <w:rPr>
          <w:lang w:val="en-IE"/>
        </w:rPr>
        <w:tab/>
        <w:t xml:space="preserve">Aquatic animal reservoirs of infection </w:t>
      </w:r>
    </w:p>
    <w:p w14:paraId="660D92B0" w14:textId="77777777" w:rsidR="000A62A2" w:rsidRPr="002210B3" w:rsidRDefault="000A62A2" w:rsidP="000A62A2">
      <w:pPr>
        <w:pStyle w:val="Para3"/>
        <w:rPr>
          <w:lang w:eastAsia="zh-CN"/>
        </w:rPr>
      </w:pPr>
      <w:r w:rsidRPr="002210B3">
        <w:rPr>
          <w:lang w:eastAsia="zh-CN"/>
        </w:rPr>
        <w:t xml:space="preserve">There are a number of combinations of host species and </w:t>
      </w:r>
      <w:r w:rsidRPr="002210B3">
        <w:rPr>
          <w:i/>
          <w:iCs/>
          <w:lang w:eastAsia="zh-CN"/>
        </w:rPr>
        <w:t>G. salaris</w:t>
      </w:r>
      <w:r w:rsidRPr="002210B3">
        <w:rPr>
          <w:lang w:eastAsia="zh-CN"/>
        </w:rPr>
        <w:t xml:space="preserve"> strains which do not result in clinical signs of disease and may</w:t>
      </w:r>
      <w:r>
        <w:rPr>
          <w:lang w:eastAsia="zh-CN"/>
        </w:rPr>
        <w:t>,</w:t>
      </w:r>
      <w:r w:rsidRPr="002210B3">
        <w:rPr>
          <w:lang w:eastAsia="zh-CN"/>
        </w:rPr>
        <w:t xml:space="preserve"> therefore</w:t>
      </w:r>
      <w:r>
        <w:rPr>
          <w:lang w:eastAsia="zh-CN"/>
        </w:rPr>
        <w:t>,</w:t>
      </w:r>
      <w:r w:rsidRPr="002210B3">
        <w:rPr>
          <w:lang w:eastAsia="zh-CN"/>
        </w:rPr>
        <w:t xml:space="preserve"> act as reservoirs of infection. Some stocks of Atlantic salmon in the Baltic region are infected with </w:t>
      </w:r>
      <w:r w:rsidRPr="002210B3">
        <w:rPr>
          <w:i/>
          <w:iCs/>
          <w:lang w:eastAsia="zh-CN"/>
        </w:rPr>
        <w:t>G. salaris</w:t>
      </w:r>
      <w:r w:rsidRPr="002210B3">
        <w:rPr>
          <w:lang w:eastAsia="zh-CN"/>
        </w:rPr>
        <w:t xml:space="preserve"> but do not generally show clinical signs o</w:t>
      </w:r>
      <w:r>
        <w:rPr>
          <w:lang w:eastAsia="zh-CN"/>
        </w:rPr>
        <w:t>r</w:t>
      </w:r>
      <w:r w:rsidRPr="002210B3">
        <w:rPr>
          <w:lang w:eastAsia="zh-CN"/>
        </w:rPr>
        <w:t xml:space="preserve"> suffer mortality (</w:t>
      </w:r>
      <w:r w:rsidRPr="002210B3">
        <w:t xml:space="preserve">Anttila </w:t>
      </w:r>
      <w:r w:rsidRPr="002210B3">
        <w:rPr>
          <w:i/>
          <w:iCs/>
        </w:rPr>
        <w:t>et al.,</w:t>
      </w:r>
      <w:r w:rsidRPr="002210B3">
        <w:t xml:space="preserve"> 2008)</w:t>
      </w:r>
      <w:r w:rsidRPr="002210B3">
        <w:rPr>
          <w:lang w:eastAsia="zh-CN"/>
        </w:rPr>
        <w:t xml:space="preserve">. </w:t>
      </w:r>
      <w:r w:rsidRPr="002210B3">
        <w:rPr>
          <w:rFonts w:cs="Arial"/>
          <w:i/>
          <w:iCs/>
          <w:szCs w:val="18"/>
          <w:lang w:eastAsia="fr-FR"/>
        </w:rPr>
        <w:t>G</w:t>
      </w:r>
      <w:r>
        <w:rPr>
          <w:rFonts w:cs="Arial"/>
          <w:i/>
          <w:iCs/>
          <w:szCs w:val="18"/>
          <w:lang w:eastAsia="fr-FR"/>
        </w:rPr>
        <w:t>.</w:t>
      </w:r>
      <w:r w:rsidRPr="002210B3">
        <w:rPr>
          <w:rFonts w:cs="Arial"/>
          <w:i/>
          <w:iCs/>
          <w:szCs w:val="18"/>
          <w:lang w:eastAsia="fr-FR"/>
        </w:rPr>
        <w:t xml:space="preserve"> </w:t>
      </w:r>
      <w:r w:rsidRPr="002210B3">
        <w:rPr>
          <w:i/>
          <w:iCs/>
          <w:lang w:eastAsia="zh-CN"/>
        </w:rPr>
        <w:t>salaris</w:t>
      </w:r>
      <w:r w:rsidRPr="002210B3">
        <w:rPr>
          <w:lang w:eastAsia="zh-CN"/>
        </w:rPr>
        <w:t xml:space="preserve"> has been found in wild Artic charr without any observable signs or mortality (Robertsen </w:t>
      </w:r>
      <w:r w:rsidRPr="002210B3">
        <w:rPr>
          <w:i/>
          <w:iCs/>
          <w:lang w:eastAsia="zh-CN"/>
        </w:rPr>
        <w:t>et al.,</w:t>
      </w:r>
      <w:r w:rsidRPr="002210B3">
        <w:rPr>
          <w:lang w:eastAsia="zh-CN"/>
        </w:rPr>
        <w:t xml:space="preserve"> 2007). Rainbow trout can be infected with some strains of </w:t>
      </w:r>
      <w:r w:rsidRPr="002210B3">
        <w:rPr>
          <w:i/>
          <w:iCs/>
          <w:lang w:eastAsia="zh-CN"/>
        </w:rPr>
        <w:t>G. salaris</w:t>
      </w:r>
      <w:r w:rsidRPr="002210B3">
        <w:rPr>
          <w:lang w:eastAsia="zh-CN"/>
        </w:rPr>
        <w:t xml:space="preserve"> at a very low prevalence and abundance</w:t>
      </w:r>
      <w:r w:rsidRPr="002210B3">
        <w:rPr>
          <w:i/>
          <w:iCs/>
          <w:lang w:eastAsia="zh-CN"/>
        </w:rPr>
        <w:t xml:space="preserve"> </w:t>
      </w:r>
      <w:r w:rsidRPr="002210B3">
        <w:rPr>
          <w:lang w:eastAsia="zh-CN"/>
        </w:rPr>
        <w:t xml:space="preserve">without observable signs (Paladini </w:t>
      </w:r>
      <w:r w:rsidRPr="002210B3">
        <w:rPr>
          <w:i/>
          <w:iCs/>
          <w:lang w:eastAsia="zh-CN"/>
        </w:rPr>
        <w:t>et al.,</w:t>
      </w:r>
      <w:r w:rsidRPr="002210B3">
        <w:rPr>
          <w:lang w:eastAsia="zh-CN"/>
        </w:rPr>
        <w:t xml:space="preserve"> 2014).</w:t>
      </w:r>
    </w:p>
    <w:p w14:paraId="31C14AAC" w14:textId="77777777" w:rsidR="000A62A2" w:rsidRPr="002210B3" w:rsidRDefault="000A62A2" w:rsidP="000A62A2">
      <w:pPr>
        <w:pStyle w:val="111"/>
        <w:ind w:firstLine="0"/>
        <w:rPr>
          <w:lang w:val="en-IE"/>
        </w:rPr>
      </w:pPr>
      <w:r w:rsidRPr="002210B3">
        <w:rPr>
          <w:lang w:val="en-IE"/>
        </w:rPr>
        <w:t>2.2.7.</w:t>
      </w:r>
      <w:r w:rsidRPr="002210B3">
        <w:rPr>
          <w:lang w:val="en-IE"/>
        </w:rPr>
        <w:tab/>
        <w:t>Vectors</w:t>
      </w:r>
    </w:p>
    <w:p w14:paraId="5F5A6F11" w14:textId="77777777" w:rsidR="000A62A2" w:rsidRPr="002210B3" w:rsidRDefault="000A62A2" w:rsidP="000A62A2">
      <w:pPr>
        <w:pStyle w:val="Para3"/>
        <w:rPr>
          <w:rFonts w:cs="Arial"/>
          <w:lang w:eastAsia="zh-CN"/>
        </w:rPr>
      </w:pPr>
      <w:r w:rsidRPr="002210B3">
        <w:rPr>
          <w:rFonts w:cs="Arial"/>
          <w:i/>
          <w:iCs/>
          <w:szCs w:val="18"/>
          <w:lang w:eastAsia="fr-FR"/>
        </w:rPr>
        <w:t>G</w:t>
      </w:r>
      <w:r>
        <w:rPr>
          <w:rFonts w:cs="Arial"/>
          <w:i/>
          <w:iCs/>
          <w:szCs w:val="18"/>
          <w:lang w:eastAsia="fr-FR"/>
        </w:rPr>
        <w:t>.</w:t>
      </w:r>
      <w:r w:rsidRPr="002210B3">
        <w:rPr>
          <w:rFonts w:cs="Arial"/>
          <w:i/>
          <w:iCs/>
          <w:szCs w:val="18"/>
          <w:lang w:eastAsia="fr-FR"/>
        </w:rPr>
        <w:t xml:space="preserve"> </w:t>
      </w:r>
      <w:r w:rsidRPr="002210B3">
        <w:rPr>
          <w:rFonts w:cs="Arial"/>
          <w:i/>
          <w:iCs/>
          <w:lang w:eastAsia="zh-CN"/>
        </w:rPr>
        <w:t xml:space="preserve">salaris </w:t>
      </w:r>
      <w:r w:rsidRPr="002210B3">
        <w:rPr>
          <w:rFonts w:cs="Arial"/>
          <w:lang w:eastAsia="zh-CN"/>
        </w:rPr>
        <w:t xml:space="preserve">parasites may attach themselves to species not considered susceptible species, for short periods of time. Thus, any fish species could act as a vector, however, there is no evidence that they are important in the epidemiology of </w:t>
      </w:r>
      <w:r w:rsidRPr="002210B3">
        <w:rPr>
          <w:rFonts w:cs="Arial"/>
          <w:i/>
          <w:iCs/>
          <w:lang w:eastAsia="zh-CN"/>
        </w:rPr>
        <w:t>G. salaris</w:t>
      </w:r>
      <w:r w:rsidRPr="002210B3">
        <w:rPr>
          <w:rFonts w:cs="Arial"/>
          <w:lang w:eastAsia="zh-CN"/>
        </w:rPr>
        <w:t>.</w:t>
      </w:r>
    </w:p>
    <w:p w14:paraId="2B63BD10" w14:textId="77777777" w:rsidR="000A62A2" w:rsidRPr="000A62A2" w:rsidRDefault="000A62A2" w:rsidP="000A62A2">
      <w:pPr>
        <w:pStyle w:val="Titre2"/>
        <w:ind w:left="851" w:hanging="425"/>
        <w:rPr>
          <w:rFonts w:ascii="Ottawa" w:hAnsi="Ottawa"/>
          <w:b/>
          <w:sz w:val="21"/>
          <w:szCs w:val="21"/>
          <w:lang w:val="en-IE"/>
        </w:rPr>
      </w:pPr>
      <w:r w:rsidRPr="000A62A2">
        <w:rPr>
          <w:rFonts w:ascii="Ottawa" w:hAnsi="Ottawa"/>
          <w:b/>
          <w:sz w:val="21"/>
          <w:szCs w:val="21"/>
          <w:lang w:val="en-IE"/>
        </w:rPr>
        <w:t>2.3.</w:t>
      </w:r>
      <w:r w:rsidRPr="000A62A2">
        <w:rPr>
          <w:rFonts w:ascii="Ottawa" w:hAnsi="Ottawa"/>
          <w:b/>
          <w:sz w:val="21"/>
          <w:szCs w:val="21"/>
          <w:lang w:val="en-IE"/>
        </w:rPr>
        <w:tab/>
        <w:t>Disease pattern</w:t>
      </w:r>
    </w:p>
    <w:p w14:paraId="2C58D925" w14:textId="77777777" w:rsidR="000A62A2" w:rsidRPr="002210B3" w:rsidRDefault="000A62A2" w:rsidP="000A62A2">
      <w:pPr>
        <w:pStyle w:val="111"/>
        <w:ind w:firstLine="0"/>
        <w:rPr>
          <w:lang w:val="en-IE"/>
        </w:rPr>
      </w:pPr>
      <w:r w:rsidRPr="002210B3">
        <w:rPr>
          <w:lang w:val="en-IE"/>
        </w:rPr>
        <w:t>2.3.1.</w:t>
      </w:r>
      <w:r w:rsidRPr="002210B3">
        <w:rPr>
          <w:lang w:val="en-IE"/>
        </w:rPr>
        <w:tab/>
        <w:t>Mortality, morbidity and prevalence</w:t>
      </w:r>
    </w:p>
    <w:p w14:paraId="678F1B1C" w14:textId="77777777" w:rsidR="000A62A2" w:rsidRPr="002210B3" w:rsidRDefault="000A62A2" w:rsidP="000A62A2">
      <w:pPr>
        <w:pStyle w:val="Para3"/>
        <w:rPr>
          <w:rFonts w:cs="Arial"/>
          <w:lang w:eastAsia="fr-FR"/>
        </w:rPr>
      </w:pPr>
      <w:r w:rsidRPr="002210B3">
        <w:rPr>
          <w:rFonts w:cs="Arial"/>
          <w:lang w:eastAsia="fr-FR"/>
        </w:rPr>
        <w:t>Mortality in farmed Atlantic salmon fry and parr can be 100% if not treated. Mortality in wild Atlantic salmon fry and parr in Norwegian rivers can be as high as 98%, with an average of about 85% (</w:t>
      </w:r>
      <w:r w:rsidRPr="00057E23">
        <w:rPr>
          <w:rFonts w:cs="Arial"/>
          <w:lang w:eastAsia="fr-FR"/>
        </w:rPr>
        <w:t xml:space="preserve">Johnsen </w:t>
      </w:r>
      <w:r w:rsidRPr="00057E23">
        <w:rPr>
          <w:rFonts w:cs="Arial"/>
          <w:i/>
          <w:lang w:eastAsia="fr-FR"/>
        </w:rPr>
        <w:t>et al</w:t>
      </w:r>
      <w:r w:rsidRPr="00057E23">
        <w:rPr>
          <w:rFonts w:cs="Arial"/>
          <w:lang w:eastAsia="fr-FR"/>
        </w:rPr>
        <w:t>, 1999</w:t>
      </w:r>
      <w:r w:rsidRPr="002210B3">
        <w:rPr>
          <w:rFonts w:cs="Arial"/>
          <w:lang w:eastAsia="fr-FR"/>
        </w:rPr>
        <w:t>). Mortality in other susceptible species is usually low to negligible.</w:t>
      </w:r>
    </w:p>
    <w:p w14:paraId="780FE3A0" w14:textId="77777777" w:rsidR="000A62A2" w:rsidRPr="002210B3" w:rsidRDefault="000A62A2" w:rsidP="000A62A2">
      <w:pPr>
        <w:pStyle w:val="Para3"/>
        <w:rPr>
          <w:rFonts w:cs="Arial"/>
          <w:lang w:eastAsia="fr-FR"/>
        </w:rPr>
      </w:pPr>
      <w:r w:rsidRPr="002210B3">
        <w:rPr>
          <w:rFonts w:cs="Arial"/>
          <w:lang w:eastAsia="fr-FR"/>
        </w:rPr>
        <w:t>Prevalence in susceptible strains of Atlantic salmon reaches close to 100% in wild parr in rivers (Appleby &amp; Mo, 1997); similarly, prevalence in farmed Atlantic salmon (in freshwater) rises to close to 100% within a short time after introduction of the parasite. Prevalence in resistant strains</w:t>
      </w:r>
      <w:r>
        <w:rPr>
          <w:rFonts w:cs="Arial"/>
          <w:lang w:eastAsia="fr-FR"/>
        </w:rPr>
        <w:t xml:space="preserve"> of Atlantic salmon</w:t>
      </w:r>
      <w:r w:rsidRPr="002210B3">
        <w:rPr>
          <w:rFonts w:cs="Arial"/>
          <w:lang w:eastAsia="fr-FR"/>
        </w:rPr>
        <w:t xml:space="preserve"> in rivers and farms is unknown. Prevalence in other susceptible species is usually much lower</w:t>
      </w:r>
      <w:r>
        <w:rPr>
          <w:rFonts w:cs="Arial"/>
          <w:lang w:eastAsia="fr-FR"/>
        </w:rPr>
        <w:t xml:space="preserve"> than in Atlantic salmon</w:t>
      </w:r>
      <w:r w:rsidRPr="002210B3">
        <w:rPr>
          <w:rFonts w:cs="Arial"/>
          <w:lang w:eastAsia="fr-FR"/>
        </w:rPr>
        <w:t xml:space="preserve"> and can be below 10% (e.g. in farmed rainbow trout; Buchmann &amp; Bresciani, 1997).</w:t>
      </w:r>
    </w:p>
    <w:p w14:paraId="149C64E4" w14:textId="77777777" w:rsidR="000A62A2" w:rsidRPr="002210B3" w:rsidRDefault="000A62A2" w:rsidP="000A62A2">
      <w:pPr>
        <w:pStyle w:val="111"/>
        <w:ind w:firstLine="0"/>
        <w:rPr>
          <w:lang w:val="en-IE"/>
        </w:rPr>
      </w:pPr>
      <w:r w:rsidRPr="002210B3">
        <w:rPr>
          <w:lang w:val="en-IE"/>
        </w:rPr>
        <w:t>2.3.2.</w:t>
      </w:r>
      <w:r w:rsidRPr="002210B3">
        <w:rPr>
          <w:lang w:val="en-IE"/>
        </w:rPr>
        <w:tab/>
        <w:t>Clinical signs, including behavioural changes</w:t>
      </w:r>
    </w:p>
    <w:p w14:paraId="4ED74ABB" w14:textId="77777777" w:rsidR="000A62A2" w:rsidRPr="002210B3" w:rsidRDefault="000A62A2" w:rsidP="000A62A2">
      <w:pPr>
        <w:pStyle w:val="Para3"/>
      </w:pPr>
      <w:r w:rsidRPr="002210B3">
        <w:t xml:space="preserve">Usually there are no clinical signs in </w:t>
      </w:r>
      <w:r>
        <w:t>wild Atlantic salmon</w:t>
      </w:r>
      <w:r w:rsidRPr="002210B3">
        <w:t xml:space="preserve"> with infections of one or up to a few tens of </w:t>
      </w:r>
      <w:r w:rsidRPr="002210B3">
        <w:rPr>
          <w:i/>
          <w:iCs/>
        </w:rPr>
        <w:t>G. salaris</w:t>
      </w:r>
      <w:r w:rsidRPr="002210B3">
        <w:t xml:space="preserve"> parasites. In the early disease phase in susceptible stocks of wild Atlantic salmon, increased flashing (fish scratch their skin on the substrate) is typical. Later, fish may become greyish because of increased mucous production and the fins may be eroded. Diseased fish are lethargic and are usually found in slower-moving water.</w:t>
      </w:r>
    </w:p>
    <w:p w14:paraId="345AC1D9" w14:textId="77777777" w:rsidR="000A62A2" w:rsidRPr="002210B3" w:rsidRDefault="000A62A2" w:rsidP="000A62A2">
      <w:pPr>
        <w:pStyle w:val="Para3"/>
        <w:rPr>
          <w:lang w:bidi="en-US"/>
        </w:rPr>
      </w:pPr>
      <w:r w:rsidRPr="002210B3">
        <w:rPr>
          <w:lang w:bidi="en-US"/>
        </w:rPr>
        <w:t>Flashing is common among moderate to heavily infected farmed Atlantic salmon as they scratch their skin on the bottom or wall of a tank or pond. Heavily infected fish may have reduced activity and stay in low current areas.</w:t>
      </w:r>
    </w:p>
    <w:p w14:paraId="18CB7A7A" w14:textId="77777777" w:rsidR="000A62A2" w:rsidRPr="000A62A2" w:rsidRDefault="000A62A2" w:rsidP="000A62A2">
      <w:pPr>
        <w:pStyle w:val="Titre3"/>
        <w:spacing w:after="480"/>
        <w:jc w:val="right"/>
        <w:rPr>
          <w:bCs/>
          <w:i w:val="0"/>
          <w:iCs/>
        </w:rPr>
      </w:pPr>
      <w:r w:rsidRPr="000A62A2">
        <w:rPr>
          <w:rFonts w:cs="Times New Roman"/>
          <w:i w:val="0"/>
          <w:szCs w:val="20"/>
          <w:u w:val="single"/>
        </w:rPr>
        <w:lastRenderedPageBreak/>
        <w:t>A</w:t>
      </w:r>
      <w:r w:rsidRPr="000A62A2">
        <w:rPr>
          <w:rFonts w:cs="Times New Roman"/>
          <w:bCs/>
          <w:i w:val="0"/>
          <w:iCs/>
          <w:szCs w:val="20"/>
          <w:u w:val="single"/>
        </w:rPr>
        <w:t>nnex 15</w:t>
      </w:r>
      <w:r w:rsidRPr="000A62A2">
        <w:rPr>
          <w:rFonts w:cs="Times New Roman"/>
          <w:bCs/>
          <w:i w:val="0"/>
          <w:iCs/>
          <w:szCs w:val="20"/>
        </w:rPr>
        <w:t xml:space="preserve"> (contd)</w:t>
      </w:r>
    </w:p>
    <w:p w14:paraId="5126493A" w14:textId="77777777" w:rsidR="000A62A2" w:rsidRPr="002210B3" w:rsidRDefault="000A62A2" w:rsidP="000A62A2">
      <w:pPr>
        <w:pStyle w:val="Para3"/>
      </w:pPr>
      <w:r w:rsidRPr="002210B3">
        <w:rPr>
          <w:lang w:bidi="en-US"/>
        </w:rPr>
        <w:t xml:space="preserve">Rainbow trout </w:t>
      </w:r>
      <w:r>
        <w:rPr>
          <w:lang w:bidi="en-US"/>
        </w:rPr>
        <w:t>usually</w:t>
      </w:r>
      <w:r w:rsidRPr="002210B3">
        <w:rPr>
          <w:lang w:bidi="en-US"/>
        </w:rPr>
        <w:t xml:space="preserve"> only carry low numbers of </w:t>
      </w:r>
      <w:r w:rsidRPr="002210B3">
        <w:rPr>
          <w:i/>
          <w:iCs/>
          <w:lang w:bidi="en-US"/>
        </w:rPr>
        <w:t>G. salaris</w:t>
      </w:r>
      <w:r w:rsidRPr="002210B3">
        <w:rPr>
          <w:lang w:bidi="en-US"/>
        </w:rPr>
        <w:t xml:space="preserve"> parasites and do not show clinical signs.</w:t>
      </w:r>
    </w:p>
    <w:p w14:paraId="44D404AC" w14:textId="77777777" w:rsidR="000A62A2" w:rsidRPr="002210B3" w:rsidRDefault="000A62A2" w:rsidP="000A62A2">
      <w:pPr>
        <w:pStyle w:val="111"/>
        <w:ind w:firstLine="0"/>
        <w:rPr>
          <w:lang w:val="en-IE"/>
        </w:rPr>
      </w:pPr>
      <w:r w:rsidRPr="002210B3">
        <w:rPr>
          <w:lang w:val="en-IE"/>
        </w:rPr>
        <w:t>2.3.3</w:t>
      </w:r>
      <w:r w:rsidRPr="002210B3">
        <w:rPr>
          <w:lang w:val="en-IE"/>
        </w:rPr>
        <w:tab/>
        <w:t>Gross pathology</w:t>
      </w:r>
    </w:p>
    <w:p w14:paraId="14C402B8" w14:textId="77777777" w:rsidR="000A62A2" w:rsidRPr="003858FC" w:rsidRDefault="000A62A2" w:rsidP="000A62A2">
      <w:pPr>
        <w:pStyle w:val="Para3"/>
        <w:rPr>
          <w:rFonts w:cs="Arial"/>
          <w:lang w:eastAsia="fr-FR"/>
        </w:rPr>
      </w:pPr>
      <w:r w:rsidRPr="003858FC">
        <w:rPr>
          <w:rFonts w:cs="Arial"/>
          <w:lang w:eastAsia="fr-FR"/>
        </w:rPr>
        <w:t xml:space="preserve">Heavily infected </w:t>
      </w:r>
      <w:r>
        <w:rPr>
          <w:rFonts w:cs="Arial"/>
          <w:lang w:eastAsia="fr-FR"/>
        </w:rPr>
        <w:t>Atlantic salmon</w:t>
      </w:r>
      <w:r w:rsidRPr="003858FC">
        <w:rPr>
          <w:rFonts w:cs="Arial"/>
          <w:lang w:eastAsia="fr-FR"/>
        </w:rPr>
        <w:t xml:space="preserve"> may become greyish as a result of increased mucification, and at a later stage the dorsal and pectoral fins may become whitish as a result of increased thickness (mainly hypertrophy) of the epidermis. As the infestation continues</w:t>
      </w:r>
      <w:r>
        <w:rPr>
          <w:rFonts w:cs="Arial"/>
          <w:lang w:eastAsia="fr-FR"/>
        </w:rPr>
        <w:t>,</w:t>
      </w:r>
      <w:r w:rsidRPr="003858FC">
        <w:rPr>
          <w:rFonts w:cs="Arial"/>
          <w:lang w:eastAsia="fr-FR"/>
        </w:rPr>
        <w:t xml:space="preserve"> fish may have eroded fins, especially dorsal, tail and pectoral fins, because of parasite feeding. Secondary fungal infections (</w:t>
      </w:r>
      <w:r w:rsidRPr="003858FC">
        <w:rPr>
          <w:rFonts w:cs="Arial"/>
          <w:i/>
          <w:iCs/>
          <w:lang w:eastAsia="fr-FR"/>
        </w:rPr>
        <w:t>Saprolegnia</w:t>
      </w:r>
      <w:r w:rsidRPr="003858FC">
        <w:rPr>
          <w:rFonts w:cs="Arial"/>
          <w:lang w:eastAsia="fr-FR"/>
        </w:rPr>
        <w:t xml:space="preserve"> spp.) are commonly observed in fish with infection with </w:t>
      </w:r>
      <w:r w:rsidRPr="003858FC">
        <w:rPr>
          <w:rFonts w:cs="Arial"/>
          <w:i/>
          <w:iCs/>
          <w:lang w:eastAsia="fr-FR"/>
        </w:rPr>
        <w:t>G. salaris</w:t>
      </w:r>
      <w:r w:rsidRPr="003858FC">
        <w:rPr>
          <w:rFonts w:cs="Arial"/>
          <w:lang w:eastAsia="fr-FR"/>
        </w:rPr>
        <w:t>.</w:t>
      </w:r>
    </w:p>
    <w:p w14:paraId="3EA90437" w14:textId="77777777" w:rsidR="000A62A2" w:rsidRPr="002210B3" w:rsidRDefault="000A62A2" w:rsidP="000A62A2">
      <w:pPr>
        <w:pStyle w:val="111"/>
        <w:ind w:firstLine="0"/>
        <w:rPr>
          <w:lang w:val="en-IE"/>
        </w:rPr>
      </w:pPr>
      <w:r w:rsidRPr="002210B3">
        <w:rPr>
          <w:lang w:val="en-IE"/>
        </w:rPr>
        <w:t>2.3.4.</w:t>
      </w:r>
      <w:r w:rsidRPr="002210B3">
        <w:rPr>
          <w:lang w:val="en-IE"/>
        </w:rPr>
        <w:tab/>
        <w:t>Modes of transmission and life cycle</w:t>
      </w:r>
    </w:p>
    <w:p w14:paraId="751394BC" w14:textId="77777777" w:rsidR="000A62A2" w:rsidRPr="002210B3" w:rsidRDefault="000A62A2" w:rsidP="000A62A2">
      <w:pPr>
        <w:pStyle w:val="Para3"/>
        <w:rPr>
          <w:rFonts w:cs="Arial"/>
          <w:iCs/>
        </w:rPr>
      </w:pPr>
      <w:r w:rsidRPr="002210B3">
        <w:rPr>
          <w:rFonts w:cs="Arial"/>
          <w:i/>
          <w:iCs/>
          <w:szCs w:val="18"/>
          <w:lang w:eastAsia="fr-FR"/>
        </w:rPr>
        <w:t>G</w:t>
      </w:r>
      <w:r>
        <w:rPr>
          <w:rFonts w:cs="Arial"/>
          <w:i/>
          <w:iCs/>
          <w:szCs w:val="18"/>
          <w:lang w:eastAsia="fr-FR"/>
        </w:rPr>
        <w:t>.</w:t>
      </w:r>
      <w:r w:rsidRPr="002210B3">
        <w:rPr>
          <w:rFonts w:cs="Arial"/>
          <w:i/>
          <w:iCs/>
          <w:szCs w:val="18"/>
          <w:lang w:eastAsia="fr-FR"/>
        </w:rPr>
        <w:t xml:space="preserve"> </w:t>
      </w:r>
      <w:r w:rsidRPr="002210B3">
        <w:rPr>
          <w:rFonts w:cs="Arial"/>
          <w:i/>
          <w:iCs/>
          <w:lang w:bidi="en-US"/>
        </w:rPr>
        <w:t>salaris</w:t>
      </w:r>
      <w:r w:rsidRPr="002210B3">
        <w:rPr>
          <w:rFonts w:cs="Arial"/>
          <w:iCs/>
          <w:lang w:bidi="en-US"/>
        </w:rPr>
        <w:t xml:space="preserve"> is an obligate parasite with a direct life cycle. Parasites give birth to live offspring, and there are no other life stages. </w:t>
      </w:r>
      <w:r w:rsidRPr="002210B3">
        <w:rPr>
          <w:rFonts w:cs="Arial"/>
          <w:i/>
          <w:iCs/>
          <w:szCs w:val="18"/>
          <w:lang w:eastAsia="fr-FR"/>
        </w:rPr>
        <w:t>G</w:t>
      </w:r>
      <w:r>
        <w:rPr>
          <w:rFonts w:cs="Arial"/>
          <w:i/>
          <w:iCs/>
          <w:szCs w:val="18"/>
          <w:lang w:eastAsia="fr-FR"/>
        </w:rPr>
        <w:t>.</w:t>
      </w:r>
      <w:r w:rsidRPr="002210B3">
        <w:rPr>
          <w:rFonts w:cs="Arial"/>
          <w:i/>
          <w:iCs/>
          <w:szCs w:val="18"/>
          <w:lang w:eastAsia="fr-FR"/>
        </w:rPr>
        <w:t xml:space="preserve"> </w:t>
      </w:r>
      <w:r w:rsidRPr="002210B3">
        <w:rPr>
          <w:rFonts w:cs="Arial"/>
          <w:i/>
          <w:iCs/>
          <w:lang w:bidi="en-US"/>
        </w:rPr>
        <w:t>salaris</w:t>
      </w:r>
      <w:r w:rsidRPr="002210B3">
        <w:rPr>
          <w:rFonts w:cs="Arial"/>
          <w:iCs/>
          <w:lang w:bidi="en-US"/>
        </w:rPr>
        <w:t xml:space="preserve"> can transfer to a new host via contact with live hosts, dead hosts, detached parasites drifting in the water column, </w:t>
      </w:r>
      <w:r>
        <w:rPr>
          <w:rFonts w:cs="Arial"/>
          <w:iCs/>
          <w:lang w:bidi="en-US"/>
        </w:rPr>
        <w:t>or</w:t>
      </w:r>
      <w:r w:rsidRPr="002210B3">
        <w:rPr>
          <w:rFonts w:cs="Arial"/>
          <w:iCs/>
          <w:lang w:bidi="en-US"/>
        </w:rPr>
        <w:t xml:space="preserve"> parasites attached to the substrate.</w:t>
      </w:r>
    </w:p>
    <w:p w14:paraId="0B3DD993" w14:textId="77777777" w:rsidR="000A62A2" w:rsidRPr="002210B3" w:rsidRDefault="000A62A2" w:rsidP="000A62A2">
      <w:pPr>
        <w:pStyle w:val="Para3"/>
        <w:rPr>
          <w:rFonts w:cs="Arial"/>
          <w:iCs/>
        </w:rPr>
      </w:pPr>
      <w:r w:rsidRPr="002210B3">
        <w:rPr>
          <w:rFonts w:cs="Arial"/>
          <w:i/>
          <w:iCs/>
          <w:szCs w:val="18"/>
          <w:lang w:eastAsia="fr-FR"/>
        </w:rPr>
        <w:t>G</w:t>
      </w:r>
      <w:r>
        <w:rPr>
          <w:rFonts w:cs="Arial"/>
          <w:i/>
          <w:iCs/>
          <w:szCs w:val="18"/>
          <w:lang w:eastAsia="fr-FR"/>
        </w:rPr>
        <w:t>.</w:t>
      </w:r>
      <w:r w:rsidRPr="002210B3">
        <w:rPr>
          <w:rFonts w:cs="Arial"/>
          <w:i/>
          <w:iCs/>
          <w:szCs w:val="18"/>
          <w:lang w:eastAsia="fr-FR"/>
        </w:rPr>
        <w:t xml:space="preserve"> </w:t>
      </w:r>
      <w:r w:rsidRPr="002210B3">
        <w:rPr>
          <w:rFonts w:cs="Arial"/>
          <w:i/>
          <w:iCs/>
        </w:rPr>
        <w:t>salaris</w:t>
      </w:r>
      <w:r w:rsidRPr="002210B3">
        <w:rPr>
          <w:rFonts w:cs="Arial"/>
          <w:iCs/>
        </w:rPr>
        <w:t xml:space="preserve"> has spread between rivers and farms mainly by the translocation of live fish. Fish migrating through brackish water can also spread the parasite between neighbouring rivers (see also Section 2.3.5). The risk of transmission is greater between rivers located within the same brackish water system. </w:t>
      </w:r>
    </w:p>
    <w:p w14:paraId="5ED097D2" w14:textId="77777777" w:rsidR="000A62A2" w:rsidRPr="002210B3" w:rsidRDefault="000A62A2" w:rsidP="000A62A2">
      <w:pPr>
        <w:pStyle w:val="111"/>
        <w:ind w:firstLine="0"/>
        <w:rPr>
          <w:lang w:val="en-IE"/>
        </w:rPr>
      </w:pPr>
      <w:r w:rsidRPr="002210B3">
        <w:rPr>
          <w:lang w:val="en-IE"/>
        </w:rPr>
        <w:t>2.3.5.</w:t>
      </w:r>
      <w:r w:rsidRPr="002210B3">
        <w:rPr>
          <w:lang w:val="en-IE"/>
        </w:rPr>
        <w:tab/>
        <w:t xml:space="preserve">Environmental and management factors </w:t>
      </w:r>
    </w:p>
    <w:p w14:paraId="035D2EB5" w14:textId="77777777" w:rsidR="000A62A2" w:rsidRPr="002210B3" w:rsidRDefault="000A62A2" w:rsidP="000A62A2">
      <w:pPr>
        <w:pStyle w:val="Para3"/>
        <w:rPr>
          <w:rFonts w:cs="Arial"/>
        </w:rPr>
      </w:pPr>
      <w:r w:rsidRPr="002210B3">
        <w:rPr>
          <w:rFonts w:cs="Arial"/>
        </w:rPr>
        <w:t xml:space="preserve">Although </w:t>
      </w:r>
      <w:r w:rsidRPr="002210B3">
        <w:rPr>
          <w:rFonts w:cs="Arial"/>
          <w:i/>
          <w:iCs/>
        </w:rPr>
        <w:t>G. salaris</w:t>
      </w:r>
      <w:r w:rsidRPr="002210B3">
        <w:rPr>
          <w:rFonts w:cs="Arial"/>
        </w:rPr>
        <w:t xml:space="preserve"> mainly lives in fresh water, it reproduces normally at salinities up to 5‒6 ppt. Survival at higher salinities is temperature dependent. For example at 1.4°C, </w:t>
      </w:r>
      <w:r w:rsidRPr="002210B3">
        <w:rPr>
          <w:rFonts w:cs="Arial"/>
          <w:i/>
          <w:iCs/>
        </w:rPr>
        <w:t>G. salaris</w:t>
      </w:r>
      <w:r w:rsidRPr="002210B3">
        <w:rPr>
          <w:rFonts w:cs="Arial"/>
        </w:rPr>
        <w:t xml:space="preserve"> may survive for 240 hours, 78 hours and 42 hours at 10 ppt, 15 ppt and 20 ppt salinity, respectively, while at 12°C it may survive for 72 hours, 24 hours and 12 hours at the same three salinities, respectively (Soleng &amp; Bakke, 1997).</w:t>
      </w:r>
    </w:p>
    <w:p w14:paraId="28D579F2" w14:textId="77777777" w:rsidR="000A62A2" w:rsidRPr="00057E23" w:rsidRDefault="000A62A2" w:rsidP="000A62A2">
      <w:pPr>
        <w:pStyle w:val="Para3"/>
        <w:rPr>
          <w:rFonts w:cs="Arial"/>
        </w:rPr>
      </w:pPr>
      <w:r w:rsidRPr="002210B3">
        <w:rPr>
          <w:rFonts w:cs="Arial"/>
          <w:i/>
          <w:iCs/>
          <w:szCs w:val="18"/>
          <w:lang w:eastAsia="fr-FR"/>
        </w:rPr>
        <w:t>G</w:t>
      </w:r>
      <w:r>
        <w:rPr>
          <w:rFonts w:cs="Arial"/>
          <w:i/>
          <w:iCs/>
          <w:szCs w:val="18"/>
          <w:lang w:eastAsia="fr-FR"/>
        </w:rPr>
        <w:t>.</w:t>
      </w:r>
      <w:r w:rsidRPr="002210B3">
        <w:rPr>
          <w:rFonts w:cs="Arial"/>
          <w:i/>
          <w:iCs/>
          <w:szCs w:val="18"/>
          <w:lang w:eastAsia="fr-FR"/>
        </w:rPr>
        <w:t xml:space="preserve"> </w:t>
      </w:r>
      <w:r w:rsidRPr="002210B3">
        <w:rPr>
          <w:rFonts w:cs="Arial"/>
          <w:i/>
          <w:iCs/>
          <w:lang w:eastAsia="fr-FR"/>
        </w:rPr>
        <w:t>salaris</w:t>
      </w:r>
      <w:r w:rsidRPr="002210B3">
        <w:rPr>
          <w:rFonts w:cs="Arial"/>
          <w:iCs/>
          <w:lang w:eastAsia="fr-FR"/>
        </w:rPr>
        <w:t xml:space="preserve"> is sensitive to changes in the chemical composition of the water. It is sensitive to the most commonly used chemicals for bath treatment of farmed salmon parr and eggs (e.g. high salinity saltwater, formaldehyde and compounds containing chlorine and iodine). Furthermore, </w:t>
      </w:r>
      <w:r w:rsidRPr="002210B3">
        <w:rPr>
          <w:rFonts w:cs="Arial"/>
          <w:i/>
          <w:iCs/>
          <w:lang w:eastAsia="fr-FR"/>
        </w:rPr>
        <w:t>G. salaris</w:t>
      </w:r>
      <w:r w:rsidRPr="002210B3">
        <w:rPr>
          <w:rFonts w:cs="Arial"/>
          <w:iCs/>
          <w:lang w:eastAsia="fr-FR"/>
        </w:rPr>
        <w:t xml:space="preserve"> is sensitive to acidic solutions (pH 5.0–6.0) of aluminium sulphate ([Al</w:t>
      </w:r>
      <w:r w:rsidRPr="002210B3">
        <w:rPr>
          <w:rFonts w:cs="Arial"/>
          <w:iCs/>
          <w:vertAlign w:val="subscript"/>
          <w:lang w:eastAsia="fr-FR"/>
        </w:rPr>
        <w:t>2</w:t>
      </w:r>
      <w:r w:rsidRPr="002210B3">
        <w:rPr>
          <w:rFonts w:cs="Arial"/>
          <w:iCs/>
          <w:lang w:eastAsia="fr-FR"/>
        </w:rPr>
        <w:t>(SO</w:t>
      </w:r>
      <w:r w:rsidRPr="002210B3">
        <w:rPr>
          <w:rFonts w:cs="Arial"/>
          <w:iCs/>
          <w:vertAlign w:val="subscript"/>
          <w:lang w:eastAsia="fr-FR"/>
        </w:rPr>
        <w:t>4</w:t>
      </w:r>
      <w:r w:rsidRPr="002210B3">
        <w:rPr>
          <w:rFonts w:cs="Arial"/>
          <w:iCs/>
          <w:lang w:eastAsia="fr-FR"/>
        </w:rPr>
        <w:t>)</w:t>
      </w:r>
      <w:r w:rsidRPr="002210B3">
        <w:rPr>
          <w:rFonts w:cs="Arial"/>
          <w:iCs/>
          <w:vertAlign w:val="subscript"/>
          <w:lang w:eastAsia="fr-FR"/>
        </w:rPr>
        <w:t>3</w:t>
      </w:r>
      <w:r w:rsidRPr="002210B3">
        <w:rPr>
          <w:rFonts w:cs="Arial"/>
          <w:iCs/>
          <w:lang w:eastAsia="fr-FR"/>
        </w:rPr>
        <w:t>]) and zinc (ZN) (</w:t>
      </w:r>
      <w:r w:rsidRPr="002210B3">
        <w:rPr>
          <w:rFonts w:cs="Arial"/>
          <w:lang w:eastAsia="fr-FR"/>
        </w:rPr>
        <w:t>Pol</w:t>
      </w:r>
      <w:r>
        <w:rPr>
          <w:rFonts w:cs="Arial"/>
          <w:lang w:eastAsia="fr-FR"/>
        </w:rPr>
        <w:t>e</w:t>
      </w:r>
      <w:r w:rsidRPr="002210B3">
        <w:rPr>
          <w:rFonts w:cs="Arial"/>
          <w:lang w:eastAsia="fr-FR"/>
        </w:rPr>
        <w:t xml:space="preserve">o </w:t>
      </w:r>
      <w:r w:rsidRPr="002210B3">
        <w:rPr>
          <w:rFonts w:cs="Arial"/>
          <w:i/>
          <w:lang w:eastAsia="fr-FR"/>
        </w:rPr>
        <w:t>et al</w:t>
      </w:r>
      <w:r w:rsidRPr="002210B3">
        <w:rPr>
          <w:rFonts w:cs="Arial"/>
          <w:lang w:eastAsia="fr-FR"/>
        </w:rPr>
        <w:t>.</w:t>
      </w:r>
      <w:r>
        <w:rPr>
          <w:rFonts w:cs="Arial"/>
          <w:lang w:eastAsia="fr-FR"/>
        </w:rPr>
        <w:t>,</w:t>
      </w:r>
      <w:r w:rsidRPr="002210B3">
        <w:rPr>
          <w:rFonts w:cs="Arial"/>
          <w:lang w:eastAsia="fr-FR"/>
        </w:rPr>
        <w:t xml:space="preserve"> 2004</w:t>
      </w:r>
      <w:r>
        <w:rPr>
          <w:rFonts w:cs="Arial"/>
          <w:lang w:eastAsia="fr-FR"/>
        </w:rPr>
        <w:t xml:space="preserve">; </w:t>
      </w:r>
      <w:r w:rsidRPr="002210B3">
        <w:rPr>
          <w:rFonts w:cs="Arial"/>
          <w:iCs/>
          <w:lang w:eastAsia="fr-FR"/>
        </w:rPr>
        <w:t xml:space="preserve">Soleng </w:t>
      </w:r>
      <w:r w:rsidRPr="002210B3">
        <w:rPr>
          <w:rFonts w:cs="Arial"/>
          <w:i/>
          <w:iCs/>
          <w:lang w:eastAsia="fr-FR"/>
        </w:rPr>
        <w:t>et al</w:t>
      </w:r>
      <w:r w:rsidRPr="002210B3">
        <w:rPr>
          <w:rFonts w:cs="Arial"/>
          <w:iCs/>
          <w:lang w:eastAsia="fr-FR"/>
        </w:rPr>
        <w:t xml:space="preserve">., 1999). As aluminium sulphate is less toxic to fish than to </w:t>
      </w:r>
      <w:r w:rsidRPr="002210B3">
        <w:rPr>
          <w:rFonts w:cs="Arial"/>
          <w:i/>
          <w:iCs/>
          <w:lang w:eastAsia="fr-FR"/>
        </w:rPr>
        <w:t>G. salaris</w:t>
      </w:r>
      <w:r w:rsidRPr="002210B3">
        <w:rPr>
          <w:rFonts w:cs="Arial"/>
          <w:iCs/>
          <w:lang w:eastAsia="fr-FR"/>
        </w:rPr>
        <w:t xml:space="preserve"> in moderately acidified waters, and this chemical has been used to eradicate the parasite from one river system in Norway </w:t>
      </w:r>
      <w:r w:rsidRPr="002210B3">
        <w:rPr>
          <w:rFonts w:cs="Arial"/>
          <w:lang w:eastAsia="fr-FR"/>
        </w:rPr>
        <w:t xml:space="preserve">(Pettersen </w:t>
      </w:r>
      <w:r w:rsidRPr="002210B3">
        <w:rPr>
          <w:rFonts w:cs="Arial"/>
          <w:i/>
          <w:lang w:eastAsia="fr-FR"/>
        </w:rPr>
        <w:t>et al</w:t>
      </w:r>
      <w:r w:rsidRPr="002210B3">
        <w:rPr>
          <w:rFonts w:cs="Arial"/>
          <w:lang w:eastAsia="fr-FR"/>
        </w:rPr>
        <w:t>.</w:t>
      </w:r>
      <w:r>
        <w:rPr>
          <w:rFonts w:cs="Arial"/>
          <w:lang w:eastAsia="fr-FR"/>
        </w:rPr>
        <w:t>,</w:t>
      </w:r>
      <w:r w:rsidRPr="002210B3">
        <w:rPr>
          <w:rFonts w:cs="Arial"/>
          <w:lang w:eastAsia="fr-FR"/>
        </w:rPr>
        <w:t xml:space="preserve"> 2007). </w:t>
      </w:r>
      <w:r w:rsidRPr="002210B3">
        <w:rPr>
          <w:rFonts w:cs="Arial"/>
          <w:i/>
          <w:iCs/>
          <w:szCs w:val="18"/>
          <w:lang w:eastAsia="fr-FR"/>
        </w:rPr>
        <w:t>G</w:t>
      </w:r>
      <w:r>
        <w:rPr>
          <w:rFonts w:cs="Arial"/>
          <w:i/>
          <w:iCs/>
          <w:szCs w:val="18"/>
          <w:lang w:eastAsia="fr-FR"/>
        </w:rPr>
        <w:t>.</w:t>
      </w:r>
      <w:r w:rsidRPr="002210B3">
        <w:rPr>
          <w:rFonts w:cs="Arial"/>
          <w:i/>
          <w:iCs/>
          <w:szCs w:val="18"/>
          <w:lang w:eastAsia="fr-FR"/>
        </w:rPr>
        <w:t xml:space="preserve"> </w:t>
      </w:r>
      <w:r w:rsidRPr="002210B3">
        <w:rPr>
          <w:rFonts w:cs="Arial"/>
          <w:i/>
          <w:lang w:eastAsia="fr-FR"/>
        </w:rPr>
        <w:t>salaris</w:t>
      </w:r>
      <w:r w:rsidRPr="002210B3">
        <w:rPr>
          <w:rFonts w:cs="Arial"/>
          <w:lang w:eastAsia="fr-FR"/>
        </w:rPr>
        <w:t xml:space="preserve"> is sensitive to low doses of chlorine (</w:t>
      </w:r>
      <w:r w:rsidRPr="00057E23">
        <w:rPr>
          <w:rFonts w:cs="Arial"/>
          <w:lang w:eastAsia="fr-FR"/>
        </w:rPr>
        <w:t xml:space="preserve">Hagen </w:t>
      </w:r>
      <w:r w:rsidRPr="00057E23">
        <w:rPr>
          <w:rFonts w:cs="Arial"/>
          <w:i/>
          <w:lang w:eastAsia="fr-FR"/>
        </w:rPr>
        <w:t>et al</w:t>
      </w:r>
      <w:r w:rsidRPr="00057E23">
        <w:rPr>
          <w:rFonts w:cs="Arial"/>
          <w:lang w:eastAsia="fr-FR"/>
        </w:rPr>
        <w:t xml:space="preserve">. 2014). </w:t>
      </w:r>
    </w:p>
    <w:p w14:paraId="20B4087D" w14:textId="77777777" w:rsidR="000A62A2" w:rsidRPr="00057E23" w:rsidRDefault="000A62A2" w:rsidP="000A62A2">
      <w:pPr>
        <w:pStyle w:val="111"/>
        <w:ind w:firstLine="0"/>
        <w:rPr>
          <w:lang w:val="en-IE"/>
        </w:rPr>
      </w:pPr>
      <w:r w:rsidRPr="00057E23">
        <w:rPr>
          <w:lang w:val="en-IE"/>
        </w:rPr>
        <w:t>2.3.6.</w:t>
      </w:r>
      <w:r w:rsidRPr="00057E23">
        <w:rPr>
          <w:lang w:val="en-IE"/>
        </w:rPr>
        <w:tab/>
        <w:t>Geographical distribution</w:t>
      </w:r>
    </w:p>
    <w:p w14:paraId="35B67981" w14:textId="77777777" w:rsidR="000A62A2" w:rsidRPr="002210B3" w:rsidRDefault="000A62A2" w:rsidP="000A62A2">
      <w:pPr>
        <w:pStyle w:val="Para3"/>
        <w:rPr>
          <w:rFonts w:cs="Arial"/>
          <w:lang w:eastAsia="fr-FR" w:bidi="en-US"/>
        </w:rPr>
      </w:pPr>
      <w:r w:rsidRPr="00057E23">
        <w:rPr>
          <w:rFonts w:cs="Arial"/>
          <w:i/>
          <w:iCs/>
          <w:szCs w:val="18"/>
          <w:lang w:eastAsia="fr-FR"/>
        </w:rPr>
        <w:t xml:space="preserve">G. </w:t>
      </w:r>
      <w:r w:rsidRPr="00057E23">
        <w:rPr>
          <w:rFonts w:cs="Arial"/>
          <w:i/>
          <w:iCs/>
          <w:lang w:eastAsia="fr-FR" w:bidi="en-US"/>
        </w:rPr>
        <w:t>salaris</w:t>
      </w:r>
      <w:r w:rsidRPr="00057E23">
        <w:rPr>
          <w:rFonts w:cs="Arial"/>
          <w:lang w:eastAsia="fr-FR" w:bidi="en-US"/>
        </w:rPr>
        <w:t xml:space="preserve"> is restricted in its distribution to Europe. It has been recovered from farmed Atlantic salmon or farmed rainbow trout in several (mainly northern) European countries. In the wild, the parasite has been found on wild salmonids, mainly Atlantic salmon parr, in rivers in Russia, Sweden, Finland and Norway. In some areas, the parasite continues to spread, and in 2015 it was detected on salmon parr in a new area in the north of Russia. In 2006, infection with </w:t>
      </w:r>
      <w:r w:rsidRPr="00057E23">
        <w:rPr>
          <w:rFonts w:cs="Arial"/>
          <w:i/>
          <w:iCs/>
          <w:lang w:eastAsia="fr-FR" w:bidi="en-US"/>
        </w:rPr>
        <w:t>G. salaris</w:t>
      </w:r>
      <w:r w:rsidRPr="00057E23">
        <w:rPr>
          <w:rFonts w:cs="Arial"/>
          <w:lang w:eastAsia="fr-FR" w:bidi="en-US"/>
        </w:rPr>
        <w:t xml:space="preserve"> was reported from fish farms in Italy (Paladini </w:t>
      </w:r>
      <w:r w:rsidRPr="00057E23">
        <w:rPr>
          <w:rFonts w:cs="Arial"/>
          <w:i/>
          <w:lang w:eastAsia="fr-FR" w:bidi="en-US"/>
        </w:rPr>
        <w:t>et al</w:t>
      </w:r>
      <w:r w:rsidRPr="00057E23">
        <w:rPr>
          <w:rFonts w:cs="Arial"/>
          <w:lang w:eastAsia="fr-FR" w:bidi="en-US"/>
        </w:rPr>
        <w:t xml:space="preserve">., 2009) and, in 2007, from fish farms in Poland (Rokicka </w:t>
      </w:r>
      <w:r w:rsidRPr="00057E23">
        <w:rPr>
          <w:rFonts w:cs="Arial"/>
          <w:i/>
          <w:lang w:eastAsia="fr-FR" w:bidi="en-US"/>
        </w:rPr>
        <w:t>et al</w:t>
      </w:r>
      <w:r w:rsidRPr="00057E23">
        <w:rPr>
          <w:rFonts w:cs="Arial"/>
          <w:lang w:eastAsia="fr-FR" w:bidi="en-US"/>
        </w:rPr>
        <w:t xml:space="preserve">., 2007) and Macedonia (Zietara </w:t>
      </w:r>
      <w:r w:rsidRPr="00057E23">
        <w:rPr>
          <w:rFonts w:cs="Arial"/>
          <w:i/>
          <w:lang w:eastAsia="fr-FR" w:bidi="en-US"/>
        </w:rPr>
        <w:t>et al</w:t>
      </w:r>
      <w:r w:rsidRPr="00057E23">
        <w:rPr>
          <w:rFonts w:cs="Arial"/>
          <w:lang w:eastAsia="fr-FR" w:bidi="en-US"/>
        </w:rPr>
        <w:t xml:space="preserve">., 2007). In 2009, </w:t>
      </w:r>
      <w:r w:rsidRPr="00057E23">
        <w:rPr>
          <w:rFonts w:cs="Arial"/>
          <w:i/>
          <w:iCs/>
          <w:lang w:eastAsia="fr-FR" w:bidi="en-US"/>
        </w:rPr>
        <w:t>G. salaris</w:t>
      </w:r>
      <w:r w:rsidRPr="00057E23">
        <w:rPr>
          <w:rFonts w:cs="Arial"/>
          <w:lang w:eastAsia="fr-FR" w:bidi="en-US"/>
        </w:rPr>
        <w:t xml:space="preserve"> was identified from fish farms in Romania (Hansen </w:t>
      </w:r>
      <w:r w:rsidRPr="00057E23">
        <w:rPr>
          <w:rFonts w:cs="Arial"/>
          <w:i/>
          <w:lang w:eastAsia="fr-FR" w:bidi="en-US"/>
        </w:rPr>
        <w:t>et al</w:t>
      </w:r>
      <w:r w:rsidRPr="00057E23">
        <w:rPr>
          <w:rFonts w:cs="Arial"/>
          <w:lang w:eastAsia="fr-FR" w:bidi="en-US"/>
        </w:rPr>
        <w:t>., 2014). The parasite has never been detected in the United Kingdom or in the Republic of Ireland.</w:t>
      </w:r>
    </w:p>
    <w:p w14:paraId="34601864" w14:textId="77777777" w:rsidR="000A62A2" w:rsidRPr="002210B3" w:rsidRDefault="000A62A2" w:rsidP="000A62A2">
      <w:pPr>
        <w:pStyle w:val="Para3"/>
        <w:rPr>
          <w:rFonts w:cs="Arial"/>
          <w:lang w:eastAsia="fr-FR"/>
        </w:rPr>
      </w:pPr>
      <w:r w:rsidRPr="002210B3">
        <w:rPr>
          <w:rFonts w:cs="Arial"/>
          <w:szCs w:val="18"/>
          <w:lang w:eastAsia="fr-FR"/>
        </w:rPr>
        <w:t>For recent information on distribution at the country level consult the WAHIS interface (</w:t>
      </w:r>
      <w:hyperlink r:id="rId217" w:history="1">
        <w:r w:rsidRPr="002210B3">
          <w:rPr>
            <w:rStyle w:val="Lienhypertexte"/>
            <w:rFonts w:cs="Arial"/>
            <w:szCs w:val="18"/>
            <w:lang w:eastAsia="fr-FR"/>
          </w:rPr>
          <w:t>https://www.oie.int/wahis_2/public/wahid.php/Wahidhome/Home/index/newlang/en</w:t>
        </w:r>
      </w:hyperlink>
      <w:r w:rsidRPr="002210B3">
        <w:rPr>
          <w:rFonts w:cs="Arial"/>
          <w:szCs w:val="18"/>
          <w:lang w:eastAsia="fr-FR"/>
        </w:rPr>
        <w:t>).</w:t>
      </w:r>
    </w:p>
    <w:p w14:paraId="65947597" w14:textId="77777777" w:rsidR="000A62A2" w:rsidRPr="000A62A2" w:rsidRDefault="000A62A2" w:rsidP="000A62A2">
      <w:pPr>
        <w:pStyle w:val="Titre2"/>
        <w:ind w:left="851" w:hanging="425"/>
        <w:rPr>
          <w:rFonts w:ascii="Ottawa" w:hAnsi="Ottawa"/>
          <w:b/>
          <w:sz w:val="21"/>
          <w:szCs w:val="21"/>
          <w:lang w:val="en-IE"/>
        </w:rPr>
      </w:pPr>
      <w:r w:rsidRPr="000A62A2">
        <w:rPr>
          <w:rFonts w:ascii="Ottawa" w:hAnsi="Ottawa"/>
          <w:b/>
          <w:sz w:val="21"/>
          <w:szCs w:val="21"/>
          <w:lang w:val="en-IE"/>
        </w:rPr>
        <w:t>2.4.</w:t>
      </w:r>
      <w:r w:rsidRPr="000A62A2">
        <w:rPr>
          <w:rFonts w:ascii="Ottawa" w:hAnsi="Ottawa"/>
          <w:b/>
          <w:sz w:val="21"/>
          <w:szCs w:val="21"/>
          <w:lang w:val="en-IE"/>
        </w:rPr>
        <w:tab/>
        <w:t xml:space="preserve">Biosecurity and disease control strategies </w:t>
      </w:r>
    </w:p>
    <w:p w14:paraId="0B7003B7" w14:textId="77777777" w:rsidR="000A62A2" w:rsidRPr="002210B3" w:rsidRDefault="000A62A2" w:rsidP="000A62A2">
      <w:pPr>
        <w:pStyle w:val="111"/>
        <w:ind w:firstLine="0"/>
        <w:rPr>
          <w:lang w:val="en-IE"/>
        </w:rPr>
      </w:pPr>
      <w:r w:rsidRPr="002210B3">
        <w:rPr>
          <w:lang w:val="en-IE"/>
        </w:rPr>
        <w:t>2.4.1.</w:t>
      </w:r>
      <w:r w:rsidRPr="002210B3">
        <w:rPr>
          <w:lang w:val="en-IE"/>
        </w:rPr>
        <w:tab/>
        <w:t>Vaccination</w:t>
      </w:r>
    </w:p>
    <w:p w14:paraId="634B3F7F" w14:textId="77777777" w:rsidR="000A62A2" w:rsidRPr="002210B3" w:rsidRDefault="000A62A2" w:rsidP="000A62A2">
      <w:pPr>
        <w:pStyle w:val="Para3"/>
        <w:rPr>
          <w:rFonts w:cs="Arial"/>
          <w:lang w:eastAsia="fr-FR"/>
        </w:rPr>
      </w:pPr>
      <w:r w:rsidRPr="002210B3">
        <w:rPr>
          <w:rFonts w:cs="Arial"/>
          <w:lang w:eastAsia="fr-FR"/>
        </w:rPr>
        <w:t>Vaccines are not available.</w:t>
      </w:r>
    </w:p>
    <w:p w14:paraId="58CFD7EE" w14:textId="77777777" w:rsidR="000A62A2" w:rsidRPr="002210B3" w:rsidRDefault="000A62A2" w:rsidP="000A62A2">
      <w:pPr>
        <w:pStyle w:val="111"/>
        <w:ind w:firstLine="0"/>
        <w:rPr>
          <w:lang w:val="en-IE"/>
        </w:rPr>
      </w:pPr>
      <w:r w:rsidRPr="002210B3">
        <w:rPr>
          <w:lang w:val="en-IE"/>
        </w:rPr>
        <w:t>2.4.2.</w:t>
      </w:r>
      <w:r w:rsidRPr="002210B3">
        <w:rPr>
          <w:lang w:val="en-IE"/>
        </w:rPr>
        <w:tab/>
        <w:t>Chemotherapy including blocking agents</w:t>
      </w:r>
    </w:p>
    <w:p w14:paraId="389BBBC6" w14:textId="77777777" w:rsidR="000A62A2" w:rsidRPr="002210B3" w:rsidRDefault="000A62A2" w:rsidP="000A62A2">
      <w:pPr>
        <w:pStyle w:val="Para3"/>
        <w:rPr>
          <w:rFonts w:cs="Arial"/>
          <w:lang w:eastAsia="zh-CN"/>
        </w:rPr>
      </w:pPr>
      <w:r w:rsidRPr="002210B3">
        <w:rPr>
          <w:rFonts w:cs="Arial"/>
          <w:lang w:eastAsia="zh-CN"/>
        </w:rPr>
        <w:t>Not applicable.</w:t>
      </w:r>
    </w:p>
    <w:p w14:paraId="497F6D80" w14:textId="77777777" w:rsidR="000A62A2" w:rsidRPr="000A62A2" w:rsidRDefault="000A62A2" w:rsidP="000A62A2">
      <w:pPr>
        <w:pStyle w:val="Titre3"/>
        <w:ind w:left="851"/>
        <w:rPr>
          <w:rFonts w:ascii="Ottawa" w:eastAsia="Times New Roman" w:hAnsi="Ottawa" w:cs="Times New Roman"/>
          <w:b/>
          <w:bCs/>
          <w:i w:val="0"/>
          <w:szCs w:val="22"/>
          <w:lang w:val="en-IE" w:eastAsia="fr-FR"/>
        </w:rPr>
      </w:pPr>
      <w:r w:rsidRPr="000A62A2">
        <w:rPr>
          <w:rFonts w:ascii="Ottawa" w:eastAsia="Times New Roman" w:hAnsi="Ottawa" w:cs="Times New Roman"/>
          <w:b/>
          <w:bCs/>
          <w:i w:val="0"/>
          <w:szCs w:val="22"/>
          <w:lang w:val="en-IE" w:eastAsia="fr-FR"/>
        </w:rPr>
        <w:t>2.4.3.</w:t>
      </w:r>
      <w:r w:rsidRPr="000A62A2">
        <w:rPr>
          <w:rFonts w:ascii="Ottawa" w:eastAsia="Times New Roman" w:hAnsi="Ottawa" w:cs="Times New Roman"/>
          <w:b/>
          <w:bCs/>
          <w:i w:val="0"/>
          <w:szCs w:val="22"/>
          <w:lang w:val="en-IE" w:eastAsia="fr-FR"/>
        </w:rPr>
        <w:tab/>
        <w:t>Immunostimulation</w:t>
      </w:r>
    </w:p>
    <w:p w14:paraId="3898A7C9" w14:textId="77777777" w:rsidR="000A62A2" w:rsidRPr="002210B3" w:rsidRDefault="000A62A2" w:rsidP="000A62A2">
      <w:pPr>
        <w:pStyle w:val="Para3"/>
        <w:rPr>
          <w:rFonts w:cs="Arial"/>
          <w:lang w:eastAsia="fr-FR"/>
        </w:rPr>
      </w:pPr>
      <w:r w:rsidRPr="002210B3">
        <w:rPr>
          <w:rFonts w:cs="Arial"/>
          <w:lang w:eastAsia="fr-FR"/>
        </w:rPr>
        <w:t>Immunostimulation is not available.</w:t>
      </w:r>
    </w:p>
    <w:p w14:paraId="53698D28" w14:textId="77777777" w:rsidR="000A62A2" w:rsidRPr="000A62A2" w:rsidRDefault="000A62A2" w:rsidP="000A62A2">
      <w:pPr>
        <w:pStyle w:val="Titre3"/>
        <w:spacing w:after="480"/>
        <w:rPr>
          <w:bCs/>
          <w:i w:val="0"/>
          <w:iCs/>
        </w:rPr>
      </w:pPr>
      <w:r>
        <w:rPr>
          <w:lang w:val="en-IE"/>
        </w:rPr>
        <w:br w:type="page"/>
      </w:r>
      <w:r w:rsidRPr="000A62A2">
        <w:rPr>
          <w:rFonts w:cs="Times New Roman"/>
          <w:i w:val="0"/>
          <w:szCs w:val="20"/>
          <w:u w:val="single"/>
        </w:rPr>
        <w:lastRenderedPageBreak/>
        <w:t>A</w:t>
      </w:r>
      <w:r w:rsidRPr="000A62A2">
        <w:rPr>
          <w:rFonts w:cs="Times New Roman"/>
          <w:bCs/>
          <w:i w:val="0"/>
          <w:iCs/>
          <w:szCs w:val="20"/>
          <w:u w:val="single"/>
        </w:rPr>
        <w:t>nnex 15</w:t>
      </w:r>
      <w:r w:rsidRPr="000A62A2">
        <w:rPr>
          <w:rFonts w:cs="Times New Roman"/>
          <w:bCs/>
          <w:i w:val="0"/>
          <w:iCs/>
          <w:szCs w:val="20"/>
        </w:rPr>
        <w:t xml:space="preserve"> (contd)</w:t>
      </w:r>
    </w:p>
    <w:p w14:paraId="135907C8" w14:textId="77777777" w:rsidR="000A62A2" w:rsidRPr="000A62A2" w:rsidRDefault="000A62A2" w:rsidP="000A62A2">
      <w:pPr>
        <w:pStyle w:val="Titre3"/>
        <w:spacing w:after="120"/>
        <w:ind w:left="851"/>
        <w:rPr>
          <w:rFonts w:ascii="Ottawa" w:eastAsia="Times New Roman" w:hAnsi="Ottawa" w:cs="Times New Roman"/>
          <w:b/>
          <w:bCs/>
          <w:i w:val="0"/>
          <w:szCs w:val="22"/>
          <w:lang w:val="en-IE" w:eastAsia="fr-FR"/>
        </w:rPr>
      </w:pPr>
      <w:r w:rsidRPr="000A62A2">
        <w:rPr>
          <w:rFonts w:ascii="Ottawa" w:eastAsia="Times New Roman" w:hAnsi="Ottawa" w:cs="Times New Roman"/>
          <w:b/>
          <w:bCs/>
          <w:i w:val="0"/>
          <w:szCs w:val="22"/>
          <w:lang w:val="en-IE" w:eastAsia="fr-FR"/>
        </w:rPr>
        <w:t>2.4.4.</w:t>
      </w:r>
      <w:r w:rsidRPr="000A62A2">
        <w:rPr>
          <w:rFonts w:ascii="Ottawa" w:eastAsia="Times New Roman" w:hAnsi="Ottawa" w:cs="Times New Roman"/>
          <w:b/>
          <w:bCs/>
          <w:i w:val="0"/>
          <w:szCs w:val="22"/>
          <w:lang w:val="en-IE" w:eastAsia="fr-FR"/>
        </w:rPr>
        <w:tab/>
        <w:t>Breeding resistant strains</w:t>
      </w:r>
    </w:p>
    <w:p w14:paraId="598C4BBC" w14:textId="77777777" w:rsidR="000A62A2" w:rsidRPr="002210B3" w:rsidRDefault="000A62A2" w:rsidP="000A62A2">
      <w:pPr>
        <w:pStyle w:val="Para3"/>
        <w:spacing w:after="120"/>
        <w:rPr>
          <w:rFonts w:cs="Arial"/>
          <w:lang w:eastAsia="fr-FR"/>
        </w:rPr>
      </w:pPr>
      <w:r w:rsidRPr="002210B3">
        <w:rPr>
          <w:rFonts w:cs="Arial"/>
          <w:lang w:eastAsia="fr-FR"/>
        </w:rPr>
        <w:t xml:space="preserve">In laboratory experiments, selected breeding of Atlantic salmon has resulted in increased survival among the offspring (Salte </w:t>
      </w:r>
      <w:r w:rsidRPr="002210B3">
        <w:rPr>
          <w:rFonts w:cs="Arial"/>
          <w:i/>
          <w:lang w:eastAsia="fr-FR"/>
        </w:rPr>
        <w:t>et al</w:t>
      </w:r>
      <w:r w:rsidRPr="002210B3">
        <w:rPr>
          <w:rFonts w:cs="Arial"/>
          <w:lang w:eastAsia="fr-FR"/>
        </w:rPr>
        <w:t>., 2010). However, stocking rivers with resistant strains has not been attempted because the stock will remain infected and thus the parasite may spread to other rivers with susceptible hosts.</w:t>
      </w:r>
    </w:p>
    <w:p w14:paraId="76426175" w14:textId="77777777" w:rsidR="000A62A2" w:rsidRPr="000A62A2" w:rsidRDefault="000A62A2" w:rsidP="000A62A2">
      <w:pPr>
        <w:pStyle w:val="Titre3"/>
        <w:spacing w:after="120"/>
        <w:ind w:left="851"/>
        <w:rPr>
          <w:rFonts w:ascii="Ottawa" w:eastAsia="Times New Roman" w:hAnsi="Ottawa" w:cs="Times New Roman"/>
          <w:b/>
          <w:bCs/>
          <w:i w:val="0"/>
          <w:szCs w:val="22"/>
          <w:lang w:val="en-IE" w:eastAsia="fr-FR"/>
        </w:rPr>
      </w:pPr>
      <w:r w:rsidRPr="000A62A2">
        <w:rPr>
          <w:rFonts w:ascii="Ottawa" w:eastAsia="Times New Roman" w:hAnsi="Ottawa" w:cs="Times New Roman"/>
          <w:b/>
          <w:bCs/>
          <w:i w:val="0"/>
          <w:szCs w:val="22"/>
          <w:lang w:val="en-IE" w:eastAsia="fr-FR"/>
        </w:rPr>
        <w:t>2.4.5.</w:t>
      </w:r>
      <w:r w:rsidRPr="000A62A2">
        <w:rPr>
          <w:rFonts w:ascii="Ottawa" w:eastAsia="Times New Roman" w:hAnsi="Ottawa" w:cs="Times New Roman"/>
          <w:b/>
          <w:bCs/>
          <w:i w:val="0"/>
          <w:szCs w:val="22"/>
          <w:lang w:val="en-IE" w:eastAsia="fr-FR"/>
        </w:rPr>
        <w:tab/>
        <w:t>Inactivation methods</w:t>
      </w:r>
    </w:p>
    <w:p w14:paraId="6BA1B080" w14:textId="77777777" w:rsidR="000A62A2" w:rsidRPr="002210B3" w:rsidRDefault="000A62A2" w:rsidP="000A62A2">
      <w:pPr>
        <w:pStyle w:val="Para3"/>
        <w:spacing w:after="120"/>
        <w:rPr>
          <w:rFonts w:cs="Arial"/>
          <w:lang w:eastAsia="zh-CN"/>
        </w:rPr>
      </w:pPr>
      <w:r w:rsidRPr="002210B3">
        <w:rPr>
          <w:rFonts w:cs="Arial"/>
          <w:lang w:eastAsia="zh-CN"/>
        </w:rPr>
        <w:t>Not applicable.</w:t>
      </w:r>
    </w:p>
    <w:p w14:paraId="34FD0707" w14:textId="77777777" w:rsidR="000A62A2" w:rsidRPr="000A62A2" w:rsidRDefault="000A62A2" w:rsidP="000A62A2">
      <w:pPr>
        <w:pStyle w:val="Titre3"/>
        <w:spacing w:after="120"/>
        <w:ind w:left="851"/>
        <w:rPr>
          <w:rFonts w:ascii="Ottawa" w:eastAsia="Times New Roman" w:hAnsi="Ottawa" w:cs="Times New Roman"/>
          <w:b/>
          <w:bCs/>
          <w:i w:val="0"/>
          <w:szCs w:val="22"/>
          <w:lang w:val="en-IE" w:eastAsia="fr-FR"/>
        </w:rPr>
      </w:pPr>
      <w:r w:rsidRPr="000A62A2">
        <w:rPr>
          <w:rFonts w:ascii="Ottawa" w:eastAsia="Times New Roman" w:hAnsi="Ottawa" w:cs="Times New Roman"/>
          <w:b/>
          <w:bCs/>
          <w:i w:val="0"/>
          <w:szCs w:val="22"/>
          <w:lang w:val="en-IE" w:eastAsia="fr-FR"/>
        </w:rPr>
        <w:t>2.4.6.</w:t>
      </w:r>
      <w:r w:rsidRPr="000A62A2">
        <w:rPr>
          <w:rFonts w:ascii="Ottawa" w:eastAsia="Times New Roman" w:hAnsi="Ottawa" w:cs="Times New Roman"/>
          <w:b/>
          <w:bCs/>
          <w:i w:val="0"/>
          <w:szCs w:val="22"/>
          <w:lang w:val="en-IE" w:eastAsia="fr-FR"/>
        </w:rPr>
        <w:tab/>
        <w:t>Disinfection of eggs and larvae</w:t>
      </w:r>
    </w:p>
    <w:p w14:paraId="6A035A01" w14:textId="77777777" w:rsidR="000A62A2" w:rsidRPr="002210B3" w:rsidRDefault="000A62A2" w:rsidP="000A62A2">
      <w:pPr>
        <w:pStyle w:val="Para3"/>
        <w:spacing w:after="120"/>
        <w:rPr>
          <w:rFonts w:cs="Arial"/>
          <w:lang w:eastAsia="fr-FR"/>
        </w:rPr>
      </w:pPr>
      <w:r w:rsidRPr="002210B3">
        <w:rPr>
          <w:rFonts w:cs="Arial"/>
          <w:lang w:eastAsia="fr-FR"/>
        </w:rPr>
        <w:t>Eggs that are transferred from infected farms should be disinfected (iodine-containing compounds have been used).</w:t>
      </w:r>
    </w:p>
    <w:p w14:paraId="1DA0B6A0" w14:textId="77777777" w:rsidR="000A62A2" w:rsidRPr="002210B3" w:rsidRDefault="000A62A2" w:rsidP="000A62A2">
      <w:pPr>
        <w:pStyle w:val="111"/>
        <w:ind w:firstLine="0"/>
        <w:rPr>
          <w:lang w:val="en-IE"/>
        </w:rPr>
      </w:pPr>
      <w:r w:rsidRPr="002210B3">
        <w:rPr>
          <w:lang w:val="en-IE"/>
        </w:rPr>
        <w:t>2.4.7.</w:t>
      </w:r>
      <w:r w:rsidRPr="002210B3">
        <w:rPr>
          <w:lang w:val="en-IE"/>
        </w:rPr>
        <w:tab/>
        <w:t>General husbandry</w:t>
      </w:r>
    </w:p>
    <w:p w14:paraId="398ADEEF" w14:textId="77777777" w:rsidR="000A62A2" w:rsidRPr="002210B3" w:rsidRDefault="000A62A2" w:rsidP="000A62A2">
      <w:pPr>
        <w:pStyle w:val="Para3"/>
        <w:spacing w:after="120"/>
        <w:rPr>
          <w:rFonts w:cs="Arial"/>
          <w:lang w:eastAsia="fr-FR"/>
        </w:rPr>
      </w:pPr>
      <w:r w:rsidRPr="002210B3">
        <w:rPr>
          <w:rFonts w:cs="Arial"/>
          <w:lang w:eastAsia="fr-FR"/>
        </w:rPr>
        <w:t xml:space="preserve">Treatment of farmed salmonid populations with formaldehyde or other bath treatments will reduce the prevalence and abundance of </w:t>
      </w:r>
      <w:r w:rsidRPr="002210B3">
        <w:rPr>
          <w:rFonts w:cs="Arial"/>
          <w:i/>
          <w:iCs/>
          <w:lang w:eastAsia="fr-FR"/>
        </w:rPr>
        <w:t>G. salaris</w:t>
      </w:r>
      <w:r w:rsidRPr="002210B3">
        <w:rPr>
          <w:rFonts w:cs="Arial"/>
          <w:lang w:eastAsia="fr-FR"/>
        </w:rPr>
        <w:t xml:space="preserve"> and may therefore render detection more difficult.</w:t>
      </w:r>
    </w:p>
    <w:p w14:paraId="1F974341" w14:textId="77777777" w:rsidR="000A62A2" w:rsidRPr="002210B3" w:rsidRDefault="000A62A2" w:rsidP="000A62A2">
      <w:pPr>
        <w:pStyle w:val="Para3"/>
        <w:spacing w:after="120"/>
        <w:rPr>
          <w:rFonts w:cs="Arial"/>
        </w:rPr>
      </w:pPr>
      <w:r w:rsidRPr="002210B3">
        <w:rPr>
          <w:rFonts w:cs="Arial"/>
          <w:lang w:eastAsia="fr-FR"/>
        </w:rPr>
        <w:t>Restocking with resistant strains of Atlantic salmon (e.g. Baltic Neva strain) in affected rivers is not considered compatible with existing strain management of Atlantic salmon</w:t>
      </w:r>
      <w:r>
        <w:rPr>
          <w:rFonts w:cs="Arial"/>
          <w:lang w:eastAsia="fr-FR"/>
        </w:rPr>
        <w:t xml:space="preserve"> (i.e. preservation of the genetic integrity of wild stocks)</w:t>
      </w:r>
      <w:r w:rsidRPr="002210B3">
        <w:rPr>
          <w:rFonts w:cs="Arial"/>
          <w:lang w:eastAsia="fr-FR"/>
        </w:rPr>
        <w:t xml:space="preserve"> </w:t>
      </w:r>
      <w:r w:rsidRPr="00057E23">
        <w:rPr>
          <w:rFonts w:cs="Arial"/>
          <w:lang w:eastAsia="fr-FR"/>
        </w:rPr>
        <w:t xml:space="preserve">(Karlsson </w:t>
      </w:r>
      <w:r w:rsidRPr="00057E23">
        <w:rPr>
          <w:rFonts w:cs="Arial"/>
          <w:i/>
          <w:lang w:eastAsia="fr-FR"/>
        </w:rPr>
        <w:t>et al.</w:t>
      </w:r>
      <w:r w:rsidRPr="00057E23">
        <w:rPr>
          <w:rFonts w:cs="Arial"/>
          <w:lang w:eastAsia="fr-FR"/>
        </w:rPr>
        <w:t xml:space="preserve">, </w:t>
      </w:r>
      <w:r>
        <w:rPr>
          <w:rFonts w:cs="Arial"/>
          <w:lang w:eastAsia="fr-FR"/>
        </w:rPr>
        <w:t>2019</w:t>
      </w:r>
      <w:r w:rsidRPr="00057E23">
        <w:rPr>
          <w:rFonts w:cs="Arial"/>
          <w:lang w:eastAsia="fr-FR"/>
        </w:rPr>
        <w:t>).</w:t>
      </w:r>
    </w:p>
    <w:p w14:paraId="08FBD295" w14:textId="77777777" w:rsidR="000A62A2" w:rsidRPr="002210B3" w:rsidRDefault="000A62A2" w:rsidP="000A62A2">
      <w:pPr>
        <w:pStyle w:val="Para3"/>
        <w:spacing w:after="120"/>
        <w:rPr>
          <w:rFonts w:cs="Arial"/>
        </w:rPr>
      </w:pPr>
      <w:r w:rsidRPr="002210B3">
        <w:rPr>
          <w:rFonts w:cs="Arial"/>
        </w:rPr>
        <w:t xml:space="preserve">The spread of </w:t>
      </w:r>
      <w:r w:rsidRPr="002210B3">
        <w:rPr>
          <w:rFonts w:cs="Arial"/>
          <w:i/>
          <w:iCs/>
        </w:rPr>
        <w:t>G. salaris</w:t>
      </w:r>
      <w:r w:rsidRPr="002210B3">
        <w:rPr>
          <w:rFonts w:cs="Arial"/>
        </w:rPr>
        <w:t xml:space="preserve"> between freshwater fish farms and between rivers</w:t>
      </w:r>
      <w:r>
        <w:rPr>
          <w:rFonts w:cs="Arial"/>
        </w:rPr>
        <w:t xml:space="preserve"> </w:t>
      </w:r>
      <w:r w:rsidRPr="002210B3">
        <w:rPr>
          <w:rFonts w:cs="Arial"/>
        </w:rPr>
        <w:t>may be avoided by</w:t>
      </w:r>
      <w:r>
        <w:rPr>
          <w:rFonts w:cs="Arial"/>
        </w:rPr>
        <w:t xml:space="preserve"> </w:t>
      </w:r>
      <w:r w:rsidRPr="002210B3">
        <w:rPr>
          <w:rFonts w:cs="Arial"/>
        </w:rPr>
        <w:t>disinfection of equipment (e.g. fish nets) before translocation.</w:t>
      </w:r>
    </w:p>
    <w:p w14:paraId="3FCA59EC" w14:textId="77777777" w:rsidR="000A62A2" w:rsidRPr="000A62A2" w:rsidRDefault="000A62A2" w:rsidP="000A62A2">
      <w:pPr>
        <w:pStyle w:val="Titre1"/>
        <w:spacing w:before="0" w:after="240" w:line="240" w:lineRule="auto"/>
        <w:ind w:left="425" w:hanging="425"/>
        <w:rPr>
          <w:rFonts w:ascii="Ottawa" w:hAnsi="Ottawa"/>
          <w:b/>
          <w:color w:val="auto"/>
          <w:sz w:val="22"/>
          <w:szCs w:val="22"/>
          <w:lang w:val="en-IE"/>
        </w:rPr>
      </w:pPr>
      <w:r w:rsidRPr="000A62A2">
        <w:rPr>
          <w:rFonts w:ascii="Ottawa" w:hAnsi="Ottawa"/>
          <w:b/>
          <w:color w:val="auto"/>
          <w:sz w:val="22"/>
          <w:szCs w:val="22"/>
          <w:lang w:val="en-IE"/>
        </w:rPr>
        <w:t>3.</w:t>
      </w:r>
      <w:r w:rsidRPr="000A62A2">
        <w:rPr>
          <w:rFonts w:ascii="Ottawa" w:hAnsi="Ottawa"/>
          <w:b/>
          <w:color w:val="auto"/>
          <w:sz w:val="22"/>
          <w:szCs w:val="22"/>
          <w:lang w:val="en-IE"/>
        </w:rPr>
        <w:tab/>
        <w:t xml:space="preserve">Specimen selection, sample collection, transportation and handling </w:t>
      </w:r>
    </w:p>
    <w:p w14:paraId="50E88AA0" w14:textId="77777777" w:rsidR="000A62A2" w:rsidRPr="005E0432" w:rsidRDefault="000A62A2" w:rsidP="000A62A2">
      <w:pPr>
        <w:pStyle w:val="Para10"/>
        <w:spacing w:after="120"/>
        <w:ind w:left="426"/>
        <w:rPr>
          <w:rFonts w:cs="Arial"/>
        </w:rPr>
      </w:pPr>
      <w:r w:rsidRPr="002210B3">
        <w:rPr>
          <w:rFonts w:cs="Arial"/>
        </w:rPr>
        <w:t xml:space="preserve">This section draws on information in </w:t>
      </w:r>
      <w:r w:rsidRPr="005E0432">
        <w:rPr>
          <w:rFonts w:cs="Arial"/>
        </w:rPr>
        <w:t xml:space="preserve">Sections 2.2, 2.3 and 2.4 to identify populations, individuals and samples </w:t>
      </w:r>
      <w:r>
        <w:rPr>
          <w:rFonts w:cs="Arial"/>
        </w:rPr>
        <w:t>that</w:t>
      </w:r>
      <w:r w:rsidRPr="005E0432">
        <w:rPr>
          <w:rFonts w:cs="Arial"/>
        </w:rPr>
        <w:t xml:space="preserve"> are most likely to be infected.</w:t>
      </w:r>
    </w:p>
    <w:p w14:paraId="041AF871" w14:textId="77777777" w:rsidR="000A62A2" w:rsidRPr="000A62A2" w:rsidRDefault="000A62A2" w:rsidP="000A62A2">
      <w:pPr>
        <w:pStyle w:val="Titre2"/>
        <w:ind w:left="851" w:hanging="425"/>
        <w:rPr>
          <w:rFonts w:ascii="Ottawa" w:hAnsi="Ottawa"/>
          <w:b/>
          <w:sz w:val="21"/>
          <w:szCs w:val="21"/>
          <w:lang w:val="en-IE"/>
        </w:rPr>
      </w:pPr>
      <w:r w:rsidRPr="000A62A2">
        <w:rPr>
          <w:rFonts w:ascii="Ottawa" w:hAnsi="Ottawa"/>
          <w:b/>
          <w:sz w:val="21"/>
          <w:szCs w:val="21"/>
          <w:lang w:val="en-IE"/>
        </w:rPr>
        <w:t>3.1.</w:t>
      </w:r>
      <w:r w:rsidRPr="000A62A2">
        <w:rPr>
          <w:rFonts w:ascii="Ottawa" w:hAnsi="Ottawa"/>
          <w:b/>
          <w:sz w:val="21"/>
          <w:szCs w:val="21"/>
          <w:lang w:val="en-IE"/>
        </w:rPr>
        <w:tab/>
        <w:t>Selection of populations and individual specimens</w:t>
      </w:r>
    </w:p>
    <w:p w14:paraId="19B9B223" w14:textId="77777777" w:rsidR="000A62A2" w:rsidRPr="002210B3" w:rsidRDefault="000A62A2" w:rsidP="000A62A2">
      <w:pPr>
        <w:pStyle w:val="Para20"/>
        <w:spacing w:after="120"/>
        <w:ind w:left="851"/>
        <w:rPr>
          <w:rFonts w:cs="Arial"/>
        </w:rPr>
      </w:pPr>
      <w:r w:rsidRPr="002210B3">
        <w:rPr>
          <w:rFonts w:cs="Arial"/>
          <w:lang w:bidi="en-US"/>
        </w:rPr>
        <w:t>Sampling wild healthy populations should take place during the late summer or autumn when prevalence is highest. Atlantic salmon should be targeted. In farms, fish showing clinical signs of infection (as described in Section</w:t>
      </w:r>
      <w:r w:rsidRPr="002210B3">
        <w:rPr>
          <w:rStyle w:val="Lienhypertexte"/>
          <w:rFonts w:cs="Arial"/>
          <w:color w:val="auto"/>
          <w:lang w:bidi="en-US"/>
        </w:rPr>
        <w:t xml:space="preserve"> 2.3.1</w:t>
      </w:r>
      <w:r w:rsidRPr="002210B3">
        <w:rPr>
          <w:rFonts w:cs="Arial"/>
          <w:lang w:bidi="en-US"/>
        </w:rPr>
        <w:t xml:space="preserve">) should be selected. Sampling should be avoided for a period after treatment for ectoparasites. In the absence of clinical signs sampling in wild populations should target year class 1+ and 2+ as these are more likely of being infected than 0+ parr. </w:t>
      </w:r>
    </w:p>
    <w:p w14:paraId="03F3AD34" w14:textId="77777777" w:rsidR="000A62A2" w:rsidRPr="000A62A2" w:rsidRDefault="000A62A2" w:rsidP="000A62A2">
      <w:pPr>
        <w:pStyle w:val="Titre2"/>
        <w:ind w:left="851" w:hanging="425"/>
        <w:rPr>
          <w:rFonts w:ascii="Ottawa" w:hAnsi="Ottawa"/>
          <w:b/>
          <w:sz w:val="21"/>
          <w:szCs w:val="21"/>
          <w:lang w:val="en-IE"/>
        </w:rPr>
      </w:pPr>
      <w:r w:rsidRPr="000A62A2">
        <w:rPr>
          <w:rFonts w:ascii="Ottawa" w:hAnsi="Ottawa"/>
          <w:b/>
          <w:sz w:val="21"/>
          <w:szCs w:val="21"/>
          <w:lang w:val="en-IE"/>
        </w:rPr>
        <w:t>3.2.</w:t>
      </w:r>
      <w:r w:rsidRPr="000A62A2">
        <w:rPr>
          <w:rFonts w:ascii="Ottawa" w:hAnsi="Ottawa"/>
          <w:b/>
          <w:sz w:val="21"/>
          <w:szCs w:val="21"/>
          <w:lang w:val="en-IE"/>
        </w:rPr>
        <w:tab/>
        <w:t>Selection of organs or tissues</w:t>
      </w:r>
    </w:p>
    <w:p w14:paraId="3648581E" w14:textId="77777777" w:rsidR="000A62A2" w:rsidRPr="002210B3" w:rsidRDefault="000A62A2" w:rsidP="000A62A2">
      <w:pPr>
        <w:pStyle w:val="Para20"/>
        <w:spacing w:after="120"/>
        <w:ind w:left="851"/>
        <w:rPr>
          <w:rFonts w:cs="Arial"/>
          <w:lang w:eastAsia="fr-FR"/>
        </w:rPr>
      </w:pPr>
      <w:r w:rsidRPr="002210B3">
        <w:rPr>
          <w:rFonts w:cs="Arial"/>
          <w:lang w:eastAsia="fr-FR"/>
        </w:rPr>
        <w:t xml:space="preserve">Detection of </w:t>
      </w:r>
      <w:r w:rsidRPr="002210B3">
        <w:rPr>
          <w:rFonts w:cs="Arial"/>
          <w:i/>
          <w:iCs/>
          <w:lang w:eastAsia="fr-FR"/>
        </w:rPr>
        <w:t>Gyrodactylus</w:t>
      </w:r>
      <w:r w:rsidRPr="002210B3">
        <w:rPr>
          <w:rFonts w:cs="Arial"/>
          <w:lang w:eastAsia="fr-FR"/>
        </w:rPr>
        <w:t xml:space="preserve"> and identification of </w:t>
      </w:r>
      <w:r w:rsidRPr="002210B3">
        <w:rPr>
          <w:rFonts w:cs="Arial"/>
          <w:i/>
          <w:iCs/>
          <w:lang w:eastAsia="fr-FR"/>
        </w:rPr>
        <w:t>G. salaris</w:t>
      </w:r>
      <w:r w:rsidRPr="002210B3">
        <w:rPr>
          <w:rFonts w:cs="Arial"/>
          <w:lang w:eastAsia="fr-FR"/>
        </w:rPr>
        <w:t xml:space="preserve"> is a two-step process. Firstly, gyrodactylid parasite specimens are detected (e.g. on fish or fins) using optical equipment and picked out, and individual parasites are identified to species level using other equipment and methods.</w:t>
      </w:r>
    </w:p>
    <w:p w14:paraId="10694188" w14:textId="77777777" w:rsidR="000A62A2" w:rsidRPr="002210B3" w:rsidRDefault="000A62A2" w:rsidP="000A62A2">
      <w:pPr>
        <w:pStyle w:val="Para20"/>
        <w:spacing w:after="120"/>
        <w:ind w:left="851"/>
        <w:rPr>
          <w:rFonts w:cs="Arial"/>
          <w:lang w:eastAsia="fr-FR"/>
        </w:rPr>
      </w:pPr>
      <w:r w:rsidRPr="002210B3">
        <w:rPr>
          <w:rFonts w:cs="Arial"/>
          <w:lang w:eastAsia="fr-FR"/>
        </w:rPr>
        <w:t xml:space="preserve">Fish should be examined as whole specimens either live under anaesthesia (for example, with MS222), freshly killed, or preserved. In addition, fresh or preserved fins can be examined. Examination of live, anaesthetised fish is very time-consuming and not recommended. When Atlantic strains of Atlantic salmon parr are infected, almost all fish have at least one </w:t>
      </w:r>
      <w:r w:rsidRPr="002210B3">
        <w:rPr>
          <w:rFonts w:cs="Arial"/>
          <w:i/>
          <w:iCs/>
          <w:lang w:eastAsia="fr-FR"/>
        </w:rPr>
        <w:t>G. salaris</w:t>
      </w:r>
      <w:r w:rsidRPr="002210B3">
        <w:rPr>
          <w:rFonts w:cs="Arial"/>
          <w:lang w:eastAsia="fr-FR"/>
        </w:rPr>
        <w:t xml:space="preserve"> on one of the fins. On some fish, </w:t>
      </w:r>
      <w:r w:rsidRPr="002210B3">
        <w:rPr>
          <w:rFonts w:cs="Arial"/>
          <w:i/>
          <w:iCs/>
          <w:lang w:eastAsia="fr-FR"/>
        </w:rPr>
        <w:t>G. salaris</w:t>
      </w:r>
      <w:r w:rsidRPr="002210B3">
        <w:rPr>
          <w:rFonts w:cs="Arial"/>
          <w:lang w:eastAsia="fr-FR"/>
        </w:rPr>
        <w:t xml:space="preserve"> specimens may occur on the body or head, including the nostrils, the gills and the mouth cavity. The distribution of </w:t>
      </w:r>
      <w:r w:rsidRPr="002210B3">
        <w:rPr>
          <w:rFonts w:cs="Arial"/>
          <w:i/>
          <w:iCs/>
          <w:lang w:eastAsia="fr-FR"/>
        </w:rPr>
        <w:t>G. salaris</w:t>
      </w:r>
      <w:r w:rsidRPr="002210B3">
        <w:rPr>
          <w:rFonts w:cs="Arial"/>
          <w:lang w:eastAsia="fr-FR"/>
        </w:rPr>
        <w:t xml:space="preserve"> on fins and other parts of the fish varies among fish species and strains of Atlantic salmon. For all hosts the examination of whole fish is recommended as it will increase the likelihood of detecting low intensity infections.</w:t>
      </w:r>
    </w:p>
    <w:p w14:paraId="3103AE96" w14:textId="77777777" w:rsidR="000A62A2" w:rsidRPr="002210B3" w:rsidRDefault="000A62A2" w:rsidP="000A62A2">
      <w:pPr>
        <w:pStyle w:val="Para20"/>
        <w:ind w:left="851"/>
        <w:rPr>
          <w:rFonts w:cs="Arial"/>
          <w:lang w:eastAsia="fr-FR"/>
        </w:rPr>
      </w:pPr>
      <w:r w:rsidRPr="002210B3">
        <w:rPr>
          <w:rFonts w:cs="Arial"/>
          <w:lang w:eastAsia="fr-FR"/>
        </w:rPr>
        <w:t xml:space="preserve">Live anaesthetised fish, freshly cut fins or EtOH-preserved fish or fins should be examined under a binocular dissecting microscope with good illumination. The fish should be placed in a box and completely covered in fresh water. Preserved fish can also be examined in EtOH. Living parasites are more easily detected by their movements, thus disturbing light refraction on the skin of the fish should be avoided. Live </w:t>
      </w:r>
      <w:r w:rsidRPr="002210B3">
        <w:rPr>
          <w:rFonts w:cs="Arial"/>
          <w:i/>
          <w:iCs/>
          <w:lang w:eastAsia="fr-FR"/>
        </w:rPr>
        <w:t>Gyrodactylus</w:t>
      </w:r>
      <w:r w:rsidRPr="002210B3">
        <w:rPr>
          <w:rFonts w:cs="Arial"/>
          <w:lang w:eastAsia="fr-FR"/>
        </w:rPr>
        <w:t xml:space="preserve"> are colourless while EtOH-preserved </w:t>
      </w:r>
      <w:r w:rsidRPr="002210B3">
        <w:rPr>
          <w:rFonts w:cs="Arial"/>
          <w:i/>
          <w:iCs/>
          <w:lang w:eastAsia="fr-FR"/>
        </w:rPr>
        <w:t>Gyrodactylus</w:t>
      </w:r>
      <w:r w:rsidRPr="002210B3">
        <w:rPr>
          <w:rFonts w:cs="Arial"/>
          <w:lang w:eastAsia="fr-FR"/>
        </w:rPr>
        <w:t xml:space="preserve"> specimens are usually slightly opaque. Dark field illumination microscopy will increase the contrast and the parasites will be detected more easily. The whole surface of the fish, including gills and mouth cavity, must be examined. It is best to use two forceps for this process. The fins of relatively small fish, usually less than 10 cm, can also be studied using illumination through the bottom of the microscope stage, which makes </w:t>
      </w:r>
      <w:r w:rsidRPr="002210B3">
        <w:rPr>
          <w:rFonts w:cs="Arial"/>
          <w:i/>
          <w:iCs/>
          <w:lang w:eastAsia="fr-FR"/>
        </w:rPr>
        <w:t>Gyrodactylus</w:t>
      </w:r>
      <w:r w:rsidRPr="002210B3">
        <w:rPr>
          <w:rFonts w:cs="Arial"/>
          <w:lang w:eastAsia="fr-FR"/>
        </w:rPr>
        <w:t xml:space="preserve"> specimens easy to observe.</w:t>
      </w:r>
    </w:p>
    <w:p w14:paraId="754D8276" w14:textId="77777777" w:rsidR="000A62A2" w:rsidRDefault="000A62A2" w:rsidP="000A62A2">
      <w:pPr>
        <w:spacing w:after="0" w:line="240" w:lineRule="auto"/>
        <w:rPr>
          <w:rFonts w:ascii="Ottawa" w:hAnsi="Ottawa"/>
          <w:b/>
          <w:sz w:val="21"/>
          <w:szCs w:val="21"/>
          <w:lang w:val="en-IE" w:eastAsia="fr-FR"/>
        </w:rPr>
      </w:pPr>
      <w:r>
        <w:rPr>
          <w:lang w:val="en-IE"/>
        </w:rPr>
        <w:br w:type="page"/>
      </w:r>
    </w:p>
    <w:p w14:paraId="3992DE21" w14:textId="77777777" w:rsidR="000A62A2" w:rsidRPr="00CA456F" w:rsidRDefault="000A62A2" w:rsidP="000A62A2">
      <w:pPr>
        <w:pStyle w:val="Titre3"/>
        <w:spacing w:after="480"/>
        <w:jc w:val="right"/>
        <w:rPr>
          <w:bCs/>
          <w:i w:val="0"/>
          <w:iCs/>
        </w:rPr>
      </w:pPr>
      <w:r w:rsidRPr="00CA456F">
        <w:rPr>
          <w:rFonts w:cs="Times New Roman"/>
          <w:i w:val="0"/>
          <w:szCs w:val="20"/>
          <w:u w:val="single"/>
        </w:rPr>
        <w:lastRenderedPageBreak/>
        <w:t>A</w:t>
      </w:r>
      <w:r w:rsidRPr="00CA456F">
        <w:rPr>
          <w:rFonts w:cs="Times New Roman"/>
          <w:bCs/>
          <w:i w:val="0"/>
          <w:iCs/>
          <w:szCs w:val="20"/>
          <w:u w:val="single"/>
        </w:rPr>
        <w:t>nnex 15</w:t>
      </w:r>
      <w:r w:rsidRPr="00CA456F">
        <w:rPr>
          <w:rFonts w:cs="Times New Roman"/>
          <w:bCs/>
          <w:i w:val="0"/>
          <w:iCs/>
          <w:szCs w:val="20"/>
        </w:rPr>
        <w:t xml:space="preserve"> (contd)</w:t>
      </w:r>
    </w:p>
    <w:p w14:paraId="52607C2B" w14:textId="77777777" w:rsidR="000A62A2" w:rsidRPr="00CA456F" w:rsidRDefault="000A62A2" w:rsidP="000A62A2">
      <w:pPr>
        <w:pStyle w:val="Titre2"/>
        <w:ind w:left="851" w:hanging="425"/>
        <w:rPr>
          <w:rFonts w:ascii="Ottawa" w:hAnsi="Ottawa"/>
          <w:b/>
          <w:sz w:val="21"/>
          <w:szCs w:val="21"/>
          <w:lang w:val="en-IE"/>
        </w:rPr>
      </w:pPr>
      <w:r w:rsidRPr="00CA456F">
        <w:rPr>
          <w:rFonts w:ascii="Ottawa" w:hAnsi="Ottawa"/>
          <w:b/>
          <w:sz w:val="21"/>
          <w:szCs w:val="21"/>
          <w:lang w:val="en-IE"/>
        </w:rPr>
        <w:t>3.3.</w:t>
      </w:r>
      <w:r w:rsidRPr="00CA456F">
        <w:rPr>
          <w:rFonts w:ascii="Ottawa" w:hAnsi="Ottawa"/>
          <w:b/>
          <w:sz w:val="21"/>
          <w:szCs w:val="21"/>
          <w:lang w:val="en-IE"/>
        </w:rPr>
        <w:tab/>
        <w:t xml:space="preserve">Samples or tissues not suitable for pathogen detection </w:t>
      </w:r>
    </w:p>
    <w:p w14:paraId="5A8851D7" w14:textId="77777777" w:rsidR="000A62A2" w:rsidRPr="002210B3" w:rsidRDefault="000A62A2" w:rsidP="000A62A2">
      <w:pPr>
        <w:pStyle w:val="Para20"/>
        <w:ind w:left="851"/>
        <w:rPr>
          <w:rFonts w:cs="Arial"/>
        </w:rPr>
      </w:pPr>
      <w:r w:rsidRPr="002210B3">
        <w:rPr>
          <w:rFonts w:cs="Arial"/>
        </w:rPr>
        <w:t xml:space="preserve">Dead fish, stored on ice, are not acceptable for </w:t>
      </w:r>
      <w:r w:rsidRPr="002210B3">
        <w:rPr>
          <w:rFonts w:cs="Arial"/>
          <w:i/>
          <w:iCs/>
        </w:rPr>
        <w:t>Gyrodactylus</w:t>
      </w:r>
      <w:r w:rsidRPr="002210B3">
        <w:rPr>
          <w:rFonts w:cs="Arial"/>
        </w:rPr>
        <w:t xml:space="preserve"> examination, even if the fish are kept separately in plastic bags, etc. The parasites die quickly if not covered in water and rapidly disintegrate.</w:t>
      </w:r>
    </w:p>
    <w:p w14:paraId="3AB8853D" w14:textId="77777777" w:rsidR="000A62A2" w:rsidRPr="00CA456F" w:rsidRDefault="000A62A2" w:rsidP="000A62A2">
      <w:pPr>
        <w:pStyle w:val="Titre2"/>
        <w:ind w:left="851" w:hanging="425"/>
        <w:rPr>
          <w:rFonts w:ascii="Ottawa" w:hAnsi="Ottawa"/>
          <w:b/>
          <w:sz w:val="21"/>
          <w:szCs w:val="21"/>
          <w:lang w:val="en-IE"/>
        </w:rPr>
      </w:pPr>
      <w:r w:rsidRPr="00CA456F">
        <w:rPr>
          <w:rFonts w:ascii="Ottawa" w:hAnsi="Ottawa"/>
          <w:b/>
          <w:sz w:val="21"/>
          <w:szCs w:val="21"/>
          <w:lang w:val="en-IE"/>
        </w:rPr>
        <w:t>3.4.</w:t>
      </w:r>
      <w:r w:rsidRPr="00CA456F">
        <w:rPr>
          <w:rFonts w:ascii="Ottawa" w:hAnsi="Ottawa"/>
          <w:b/>
          <w:sz w:val="21"/>
          <w:szCs w:val="21"/>
          <w:lang w:val="en-IE"/>
        </w:rPr>
        <w:tab/>
        <w:t>Non-lethal sampling</w:t>
      </w:r>
    </w:p>
    <w:p w14:paraId="53DC50B9" w14:textId="77777777" w:rsidR="000A62A2" w:rsidRPr="002210B3" w:rsidRDefault="000A62A2" w:rsidP="000A62A2">
      <w:pPr>
        <w:pStyle w:val="Para20"/>
        <w:ind w:left="851"/>
        <w:rPr>
          <w:rFonts w:cs="Arial"/>
          <w:lang w:eastAsia="fr-FR"/>
        </w:rPr>
      </w:pPr>
      <w:r w:rsidRPr="002210B3">
        <w:rPr>
          <w:rFonts w:cs="Arial"/>
          <w:lang w:eastAsia="fr-FR"/>
        </w:rPr>
        <w:t xml:space="preserve">Fish can be examined as live specimens under anaesthesia (for example, with MS222). Recently, a non-lethal method for isolating specimens of </w:t>
      </w:r>
      <w:r w:rsidRPr="002210B3">
        <w:rPr>
          <w:rFonts w:cs="Arial"/>
          <w:iCs/>
          <w:lang w:eastAsia="fr-FR"/>
        </w:rPr>
        <w:t xml:space="preserve">gyrodactylid parasites </w:t>
      </w:r>
      <w:r w:rsidRPr="002210B3">
        <w:rPr>
          <w:rFonts w:cs="Arial"/>
          <w:lang w:eastAsia="fr-FR"/>
        </w:rPr>
        <w:t xml:space="preserve">from fish was developed and tested on brown trout (Thrush </w:t>
      </w:r>
      <w:r w:rsidRPr="002210B3">
        <w:rPr>
          <w:rFonts w:cs="Arial"/>
          <w:i/>
          <w:lang w:eastAsia="fr-FR"/>
        </w:rPr>
        <w:t>et al</w:t>
      </w:r>
      <w:r w:rsidRPr="002210B3">
        <w:rPr>
          <w:rFonts w:cs="Arial"/>
          <w:lang w:eastAsia="fr-FR"/>
        </w:rPr>
        <w:t>., 2019). The method was shown to have a higher parasite recovery rate compared to whole body examination of killed fish (84.6% and 51.9%</w:t>
      </w:r>
      <w:r>
        <w:rPr>
          <w:rFonts w:cs="Arial"/>
          <w:lang w:eastAsia="fr-FR"/>
        </w:rPr>
        <w:t>,</w:t>
      </w:r>
      <w:r w:rsidRPr="002210B3">
        <w:rPr>
          <w:rFonts w:cs="Arial"/>
          <w:lang w:eastAsia="fr-FR"/>
        </w:rPr>
        <w:t xml:space="preserve"> respectively). The method has not yet been used on fish infected with </w:t>
      </w:r>
      <w:r w:rsidRPr="002210B3">
        <w:rPr>
          <w:rFonts w:cs="Arial"/>
          <w:i/>
          <w:iCs/>
          <w:lang w:eastAsia="fr-FR"/>
        </w:rPr>
        <w:t>G. salaris</w:t>
      </w:r>
      <w:r w:rsidRPr="002210B3">
        <w:rPr>
          <w:rFonts w:cs="Arial"/>
          <w:lang w:eastAsia="fr-FR"/>
        </w:rPr>
        <w:t xml:space="preserve"> but it is likely to be effective.</w:t>
      </w:r>
    </w:p>
    <w:p w14:paraId="4611A1B3" w14:textId="77777777" w:rsidR="000A62A2" w:rsidRPr="002210B3" w:rsidRDefault="000A62A2" w:rsidP="000A62A2">
      <w:pPr>
        <w:pStyle w:val="Para20"/>
        <w:ind w:left="851"/>
        <w:rPr>
          <w:rFonts w:cs="Arial"/>
        </w:rPr>
      </w:pPr>
      <w:r w:rsidRPr="002210B3">
        <w:rPr>
          <w:rFonts w:cs="Arial"/>
          <w:lang w:eastAsia="fr-FR"/>
        </w:rPr>
        <w:t xml:space="preserve">In addition, environmental DNA (eDNA) methods for detection of </w:t>
      </w:r>
      <w:r w:rsidRPr="002210B3">
        <w:rPr>
          <w:rFonts w:cs="Arial"/>
          <w:i/>
          <w:iCs/>
          <w:lang w:eastAsia="fr-FR"/>
        </w:rPr>
        <w:t>G. salaris</w:t>
      </w:r>
      <w:r w:rsidRPr="002210B3">
        <w:rPr>
          <w:rFonts w:cs="Arial"/>
          <w:lang w:eastAsia="fr-FR"/>
        </w:rPr>
        <w:t xml:space="preserve"> and its two main hosts, Atlantic salmon and rainbow trout, in water samples have been developed (Rusch </w:t>
      </w:r>
      <w:r w:rsidRPr="002210B3">
        <w:rPr>
          <w:rFonts w:cs="Arial"/>
          <w:i/>
          <w:lang w:eastAsia="fr-FR"/>
        </w:rPr>
        <w:t>et al</w:t>
      </w:r>
      <w:r w:rsidRPr="002210B3">
        <w:rPr>
          <w:rFonts w:cs="Arial"/>
          <w:lang w:eastAsia="fr-FR"/>
        </w:rPr>
        <w:t>., 2018). However, detection limits have not been established for these analyses.</w:t>
      </w:r>
    </w:p>
    <w:p w14:paraId="2D75175C" w14:textId="77777777" w:rsidR="000A62A2" w:rsidRPr="00CA456F" w:rsidRDefault="000A62A2" w:rsidP="000A62A2">
      <w:pPr>
        <w:pStyle w:val="Titre2"/>
        <w:ind w:left="851" w:hanging="425"/>
        <w:rPr>
          <w:rFonts w:ascii="Ottawa" w:hAnsi="Ottawa"/>
          <w:b/>
          <w:sz w:val="21"/>
          <w:szCs w:val="21"/>
          <w:lang w:val="en-IE"/>
        </w:rPr>
      </w:pPr>
      <w:r w:rsidRPr="00CA456F">
        <w:rPr>
          <w:rFonts w:ascii="Ottawa" w:hAnsi="Ottawa"/>
          <w:b/>
          <w:sz w:val="21"/>
          <w:szCs w:val="21"/>
          <w:lang w:val="en-IE"/>
        </w:rPr>
        <w:t>3.5.</w:t>
      </w:r>
      <w:r w:rsidRPr="00CA456F">
        <w:rPr>
          <w:rFonts w:ascii="Ottawa" w:hAnsi="Ottawa"/>
          <w:b/>
          <w:sz w:val="21"/>
          <w:szCs w:val="21"/>
          <w:lang w:val="en-IE"/>
        </w:rPr>
        <w:tab/>
        <w:t>Preservation of samples for submission</w:t>
      </w:r>
    </w:p>
    <w:p w14:paraId="000DFB45" w14:textId="77777777" w:rsidR="000A62A2" w:rsidRPr="002210B3" w:rsidRDefault="000A62A2" w:rsidP="000A62A2">
      <w:pPr>
        <w:pStyle w:val="Para20"/>
        <w:ind w:left="851"/>
        <w:rPr>
          <w:bCs/>
        </w:rPr>
      </w:pPr>
      <w:r w:rsidRPr="002210B3">
        <w:t xml:space="preserve">Fish should be killed immediately and should not be allowed to dry out before preservation. </w:t>
      </w:r>
      <w:r w:rsidRPr="002210B3">
        <w:rPr>
          <w:bCs/>
        </w:rPr>
        <w:t xml:space="preserve">Whole fish should be preserved in 80–100% EtOH in bottles large enough to provide excess space and preservative. The concentration of EtOH after preservation should not be below 70%. As a rule of thumb this concentration is obtained if the proportion of fish tissue to EtOH does not exceed 1:9. If the concentration is lower, the mucous and epidermis may disintegrate and </w:t>
      </w:r>
      <w:r w:rsidRPr="002210B3">
        <w:rPr>
          <w:bCs/>
          <w:i/>
          <w:iCs/>
        </w:rPr>
        <w:t>Gyrodactylus</w:t>
      </w:r>
      <w:r w:rsidRPr="002210B3">
        <w:rPr>
          <w:bCs/>
        </w:rPr>
        <w:t xml:space="preserve"> specimens, even if they are preserved, may drop off. Bottles should have an opening wide enough to avoid the possibility of scraping off </w:t>
      </w:r>
      <w:r w:rsidRPr="002210B3">
        <w:rPr>
          <w:bCs/>
          <w:i/>
          <w:iCs/>
        </w:rPr>
        <w:t>Gyrodactylus</w:t>
      </w:r>
      <w:r w:rsidRPr="002210B3">
        <w:rPr>
          <w:bCs/>
        </w:rPr>
        <w:t xml:space="preserve"> specimens when fish are put into the bottle or when taken out for examination. Bottles should be stored in a horizontal position until the tissue is fixed/preserved to prevent the fish curling. When preservation of the fish is complete, the bottles can be stored in a vertical position.</w:t>
      </w:r>
    </w:p>
    <w:p w14:paraId="336D2730" w14:textId="77777777" w:rsidR="000A62A2" w:rsidRPr="002210B3" w:rsidRDefault="000A62A2" w:rsidP="000A62A2">
      <w:pPr>
        <w:pStyle w:val="Para20"/>
        <w:ind w:left="851"/>
        <w:rPr>
          <w:bCs/>
        </w:rPr>
      </w:pPr>
      <w:r w:rsidRPr="002210B3">
        <w:rPr>
          <w:bCs/>
        </w:rPr>
        <w:t xml:space="preserve">As </w:t>
      </w:r>
      <w:r w:rsidRPr="002210B3">
        <w:rPr>
          <w:bCs/>
          <w:i/>
          <w:iCs/>
        </w:rPr>
        <w:t>G. salaris</w:t>
      </w:r>
      <w:r w:rsidRPr="002210B3">
        <w:rPr>
          <w:bCs/>
        </w:rPr>
        <w:t xml:space="preserve"> is common on fins of Atlantic salmon, fins cut off from the body and stored in EtOH as described above can also be submitted. This is especially suitable for larger fish and under field conditions where, for example, transport is limited.</w:t>
      </w:r>
    </w:p>
    <w:p w14:paraId="7D851ADA" w14:textId="77777777" w:rsidR="000A62A2" w:rsidRPr="002210B3" w:rsidRDefault="000A62A2" w:rsidP="000A62A2">
      <w:pPr>
        <w:pStyle w:val="Para20"/>
        <w:ind w:left="851"/>
        <w:rPr>
          <w:bCs/>
        </w:rPr>
      </w:pPr>
      <w:r w:rsidRPr="002210B3">
        <w:rPr>
          <w:bCs/>
        </w:rPr>
        <w:t xml:space="preserve">Formaldehyde-fixed </w:t>
      </w:r>
      <w:r w:rsidRPr="002210B3">
        <w:rPr>
          <w:bCs/>
          <w:i/>
          <w:iCs/>
        </w:rPr>
        <w:t>Gyrodactylus</w:t>
      </w:r>
      <w:r w:rsidRPr="002210B3">
        <w:rPr>
          <w:bCs/>
        </w:rPr>
        <w:t xml:space="preserve"> specimens are difficult to identify morphologically and are unsuitable for DNA analysis.</w:t>
      </w:r>
    </w:p>
    <w:p w14:paraId="7664106F" w14:textId="77777777" w:rsidR="000A62A2" w:rsidRPr="00CA456F" w:rsidRDefault="000A62A2" w:rsidP="00CA456F">
      <w:pPr>
        <w:pStyle w:val="Titre2"/>
        <w:ind w:left="851"/>
        <w:rPr>
          <w:rFonts w:ascii="Ottawa" w:eastAsia="Times New Roman" w:hAnsi="Ottawa" w:cs="Times New Roman"/>
          <w:b/>
          <w:bCs/>
          <w:szCs w:val="22"/>
          <w:lang w:val="en-IE" w:eastAsia="fr-FR"/>
        </w:rPr>
      </w:pPr>
      <w:r w:rsidRPr="00CA456F">
        <w:rPr>
          <w:rFonts w:ascii="Ottawa" w:eastAsia="Times New Roman" w:hAnsi="Ottawa" w:cs="Times New Roman"/>
          <w:b/>
          <w:bCs/>
          <w:szCs w:val="22"/>
          <w:lang w:val="en-IE" w:eastAsia="fr-FR"/>
        </w:rPr>
        <w:t>3.5.1.</w:t>
      </w:r>
      <w:r w:rsidRPr="00CA456F">
        <w:rPr>
          <w:rFonts w:ascii="Ottawa" w:eastAsia="Times New Roman" w:hAnsi="Ottawa" w:cs="Times New Roman"/>
          <w:b/>
          <w:bCs/>
          <w:szCs w:val="22"/>
          <w:lang w:val="en-IE" w:eastAsia="fr-FR"/>
        </w:rPr>
        <w:tab/>
        <w:t xml:space="preserve">Samples for pathogen isolation </w:t>
      </w:r>
    </w:p>
    <w:p w14:paraId="77D75A3F" w14:textId="77777777" w:rsidR="000A62A2" w:rsidRPr="002210B3" w:rsidRDefault="000A62A2" w:rsidP="000A62A2">
      <w:pPr>
        <w:pStyle w:val="Para3"/>
        <w:rPr>
          <w:lang w:eastAsia="zh-CN"/>
        </w:rPr>
      </w:pPr>
      <w:r w:rsidRPr="002210B3">
        <w:rPr>
          <w:lang w:eastAsia="zh-CN"/>
        </w:rPr>
        <w:t>Not applicable.</w:t>
      </w:r>
    </w:p>
    <w:p w14:paraId="1BAE20B2" w14:textId="77777777" w:rsidR="000A62A2" w:rsidRPr="002210B3" w:rsidRDefault="000A62A2" w:rsidP="000A62A2">
      <w:pPr>
        <w:pStyle w:val="111"/>
        <w:ind w:firstLine="0"/>
        <w:rPr>
          <w:lang w:val="en-IE"/>
        </w:rPr>
      </w:pPr>
      <w:r w:rsidRPr="002210B3">
        <w:rPr>
          <w:lang w:val="en-IE"/>
        </w:rPr>
        <w:t>3.5.2.</w:t>
      </w:r>
      <w:r w:rsidRPr="002210B3">
        <w:rPr>
          <w:lang w:val="en-IE"/>
        </w:rPr>
        <w:tab/>
        <w:t>Preservation of samples for molecular detection</w:t>
      </w:r>
    </w:p>
    <w:p w14:paraId="0228FF3F" w14:textId="77777777" w:rsidR="000A62A2" w:rsidRPr="002210B3" w:rsidRDefault="000A62A2" w:rsidP="000A62A2">
      <w:pPr>
        <w:pStyle w:val="Para3"/>
        <w:rPr>
          <w:rFonts w:cs="Arial"/>
        </w:rPr>
      </w:pPr>
      <w:r w:rsidRPr="002210B3">
        <w:rPr>
          <w:lang w:eastAsia="fr-FR"/>
        </w:rPr>
        <w:t>Tissue samples, i.e. isolated parasites, whole fish or fins, for PCR testing should be preserved in 70–90% (v/v) analytical/reagent-grade (absolute) ethanol. The recommended ratio of ethanol to tissue is 9:1 based on studies in terrestrial animal and human health. The use of lower grade (laboratory or industrial grade) ethanol is not recommended.</w:t>
      </w:r>
    </w:p>
    <w:p w14:paraId="79D4B84C" w14:textId="77777777" w:rsidR="000A62A2" w:rsidRPr="002210B3" w:rsidRDefault="000A62A2" w:rsidP="000A62A2">
      <w:pPr>
        <w:pStyle w:val="Para3"/>
        <w:rPr>
          <w:lang w:eastAsia="fr-FR"/>
        </w:rPr>
      </w:pPr>
      <w:r w:rsidRPr="002210B3">
        <w:rPr>
          <w:lang w:eastAsia="fr-FR" w:bidi="en-US"/>
        </w:rPr>
        <w:t>Template DNA should be prepared from live/fresh or EtOH-preserved specimens using a suitable DNA preparation protocol. DNA extraction kits may be used according to the manufacturers’ instructions.</w:t>
      </w:r>
    </w:p>
    <w:p w14:paraId="70AF4674" w14:textId="77777777" w:rsidR="000A62A2" w:rsidRPr="002210B3" w:rsidRDefault="000A62A2" w:rsidP="00CA456F">
      <w:pPr>
        <w:pStyle w:val="111"/>
        <w:ind w:firstLine="0"/>
        <w:rPr>
          <w:lang w:val="en-IE"/>
        </w:rPr>
      </w:pPr>
      <w:r w:rsidRPr="002210B3">
        <w:rPr>
          <w:lang w:val="en-IE"/>
        </w:rPr>
        <w:t>3.5.3.</w:t>
      </w:r>
      <w:r w:rsidRPr="002210B3">
        <w:rPr>
          <w:lang w:val="en-IE"/>
        </w:rPr>
        <w:tab/>
        <w:t xml:space="preserve">Fixed samples for histopathology, immunohistochemistry or </w:t>
      </w:r>
      <w:r w:rsidRPr="00CA456F">
        <w:rPr>
          <w:lang w:val="en-IE"/>
        </w:rPr>
        <w:t>in-situ</w:t>
      </w:r>
      <w:r w:rsidRPr="002210B3">
        <w:rPr>
          <w:lang w:val="en-IE"/>
        </w:rPr>
        <w:t xml:space="preserve"> hybridisation</w:t>
      </w:r>
    </w:p>
    <w:p w14:paraId="0F2EB0E0" w14:textId="77777777" w:rsidR="000A62A2" w:rsidRPr="002210B3" w:rsidRDefault="000A62A2" w:rsidP="000A62A2">
      <w:pPr>
        <w:pStyle w:val="Para3"/>
        <w:rPr>
          <w:lang w:eastAsia="fr-FR"/>
        </w:rPr>
      </w:pPr>
      <w:bookmarkStart w:id="163" w:name="_Hlk536682840"/>
      <w:r w:rsidRPr="002210B3">
        <w:rPr>
          <w:rFonts w:cs="Arial"/>
        </w:rPr>
        <w:t>Not applicable.</w:t>
      </w:r>
    </w:p>
    <w:bookmarkEnd w:id="163"/>
    <w:p w14:paraId="0D444809" w14:textId="77777777" w:rsidR="000A62A2" w:rsidRPr="002210B3" w:rsidRDefault="000A62A2" w:rsidP="00CA456F">
      <w:pPr>
        <w:pStyle w:val="111"/>
        <w:ind w:firstLine="0"/>
        <w:rPr>
          <w:lang w:val="en-IE"/>
        </w:rPr>
      </w:pPr>
      <w:r w:rsidRPr="002210B3">
        <w:rPr>
          <w:lang w:val="en-IE"/>
        </w:rPr>
        <w:t>3.5.4.</w:t>
      </w:r>
      <w:r w:rsidRPr="002210B3">
        <w:rPr>
          <w:lang w:val="en-IE"/>
        </w:rPr>
        <w:tab/>
        <w:t>Fixed samples for electron microscopy</w:t>
      </w:r>
    </w:p>
    <w:p w14:paraId="0F8C3FC3" w14:textId="77777777" w:rsidR="000A62A2" w:rsidRPr="002210B3" w:rsidRDefault="000A62A2" w:rsidP="000A62A2">
      <w:pPr>
        <w:pStyle w:val="Para3"/>
        <w:rPr>
          <w:lang w:eastAsia="zh-CN"/>
        </w:rPr>
      </w:pPr>
      <w:r w:rsidRPr="002210B3">
        <w:rPr>
          <w:lang w:eastAsia="zh-CN"/>
        </w:rPr>
        <w:t>Not applicable.</w:t>
      </w:r>
    </w:p>
    <w:p w14:paraId="1276E20D" w14:textId="77777777" w:rsidR="000A62A2" w:rsidRPr="002210B3" w:rsidRDefault="000A62A2" w:rsidP="00CA456F">
      <w:pPr>
        <w:pStyle w:val="111"/>
        <w:ind w:firstLine="0"/>
        <w:rPr>
          <w:lang w:val="en-IE"/>
        </w:rPr>
      </w:pPr>
      <w:r w:rsidRPr="002210B3">
        <w:rPr>
          <w:lang w:val="en-IE"/>
        </w:rPr>
        <w:t>3.5.5.</w:t>
      </w:r>
      <w:r w:rsidRPr="002210B3">
        <w:rPr>
          <w:lang w:val="en-IE"/>
        </w:rPr>
        <w:tab/>
        <w:t>Samples for other tests</w:t>
      </w:r>
    </w:p>
    <w:p w14:paraId="75CAC7C3" w14:textId="77777777" w:rsidR="000A62A2" w:rsidRPr="00C4038B" w:rsidRDefault="000A62A2" w:rsidP="000A62A2">
      <w:pPr>
        <w:pStyle w:val="Para3"/>
        <w:rPr>
          <w:iCs/>
          <w:lang w:eastAsia="zh-CN"/>
        </w:rPr>
      </w:pPr>
      <w:r w:rsidRPr="00C4038B">
        <w:rPr>
          <w:iCs/>
          <w:lang w:eastAsia="zh-CN"/>
        </w:rPr>
        <w:t xml:space="preserve">Preservation of samples for environmental DNA </w:t>
      </w:r>
      <w:r w:rsidRPr="00C4038B">
        <w:rPr>
          <w:lang w:eastAsia="zh-CN"/>
        </w:rPr>
        <w:t>(</w:t>
      </w:r>
      <w:r w:rsidRPr="00C4038B">
        <w:rPr>
          <w:iCs/>
          <w:lang w:eastAsia="zh-CN"/>
        </w:rPr>
        <w:t>eDNA</w:t>
      </w:r>
      <w:r w:rsidRPr="00C4038B">
        <w:rPr>
          <w:lang w:eastAsia="zh-CN"/>
        </w:rPr>
        <w:t>)</w:t>
      </w:r>
      <w:r w:rsidRPr="00C4038B">
        <w:rPr>
          <w:iCs/>
          <w:lang w:eastAsia="zh-CN"/>
        </w:rPr>
        <w:t xml:space="preserve"> analyses</w:t>
      </w:r>
    </w:p>
    <w:p w14:paraId="7F5E8922" w14:textId="77777777" w:rsidR="000A62A2" w:rsidRPr="00CA456F" w:rsidRDefault="000A62A2" w:rsidP="000A62A2">
      <w:pPr>
        <w:pStyle w:val="Titre3"/>
        <w:spacing w:after="480"/>
        <w:rPr>
          <w:bCs/>
          <w:i w:val="0"/>
          <w:iCs/>
        </w:rPr>
      </w:pPr>
      <w:r w:rsidRPr="00CA456F">
        <w:rPr>
          <w:rFonts w:cs="Times New Roman"/>
          <w:i w:val="0"/>
          <w:szCs w:val="20"/>
          <w:u w:val="single"/>
        </w:rPr>
        <w:lastRenderedPageBreak/>
        <w:t>A</w:t>
      </w:r>
      <w:r w:rsidRPr="00CA456F">
        <w:rPr>
          <w:rFonts w:cs="Times New Roman"/>
          <w:bCs/>
          <w:i w:val="0"/>
          <w:iCs/>
          <w:szCs w:val="20"/>
          <w:u w:val="single"/>
        </w:rPr>
        <w:t>nnex 15</w:t>
      </w:r>
      <w:r w:rsidRPr="00CA456F">
        <w:rPr>
          <w:rFonts w:cs="Times New Roman"/>
          <w:bCs/>
          <w:i w:val="0"/>
          <w:iCs/>
          <w:szCs w:val="20"/>
        </w:rPr>
        <w:t xml:space="preserve"> (contd)</w:t>
      </w:r>
    </w:p>
    <w:p w14:paraId="68BFE2F2" w14:textId="77777777" w:rsidR="000A62A2" w:rsidRPr="002210B3" w:rsidRDefault="000A62A2" w:rsidP="000A62A2">
      <w:pPr>
        <w:pStyle w:val="Para3"/>
        <w:rPr>
          <w:lang w:eastAsia="zh-CN"/>
        </w:rPr>
      </w:pPr>
      <w:r w:rsidRPr="002210B3">
        <w:rPr>
          <w:lang w:eastAsia="zh-CN" w:bidi="en-US"/>
        </w:rPr>
        <w:t xml:space="preserve">Several methods for filtering water for eDNA analyses exist and the method has also been developed for use on </w:t>
      </w:r>
      <w:r w:rsidRPr="002210B3">
        <w:rPr>
          <w:i/>
          <w:iCs/>
          <w:lang w:eastAsia="zh-CN" w:bidi="en-US"/>
        </w:rPr>
        <w:t xml:space="preserve">G. salaris </w:t>
      </w:r>
      <w:r w:rsidRPr="002210B3">
        <w:rPr>
          <w:lang w:eastAsia="zh-CN" w:bidi="en-US"/>
        </w:rPr>
        <w:t xml:space="preserve">and its hosts, </w:t>
      </w:r>
      <w:r w:rsidRPr="002210B3">
        <w:rPr>
          <w:i/>
          <w:iCs/>
          <w:lang w:eastAsia="zh-CN" w:bidi="en-US"/>
        </w:rPr>
        <w:t>Salmo salar</w:t>
      </w:r>
      <w:r w:rsidRPr="002210B3">
        <w:rPr>
          <w:lang w:eastAsia="zh-CN" w:bidi="en-US"/>
        </w:rPr>
        <w:t xml:space="preserve"> and </w:t>
      </w:r>
      <w:r w:rsidRPr="002210B3">
        <w:rPr>
          <w:i/>
          <w:iCs/>
          <w:lang w:eastAsia="zh-CN" w:bidi="en-US"/>
        </w:rPr>
        <w:t>Onchorhynchus mykiss</w:t>
      </w:r>
      <w:r w:rsidRPr="002210B3">
        <w:rPr>
          <w:lang w:eastAsia="zh-CN" w:bidi="en-US"/>
        </w:rPr>
        <w:t xml:space="preserve"> </w:t>
      </w:r>
      <w:r w:rsidRPr="002210B3">
        <w:rPr>
          <w:lang w:eastAsia="zh-CN"/>
        </w:rPr>
        <w:t xml:space="preserve">(Rusch </w:t>
      </w:r>
      <w:r w:rsidRPr="002210B3">
        <w:rPr>
          <w:i/>
          <w:lang w:eastAsia="zh-CN"/>
        </w:rPr>
        <w:t>et al</w:t>
      </w:r>
      <w:r>
        <w:rPr>
          <w:i/>
          <w:lang w:eastAsia="zh-CN"/>
        </w:rPr>
        <w:t>.</w:t>
      </w:r>
      <w:r w:rsidRPr="002210B3">
        <w:rPr>
          <w:lang w:eastAsia="zh-CN"/>
        </w:rPr>
        <w:t>, 2018)</w:t>
      </w:r>
      <w:r w:rsidRPr="002210B3">
        <w:rPr>
          <w:lang w:eastAsia="zh-CN" w:bidi="en-US"/>
        </w:rPr>
        <w:t xml:space="preserve">. Duplicate water samples of 5 </w:t>
      </w:r>
      <w:r>
        <w:rPr>
          <w:lang w:eastAsia="zh-CN" w:bidi="en-US"/>
        </w:rPr>
        <w:t>litres</w:t>
      </w:r>
      <w:r w:rsidRPr="002210B3">
        <w:rPr>
          <w:lang w:eastAsia="zh-CN" w:bidi="en-US"/>
        </w:rPr>
        <w:t xml:space="preserve"> (2 × 5 </w:t>
      </w:r>
      <w:r>
        <w:rPr>
          <w:lang w:eastAsia="zh-CN" w:bidi="en-US"/>
        </w:rPr>
        <w:t>litres</w:t>
      </w:r>
      <w:r w:rsidRPr="002210B3">
        <w:rPr>
          <w:lang w:eastAsia="zh-CN" w:bidi="en-US"/>
        </w:rPr>
        <w:t>) should be collected and filtered on site on to glass fibre filters (47 mm AP25 Millipore, 2 μm pore size, Millipore, Billerica, USA) using a suitable pump, tubing and filter holder. Filters should be placed in separate zip-lock plastic bags containing silica gel and stored dry and dark until further analysis in the laboratory.</w:t>
      </w:r>
    </w:p>
    <w:p w14:paraId="24725906" w14:textId="77777777" w:rsidR="000A62A2" w:rsidRPr="00CA456F" w:rsidRDefault="000A62A2" w:rsidP="000A62A2">
      <w:pPr>
        <w:pStyle w:val="Titre2"/>
        <w:ind w:left="851" w:hanging="425"/>
        <w:rPr>
          <w:rFonts w:ascii="Ottawa" w:hAnsi="Ottawa"/>
          <w:b/>
          <w:sz w:val="21"/>
          <w:szCs w:val="21"/>
          <w:lang w:val="en-IE"/>
        </w:rPr>
      </w:pPr>
      <w:r w:rsidRPr="00CA456F">
        <w:rPr>
          <w:rFonts w:ascii="Ottawa" w:hAnsi="Ottawa"/>
          <w:b/>
          <w:sz w:val="21"/>
          <w:szCs w:val="21"/>
          <w:lang w:val="en-IE"/>
        </w:rPr>
        <w:t>3.6.</w:t>
      </w:r>
      <w:r w:rsidRPr="00CA456F">
        <w:rPr>
          <w:rFonts w:ascii="Ottawa" w:hAnsi="Ottawa"/>
          <w:b/>
          <w:sz w:val="21"/>
          <w:szCs w:val="21"/>
          <w:lang w:val="en-IE"/>
        </w:rPr>
        <w:tab/>
        <w:t>Pooling of samples</w:t>
      </w:r>
    </w:p>
    <w:p w14:paraId="51CDFF5D" w14:textId="77777777" w:rsidR="000A62A2" w:rsidRPr="002210B3" w:rsidRDefault="000A62A2" w:rsidP="000A62A2">
      <w:pPr>
        <w:pStyle w:val="Para20"/>
        <w:ind w:left="851"/>
        <w:rPr>
          <w:rFonts w:cs="Arial"/>
        </w:rPr>
      </w:pPr>
      <w:r w:rsidRPr="002210B3">
        <w:rPr>
          <w:rFonts w:cs="Arial"/>
        </w:rPr>
        <w:t xml:space="preserve">Sampled fish can be pooled, although each fish should subsequently be examined and analysed separately. Fins of fish from a farm or a river can be pooled and are also examined and analysed separately, but in this instance each fin cannot be related to a certain fish host. </w:t>
      </w:r>
      <w:r w:rsidRPr="002210B3">
        <w:t>Material from parasites should not be pooled for molecular diagnostics.</w:t>
      </w:r>
    </w:p>
    <w:p w14:paraId="66CA77DD" w14:textId="77777777" w:rsidR="000A62A2" w:rsidRPr="000A62A2" w:rsidRDefault="000A62A2" w:rsidP="000A62A2">
      <w:pPr>
        <w:pStyle w:val="Titre1"/>
        <w:spacing w:before="0" w:after="240" w:line="240" w:lineRule="auto"/>
        <w:ind w:left="425" w:hanging="425"/>
        <w:rPr>
          <w:rFonts w:ascii="Ottawa" w:hAnsi="Ottawa"/>
          <w:b/>
          <w:color w:val="auto"/>
          <w:sz w:val="22"/>
          <w:szCs w:val="22"/>
          <w:lang w:val="en-IE"/>
        </w:rPr>
      </w:pPr>
      <w:r w:rsidRPr="000A62A2">
        <w:rPr>
          <w:rFonts w:ascii="Ottawa" w:hAnsi="Ottawa"/>
          <w:b/>
          <w:color w:val="auto"/>
          <w:sz w:val="22"/>
          <w:szCs w:val="22"/>
          <w:lang w:val="en-IE"/>
        </w:rPr>
        <w:t>4.</w:t>
      </w:r>
      <w:r w:rsidRPr="000A62A2">
        <w:rPr>
          <w:rFonts w:ascii="Ottawa" w:hAnsi="Ottawa"/>
          <w:b/>
          <w:color w:val="auto"/>
          <w:sz w:val="22"/>
          <w:szCs w:val="22"/>
          <w:lang w:val="en-IE"/>
        </w:rPr>
        <w:tab/>
        <w:t>Diagnostic methods</w:t>
      </w:r>
    </w:p>
    <w:p w14:paraId="00653467" w14:textId="77777777" w:rsidR="000A62A2" w:rsidRPr="002210B3" w:rsidRDefault="000A62A2" w:rsidP="000A62A2">
      <w:pPr>
        <w:pStyle w:val="Para10"/>
        <w:ind w:left="426"/>
        <w:rPr>
          <w:rFonts w:cs="Arial"/>
        </w:rPr>
      </w:pPr>
      <w:r w:rsidRPr="002210B3">
        <w:rPr>
          <w:rFonts w:cs="Arial"/>
        </w:rPr>
        <w:t xml:space="preserve">The methods currently available for identifying infection for surveillance (in healthy populations), presumptive and confirmatory diagnostic purposes are listed in Table 4.1. by life stage. The designations used in the Table indicate: </w:t>
      </w:r>
    </w:p>
    <w:p w14:paraId="45980219" w14:textId="77777777" w:rsidR="000A62A2" w:rsidRPr="002210B3" w:rsidRDefault="000A62A2" w:rsidP="000A62A2">
      <w:pPr>
        <w:pStyle w:val="Textebrut"/>
        <w:spacing w:before="120"/>
        <w:ind w:left="426"/>
        <w:rPr>
          <w:rFonts w:ascii="Arial" w:hAnsi="Arial" w:cs="Arial"/>
          <w:color w:val="000000"/>
          <w:sz w:val="18"/>
          <w:szCs w:val="18"/>
          <w:lang w:val="en-IE"/>
        </w:rPr>
      </w:pPr>
      <w:r w:rsidRPr="002210B3">
        <w:rPr>
          <w:rFonts w:ascii="Arial" w:hAnsi="Arial" w:cs="Arial"/>
          <w:color w:val="000000"/>
          <w:sz w:val="18"/>
          <w:szCs w:val="18"/>
          <w:lang w:val="en-IE"/>
        </w:rPr>
        <w:t xml:space="preserve">Key: </w:t>
      </w:r>
    </w:p>
    <w:p w14:paraId="73955924" w14:textId="77777777" w:rsidR="000A62A2" w:rsidRPr="002210B3" w:rsidRDefault="000A62A2" w:rsidP="000A62A2">
      <w:pPr>
        <w:pStyle w:val="Textebrut"/>
        <w:ind w:left="1843" w:hanging="1417"/>
        <w:rPr>
          <w:rFonts w:ascii="Arial" w:hAnsi="Arial" w:cs="Arial"/>
          <w:color w:val="000000"/>
          <w:sz w:val="18"/>
          <w:szCs w:val="18"/>
          <w:lang w:val="en-IE"/>
        </w:rPr>
      </w:pPr>
      <w:r w:rsidRPr="002210B3">
        <w:rPr>
          <w:rFonts w:ascii="Arial" w:hAnsi="Arial" w:cs="Arial"/>
          <w:color w:val="000000"/>
          <w:sz w:val="18"/>
          <w:szCs w:val="18"/>
          <w:lang w:val="en-IE"/>
        </w:rPr>
        <w:t>+++ =</w:t>
      </w:r>
      <w:r w:rsidRPr="002210B3">
        <w:rPr>
          <w:rFonts w:ascii="Arial" w:hAnsi="Arial" w:cs="Arial"/>
          <w:color w:val="000000"/>
          <w:sz w:val="18"/>
          <w:szCs w:val="18"/>
          <w:lang w:val="en-IE"/>
        </w:rPr>
        <w:tab/>
        <w:t>Recommended method(s) validated for the purpose shown and usually to stage 3 of the OIE Validation Pathway; OIE recommended method(s) will be mentioned in the text;</w:t>
      </w:r>
    </w:p>
    <w:p w14:paraId="43899D0F" w14:textId="77777777" w:rsidR="000A62A2" w:rsidRPr="002210B3" w:rsidRDefault="000A62A2" w:rsidP="000A62A2">
      <w:pPr>
        <w:pStyle w:val="Textebrut"/>
        <w:ind w:left="1843" w:hanging="1417"/>
        <w:rPr>
          <w:rFonts w:ascii="Arial" w:hAnsi="Arial" w:cs="Arial"/>
          <w:color w:val="000000"/>
          <w:sz w:val="18"/>
          <w:szCs w:val="18"/>
          <w:lang w:val="en-IE"/>
        </w:rPr>
      </w:pPr>
      <w:r w:rsidRPr="002210B3">
        <w:rPr>
          <w:rFonts w:ascii="Arial" w:hAnsi="Arial" w:cs="Arial"/>
          <w:color w:val="000000"/>
          <w:sz w:val="18"/>
          <w:szCs w:val="18"/>
          <w:lang w:val="en-IE"/>
        </w:rPr>
        <w:t xml:space="preserve">++ = </w:t>
      </w:r>
      <w:r w:rsidRPr="002210B3">
        <w:rPr>
          <w:rFonts w:ascii="Arial" w:hAnsi="Arial" w:cs="Arial"/>
          <w:color w:val="000000"/>
          <w:sz w:val="18"/>
          <w:szCs w:val="18"/>
          <w:lang w:val="en-IE"/>
        </w:rPr>
        <w:tab/>
        <w:t xml:space="preserve">Suitable method(s) but may need further validation; </w:t>
      </w:r>
    </w:p>
    <w:p w14:paraId="115B2058" w14:textId="77777777" w:rsidR="000A62A2" w:rsidRPr="002210B3" w:rsidRDefault="000A62A2" w:rsidP="000A62A2">
      <w:pPr>
        <w:pStyle w:val="Textebrut"/>
        <w:ind w:left="1843" w:hanging="1417"/>
        <w:rPr>
          <w:rFonts w:ascii="Arial" w:hAnsi="Arial" w:cs="Arial"/>
          <w:sz w:val="18"/>
          <w:szCs w:val="18"/>
          <w:lang w:val="en-IE"/>
        </w:rPr>
      </w:pPr>
      <w:r w:rsidRPr="002210B3">
        <w:rPr>
          <w:rFonts w:ascii="Arial" w:hAnsi="Arial" w:cs="Arial"/>
          <w:color w:val="000000"/>
          <w:sz w:val="18"/>
          <w:szCs w:val="18"/>
          <w:lang w:val="en-IE"/>
        </w:rPr>
        <w:t xml:space="preserve">+ = </w:t>
      </w:r>
      <w:r w:rsidRPr="002210B3">
        <w:rPr>
          <w:rFonts w:ascii="Arial" w:hAnsi="Arial" w:cs="Arial"/>
          <w:color w:val="000000"/>
          <w:sz w:val="18"/>
          <w:szCs w:val="18"/>
          <w:lang w:val="en-IE"/>
        </w:rPr>
        <w:tab/>
        <w:t xml:space="preserve">May be used </w:t>
      </w:r>
      <w:r w:rsidRPr="002210B3">
        <w:rPr>
          <w:rFonts w:ascii="Arial" w:hAnsi="Arial" w:cs="Arial"/>
          <w:sz w:val="18"/>
          <w:szCs w:val="18"/>
          <w:lang w:val="en-IE"/>
        </w:rPr>
        <w:t xml:space="preserve">in some situations, but cost, reliability, lack of validation or other factors severely limits its application; </w:t>
      </w:r>
    </w:p>
    <w:p w14:paraId="6FF485EA" w14:textId="77777777" w:rsidR="000A62A2" w:rsidRPr="002210B3" w:rsidRDefault="000A62A2" w:rsidP="000A62A2">
      <w:pPr>
        <w:pStyle w:val="Textebrut"/>
        <w:spacing w:after="240"/>
        <w:ind w:left="1843" w:hanging="1417"/>
        <w:rPr>
          <w:rFonts w:ascii="Arial" w:hAnsi="Arial" w:cs="Arial"/>
          <w:color w:val="000000"/>
          <w:sz w:val="18"/>
          <w:szCs w:val="18"/>
          <w:lang w:val="en-IE"/>
        </w:rPr>
      </w:pPr>
      <w:r w:rsidRPr="002210B3">
        <w:rPr>
          <w:rFonts w:ascii="Arial" w:hAnsi="Arial" w:cs="Arial"/>
          <w:color w:val="000000"/>
          <w:sz w:val="18"/>
          <w:szCs w:val="18"/>
          <w:lang w:val="en-IE"/>
        </w:rPr>
        <w:t xml:space="preserve">Shaded boxes = </w:t>
      </w:r>
      <w:r w:rsidRPr="002210B3">
        <w:rPr>
          <w:rFonts w:ascii="Arial" w:hAnsi="Arial" w:cs="Arial"/>
          <w:color w:val="000000"/>
          <w:sz w:val="18"/>
          <w:szCs w:val="18"/>
          <w:lang w:val="en-IE"/>
        </w:rPr>
        <w:tab/>
        <w:t>Not appropriate for this purpose.</w:t>
      </w:r>
    </w:p>
    <w:p w14:paraId="12C259D2" w14:textId="77777777" w:rsidR="000A62A2" w:rsidRPr="002210B3" w:rsidRDefault="000A62A2" w:rsidP="000A62A2">
      <w:pPr>
        <w:pStyle w:val="Para10"/>
        <w:ind w:left="425"/>
        <w:rPr>
          <w:rFonts w:cs="Arial"/>
        </w:rPr>
      </w:pPr>
      <w:r w:rsidRPr="002210B3">
        <w:rPr>
          <w:rFonts w:cs="Arial"/>
        </w:rPr>
        <w:t>The selection of a test for a given purpose depends on sensitivity, specificity, repeatability and reproducibility. OIE Reference Laboratories welcome feedback on diagnostic performance for assays, in particular PCR methods, for factors affecting assay sensitivity or specificity, such as tissue components inhibiting amplification, nonspecific or uncertain bands, etc., and any assays that are in the +++ category.</w:t>
      </w:r>
    </w:p>
    <w:p w14:paraId="44FC91D9" w14:textId="77777777" w:rsidR="000A62A2" w:rsidRPr="002210B3" w:rsidRDefault="000A62A2" w:rsidP="000A62A2">
      <w:pPr>
        <w:pStyle w:val="Tabletitle"/>
        <w:sectPr w:rsidR="000A62A2" w:rsidRPr="002210B3" w:rsidSect="000A62A2">
          <w:headerReference w:type="even" r:id="rId218"/>
          <w:headerReference w:type="default" r:id="rId219"/>
          <w:footerReference w:type="even" r:id="rId220"/>
          <w:footerReference w:type="default" r:id="rId221"/>
          <w:headerReference w:type="first" r:id="rId222"/>
          <w:footerReference w:type="first" r:id="rId223"/>
          <w:pgSz w:w="11906" w:h="16838" w:code="9"/>
          <w:pgMar w:top="1418" w:right="1418" w:bottom="1418" w:left="1418" w:header="567" w:footer="567" w:gutter="0"/>
          <w:cols w:space="708"/>
          <w:titlePg/>
          <w:docGrid w:linePitch="360"/>
        </w:sectPr>
      </w:pPr>
    </w:p>
    <w:p w14:paraId="28741364" w14:textId="77777777" w:rsidR="000A62A2" w:rsidRPr="002210B3" w:rsidRDefault="000A62A2" w:rsidP="000A62A2">
      <w:pPr>
        <w:pStyle w:val="Tabletitle"/>
      </w:pPr>
      <w:bookmarkStart w:id="164" w:name="_Hlk28593865"/>
      <w:r w:rsidRPr="002210B3">
        <w:lastRenderedPageBreak/>
        <w:t>Table 4.</w:t>
      </w:r>
      <w:r w:rsidRPr="002210B3">
        <w:rPr>
          <w:noProof/>
        </w:rPr>
        <w:t>1</w:t>
      </w:r>
      <w:r w:rsidRPr="002210B3">
        <w:t xml:space="preserve">. OIE recommended diagnostic methods and their level of validation for surveillance of apparently healthy animals and investigation of clinically affected animals </w:t>
      </w:r>
    </w:p>
    <w:tbl>
      <w:tblPr>
        <w:tblW w:w="12892" w:type="dxa"/>
        <w:jc w:val="center"/>
        <w:tblLayout w:type="fixed"/>
        <w:tblCellMar>
          <w:left w:w="96" w:type="dxa"/>
          <w:right w:w="96" w:type="dxa"/>
        </w:tblCellMar>
        <w:tblLook w:val="0000" w:firstRow="0" w:lastRow="0" w:firstColumn="0" w:lastColumn="0" w:noHBand="0" w:noVBand="0"/>
      </w:tblPr>
      <w:tblGrid>
        <w:gridCol w:w="2399"/>
        <w:gridCol w:w="995"/>
        <w:gridCol w:w="1134"/>
        <w:gridCol w:w="709"/>
        <w:gridCol w:w="567"/>
        <w:gridCol w:w="995"/>
        <w:gridCol w:w="993"/>
        <w:gridCol w:w="708"/>
        <w:gridCol w:w="631"/>
        <w:gridCol w:w="960"/>
        <w:gridCol w:w="1100"/>
        <w:gridCol w:w="992"/>
        <w:gridCol w:w="709"/>
      </w:tblGrid>
      <w:tr w:rsidR="000A62A2" w:rsidRPr="002210B3" w14:paraId="4569FE9A" w14:textId="77777777" w:rsidTr="000A62A2">
        <w:trPr>
          <w:trHeight w:val="402"/>
          <w:tblHeader/>
          <w:jc w:val="center"/>
        </w:trPr>
        <w:tc>
          <w:tcPr>
            <w:tcW w:w="2399" w:type="dxa"/>
            <w:vMerge w:val="restart"/>
            <w:tcBorders>
              <w:top w:val="single" w:sz="6" w:space="0" w:color="auto"/>
              <w:left w:val="single" w:sz="4" w:space="0" w:color="auto"/>
              <w:bottom w:val="single" w:sz="6" w:space="0" w:color="auto"/>
            </w:tcBorders>
            <w:vAlign w:val="center"/>
          </w:tcPr>
          <w:p w14:paraId="0818A9D7"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Method</w:t>
            </w:r>
          </w:p>
        </w:tc>
        <w:tc>
          <w:tcPr>
            <w:tcW w:w="3405" w:type="dxa"/>
            <w:gridSpan w:val="4"/>
            <w:tcBorders>
              <w:top w:val="single" w:sz="6" w:space="0" w:color="auto"/>
              <w:left w:val="single" w:sz="6" w:space="0" w:color="auto"/>
              <w:bottom w:val="single" w:sz="4" w:space="0" w:color="auto"/>
              <w:right w:val="single" w:sz="6" w:space="0" w:color="auto"/>
            </w:tcBorders>
          </w:tcPr>
          <w:p w14:paraId="35384DA9" w14:textId="77777777" w:rsidR="000A62A2" w:rsidRPr="002210B3" w:rsidRDefault="000A62A2" w:rsidP="00025D4D">
            <w:pPr>
              <w:pStyle w:val="TableHead"/>
              <w:numPr>
                <w:ilvl w:val="0"/>
                <w:numId w:val="39"/>
              </w:numPr>
              <w:spacing w:before="80" w:after="80"/>
              <w:jc w:val="left"/>
              <w:rPr>
                <w:rFonts w:ascii="Arial" w:hAnsi="Arial" w:cs="Arial"/>
                <w:sz w:val="16"/>
                <w:szCs w:val="16"/>
              </w:rPr>
            </w:pPr>
            <w:r w:rsidRPr="002210B3">
              <w:rPr>
                <w:rFonts w:ascii="Arial" w:hAnsi="Arial" w:cs="Arial"/>
                <w:sz w:val="16"/>
                <w:szCs w:val="16"/>
              </w:rPr>
              <w:t>Surveillance of apparently healthy animals</w:t>
            </w:r>
          </w:p>
        </w:tc>
        <w:tc>
          <w:tcPr>
            <w:tcW w:w="3327" w:type="dxa"/>
            <w:gridSpan w:val="4"/>
            <w:tcBorders>
              <w:top w:val="single" w:sz="6" w:space="0" w:color="auto"/>
              <w:left w:val="single" w:sz="6" w:space="0" w:color="auto"/>
            </w:tcBorders>
          </w:tcPr>
          <w:p w14:paraId="4C081AD8" w14:textId="77777777" w:rsidR="000A62A2" w:rsidRPr="002210B3" w:rsidRDefault="000A62A2" w:rsidP="00025D4D">
            <w:pPr>
              <w:pStyle w:val="TableHead"/>
              <w:numPr>
                <w:ilvl w:val="0"/>
                <w:numId w:val="39"/>
              </w:numPr>
              <w:spacing w:before="80" w:after="80"/>
              <w:rPr>
                <w:rFonts w:ascii="Arial" w:hAnsi="Arial" w:cs="Arial"/>
                <w:sz w:val="16"/>
                <w:szCs w:val="16"/>
              </w:rPr>
            </w:pPr>
            <w:r w:rsidRPr="002210B3">
              <w:rPr>
                <w:rFonts w:ascii="Arial" w:hAnsi="Arial" w:cs="Arial"/>
                <w:sz w:val="16"/>
                <w:szCs w:val="16"/>
              </w:rPr>
              <w:t>Presumptive diagnosis of clinically affected animals</w:t>
            </w:r>
          </w:p>
        </w:tc>
        <w:tc>
          <w:tcPr>
            <w:tcW w:w="3761" w:type="dxa"/>
            <w:gridSpan w:val="4"/>
            <w:tcBorders>
              <w:top w:val="single" w:sz="6" w:space="0" w:color="auto"/>
              <w:left w:val="single" w:sz="6" w:space="0" w:color="auto"/>
              <w:right w:val="single" w:sz="6" w:space="0" w:color="auto"/>
            </w:tcBorders>
          </w:tcPr>
          <w:p w14:paraId="6DFAB120" w14:textId="77777777" w:rsidR="000A62A2" w:rsidRPr="002210B3" w:rsidRDefault="000A62A2" w:rsidP="00025D4D">
            <w:pPr>
              <w:pStyle w:val="TableHead"/>
              <w:numPr>
                <w:ilvl w:val="0"/>
                <w:numId w:val="39"/>
              </w:numPr>
              <w:spacing w:before="80" w:after="80"/>
              <w:jc w:val="left"/>
              <w:rPr>
                <w:rFonts w:ascii="Arial" w:hAnsi="Arial" w:cs="Arial"/>
                <w:sz w:val="16"/>
                <w:szCs w:val="16"/>
              </w:rPr>
            </w:pPr>
            <w:r w:rsidRPr="002210B3">
              <w:rPr>
                <w:rFonts w:ascii="Arial" w:hAnsi="Arial" w:cs="Arial"/>
                <w:sz w:val="16"/>
                <w:szCs w:val="16"/>
              </w:rPr>
              <w:t>Confirmatory diagnosis1 of a suspect result from surveillance or presumptive diagnosis</w:t>
            </w:r>
          </w:p>
        </w:tc>
      </w:tr>
      <w:tr w:rsidR="000A62A2" w:rsidRPr="002210B3" w14:paraId="5F38EA4E" w14:textId="77777777" w:rsidTr="000A62A2">
        <w:trPr>
          <w:trHeight w:val="402"/>
          <w:tblHeader/>
          <w:jc w:val="center"/>
        </w:trPr>
        <w:tc>
          <w:tcPr>
            <w:tcW w:w="2399" w:type="dxa"/>
            <w:vMerge/>
            <w:tcBorders>
              <w:left w:val="single" w:sz="4" w:space="0" w:color="auto"/>
              <w:bottom w:val="single" w:sz="6" w:space="0" w:color="auto"/>
            </w:tcBorders>
            <w:vAlign w:val="center"/>
          </w:tcPr>
          <w:p w14:paraId="0E593C08" w14:textId="77777777" w:rsidR="000A62A2" w:rsidRPr="002210B3" w:rsidRDefault="000A62A2" w:rsidP="000A62A2">
            <w:pPr>
              <w:pStyle w:val="TableHead"/>
              <w:spacing w:before="80" w:after="80"/>
              <w:rPr>
                <w:rFonts w:ascii="Arial" w:hAnsi="Arial" w:cs="Arial"/>
                <w:sz w:val="16"/>
                <w:szCs w:val="16"/>
              </w:rPr>
            </w:pPr>
          </w:p>
        </w:tc>
        <w:tc>
          <w:tcPr>
            <w:tcW w:w="995" w:type="dxa"/>
            <w:tcBorders>
              <w:top w:val="single" w:sz="4" w:space="0" w:color="auto"/>
              <w:left w:val="single" w:sz="6" w:space="0" w:color="auto"/>
              <w:bottom w:val="single" w:sz="6" w:space="0" w:color="auto"/>
            </w:tcBorders>
            <w:vAlign w:val="center"/>
          </w:tcPr>
          <w:p w14:paraId="1060A978"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Early life stages</w:t>
            </w:r>
            <w:r w:rsidRPr="002210B3">
              <w:rPr>
                <w:rFonts w:ascii="Arial" w:hAnsi="Arial" w:cs="Arial"/>
                <w:sz w:val="16"/>
                <w:szCs w:val="16"/>
                <w:vertAlign w:val="superscript"/>
              </w:rPr>
              <w:t>2</w:t>
            </w:r>
          </w:p>
        </w:tc>
        <w:tc>
          <w:tcPr>
            <w:tcW w:w="1134" w:type="dxa"/>
            <w:tcBorders>
              <w:top w:val="single" w:sz="4" w:space="0" w:color="auto"/>
              <w:left w:val="single" w:sz="6" w:space="0" w:color="auto"/>
              <w:bottom w:val="single" w:sz="6" w:space="0" w:color="auto"/>
            </w:tcBorders>
            <w:vAlign w:val="center"/>
          </w:tcPr>
          <w:p w14:paraId="67521AA9"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Juveniles</w:t>
            </w:r>
            <w:r w:rsidRPr="002210B3">
              <w:rPr>
                <w:rFonts w:ascii="Arial" w:hAnsi="Arial" w:cs="Arial"/>
                <w:sz w:val="16"/>
                <w:szCs w:val="16"/>
                <w:vertAlign w:val="superscript"/>
              </w:rPr>
              <w:t>2</w:t>
            </w:r>
          </w:p>
        </w:tc>
        <w:tc>
          <w:tcPr>
            <w:tcW w:w="709" w:type="dxa"/>
            <w:tcBorders>
              <w:top w:val="single" w:sz="4" w:space="0" w:color="auto"/>
              <w:left w:val="single" w:sz="6" w:space="0" w:color="auto"/>
              <w:bottom w:val="single" w:sz="6" w:space="0" w:color="auto"/>
            </w:tcBorders>
            <w:vAlign w:val="center"/>
          </w:tcPr>
          <w:p w14:paraId="53D5BCD4"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Adults</w:t>
            </w:r>
          </w:p>
        </w:tc>
        <w:tc>
          <w:tcPr>
            <w:tcW w:w="567" w:type="dxa"/>
            <w:tcBorders>
              <w:top w:val="single" w:sz="4" w:space="0" w:color="auto"/>
              <w:left w:val="single" w:sz="6" w:space="0" w:color="auto"/>
              <w:bottom w:val="single" w:sz="6" w:space="0" w:color="auto"/>
              <w:right w:val="single" w:sz="6" w:space="0" w:color="auto"/>
            </w:tcBorders>
            <w:vAlign w:val="center"/>
          </w:tcPr>
          <w:p w14:paraId="49B9FF62"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LV</w:t>
            </w:r>
          </w:p>
        </w:tc>
        <w:tc>
          <w:tcPr>
            <w:tcW w:w="995" w:type="dxa"/>
            <w:tcBorders>
              <w:top w:val="single" w:sz="6" w:space="0" w:color="auto"/>
              <w:left w:val="single" w:sz="6" w:space="0" w:color="auto"/>
            </w:tcBorders>
            <w:vAlign w:val="center"/>
          </w:tcPr>
          <w:p w14:paraId="7F8741CB"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Early life stages</w:t>
            </w:r>
            <w:r w:rsidRPr="002210B3">
              <w:rPr>
                <w:rFonts w:ascii="Arial" w:hAnsi="Arial" w:cs="Arial"/>
                <w:sz w:val="16"/>
                <w:szCs w:val="16"/>
                <w:vertAlign w:val="superscript"/>
              </w:rPr>
              <w:t>2</w:t>
            </w:r>
          </w:p>
        </w:tc>
        <w:tc>
          <w:tcPr>
            <w:tcW w:w="993" w:type="dxa"/>
            <w:tcBorders>
              <w:top w:val="single" w:sz="6" w:space="0" w:color="auto"/>
              <w:left w:val="single" w:sz="6" w:space="0" w:color="auto"/>
            </w:tcBorders>
            <w:vAlign w:val="center"/>
          </w:tcPr>
          <w:p w14:paraId="02F3F7DE"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Juveniles</w:t>
            </w:r>
            <w:r w:rsidRPr="002210B3">
              <w:rPr>
                <w:rFonts w:ascii="Arial" w:hAnsi="Arial" w:cs="Arial"/>
                <w:sz w:val="16"/>
                <w:szCs w:val="16"/>
                <w:vertAlign w:val="superscript"/>
              </w:rPr>
              <w:t>2</w:t>
            </w:r>
          </w:p>
        </w:tc>
        <w:tc>
          <w:tcPr>
            <w:tcW w:w="708" w:type="dxa"/>
            <w:tcBorders>
              <w:top w:val="single" w:sz="6" w:space="0" w:color="auto"/>
              <w:left w:val="single" w:sz="6" w:space="0" w:color="auto"/>
            </w:tcBorders>
            <w:vAlign w:val="center"/>
          </w:tcPr>
          <w:p w14:paraId="6478C182"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Adults</w:t>
            </w:r>
          </w:p>
        </w:tc>
        <w:tc>
          <w:tcPr>
            <w:tcW w:w="631" w:type="dxa"/>
            <w:tcBorders>
              <w:top w:val="single" w:sz="4" w:space="0" w:color="auto"/>
              <w:left w:val="single" w:sz="6" w:space="0" w:color="auto"/>
              <w:right w:val="single" w:sz="6" w:space="0" w:color="auto"/>
            </w:tcBorders>
            <w:vAlign w:val="center"/>
          </w:tcPr>
          <w:p w14:paraId="07A48B79"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LV</w:t>
            </w:r>
          </w:p>
        </w:tc>
        <w:tc>
          <w:tcPr>
            <w:tcW w:w="960" w:type="dxa"/>
            <w:tcBorders>
              <w:top w:val="single" w:sz="4" w:space="0" w:color="auto"/>
              <w:left w:val="single" w:sz="6" w:space="0" w:color="auto"/>
              <w:right w:val="single" w:sz="6" w:space="0" w:color="auto"/>
            </w:tcBorders>
            <w:vAlign w:val="center"/>
          </w:tcPr>
          <w:p w14:paraId="4E875302"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Early life stages</w:t>
            </w:r>
            <w:r w:rsidRPr="002210B3">
              <w:rPr>
                <w:rFonts w:ascii="Arial" w:hAnsi="Arial" w:cs="Arial"/>
                <w:sz w:val="16"/>
                <w:szCs w:val="16"/>
                <w:vertAlign w:val="superscript"/>
              </w:rPr>
              <w:t>2</w:t>
            </w:r>
          </w:p>
        </w:tc>
        <w:tc>
          <w:tcPr>
            <w:tcW w:w="1100" w:type="dxa"/>
            <w:tcBorders>
              <w:top w:val="single" w:sz="4" w:space="0" w:color="auto"/>
              <w:left w:val="single" w:sz="6" w:space="0" w:color="auto"/>
              <w:right w:val="single" w:sz="6" w:space="0" w:color="auto"/>
            </w:tcBorders>
            <w:vAlign w:val="center"/>
          </w:tcPr>
          <w:p w14:paraId="38885A74"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Juveniles</w:t>
            </w:r>
            <w:r w:rsidRPr="002210B3">
              <w:rPr>
                <w:rFonts w:ascii="Arial" w:hAnsi="Arial" w:cs="Arial"/>
                <w:sz w:val="16"/>
                <w:szCs w:val="16"/>
                <w:vertAlign w:val="superscript"/>
              </w:rPr>
              <w:t>2</w:t>
            </w:r>
          </w:p>
        </w:tc>
        <w:tc>
          <w:tcPr>
            <w:tcW w:w="992" w:type="dxa"/>
            <w:tcBorders>
              <w:top w:val="single" w:sz="4" w:space="0" w:color="auto"/>
              <w:left w:val="single" w:sz="6" w:space="0" w:color="auto"/>
            </w:tcBorders>
            <w:vAlign w:val="center"/>
          </w:tcPr>
          <w:p w14:paraId="6202EF1A"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Adults</w:t>
            </w:r>
          </w:p>
        </w:tc>
        <w:tc>
          <w:tcPr>
            <w:tcW w:w="709" w:type="dxa"/>
            <w:tcBorders>
              <w:top w:val="single" w:sz="4" w:space="0" w:color="auto"/>
              <w:left w:val="single" w:sz="6" w:space="0" w:color="auto"/>
              <w:right w:val="single" w:sz="6" w:space="0" w:color="auto"/>
            </w:tcBorders>
            <w:vAlign w:val="center"/>
          </w:tcPr>
          <w:p w14:paraId="259BA5EB"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LV</w:t>
            </w:r>
          </w:p>
        </w:tc>
      </w:tr>
      <w:tr w:rsidR="000A62A2" w:rsidRPr="002210B3" w14:paraId="27CFFC6A" w14:textId="77777777" w:rsidTr="000A62A2">
        <w:trPr>
          <w:trHeight w:val="227"/>
          <w:jc w:val="center"/>
        </w:trPr>
        <w:tc>
          <w:tcPr>
            <w:tcW w:w="2399" w:type="dxa"/>
            <w:tcBorders>
              <w:top w:val="single" w:sz="6" w:space="0" w:color="auto"/>
              <w:left w:val="single" w:sz="6" w:space="0" w:color="auto"/>
            </w:tcBorders>
            <w:vAlign w:val="center"/>
          </w:tcPr>
          <w:p w14:paraId="2581AC8C" w14:textId="77777777" w:rsidR="000A62A2" w:rsidRPr="002210B3" w:rsidRDefault="000A62A2" w:rsidP="000A62A2">
            <w:pPr>
              <w:spacing w:after="0" w:line="240" w:lineRule="auto"/>
              <w:jc w:val="center"/>
              <w:rPr>
                <w:rFonts w:ascii="Arial" w:hAnsi="Arial" w:cs="Arial"/>
                <w:sz w:val="16"/>
                <w:szCs w:val="16"/>
                <w:lang w:val="en-IE"/>
              </w:rPr>
            </w:pPr>
            <w:r w:rsidRPr="002210B3">
              <w:rPr>
                <w:rFonts w:ascii="Arial" w:hAnsi="Arial" w:cs="Arial"/>
                <w:b/>
                <w:bCs/>
                <w:sz w:val="16"/>
                <w:szCs w:val="16"/>
                <w:lang w:val="en-IE"/>
              </w:rPr>
              <w:t>Morphological examination</w:t>
            </w:r>
          </w:p>
        </w:tc>
        <w:tc>
          <w:tcPr>
            <w:tcW w:w="995" w:type="dxa"/>
            <w:tcBorders>
              <w:top w:val="single" w:sz="6" w:space="0" w:color="auto"/>
              <w:left w:val="single" w:sz="6" w:space="0" w:color="auto"/>
            </w:tcBorders>
            <w:shd w:val="clear" w:color="auto" w:fill="D9D9D9" w:themeFill="background1" w:themeFillShade="D9"/>
            <w:vAlign w:val="center"/>
          </w:tcPr>
          <w:p w14:paraId="7AC53426" w14:textId="77777777" w:rsidR="000A62A2" w:rsidRPr="002210B3" w:rsidRDefault="000A62A2" w:rsidP="000A62A2">
            <w:pPr>
              <w:pStyle w:val="TableHead"/>
              <w:spacing w:before="80" w:after="80"/>
              <w:rPr>
                <w:rFonts w:ascii="Arial" w:hAnsi="Arial" w:cs="Arial"/>
                <w:sz w:val="16"/>
                <w:szCs w:val="16"/>
              </w:rPr>
            </w:pPr>
          </w:p>
        </w:tc>
        <w:tc>
          <w:tcPr>
            <w:tcW w:w="1134" w:type="dxa"/>
            <w:tcBorders>
              <w:top w:val="single" w:sz="6" w:space="0" w:color="auto"/>
              <w:left w:val="single" w:sz="6" w:space="0" w:color="auto"/>
            </w:tcBorders>
            <w:vAlign w:val="center"/>
          </w:tcPr>
          <w:p w14:paraId="7A6E85F8" w14:textId="77777777" w:rsidR="000A62A2" w:rsidRPr="003858FC" w:rsidRDefault="000A62A2" w:rsidP="000A62A2">
            <w:pPr>
              <w:pStyle w:val="TableHead"/>
              <w:spacing w:before="80" w:after="80"/>
              <w:rPr>
                <w:rFonts w:ascii="Arial" w:hAnsi="Arial" w:cs="Arial"/>
                <w:b w:val="0"/>
                <w:bCs w:val="0"/>
                <w:sz w:val="16"/>
                <w:szCs w:val="16"/>
              </w:rPr>
            </w:pPr>
            <w:r w:rsidRPr="003858FC">
              <w:rPr>
                <w:rFonts w:ascii="Arial" w:hAnsi="Arial" w:cs="Arial"/>
                <w:b w:val="0"/>
                <w:bCs w:val="0"/>
                <w:sz w:val="16"/>
                <w:szCs w:val="16"/>
              </w:rPr>
              <w:t>+</w:t>
            </w:r>
          </w:p>
        </w:tc>
        <w:tc>
          <w:tcPr>
            <w:tcW w:w="709" w:type="dxa"/>
            <w:tcBorders>
              <w:top w:val="single" w:sz="6" w:space="0" w:color="auto"/>
              <w:left w:val="single" w:sz="6" w:space="0" w:color="auto"/>
            </w:tcBorders>
            <w:vAlign w:val="center"/>
          </w:tcPr>
          <w:p w14:paraId="7D167825" w14:textId="77777777" w:rsidR="000A62A2" w:rsidRPr="003858FC" w:rsidRDefault="000A62A2" w:rsidP="000A62A2">
            <w:pPr>
              <w:pStyle w:val="TableHead"/>
              <w:spacing w:before="80" w:after="80"/>
              <w:rPr>
                <w:rFonts w:ascii="Arial" w:hAnsi="Arial" w:cs="Arial"/>
                <w:b w:val="0"/>
                <w:bCs w:val="0"/>
                <w:sz w:val="16"/>
                <w:szCs w:val="16"/>
              </w:rPr>
            </w:pPr>
            <w:r w:rsidRPr="003858FC">
              <w:rPr>
                <w:rFonts w:ascii="Arial" w:hAnsi="Arial" w:cs="Arial"/>
                <w:b w:val="0"/>
                <w:bCs w:val="0"/>
                <w:sz w:val="16"/>
                <w:szCs w:val="16"/>
              </w:rPr>
              <w:t>+</w:t>
            </w:r>
          </w:p>
        </w:tc>
        <w:tc>
          <w:tcPr>
            <w:tcW w:w="567" w:type="dxa"/>
            <w:tcBorders>
              <w:top w:val="single" w:sz="6" w:space="0" w:color="auto"/>
              <w:left w:val="single" w:sz="6" w:space="0" w:color="auto"/>
              <w:right w:val="single" w:sz="6" w:space="0" w:color="auto"/>
            </w:tcBorders>
            <w:vAlign w:val="center"/>
          </w:tcPr>
          <w:p w14:paraId="620C29C9" w14:textId="77777777" w:rsidR="000A62A2" w:rsidRPr="003858FC" w:rsidRDefault="000A62A2" w:rsidP="000A62A2">
            <w:pPr>
              <w:pStyle w:val="TableHead"/>
              <w:spacing w:before="80" w:after="80"/>
              <w:rPr>
                <w:rFonts w:ascii="Arial" w:hAnsi="Arial" w:cs="Arial"/>
                <w:b w:val="0"/>
                <w:bCs w:val="0"/>
                <w:sz w:val="16"/>
                <w:szCs w:val="16"/>
              </w:rPr>
            </w:pPr>
            <w:r w:rsidRPr="003858FC">
              <w:rPr>
                <w:rFonts w:ascii="Arial" w:hAnsi="Arial" w:cs="Arial"/>
                <w:b w:val="0"/>
                <w:bCs w:val="0"/>
                <w:sz w:val="16"/>
                <w:szCs w:val="16"/>
              </w:rPr>
              <w:t>1</w:t>
            </w:r>
          </w:p>
        </w:tc>
        <w:tc>
          <w:tcPr>
            <w:tcW w:w="995" w:type="dxa"/>
            <w:tcBorders>
              <w:top w:val="single" w:sz="6" w:space="0" w:color="auto"/>
              <w:left w:val="single" w:sz="6" w:space="0" w:color="auto"/>
            </w:tcBorders>
            <w:shd w:val="clear" w:color="auto" w:fill="D9D9D9" w:themeFill="background1" w:themeFillShade="D9"/>
            <w:vAlign w:val="center"/>
          </w:tcPr>
          <w:p w14:paraId="07ABF816" w14:textId="77777777" w:rsidR="000A62A2" w:rsidRPr="002210B3" w:rsidRDefault="000A62A2" w:rsidP="000A62A2">
            <w:pPr>
              <w:pStyle w:val="Tabletext"/>
              <w:spacing w:before="80" w:after="80"/>
              <w:rPr>
                <w:b/>
                <w:sz w:val="16"/>
                <w:szCs w:val="16"/>
              </w:rPr>
            </w:pPr>
          </w:p>
        </w:tc>
        <w:tc>
          <w:tcPr>
            <w:tcW w:w="993" w:type="dxa"/>
            <w:tcBorders>
              <w:top w:val="single" w:sz="6" w:space="0" w:color="auto"/>
              <w:left w:val="single" w:sz="6" w:space="0" w:color="auto"/>
            </w:tcBorders>
            <w:vAlign w:val="center"/>
          </w:tcPr>
          <w:p w14:paraId="6B592554" w14:textId="77777777" w:rsidR="000A62A2" w:rsidRPr="003858FC" w:rsidRDefault="000A62A2" w:rsidP="000A62A2">
            <w:pPr>
              <w:pStyle w:val="Tabletext"/>
              <w:spacing w:before="80" w:after="80"/>
              <w:rPr>
                <w:bCs w:val="0"/>
                <w:sz w:val="16"/>
                <w:szCs w:val="16"/>
              </w:rPr>
            </w:pPr>
            <w:r w:rsidRPr="003858FC">
              <w:rPr>
                <w:bCs w:val="0"/>
                <w:sz w:val="16"/>
                <w:szCs w:val="16"/>
              </w:rPr>
              <w:t>+</w:t>
            </w:r>
          </w:p>
        </w:tc>
        <w:tc>
          <w:tcPr>
            <w:tcW w:w="708" w:type="dxa"/>
            <w:tcBorders>
              <w:top w:val="single" w:sz="6" w:space="0" w:color="auto"/>
              <w:left w:val="single" w:sz="6" w:space="0" w:color="auto"/>
            </w:tcBorders>
            <w:vAlign w:val="center"/>
          </w:tcPr>
          <w:p w14:paraId="55F9F057" w14:textId="77777777" w:rsidR="000A62A2" w:rsidRPr="003858FC" w:rsidRDefault="000A62A2" w:rsidP="000A62A2">
            <w:pPr>
              <w:pStyle w:val="Tabletext"/>
              <w:spacing w:before="80" w:after="80"/>
              <w:rPr>
                <w:bCs w:val="0"/>
                <w:sz w:val="16"/>
                <w:szCs w:val="16"/>
              </w:rPr>
            </w:pPr>
            <w:r w:rsidRPr="003858FC">
              <w:rPr>
                <w:bCs w:val="0"/>
                <w:sz w:val="16"/>
                <w:szCs w:val="16"/>
              </w:rPr>
              <w:t>+</w:t>
            </w:r>
          </w:p>
        </w:tc>
        <w:tc>
          <w:tcPr>
            <w:tcW w:w="631" w:type="dxa"/>
            <w:tcBorders>
              <w:top w:val="single" w:sz="6" w:space="0" w:color="auto"/>
              <w:left w:val="single" w:sz="6" w:space="0" w:color="auto"/>
              <w:right w:val="single" w:sz="6" w:space="0" w:color="auto"/>
            </w:tcBorders>
            <w:vAlign w:val="center"/>
          </w:tcPr>
          <w:p w14:paraId="708617F0" w14:textId="77777777" w:rsidR="000A62A2" w:rsidRPr="003858FC" w:rsidRDefault="000A62A2" w:rsidP="000A62A2">
            <w:pPr>
              <w:pStyle w:val="Tabletext"/>
              <w:spacing w:before="80" w:after="80"/>
              <w:rPr>
                <w:bCs w:val="0"/>
                <w:sz w:val="16"/>
                <w:szCs w:val="16"/>
              </w:rPr>
            </w:pPr>
            <w:r w:rsidRPr="003858FC">
              <w:rPr>
                <w:bCs w:val="0"/>
                <w:sz w:val="16"/>
                <w:szCs w:val="16"/>
              </w:rPr>
              <w:t>1</w:t>
            </w: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63514653" w14:textId="77777777" w:rsidR="000A62A2" w:rsidRPr="002210B3" w:rsidRDefault="000A62A2" w:rsidP="000A62A2">
            <w:pPr>
              <w:pStyle w:val="Tabletext"/>
              <w:spacing w:before="80" w:after="80"/>
              <w:rPr>
                <w:b/>
                <w:sz w:val="16"/>
                <w:szCs w:val="16"/>
              </w:rPr>
            </w:pPr>
          </w:p>
        </w:tc>
        <w:tc>
          <w:tcPr>
            <w:tcW w:w="1100" w:type="dxa"/>
            <w:tcBorders>
              <w:top w:val="single" w:sz="6" w:space="0" w:color="auto"/>
              <w:left w:val="single" w:sz="6" w:space="0" w:color="auto"/>
              <w:right w:val="single" w:sz="6" w:space="0" w:color="auto"/>
            </w:tcBorders>
            <w:shd w:val="clear" w:color="auto" w:fill="D9D9D9" w:themeFill="background1" w:themeFillShade="D9"/>
            <w:vAlign w:val="center"/>
          </w:tcPr>
          <w:p w14:paraId="4003CCF9" w14:textId="77777777" w:rsidR="000A62A2" w:rsidRPr="002210B3" w:rsidRDefault="000A62A2" w:rsidP="000A62A2">
            <w:pPr>
              <w:pStyle w:val="Tabletext"/>
              <w:spacing w:before="80" w:after="80"/>
              <w:rPr>
                <w:b/>
                <w:sz w:val="16"/>
                <w:szCs w:val="16"/>
              </w:rPr>
            </w:pPr>
          </w:p>
        </w:tc>
        <w:tc>
          <w:tcPr>
            <w:tcW w:w="992" w:type="dxa"/>
            <w:tcBorders>
              <w:top w:val="single" w:sz="6" w:space="0" w:color="auto"/>
              <w:left w:val="single" w:sz="6" w:space="0" w:color="auto"/>
            </w:tcBorders>
            <w:shd w:val="clear" w:color="auto" w:fill="D9D9D9" w:themeFill="background1" w:themeFillShade="D9"/>
            <w:vAlign w:val="center"/>
          </w:tcPr>
          <w:p w14:paraId="6CDB38BB" w14:textId="77777777" w:rsidR="000A62A2" w:rsidRPr="002210B3" w:rsidRDefault="000A62A2" w:rsidP="000A62A2">
            <w:pPr>
              <w:pStyle w:val="Tabletext"/>
              <w:spacing w:before="80" w:after="80"/>
              <w:rPr>
                <w:b/>
                <w:sz w:val="16"/>
                <w:szCs w:val="16"/>
              </w:rPr>
            </w:pPr>
          </w:p>
        </w:tc>
        <w:tc>
          <w:tcPr>
            <w:tcW w:w="709" w:type="dxa"/>
            <w:tcBorders>
              <w:top w:val="single" w:sz="6" w:space="0" w:color="auto"/>
              <w:left w:val="single" w:sz="6" w:space="0" w:color="auto"/>
              <w:right w:val="single" w:sz="6" w:space="0" w:color="auto"/>
            </w:tcBorders>
            <w:shd w:val="clear" w:color="auto" w:fill="D9D9D9" w:themeFill="background1" w:themeFillShade="D9"/>
            <w:vAlign w:val="center"/>
          </w:tcPr>
          <w:p w14:paraId="311C5AB1" w14:textId="77777777" w:rsidR="000A62A2" w:rsidRPr="002210B3" w:rsidRDefault="000A62A2" w:rsidP="000A62A2">
            <w:pPr>
              <w:pStyle w:val="Tabletext"/>
              <w:spacing w:before="80" w:after="80"/>
              <w:rPr>
                <w:b/>
                <w:sz w:val="16"/>
                <w:szCs w:val="16"/>
              </w:rPr>
            </w:pPr>
          </w:p>
        </w:tc>
      </w:tr>
      <w:tr w:rsidR="000A62A2" w:rsidRPr="002210B3" w14:paraId="2E64B6B6" w14:textId="77777777" w:rsidTr="000A62A2">
        <w:trPr>
          <w:trHeight w:val="324"/>
          <w:jc w:val="center"/>
        </w:trPr>
        <w:tc>
          <w:tcPr>
            <w:tcW w:w="2399" w:type="dxa"/>
            <w:tcBorders>
              <w:top w:val="single" w:sz="6" w:space="0" w:color="auto"/>
              <w:left w:val="single" w:sz="6" w:space="0" w:color="auto"/>
            </w:tcBorders>
            <w:vAlign w:val="center"/>
          </w:tcPr>
          <w:p w14:paraId="71132640" w14:textId="77777777" w:rsidR="000A62A2" w:rsidRPr="003858FC" w:rsidRDefault="000A62A2" w:rsidP="000A62A2">
            <w:pPr>
              <w:pStyle w:val="TableHead"/>
              <w:spacing w:before="80" w:after="80"/>
              <w:rPr>
                <w:rFonts w:ascii="Arial" w:hAnsi="Arial" w:cs="Arial"/>
                <w:sz w:val="16"/>
                <w:szCs w:val="16"/>
              </w:rPr>
            </w:pPr>
            <w:r w:rsidRPr="003858FC">
              <w:rPr>
                <w:rFonts w:ascii="Arial" w:hAnsi="Arial" w:cs="Arial"/>
                <w:sz w:val="16"/>
                <w:szCs w:val="16"/>
              </w:rPr>
              <w:t>Histopathology</w:t>
            </w:r>
            <w:r w:rsidRPr="003858FC">
              <w:rPr>
                <w:rFonts w:ascii="Arial" w:hAnsi="Arial" w:cs="Arial"/>
                <w:sz w:val="16"/>
                <w:szCs w:val="16"/>
                <w:vertAlign w:val="superscript"/>
              </w:rPr>
              <w:t>3</w:t>
            </w:r>
          </w:p>
        </w:tc>
        <w:tc>
          <w:tcPr>
            <w:tcW w:w="995" w:type="dxa"/>
            <w:tcBorders>
              <w:top w:val="single" w:sz="6" w:space="0" w:color="auto"/>
              <w:left w:val="single" w:sz="6" w:space="0" w:color="auto"/>
            </w:tcBorders>
            <w:shd w:val="clear" w:color="auto" w:fill="D9D9D9" w:themeFill="background1" w:themeFillShade="D9"/>
            <w:vAlign w:val="center"/>
          </w:tcPr>
          <w:p w14:paraId="06AF6ADA" w14:textId="77777777" w:rsidR="000A62A2" w:rsidRPr="002210B3" w:rsidRDefault="000A62A2" w:rsidP="000A62A2">
            <w:pPr>
              <w:pStyle w:val="TableHead"/>
              <w:spacing w:before="80" w:after="80"/>
              <w:rPr>
                <w:rFonts w:ascii="Arial" w:hAnsi="Arial" w:cs="Arial"/>
                <w:sz w:val="16"/>
                <w:szCs w:val="16"/>
              </w:rPr>
            </w:pPr>
          </w:p>
        </w:tc>
        <w:tc>
          <w:tcPr>
            <w:tcW w:w="1134" w:type="dxa"/>
            <w:tcBorders>
              <w:top w:val="single" w:sz="6" w:space="0" w:color="auto"/>
              <w:left w:val="single" w:sz="6" w:space="0" w:color="auto"/>
            </w:tcBorders>
            <w:shd w:val="clear" w:color="auto" w:fill="D9D9D9" w:themeFill="background1" w:themeFillShade="D9"/>
            <w:vAlign w:val="center"/>
          </w:tcPr>
          <w:p w14:paraId="12A2DB94" w14:textId="77777777" w:rsidR="000A62A2" w:rsidRPr="002210B3" w:rsidRDefault="000A62A2" w:rsidP="000A62A2">
            <w:pPr>
              <w:pStyle w:val="TableHead"/>
              <w:spacing w:before="80" w:after="80"/>
              <w:rPr>
                <w:rFonts w:ascii="Arial" w:hAnsi="Arial" w:cs="Arial"/>
                <w:sz w:val="16"/>
                <w:szCs w:val="16"/>
              </w:rPr>
            </w:pPr>
          </w:p>
        </w:tc>
        <w:tc>
          <w:tcPr>
            <w:tcW w:w="709" w:type="dxa"/>
            <w:tcBorders>
              <w:top w:val="single" w:sz="6" w:space="0" w:color="auto"/>
              <w:left w:val="single" w:sz="6" w:space="0" w:color="auto"/>
            </w:tcBorders>
            <w:shd w:val="clear" w:color="auto" w:fill="D9D9D9" w:themeFill="background1" w:themeFillShade="D9"/>
            <w:vAlign w:val="center"/>
          </w:tcPr>
          <w:p w14:paraId="0CCE80F4" w14:textId="77777777" w:rsidR="000A62A2" w:rsidRPr="002210B3" w:rsidRDefault="000A62A2" w:rsidP="000A62A2">
            <w:pPr>
              <w:pStyle w:val="TableHead"/>
              <w:spacing w:before="80" w:after="80"/>
              <w:rPr>
                <w:rFonts w:ascii="Arial" w:hAnsi="Arial" w:cs="Arial"/>
                <w:sz w:val="16"/>
                <w:szCs w:val="16"/>
              </w:rPr>
            </w:pPr>
          </w:p>
        </w:tc>
        <w:tc>
          <w:tcPr>
            <w:tcW w:w="567" w:type="dxa"/>
            <w:tcBorders>
              <w:top w:val="single" w:sz="6" w:space="0" w:color="auto"/>
              <w:left w:val="single" w:sz="6" w:space="0" w:color="auto"/>
              <w:right w:val="single" w:sz="6" w:space="0" w:color="auto"/>
            </w:tcBorders>
            <w:shd w:val="clear" w:color="auto" w:fill="D9D9D9" w:themeFill="background1" w:themeFillShade="D9"/>
            <w:vAlign w:val="center"/>
          </w:tcPr>
          <w:p w14:paraId="6935CF5A" w14:textId="77777777" w:rsidR="000A62A2" w:rsidRPr="002210B3" w:rsidRDefault="000A62A2" w:rsidP="000A62A2">
            <w:pPr>
              <w:pStyle w:val="TableHead"/>
              <w:spacing w:before="80" w:after="80"/>
              <w:rPr>
                <w:rFonts w:ascii="Arial" w:hAnsi="Arial" w:cs="Arial"/>
                <w:sz w:val="16"/>
                <w:szCs w:val="16"/>
              </w:rPr>
            </w:pPr>
          </w:p>
        </w:tc>
        <w:tc>
          <w:tcPr>
            <w:tcW w:w="995" w:type="dxa"/>
            <w:tcBorders>
              <w:top w:val="single" w:sz="6" w:space="0" w:color="auto"/>
              <w:left w:val="single" w:sz="6" w:space="0" w:color="auto"/>
            </w:tcBorders>
            <w:shd w:val="clear" w:color="auto" w:fill="D9D9D9" w:themeFill="background1" w:themeFillShade="D9"/>
            <w:vAlign w:val="center"/>
          </w:tcPr>
          <w:p w14:paraId="5060B12C" w14:textId="77777777" w:rsidR="000A62A2" w:rsidRPr="002210B3" w:rsidRDefault="000A62A2" w:rsidP="000A62A2">
            <w:pPr>
              <w:pStyle w:val="Tabletext"/>
              <w:spacing w:before="80" w:after="80"/>
              <w:rPr>
                <w:b/>
                <w:sz w:val="16"/>
                <w:szCs w:val="16"/>
              </w:rPr>
            </w:pPr>
          </w:p>
        </w:tc>
        <w:tc>
          <w:tcPr>
            <w:tcW w:w="993" w:type="dxa"/>
            <w:tcBorders>
              <w:top w:val="single" w:sz="6" w:space="0" w:color="auto"/>
              <w:left w:val="single" w:sz="6" w:space="0" w:color="auto"/>
            </w:tcBorders>
            <w:shd w:val="clear" w:color="auto" w:fill="D9D9D9" w:themeFill="background1" w:themeFillShade="D9"/>
            <w:vAlign w:val="center"/>
          </w:tcPr>
          <w:p w14:paraId="2879BA08" w14:textId="77777777" w:rsidR="000A62A2" w:rsidRPr="002210B3" w:rsidRDefault="000A62A2" w:rsidP="000A62A2">
            <w:pPr>
              <w:pStyle w:val="Tabletext"/>
              <w:spacing w:before="80" w:after="80"/>
              <w:rPr>
                <w:b/>
                <w:sz w:val="16"/>
                <w:szCs w:val="16"/>
              </w:rPr>
            </w:pPr>
          </w:p>
        </w:tc>
        <w:tc>
          <w:tcPr>
            <w:tcW w:w="708" w:type="dxa"/>
            <w:tcBorders>
              <w:top w:val="single" w:sz="6" w:space="0" w:color="auto"/>
              <w:left w:val="single" w:sz="6" w:space="0" w:color="auto"/>
            </w:tcBorders>
            <w:shd w:val="clear" w:color="auto" w:fill="D9D9D9" w:themeFill="background1" w:themeFillShade="D9"/>
            <w:vAlign w:val="center"/>
          </w:tcPr>
          <w:p w14:paraId="60E27E99" w14:textId="77777777" w:rsidR="000A62A2" w:rsidRPr="002210B3" w:rsidRDefault="000A62A2" w:rsidP="000A62A2">
            <w:pPr>
              <w:pStyle w:val="Tabletext"/>
              <w:spacing w:before="80" w:after="80"/>
              <w:rPr>
                <w:b/>
                <w:sz w:val="16"/>
                <w:szCs w:val="16"/>
              </w:rPr>
            </w:pPr>
          </w:p>
        </w:tc>
        <w:tc>
          <w:tcPr>
            <w:tcW w:w="631" w:type="dxa"/>
            <w:tcBorders>
              <w:top w:val="single" w:sz="6" w:space="0" w:color="auto"/>
              <w:left w:val="single" w:sz="6" w:space="0" w:color="auto"/>
              <w:right w:val="single" w:sz="6" w:space="0" w:color="auto"/>
            </w:tcBorders>
            <w:shd w:val="clear" w:color="auto" w:fill="D9D9D9" w:themeFill="background1" w:themeFillShade="D9"/>
            <w:vAlign w:val="center"/>
          </w:tcPr>
          <w:p w14:paraId="6C1FAE89" w14:textId="77777777" w:rsidR="000A62A2" w:rsidRPr="002210B3" w:rsidRDefault="000A62A2" w:rsidP="000A62A2">
            <w:pPr>
              <w:pStyle w:val="Tabletext"/>
              <w:spacing w:before="80" w:after="80"/>
              <w:rPr>
                <w:b/>
                <w:sz w:val="16"/>
                <w:szCs w:val="16"/>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1677C0BF" w14:textId="77777777" w:rsidR="000A62A2" w:rsidRPr="002210B3" w:rsidRDefault="000A62A2" w:rsidP="000A62A2">
            <w:pPr>
              <w:pStyle w:val="Tabletext"/>
              <w:spacing w:before="80" w:after="80"/>
              <w:rPr>
                <w:b/>
                <w:sz w:val="16"/>
                <w:szCs w:val="16"/>
              </w:rPr>
            </w:pPr>
          </w:p>
        </w:tc>
        <w:tc>
          <w:tcPr>
            <w:tcW w:w="1100" w:type="dxa"/>
            <w:tcBorders>
              <w:top w:val="single" w:sz="6" w:space="0" w:color="auto"/>
              <w:left w:val="single" w:sz="6" w:space="0" w:color="auto"/>
              <w:right w:val="single" w:sz="6" w:space="0" w:color="auto"/>
            </w:tcBorders>
            <w:shd w:val="clear" w:color="auto" w:fill="D9D9D9" w:themeFill="background1" w:themeFillShade="D9"/>
            <w:vAlign w:val="center"/>
          </w:tcPr>
          <w:p w14:paraId="0B2A2659" w14:textId="77777777" w:rsidR="000A62A2" w:rsidRPr="002210B3" w:rsidRDefault="000A62A2" w:rsidP="000A62A2">
            <w:pPr>
              <w:pStyle w:val="Tabletext"/>
              <w:spacing w:before="80" w:after="80"/>
              <w:rPr>
                <w:b/>
                <w:sz w:val="16"/>
                <w:szCs w:val="16"/>
              </w:rPr>
            </w:pPr>
          </w:p>
        </w:tc>
        <w:tc>
          <w:tcPr>
            <w:tcW w:w="992" w:type="dxa"/>
            <w:tcBorders>
              <w:top w:val="single" w:sz="6" w:space="0" w:color="auto"/>
              <w:left w:val="single" w:sz="6" w:space="0" w:color="auto"/>
            </w:tcBorders>
            <w:shd w:val="clear" w:color="auto" w:fill="D9D9D9" w:themeFill="background1" w:themeFillShade="D9"/>
            <w:vAlign w:val="center"/>
          </w:tcPr>
          <w:p w14:paraId="6B0DD854" w14:textId="77777777" w:rsidR="000A62A2" w:rsidRPr="002210B3" w:rsidRDefault="000A62A2" w:rsidP="000A62A2">
            <w:pPr>
              <w:pStyle w:val="Tabletext"/>
              <w:spacing w:before="80" w:after="80"/>
              <w:rPr>
                <w:b/>
                <w:sz w:val="16"/>
                <w:szCs w:val="16"/>
              </w:rPr>
            </w:pPr>
          </w:p>
        </w:tc>
        <w:tc>
          <w:tcPr>
            <w:tcW w:w="709" w:type="dxa"/>
            <w:tcBorders>
              <w:top w:val="single" w:sz="6" w:space="0" w:color="auto"/>
              <w:left w:val="single" w:sz="6" w:space="0" w:color="auto"/>
              <w:right w:val="single" w:sz="6" w:space="0" w:color="auto"/>
            </w:tcBorders>
            <w:shd w:val="clear" w:color="auto" w:fill="D9D9D9" w:themeFill="background1" w:themeFillShade="D9"/>
            <w:vAlign w:val="center"/>
          </w:tcPr>
          <w:p w14:paraId="0D3110F8" w14:textId="77777777" w:rsidR="000A62A2" w:rsidRPr="002210B3" w:rsidRDefault="000A62A2" w:rsidP="000A62A2">
            <w:pPr>
              <w:pStyle w:val="Tabletext"/>
              <w:spacing w:before="80" w:after="80"/>
              <w:rPr>
                <w:b/>
                <w:sz w:val="16"/>
                <w:szCs w:val="16"/>
              </w:rPr>
            </w:pPr>
          </w:p>
        </w:tc>
      </w:tr>
      <w:tr w:rsidR="000A62A2" w:rsidRPr="002210B3" w14:paraId="32F9B956" w14:textId="77777777" w:rsidTr="000A62A2">
        <w:trPr>
          <w:trHeight w:val="402"/>
          <w:jc w:val="center"/>
        </w:trPr>
        <w:tc>
          <w:tcPr>
            <w:tcW w:w="2399" w:type="dxa"/>
            <w:tcBorders>
              <w:top w:val="single" w:sz="6" w:space="0" w:color="auto"/>
              <w:left w:val="single" w:sz="6" w:space="0" w:color="auto"/>
              <w:bottom w:val="single" w:sz="6" w:space="0" w:color="auto"/>
            </w:tcBorders>
            <w:vAlign w:val="center"/>
          </w:tcPr>
          <w:p w14:paraId="68C23BEE" w14:textId="77777777" w:rsidR="000A62A2" w:rsidRPr="003858FC" w:rsidRDefault="000A62A2" w:rsidP="000A62A2">
            <w:pPr>
              <w:pStyle w:val="TableHead"/>
              <w:spacing w:before="80" w:after="80"/>
              <w:rPr>
                <w:rFonts w:ascii="Arial" w:hAnsi="Arial" w:cs="Arial"/>
                <w:sz w:val="16"/>
                <w:szCs w:val="16"/>
              </w:rPr>
            </w:pPr>
            <w:r w:rsidRPr="003858FC">
              <w:rPr>
                <w:rFonts w:ascii="Arial" w:hAnsi="Arial" w:cs="Arial"/>
                <w:sz w:val="16"/>
                <w:szCs w:val="16"/>
              </w:rPr>
              <w:t>Cytopathology</w:t>
            </w:r>
            <w:r w:rsidRPr="003858FC">
              <w:rPr>
                <w:rFonts w:ascii="Arial" w:hAnsi="Arial" w:cs="Arial"/>
                <w:sz w:val="16"/>
                <w:szCs w:val="16"/>
                <w:vertAlign w:val="superscript"/>
              </w:rPr>
              <w:t>3</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7E82152A" w14:textId="77777777" w:rsidR="000A62A2" w:rsidRPr="002210B3" w:rsidRDefault="000A62A2" w:rsidP="000A62A2">
            <w:pPr>
              <w:pStyle w:val="TableHead"/>
              <w:spacing w:before="80" w:after="80"/>
              <w:rPr>
                <w:rFonts w:ascii="Arial" w:hAnsi="Arial" w:cs="Arial"/>
                <w:sz w:val="16"/>
                <w:szCs w:val="16"/>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5F72E830" w14:textId="77777777" w:rsidR="000A62A2" w:rsidRPr="002210B3" w:rsidRDefault="000A62A2" w:rsidP="000A62A2">
            <w:pPr>
              <w:pStyle w:val="TableHead"/>
              <w:spacing w:before="80" w:after="80"/>
              <w:rPr>
                <w:rFonts w:ascii="Arial" w:hAnsi="Arial" w:cs="Arial"/>
                <w:sz w:val="16"/>
                <w:szCs w:val="16"/>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5642640F" w14:textId="77777777" w:rsidR="000A62A2" w:rsidRPr="002210B3" w:rsidRDefault="000A62A2" w:rsidP="000A62A2">
            <w:pPr>
              <w:pStyle w:val="TableHead"/>
              <w:spacing w:before="80" w:after="80"/>
              <w:rPr>
                <w:rFonts w:ascii="Arial" w:hAnsi="Arial" w:cs="Arial"/>
                <w:sz w:val="16"/>
                <w:szCs w:val="16"/>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C057F7F" w14:textId="77777777" w:rsidR="000A62A2" w:rsidRPr="002210B3" w:rsidRDefault="000A62A2" w:rsidP="000A62A2">
            <w:pPr>
              <w:pStyle w:val="TableHead"/>
              <w:spacing w:before="80" w:after="80"/>
              <w:rPr>
                <w:rFonts w:ascii="Arial" w:hAnsi="Arial" w:cs="Arial"/>
                <w:sz w:val="16"/>
                <w:szCs w:val="16"/>
              </w:rPr>
            </w:pP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09F90222" w14:textId="77777777" w:rsidR="000A62A2" w:rsidRPr="002210B3" w:rsidRDefault="000A62A2" w:rsidP="000A62A2">
            <w:pPr>
              <w:pStyle w:val="Tabletext"/>
              <w:spacing w:before="80" w:after="80"/>
              <w:rPr>
                <w:b/>
                <w:sz w:val="16"/>
                <w:szCs w:val="16"/>
              </w:rPr>
            </w:pPr>
          </w:p>
        </w:tc>
        <w:tc>
          <w:tcPr>
            <w:tcW w:w="993" w:type="dxa"/>
            <w:tcBorders>
              <w:top w:val="single" w:sz="6" w:space="0" w:color="auto"/>
              <w:left w:val="single" w:sz="6" w:space="0" w:color="auto"/>
              <w:bottom w:val="single" w:sz="6" w:space="0" w:color="auto"/>
            </w:tcBorders>
            <w:shd w:val="clear" w:color="auto" w:fill="D9D9D9" w:themeFill="background1" w:themeFillShade="D9"/>
            <w:vAlign w:val="center"/>
          </w:tcPr>
          <w:p w14:paraId="30D38168" w14:textId="77777777" w:rsidR="000A62A2" w:rsidRPr="002210B3" w:rsidRDefault="000A62A2" w:rsidP="000A62A2">
            <w:pPr>
              <w:pStyle w:val="Tabletext"/>
              <w:spacing w:before="80" w:after="80"/>
              <w:rPr>
                <w:b/>
                <w:sz w:val="16"/>
                <w:szCs w:val="16"/>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3D184F51" w14:textId="77777777" w:rsidR="000A62A2" w:rsidRPr="002210B3" w:rsidRDefault="000A62A2" w:rsidP="000A62A2">
            <w:pPr>
              <w:pStyle w:val="Tabletext"/>
              <w:spacing w:before="80" w:after="80"/>
              <w:rPr>
                <w:b/>
                <w:sz w:val="16"/>
                <w:szCs w:val="16"/>
              </w:rPr>
            </w:pPr>
          </w:p>
        </w:tc>
        <w:tc>
          <w:tcPr>
            <w:tcW w:w="63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8A7BCC7" w14:textId="77777777" w:rsidR="000A62A2" w:rsidRPr="002210B3" w:rsidRDefault="000A62A2" w:rsidP="000A62A2">
            <w:pPr>
              <w:pStyle w:val="Tabletext"/>
              <w:spacing w:before="80" w:after="80"/>
              <w:rPr>
                <w:b/>
                <w:sz w:val="16"/>
                <w:szCs w:val="16"/>
              </w:rPr>
            </w:pP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601FCC8" w14:textId="77777777" w:rsidR="000A62A2" w:rsidRPr="002210B3" w:rsidRDefault="000A62A2" w:rsidP="000A62A2">
            <w:pPr>
              <w:pStyle w:val="Tabletext"/>
              <w:spacing w:before="80" w:after="80"/>
              <w:rPr>
                <w:b/>
                <w:sz w:val="16"/>
                <w:szCs w:val="16"/>
              </w:rPr>
            </w:pPr>
          </w:p>
        </w:tc>
        <w:tc>
          <w:tcPr>
            <w:tcW w:w="11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54B3A02" w14:textId="77777777" w:rsidR="000A62A2" w:rsidRPr="002210B3" w:rsidRDefault="000A62A2" w:rsidP="000A62A2">
            <w:pPr>
              <w:pStyle w:val="Tabletext"/>
              <w:spacing w:before="80" w:after="80"/>
              <w:rPr>
                <w:b/>
                <w:sz w:val="16"/>
                <w:szCs w:val="16"/>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01FD1ECB" w14:textId="77777777" w:rsidR="000A62A2" w:rsidRPr="002210B3" w:rsidRDefault="000A62A2" w:rsidP="000A62A2">
            <w:pPr>
              <w:pStyle w:val="Tabletext"/>
              <w:spacing w:before="80" w:after="80"/>
              <w:rPr>
                <w:b/>
                <w:sz w:val="16"/>
                <w:szCs w:val="16"/>
              </w:rPr>
            </w:pP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69310D5" w14:textId="77777777" w:rsidR="000A62A2" w:rsidRPr="002210B3" w:rsidRDefault="000A62A2" w:rsidP="000A62A2">
            <w:pPr>
              <w:pStyle w:val="Tabletext"/>
              <w:spacing w:before="80" w:after="80"/>
              <w:rPr>
                <w:b/>
                <w:sz w:val="16"/>
                <w:szCs w:val="16"/>
              </w:rPr>
            </w:pPr>
          </w:p>
        </w:tc>
      </w:tr>
      <w:tr w:rsidR="000A62A2" w:rsidRPr="002210B3" w14:paraId="7827BA06" w14:textId="77777777" w:rsidTr="000A62A2">
        <w:trPr>
          <w:trHeight w:val="402"/>
          <w:jc w:val="center"/>
        </w:trPr>
        <w:tc>
          <w:tcPr>
            <w:tcW w:w="2399" w:type="dxa"/>
            <w:tcBorders>
              <w:top w:val="single" w:sz="6" w:space="0" w:color="auto"/>
              <w:left w:val="single" w:sz="6" w:space="0" w:color="auto"/>
              <w:bottom w:val="single" w:sz="6" w:space="0" w:color="auto"/>
            </w:tcBorders>
            <w:vAlign w:val="center"/>
          </w:tcPr>
          <w:p w14:paraId="3147EFAF"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Culture</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2FC2E571" w14:textId="77777777" w:rsidR="000A62A2" w:rsidRPr="002210B3" w:rsidRDefault="000A62A2" w:rsidP="000A62A2">
            <w:pPr>
              <w:pStyle w:val="TableHead"/>
              <w:spacing w:before="80" w:after="80"/>
              <w:rPr>
                <w:rFonts w:ascii="Arial" w:hAnsi="Arial" w:cs="Arial"/>
                <w:sz w:val="16"/>
                <w:szCs w:val="16"/>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62E8E3DC" w14:textId="77777777" w:rsidR="000A62A2" w:rsidRPr="002210B3" w:rsidRDefault="000A62A2" w:rsidP="000A62A2">
            <w:pPr>
              <w:pStyle w:val="TableHead"/>
              <w:spacing w:before="80" w:after="80"/>
              <w:rPr>
                <w:rFonts w:ascii="Arial" w:hAnsi="Arial" w:cs="Arial"/>
                <w:sz w:val="16"/>
                <w:szCs w:val="16"/>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1B7A5786" w14:textId="77777777" w:rsidR="000A62A2" w:rsidRPr="002210B3" w:rsidRDefault="000A62A2" w:rsidP="000A62A2">
            <w:pPr>
              <w:pStyle w:val="TableHead"/>
              <w:spacing w:before="80" w:after="80"/>
              <w:rPr>
                <w:rFonts w:ascii="Arial" w:hAnsi="Arial" w:cs="Arial"/>
                <w:sz w:val="16"/>
                <w:szCs w:val="16"/>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F7C7909" w14:textId="77777777" w:rsidR="000A62A2" w:rsidRPr="002210B3" w:rsidRDefault="000A62A2" w:rsidP="000A62A2">
            <w:pPr>
              <w:pStyle w:val="TableHead"/>
              <w:spacing w:before="80" w:after="80"/>
              <w:rPr>
                <w:rFonts w:ascii="Arial" w:hAnsi="Arial" w:cs="Arial"/>
                <w:sz w:val="16"/>
                <w:szCs w:val="16"/>
              </w:rPr>
            </w:pP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253C2171" w14:textId="77777777" w:rsidR="000A62A2" w:rsidRPr="002210B3" w:rsidRDefault="000A62A2" w:rsidP="000A62A2">
            <w:pPr>
              <w:pStyle w:val="Tabletext"/>
              <w:spacing w:before="80" w:after="80"/>
              <w:rPr>
                <w:b/>
                <w:sz w:val="16"/>
                <w:szCs w:val="16"/>
              </w:rPr>
            </w:pPr>
          </w:p>
        </w:tc>
        <w:tc>
          <w:tcPr>
            <w:tcW w:w="993" w:type="dxa"/>
            <w:tcBorders>
              <w:top w:val="single" w:sz="6" w:space="0" w:color="auto"/>
              <w:left w:val="single" w:sz="6" w:space="0" w:color="auto"/>
              <w:bottom w:val="single" w:sz="6" w:space="0" w:color="auto"/>
            </w:tcBorders>
            <w:shd w:val="clear" w:color="auto" w:fill="D9D9D9" w:themeFill="background1" w:themeFillShade="D9"/>
            <w:vAlign w:val="center"/>
          </w:tcPr>
          <w:p w14:paraId="0EDBB75B" w14:textId="77777777" w:rsidR="000A62A2" w:rsidRPr="002210B3" w:rsidRDefault="000A62A2" w:rsidP="000A62A2">
            <w:pPr>
              <w:pStyle w:val="Tabletext"/>
              <w:spacing w:before="80" w:after="80"/>
              <w:rPr>
                <w:b/>
                <w:sz w:val="16"/>
                <w:szCs w:val="16"/>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1E15E697" w14:textId="77777777" w:rsidR="000A62A2" w:rsidRPr="002210B3" w:rsidRDefault="000A62A2" w:rsidP="000A62A2">
            <w:pPr>
              <w:pStyle w:val="Tabletext"/>
              <w:spacing w:before="80" w:after="80"/>
              <w:rPr>
                <w:b/>
                <w:sz w:val="16"/>
                <w:szCs w:val="16"/>
              </w:rPr>
            </w:pPr>
          </w:p>
        </w:tc>
        <w:tc>
          <w:tcPr>
            <w:tcW w:w="63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93C021A" w14:textId="77777777" w:rsidR="000A62A2" w:rsidRPr="002210B3" w:rsidRDefault="000A62A2" w:rsidP="000A62A2">
            <w:pPr>
              <w:pStyle w:val="Tabletext"/>
              <w:spacing w:before="80" w:after="80"/>
              <w:rPr>
                <w:b/>
                <w:sz w:val="16"/>
                <w:szCs w:val="16"/>
              </w:rPr>
            </w:pP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E2971B8" w14:textId="77777777" w:rsidR="000A62A2" w:rsidRPr="002210B3" w:rsidRDefault="000A62A2" w:rsidP="000A62A2">
            <w:pPr>
              <w:pStyle w:val="Tabletext"/>
              <w:spacing w:before="80" w:after="80"/>
              <w:rPr>
                <w:b/>
                <w:sz w:val="16"/>
                <w:szCs w:val="16"/>
              </w:rPr>
            </w:pPr>
          </w:p>
        </w:tc>
        <w:tc>
          <w:tcPr>
            <w:tcW w:w="11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6FC6441" w14:textId="77777777" w:rsidR="000A62A2" w:rsidRPr="002210B3" w:rsidRDefault="000A62A2" w:rsidP="000A62A2">
            <w:pPr>
              <w:pStyle w:val="Tabletext"/>
              <w:spacing w:before="80" w:after="80"/>
              <w:rPr>
                <w:b/>
                <w:sz w:val="16"/>
                <w:szCs w:val="16"/>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0B9EE53D" w14:textId="77777777" w:rsidR="000A62A2" w:rsidRPr="002210B3" w:rsidRDefault="000A62A2" w:rsidP="000A62A2">
            <w:pPr>
              <w:pStyle w:val="Tabletext"/>
              <w:spacing w:before="80" w:after="80"/>
              <w:rPr>
                <w:b/>
                <w:sz w:val="16"/>
                <w:szCs w:val="16"/>
              </w:rPr>
            </w:pP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9CCFD8B" w14:textId="77777777" w:rsidR="000A62A2" w:rsidRPr="002210B3" w:rsidRDefault="000A62A2" w:rsidP="000A62A2">
            <w:pPr>
              <w:pStyle w:val="Tabletext"/>
              <w:spacing w:before="80" w:after="80"/>
              <w:rPr>
                <w:b/>
                <w:sz w:val="16"/>
                <w:szCs w:val="16"/>
              </w:rPr>
            </w:pPr>
          </w:p>
        </w:tc>
      </w:tr>
      <w:tr w:rsidR="000A62A2" w:rsidRPr="002210B3" w14:paraId="09FEF2FE" w14:textId="77777777" w:rsidTr="000A62A2">
        <w:trPr>
          <w:trHeight w:val="402"/>
          <w:jc w:val="center"/>
        </w:trPr>
        <w:tc>
          <w:tcPr>
            <w:tcW w:w="2399" w:type="dxa"/>
            <w:tcBorders>
              <w:top w:val="single" w:sz="6" w:space="0" w:color="auto"/>
              <w:left w:val="single" w:sz="6" w:space="0" w:color="auto"/>
              <w:bottom w:val="single" w:sz="6" w:space="0" w:color="auto"/>
            </w:tcBorders>
            <w:vAlign w:val="center"/>
          </w:tcPr>
          <w:p w14:paraId="2718740A"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Real-time PCR (using parasite sample)</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702860D9" w14:textId="77777777" w:rsidR="000A62A2" w:rsidRPr="002210B3" w:rsidRDefault="000A62A2" w:rsidP="000A62A2">
            <w:pPr>
              <w:pStyle w:val="TableHead"/>
              <w:spacing w:before="80" w:after="80"/>
              <w:rPr>
                <w:rFonts w:ascii="Arial" w:hAnsi="Arial" w:cs="Arial"/>
                <w:sz w:val="16"/>
                <w:szCs w:val="16"/>
              </w:rPr>
            </w:pPr>
          </w:p>
        </w:tc>
        <w:tc>
          <w:tcPr>
            <w:tcW w:w="1134" w:type="dxa"/>
            <w:tcBorders>
              <w:top w:val="single" w:sz="6" w:space="0" w:color="auto"/>
              <w:left w:val="single" w:sz="6" w:space="0" w:color="auto"/>
              <w:bottom w:val="single" w:sz="6" w:space="0" w:color="auto"/>
            </w:tcBorders>
            <w:vAlign w:val="center"/>
          </w:tcPr>
          <w:p w14:paraId="58184E08" w14:textId="77777777" w:rsidR="000A62A2" w:rsidRPr="003858FC" w:rsidRDefault="000A62A2" w:rsidP="000A62A2">
            <w:pPr>
              <w:pStyle w:val="TableHead"/>
              <w:spacing w:before="80" w:after="80"/>
              <w:rPr>
                <w:rFonts w:ascii="Arial" w:hAnsi="Arial" w:cs="Arial"/>
                <w:b w:val="0"/>
                <w:bCs w:val="0"/>
                <w:sz w:val="16"/>
                <w:szCs w:val="16"/>
              </w:rPr>
            </w:pPr>
            <w:r w:rsidRPr="003858FC">
              <w:rPr>
                <w:rFonts w:ascii="Arial" w:hAnsi="Arial" w:cs="Arial"/>
                <w:b w:val="0"/>
                <w:bCs w:val="0"/>
                <w:sz w:val="16"/>
                <w:szCs w:val="16"/>
              </w:rPr>
              <w:t>+</w:t>
            </w:r>
          </w:p>
        </w:tc>
        <w:tc>
          <w:tcPr>
            <w:tcW w:w="709" w:type="dxa"/>
            <w:tcBorders>
              <w:top w:val="single" w:sz="6" w:space="0" w:color="auto"/>
              <w:left w:val="single" w:sz="6" w:space="0" w:color="auto"/>
              <w:bottom w:val="single" w:sz="6" w:space="0" w:color="auto"/>
            </w:tcBorders>
            <w:vAlign w:val="center"/>
          </w:tcPr>
          <w:p w14:paraId="377663A5" w14:textId="77777777" w:rsidR="000A62A2" w:rsidRPr="003858FC" w:rsidRDefault="000A62A2" w:rsidP="000A62A2">
            <w:pPr>
              <w:pStyle w:val="TableHead"/>
              <w:spacing w:before="80" w:after="80"/>
              <w:rPr>
                <w:rFonts w:ascii="Arial" w:hAnsi="Arial" w:cs="Arial"/>
                <w:b w:val="0"/>
                <w:bCs w:val="0"/>
                <w:sz w:val="16"/>
                <w:szCs w:val="16"/>
              </w:rPr>
            </w:pPr>
            <w:r w:rsidRPr="003858FC">
              <w:rPr>
                <w:rFonts w:ascii="Arial" w:hAnsi="Arial" w:cs="Arial"/>
                <w:b w:val="0"/>
                <w:bCs w:val="0"/>
                <w:sz w:val="16"/>
                <w:szCs w:val="16"/>
              </w:rPr>
              <w:t>+</w:t>
            </w:r>
          </w:p>
        </w:tc>
        <w:tc>
          <w:tcPr>
            <w:tcW w:w="567" w:type="dxa"/>
            <w:tcBorders>
              <w:top w:val="single" w:sz="6" w:space="0" w:color="auto"/>
              <w:left w:val="single" w:sz="6" w:space="0" w:color="auto"/>
              <w:bottom w:val="single" w:sz="6" w:space="0" w:color="auto"/>
              <w:right w:val="single" w:sz="6" w:space="0" w:color="auto"/>
            </w:tcBorders>
            <w:vAlign w:val="center"/>
          </w:tcPr>
          <w:p w14:paraId="53D98981" w14:textId="77777777" w:rsidR="000A62A2" w:rsidRPr="003858FC" w:rsidRDefault="000A62A2" w:rsidP="000A62A2">
            <w:pPr>
              <w:pStyle w:val="TableHead"/>
              <w:spacing w:before="80" w:after="80"/>
              <w:rPr>
                <w:rFonts w:ascii="Arial" w:hAnsi="Arial" w:cs="Arial"/>
                <w:b w:val="0"/>
                <w:bCs w:val="0"/>
                <w:sz w:val="16"/>
                <w:szCs w:val="16"/>
              </w:rPr>
            </w:pPr>
            <w:r w:rsidRPr="003858FC">
              <w:rPr>
                <w:rFonts w:ascii="Arial" w:hAnsi="Arial" w:cs="Arial"/>
                <w:b w:val="0"/>
                <w:bCs w:val="0"/>
                <w:sz w:val="16"/>
                <w:szCs w:val="16"/>
              </w:rPr>
              <w:t>1</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5B7D0E86" w14:textId="77777777" w:rsidR="000A62A2" w:rsidRPr="002210B3" w:rsidRDefault="000A62A2" w:rsidP="000A62A2">
            <w:pPr>
              <w:pStyle w:val="Tabletext"/>
              <w:spacing w:before="80" w:after="80"/>
              <w:rPr>
                <w:b/>
                <w:sz w:val="16"/>
                <w:szCs w:val="16"/>
              </w:rPr>
            </w:pPr>
          </w:p>
        </w:tc>
        <w:tc>
          <w:tcPr>
            <w:tcW w:w="993" w:type="dxa"/>
            <w:tcBorders>
              <w:top w:val="single" w:sz="6" w:space="0" w:color="auto"/>
              <w:left w:val="single" w:sz="6" w:space="0" w:color="auto"/>
              <w:bottom w:val="single" w:sz="6" w:space="0" w:color="auto"/>
            </w:tcBorders>
            <w:vAlign w:val="center"/>
          </w:tcPr>
          <w:p w14:paraId="67A323C3" w14:textId="77777777" w:rsidR="000A62A2" w:rsidRPr="003858FC" w:rsidRDefault="000A62A2" w:rsidP="000A62A2">
            <w:pPr>
              <w:pStyle w:val="Tabletext"/>
              <w:spacing w:before="80" w:after="80"/>
              <w:rPr>
                <w:bCs w:val="0"/>
                <w:sz w:val="16"/>
                <w:szCs w:val="16"/>
              </w:rPr>
            </w:pPr>
            <w:r w:rsidRPr="003858FC">
              <w:rPr>
                <w:bCs w:val="0"/>
                <w:sz w:val="16"/>
                <w:szCs w:val="16"/>
              </w:rPr>
              <w:t>+</w:t>
            </w:r>
          </w:p>
        </w:tc>
        <w:tc>
          <w:tcPr>
            <w:tcW w:w="708" w:type="dxa"/>
            <w:tcBorders>
              <w:top w:val="single" w:sz="6" w:space="0" w:color="auto"/>
              <w:left w:val="single" w:sz="6" w:space="0" w:color="auto"/>
              <w:bottom w:val="single" w:sz="6" w:space="0" w:color="auto"/>
            </w:tcBorders>
            <w:vAlign w:val="center"/>
          </w:tcPr>
          <w:p w14:paraId="789FDE0E" w14:textId="77777777" w:rsidR="000A62A2" w:rsidRPr="003858FC" w:rsidRDefault="000A62A2" w:rsidP="000A62A2">
            <w:pPr>
              <w:pStyle w:val="Tabletext"/>
              <w:spacing w:before="80" w:after="80"/>
              <w:rPr>
                <w:bCs w:val="0"/>
                <w:sz w:val="16"/>
                <w:szCs w:val="16"/>
              </w:rPr>
            </w:pPr>
            <w:r w:rsidRPr="003858FC">
              <w:rPr>
                <w:bCs w:val="0"/>
                <w:sz w:val="16"/>
                <w:szCs w:val="16"/>
              </w:rPr>
              <w:t>+</w:t>
            </w:r>
          </w:p>
        </w:tc>
        <w:tc>
          <w:tcPr>
            <w:tcW w:w="631" w:type="dxa"/>
            <w:tcBorders>
              <w:top w:val="single" w:sz="6" w:space="0" w:color="auto"/>
              <w:left w:val="single" w:sz="6" w:space="0" w:color="auto"/>
              <w:bottom w:val="single" w:sz="6" w:space="0" w:color="auto"/>
              <w:right w:val="single" w:sz="6" w:space="0" w:color="auto"/>
            </w:tcBorders>
            <w:vAlign w:val="center"/>
          </w:tcPr>
          <w:p w14:paraId="2816C6B5" w14:textId="77777777" w:rsidR="000A62A2" w:rsidRPr="003858FC" w:rsidRDefault="000A62A2" w:rsidP="000A62A2">
            <w:pPr>
              <w:pStyle w:val="Tabletext"/>
              <w:spacing w:before="80" w:after="80"/>
              <w:rPr>
                <w:bCs w:val="0"/>
                <w:sz w:val="16"/>
                <w:szCs w:val="16"/>
              </w:rPr>
            </w:pPr>
            <w:r w:rsidRPr="003858FC">
              <w:rPr>
                <w:bCs w:val="0"/>
                <w:sz w:val="16"/>
                <w:szCs w:val="16"/>
              </w:rPr>
              <w:t>1</w:t>
            </w: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CD1DEE8" w14:textId="77777777" w:rsidR="000A62A2" w:rsidRPr="002210B3" w:rsidRDefault="000A62A2" w:rsidP="000A62A2">
            <w:pPr>
              <w:pStyle w:val="Tabletext"/>
              <w:spacing w:before="80" w:after="80"/>
              <w:rPr>
                <w:b/>
                <w:sz w:val="16"/>
                <w:szCs w:val="16"/>
              </w:rPr>
            </w:pPr>
          </w:p>
        </w:tc>
        <w:tc>
          <w:tcPr>
            <w:tcW w:w="11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A6112E4" w14:textId="77777777" w:rsidR="000A62A2" w:rsidRPr="002210B3" w:rsidRDefault="000A62A2" w:rsidP="000A62A2">
            <w:pPr>
              <w:pStyle w:val="Tabletext"/>
              <w:spacing w:before="80" w:after="80"/>
              <w:rPr>
                <w:b/>
                <w:sz w:val="16"/>
                <w:szCs w:val="16"/>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291E9FE7" w14:textId="77777777" w:rsidR="000A62A2" w:rsidRPr="002210B3" w:rsidRDefault="000A62A2" w:rsidP="000A62A2">
            <w:pPr>
              <w:pStyle w:val="Tabletext"/>
              <w:spacing w:before="80" w:after="80"/>
              <w:rPr>
                <w:b/>
                <w:sz w:val="16"/>
                <w:szCs w:val="16"/>
              </w:rPr>
            </w:pP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6E92A0D" w14:textId="77777777" w:rsidR="000A62A2" w:rsidRPr="002210B3" w:rsidRDefault="000A62A2" w:rsidP="000A62A2">
            <w:pPr>
              <w:pStyle w:val="Tabletext"/>
              <w:spacing w:before="80" w:after="80"/>
              <w:rPr>
                <w:b/>
                <w:sz w:val="16"/>
                <w:szCs w:val="16"/>
              </w:rPr>
            </w:pPr>
          </w:p>
        </w:tc>
      </w:tr>
      <w:tr w:rsidR="000A62A2" w:rsidRPr="002210B3" w14:paraId="75593A35" w14:textId="77777777" w:rsidTr="000A62A2">
        <w:trPr>
          <w:trHeight w:val="402"/>
          <w:jc w:val="center"/>
        </w:trPr>
        <w:tc>
          <w:tcPr>
            <w:tcW w:w="2399" w:type="dxa"/>
            <w:tcBorders>
              <w:top w:val="single" w:sz="6" w:space="0" w:color="auto"/>
              <w:left w:val="single" w:sz="6" w:space="0" w:color="auto"/>
              <w:bottom w:val="single" w:sz="6" w:space="0" w:color="auto"/>
            </w:tcBorders>
            <w:vAlign w:val="center"/>
          </w:tcPr>
          <w:p w14:paraId="14BCAB94"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ddPCR/Real-time PCR (using environmental sample)</w:t>
            </w:r>
          </w:p>
        </w:tc>
        <w:tc>
          <w:tcPr>
            <w:tcW w:w="2838" w:type="dxa"/>
            <w:gridSpan w:val="3"/>
            <w:tcBorders>
              <w:top w:val="single" w:sz="6" w:space="0" w:color="auto"/>
              <w:left w:val="single" w:sz="6" w:space="0" w:color="auto"/>
              <w:bottom w:val="single" w:sz="6" w:space="0" w:color="auto"/>
            </w:tcBorders>
            <w:vAlign w:val="center"/>
          </w:tcPr>
          <w:p w14:paraId="250F142D" w14:textId="77777777" w:rsidR="000A62A2" w:rsidRPr="003858FC" w:rsidRDefault="000A62A2" w:rsidP="000A62A2">
            <w:pPr>
              <w:pStyle w:val="TableHead"/>
              <w:spacing w:before="80" w:after="80"/>
              <w:rPr>
                <w:rFonts w:ascii="Arial" w:hAnsi="Arial" w:cs="Arial"/>
                <w:b w:val="0"/>
                <w:bCs w:val="0"/>
                <w:sz w:val="16"/>
                <w:szCs w:val="16"/>
              </w:rPr>
            </w:pPr>
            <w:r w:rsidRPr="003858FC">
              <w:rPr>
                <w:rFonts w:ascii="Arial" w:hAnsi="Arial" w:cs="Arial"/>
                <w:b w:val="0"/>
                <w:bCs w:val="0"/>
                <w:sz w:val="16"/>
                <w:szCs w:val="16"/>
              </w:rPr>
              <w:t>+</w:t>
            </w:r>
          </w:p>
        </w:tc>
        <w:tc>
          <w:tcPr>
            <w:tcW w:w="567" w:type="dxa"/>
            <w:tcBorders>
              <w:top w:val="single" w:sz="6" w:space="0" w:color="auto"/>
              <w:left w:val="single" w:sz="6" w:space="0" w:color="auto"/>
              <w:bottom w:val="single" w:sz="6" w:space="0" w:color="auto"/>
              <w:right w:val="single" w:sz="6" w:space="0" w:color="auto"/>
            </w:tcBorders>
            <w:vAlign w:val="center"/>
          </w:tcPr>
          <w:p w14:paraId="4E85B9CB" w14:textId="77777777" w:rsidR="000A62A2" w:rsidRPr="003858FC" w:rsidRDefault="000A62A2" w:rsidP="000A62A2">
            <w:pPr>
              <w:pStyle w:val="TableHead"/>
              <w:spacing w:before="80" w:after="80"/>
              <w:rPr>
                <w:rFonts w:ascii="Arial" w:hAnsi="Arial" w:cs="Arial"/>
                <w:b w:val="0"/>
                <w:bCs w:val="0"/>
                <w:sz w:val="16"/>
                <w:szCs w:val="16"/>
              </w:rPr>
            </w:pPr>
            <w:r w:rsidRPr="003858FC">
              <w:rPr>
                <w:rFonts w:ascii="Arial" w:hAnsi="Arial" w:cs="Arial"/>
                <w:b w:val="0"/>
                <w:bCs w:val="0"/>
                <w:sz w:val="16"/>
                <w:szCs w:val="16"/>
              </w:rPr>
              <w:t>1</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7B358A77" w14:textId="77777777" w:rsidR="000A62A2" w:rsidRPr="002210B3" w:rsidRDefault="000A62A2" w:rsidP="000A62A2">
            <w:pPr>
              <w:pStyle w:val="Tabletext"/>
              <w:spacing w:before="80" w:after="80"/>
              <w:rPr>
                <w:b/>
                <w:sz w:val="16"/>
                <w:szCs w:val="16"/>
              </w:rPr>
            </w:pPr>
          </w:p>
        </w:tc>
        <w:tc>
          <w:tcPr>
            <w:tcW w:w="993" w:type="dxa"/>
            <w:tcBorders>
              <w:top w:val="single" w:sz="6" w:space="0" w:color="auto"/>
              <w:left w:val="single" w:sz="6" w:space="0" w:color="auto"/>
              <w:bottom w:val="single" w:sz="6" w:space="0" w:color="auto"/>
            </w:tcBorders>
            <w:shd w:val="clear" w:color="auto" w:fill="D9D9D9" w:themeFill="background1" w:themeFillShade="D9"/>
            <w:vAlign w:val="center"/>
          </w:tcPr>
          <w:p w14:paraId="500E02BF" w14:textId="77777777" w:rsidR="000A62A2" w:rsidRPr="002210B3" w:rsidRDefault="000A62A2" w:rsidP="000A62A2">
            <w:pPr>
              <w:pStyle w:val="Tabletext"/>
              <w:spacing w:before="80" w:after="80"/>
              <w:rPr>
                <w:b/>
                <w:sz w:val="16"/>
                <w:szCs w:val="16"/>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448C3B9E" w14:textId="77777777" w:rsidR="000A62A2" w:rsidRPr="002210B3" w:rsidRDefault="000A62A2" w:rsidP="000A62A2">
            <w:pPr>
              <w:pStyle w:val="Tabletext"/>
              <w:spacing w:before="80" w:after="80"/>
              <w:rPr>
                <w:b/>
                <w:sz w:val="16"/>
                <w:szCs w:val="16"/>
              </w:rPr>
            </w:pPr>
          </w:p>
        </w:tc>
        <w:tc>
          <w:tcPr>
            <w:tcW w:w="63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2D7FB42" w14:textId="77777777" w:rsidR="000A62A2" w:rsidRPr="002210B3" w:rsidRDefault="000A62A2" w:rsidP="000A62A2">
            <w:pPr>
              <w:pStyle w:val="Tabletext"/>
              <w:spacing w:before="80" w:after="80"/>
              <w:rPr>
                <w:b/>
                <w:sz w:val="16"/>
                <w:szCs w:val="16"/>
              </w:rPr>
            </w:pP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2CEEB2B" w14:textId="77777777" w:rsidR="000A62A2" w:rsidRPr="002210B3" w:rsidRDefault="000A62A2" w:rsidP="000A62A2">
            <w:pPr>
              <w:pStyle w:val="Tabletext"/>
              <w:spacing w:before="80" w:after="80"/>
              <w:rPr>
                <w:b/>
                <w:sz w:val="16"/>
                <w:szCs w:val="16"/>
              </w:rPr>
            </w:pPr>
          </w:p>
        </w:tc>
        <w:tc>
          <w:tcPr>
            <w:tcW w:w="11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720A272" w14:textId="77777777" w:rsidR="000A62A2" w:rsidRPr="002210B3" w:rsidRDefault="000A62A2" w:rsidP="000A62A2">
            <w:pPr>
              <w:pStyle w:val="Tabletext"/>
              <w:spacing w:before="80" w:after="80"/>
              <w:rPr>
                <w:b/>
                <w:sz w:val="16"/>
                <w:szCs w:val="16"/>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5A04B060" w14:textId="77777777" w:rsidR="000A62A2" w:rsidRPr="002210B3" w:rsidRDefault="000A62A2" w:rsidP="000A62A2">
            <w:pPr>
              <w:pStyle w:val="Tabletext"/>
              <w:spacing w:before="80" w:after="80"/>
              <w:rPr>
                <w:b/>
                <w:sz w:val="16"/>
                <w:szCs w:val="16"/>
              </w:rPr>
            </w:pP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EF3F3A" w14:textId="77777777" w:rsidR="000A62A2" w:rsidRPr="002210B3" w:rsidRDefault="000A62A2" w:rsidP="000A62A2">
            <w:pPr>
              <w:pStyle w:val="Tabletext"/>
              <w:spacing w:before="80" w:after="80"/>
              <w:rPr>
                <w:b/>
                <w:sz w:val="16"/>
                <w:szCs w:val="16"/>
              </w:rPr>
            </w:pPr>
          </w:p>
        </w:tc>
      </w:tr>
      <w:tr w:rsidR="000A62A2" w:rsidRPr="002210B3" w14:paraId="5E815F7B" w14:textId="77777777" w:rsidTr="000A62A2">
        <w:trPr>
          <w:trHeight w:val="402"/>
          <w:jc w:val="center"/>
        </w:trPr>
        <w:tc>
          <w:tcPr>
            <w:tcW w:w="2399" w:type="dxa"/>
            <w:tcBorders>
              <w:top w:val="single" w:sz="6" w:space="0" w:color="auto"/>
              <w:left w:val="single" w:sz="6" w:space="0" w:color="auto"/>
              <w:bottom w:val="single" w:sz="6" w:space="0" w:color="auto"/>
            </w:tcBorders>
            <w:vAlign w:val="center"/>
          </w:tcPr>
          <w:p w14:paraId="7B1AEE8D"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Conventional PCR</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533E80CC" w14:textId="77777777" w:rsidR="000A62A2" w:rsidRPr="002210B3" w:rsidRDefault="000A62A2" w:rsidP="000A62A2">
            <w:pPr>
              <w:pStyle w:val="TableHead"/>
              <w:spacing w:before="80" w:after="80"/>
              <w:rPr>
                <w:rFonts w:ascii="Arial" w:hAnsi="Arial" w:cs="Arial"/>
                <w:sz w:val="16"/>
                <w:szCs w:val="16"/>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1FDFE967" w14:textId="77777777" w:rsidR="000A62A2" w:rsidRPr="002210B3" w:rsidRDefault="000A62A2" w:rsidP="000A62A2">
            <w:pPr>
              <w:pStyle w:val="TableHead"/>
              <w:spacing w:before="80" w:after="80"/>
              <w:rPr>
                <w:rFonts w:ascii="Arial" w:hAnsi="Arial" w:cs="Arial"/>
                <w:sz w:val="16"/>
                <w:szCs w:val="16"/>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6C09DF58" w14:textId="77777777" w:rsidR="000A62A2" w:rsidRPr="002210B3" w:rsidRDefault="000A62A2" w:rsidP="000A62A2">
            <w:pPr>
              <w:pStyle w:val="TableHead"/>
              <w:spacing w:before="80" w:after="80"/>
              <w:rPr>
                <w:rFonts w:ascii="Arial" w:hAnsi="Arial" w:cs="Arial"/>
                <w:sz w:val="16"/>
                <w:szCs w:val="16"/>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1CA2562" w14:textId="77777777" w:rsidR="000A62A2" w:rsidRPr="002210B3" w:rsidRDefault="000A62A2" w:rsidP="000A62A2">
            <w:pPr>
              <w:pStyle w:val="TableHead"/>
              <w:spacing w:before="80" w:after="80"/>
              <w:rPr>
                <w:rFonts w:ascii="Arial" w:hAnsi="Arial" w:cs="Arial"/>
                <w:sz w:val="16"/>
                <w:szCs w:val="16"/>
              </w:rPr>
            </w:pP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53090887" w14:textId="77777777" w:rsidR="000A62A2" w:rsidRPr="002210B3" w:rsidRDefault="000A62A2" w:rsidP="000A62A2">
            <w:pPr>
              <w:pStyle w:val="Tabletext"/>
              <w:spacing w:before="80" w:after="80"/>
              <w:rPr>
                <w:b/>
                <w:sz w:val="16"/>
                <w:szCs w:val="16"/>
              </w:rPr>
            </w:pPr>
          </w:p>
        </w:tc>
        <w:tc>
          <w:tcPr>
            <w:tcW w:w="993" w:type="dxa"/>
            <w:tcBorders>
              <w:top w:val="single" w:sz="6" w:space="0" w:color="auto"/>
              <w:left w:val="single" w:sz="6" w:space="0" w:color="auto"/>
              <w:bottom w:val="single" w:sz="6" w:space="0" w:color="auto"/>
            </w:tcBorders>
            <w:shd w:val="clear" w:color="auto" w:fill="D9D9D9" w:themeFill="background1" w:themeFillShade="D9"/>
            <w:vAlign w:val="center"/>
          </w:tcPr>
          <w:p w14:paraId="1C98FA69" w14:textId="77777777" w:rsidR="000A62A2" w:rsidRPr="002210B3" w:rsidRDefault="000A62A2" w:rsidP="000A62A2">
            <w:pPr>
              <w:pStyle w:val="Tabletext"/>
              <w:spacing w:before="80" w:after="80"/>
              <w:rPr>
                <w:b/>
                <w:sz w:val="16"/>
                <w:szCs w:val="16"/>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33CB600B" w14:textId="77777777" w:rsidR="000A62A2" w:rsidRPr="002210B3" w:rsidRDefault="000A62A2" w:rsidP="000A62A2">
            <w:pPr>
              <w:pStyle w:val="Tabletext"/>
              <w:spacing w:before="80" w:after="80"/>
              <w:rPr>
                <w:b/>
                <w:sz w:val="16"/>
                <w:szCs w:val="16"/>
              </w:rPr>
            </w:pPr>
          </w:p>
        </w:tc>
        <w:tc>
          <w:tcPr>
            <w:tcW w:w="63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C304DEE" w14:textId="77777777" w:rsidR="000A62A2" w:rsidRPr="002210B3" w:rsidRDefault="000A62A2" w:rsidP="000A62A2">
            <w:pPr>
              <w:pStyle w:val="Tabletext"/>
              <w:spacing w:before="80" w:after="80"/>
              <w:rPr>
                <w:b/>
                <w:sz w:val="16"/>
                <w:szCs w:val="16"/>
              </w:rPr>
            </w:pP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42A6554" w14:textId="77777777" w:rsidR="000A62A2" w:rsidRPr="002210B3" w:rsidRDefault="000A62A2" w:rsidP="000A62A2">
            <w:pPr>
              <w:pStyle w:val="Tabletext"/>
              <w:spacing w:before="80" w:after="80"/>
              <w:rPr>
                <w:b/>
                <w:sz w:val="16"/>
                <w:szCs w:val="16"/>
              </w:rPr>
            </w:pPr>
          </w:p>
        </w:tc>
        <w:tc>
          <w:tcPr>
            <w:tcW w:w="1100" w:type="dxa"/>
            <w:tcBorders>
              <w:top w:val="single" w:sz="6" w:space="0" w:color="auto"/>
              <w:left w:val="single" w:sz="6" w:space="0" w:color="auto"/>
              <w:bottom w:val="single" w:sz="6" w:space="0" w:color="auto"/>
              <w:right w:val="single" w:sz="6" w:space="0" w:color="auto"/>
            </w:tcBorders>
            <w:shd w:val="clear" w:color="auto" w:fill="auto"/>
            <w:vAlign w:val="center"/>
          </w:tcPr>
          <w:p w14:paraId="697DEE07" w14:textId="77777777" w:rsidR="000A62A2" w:rsidRPr="003858FC" w:rsidRDefault="000A62A2" w:rsidP="000A62A2">
            <w:pPr>
              <w:pStyle w:val="Tabletext"/>
              <w:spacing w:before="80" w:after="80"/>
              <w:rPr>
                <w:bCs w:val="0"/>
                <w:sz w:val="16"/>
                <w:szCs w:val="16"/>
              </w:rPr>
            </w:pPr>
            <w:r w:rsidRPr="003858FC">
              <w:rPr>
                <w:bCs w:val="0"/>
                <w:sz w:val="16"/>
                <w:szCs w:val="16"/>
              </w:rPr>
              <w:t>++</w:t>
            </w:r>
          </w:p>
        </w:tc>
        <w:tc>
          <w:tcPr>
            <w:tcW w:w="992" w:type="dxa"/>
            <w:tcBorders>
              <w:top w:val="single" w:sz="6" w:space="0" w:color="auto"/>
              <w:left w:val="single" w:sz="6" w:space="0" w:color="auto"/>
              <w:bottom w:val="single" w:sz="6" w:space="0" w:color="auto"/>
            </w:tcBorders>
            <w:shd w:val="clear" w:color="auto" w:fill="auto"/>
            <w:vAlign w:val="center"/>
          </w:tcPr>
          <w:p w14:paraId="1F216A52" w14:textId="77777777" w:rsidR="000A62A2" w:rsidRPr="003858FC" w:rsidRDefault="000A62A2" w:rsidP="000A62A2">
            <w:pPr>
              <w:pStyle w:val="Tabletext"/>
              <w:spacing w:before="80" w:after="80"/>
              <w:rPr>
                <w:bCs w:val="0"/>
                <w:sz w:val="16"/>
                <w:szCs w:val="16"/>
              </w:rPr>
            </w:pPr>
            <w:r w:rsidRPr="003858FC">
              <w:rPr>
                <w:bCs w:val="0"/>
                <w:sz w:val="16"/>
                <w:szCs w:val="16"/>
              </w:rPr>
              <w:t>++</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14:paraId="5FF89538" w14:textId="77777777" w:rsidR="000A62A2" w:rsidRPr="003858FC" w:rsidRDefault="000A62A2" w:rsidP="000A62A2">
            <w:pPr>
              <w:pStyle w:val="Tabletext"/>
              <w:spacing w:before="80" w:after="80"/>
              <w:rPr>
                <w:bCs w:val="0"/>
                <w:sz w:val="16"/>
                <w:szCs w:val="16"/>
              </w:rPr>
            </w:pPr>
            <w:r w:rsidRPr="003858FC">
              <w:rPr>
                <w:bCs w:val="0"/>
                <w:sz w:val="16"/>
                <w:szCs w:val="16"/>
              </w:rPr>
              <w:t>2</w:t>
            </w:r>
          </w:p>
        </w:tc>
      </w:tr>
      <w:tr w:rsidR="000A62A2" w:rsidRPr="002210B3" w14:paraId="7337905C" w14:textId="77777777" w:rsidTr="000A62A2">
        <w:trPr>
          <w:trHeight w:val="402"/>
          <w:jc w:val="center"/>
        </w:trPr>
        <w:tc>
          <w:tcPr>
            <w:tcW w:w="2399" w:type="dxa"/>
            <w:tcBorders>
              <w:top w:val="single" w:sz="6" w:space="0" w:color="auto"/>
              <w:left w:val="single" w:sz="6" w:space="0" w:color="auto"/>
              <w:bottom w:val="single" w:sz="6" w:space="0" w:color="auto"/>
            </w:tcBorders>
            <w:vAlign w:val="center"/>
          </w:tcPr>
          <w:p w14:paraId="2438DF3B"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Amplicon sequencing</w:t>
            </w:r>
            <w:r w:rsidRPr="002210B3">
              <w:rPr>
                <w:rFonts w:ascii="Arial" w:hAnsi="Arial" w:cs="Arial"/>
                <w:sz w:val="16"/>
                <w:szCs w:val="16"/>
                <w:vertAlign w:val="superscript"/>
              </w:rPr>
              <w:t>4</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34D8A357" w14:textId="77777777" w:rsidR="000A62A2" w:rsidRPr="002210B3" w:rsidRDefault="000A62A2" w:rsidP="000A62A2">
            <w:pPr>
              <w:pStyle w:val="TableHead"/>
              <w:spacing w:before="80" w:after="80"/>
              <w:rPr>
                <w:rFonts w:ascii="Arial" w:hAnsi="Arial" w:cs="Arial"/>
                <w:sz w:val="16"/>
                <w:szCs w:val="16"/>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75FF1054" w14:textId="77777777" w:rsidR="000A62A2" w:rsidRPr="002210B3" w:rsidRDefault="000A62A2" w:rsidP="000A62A2">
            <w:pPr>
              <w:pStyle w:val="TableHead"/>
              <w:spacing w:before="80" w:after="80"/>
              <w:rPr>
                <w:rFonts w:ascii="Arial" w:hAnsi="Arial" w:cs="Arial"/>
                <w:sz w:val="16"/>
                <w:szCs w:val="16"/>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55224A8B" w14:textId="77777777" w:rsidR="000A62A2" w:rsidRPr="002210B3" w:rsidRDefault="000A62A2" w:rsidP="000A62A2">
            <w:pPr>
              <w:pStyle w:val="TableHead"/>
              <w:spacing w:before="80" w:after="80"/>
              <w:rPr>
                <w:rFonts w:ascii="Arial" w:hAnsi="Arial" w:cs="Arial"/>
                <w:sz w:val="16"/>
                <w:szCs w:val="16"/>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F92A338" w14:textId="77777777" w:rsidR="000A62A2" w:rsidRPr="002210B3" w:rsidRDefault="000A62A2" w:rsidP="000A62A2">
            <w:pPr>
              <w:pStyle w:val="TableHead"/>
              <w:spacing w:before="80" w:after="80"/>
              <w:rPr>
                <w:rFonts w:ascii="Arial" w:hAnsi="Arial" w:cs="Arial"/>
                <w:sz w:val="16"/>
                <w:szCs w:val="16"/>
              </w:rPr>
            </w:pP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578C6453" w14:textId="77777777" w:rsidR="000A62A2" w:rsidRPr="002210B3" w:rsidRDefault="000A62A2" w:rsidP="000A62A2">
            <w:pPr>
              <w:pStyle w:val="Tabletext"/>
              <w:spacing w:before="80" w:after="80"/>
              <w:rPr>
                <w:b/>
                <w:sz w:val="16"/>
                <w:szCs w:val="16"/>
              </w:rPr>
            </w:pPr>
          </w:p>
        </w:tc>
        <w:tc>
          <w:tcPr>
            <w:tcW w:w="993" w:type="dxa"/>
            <w:tcBorders>
              <w:top w:val="single" w:sz="6" w:space="0" w:color="auto"/>
              <w:left w:val="single" w:sz="6" w:space="0" w:color="auto"/>
              <w:bottom w:val="single" w:sz="6" w:space="0" w:color="auto"/>
            </w:tcBorders>
            <w:shd w:val="clear" w:color="auto" w:fill="D9D9D9" w:themeFill="background1" w:themeFillShade="D9"/>
            <w:vAlign w:val="center"/>
          </w:tcPr>
          <w:p w14:paraId="3FF19AD8" w14:textId="77777777" w:rsidR="000A62A2" w:rsidRPr="002210B3" w:rsidRDefault="000A62A2" w:rsidP="000A62A2">
            <w:pPr>
              <w:pStyle w:val="Tabletext"/>
              <w:spacing w:before="80" w:after="80"/>
              <w:rPr>
                <w:b/>
                <w:sz w:val="16"/>
                <w:szCs w:val="16"/>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32CE3061" w14:textId="77777777" w:rsidR="000A62A2" w:rsidRPr="002210B3" w:rsidRDefault="000A62A2" w:rsidP="000A62A2">
            <w:pPr>
              <w:pStyle w:val="Tabletext"/>
              <w:spacing w:before="80" w:after="80"/>
              <w:rPr>
                <w:b/>
                <w:sz w:val="16"/>
                <w:szCs w:val="16"/>
              </w:rPr>
            </w:pPr>
          </w:p>
        </w:tc>
        <w:tc>
          <w:tcPr>
            <w:tcW w:w="63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B22BFE6" w14:textId="77777777" w:rsidR="000A62A2" w:rsidRPr="002210B3" w:rsidRDefault="000A62A2" w:rsidP="000A62A2">
            <w:pPr>
              <w:pStyle w:val="Tabletext"/>
              <w:spacing w:before="80" w:after="80"/>
              <w:rPr>
                <w:b/>
                <w:sz w:val="16"/>
                <w:szCs w:val="16"/>
              </w:rPr>
            </w:pP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F28990B" w14:textId="77777777" w:rsidR="000A62A2" w:rsidRPr="002210B3" w:rsidRDefault="000A62A2" w:rsidP="000A62A2">
            <w:pPr>
              <w:pStyle w:val="Tabletext"/>
              <w:spacing w:before="80" w:after="80"/>
              <w:rPr>
                <w:b/>
                <w:sz w:val="16"/>
                <w:szCs w:val="16"/>
              </w:rPr>
            </w:pPr>
          </w:p>
        </w:tc>
        <w:tc>
          <w:tcPr>
            <w:tcW w:w="1100" w:type="dxa"/>
            <w:tcBorders>
              <w:top w:val="single" w:sz="6" w:space="0" w:color="auto"/>
              <w:left w:val="single" w:sz="6" w:space="0" w:color="auto"/>
              <w:bottom w:val="single" w:sz="6" w:space="0" w:color="auto"/>
              <w:right w:val="single" w:sz="6" w:space="0" w:color="auto"/>
            </w:tcBorders>
            <w:vAlign w:val="center"/>
          </w:tcPr>
          <w:p w14:paraId="03842792" w14:textId="77777777" w:rsidR="000A62A2" w:rsidRPr="003858FC" w:rsidRDefault="000A62A2" w:rsidP="000A62A2">
            <w:pPr>
              <w:pStyle w:val="Tabletext"/>
              <w:spacing w:before="80" w:after="80"/>
              <w:rPr>
                <w:bCs w:val="0"/>
                <w:sz w:val="16"/>
                <w:szCs w:val="16"/>
              </w:rPr>
            </w:pPr>
            <w:r w:rsidRPr="003858FC">
              <w:rPr>
                <w:bCs w:val="0"/>
                <w:sz w:val="16"/>
                <w:szCs w:val="16"/>
              </w:rPr>
              <w:t>++</w:t>
            </w:r>
          </w:p>
        </w:tc>
        <w:tc>
          <w:tcPr>
            <w:tcW w:w="992" w:type="dxa"/>
            <w:tcBorders>
              <w:top w:val="single" w:sz="6" w:space="0" w:color="auto"/>
              <w:left w:val="single" w:sz="6" w:space="0" w:color="auto"/>
              <w:bottom w:val="single" w:sz="6" w:space="0" w:color="auto"/>
            </w:tcBorders>
            <w:vAlign w:val="center"/>
          </w:tcPr>
          <w:p w14:paraId="7FEEC727" w14:textId="77777777" w:rsidR="000A62A2" w:rsidRPr="003858FC" w:rsidRDefault="000A62A2" w:rsidP="000A62A2">
            <w:pPr>
              <w:pStyle w:val="Tabletext"/>
              <w:spacing w:before="80" w:after="80"/>
              <w:rPr>
                <w:bCs w:val="0"/>
                <w:sz w:val="16"/>
                <w:szCs w:val="16"/>
              </w:rPr>
            </w:pPr>
            <w:r w:rsidRPr="003858FC">
              <w:rPr>
                <w:bCs w:val="0"/>
                <w:sz w:val="16"/>
                <w:szCs w:val="16"/>
              </w:rPr>
              <w:t>++</w:t>
            </w:r>
          </w:p>
        </w:tc>
        <w:tc>
          <w:tcPr>
            <w:tcW w:w="709" w:type="dxa"/>
            <w:tcBorders>
              <w:top w:val="single" w:sz="6" w:space="0" w:color="auto"/>
              <w:left w:val="single" w:sz="6" w:space="0" w:color="auto"/>
              <w:bottom w:val="single" w:sz="6" w:space="0" w:color="auto"/>
              <w:right w:val="single" w:sz="6" w:space="0" w:color="auto"/>
            </w:tcBorders>
            <w:vAlign w:val="center"/>
          </w:tcPr>
          <w:p w14:paraId="065B2F70" w14:textId="77777777" w:rsidR="000A62A2" w:rsidRPr="003858FC" w:rsidRDefault="000A62A2" w:rsidP="000A62A2">
            <w:pPr>
              <w:pStyle w:val="Tabletext"/>
              <w:spacing w:before="80" w:after="80"/>
              <w:rPr>
                <w:bCs w:val="0"/>
                <w:sz w:val="16"/>
                <w:szCs w:val="16"/>
              </w:rPr>
            </w:pPr>
            <w:r w:rsidRPr="003858FC">
              <w:rPr>
                <w:bCs w:val="0"/>
                <w:sz w:val="16"/>
                <w:szCs w:val="16"/>
              </w:rPr>
              <w:t>2</w:t>
            </w:r>
          </w:p>
        </w:tc>
      </w:tr>
      <w:tr w:rsidR="000A62A2" w:rsidRPr="002210B3" w14:paraId="346A37E5" w14:textId="77777777" w:rsidTr="000A62A2">
        <w:trPr>
          <w:trHeight w:val="402"/>
          <w:jc w:val="center"/>
        </w:trPr>
        <w:tc>
          <w:tcPr>
            <w:tcW w:w="2399" w:type="dxa"/>
            <w:tcBorders>
              <w:top w:val="single" w:sz="6" w:space="0" w:color="auto"/>
              <w:left w:val="single" w:sz="6" w:space="0" w:color="auto"/>
            </w:tcBorders>
            <w:vAlign w:val="center"/>
          </w:tcPr>
          <w:p w14:paraId="35AA0DDD" w14:textId="77777777" w:rsidR="000A62A2" w:rsidRPr="002210B3" w:rsidRDefault="000A62A2" w:rsidP="000A62A2">
            <w:pPr>
              <w:pStyle w:val="TableHead"/>
              <w:spacing w:before="80" w:after="80"/>
              <w:rPr>
                <w:rFonts w:ascii="Arial" w:hAnsi="Arial" w:cs="Arial"/>
                <w:sz w:val="16"/>
                <w:szCs w:val="16"/>
              </w:rPr>
            </w:pPr>
            <w:r w:rsidRPr="003858FC">
              <w:rPr>
                <w:rFonts w:ascii="Arial" w:hAnsi="Arial" w:cs="Arial"/>
                <w:i/>
                <w:iCs/>
                <w:sz w:val="16"/>
                <w:szCs w:val="16"/>
              </w:rPr>
              <w:t>In-situ</w:t>
            </w:r>
            <w:r w:rsidRPr="002210B3">
              <w:rPr>
                <w:rFonts w:ascii="Arial" w:hAnsi="Arial" w:cs="Arial"/>
                <w:sz w:val="16"/>
                <w:szCs w:val="16"/>
              </w:rPr>
              <w:t xml:space="preserve"> hybridisation</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57E29540" w14:textId="77777777" w:rsidR="000A62A2" w:rsidRPr="002210B3" w:rsidRDefault="000A62A2" w:rsidP="000A62A2">
            <w:pPr>
              <w:pStyle w:val="TableHead"/>
              <w:spacing w:before="80" w:after="80"/>
              <w:rPr>
                <w:rFonts w:ascii="Arial" w:hAnsi="Arial" w:cs="Arial"/>
                <w:sz w:val="16"/>
                <w:szCs w:val="16"/>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2A849A68" w14:textId="77777777" w:rsidR="000A62A2" w:rsidRPr="002210B3" w:rsidRDefault="000A62A2" w:rsidP="000A62A2">
            <w:pPr>
              <w:pStyle w:val="TableHead"/>
              <w:spacing w:before="80" w:after="80"/>
              <w:rPr>
                <w:rFonts w:ascii="Arial" w:hAnsi="Arial" w:cs="Arial"/>
                <w:sz w:val="16"/>
                <w:szCs w:val="16"/>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3C245FAC" w14:textId="77777777" w:rsidR="000A62A2" w:rsidRPr="002210B3" w:rsidRDefault="000A62A2" w:rsidP="000A62A2">
            <w:pPr>
              <w:pStyle w:val="TableHead"/>
              <w:spacing w:before="80" w:after="80"/>
              <w:rPr>
                <w:rFonts w:ascii="Arial" w:hAnsi="Arial" w:cs="Arial"/>
                <w:sz w:val="16"/>
                <w:szCs w:val="16"/>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A7725CB" w14:textId="77777777" w:rsidR="000A62A2" w:rsidRPr="002210B3" w:rsidRDefault="000A62A2" w:rsidP="000A62A2">
            <w:pPr>
              <w:pStyle w:val="TableHead"/>
              <w:spacing w:before="80" w:after="80"/>
              <w:rPr>
                <w:rFonts w:ascii="Arial" w:hAnsi="Arial" w:cs="Arial"/>
                <w:sz w:val="16"/>
                <w:szCs w:val="16"/>
              </w:rPr>
            </w:pPr>
          </w:p>
        </w:tc>
        <w:tc>
          <w:tcPr>
            <w:tcW w:w="995" w:type="dxa"/>
            <w:tcBorders>
              <w:top w:val="single" w:sz="6" w:space="0" w:color="auto"/>
              <w:left w:val="single" w:sz="6" w:space="0" w:color="auto"/>
            </w:tcBorders>
            <w:shd w:val="clear" w:color="auto" w:fill="D9D9D9" w:themeFill="background1" w:themeFillShade="D9"/>
            <w:vAlign w:val="center"/>
          </w:tcPr>
          <w:p w14:paraId="27F1D48F" w14:textId="77777777" w:rsidR="000A62A2" w:rsidRPr="002210B3" w:rsidRDefault="000A62A2" w:rsidP="000A62A2">
            <w:pPr>
              <w:pStyle w:val="Tabletext"/>
              <w:spacing w:before="80" w:after="80"/>
              <w:rPr>
                <w:b/>
                <w:sz w:val="16"/>
                <w:szCs w:val="16"/>
              </w:rPr>
            </w:pPr>
          </w:p>
        </w:tc>
        <w:tc>
          <w:tcPr>
            <w:tcW w:w="993" w:type="dxa"/>
            <w:tcBorders>
              <w:top w:val="single" w:sz="6" w:space="0" w:color="auto"/>
              <w:left w:val="single" w:sz="6" w:space="0" w:color="auto"/>
            </w:tcBorders>
            <w:shd w:val="clear" w:color="auto" w:fill="D9D9D9" w:themeFill="background1" w:themeFillShade="D9"/>
            <w:vAlign w:val="center"/>
          </w:tcPr>
          <w:p w14:paraId="03743670" w14:textId="77777777" w:rsidR="000A62A2" w:rsidRPr="002210B3" w:rsidRDefault="000A62A2" w:rsidP="000A62A2">
            <w:pPr>
              <w:pStyle w:val="Tabletext"/>
              <w:spacing w:before="80" w:after="80"/>
              <w:rPr>
                <w:b/>
                <w:sz w:val="16"/>
                <w:szCs w:val="16"/>
              </w:rPr>
            </w:pPr>
          </w:p>
        </w:tc>
        <w:tc>
          <w:tcPr>
            <w:tcW w:w="708" w:type="dxa"/>
            <w:tcBorders>
              <w:top w:val="single" w:sz="6" w:space="0" w:color="auto"/>
              <w:left w:val="single" w:sz="6" w:space="0" w:color="auto"/>
            </w:tcBorders>
            <w:shd w:val="clear" w:color="auto" w:fill="D9D9D9" w:themeFill="background1" w:themeFillShade="D9"/>
            <w:vAlign w:val="center"/>
          </w:tcPr>
          <w:p w14:paraId="1C591AEA" w14:textId="77777777" w:rsidR="000A62A2" w:rsidRPr="002210B3" w:rsidRDefault="000A62A2" w:rsidP="000A62A2">
            <w:pPr>
              <w:pStyle w:val="Tabletext"/>
              <w:spacing w:before="80" w:after="80"/>
              <w:rPr>
                <w:b/>
                <w:sz w:val="16"/>
                <w:szCs w:val="16"/>
              </w:rPr>
            </w:pPr>
          </w:p>
        </w:tc>
        <w:tc>
          <w:tcPr>
            <w:tcW w:w="631" w:type="dxa"/>
            <w:tcBorders>
              <w:top w:val="single" w:sz="6" w:space="0" w:color="auto"/>
              <w:left w:val="single" w:sz="6" w:space="0" w:color="auto"/>
              <w:right w:val="single" w:sz="6" w:space="0" w:color="auto"/>
            </w:tcBorders>
            <w:shd w:val="clear" w:color="auto" w:fill="D9D9D9" w:themeFill="background1" w:themeFillShade="D9"/>
            <w:vAlign w:val="center"/>
          </w:tcPr>
          <w:p w14:paraId="216A4DA3" w14:textId="77777777" w:rsidR="000A62A2" w:rsidRPr="002210B3" w:rsidRDefault="000A62A2" w:rsidP="000A62A2">
            <w:pPr>
              <w:pStyle w:val="Tabletext"/>
              <w:spacing w:before="80" w:after="80"/>
              <w:rPr>
                <w:b/>
                <w:sz w:val="16"/>
                <w:szCs w:val="16"/>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06313CC3" w14:textId="77777777" w:rsidR="000A62A2" w:rsidRPr="002210B3" w:rsidRDefault="000A62A2" w:rsidP="000A62A2">
            <w:pPr>
              <w:pStyle w:val="Tabletext"/>
              <w:spacing w:before="80" w:after="80"/>
              <w:rPr>
                <w:b/>
                <w:sz w:val="16"/>
                <w:szCs w:val="16"/>
              </w:rPr>
            </w:pPr>
          </w:p>
        </w:tc>
        <w:tc>
          <w:tcPr>
            <w:tcW w:w="1100" w:type="dxa"/>
            <w:tcBorders>
              <w:top w:val="single" w:sz="6" w:space="0" w:color="auto"/>
              <w:left w:val="single" w:sz="6" w:space="0" w:color="auto"/>
              <w:right w:val="single" w:sz="6" w:space="0" w:color="auto"/>
            </w:tcBorders>
            <w:shd w:val="clear" w:color="auto" w:fill="D9D9D9" w:themeFill="background1" w:themeFillShade="D9"/>
            <w:vAlign w:val="center"/>
          </w:tcPr>
          <w:p w14:paraId="29F4B073" w14:textId="77777777" w:rsidR="000A62A2" w:rsidRPr="002210B3" w:rsidRDefault="000A62A2" w:rsidP="000A62A2">
            <w:pPr>
              <w:pStyle w:val="Tabletext"/>
              <w:spacing w:before="80" w:after="80"/>
              <w:rPr>
                <w:b/>
                <w:sz w:val="16"/>
                <w:szCs w:val="16"/>
              </w:rPr>
            </w:pPr>
          </w:p>
        </w:tc>
        <w:tc>
          <w:tcPr>
            <w:tcW w:w="992" w:type="dxa"/>
            <w:tcBorders>
              <w:top w:val="single" w:sz="6" w:space="0" w:color="auto"/>
              <w:left w:val="single" w:sz="6" w:space="0" w:color="auto"/>
            </w:tcBorders>
            <w:shd w:val="clear" w:color="auto" w:fill="D9D9D9" w:themeFill="background1" w:themeFillShade="D9"/>
            <w:vAlign w:val="center"/>
          </w:tcPr>
          <w:p w14:paraId="2B21FAAE" w14:textId="77777777" w:rsidR="000A62A2" w:rsidRPr="002210B3" w:rsidRDefault="000A62A2" w:rsidP="000A62A2">
            <w:pPr>
              <w:pStyle w:val="Tabletext"/>
              <w:spacing w:before="80" w:after="80"/>
              <w:rPr>
                <w:b/>
                <w:sz w:val="16"/>
                <w:szCs w:val="16"/>
              </w:rPr>
            </w:pPr>
          </w:p>
        </w:tc>
        <w:tc>
          <w:tcPr>
            <w:tcW w:w="709" w:type="dxa"/>
            <w:tcBorders>
              <w:top w:val="single" w:sz="6" w:space="0" w:color="auto"/>
              <w:left w:val="single" w:sz="6" w:space="0" w:color="auto"/>
              <w:right w:val="single" w:sz="6" w:space="0" w:color="auto"/>
            </w:tcBorders>
            <w:shd w:val="clear" w:color="auto" w:fill="D9D9D9" w:themeFill="background1" w:themeFillShade="D9"/>
            <w:vAlign w:val="center"/>
          </w:tcPr>
          <w:p w14:paraId="519AA2F3" w14:textId="77777777" w:rsidR="000A62A2" w:rsidRPr="002210B3" w:rsidRDefault="000A62A2" w:rsidP="000A62A2">
            <w:pPr>
              <w:pStyle w:val="Tabletext"/>
              <w:spacing w:before="80" w:after="80"/>
              <w:rPr>
                <w:b/>
                <w:sz w:val="16"/>
                <w:szCs w:val="16"/>
              </w:rPr>
            </w:pPr>
          </w:p>
        </w:tc>
      </w:tr>
      <w:tr w:rsidR="000A62A2" w:rsidRPr="002210B3" w14:paraId="27C2D762" w14:textId="77777777" w:rsidTr="000A62A2">
        <w:trPr>
          <w:trHeight w:val="402"/>
          <w:jc w:val="center"/>
        </w:trPr>
        <w:tc>
          <w:tcPr>
            <w:tcW w:w="2399" w:type="dxa"/>
            <w:tcBorders>
              <w:top w:val="single" w:sz="6" w:space="0" w:color="auto"/>
              <w:left w:val="single" w:sz="6" w:space="0" w:color="auto"/>
            </w:tcBorders>
            <w:vAlign w:val="center"/>
          </w:tcPr>
          <w:p w14:paraId="69EF0A14"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Bioassay</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1262A2D2" w14:textId="77777777" w:rsidR="000A62A2" w:rsidRPr="002210B3" w:rsidRDefault="000A62A2" w:rsidP="000A62A2">
            <w:pPr>
              <w:pStyle w:val="TableHead"/>
              <w:spacing w:before="80" w:after="80"/>
              <w:rPr>
                <w:rFonts w:ascii="Arial" w:hAnsi="Arial" w:cs="Arial"/>
                <w:sz w:val="16"/>
                <w:szCs w:val="16"/>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6D0D07EF" w14:textId="77777777" w:rsidR="000A62A2" w:rsidRPr="002210B3" w:rsidRDefault="000A62A2" w:rsidP="000A62A2">
            <w:pPr>
              <w:pStyle w:val="TableHead"/>
              <w:spacing w:before="80" w:after="80"/>
              <w:rPr>
                <w:rFonts w:ascii="Arial" w:hAnsi="Arial" w:cs="Arial"/>
                <w:sz w:val="16"/>
                <w:szCs w:val="16"/>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27F65E20" w14:textId="77777777" w:rsidR="000A62A2" w:rsidRPr="002210B3" w:rsidRDefault="000A62A2" w:rsidP="000A62A2">
            <w:pPr>
              <w:pStyle w:val="TableHead"/>
              <w:spacing w:before="80" w:after="80"/>
              <w:rPr>
                <w:rFonts w:ascii="Arial" w:hAnsi="Arial" w:cs="Arial"/>
                <w:sz w:val="16"/>
                <w:szCs w:val="16"/>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185C6AB" w14:textId="77777777" w:rsidR="000A62A2" w:rsidRPr="002210B3" w:rsidRDefault="000A62A2" w:rsidP="000A62A2">
            <w:pPr>
              <w:pStyle w:val="TableHead"/>
              <w:spacing w:before="80" w:after="80"/>
              <w:rPr>
                <w:rFonts w:ascii="Arial" w:hAnsi="Arial" w:cs="Arial"/>
                <w:sz w:val="16"/>
                <w:szCs w:val="16"/>
              </w:rPr>
            </w:pP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74236E2D" w14:textId="77777777" w:rsidR="000A62A2" w:rsidRPr="002210B3" w:rsidRDefault="000A62A2" w:rsidP="000A62A2">
            <w:pPr>
              <w:pStyle w:val="Tabletext"/>
              <w:spacing w:before="80" w:after="80"/>
              <w:rPr>
                <w:b/>
                <w:sz w:val="16"/>
                <w:szCs w:val="16"/>
              </w:rPr>
            </w:pPr>
          </w:p>
        </w:tc>
        <w:tc>
          <w:tcPr>
            <w:tcW w:w="993" w:type="dxa"/>
            <w:tcBorders>
              <w:top w:val="single" w:sz="6" w:space="0" w:color="auto"/>
              <w:left w:val="single" w:sz="6" w:space="0" w:color="auto"/>
            </w:tcBorders>
            <w:shd w:val="clear" w:color="auto" w:fill="D9D9D9" w:themeFill="background1" w:themeFillShade="D9"/>
            <w:vAlign w:val="center"/>
          </w:tcPr>
          <w:p w14:paraId="0E46AF4F" w14:textId="77777777" w:rsidR="000A62A2" w:rsidRPr="002210B3" w:rsidRDefault="000A62A2" w:rsidP="000A62A2">
            <w:pPr>
              <w:pStyle w:val="Tabletext"/>
              <w:spacing w:before="80" w:after="80"/>
              <w:rPr>
                <w:b/>
                <w:sz w:val="16"/>
                <w:szCs w:val="16"/>
              </w:rPr>
            </w:pPr>
          </w:p>
        </w:tc>
        <w:tc>
          <w:tcPr>
            <w:tcW w:w="708" w:type="dxa"/>
            <w:tcBorders>
              <w:top w:val="single" w:sz="6" w:space="0" w:color="auto"/>
              <w:left w:val="single" w:sz="6" w:space="0" w:color="auto"/>
            </w:tcBorders>
            <w:shd w:val="clear" w:color="auto" w:fill="D9D9D9" w:themeFill="background1" w:themeFillShade="D9"/>
            <w:vAlign w:val="center"/>
          </w:tcPr>
          <w:p w14:paraId="48C02006" w14:textId="77777777" w:rsidR="000A62A2" w:rsidRPr="002210B3" w:rsidRDefault="000A62A2" w:rsidP="000A62A2">
            <w:pPr>
              <w:pStyle w:val="Tabletext"/>
              <w:spacing w:before="80" w:after="80"/>
              <w:rPr>
                <w:b/>
                <w:sz w:val="16"/>
                <w:szCs w:val="16"/>
              </w:rPr>
            </w:pPr>
          </w:p>
        </w:tc>
        <w:tc>
          <w:tcPr>
            <w:tcW w:w="631" w:type="dxa"/>
            <w:tcBorders>
              <w:top w:val="single" w:sz="6" w:space="0" w:color="auto"/>
              <w:left w:val="single" w:sz="6" w:space="0" w:color="auto"/>
              <w:right w:val="single" w:sz="6" w:space="0" w:color="auto"/>
            </w:tcBorders>
            <w:shd w:val="clear" w:color="auto" w:fill="D9D9D9" w:themeFill="background1" w:themeFillShade="D9"/>
            <w:vAlign w:val="center"/>
          </w:tcPr>
          <w:p w14:paraId="0D99541C" w14:textId="77777777" w:rsidR="000A62A2" w:rsidRPr="002210B3" w:rsidRDefault="000A62A2" w:rsidP="000A62A2">
            <w:pPr>
              <w:pStyle w:val="Tabletext"/>
              <w:spacing w:before="80" w:after="80"/>
              <w:rPr>
                <w:b/>
                <w:sz w:val="16"/>
                <w:szCs w:val="16"/>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4E3C660D" w14:textId="77777777" w:rsidR="000A62A2" w:rsidRPr="002210B3" w:rsidRDefault="000A62A2" w:rsidP="000A62A2">
            <w:pPr>
              <w:pStyle w:val="Tabletext"/>
              <w:spacing w:before="80" w:after="80"/>
              <w:rPr>
                <w:b/>
                <w:sz w:val="16"/>
                <w:szCs w:val="16"/>
              </w:rPr>
            </w:pPr>
          </w:p>
        </w:tc>
        <w:tc>
          <w:tcPr>
            <w:tcW w:w="1100" w:type="dxa"/>
            <w:tcBorders>
              <w:top w:val="single" w:sz="6" w:space="0" w:color="auto"/>
              <w:left w:val="single" w:sz="6" w:space="0" w:color="auto"/>
              <w:right w:val="single" w:sz="6" w:space="0" w:color="auto"/>
            </w:tcBorders>
            <w:shd w:val="clear" w:color="auto" w:fill="D9D9D9" w:themeFill="background1" w:themeFillShade="D9"/>
            <w:vAlign w:val="center"/>
          </w:tcPr>
          <w:p w14:paraId="7E23DD2E" w14:textId="77777777" w:rsidR="000A62A2" w:rsidRPr="002210B3" w:rsidRDefault="000A62A2" w:rsidP="000A62A2">
            <w:pPr>
              <w:pStyle w:val="Tabletext"/>
              <w:spacing w:before="80" w:after="80"/>
              <w:rPr>
                <w:b/>
                <w:sz w:val="16"/>
                <w:szCs w:val="16"/>
              </w:rPr>
            </w:pPr>
          </w:p>
        </w:tc>
        <w:tc>
          <w:tcPr>
            <w:tcW w:w="992" w:type="dxa"/>
            <w:tcBorders>
              <w:top w:val="single" w:sz="6" w:space="0" w:color="auto"/>
              <w:left w:val="single" w:sz="6" w:space="0" w:color="auto"/>
            </w:tcBorders>
            <w:shd w:val="clear" w:color="auto" w:fill="D9D9D9" w:themeFill="background1" w:themeFillShade="D9"/>
            <w:vAlign w:val="center"/>
          </w:tcPr>
          <w:p w14:paraId="40E93375" w14:textId="77777777" w:rsidR="000A62A2" w:rsidRPr="002210B3" w:rsidRDefault="000A62A2" w:rsidP="000A62A2">
            <w:pPr>
              <w:pStyle w:val="Tabletext"/>
              <w:spacing w:before="80" w:after="80"/>
              <w:rPr>
                <w:b/>
                <w:sz w:val="16"/>
                <w:szCs w:val="16"/>
              </w:rPr>
            </w:pPr>
          </w:p>
        </w:tc>
        <w:tc>
          <w:tcPr>
            <w:tcW w:w="709" w:type="dxa"/>
            <w:tcBorders>
              <w:top w:val="single" w:sz="6" w:space="0" w:color="auto"/>
              <w:left w:val="single" w:sz="6" w:space="0" w:color="auto"/>
              <w:right w:val="single" w:sz="6" w:space="0" w:color="auto"/>
            </w:tcBorders>
            <w:shd w:val="clear" w:color="auto" w:fill="D9D9D9" w:themeFill="background1" w:themeFillShade="D9"/>
            <w:vAlign w:val="center"/>
          </w:tcPr>
          <w:p w14:paraId="4D67F22F" w14:textId="77777777" w:rsidR="000A62A2" w:rsidRPr="002210B3" w:rsidRDefault="000A62A2" w:rsidP="000A62A2">
            <w:pPr>
              <w:pStyle w:val="Tabletext"/>
              <w:spacing w:before="80" w:after="80"/>
              <w:rPr>
                <w:b/>
                <w:sz w:val="16"/>
                <w:szCs w:val="16"/>
              </w:rPr>
            </w:pPr>
          </w:p>
        </w:tc>
      </w:tr>
      <w:tr w:rsidR="000A62A2" w:rsidRPr="002210B3" w14:paraId="3687C7C9" w14:textId="77777777" w:rsidTr="000A62A2">
        <w:trPr>
          <w:trHeight w:val="402"/>
          <w:jc w:val="center"/>
        </w:trPr>
        <w:tc>
          <w:tcPr>
            <w:tcW w:w="2399" w:type="dxa"/>
            <w:tcBorders>
              <w:top w:val="single" w:sz="6" w:space="0" w:color="auto"/>
              <w:left w:val="single" w:sz="6" w:space="0" w:color="auto"/>
              <w:bottom w:val="single" w:sz="4" w:space="0" w:color="auto"/>
            </w:tcBorders>
            <w:vAlign w:val="center"/>
          </w:tcPr>
          <w:p w14:paraId="78CD8A10"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LAMP</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00368240" w14:textId="77777777" w:rsidR="000A62A2" w:rsidRPr="002210B3" w:rsidRDefault="000A62A2" w:rsidP="000A62A2">
            <w:pPr>
              <w:pStyle w:val="TableHead"/>
              <w:spacing w:before="80" w:after="80"/>
              <w:rPr>
                <w:rFonts w:ascii="Arial" w:hAnsi="Arial" w:cs="Arial"/>
                <w:sz w:val="16"/>
                <w:szCs w:val="16"/>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462F7D3C" w14:textId="77777777" w:rsidR="000A62A2" w:rsidRPr="002210B3" w:rsidRDefault="000A62A2" w:rsidP="000A62A2">
            <w:pPr>
              <w:pStyle w:val="TableHead"/>
              <w:spacing w:before="80" w:after="80"/>
              <w:rPr>
                <w:rFonts w:ascii="Arial" w:hAnsi="Arial" w:cs="Arial"/>
                <w:sz w:val="16"/>
                <w:szCs w:val="16"/>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26E4322E" w14:textId="77777777" w:rsidR="000A62A2" w:rsidRPr="002210B3" w:rsidRDefault="000A62A2" w:rsidP="000A62A2">
            <w:pPr>
              <w:pStyle w:val="TableHead"/>
              <w:spacing w:before="80" w:after="80"/>
              <w:rPr>
                <w:rFonts w:ascii="Arial" w:hAnsi="Arial" w:cs="Arial"/>
                <w:sz w:val="16"/>
                <w:szCs w:val="16"/>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B65C63C" w14:textId="77777777" w:rsidR="000A62A2" w:rsidRPr="002210B3" w:rsidRDefault="000A62A2" w:rsidP="000A62A2">
            <w:pPr>
              <w:pStyle w:val="TableHead"/>
              <w:spacing w:before="80" w:after="80"/>
              <w:rPr>
                <w:rFonts w:ascii="Arial" w:hAnsi="Arial" w:cs="Arial"/>
                <w:sz w:val="16"/>
                <w:szCs w:val="16"/>
              </w:rPr>
            </w:pPr>
          </w:p>
        </w:tc>
        <w:tc>
          <w:tcPr>
            <w:tcW w:w="995" w:type="dxa"/>
            <w:tcBorders>
              <w:top w:val="single" w:sz="6" w:space="0" w:color="auto"/>
              <w:left w:val="single" w:sz="6" w:space="0" w:color="auto"/>
              <w:bottom w:val="single" w:sz="4" w:space="0" w:color="auto"/>
            </w:tcBorders>
            <w:shd w:val="clear" w:color="auto" w:fill="D9D9D9" w:themeFill="background1" w:themeFillShade="D9"/>
            <w:vAlign w:val="center"/>
          </w:tcPr>
          <w:p w14:paraId="2A72B621" w14:textId="77777777" w:rsidR="000A62A2" w:rsidRPr="002210B3" w:rsidRDefault="000A62A2" w:rsidP="000A62A2">
            <w:pPr>
              <w:pStyle w:val="Tabletext"/>
              <w:spacing w:before="80" w:after="80"/>
              <w:rPr>
                <w:b/>
                <w:sz w:val="16"/>
                <w:szCs w:val="16"/>
              </w:rPr>
            </w:pPr>
          </w:p>
        </w:tc>
        <w:tc>
          <w:tcPr>
            <w:tcW w:w="993" w:type="dxa"/>
            <w:tcBorders>
              <w:top w:val="single" w:sz="6" w:space="0" w:color="auto"/>
              <w:left w:val="single" w:sz="6" w:space="0" w:color="auto"/>
              <w:bottom w:val="single" w:sz="4" w:space="0" w:color="auto"/>
            </w:tcBorders>
            <w:shd w:val="clear" w:color="auto" w:fill="D9D9D9" w:themeFill="background1" w:themeFillShade="D9"/>
            <w:vAlign w:val="center"/>
          </w:tcPr>
          <w:p w14:paraId="0DC1CAA9" w14:textId="77777777" w:rsidR="000A62A2" w:rsidRPr="002210B3" w:rsidRDefault="000A62A2" w:rsidP="000A62A2">
            <w:pPr>
              <w:pStyle w:val="Tabletext"/>
              <w:spacing w:before="80" w:after="80"/>
              <w:rPr>
                <w:b/>
                <w:sz w:val="16"/>
                <w:szCs w:val="16"/>
              </w:rPr>
            </w:pPr>
          </w:p>
        </w:tc>
        <w:tc>
          <w:tcPr>
            <w:tcW w:w="708" w:type="dxa"/>
            <w:tcBorders>
              <w:top w:val="single" w:sz="6" w:space="0" w:color="auto"/>
              <w:left w:val="single" w:sz="6" w:space="0" w:color="auto"/>
              <w:bottom w:val="single" w:sz="4" w:space="0" w:color="auto"/>
            </w:tcBorders>
            <w:shd w:val="clear" w:color="auto" w:fill="D9D9D9" w:themeFill="background1" w:themeFillShade="D9"/>
            <w:vAlign w:val="center"/>
          </w:tcPr>
          <w:p w14:paraId="5E88717C" w14:textId="77777777" w:rsidR="000A62A2" w:rsidRPr="002210B3" w:rsidRDefault="000A62A2" w:rsidP="000A62A2">
            <w:pPr>
              <w:pStyle w:val="Tabletext"/>
              <w:spacing w:before="80" w:after="80"/>
              <w:rPr>
                <w:b/>
                <w:sz w:val="16"/>
                <w:szCs w:val="16"/>
              </w:rPr>
            </w:pPr>
          </w:p>
        </w:tc>
        <w:tc>
          <w:tcPr>
            <w:tcW w:w="631"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337695D0" w14:textId="77777777" w:rsidR="000A62A2" w:rsidRPr="002210B3" w:rsidRDefault="000A62A2" w:rsidP="000A62A2">
            <w:pPr>
              <w:pStyle w:val="Tabletext"/>
              <w:spacing w:before="80" w:after="80"/>
              <w:rPr>
                <w:b/>
                <w:sz w:val="16"/>
                <w:szCs w:val="16"/>
              </w:rPr>
            </w:pPr>
          </w:p>
        </w:tc>
        <w:tc>
          <w:tcPr>
            <w:tcW w:w="960"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675E1863" w14:textId="77777777" w:rsidR="000A62A2" w:rsidRPr="002210B3" w:rsidRDefault="000A62A2" w:rsidP="000A62A2">
            <w:pPr>
              <w:pStyle w:val="Tabletext"/>
              <w:spacing w:before="80" w:after="80"/>
              <w:rPr>
                <w:b/>
                <w:sz w:val="16"/>
                <w:szCs w:val="16"/>
              </w:rPr>
            </w:pPr>
          </w:p>
        </w:tc>
        <w:tc>
          <w:tcPr>
            <w:tcW w:w="1100"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1FDA8747" w14:textId="77777777" w:rsidR="000A62A2" w:rsidRPr="002210B3" w:rsidRDefault="000A62A2" w:rsidP="000A62A2">
            <w:pPr>
              <w:pStyle w:val="Tabletext"/>
              <w:spacing w:before="80" w:after="80"/>
              <w:rPr>
                <w:b/>
                <w:sz w:val="16"/>
                <w:szCs w:val="16"/>
              </w:rPr>
            </w:pPr>
          </w:p>
        </w:tc>
        <w:tc>
          <w:tcPr>
            <w:tcW w:w="992" w:type="dxa"/>
            <w:tcBorders>
              <w:top w:val="single" w:sz="6" w:space="0" w:color="auto"/>
              <w:left w:val="single" w:sz="6" w:space="0" w:color="auto"/>
              <w:bottom w:val="single" w:sz="4" w:space="0" w:color="auto"/>
            </w:tcBorders>
            <w:shd w:val="clear" w:color="auto" w:fill="D9D9D9" w:themeFill="background1" w:themeFillShade="D9"/>
            <w:vAlign w:val="center"/>
          </w:tcPr>
          <w:p w14:paraId="1D846531" w14:textId="77777777" w:rsidR="000A62A2" w:rsidRPr="002210B3" w:rsidRDefault="000A62A2" w:rsidP="000A62A2">
            <w:pPr>
              <w:pStyle w:val="Tabletext"/>
              <w:spacing w:before="80" w:after="80"/>
              <w:rPr>
                <w:b/>
                <w:sz w:val="16"/>
                <w:szCs w:val="16"/>
              </w:rPr>
            </w:pPr>
          </w:p>
        </w:tc>
        <w:tc>
          <w:tcPr>
            <w:tcW w:w="709"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7B2ADDB1" w14:textId="77777777" w:rsidR="000A62A2" w:rsidRPr="002210B3" w:rsidRDefault="000A62A2" w:rsidP="000A62A2">
            <w:pPr>
              <w:pStyle w:val="Tabletext"/>
              <w:spacing w:before="80" w:after="80"/>
              <w:rPr>
                <w:b/>
                <w:sz w:val="16"/>
                <w:szCs w:val="16"/>
              </w:rPr>
            </w:pPr>
          </w:p>
        </w:tc>
      </w:tr>
      <w:tr w:rsidR="000A62A2" w:rsidRPr="002210B3" w14:paraId="45BE9A07" w14:textId="77777777" w:rsidTr="000A62A2">
        <w:trPr>
          <w:trHeight w:val="402"/>
          <w:jc w:val="center"/>
        </w:trPr>
        <w:tc>
          <w:tcPr>
            <w:tcW w:w="2399" w:type="dxa"/>
            <w:tcBorders>
              <w:top w:val="single" w:sz="6" w:space="0" w:color="auto"/>
              <w:left w:val="single" w:sz="6" w:space="0" w:color="auto"/>
              <w:bottom w:val="single" w:sz="4" w:space="0" w:color="auto"/>
            </w:tcBorders>
            <w:vAlign w:val="center"/>
          </w:tcPr>
          <w:p w14:paraId="120846DC"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Ab</w:t>
            </w:r>
            <w:r>
              <w:rPr>
                <w:rFonts w:ascii="Arial" w:hAnsi="Arial" w:cs="Arial"/>
                <w:sz w:val="16"/>
                <w:szCs w:val="16"/>
              </w:rPr>
              <w:t>-</w:t>
            </w:r>
            <w:r w:rsidRPr="002210B3">
              <w:rPr>
                <w:rFonts w:ascii="Arial" w:hAnsi="Arial" w:cs="Arial"/>
                <w:sz w:val="16"/>
                <w:szCs w:val="16"/>
              </w:rPr>
              <w:t>ELISA</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62931B6B" w14:textId="77777777" w:rsidR="000A62A2" w:rsidRPr="002210B3" w:rsidRDefault="000A62A2" w:rsidP="000A62A2">
            <w:pPr>
              <w:pStyle w:val="TableHead"/>
              <w:spacing w:before="80" w:after="80"/>
              <w:rPr>
                <w:rFonts w:ascii="Arial" w:hAnsi="Arial" w:cs="Arial"/>
                <w:sz w:val="16"/>
                <w:szCs w:val="16"/>
              </w:rPr>
            </w:pPr>
          </w:p>
        </w:tc>
        <w:tc>
          <w:tcPr>
            <w:tcW w:w="1134" w:type="dxa"/>
            <w:tcBorders>
              <w:top w:val="single" w:sz="6" w:space="0" w:color="auto"/>
              <w:left w:val="single" w:sz="6" w:space="0" w:color="auto"/>
              <w:bottom w:val="single" w:sz="6" w:space="0" w:color="auto"/>
            </w:tcBorders>
            <w:shd w:val="clear" w:color="auto" w:fill="D9D9D9" w:themeFill="background1" w:themeFillShade="D9"/>
            <w:vAlign w:val="center"/>
          </w:tcPr>
          <w:p w14:paraId="408FCC3C" w14:textId="77777777" w:rsidR="000A62A2" w:rsidRPr="002210B3" w:rsidRDefault="000A62A2" w:rsidP="000A62A2">
            <w:pPr>
              <w:pStyle w:val="TableHead"/>
              <w:spacing w:before="80" w:after="80"/>
              <w:rPr>
                <w:rFonts w:ascii="Arial" w:hAnsi="Arial" w:cs="Arial"/>
                <w:sz w:val="16"/>
                <w:szCs w:val="16"/>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679AF701" w14:textId="77777777" w:rsidR="000A62A2" w:rsidRPr="002210B3" w:rsidRDefault="000A62A2" w:rsidP="000A62A2">
            <w:pPr>
              <w:pStyle w:val="TableHead"/>
              <w:spacing w:before="80" w:after="80"/>
              <w:rPr>
                <w:rFonts w:ascii="Arial" w:hAnsi="Arial" w:cs="Arial"/>
                <w:sz w:val="16"/>
                <w:szCs w:val="16"/>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F02E011" w14:textId="77777777" w:rsidR="000A62A2" w:rsidRPr="002210B3" w:rsidRDefault="000A62A2" w:rsidP="000A62A2">
            <w:pPr>
              <w:pStyle w:val="TableHead"/>
              <w:spacing w:before="80" w:after="80"/>
              <w:rPr>
                <w:rFonts w:ascii="Arial" w:hAnsi="Arial" w:cs="Arial"/>
                <w:sz w:val="16"/>
                <w:szCs w:val="16"/>
              </w:rPr>
            </w:pPr>
          </w:p>
        </w:tc>
        <w:tc>
          <w:tcPr>
            <w:tcW w:w="995" w:type="dxa"/>
            <w:tcBorders>
              <w:top w:val="single" w:sz="6" w:space="0" w:color="auto"/>
              <w:left w:val="single" w:sz="6" w:space="0" w:color="auto"/>
              <w:bottom w:val="single" w:sz="4" w:space="0" w:color="auto"/>
            </w:tcBorders>
            <w:shd w:val="clear" w:color="auto" w:fill="D9D9D9" w:themeFill="background1" w:themeFillShade="D9"/>
            <w:vAlign w:val="center"/>
          </w:tcPr>
          <w:p w14:paraId="6C5ACBEF" w14:textId="77777777" w:rsidR="000A62A2" w:rsidRPr="002210B3" w:rsidRDefault="000A62A2" w:rsidP="000A62A2">
            <w:pPr>
              <w:pStyle w:val="Tabletext"/>
              <w:spacing w:before="80" w:after="80"/>
              <w:rPr>
                <w:b/>
                <w:sz w:val="16"/>
                <w:szCs w:val="16"/>
              </w:rPr>
            </w:pPr>
          </w:p>
        </w:tc>
        <w:tc>
          <w:tcPr>
            <w:tcW w:w="993" w:type="dxa"/>
            <w:tcBorders>
              <w:top w:val="single" w:sz="6" w:space="0" w:color="auto"/>
              <w:left w:val="single" w:sz="6" w:space="0" w:color="auto"/>
              <w:bottom w:val="single" w:sz="4" w:space="0" w:color="auto"/>
            </w:tcBorders>
            <w:shd w:val="clear" w:color="auto" w:fill="D9D9D9" w:themeFill="background1" w:themeFillShade="D9"/>
            <w:vAlign w:val="center"/>
          </w:tcPr>
          <w:p w14:paraId="724E6EE8" w14:textId="77777777" w:rsidR="000A62A2" w:rsidRPr="002210B3" w:rsidRDefault="000A62A2" w:rsidP="000A62A2">
            <w:pPr>
              <w:pStyle w:val="Tabletext"/>
              <w:spacing w:before="80" w:after="80"/>
              <w:rPr>
                <w:b/>
                <w:sz w:val="16"/>
                <w:szCs w:val="16"/>
              </w:rPr>
            </w:pPr>
          </w:p>
        </w:tc>
        <w:tc>
          <w:tcPr>
            <w:tcW w:w="708" w:type="dxa"/>
            <w:tcBorders>
              <w:top w:val="single" w:sz="6" w:space="0" w:color="auto"/>
              <w:left w:val="single" w:sz="6" w:space="0" w:color="auto"/>
              <w:bottom w:val="single" w:sz="4" w:space="0" w:color="auto"/>
            </w:tcBorders>
            <w:shd w:val="clear" w:color="auto" w:fill="D9D9D9" w:themeFill="background1" w:themeFillShade="D9"/>
            <w:vAlign w:val="center"/>
          </w:tcPr>
          <w:p w14:paraId="4601A774" w14:textId="77777777" w:rsidR="000A62A2" w:rsidRPr="002210B3" w:rsidRDefault="000A62A2" w:rsidP="000A62A2">
            <w:pPr>
              <w:pStyle w:val="Tabletext"/>
              <w:spacing w:before="80" w:after="80"/>
              <w:rPr>
                <w:b/>
                <w:sz w:val="16"/>
                <w:szCs w:val="16"/>
              </w:rPr>
            </w:pPr>
          </w:p>
        </w:tc>
        <w:tc>
          <w:tcPr>
            <w:tcW w:w="631"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4881D9A4" w14:textId="77777777" w:rsidR="000A62A2" w:rsidRPr="002210B3" w:rsidRDefault="000A62A2" w:rsidP="000A62A2">
            <w:pPr>
              <w:pStyle w:val="Tabletext"/>
              <w:spacing w:before="80" w:after="80"/>
              <w:rPr>
                <w:b/>
                <w:sz w:val="16"/>
                <w:szCs w:val="16"/>
              </w:rPr>
            </w:pPr>
          </w:p>
        </w:tc>
        <w:tc>
          <w:tcPr>
            <w:tcW w:w="960"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388753E0" w14:textId="77777777" w:rsidR="000A62A2" w:rsidRPr="002210B3" w:rsidRDefault="000A62A2" w:rsidP="000A62A2">
            <w:pPr>
              <w:pStyle w:val="Tabletext"/>
              <w:spacing w:before="80" w:after="80"/>
              <w:rPr>
                <w:b/>
                <w:sz w:val="16"/>
                <w:szCs w:val="16"/>
              </w:rPr>
            </w:pPr>
          </w:p>
        </w:tc>
        <w:tc>
          <w:tcPr>
            <w:tcW w:w="1100"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3AA99669" w14:textId="77777777" w:rsidR="000A62A2" w:rsidRPr="002210B3" w:rsidRDefault="000A62A2" w:rsidP="000A62A2">
            <w:pPr>
              <w:pStyle w:val="Tabletext"/>
              <w:spacing w:before="80" w:after="80"/>
              <w:rPr>
                <w:b/>
                <w:sz w:val="16"/>
                <w:szCs w:val="16"/>
              </w:rPr>
            </w:pPr>
          </w:p>
        </w:tc>
        <w:tc>
          <w:tcPr>
            <w:tcW w:w="992" w:type="dxa"/>
            <w:tcBorders>
              <w:top w:val="single" w:sz="6" w:space="0" w:color="auto"/>
              <w:left w:val="single" w:sz="6" w:space="0" w:color="auto"/>
              <w:bottom w:val="single" w:sz="4" w:space="0" w:color="auto"/>
            </w:tcBorders>
            <w:shd w:val="clear" w:color="auto" w:fill="D9D9D9" w:themeFill="background1" w:themeFillShade="D9"/>
            <w:vAlign w:val="center"/>
          </w:tcPr>
          <w:p w14:paraId="16FC126A" w14:textId="77777777" w:rsidR="000A62A2" w:rsidRPr="002210B3" w:rsidRDefault="000A62A2" w:rsidP="000A62A2">
            <w:pPr>
              <w:pStyle w:val="Tabletext"/>
              <w:spacing w:before="80" w:after="80"/>
              <w:rPr>
                <w:b/>
                <w:sz w:val="16"/>
                <w:szCs w:val="16"/>
              </w:rPr>
            </w:pPr>
          </w:p>
        </w:tc>
        <w:tc>
          <w:tcPr>
            <w:tcW w:w="709"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5F5B1EEF" w14:textId="77777777" w:rsidR="000A62A2" w:rsidRPr="002210B3" w:rsidRDefault="000A62A2" w:rsidP="000A62A2">
            <w:pPr>
              <w:pStyle w:val="Tabletext"/>
              <w:spacing w:before="80" w:after="80"/>
              <w:rPr>
                <w:b/>
                <w:sz w:val="16"/>
                <w:szCs w:val="16"/>
              </w:rPr>
            </w:pPr>
          </w:p>
        </w:tc>
      </w:tr>
      <w:tr w:rsidR="000A62A2" w:rsidRPr="002210B3" w14:paraId="5893407E" w14:textId="77777777" w:rsidTr="000A62A2">
        <w:trPr>
          <w:trHeight w:val="402"/>
          <w:jc w:val="center"/>
        </w:trPr>
        <w:tc>
          <w:tcPr>
            <w:tcW w:w="2399" w:type="dxa"/>
            <w:tcBorders>
              <w:top w:val="single" w:sz="4" w:space="0" w:color="auto"/>
              <w:left w:val="single" w:sz="6" w:space="0" w:color="auto"/>
              <w:bottom w:val="single" w:sz="4" w:space="0" w:color="auto"/>
            </w:tcBorders>
            <w:vAlign w:val="center"/>
          </w:tcPr>
          <w:p w14:paraId="3C27EB44" w14:textId="77777777" w:rsidR="000A62A2" w:rsidRPr="002210B3" w:rsidRDefault="000A62A2" w:rsidP="000A62A2">
            <w:pPr>
              <w:pStyle w:val="TableHead"/>
              <w:spacing w:before="80" w:after="80"/>
              <w:rPr>
                <w:rFonts w:ascii="Arial" w:hAnsi="Arial" w:cs="Arial"/>
                <w:sz w:val="16"/>
                <w:szCs w:val="16"/>
              </w:rPr>
            </w:pPr>
            <w:r w:rsidRPr="002210B3">
              <w:rPr>
                <w:rFonts w:ascii="Arial" w:hAnsi="Arial" w:cs="Arial"/>
                <w:sz w:val="16"/>
                <w:szCs w:val="16"/>
              </w:rPr>
              <w:t>Ag</w:t>
            </w:r>
            <w:r>
              <w:rPr>
                <w:rFonts w:ascii="Arial" w:hAnsi="Arial" w:cs="Arial"/>
                <w:sz w:val="16"/>
                <w:szCs w:val="16"/>
              </w:rPr>
              <w:t>-</w:t>
            </w:r>
            <w:r w:rsidRPr="002210B3">
              <w:rPr>
                <w:rFonts w:ascii="Arial" w:hAnsi="Arial" w:cs="Arial"/>
                <w:sz w:val="16"/>
                <w:szCs w:val="16"/>
              </w:rPr>
              <w:t>ELISA</w:t>
            </w:r>
          </w:p>
        </w:tc>
        <w:tc>
          <w:tcPr>
            <w:tcW w:w="995" w:type="dxa"/>
            <w:tcBorders>
              <w:top w:val="single" w:sz="6" w:space="0" w:color="auto"/>
              <w:left w:val="single" w:sz="6" w:space="0" w:color="auto"/>
              <w:bottom w:val="single" w:sz="4" w:space="0" w:color="auto"/>
            </w:tcBorders>
            <w:shd w:val="clear" w:color="auto" w:fill="D9D9D9" w:themeFill="background1" w:themeFillShade="D9"/>
            <w:vAlign w:val="center"/>
          </w:tcPr>
          <w:p w14:paraId="627958AE" w14:textId="77777777" w:rsidR="000A62A2" w:rsidRPr="002210B3" w:rsidRDefault="000A62A2" w:rsidP="000A62A2">
            <w:pPr>
              <w:pStyle w:val="TableHead"/>
              <w:spacing w:before="80" w:after="80"/>
              <w:rPr>
                <w:rFonts w:ascii="Arial" w:hAnsi="Arial" w:cs="Arial"/>
                <w:sz w:val="16"/>
                <w:szCs w:val="16"/>
              </w:rPr>
            </w:pPr>
          </w:p>
        </w:tc>
        <w:tc>
          <w:tcPr>
            <w:tcW w:w="1134" w:type="dxa"/>
            <w:tcBorders>
              <w:top w:val="single" w:sz="6" w:space="0" w:color="auto"/>
              <w:left w:val="single" w:sz="6" w:space="0" w:color="auto"/>
              <w:bottom w:val="single" w:sz="4" w:space="0" w:color="auto"/>
            </w:tcBorders>
            <w:shd w:val="clear" w:color="auto" w:fill="D9D9D9" w:themeFill="background1" w:themeFillShade="D9"/>
            <w:vAlign w:val="center"/>
          </w:tcPr>
          <w:p w14:paraId="644C0844" w14:textId="77777777" w:rsidR="000A62A2" w:rsidRPr="002210B3" w:rsidRDefault="000A62A2" w:rsidP="000A62A2">
            <w:pPr>
              <w:pStyle w:val="TableHead"/>
              <w:spacing w:before="80" w:after="80"/>
              <w:rPr>
                <w:rFonts w:ascii="Arial" w:hAnsi="Arial" w:cs="Arial"/>
                <w:sz w:val="16"/>
                <w:szCs w:val="16"/>
              </w:rPr>
            </w:pPr>
          </w:p>
        </w:tc>
        <w:tc>
          <w:tcPr>
            <w:tcW w:w="709" w:type="dxa"/>
            <w:tcBorders>
              <w:top w:val="single" w:sz="6" w:space="0" w:color="auto"/>
              <w:left w:val="single" w:sz="6" w:space="0" w:color="auto"/>
              <w:bottom w:val="single" w:sz="4" w:space="0" w:color="auto"/>
            </w:tcBorders>
            <w:shd w:val="clear" w:color="auto" w:fill="D9D9D9" w:themeFill="background1" w:themeFillShade="D9"/>
            <w:vAlign w:val="center"/>
          </w:tcPr>
          <w:p w14:paraId="53E5F89C" w14:textId="77777777" w:rsidR="000A62A2" w:rsidRPr="002210B3" w:rsidRDefault="000A62A2" w:rsidP="000A62A2">
            <w:pPr>
              <w:pStyle w:val="TableHead"/>
              <w:spacing w:before="80" w:after="80"/>
              <w:rPr>
                <w:rFonts w:ascii="Arial" w:hAnsi="Arial" w:cs="Arial"/>
                <w:sz w:val="16"/>
                <w:szCs w:val="16"/>
              </w:rPr>
            </w:pPr>
          </w:p>
        </w:tc>
        <w:tc>
          <w:tcPr>
            <w:tcW w:w="567"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387F65B1" w14:textId="77777777" w:rsidR="000A62A2" w:rsidRPr="002210B3" w:rsidRDefault="000A62A2" w:rsidP="000A62A2">
            <w:pPr>
              <w:pStyle w:val="TableHead"/>
              <w:spacing w:before="80" w:after="80"/>
              <w:rPr>
                <w:rFonts w:ascii="Arial" w:hAnsi="Arial" w:cs="Arial"/>
                <w:sz w:val="16"/>
                <w:szCs w:val="16"/>
              </w:rPr>
            </w:pPr>
          </w:p>
        </w:tc>
        <w:tc>
          <w:tcPr>
            <w:tcW w:w="995" w:type="dxa"/>
            <w:tcBorders>
              <w:top w:val="single" w:sz="4" w:space="0" w:color="auto"/>
              <w:left w:val="single" w:sz="6" w:space="0" w:color="auto"/>
              <w:bottom w:val="single" w:sz="4" w:space="0" w:color="auto"/>
            </w:tcBorders>
            <w:shd w:val="clear" w:color="auto" w:fill="D9D9D9" w:themeFill="background1" w:themeFillShade="D9"/>
            <w:vAlign w:val="center"/>
          </w:tcPr>
          <w:p w14:paraId="0A6D1C28" w14:textId="77777777" w:rsidR="000A62A2" w:rsidRPr="002210B3" w:rsidRDefault="000A62A2" w:rsidP="000A62A2">
            <w:pPr>
              <w:pStyle w:val="Tabletext"/>
              <w:spacing w:before="80" w:after="80"/>
              <w:rPr>
                <w:b/>
                <w:sz w:val="16"/>
                <w:szCs w:val="16"/>
              </w:rPr>
            </w:pPr>
          </w:p>
        </w:tc>
        <w:tc>
          <w:tcPr>
            <w:tcW w:w="993" w:type="dxa"/>
            <w:tcBorders>
              <w:top w:val="single" w:sz="4" w:space="0" w:color="auto"/>
              <w:left w:val="single" w:sz="6" w:space="0" w:color="auto"/>
              <w:bottom w:val="single" w:sz="4" w:space="0" w:color="auto"/>
            </w:tcBorders>
            <w:shd w:val="clear" w:color="auto" w:fill="D9D9D9" w:themeFill="background1" w:themeFillShade="D9"/>
            <w:vAlign w:val="center"/>
          </w:tcPr>
          <w:p w14:paraId="16DDF0BE" w14:textId="77777777" w:rsidR="000A62A2" w:rsidRPr="002210B3" w:rsidRDefault="000A62A2" w:rsidP="000A62A2">
            <w:pPr>
              <w:pStyle w:val="Tabletext"/>
              <w:spacing w:before="80" w:after="80"/>
              <w:rPr>
                <w:b/>
                <w:sz w:val="16"/>
                <w:szCs w:val="16"/>
              </w:rPr>
            </w:pPr>
          </w:p>
        </w:tc>
        <w:tc>
          <w:tcPr>
            <w:tcW w:w="708" w:type="dxa"/>
            <w:tcBorders>
              <w:top w:val="single" w:sz="4" w:space="0" w:color="auto"/>
              <w:left w:val="single" w:sz="6" w:space="0" w:color="auto"/>
              <w:bottom w:val="single" w:sz="4" w:space="0" w:color="auto"/>
            </w:tcBorders>
            <w:shd w:val="clear" w:color="auto" w:fill="D9D9D9" w:themeFill="background1" w:themeFillShade="D9"/>
            <w:vAlign w:val="center"/>
          </w:tcPr>
          <w:p w14:paraId="5B696411" w14:textId="77777777" w:rsidR="000A62A2" w:rsidRPr="002210B3" w:rsidRDefault="000A62A2" w:rsidP="000A62A2">
            <w:pPr>
              <w:pStyle w:val="Tabletext"/>
              <w:spacing w:before="80" w:after="80"/>
              <w:rPr>
                <w:b/>
                <w:sz w:val="16"/>
                <w:szCs w:val="16"/>
              </w:rPr>
            </w:pPr>
          </w:p>
        </w:tc>
        <w:tc>
          <w:tcPr>
            <w:tcW w:w="631"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7530BF1B" w14:textId="77777777" w:rsidR="000A62A2" w:rsidRPr="002210B3" w:rsidRDefault="000A62A2" w:rsidP="000A62A2">
            <w:pPr>
              <w:pStyle w:val="Tabletext"/>
              <w:spacing w:before="80" w:after="80"/>
              <w:rPr>
                <w:b/>
                <w:sz w:val="16"/>
                <w:szCs w:val="16"/>
              </w:rPr>
            </w:pPr>
          </w:p>
        </w:tc>
        <w:tc>
          <w:tcPr>
            <w:tcW w:w="960"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6A207454" w14:textId="77777777" w:rsidR="000A62A2" w:rsidRPr="002210B3" w:rsidRDefault="000A62A2" w:rsidP="000A62A2">
            <w:pPr>
              <w:pStyle w:val="Tabletext"/>
              <w:spacing w:before="80" w:after="80"/>
              <w:rPr>
                <w:b/>
                <w:sz w:val="16"/>
                <w:szCs w:val="16"/>
              </w:rPr>
            </w:pPr>
          </w:p>
        </w:tc>
        <w:tc>
          <w:tcPr>
            <w:tcW w:w="1100"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7A1BAEBA" w14:textId="77777777" w:rsidR="000A62A2" w:rsidRPr="002210B3" w:rsidRDefault="000A62A2" w:rsidP="000A62A2">
            <w:pPr>
              <w:pStyle w:val="Tabletext"/>
              <w:spacing w:before="80" w:after="80"/>
              <w:rPr>
                <w:b/>
                <w:sz w:val="16"/>
                <w:szCs w:val="16"/>
              </w:rPr>
            </w:pPr>
          </w:p>
        </w:tc>
        <w:tc>
          <w:tcPr>
            <w:tcW w:w="992" w:type="dxa"/>
            <w:tcBorders>
              <w:top w:val="single" w:sz="4" w:space="0" w:color="auto"/>
              <w:left w:val="single" w:sz="6" w:space="0" w:color="auto"/>
              <w:bottom w:val="single" w:sz="4" w:space="0" w:color="auto"/>
            </w:tcBorders>
            <w:shd w:val="clear" w:color="auto" w:fill="D9D9D9" w:themeFill="background1" w:themeFillShade="D9"/>
            <w:vAlign w:val="center"/>
          </w:tcPr>
          <w:p w14:paraId="130B0B36" w14:textId="77777777" w:rsidR="000A62A2" w:rsidRPr="002210B3" w:rsidRDefault="000A62A2" w:rsidP="000A62A2">
            <w:pPr>
              <w:pStyle w:val="Tabletext"/>
              <w:spacing w:before="80" w:after="80"/>
              <w:rPr>
                <w:b/>
                <w:sz w:val="16"/>
                <w:szCs w:val="16"/>
              </w:rPr>
            </w:pPr>
          </w:p>
        </w:tc>
        <w:tc>
          <w:tcPr>
            <w:tcW w:w="709"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29B9D0FD" w14:textId="77777777" w:rsidR="000A62A2" w:rsidRPr="002210B3" w:rsidRDefault="000A62A2" w:rsidP="000A62A2">
            <w:pPr>
              <w:pStyle w:val="Tabletext"/>
              <w:spacing w:before="80" w:after="80"/>
              <w:rPr>
                <w:b/>
                <w:sz w:val="16"/>
                <w:szCs w:val="16"/>
              </w:rPr>
            </w:pPr>
          </w:p>
        </w:tc>
      </w:tr>
    </w:tbl>
    <w:p w14:paraId="241DFFA9" w14:textId="77777777" w:rsidR="000A62A2" w:rsidRPr="003858FC" w:rsidRDefault="000A62A2" w:rsidP="000A62A2">
      <w:pPr>
        <w:pStyle w:val="paraA0"/>
        <w:spacing w:before="120"/>
        <w:jc w:val="center"/>
        <w:rPr>
          <w:lang w:val="en-IE" w:eastAsia="en-US" w:bidi="en-US"/>
        </w:rPr>
      </w:pPr>
      <w:r w:rsidRPr="003858FC">
        <w:rPr>
          <w:lang w:val="en-IE"/>
        </w:rPr>
        <w:t>LV = level of validation, refers to the stage of validation in the OIE Pathway (chapter 1.1.2)</w:t>
      </w:r>
      <w:r w:rsidRPr="003858FC">
        <w:rPr>
          <w:lang w:val="en-IE" w:eastAsia="en-US" w:bidi="en-US"/>
        </w:rPr>
        <w:t xml:space="preserve">; </w:t>
      </w:r>
      <w:r w:rsidRPr="003858FC">
        <w:rPr>
          <w:lang w:val="en-IE"/>
        </w:rPr>
        <w:t>PCR = polymerase chain reaction</w:t>
      </w:r>
      <w:r w:rsidRPr="003858FC">
        <w:rPr>
          <w:lang w:val="en-IE" w:bidi="en-US"/>
        </w:rPr>
        <w:t xml:space="preserve">; </w:t>
      </w:r>
      <w:r>
        <w:rPr>
          <w:lang w:val="en-IE" w:bidi="en-US"/>
        </w:rPr>
        <w:t>ddPCR = droplet digital PCR;</w:t>
      </w:r>
      <w:r w:rsidRPr="003858FC">
        <w:rPr>
          <w:lang w:val="en-IE" w:bidi="en-US"/>
        </w:rPr>
        <w:br/>
        <w:t xml:space="preserve">LAMP = </w:t>
      </w:r>
      <w:r w:rsidRPr="003858FC">
        <w:rPr>
          <w:rFonts w:eastAsia="Calibri"/>
        </w:rPr>
        <w:t>loop-mediated isothermal amplification;</w:t>
      </w:r>
      <w:r w:rsidRPr="003858FC">
        <w:t xml:space="preserve"> </w:t>
      </w:r>
      <w:r w:rsidRPr="003858FC">
        <w:rPr>
          <w:lang w:val="en-IE"/>
        </w:rPr>
        <w:t xml:space="preserve">Ab- or Ag-ELISA = antibody or antigen enzyme-linked immunosorbent assay, respectively;  </w:t>
      </w:r>
      <w:r w:rsidRPr="003858FC">
        <w:rPr>
          <w:lang w:val="en-IE" w:bidi="en-US"/>
        </w:rPr>
        <w:br/>
      </w:r>
      <w:r w:rsidRPr="003858FC">
        <w:rPr>
          <w:vertAlign w:val="superscript"/>
          <w:lang w:val="en-IE" w:bidi="en-US"/>
        </w:rPr>
        <w:t>1</w:t>
      </w:r>
      <w:r w:rsidRPr="003858FC">
        <w:rPr>
          <w:lang w:val="en-IE"/>
        </w:rPr>
        <w:t xml:space="preserve">For confirmatory diagnoses, methods need to be carried out in combination (see Section 6). </w:t>
      </w:r>
      <w:r w:rsidRPr="003858FC">
        <w:rPr>
          <w:vertAlign w:val="superscript"/>
          <w:lang w:val="en-IE" w:bidi="en-US"/>
        </w:rPr>
        <w:t>2</w:t>
      </w:r>
      <w:r w:rsidRPr="003858FC">
        <w:rPr>
          <w:lang w:val="en-IE"/>
        </w:rPr>
        <w:t xml:space="preserve">Early and juvenile life stages have been defined in Section 2.2.3. </w:t>
      </w:r>
      <w:r w:rsidRPr="003858FC">
        <w:rPr>
          <w:lang w:val="en-IE"/>
        </w:rPr>
        <w:br/>
      </w:r>
      <w:r w:rsidRPr="003858FC">
        <w:rPr>
          <w:vertAlign w:val="superscript"/>
          <w:lang w:val="en-IE" w:bidi="en-US"/>
        </w:rPr>
        <w:t>3</w:t>
      </w:r>
      <w:r w:rsidRPr="003858FC">
        <w:rPr>
          <w:lang w:val="en-IE"/>
        </w:rPr>
        <w:t>Histopathology and cytopathology can be validated if the results from different operators has been statistically compared.</w:t>
      </w:r>
      <w:r w:rsidRPr="003858FC">
        <w:rPr>
          <w:vertAlign w:val="superscript"/>
          <w:lang w:val="en-IE"/>
        </w:rPr>
        <w:t xml:space="preserve"> 4</w:t>
      </w:r>
      <w:r w:rsidRPr="003858FC">
        <w:rPr>
          <w:lang w:val="en-IE"/>
        </w:rPr>
        <w:t>Sequencing of the PCR product.</w:t>
      </w:r>
      <w:r w:rsidRPr="003858FC">
        <w:rPr>
          <w:lang w:val="en-IE"/>
        </w:rPr>
        <w:br/>
        <w:t>Shading indicates the test is inappropriate or should not be used for this purpose</w:t>
      </w:r>
    </w:p>
    <w:bookmarkEnd w:id="164"/>
    <w:p w14:paraId="2DE5C0BA" w14:textId="77777777" w:rsidR="000A62A2" w:rsidRPr="002210B3" w:rsidRDefault="000A62A2" w:rsidP="000A62A2">
      <w:pPr>
        <w:pStyle w:val="Para10"/>
        <w:rPr>
          <w:rFonts w:cs="Arial"/>
        </w:rPr>
        <w:sectPr w:rsidR="000A62A2" w:rsidRPr="002210B3" w:rsidSect="00CA456F">
          <w:footerReference w:type="first" r:id="rId224"/>
          <w:pgSz w:w="16838" w:h="11906" w:orient="landscape" w:code="9"/>
          <w:pgMar w:top="1418" w:right="1418" w:bottom="1418" w:left="1418" w:header="567" w:footer="567" w:gutter="0"/>
          <w:cols w:space="708"/>
          <w:titlePg/>
          <w:docGrid w:linePitch="360"/>
        </w:sectPr>
      </w:pPr>
    </w:p>
    <w:p w14:paraId="621F5A3D" w14:textId="77777777" w:rsidR="000A62A2" w:rsidRPr="00CA456F" w:rsidRDefault="000A62A2" w:rsidP="000A62A2">
      <w:pPr>
        <w:pStyle w:val="Titre3"/>
        <w:spacing w:after="480"/>
        <w:rPr>
          <w:bCs/>
          <w:i w:val="0"/>
          <w:iCs/>
        </w:rPr>
      </w:pPr>
      <w:r w:rsidRPr="00CA456F">
        <w:rPr>
          <w:rFonts w:cs="Times New Roman"/>
          <w:i w:val="0"/>
          <w:szCs w:val="20"/>
          <w:u w:val="single"/>
        </w:rPr>
        <w:lastRenderedPageBreak/>
        <w:t>A</w:t>
      </w:r>
      <w:r w:rsidRPr="00CA456F">
        <w:rPr>
          <w:rFonts w:cs="Times New Roman"/>
          <w:bCs/>
          <w:i w:val="0"/>
          <w:iCs/>
          <w:szCs w:val="20"/>
          <w:u w:val="single"/>
        </w:rPr>
        <w:t>nnex 15</w:t>
      </w:r>
      <w:r w:rsidRPr="00CA456F">
        <w:rPr>
          <w:rFonts w:cs="Times New Roman"/>
          <w:bCs/>
          <w:i w:val="0"/>
          <w:iCs/>
          <w:szCs w:val="20"/>
        </w:rPr>
        <w:t xml:space="preserve"> (contd)</w:t>
      </w:r>
    </w:p>
    <w:p w14:paraId="67D5B89D" w14:textId="77777777" w:rsidR="000A62A2" w:rsidRPr="00CA456F" w:rsidRDefault="000A62A2" w:rsidP="000A62A2">
      <w:pPr>
        <w:pStyle w:val="Titre2"/>
        <w:ind w:left="851" w:hanging="425"/>
        <w:rPr>
          <w:rFonts w:ascii="Ottawa" w:hAnsi="Ottawa"/>
          <w:b/>
          <w:sz w:val="21"/>
          <w:szCs w:val="21"/>
          <w:lang w:val="en-IE"/>
        </w:rPr>
      </w:pPr>
      <w:r w:rsidRPr="00CA456F">
        <w:rPr>
          <w:rFonts w:ascii="Ottawa" w:hAnsi="Ottawa"/>
          <w:b/>
          <w:sz w:val="21"/>
          <w:szCs w:val="21"/>
          <w:lang w:val="en-IE"/>
        </w:rPr>
        <w:t>4.1.</w:t>
      </w:r>
      <w:r w:rsidRPr="00CA456F">
        <w:rPr>
          <w:rFonts w:ascii="Ottawa" w:hAnsi="Ottawa"/>
          <w:b/>
          <w:sz w:val="21"/>
          <w:szCs w:val="21"/>
          <w:lang w:val="en-IE"/>
        </w:rPr>
        <w:tab/>
        <w:t>Morphological examination</w:t>
      </w:r>
    </w:p>
    <w:p w14:paraId="0D1852CE" w14:textId="77777777" w:rsidR="000A62A2" w:rsidRPr="002210B3" w:rsidRDefault="000A62A2" w:rsidP="000A62A2">
      <w:pPr>
        <w:pStyle w:val="Para20"/>
        <w:ind w:left="851"/>
        <w:rPr>
          <w:lang w:eastAsia="fr-FR"/>
        </w:rPr>
      </w:pPr>
      <w:r w:rsidRPr="002210B3">
        <w:rPr>
          <w:lang w:eastAsia="fr-FR"/>
        </w:rPr>
        <w:t xml:space="preserve">Morphological identification of </w:t>
      </w:r>
      <w:r w:rsidRPr="002210B3">
        <w:rPr>
          <w:i/>
          <w:iCs/>
          <w:lang w:eastAsia="fr-FR"/>
        </w:rPr>
        <w:t>Gyrodactylus</w:t>
      </w:r>
      <w:r w:rsidRPr="002210B3">
        <w:rPr>
          <w:lang w:eastAsia="fr-FR"/>
        </w:rPr>
        <w:t xml:space="preserve"> species is based on the morphology and morphometry of marginal hooks anchors (hamuli) and bars in the opisthaptor (the attachment organ). Good preparation of specimens is a prerequisite for species identification. Morphological identification is only recommended for preliminary diagnosis of </w:t>
      </w:r>
      <w:r w:rsidRPr="002210B3">
        <w:rPr>
          <w:i/>
          <w:lang w:eastAsia="fr-FR"/>
        </w:rPr>
        <w:t>G. salaris</w:t>
      </w:r>
      <w:r w:rsidRPr="002210B3">
        <w:rPr>
          <w:lang w:eastAsia="fr-FR"/>
        </w:rPr>
        <w:t xml:space="preserve"> and should not be used for confirmation, for which molecular methods are recommended.</w:t>
      </w:r>
    </w:p>
    <w:p w14:paraId="792D4E4C" w14:textId="77777777" w:rsidR="000A62A2" w:rsidRPr="002210B3" w:rsidRDefault="000A62A2" w:rsidP="000A62A2">
      <w:pPr>
        <w:pStyle w:val="Para20"/>
        <w:ind w:left="851"/>
        <w:rPr>
          <w:lang w:eastAsia="fr-FR"/>
        </w:rPr>
      </w:pPr>
      <w:r w:rsidRPr="002210B3">
        <w:rPr>
          <w:lang w:eastAsia="fr-FR"/>
        </w:rPr>
        <w:t>Digestion of the soft tissue, leaving the hard parts only, is recommended when high-resolution morphometrics is required for reliable morphometric diagnosis. The soft tissue can be digested in a solution (approx. 1 µl) of 75</w:t>
      </w:r>
      <w:r>
        <w:rPr>
          <w:lang w:eastAsia="fr-FR"/>
        </w:rPr>
        <w:t> </w:t>
      </w:r>
      <w:r w:rsidRPr="002210B3">
        <w:rPr>
          <w:lang w:eastAsia="fr-FR"/>
        </w:rPr>
        <w:t>mM Tris, 10 mM EDTA (ethylene diamine tetra-acetic acid), 5% SDS (sodium dodecyl sulphate) and 100 mg ml</w:t>
      </w:r>
      <w:r w:rsidRPr="002210B3">
        <w:rPr>
          <w:vertAlign w:val="superscript"/>
          <w:lang w:eastAsia="fr-FR"/>
        </w:rPr>
        <w:t>–1</w:t>
      </w:r>
      <w:r w:rsidRPr="002210B3">
        <w:rPr>
          <w:lang w:eastAsia="fr-FR"/>
        </w:rPr>
        <w:t xml:space="preserve"> proteinase K, pH 8.0. After adding the digestion solution, the reaction should be inspected in the microscope until completion and then ended by adding a stop solution (1:1 glycerol and 10% neutral buffered formalin). The procedure for digestion is described in detail in </w:t>
      </w:r>
      <w:r w:rsidRPr="00237712">
        <w:rPr>
          <w:lang w:eastAsia="fr-FR"/>
        </w:rPr>
        <w:t xml:space="preserve">Harris </w:t>
      </w:r>
      <w:r w:rsidRPr="00237712">
        <w:rPr>
          <w:i/>
          <w:lang w:eastAsia="fr-FR"/>
        </w:rPr>
        <w:t>et al</w:t>
      </w:r>
      <w:r w:rsidRPr="00237712">
        <w:rPr>
          <w:lang w:eastAsia="fr-FR"/>
        </w:rPr>
        <w:t>., 1999</w:t>
      </w:r>
      <w:r w:rsidRPr="002210B3">
        <w:rPr>
          <w:lang w:eastAsia="fr-FR"/>
        </w:rPr>
        <w:t xml:space="preserve">. Identification of </w:t>
      </w:r>
      <w:r w:rsidRPr="002210B3">
        <w:rPr>
          <w:i/>
          <w:iCs/>
          <w:lang w:eastAsia="fr-FR"/>
        </w:rPr>
        <w:t>G. salaris</w:t>
      </w:r>
      <w:r w:rsidRPr="002210B3">
        <w:rPr>
          <w:lang w:eastAsia="fr-FR"/>
        </w:rPr>
        <w:t xml:space="preserve"> should be in accordance with references: </w:t>
      </w:r>
      <w:r w:rsidRPr="00237712">
        <w:rPr>
          <w:lang w:eastAsia="fr-FR"/>
        </w:rPr>
        <w:t xml:space="preserve">Cunningham </w:t>
      </w:r>
      <w:r w:rsidRPr="00237712">
        <w:rPr>
          <w:i/>
          <w:lang w:eastAsia="fr-FR"/>
        </w:rPr>
        <w:t>et al</w:t>
      </w:r>
      <w:r w:rsidRPr="00237712">
        <w:rPr>
          <w:lang w:eastAsia="fr-FR"/>
        </w:rPr>
        <w:t>., 2001</w:t>
      </w:r>
      <w:r w:rsidRPr="002210B3">
        <w:rPr>
          <w:lang w:eastAsia="fr-FR"/>
        </w:rPr>
        <w:t xml:space="preserve">; </w:t>
      </w:r>
      <w:r w:rsidRPr="00237712">
        <w:rPr>
          <w:lang w:eastAsia="fr-FR"/>
        </w:rPr>
        <w:t>Malmberg, 1957</w:t>
      </w:r>
      <w:r w:rsidRPr="002210B3">
        <w:rPr>
          <w:lang w:eastAsia="fr-FR"/>
        </w:rPr>
        <w:t>;</w:t>
      </w:r>
      <w:r>
        <w:rPr>
          <w:lang w:eastAsia="fr-FR"/>
        </w:rPr>
        <w:t xml:space="preserve"> </w:t>
      </w:r>
      <w:r w:rsidRPr="00237712">
        <w:rPr>
          <w:lang w:eastAsia="fr-FR"/>
        </w:rPr>
        <w:t>1970</w:t>
      </w:r>
      <w:r w:rsidRPr="002210B3">
        <w:rPr>
          <w:lang w:eastAsia="fr-FR"/>
        </w:rPr>
        <w:t xml:space="preserve">; </w:t>
      </w:r>
      <w:r w:rsidRPr="00237712">
        <w:rPr>
          <w:lang w:eastAsia="fr-FR"/>
        </w:rPr>
        <w:t xml:space="preserve">McHugh </w:t>
      </w:r>
      <w:r w:rsidRPr="00237712">
        <w:rPr>
          <w:i/>
          <w:lang w:eastAsia="fr-FR"/>
        </w:rPr>
        <w:t>et al</w:t>
      </w:r>
      <w:r w:rsidRPr="00237712">
        <w:rPr>
          <w:lang w:eastAsia="fr-FR"/>
        </w:rPr>
        <w:t>., 2000</w:t>
      </w:r>
      <w:r w:rsidRPr="002210B3">
        <w:rPr>
          <w:lang w:eastAsia="fr-FR"/>
        </w:rPr>
        <w:t xml:space="preserve">; </w:t>
      </w:r>
      <w:r w:rsidRPr="00237712">
        <w:rPr>
          <w:lang w:eastAsia="fr-FR"/>
        </w:rPr>
        <w:t xml:space="preserve">Olstad </w:t>
      </w:r>
      <w:r w:rsidRPr="00237712">
        <w:rPr>
          <w:i/>
          <w:lang w:eastAsia="fr-FR"/>
        </w:rPr>
        <w:t>et al</w:t>
      </w:r>
      <w:r w:rsidRPr="00237712">
        <w:rPr>
          <w:lang w:eastAsia="fr-FR"/>
        </w:rPr>
        <w:t>., 2007b</w:t>
      </w:r>
      <w:r w:rsidRPr="002210B3">
        <w:rPr>
          <w:lang w:eastAsia="fr-FR"/>
        </w:rPr>
        <w:t xml:space="preserve">; </w:t>
      </w:r>
      <w:r w:rsidRPr="00237712">
        <w:rPr>
          <w:lang w:eastAsia="fr-FR"/>
        </w:rPr>
        <w:t xml:space="preserve">Shinn </w:t>
      </w:r>
      <w:r w:rsidRPr="00237712">
        <w:rPr>
          <w:i/>
          <w:lang w:eastAsia="fr-FR"/>
        </w:rPr>
        <w:t>et al</w:t>
      </w:r>
      <w:r w:rsidRPr="00237712">
        <w:rPr>
          <w:lang w:eastAsia="fr-FR"/>
        </w:rPr>
        <w:t>., 2004</w:t>
      </w:r>
      <w:r w:rsidRPr="002210B3">
        <w:rPr>
          <w:lang w:eastAsia="fr-FR"/>
        </w:rPr>
        <w:t>.</w:t>
      </w:r>
    </w:p>
    <w:p w14:paraId="5A21B2EB" w14:textId="77777777" w:rsidR="000A62A2" w:rsidRPr="002210B3" w:rsidRDefault="000A62A2" w:rsidP="000A62A2">
      <w:pPr>
        <w:pStyle w:val="Para20"/>
        <w:ind w:left="851"/>
        <w:rPr>
          <w:lang w:eastAsia="fr-FR"/>
        </w:rPr>
      </w:pPr>
      <w:r w:rsidRPr="002210B3">
        <w:rPr>
          <w:lang w:eastAsia="fr-FR"/>
        </w:rPr>
        <w:t xml:space="preserve">The size of the opisthaptoral hard parts in </w:t>
      </w:r>
      <w:r w:rsidRPr="002210B3">
        <w:rPr>
          <w:i/>
          <w:iCs/>
          <w:lang w:eastAsia="fr-FR"/>
        </w:rPr>
        <w:t>Gyrodactylus</w:t>
      </w:r>
      <w:r w:rsidRPr="002210B3">
        <w:rPr>
          <w:lang w:eastAsia="fr-FR"/>
        </w:rPr>
        <w:t xml:space="preserve"> varies extensively with, for example, temperature, whereas shape is more stable (see e.g</w:t>
      </w:r>
      <w:r>
        <w:rPr>
          <w:lang w:eastAsia="fr-FR"/>
        </w:rPr>
        <w:t>.</w:t>
      </w:r>
      <w:r w:rsidRPr="002210B3">
        <w:rPr>
          <w:lang w:eastAsia="fr-FR"/>
        </w:rPr>
        <w:t xml:space="preserve"> </w:t>
      </w:r>
      <w:r w:rsidRPr="00237712">
        <w:rPr>
          <w:lang w:eastAsia="fr-FR"/>
        </w:rPr>
        <w:t>Mo, 1991a</w:t>
      </w:r>
      <w:r w:rsidRPr="002210B3">
        <w:rPr>
          <w:lang w:eastAsia="fr-FR"/>
        </w:rPr>
        <w:t>). The capability of linear measurements to capture morphology might therefore not always be sufficient for reliable diagnosis (</w:t>
      </w:r>
      <w:r w:rsidRPr="00237712">
        <w:rPr>
          <w:lang w:eastAsia="fr-FR"/>
        </w:rPr>
        <w:t xml:space="preserve">Olstad </w:t>
      </w:r>
      <w:r w:rsidRPr="00237712">
        <w:rPr>
          <w:i/>
          <w:lang w:eastAsia="fr-FR"/>
        </w:rPr>
        <w:t>et al</w:t>
      </w:r>
      <w:r w:rsidRPr="00237712">
        <w:rPr>
          <w:lang w:eastAsia="fr-FR"/>
        </w:rPr>
        <w:t>., 2007b</w:t>
      </w:r>
      <w:r w:rsidRPr="002210B3">
        <w:rPr>
          <w:lang w:eastAsia="fr-FR"/>
        </w:rPr>
        <w:t>).</w:t>
      </w:r>
    </w:p>
    <w:p w14:paraId="59D9BE35" w14:textId="77777777" w:rsidR="000A62A2" w:rsidRPr="002210B3" w:rsidRDefault="000A62A2" w:rsidP="000A62A2">
      <w:pPr>
        <w:pStyle w:val="Para20"/>
        <w:ind w:left="851"/>
        <w:rPr>
          <w:lang w:eastAsia="fr-FR"/>
        </w:rPr>
      </w:pPr>
      <w:r w:rsidRPr="002210B3">
        <w:rPr>
          <w:i/>
          <w:iCs/>
          <w:lang w:eastAsia="fr-FR"/>
        </w:rPr>
        <w:t>Gyrodactylus</w:t>
      </w:r>
      <w:r w:rsidRPr="002210B3">
        <w:rPr>
          <w:lang w:eastAsia="fr-FR"/>
        </w:rPr>
        <w:t xml:space="preserve"> </w:t>
      </w:r>
      <w:r w:rsidRPr="002210B3">
        <w:rPr>
          <w:i/>
          <w:iCs/>
          <w:lang w:eastAsia="fr-FR"/>
        </w:rPr>
        <w:t>salaris</w:t>
      </w:r>
      <w:r w:rsidRPr="002210B3">
        <w:rPr>
          <w:lang w:eastAsia="fr-FR"/>
        </w:rPr>
        <w:t xml:space="preserve"> can be differentiated from </w:t>
      </w:r>
      <w:r w:rsidRPr="002210B3">
        <w:rPr>
          <w:i/>
          <w:iCs/>
          <w:lang w:eastAsia="fr-FR"/>
        </w:rPr>
        <w:t>Gyrodactylus</w:t>
      </w:r>
      <w:r w:rsidRPr="002210B3">
        <w:rPr>
          <w:lang w:eastAsia="fr-FR"/>
        </w:rPr>
        <w:t xml:space="preserve"> species by trained morphologists on the basis of morphology but not from </w:t>
      </w:r>
      <w:r w:rsidRPr="002210B3">
        <w:rPr>
          <w:i/>
          <w:iCs/>
          <w:lang w:eastAsia="fr-FR"/>
        </w:rPr>
        <w:t>G. thymalli</w:t>
      </w:r>
      <w:r w:rsidRPr="002210B3">
        <w:rPr>
          <w:iCs/>
          <w:lang w:eastAsia="fr-FR"/>
        </w:rPr>
        <w:t xml:space="preserve"> (Olstad </w:t>
      </w:r>
      <w:r w:rsidRPr="002210B3">
        <w:rPr>
          <w:i/>
          <w:iCs/>
          <w:lang w:eastAsia="fr-FR"/>
        </w:rPr>
        <w:t>et al</w:t>
      </w:r>
      <w:r w:rsidRPr="002210B3">
        <w:rPr>
          <w:iCs/>
          <w:lang w:eastAsia="fr-FR"/>
        </w:rPr>
        <w:t>., 2007b)</w:t>
      </w:r>
      <w:r w:rsidRPr="002210B3">
        <w:rPr>
          <w:lang w:eastAsia="fr-FR"/>
        </w:rPr>
        <w:t xml:space="preserve">. In addition, </w:t>
      </w:r>
      <w:r w:rsidRPr="002210B3">
        <w:rPr>
          <w:i/>
          <w:iCs/>
          <w:lang w:eastAsia="fr-FR"/>
        </w:rPr>
        <w:t>G. salaris</w:t>
      </w:r>
      <w:r w:rsidRPr="002210B3">
        <w:rPr>
          <w:lang w:eastAsia="fr-FR"/>
        </w:rPr>
        <w:t xml:space="preserve"> is morphologically similar to </w:t>
      </w:r>
      <w:r w:rsidRPr="002210B3">
        <w:rPr>
          <w:i/>
          <w:iCs/>
          <w:lang w:eastAsia="fr-FR"/>
        </w:rPr>
        <w:t>Gyrodactylus teuchis</w:t>
      </w:r>
      <w:r w:rsidRPr="002210B3">
        <w:rPr>
          <w:lang w:eastAsia="fr-FR"/>
        </w:rPr>
        <w:t xml:space="preserve"> from brown trout, Atlantic salmon, and rainbow trout, but can be differentiated by trained morphologists on the basis of the shape of the marginal hook sickle. </w:t>
      </w:r>
      <w:r w:rsidRPr="002210B3">
        <w:rPr>
          <w:i/>
          <w:iCs/>
          <w:lang w:eastAsia="fr-FR"/>
        </w:rPr>
        <w:t>G. teuchis</w:t>
      </w:r>
      <w:r w:rsidRPr="002210B3">
        <w:rPr>
          <w:lang w:eastAsia="fr-FR"/>
        </w:rPr>
        <w:t xml:space="preserve"> has a longer and more constantly curved sickle blade (see </w:t>
      </w:r>
      <w:r w:rsidRPr="006E2ACD">
        <w:rPr>
          <w:lang w:eastAsia="fr-FR"/>
        </w:rPr>
        <w:t xml:space="preserve">Cunningham </w:t>
      </w:r>
      <w:r w:rsidRPr="006E2ACD">
        <w:rPr>
          <w:i/>
          <w:lang w:eastAsia="fr-FR"/>
        </w:rPr>
        <w:t>et al</w:t>
      </w:r>
      <w:r w:rsidRPr="006E2ACD">
        <w:rPr>
          <w:lang w:eastAsia="fr-FR"/>
        </w:rPr>
        <w:t>., 2001</w:t>
      </w:r>
      <w:r w:rsidRPr="002210B3">
        <w:rPr>
          <w:lang w:eastAsia="fr-FR"/>
        </w:rPr>
        <w:t xml:space="preserve">). </w:t>
      </w:r>
    </w:p>
    <w:p w14:paraId="1162D31F" w14:textId="77777777" w:rsidR="000A62A2" w:rsidRPr="00CA456F" w:rsidRDefault="000A62A2" w:rsidP="000A62A2">
      <w:pPr>
        <w:pStyle w:val="Titre2"/>
        <w:ind w:left="851" w:hanging="425"/>
        <w:rPr>
          <w:rFonts w:ascii="Ottawa" w:hAnsi="Ottawa"/>
          <w:b/>
          <w:sz w:val="21"/>
          <w:szCs w:val="21"/>
          <w:lang w:val="en-IE"/>
        </w:rPr>
      </w:pPr>
      <w:r w:rsidRPr="00CA456F">
        <w:rPr>
          <w:rFonts w:ascii="Ottawa" w:hAnsi="Ottawa"/>
          <w:b/>
          <w:sz w:val="21"/>
          <w:szCs w:val="21"/>
          <w:lang w:val="en-IE"/>
        </w:rPr>
        <w:t>4.2.</w:t>
      </w:r>
      <w:r w:rsidRPr="00CA456F">
        <w:rPr>
          <w:rFonts w:ascii="Ottawa" w:hAnsi="Ottawa"/>
          <w:b/>
          <w:sz w:val="21"/>
          <w:szCs w:val="21"/>
          <w:lang w:val="en-IE"/>
        </w:rPr>
        <w:tab/>
        <w:t>Histopathology and cytopathology</w:t>
      </w:r>
    </w:p>
    <w:p w14:paraId="1749F3E7" w14:textId="77777777" w:rsidR="000A62A2" w:rsidRPr="002210B3" w:rsidRDefault="000A62A2" w:rsidP="000A62A2">
      <w:pPr>
        <w:pStyle w:val="Para20"/>
        <w:ind w:left="851"/>
        <w:rPr>
          <w:lang w:eastAsia="fr-FR"/>
        </w:rPr>
      </w:pPr>
      <w:r w:rsidRPr="002210B3">
        <w:rPr>
          <w:lang w:eastAsia="zh-CN"/>
        </w:rPr>
        <w:t>No</w:t>
      </w:r>
      <w:r w:rsidRPr="002210B3">
        <w:rPr>
          <w:lang w:eastAsia="fr-FR"/>
        </w:rPr>
        <w:t>t applicable.</w:t>
      </w:r>
    </w:p>
    <w:p w14:paraId="0B1E9BC5" w14:textId="77777777" w:rsidR="000A62A2" w:rsidRPr="00CA456F" w:rsidRDefault="000A62A2" w:rsidP="000A62A2">
      <w:pPr>
        <w:pStyle w:val="Titre2"/>
        <w:ind w:left="851" w:hanging="425"/>
        <w:rPr>
          <w:rFonts w:ascii="Ottawa" w:hAnsi="Ottawa"/>
          <w:b/>
          <w:sz w:val="21"/>
          <w:szCs w:val="21"/>
          <w:lang w:val="en-IE"/>
        </w:rPr>
      </w:pPr>
      <w:r w:rsidRPr="00CA456F">
        <w:rPr>
          <w:rFonts w:ascii="Ottawa" w:hAnsi="Ottawa"/>
          <w:b/>
          <w:sz w:val="21"/>
          <w:szCs w:val="21"/>
          <w:lang w:val="en-IE"/>
        </w:rPr>
        <w:t>4.3.</w:t>
      </w:r>
      <w:r w:rsidRPr="00CA456F">
        <w:rPr>
          <w:rFonts w:ascii="Ottawa" w:hAnsi="Ottawa"/>
          <w:b/>
          <w:sz w:val="21"/>
          <w:szCs w:val="21"/>
          <w:lang w:val="en-IE"/>
        </w:rPr>
        <w:tab/>
        <w:t>Cell or artificial media culture for isolation</w:t>
      </w:r>
    </w:p>
    <w:p w14:paraId="304A868B" w14:textId="77777777" w:rsidR="000A62A2" w:rsidRPr="00237712" w:rsidRDefault="000A62A2" w:rsidP="000A62A2">
      <w:pPr>
        <w:pStyle w:val="Para20"/>
        <w:ind w:left="851"/>
      </w:pPr>
      <w:r w:rsidRPr="00237712">
        <w:rPr>
          <w:lang w:bidi="en-US"/>
        </w:rPr>
        <w:t xml:space="preserve">Not applicable. </w:t>
      </w:r>
    </w:p>
    <w:p w14:paraId="36186241" w14:textId="77777777" w:rsidR="000A62A2" w:rsidRPr="00CA456F" w:rsidRDefault="000A62A2" w:rsidP="000A62A2">
      <w:pPr>
        <w:pStyle w:val="Titre2"/>
        <w:ind w:left="851" w:hanging="425"/>
        <w:rPr>
          <w:rFonts w:ascii="Ottawa" w:hAnsi="Ottawa"/>
          <w:b/>
          <w:sz w:val="21"/>
          <w:szCs w:val="21"/>
          <w:lang w:val="en-IE"/>
        </w:rPr>
      </w:pPr>
      <w:r w:rsidRPr="00CA456F">
        <w:rPr>
          <w:rFonts w:ascii="Ottawa" w:hAnsi="Ottawa"/>
          <w:b/>
          <w:sz w:val="21"/>
          <w:szCs w:val="21"/>
          <w:lang w:val="en-IE"/>
        </w:rPr>
        <w:t>4.4.</w:t>
      </w:r>
      <w:r w:rsidRPr="00CA456F">
        <w:rPr>
          <w:rFonts w:ascii="Ottawa" w:hAnsi="Ottawa"/>
          <w:b/>
          <w:sz w:val="21"/>
          <w:szCs w:val="21"/>
          <w:lang w:val="en-IE"/>
        </w:rPr>
        <w:tab/>
        <w:t xml:space="preserve">Nucleic acid amplification </w:t>
      </w:r>
    </w:p>
    <w:p w14:paraId="607E36B2" w14:textId="77777777" w:rsidR="000A62A2" w:rsidRPr="002210B3" w:rsidRDefault="000A62A2" w:rsidP="000A62A2">
      <w:pPr>
        <w:pStyle w:val="Para20"/>
        <w:ind w:left="851"/>
      </w:pPr>
      <w:r w:rsidRPr="002210B3">
        <w:t>For all molecular tests below DNA can be extracted using standard DNA extraction kits.</w:t>
      </w:r>
    </w:p>
    <w:p w14:paraId="650537C2" w14:textId="77777777" w:rsidR="000A62A2" w:rsidRPr="002210B3" w:rsidRDefault="000A62A2" w:rsidP="00CA456F">
      <w:pPr>
        <w:pStyle w:val="111"/>
        <w:ind w:firstLine="0"/>
        <w:rPr>
          <w:lang w:val="en-IE"/>
        </w:rPr>
      </w:pPr>
      <w:r w:rsidRPr="002210B3">
        <w:rPr>
          <w:lang w:val="en-IE"/>
        </w:rPr>
        <w:t>4.</w:t>
      </w:r>
      <w:r>
        <w:rPr>
          <w:lang w:val="en-IE"/>
        </w:rPr>
        <w:t>4</w:t>
      </w:r>
      <w:r w:rsidRPr="002210B3">
        <w:rPr>
          <w:lang w:val="en-IE"/>
        </w:rPr>
        <w:t>.1.</w:t>
      </w:r>
      <w:r w:rsidRPr="002210B3">
        <w:rPr>
          <w:lang w:val="en-IE"/>
        </w:rPr>
        <w:tab/>
        <w:t xml:space="preserve">Real-time PCR </w:t>
      </w:r>
    </w:p>
    <w:p w14:paraId="1438F94D" w14:textId="77777777" w:rsidR="000A62A2" w:rsidRPr="002210B3" w:rsidRDefault="000A62A2" w:rsidP="000A62A2">
      <w:pPr>
        <w:pStyle w:val="Para3"/>
        <w:rPr>
          <w:lang w:eastAsia="zh-CN"/>
        </w:rPr>
      </w:pPr>
      <w:r w:rsidRPr="002210B3">
        <w:rPr>
          <w:lang w:eastAsia="zh-CN"/>
        </w:rPr>
        <w:t xml:space="preserve">Both real-time PCR (Collins </w:t>
      </w:r>
      <w:r w:rsidRPr="002210B3">
        <w:rPr>
          <w:i/>
          <w:lang w:eastAsia="zh-CN"/>
        </w:rPr>
        <w:t>et al</w:t>
      </w:r>
      <w:r w:rsidRPr="002210B3">
        <w:rPr>
          <w:lang w:eastAsia="zh-CN"/>
        </w:rPr>
        <w:t xml:space="preserve">., 2010) and digital droplet </w:t>
      </w:r>
      <w:r>
        <w:rPr>
          <w:lang w:eastAsia="zh-CN"/>
        </w:rPr>
        <w:t xml:space="preserve">(dd) </w:t>
      </w:r>
      <w:r w:rsidRPr="002210B3">
        <w:rPr>
          <w:lang w:eastAsia="zh-CN"/>
        </w:rPr>
        <w:t xml:space="preserve">PCR (Rusch </w:t>
      </w:r>
      <w:r w:rsidRPr="002210B3">
        <w:rPr>
          <w:i/>
          <w:lang w:eastAsia="zh-CN"/>
        </w:rPr>
        <w:t>et al</w:t>
      </w:r>
      <w:r w:rsidRPr="002210B3">
        <w:rPr>
          <w:lang w:eastAsia="zh-CN"/>
        </w:rPr>
        <w:t>., 2018) ha</w:t>
      </w:r>
      <w:r>
        <w:rPr>
          <w:lang w:eastAsia="zh-CN"/>
        </w:rPr>
        <w:t>ve</w:t>
      </w:r>
      <w:r w:rsidRPr="002210B3">
        <w:rPr>
          <w:lang w:eastAsia="zh-CN"/>
        </w:rPr>
        <w:t xml:space="preserve"> been developed for </w:t>
      </w:r>
      <w:r w:rsidRPr="002210B3">
        <w:rPr>
          <w:i/>
          <w:iCs/>
          <w:lang w:eastAsia="zh-CN"/>
        </w:rPr>
        <w:t>G. salaris</w:t>
      </w:r>
      <w:r w:rsidRPr="002210B3">
        <w:rPr>
          <w:iCs/>
          <w:lang w:eastAsia="zh-CN"/>
        </w:rPr>
        <w:t xml:space="preserve">. Real-time PCR has not been widely applied for diagnostics of </w:t>
      </w:r>
      <w:r w:rsidRPr="002210B3">
        <w:rPr>
          <w:i/>
          <w:iCs/>
          <w:lang w:eastAsia="zh-CN"/>
        </w:rPr>
        <w:t xml:space="preserve">G. salaris, </w:t>
      </w:r>
      <w:r w:rsidRPr="002210B3">
        <w:rPr>
          <w:iCs/>
          <w:lang w:eastAsia="zh-CN"/>
        </w:rPr>
        <w:t>and</w:t>
      </w:r>
      <w:r w:rsidRPr="002210B3">
        <w:rPr>
          <w:i/>
          <w:iCs/>
          <w:lang w:eastAsia="zh-CN"/>
        </w:rPr>
        <w:t xml:space="preserve"> </w:t>
      </w:r>
      <w:r w:rsidRPr="002210B3">
        <w:rPr>
          <w:iCs/>
          <w:lang w:eastAsia="zh-CN"/>
        </w:rPr>
        <w:t>ddPCR is developed for use in connection with eDNA-methods.</w:t>
      </w:r>
      <w:r w:rsidRPr="002210B3">
        <w:rPr>
          <w:lang w:eastAsia="zh-CN"/>
        </w:rPr>
        <w:t xml:space="preserve"> Both these methods target the ribosomal internal transcribed spacers region (ITS) and have the same diagnostic limitations as described in </w:t>
      </w:r>
      <w:r>
        <w:t xml:space="preserve">Sections </w:t>
      </w:r>
      <w:r w:rsidRPr="002210B3">
        <w:rPr>
          <w:lang w:eastAsia="zh-CN"/>
        </w:rPr>
        <w:t>4.</w:t>
      </w:r>
      <w:r>
        <w:rPr>
          <w:lang w:eastAsia="zh-CN"/>
        </w:rPr>
        <w:t>5</w:t>
      </w:r>
      <w:r w:rsidRPr="002210B3">
        <w:rPr>
          <w:lang w:eastAsia="zh-CN"/>
        </w:rPr>
        <w:t>.1 and 4.</w:t>
      </w:r>
      <w:r>
        <w:rPr>
          <w:lang w:eastAsia="zh-CN"/>
        </w:rPr>
        <w:t>5</w:t>
      </w:r>
      <w:r w:rsidRPr="002210B3">
        <w:rPr>
          <w:lang w:eastAsia="zh-CN"/>
        </w:rPr>
        <w:t>.2.</w:t>
      </w:r>
    </w:p>
    <w:p w14:paraId="68C0C10F" w14:textId="77777777" w:rsidR="000A62A2" w:rsidRPr="002210B3" w:rsidRDefault="000A62A2" w:rsidP="00CA456F">
      <w:pPr>
        <w:pStyle w:val="111"/>
        <w:ind w:firstLine="0"/>
        <w:rPr>
          <w:lang w:val="en-IE"/>
        </w:rPr>
      </w:pPr>
      <w:r w:rsidRPr="002210B3">
        <w:rPr>
          <w:lang w:val="en-IE"/>
        </w:rPr>
        <w:t>4.</w:t>
      </w:r>
      <w:r>
        <w:rPr>
          <w:lang w:val="en-IE"/>
        </w:rPr>
        <w:t>4</w:t>
      </w:r>
      <w:r w:rsidRPr="002210B3">
        <w:rPr>
          <w:lang w:val="en-IE"/>
        </w:rPr>
        <w:t>.2.</w:t>
      </w:r>
      <w:r w:rsidRPr="002210B3">
        <w:rPr>
          <w:lang w:val="en-IE"/>
        </w:rPr>
        <w:tab/>
        <w:t xml:space="preserve">Conventional PCR </w:t>
      </w:r>
    </w:p>
    <w:p w14:paraId="45BB3E3B" w14:textId="77777777" w:rsidR="000A62A2" w:rsidRPr="00237712" w:rsidRDefault="000A62A2" w:rsidP="000A62A2">
      <w:pPr>
        <w:pStyle w:val="Para3"/>
        <w:rPr>
          <w:i/>
          <w:iCs/>
        </w:rPr>
      </w:pPr>
      <w:r w:rsidRPr="00237712">
        <w:rPr>
          <w:i/>
          <w:iCs/>
        </w:rPr>
        <w:t xml:space="preserve">Analysis of the ribosomal RNA gene internal transcribed spacer region </w:t>
      </w:r>
      <w:r w:rsidRPr="00237712">
        <w:t>(</w:t>
      </w:r>
      <w:r w:rsidRPr="00237712">
        <w:rPr>
          <w:i/>
          <w:iCs/>
        </w:rPr>
        <w:t>ITS)</w:t>
      </w:r>
    </w:p>
    <w:p w14:paraId="3B4F38D9" w14:textId="77777777" w:rsidR="000A62A2" w:rsidRPr="00237712" w:rsidRDefault="000A62A2" w:rsidP="000A62A2">
      <w:pPr>
        <w:pStyle w:val="Para3"/>
      </w:pPr>
      <w:r w:rsidRPr="00237712">
        <w:rPr>
          <w:i/>
          <w:iCs/>
        </w:rPr>
        <w:t>For amplification of a 1300 base pair product of the ITS-region, covering ITS1, 5.8S,</w:t>
      </w:r>
      <w:r w:rsidRPr="00237712">
        <w:t xml:space="preserve"> and ITS2, primers, such as 5’-TTT</w:t>
      </w:r>
      <w:r>
        <w:t>-</w:t>
      </w:r>
      <w:r w:rsidRPr="00237712">
        <w:t>CCG</w:t>
      </w:r>
      <w:r>
        <w:t>-</w:t>
      </w:r>
      <w:r w:rsidRPr="00237712">
        <w:t>TAG</w:t>
      </w:r>
      <w:r>
        <w:t>-</w:t>
      </w:r>
      <w:r w:rsidRPr="00237712">
        <w:t>GTG</w:t>
      </w:r>
      <w:r>
        <w:t>-</w:t>
      </w:r>
      <w:r w:rsidRPr="00237712">
        <w:t>AAC</w:t>
      </w:r>
      <w:r>
        <w:t>-</w:t>
      </w:r>
      <w:r w:rsidRPr="00237712">
        <w:t>CT-3’ and 5’-TCC</w:t>
      </w:r>
      <w:r>
        <w:t>-</w:t>
      </w:r>
      <w:r w:rsidRPr="00237712">
        <w:t>TCC</w:t>
      </w:r>
      <w:r>
        <w:t>-</w:t>
      </w:r>
      <w:r w:rsidRPr="00237712">
        <w:t>GCT</w:t>
      </w:r>
      <w:r>
        <w:t>-</w:t>
      </w:r>
      <w:r w:rsidRPr="00237712">
        <w:t>TAG</w:t>
      </w:r>
      <w:r>
        <w:t>-</w:t>
      </w:r>
      <w:r w:rsidRPr="00237712">
        <w:t>TGA</w:t>
      </w:r>
      <w:r>
        <w:t>-</w:t>
      </w:r>
      <w:r w:rsidRPr="00237712">
        <w:t>TA-3’, may be used. The cycling conditions for PCR are as follows, initial denaturation at 95°C for 5 minutes; 30 cycles of 94°C for 1</w:t>
      </w:r>
      <w:r>
        <w:t> </w:t>
      </w:r>
      <w:r w:rsidRPr="00237712">
        <w:t>minute, 50°C for 1 minute, 72°C for 2 minutes; final extension at 72°C for 7 minutes (</w:t>
      </w:r>
      <w:hyperlink r:id="rId225" w:anchor="chapitre_gyrodactylus_salaris.biblio-3">
        <w:r w:rsidRPr="00237712">
          <w:rPr>
            <w:rStyle w:val="Lienhypertexte"/>
            <w:color w:val="auto"/>
          </w:rPr>
          <w:t>Cunningham, 1997</w:t>
        </w:r>
      </w:hyperlink>
      <w:r w:rsidRPr="00237712">
        <w:t xml:space="preserve">). If partially degraded material is analysed or if the PCR above does not give a positive result, the ITS1 and ITS2 spacers can be amplified in two separate reactions using primer sets and PCR conditions described in </w:t>
      </w:r>
      <w:hyperlink r:id="rId226" w:anchor="chapitre_gyrodactylus_salaris.biblio-47">
        <w:r w:rsidRPr="00237712">
          <w:rPr>
            <w:rStyle w:val="Lienhypertexte"/>
            <w:color w:val="auto"/>
          </w:rPr>
          <w:t xml:space="preserve">Matejusová </w:t>
        </w:r>
        <w:r w:rsidRPr="00237712">
          <w:rPr>
            <w:rStyle w:val="Lienhypertexte"/>
            <w:i/>
            <w:iCs/>
            <w:color w:val="auto"/>
          </w:rPr>
          <w:t>et al.</w:t>
        </w:r>
        <w:r w:rsidRPr="00237712">
          <w:rPr>
            <w:rStyle w:val="Lienhypertexte"/>
            <w:color w:val="auto"/>
          </w:rPr>
          <w:t>, 2001</w:t>
        </w:r>
      </w:hyperlink>
      <w:r w:rsidRPr="00237712">
        <w:t>. The amplification of ITS2 alone, using the primers 5’-CAT</w:t>
      </w:r>
      <w:r>
        <w:t>-</w:t>
      </w:r>
      <w:r w:rsidRPr="00237712">
        <w:t>CGG</w:t>
      </w:r>
      <w:r>
        <w:t>-</w:t>
      </w:r>
      <w:r w:rsidRPr="00237712">
        <w:t>TCT</w:t>
      </w:r>
      <w:r>
        <w:t>-</w:t>
      </w:r>
      <w:r w:rsidRPr="00237712">
        <w:t>CTC</w:t>
      </w:r>
      <w:r>
        <w:t>-</w:t>
      </w:r>
      <w:r w:rsidRPr="00237712">
        <w:t>GAA</w:t>
      </w:r>
      <w:r>
        <w:t>-</w:t>
      </w:r>
      <w:r w:rsidRPr="00237712">
        <w:t>CG-3’ and 5’-TCC</w:t>
      </w:r>
      <w:r>
        <w:t>-</w:t>
      </w:r>
      <w:r w:rsidRPr="00237712">
        <w:t>TCC</w:t>
      </w:r>
      <w:r>
        <w:t>-</w:t>
      </w:r>
      <w:r w:rsidRPr="00237712">
        <w:t>GCT</w:t>
      </w:r>
      <w:r>
        <w:t>-</w:t>
      </w:r>
      <w:r w:rsidRPr="00237712">
        <w:t>TAG</w:t>
      </w:r>
      <w:r>
        <w:t>-</w:t>
      </w:r>
      <w:r w:rsidRPr="00237712">
        <w:t>TGA</w:t>
      </w:r>
      <w:r>
        <w:t>-</w:t>
      </w:r>
      <w:r w:rsidRPr="00237712">
        <w:t>TA-3’ and using the same protocol as above is sufficient.</w:t>
      </w:r>
    </w:p>
    <w:p w14:paraId="09D6508B" w14:textId="77777777" w:rsidR="000A62A2" w:rsidRPr="00237712" w:rsidRDefault="000A62A2" w:rsidP="000A62A2">
      <w:pPr>
        <w:pStyle w:val="Para3"/>
      </w:pPr>
      <w:r w:rsidRPr="00237712">
        <w:t xml:space="preserve">The primers for amplification of ITS are not specific to </w:t>
      </w:r>
      <w:r w:rsidRPr="00F11742">
        <w:rPr>
          <w:i/>
          <w:iCs/>
        </w:rPr>
        <w:t>G. salaris</w:t>
      </w:r>
      <w:r w:rsidRPr="00237712">
        <w:t xml:space="preserve"> and will amplify all or most species of </w:t>
      </w:r>
      <w:r w:rsidRPr="00237712">
        <w:rPr>
          <w:i/>
          <w:iCs/>
        </w:rPr>
        <w:t>Gyrodactylus</w:t>
      </w:r>
      <w:r w:rsidRPr="00237712">
        <w:t>. Positive PCR products should thus be sequenced for species confirmation (</w:t>
      </w:r>
      <w:r>
        <w:t xml:space="preserve">Section </w:t>
      </w:r>
      <w:r w:rsidRPr="00237712">
        <w:t>4.</w:t>
      </w:r>
      <w:r>
        <w:t>5</w:t>
      </w:r>
      <w:r w:rsidRPr="00237712">
        <w:t>).</w:t>
      </w:r>
    </w:p>
    <w:p w14:paraId="78E350E8" w14:textId="77777777" w:rsidR="00CA456F" w:rsidRDefault="00CA456F">
      <w:pPr>
        <w:rPr>
          <w:rFonts w:ascii="Arial" w:eastAsia="Times New Roman" w:hAnsi="Arial" w:cs="Times New Roman"/>
          <w:bCs/>
          <w:i/>
          <w:iCs/>
          <w:sz w:val="18"/>
          <w:lang w:val="en-IE"/>
        </w:rPr>
      </w:pPr>
      <w:r>
        <w:rPr>
          <w:i/>
          <w:iCs/>
        </w:rPr>
        <w:br w:type="page"/>
      </w:r>
    </w:p>
    <w:p w14:paraId="2056D7F1" w14:textId="77777777" w:rsidR="00CA456F" w:rsidRPr="00CA456F" w:rsidRDefault="00CA456F" w:rsidP="00CA456F">
      <w:pPr>
        <w:pStyle w:val="Titre3"/>
        <w:spacing w:after="480"/>
        <w:jc w:val="right"/>
        <w:rPr>
          <w:bCs/>
          <w:i w:val="0"/>
          <w:iCs/>
        </w:rPr>
      </w:pPr>
      <w:r w:rsidRPr="00CA456F">
        <w:rPr>
          <w:rFonts w:cs="Times New Roman"/>
          <w:i w:val="0"/>
          <w:szCs w:val="20"/>
          <w:u w:val="single"/>
        </w:rPr>
        <w:lastRenderedPageBreak/>
        <w:t>A</w:t>
      </w:r>
      <w:r w:rsidRPr="00CA456F">
        <w:rPr>
          <w:rFonts w:cs="Times New Roman"/>
          <w:bCs/>
          <w:i w:val="0"/>
          <w:iCs/>
          <w:szCs w:val="20"/>
          <w:u w:val="single"/>
        </w:rPr>
        <w:t>nnex 15</w:t>
      </w:r>
      <w:r w:rsidRPr="00CA456F">
        <w:rPr>
          <w:rFonts w:cs="Times New Roman"/>
          <w:bCs/>
          <w:i w:val="0"/>
          <w:iCs/>
          <w:szCs w:val="20"/>
        </w:rPr>
        <w:t xml:space="preserve"> (contd)</w:t>
      </w:r>
    </w:p>
    <w:p w14:paraId="7DDC9439" w14:textId="53A84170" w:rsidR="000A62A2" w:rsidRPr="00237712" w:rsidRDefault="000A62A2" w:rsidP="000A62A2">
      <w:pPr>
        <w:pStyle w:val="Para3"/>
      </w:pPr>
      <w:r w:rsidRPr="00237712">
        <w:rPr>
          <w:i/>
          <w:iCs/>
        </w:rPr>
        <w:t>Analysis of the mitochondrial cytochrome oxidase I</w:t>
      </w:r>
      <w:r w:rsidRPr="00237712">
        <w:t xml:space="preserve"> (</w:t>
      </w:r>
      <w:r w:rsidRPr="00237712">
        <w:rPr>
          <w:i/>
          <w:iCs/>
        </w:rPr>
        <w:t>CO1</w:t>
      </w:r>
      <w:r w:rsidRPr="00237712">
        <w:t xml:space="preserve">) </w:t>
      </w:r>
      <w:r w:rsidRPr="00237712">
        <w:rPr>
          <w:i/>
          <w:iCs/>
        </w:rPr>
        <w:t>gene</w:t>
      </w:r>
    </w:p>
    <w:p w14:paraId="122F4399" w14:textId="77777777" w:rsidR="000A62A2" w:rsidRPr="00237712" w:rsidRDefault="000A62A2" w:rsidP="000A62A2">
      <w:pPr>
        <w:pStyle w:val="Para3"/>
      </w:pPr>
      <w:r w:rsidRPr="00237712">
        <w:t>For amplification of the CO1-gene, the primers 5’-ATA</w:t>
      </w:r>
      <w:r>
        <w:t>-</w:t>
      </w:r>
      <w:r w:rsidRPr="00237712">
        <w:t>TAG</w:t>
      </w:r>
      <w:r>
        <w:t>-</w:t>
      </w:r>
      <w:r w:rsidRPr="00237712">
        <w:t>ACG</w:t>
      </w:r>
      <w:r>
        <w:t>-</w:t>
      </w:r>
      <w:r w:rsidRPr="00237712">
        <w:t>ATT</w:t>
      </w:r>
      <w:r>
        <w:t>-</w:t>
      </w:r>
      <w:r w:rsidRPr="00237712">
        <w:t>TGT</w:t>
      </w:r>
      <w:r>
        <w:t>-</w:t>
      </w:r>
      <w:r w:rsidRPr="00237712">
        <w:t>TTT</w:t>
      </w:r>
      <w:r>
        <w:t>-</w:t>
      </w:r>
      <w:r w:rsidRPr="00237712">
        <w:t>CA</w:t>
      </w:r>
      <w:r>
        <w:t>-</w:t>
      </w:r>
      <w:r w:rsidRPr="00237712">
        <w:t>3’ and 5’-ACA</w:t>
      </w:r>
      <w:r>
        <w:t>-</w:t>
      </w:r>
      <w:r w:rsidRPr="00237712">
        <w:t>GAT</w:t>
      </w:r>
      <w:r>
        <w:t>-</w:t>
      </w:r>
      <w:r w:rsidRPr="00237712">
        <w:t>TAC</w:t>
      </w:r>
      <w:r>
        <w:t>-</w:t>
      </w:r>
      <w:r w:rsidRPr="00237712">
        <w:t>TTG</w:t>
      </w:r>
      <w:r>
        <w:t>-</w:t>
      </w:r>
      <w:r w:rsidRPr="00237712">
        <w:t>GTA</w:t>
      </w:r>
      <w:r>
        <w:t>-</w:t>
      </w:r>
      <w:r w:rsidRPr="00237712">
        <w:t>TTA</w:t>
      </w:r>
      <w:r>
        <w:t>-</w:t>
      </w:r>
      <w:r w:rsidRPr="00237712">
        <w:t xml:space="preserve">CA-3’ (Kuusela </w:t>
      </w:r>
      <w:r w:rsidRPr="00237712">
        <w:rPr>
          <w:i/>
          <w:iCs/>
        </w:rPr>
        <w:t>et al.,</w:t>
      </w:r>
      <w:r w:rsidRPr="00237712">
        <w:t xml:space="preserve"> 2009) may be used to amplify the full-length gene (1600 base pairs) which is recommended. The primers 5’-TAA</w:t>
      </w:r>
      <w:r>
        <w:t>-</w:t>
      </w:r>
      <w:r w:rsidRPr="00237712">
        <w:t>TCG</w:t>
      </w:r>
      <w:r>
        <w:t>-</w:t>
      </w:r>
      <w:r w:rsidRPr="00237712">
        <w:t>GCG</w:t>
      </w:r>
      <w:r>
        <w:t>-</w:t>
      </w:r>
      <w:r w:rsidRPr="00237712">
        <w:t>GGT</w:t>
      </w:r>
      <w:r>
        <w:t>-</w:t>
      </w:r>
      <w:r w:rsidRPr="00237712">
        <w:t>TCG</w:t>
      </w:r>
      <w:r>
        <w:t>-</w:t>
      </w:r>
      <w:r w:rsidRPr="00237712">
        <w:t>GTA-A-3’ and 5’-GAA</w:t>
      </w:r>
      <w:r>
        <w:t>-</w:t>
      </w:r>
      <w:r w:rsidRPr="00237712">
        <w:t>CCA</w:t>
      </w:r>
      <w:r>
        <w:t>-</w:t>
      </w:r>
      <w:r w:rsidRPr="00237712">
        <w:t>TGT</w:t>
      </w:r>
      <w:r>
        <w:t>-</w:t>
      </w:r>
      <w:r w:rsidRPr="00237712">
        <w:t>ATC</w:t>
      </w:r>
      <w:r>
        <w:t>-</w:t>
      </w:r>
      <w:r w:rsidRPr="00237712">
        <w:t>GTG</w:t>
      </w:r>
      <w:r>
        <w:t>-</w:t>
      </w:r>
      <w:r w:rsidRPr="00237712">
        <w:t>TAG</w:t>
      </w:r>
      <w:r>
        <w:t>-</w:t>
      </w:r>
      <w:r w:rsidRPr="00237712">
        <w:t>CA-3’) (</w:t>
      </w:r>
      <w:hyperlink r:id="rId227" w:anchor="chapitre_gyrodactylus_salaris.biblio-15" w:history="1">
        <w:r w:rsidRPr="00237712">
          <w:rPr>
            <w:rStyle w:val="Lienhypertexte"/>
            <w:color w:val="auto"/>
          </w:rPr>
          <w:t>Meinil</w:t>
        </w:r>
        <w:r>
          <w:rPr>
            <w:rStyle w:val="Lienhypertexte"/>
            <w:color w:val="auto"/>
          </w:rPr>
          <w:t>a</w:t>
        </w:r>
        <w:r w:rsidRPr="00237712">
          <w:rPr>
            <w:rStyle w:val="Lienhypertexte"/>
            <w:color w:val="auto"/>
          </w:rPr>
          <w:t xml:space="preserve"> </w:t>
        </w:r>
        <w:r w:rsidRPr="00237712">
          <w:rPr>
            <w:rStyle w:val="Lienhypertexte"/>
            <w:i/>
            <w:iCs/>
            <w:color w:val="auto"/>
          </w:rPr>
          <w:t xml:space="preserve">et al., </w:t>
        </w:r>
        <w:r w:rsidRPr="00237712">
          <w:rPr>
            <w:rStyle w:val="Lienhypertexte"/>
            <w:color w:val="auto"/>
          </w:rPr>
          <w:t>2002</w:t>
        </w:r>
      </w:hyperlink>
      <w:r w:rsidRPr="00237712">
        <w:t>) may be used to amplify a 800 base pairs fragment if the first PCR is unsuccessful. The cycling conditions for both PCRs are as follows, initial denaturation at 95°C for 5</w:t>
      </w:r>
      <w:r>
        <w:t> </w:t>
      </w:r>
      <w:r w:rsidRPr="00237712">
        <w:t xml:space="preserve">minutes; 35 cycles of 95°C for 1 minute, 50°C for 1 minute, 72°C for 2 minutes; final extension at 72°C for 7 minutes. Additional primer sets for amplification of CO1 can be found in references: </w:t>
      </w:r>
      <w:hyperlink r:id="rId228" w:anchor="chapitre_gyrodactylus_salaris.biblio-15" w:history="1">
        <w:r w:rsidRPr="00237712">
          <w:rPr>
            <w:rStyle w:val="Lienhypertexte"/>
            <w:color w:val="auto"/>
          </w:rPr>
          <w:t>Meinil</w:t>
        </w:r>
        <w:r>
          <w:rPr>
            <w:rStyle w:val="Lienhypertexte"/>
            <w:color w:val="auto"/>
          </w:rPr>
          <w:t>a</w:t>
        </w:r>
        <w:r w:rsidRPr="00237712">
          <w:rPr>
            <w:rStyle w:val="Lienhypertexte"/>
            <w:color w:val="auto"/>
          </w:rPr>
          <w:t xml:space="preserve"> </w:t>
        </w:r>
        <w:r w:rsidRPr="00237712">
          <w:rPr>
            <w:rStyle w:val="Lienhypertexte"/>
            <w:i/>
            <w:iCs/>
            <w:color w:val="auto"/>
          </w:rPr>
          <w:t xml:space="preserve">et al., </w:t>
        </w:r>
        <w:r w:rsidRPr="00237712">
          <w:rPr>
            <w:rStyle w:val="Lienhypertexte"/>
            <w:color w:val="auto"/>
          </w:rPr>
          <w:t>2002</w:t>
        </w:r>
      </w:hyperlink>
      <w:r w:rsidRPr="00237712">
        <w:t xml:space="preserve">; </w:t>
      </w:r>
      <w:hyperlink r:id="rId229" w:anchor="chapitre_gyrodactylus_salaris.biblio-16" w:history="1">
        <w:r w:rsidRPr="00237712">
          <w:rPr>
            <w:rStyle w:val="Lienhypertexte"/>
            <w:color w:val="auto"/>
          </w:rPr>
          <w:t>2004</w:t>
        </w:r>
      </w:hyperlink>
      <w:r w:rsidRPr="00237712">
        <w:rPr>
          <w:rStyle w:val="Lienhypertexte"/>
          <w:color w:val="auto"/>
        </w:rPr>
        <w:t xml:space="preserve">, Kuusela </w:t>
      </w:r>
      <w:r w:rsidRPr="00237712">
        <w:rPr>
          <w:rStyle w:val="Lienhypertexte"/>
          <w:i/>
          <w:iCs/>
          <w:color w:val="auto"/>
        </w:rPr>
        <w:t xml:space="preserve">et al., </w:t>
      </w:r>
      <w:r w:rsidRPr="00237712">
        <w:rPr>
          <w:rStyle w:val="Lienhypertexte"/>
          <w:color w:val="auto"/>
        </w:rPr>
        <w:t>2009</w:t>
      </w:r>
      <w:r w:rsidRPr="00237712">
        <w:t>.</w:t>
      </w:r>
    </w:p>
    <w:p w14:paraId="3A4105D8" w14:textId="77777777" w:rsidR="000A62A2" w:rsidRPr="00237712" w:rsidRDefault="000A62A2" w:rsidP="000A62A2">
      <w:pPr>
        <w:pStyle w:val="Para3"/>
      </w:pPr>
      <w:r w:rsidRPr="00237712">
        <w:t xml:space="preserve">Primers recommended for amplification of CO1 might not be specific for </w:t>
      </w:r>
      <w:r w:rsidRPr="006E2ACD">
        <w:rPr>
          <w:i/>
          <w:iCs/>
        </w:rPr>
        <w:t>G. salaris</w:t>
      </w:r>
      <w:r w:rsidRPr="00237712">
        <w:t>. Positive PCR products should thus be sequenced for species confirmation (</w:t>
      </w:r>
      <w:r>
        <w:t xml:space="preserve">Section </w:t>
      </w:r>
      <w:r w:rsidRPr="00237712">
        <w:t>4.</w:t>
      </w:r>
      <w:r>
        <w:t>5</w:t>
      </w:r>
      <w:r w:rsidRPr="00237712">
        <w:t>).</w:t>
      </w:r>
    </w:p>
    <w:p w14:paraId="6B8A1153" w14:textId="77777777" w:rsidR="000A62A2" w:rsidRPr="00237712" w:rsidRDefault="000A62A2" w:rsidP="000A62A2">
      <w:pPr>
        <w:pStyle w:val="Para3"/>
      </w:pPr>
      <w:r w:rsidRPr="00237712">
        <w:t>The following controls should be run with each assay: negative extraction control; positive control; no template control.</w:t>
      </w:r>
    </w:p>
    <w:p w14:paraId="2AC77F89" w14:textId="77777777" w:rsidR="000A62A2" w:rsidRPr="007F35B1" w:rsidRDefault="000A62A2" w:rsidP="000A62A2">
      <w:pPr>
        <w:pStyle w:val="111"/>
        <w:ind w:firstLine="0"/>
        <w:rPr>
          <w:lang w:val="en-IE"/>
        </w:rPr>
      </w:pPr>
      <w:r w:rsidRPr="007F35B1">
        <w:rPr>
          <w:lang w:val="en-IE"/>
        </w:rPr>
        <w:t>4.</w:t>
      </w:r>
      <w:r>
        <w:rPr>
          <w:lang w:val="en-IE"/>
        </w:rPr>
        <w:t>4</w:t>
      </w:r>
      <w:r w:rsidRPr="007F35B1">
        <w:rPr>
          <w:lang w:val="en-IE"/>
        </w:rPr>
        <w:t>.3.</w:t>
      </w:r>
      <w:r w:rsidRPr="007F35B1">
        <w:rPr>
          <w:lang w:val="en-IE"/>
        </w:rPr>
        <w:tab/>
        <w:t>Other nuc</w:t>
      </w:r>
      <w:r>
        <w:rPr>
          <w:lang w:val="en-IE"/>
        </w:rPr>
        <w:t>leic acid amplification methods</w:t>
      </w:r>
    </w:p>
    <w:p w14:paraId="42747147" w14:textId="77777777" w:rsidR="000A62A2" w:rsidRPr="002210B3" w:rsidRDefault="000A62A2" w:rsidP="000A62A2">
      <w:pPr>
        <w:pStyle w:val="Para3"/>
        <w:rPr>
          <w:lang w:eastAsia="zh-CN"/>
        </w:rPr>
      </w:pPr>
      <w:r w:rsidRPr="002210B3">
        <w:rPr>
          <w:lang w:eastAsia="zh-CN"/>
        </w:rPr>
        <w:t>Not applicable.</w:t>
      </w:r>
    </w:p>
    <w:p w14:paraId="082A87B7" w14:textId="77777777" w:rsidR="000A62A2" w:rsidRPr="00CA456F" w:rsidRDefault="000A62A2" w:rsidP="000A62A2">
      <w:pPr>
        <w:pStyle w:val="Titre2"/>
        <w:ind w:left="851" w:hanging="425"/>
        <w:rPr>
          <w:rFonts w:ascii="Ottawa" w:hAnsi="Ottawa"/>
          <w:b/>
          <w:sz w:val="21"/>
          <w:szCs w:val="21"/>
          <w:lang w:val="en-IE"/>
        </w:rPr>
      </w:pPr>
      <w:r w:rsidRPr="00CA456F">
        <w:rPr>
          <w:rFonts w:ascii="Ottawa" w:hAnsi="Ottawa"/>
          <w:b/>
          <w:sz w:val="21"/>
          <w:szCs w:val="21"/>
          <w:lang w:val="en-IE"/>
        </w:rPr>
        <w:t>4.5.</w:t>
      </w:r>
      <w:r w:rsidRPr="00CA456F">
        <w:rPr>
          <w:rFonts w:ascii="Ottawa" w:hAnsi="Ottawa"/>
          <w:b/>
          <w:sz w:val="21"/>
          <w:szCs w:val="21"/>
          <w:lang w:val="en-IE"/>
        </w:rPr>
        <w:tab/>
        <w:t>Amplicon sequencing</w:t>
      </w:r>
    </w:p>
    <w:p w14:paraId="62A51F91" w14:textId="77777777" w:rsidR="000A62A2" w:rsidRPr="00CA456F" w:rsidRDefault="000A62A2" w:rsidP="00CA456F">
      <w:pPr>
        <w:pStyle w:val="111"/>
        <w:ind w:firstLine="0"/>
        <w:rPr>
          <w:lang w:val="en-IE"/>
        </w:rPr>
      </w:pPr>
      <w:r w:rsidRPr="00CA456F">
        <w:rPr>
          <w:rFonts w:hint="eastAsia"/>
          <w:lang w:val="en-IE"/>
        </w:rPr>
        <w:t>4</w:t>
      </w:r>
      <w:r w:rsidRPr="00CA456F">
        <w:rPr>
          <w:lang w:val="en-IE"/>
        </w:rPr>
        <w:t xml:space="preserve">.5.1. </w:t>
      </w:r>
      <w:r w:rsidRPr="00CA456F">
        <w:rPr>
          <w:lang w:val="en-IE"/>
        </w:rPr>
        <w:tab/>
        <w:t>ITS sequencing and sequence analysis</w:t>
      </w:r>
    </w:p>
    <w:p w14:paraId="73B8DE55" w14:textId="77777777" w:rsidR="000A62A2" w:rsidRPr="002210B3" w:rsidRDefault="000A62A2" w:rsidP="000A62A2">
      <w:pPr>
        <w:pStyle w:val="Para3"/>
        <w:rPr>
          <w:rFonts w:cs="Arial"/>
          <w:lang w:bidi="en-US"/>
        </w:rPr>
      </w:pPr>
      <w:r w:rsidRPr="002210B3">
        <w:rPr>
          <w:rFonts w:cs="Arial"/>
          <w:lang w:bidi="en-US"/>
        </w:rPr>
        <w:t xml:space="preserve">Amplified ITS fragments prepared as in Section </w:t>
      </w:r>
      <w:r w:rsidRPr="006E2ACD">
        <w:rPr>
          <w:rFonts w:cs="Arial"/>
          <w:lang w:bidi="en-US"/>
        </w:rPr>
        <w:t>4.</w:t>
      </w:r>
      <w:r>
        <w:rPr>
          <w:rFonts w:cs="Arial"/>
          <w:lang w:eastAsia="zh-CN" w:bidi="en-US"/>
        </w:rPr>
        <w:t>4</w:t>
      </w:r>
      <w:r w:rsidRPr="006E2ACD">
        <w:rPr>
          <w:rFonts w:cs="Arial"/>
          <w:lang w:eastAsia="zh-CN" w:bidi="en-US"/>
        </w:rPr>
        <w:t>.</w:t>
      </w:r>
      <w:r w:rsidRPr="006E2ACD">
        <w:rPr>
          <w:rFonts w:cs="Arial"/>
          <w:lang w:bidi="en-US"/>
        </w:rPr>
        <w:t>2</w:t>
      </w:r>
      <w:r w:rsidRPr="002210B3">
        <w:rPr>
          <w:rFonts w:cs="Arial"/>
        </w:rPr>
        <w:t xml:space="preserve"> </w:t>
      </w:r>
      <w:r w:rsidRPr="002210B3">
        <w:rPr>
          <w:rFonts w:cs="Arial"/>
          <w:lang w:bidi="en-US"/>
        </w:rPr>
        <w:t>should be sequenced using the PCR primers and, in addition, internal sequencing primers (</w:t>
      </w:r>
      <w:hyperlink r:id="rId230" w:anchor="chapitre_gyrodactylus_salaris.biblio-3">
        <w:r w:rsidRPr="00237712">
          <w:rPr>
            <w:rStyle w:val="Lienhypertexte"/>
            <w:color w:val="auto"/>
          </w:rPr>
          <w:t>Cunningham, 1997</w:t>
        </w:r>
      </w:hyperlink>
      <w:r>
        <w:rPr>
          <w:rStyle w:val="Lienhypertexte"/>
          <w:color w:val="auto"/>
        </w:rPr>
        <w:t xml:space="preserve">; </w:t>
      </w:r>
      <w:hyperlink r:id="rId231" w:anchor="chapitre_gyrodactylus_salaris.biblio-47">
        <w:r w:rsidRPr="00237712">
          <w:rPr>
            <w:rStyle w:val="Lienhypertexte"/>
            <w:color w:val="auto"/>
          </w:rPr>
          <w:t xml:space="preserve">Matejusová </w:t>
        </w:r>
        <w:r w:rsidRPr="00237712">
          <w:rPr>
            <w:rStyle w:val="Lienhypertexte"/>
            <w:i/>
            <w:iCs/>
            <w:color w:val="auto"/>
          </w:rPr>
          <w:t>et al.</w:t>
        </w:r>
        <w:r w:rsidRPr="00237712">
          <w:rPr>
            <w:rStyle w:val="Lienhypertexte"/>
            <w:color w:val="auto"/>
          </w:rPr>
          <w:t>, 2001</w:t>
        </w:r>
      </w:hyperlink>
      <w:r w:rsidRPr="002210B3">
        <w:rPr>
          <w:rFonts w:cs="Arial"/>
          <w:lang w:bidi="en-US"/>
        </w:rPr>
        <w:t xml:space="preserve">) should be used to obtain overlapping reads of each nucleotide. The resulting ITS sequences should be subjected to a BLAST search in GenBank/EMBL to establish identity with known sequences. Several sequences of other species infecting salmonids, e.g. </w:t>
      </w:r>
      <w:r w:rsidRPr="002210B3">
        <w:rPr>
          <w:rFonts w:cs="Arial"/>
          <w:i/>
          <w:iCs/>
          <w:lang w:bidi="en-US"/>
        </w:rPr>
        <w:t>G.</w:t>
      </w:r>
      <w:r>
        <w:rPr>
          <w:rFonts w:cs="Arial"/>
          <w:i/>
          <w:iCs/>
          <w:lang w:bidi="en-US"/>
        </w:rPr>
        <w:t> </w:t>
      </w:r>
      <w:r w:rsidRPr="002210B3">
        <w:rPr>
          <w:rFonts w:cs="Arial"/>
          <w:i/>
          <w:iCs/>
          <w:lang w:bidi="en-US"/>
        </w:rPr>
        <w:t>derjavini</w:t>
      </w:r>
      <w:r w:rsidRPr="002210B3">
        <w:rPr>
          <w:rFonts w:cs="Arial"/>
          <w:lang w:bidi="en-US"/>
        </w:rPr>
        <w:t xml:space="preserve">, </w:t>
      </w:r>
      <w:r w:rsidRPr="002210B3">
        <w:rPr>
          <w:rFonts w:cs="Arial"/>
          <w:i/>
          <w:iCs/>
          <w:lang w:bidi="en-US"/>
        </w:rPr>
        <w:t>G. derjavinoides</w:t>
      </w:r>
      <w:r w:rsidRPr="002210B3">
        <w:rPr>
          <w:rFonts w:cs="Arial"/>
          <w:lang w:bidi="en-US"/>
        </w:rPr>
        <w:t xml:space="preserve">, </w:t>
      </w:r>
      <w:r w:rsidRPr="002210B3">
        <w:rPr>
          <w:rFonts w:cs="Arial"/>
          <w:i/>
          <w:iCs/>
          <w:lang w:bidi="en-US"/>
        </w:rPr>
        <w:t>G. truttae</w:t>
      </w:r>
      <w:r w:rsidRPr="002210B3">
        <w:rPr>
          <w:rFonts w:cs="Arial"/>
          <w:lang w:bidi="en-US"/>
        </w:rPr>
        <w:t xml:space="preserve">, and </w:t>
      </w:r>
      <w:r w:rsidRPr="002210B3">
        <w:rPr>
          <w:rFonts w:cs="Arial"/>
          <w:i/>
          <w:iCs/>
          <w:lang w:bidi="en-US"/>
        </w:rPr>
        <w:t>G. teuchis</w:t>
      </w:r>
      <w:r w:rsidRPr="002210B3">
        <w:rPr>
          <w:rFonts w:cs="Arial"/>
          <w:lang w:bidi="en-US"/>
        </w:rPr>
        <w:t xml:space="preserve"> are available in GenBank/EMBL. </w:t>
      </w:r>
      <w:r w:rsidRPr="002210B3">
        <w:rPr>
          <w:rFonts w:cs="Arial"/>
          <w:i/>
          <w:iCs/>
          <w:lang w:bidi="en-US"/>
        </w:rPr>
        <w:t>G. thymalli</w:t>
      </w:r>
      <w:r w:rsidRPr="002210B3">
        <w:rPr>
          <w:rFonts w:cs="Arial"/>
          <w:lang w:bidi="en-US"/>
        </w:rPr>
        <w:t xml:space="preserve"> cannot be distinguished from </w:t>
      </w:r>
      <w:r w:rsidRPr="002210B3">
        <w:rPr>
          <w:rFonts w:cs="Arial"/>
          <w:i/>
          <w:iCs/>
          <w:lang w:bidi="en-US"/>
        </w:rPr>
        <w:t>G. salaris</w:t>
      </w:r>
      <w:r w:rsidRPr="002210B3">
        <w:rPr>
          <w:rFonts w:cs="Arial"/>
          <w:lang w:bidi="en-US"/>
        </w:rPr>
        <w:t xml:space="preserve"> by this method, but sequences of ITS distinguishes </w:t>
      </w:r>
      <w:r w:rsidRPr="002210B3">
        <w:rPr>
          <w:rFonts w:cs="Arial"/>
          <w:i/>
          <w:iCs/>
          <w:lang w:bidi="en-US"/>
        </w:rPr>
        <w:t>G. salaris</w:t>
      </w:r>
      <w:r w:rsidRPr="002210B3">
        <w:rPr>
          <w:rFonts w:cs="Arial"/>
          <w:lang w:bidi="en-US"/>
        </w:rPr>
        <w:t xml:space="preserve"> from all other known species. If the BLAST search identifies the parasite as </w:t>
      </w:r>
      <w:r w:rsidRPr="002210B3">
        <w:rPr>
          <w:rFonts w:cs="Arial"/>
          <w:i/>
          <w:iCs/>
          <w:lang w:bidi="en-US"/>
        </w:rPr>
        <w:t>G. salaris</w:t>
      </w:r>
      <w:r w:rsidRPr="002210B3">
        <w:rPr>
          <w:rFonts w:cs="Arial"/>
          <w:lang w:bidi="en-US"/>
        </w:rPr>
        <w:t>, CO1 sequencing and sequence analysis should be performed (</w:t>
      </w:r>
      <w:r>
        <w:rPr>
          <w:rFonts w:cs="Arial"/>
          <w:lang w:bidi="en-US"/>
        </w:rPr>
        <w:t xml:space="preserve">Section </w:t>
      </w:r>
      <w:r w:rsidRPr="002210B3">
        <w:rPr>
          <w:rFonts w:cs="Arial"/>
          <w:lang w:bidi="en-US"/>
        </w:rPr>
        <w:t>4.</w:t>
      </w:r>
      <w:r>
        <w:rPr>
          <w:rFonts w:cs="Arial"/>
          <w:lang w:bidi="en-US"/>
        </w:rPr>
        <w:t>5</w:t>
      </w:r>
      <w:r w:rsidRPr="002210B3">
        <w:rPr>
          <w:rFonts w:cs="Arial"/>
          <w:lang w:bidi="en-US"/>
        </w:rPr>
        <w:t>.2).</w:t>
      </w:r>
    </w:p>
    <w:p w14:paraId="163648DC" w14:textId="77777777" w:rsidR="000A62A2" w:rsidRPr="002210B3" w:rsidRDefault="000A62A2" w:rsidP="00CA456F">
      <w:pPr>
        <w:pStyle w:val="111"/>
        <w:ind w:firstLine="0"/>
        <w:rPr>
          <w:lang w:val="en-IE"/>
        </w:rPr>
      </w:pPr>
      <w:r w:rsidRPr="002210B3">
        <w:rPr>
          <w:lang w:val="en-IE"/>
        </w:rPr>
        <w:t>4.</w:t>
      </w:r>
      <w:r>
        <w:rPr>
          <w:lang w:val="en-IE"/>
        </w:rPr>
        <w:t>5</w:t>
      </w:r>
      <w:r w:rsidRPr="002210B3">
        <w:rPr>
          <w:lang w:val="en-IE"/>
        </w:rPr>
        <w:t>.2.</w:t>
      </w:r>
      <w:r w:rsidRPr="002210B3">
        <w:rPr>
          <w:lang w:val="en-IE"/>
        </w:rPr>
        <w:tab/>
        <w:t>CO1 sequencing and sequence analysis</w:t>
      </w:r>
    </w:p>
    <w:p w14:paraId="3B95DBA4" w14:textId="77777777" w:rsidR="000A62A2" w:rsidRPr="002210B3" w:rsidRDefault="000A62A2" w:rsidP="000A62A2">
      <w:pPr>
        <w:pStyle w:val="Para3"/>
        <w:rPr>
          <w:rFonts w:cs="Arial"/>
          <w:szCs w:val="18"/>
        </w:rPr>
      </w:pPr>
      <w:r w:rsidRPr="002210B3">
        <w:rPr>
          <w:rFonts w:cs="Arial"/>
          <w:szCs w:val="18"/>
        </w:rPr>
        <w:t>Amplified CO1 fragments prepared as described in Section 4.</w:t>
      </w:r>
      <w:r>
        <w:rPr>
          <w:rFonts w:cs="Arial"/>
          <w:szCs w:val="18"/>
        </w:rPr>
        <w:t>4</w:t>
      </w:r>
      <w:r w:rsidRPr="002210B3">
        <w:rPr>
          <w:rFonts w:cs="Arial"/>
          <w:szCs w:val="18"/>
        </w:rPr>
        <w:t xml:space="preserve">.2 should be sequenced </w:t>
      </w:r>
      <w:r w:rsidRPr="002210B3">
        <w:rPr>
          <w:rFonts w:cs="Arial"/>
          <w:szCs w:val="18"/>
          <w:lang w:bidi="en-US"/>
        </w:rPr>
        <w:t>and, in addition, internal sequencing primers (</w:t>
      </w:r>
      <w:r w:rsidRPr="005E5F91">
        <w:rPr>
          <w:rFonts w:cs="Arial"/>
          <w:szCs w:val="18"/>
          <w:lang w:bidi="en-US"/>
        </w:rPr>
        <w:t xml:space="preserve">Kuusela </w:t>
      </w:r>
      <w:r w:rsidRPr="00057E23">
        <w:rPr>
          <w:rFonts w:cs="Arial"/>
          <w:i/>
          <w:iCs/>
          <w:szCs w:val="18"/>
          <w:lang w:bidi="en-US"/>
        </w:rPr>
        <w:t>et al</w:t>
      </w:r>
      <w:r w:rsidRPr="005E5F91">
        <w:rPr>
          <w:rFonts w:cs="Arial"/>
          <w:szCs w:val="18"/>
          <w:lang w:bidi="en-US"/>
        </w:rPr>
        <w:t>., 2009</w:t>
      </w:r>
      <w:r>
        <w:rPr>
          <w:rFonts w:cs="Arial"/>
          <w:szCs w:val="18"/>
          <w:lang w:bidi="en-US"/>
        </w:rPr>
        <w:t>;</w:t>
      </w:r>
      <w:r w:rsidRPr="005E5F91">
        <w:rPr>
          <w:rFonts w:cs="Arial"/>
          <w:szCs w:val="18"/>
          <w:lang w:bidi="en-US"/>
        </w:rPr>
        <w:t xml:space="preserve"> Meinila </w:t>
      </w:r>
      <w:r w:rsidRPr="00057E23">
        <w:rPr>
          <w:rFonts w:cs="Arial"/>
          <w:i/>
          <w:iCs/>
          <w:szCs w:val="18"/>
          <w:lang w:bidi="en-US"/>
        </w:rPr>
        <w:t>et al</w:t>
      </w:r>
      <w:r w:rsidRPr="005E5F91">
        <w:rPr>
          <w:rFonts w:cs="Arial"/>
          <w:szCs w:val="18"/>
          <w:lang w:bidi="en-US"/>
        </w:rPr>
        <w:t>., 2002</w:t>
      </w:r>
      <w:r w:rsidRPr="002210B3">
        <w:rPr>
          <w:rFonts w:cs="Arial"/>
          <w:szCs w:val="18"/>
          <w:lang w:bidi="en-US"/>
        </w:rPr>
        <w:t xml:space="preserve">) should be used to obtain overlapping reads of each nucleotide. The resulting CO1 sequences </w:t>
      </w:r>
      <w:r w:rsidRPr="002210B3">
        <w:rPr>
          <w:rFonts w:cs="Arial"/>
          <w:szCs w:val="18"/>
        </w:rPr>
        <w:t>should be subjected to a BLAST search in GenBank/EMBL</w:t>
      </w:r>
      <w:r w:rsidRPr="002210B3">
        <w:rPr>
          <w:rFonts w:cs="Arial"/>
          <w:szCs w:val="18"/>
          <w:lang w:bidi="en-US"/>
        </w:rPr>
        <w:t xml:space="preserve"> to identify the haplotype.</w:t>
      </w:r>
      <w:r w:rsidRPr="002210B3" w:rsidDel="00FE1CBF">
        <w:rPr>
          <w:rFonts w:cs="Arial"/>
          <w:szCs w:val="18"/>
        </w:rPr>
        <w:t xml:space="preserve"> </w:t>
      </w:r>
    </w:p>
    <w:p w14:paraId="7F17F37F" w14:textId="77777777" w:rsidR="000A62A2" w:rsidRPr="002210B3" w:rsidRDefault="000A62A2" w:rsidP="000A62A2">
      <w:pPr>
        <w:pStyle w:val="Para3"/>
        <w:rPr>
          <w:rFonts w:cs="Arial"/>
          <w:szCs w:val="18"/>
        </w:rPr>
      </w:pPr>
      <w:r w:rsidRPr="002210B3">
        <w:rPr>
          <w:rFonts w:cs="Arial"/>
        </w:rPr>
        <w:t xml:space="preserve">If the obtained sequence does not have a 100% match in GenBank/EMBL, a phylogenetic analysis can be performed to establish the relationship to other available sequences. Different haplotypes and clades of </w:t>
      </w:r>
      <w:r w:rsidRPr="002210B3">
        <w:rPr>
          <w:rFonts w:cs="Arial"/>
          <w:i/>
          <w:iCs/>
        </w:rPr>
        <w:t>G.</w:t>
      </w:r>
      <w:r>
        <w:rPr>
          <w:rFonts w:cs="Arial"/>
          <w:i/>
          <w:iCs/>
        </w:rPr>
        <w:t> </w:t>
      </w:r>
      <w:r w:rsidRPr="002210B3">
        <w:rPr>
          <w:rFonts w:cs="Arial"/>
          <w:i/>
          <w:iCs/>
        </w:rPr>
        <w:t>salaris</w:t>
      </w:r>
      <w:r w:rsidRPr="002210B3">
        <w:rPr>
          <w:rFonts w:cs="Arial"/>
        </w:rPr>
        <w:t xml:space="preserve"> and </w:t>
      </w:r>
      <w:r w:rsidRPr="002210B3">
        <w:rPr>
          <w:rFonts w:cs="Arial"/>
          <w:i/>
          <w:iCs/>
        </w:rPr>
        <w:t xml:space="preserve">G. thymalli </w:t>
      </w:r>
      <w:r w:rsidRPr="002210B3">
        <w:rPr>
          <w:rFonts w:cs="Arial"/>
        </w:rPr>
        <w:t xml:space="preserve">can be distinguished with this method. CO1 sequences can be used to assign specimens to a haplotype or clade and thus infer the identity as </w:t>
      </w:r>
      <w:r w:rsidRPr="002210B3">
        <w:rPr>
          <w:rFonts w:cs="Arial"/>
          <w:i/>
          <w:iCs/>
        </w:rPr>
        <w:t>G. salaris</w:t>
      </w:r>
      <w:r w:rsidRPr="002210B3">
        <w:rPr>
          <w:rFonts w:cs="Arial"/>
        </w:rPr>
        <w:t xml:space="preserve"> or </w:t>
      </w:r>
      <w:r w:rsidRPr="002210B3">
        <w:rPr>
          <w:rFonts w:cs="Arial"/>
          <w:i/>
          <w:iCs/>
        </w:rPr>
        <w:t>G.thymalli</w:t>
      </w:r>
      <w:r w:rsidRPr="002210B3">
        <w:rPr>
          <w:rFonts w:cs="Arial"/>
        </w:rPr>
        <w:t xml:space="preserve">. Clades (haplogroups) of </w:t>
      </w:r>
      <w:r w:rsidRPr="002210B3">
        <w:rPr>
          <w:rFonts w:cs="Arial"/>
          <w:i/>
          <w:iCs/>
        </w:rPr>
        <w:t>G. salaris</w:t>
      </w:r>
      <w:r w:rsidRPr="002210B3">
        <w:rPr>
          <w:rFonts w:cs="Arial"/>
        </w:rPr>
        <w:t xml:space="preserve"> generally correspond well to host preferences and/or the geographical distribution of the parasites, with a few exceptions, and some strains, as defined by CO1-sequences (haplotypes), are known to be pathogenic to Atlantic salmon. </w:t>
      </w:r>
      <w:r w:rsidRPr="002210B3">
        <w:rPr>
          <w:rFonts w:cs="Arial"/>
          <w:szCs w:val="18"/>
        </w:rPr>
        <w:t>Host identity can be used to infer potential pathogenicity of a certain strain and thus host identity of sequence hits in GenBank/EMBL should always be checked when BLAST results are returned.</w:t>
      </w:r>
    </w:p>
    <w:p w14:paraId="7D1E82F8" w14:textId="437DE6D2" w:rsidR="000A62A2" w:rsidRDefault="000A62A2" w:rsidP="00CA456F">
      <w:pPr>
        <w:pStyle w:val="Para3"/>
        <w:rPr>
          <w:rFonts w:ascii="Ottawa" w:hAnsi="Ottawa"/>
          <w:b/>
          <w:sz w:val="21"/>
          <w:szCs w:val="21"/>
          <w:lang w:eastAsia="fr-FR"/>
        </w:rPr>
      </w:pPr>
      <w:r w:rsidRPr="002210B3">
        <w:rPr>
          <w:rFonts w:cs="Arial"/>
          <w:szCs w:val="18"/>
        </w:rPr>
        <w:t xml:space="preserve">Where the sequence is not assigned to one of the recognised haplotypes (CO1 sequences) of </w:t>
      </w:r>
      <w:r w:rsidRPr="002210B3">
        <w:rPr>
          <w:rFonts w:cs="Arial"/>
          <w:i/>
          <w:iCs/>
          <w:szCs w:val="18"/>
        </w:rPr>
        <w:t>G. salaris</w:t>
      </w:r>
      <w:r w:rsidRPr="002210B3">
        <w:rPr>
          <w:rFonts w:cs="Arial"/>
          <w:szCs w:val="18"/>
        </w:rPr>
        <w:t xml:space="preserve"> or </w:t>
      </w:r>
      <w:r w:rsidRPr="002210B3">
        <w:rPr>
          <w:rFonts w:cs="Arial"/>
          <w:i/>
          <w:iCs/>
          <w:szCs w:val="18"/>
        </w:rPr>
        <w:t xml:space="preserve">G. thymalli </w:t>
      </w:r>
      <w:r w:rsidRPr="002210B3">
        <w:rPr>
          <w:rFonts w:cs="Arial"/>
          <w:szCs w:val="18"/>
        </w:rPr>
        <w:t xml:space="preserve">advice should be sought from the OIE Reference Laboratory. The OIE Reference laboratory will keep an updated database of CO1-sequences and will assist in the diagnosis. It is recommended that the OIE Reference laboratory is informed of any significant detections of </w:t>
      </w:r>
      <w:r w:rsidRPr="002210B3">
        <w:rPr>
          <w:rFonts w:cs="Arial"/>
          <w:i/>
          <w:szCs w:val="18"/>
        </w:rPr>
        <w:t>G. salaris</w:t>
      </w:r>
      <w:r w:rsidRPr="002210B3">
        <w:rPr>
          <w:rFonts w:cs="Arial"/>
          <w:szCs w:val="18"/>
        </w:rPr>
        <w:t xml:space="preserve"> and </w:t>
      </w:r>
      <w:r w:rsidRPr="002210B3">
        <w:rPr>
          <w:rFonts w:cs="Arial"/>
          <w:i/>
          <w:iCs/>
          <w:szCs w:val="18"/>
        </w:rPr>
        <w:t xml:space="preserve">G. thymalli </w:t>
      </w:r>
      <w:r w:rsidRPr="002210B3">
        <w:rPr>
          <w:rFonts w:cs="Arial"/>
          <w:szCs w:val="18"/>
        </w:rPr>
        <w:t>in order to confirm the cases.</w:t>
      </w:r>
    </w:p>
    <w:p w14:paraId="2DDABC2F" w14:textId="77777777" w:rsidR="000A62A2" w:rsidRPr="00CA456F" w:rsidRDefault="000A62A2" w:rsidP="000A62A2">
      <w:pPr>
        <w:pStyle w:val="Titre2"/>
        <w:ind w:left="851" w:hanging="425"/>
        <w:rPr>
          <w:rFonts w:ascii="Ottawa" w:hAnsi="Ottawa"/>
          <w:b/>
          <w:sz w:val="21"/>
          <w:szCs w:val="21"/>
          <w:lang w:val="en-IE"/>
        </w:rPr>
      </w:pPr>
      <w:r w:rsidRPr="00CA456F">
        <w:rPr>
          <w:rFonts w:ascii="Ottawa" w:hAnsi="Ottawa"/>
          <w:b/>
          <w:sz w:val="21"/>
          <w:szCs w:val="21"/>
          <w:lang w:val="en-IE"/>
        </w:rPr>
        <w:t>4.6.</w:t>
      </w:r>
      <w:r w:rsidRPr="00CA456F">
        <w:rPr>
          <w:rFonts w:ascii="Ottawa" w:hAnsi="Ottawa"/>
          <w:b/>
          <w:sz w:val="21"/>
          <w:szCs w:val="21"/>
          <w:lang w:val="en-IE"/>
        </w:rPr>
        <w:tab/>
        <w:t>In-situ hybridisation</w:t>
      </w:r>
    </w:p>
    <w:p w14:paraId="3B722E24" w14:textId="77777777" w:rsidR="000A62A2" w:rsidRPr="002210B3" w:rsidRDefault="000A62A2" w:rsidP="000A62A2">
      <w:pPr>
        <w:pStyle w:val="Para20"/>
        <w:ind w:left="851"/>
        <w:rPr>
          <w:lang w:eastAsia="zh-CN"/>
        </w:rPr>
      </w:pPr>
      <w:r w:rsidRPr="002210B3">
        <w:rPr>
          <w:lang w:eastAsia="zh-CN"/>
        </w:rPr>
        <w:t>Not applicable.</w:t>
      </w:r>
    </w:p>
    <w:p w14:paraId="2660F777" w14:textId="77777777" w:rsidR="000A62A2" w:rsidRPr="00CA456F" w:rsidRDefault="000A62A2" w:rsidP="000A62A2">
      <w:pPr>
        <w:pStyle w:val="Titre2"/>
        <w:ind w:left="851" w:hanging="425"/>
        <w:rPr>
          <w:rFonts w:ascii="Ottawa" w:hAnsi="Ottawa"/>
          <w:b/>
          <w:sz w:val="21"/>
          <w:szCs w:val="21"/>
          <w:lang w:val="en-IE"/>
        </w:rPr>
      </w:pPr>
      <w:r w:rsidRPr="00CA456F">
        <w:rPr>
          <w:rFonts w:ascii="Ottawa" w:hAnsi="Ottawa"/>
          <w:b/>
          <w:sz w:val="21"/>
          <w:szCs w:val="21"/>
          <w:lang w:val="en-IE"/>
        </w:rPr>
        <w:t>4.7.</w:t>
      </w:r>
      <w:r w:rsidRPr="00CA456F">
        <w:rPr>
          <w:rFonts w:ascii="Ottawa" w:hAnsi="Ottawa"/>
          <w:b/>
          <w:sz w:val="21"/>
          <w:szCs w:val="21"/>
          <w:lang w:val="en-IE"/>
        </w:rPr>
        <w:tab/>
        <w:t>Immunohistochemistry</w:t>
      </w:r>
    </w:p>
    <w:p w14:paraId="710268A5" w14:textId="77777777" w:rsidR="000A62A2" w:rsidRPr="002210B3" w:rsidRDefault="000A62A2" w:rsidP="000A62A2">
      <w:pPr>
        <w:pStyle w:val="Para20"/>
        <w:ind w:left="851"/>
        <w:rPr>
          <w:lang w:eastAsia="zh-CN"/>
        </w:rPr>
      </w:pPr>
      <w:r w:rsidRPr="002210B3">
        <w:rPr>
          <w:lang w:eastAsia="zh-CN"/>
        </w:rPr>
        <w:t>Not applicable.</w:t>
      </w:r>
    </w:p>
    <w:p w14:paraId="45192C2C" w14:textId="77777777" w:rsidR="00CA456F" w:rsidRPr="00CA456F" w:rsidRDefault="00CA456F" w:rsidP="00CA456F">
      <w:pPr>
        <w:pStyle w:val="Titre3"/>
        <w:spacing w:after="480"/>
        <w:rPr>
          <w:bCs/>
          <w:i w:val="0"/>
          <w:iCs/>
        </w:rPr>
      </w:pPr>
      <w:r w:rsidRPr="00CA456F">
        <w:rPr>
          <w:rFonts w:cs="Times New Roman"/>
          <w:i w:val="0"/>
          <w:szCs w:val="20"/>
          <w:u w:val="single"/>
        </w:rPr>
        <w:lastRenderedPageBreak/>
        <w:t>A</w:t>
      </w:r>
      <w:r w:rsidRPr="00CA456F">
        <w:rPr>
          <w:rFonts w:cs="Times New Roman"/>
          <w:bCs/>
          <w:i w:val="0"/>
          <w:iCs/>
          <w:szCs w:val="20"/>
          <w:u w:val="single"/>
        </w:rPr>
        <w:t>nnex 15</w:t>
      </w:r>
      <w:r w:rsidRPr="00CA456F">
        <w:rPr>
          <w:rFonts w:cs="Times New Roman"/>
          <w:bCs/>
          <w:i w:val="0"/>
          <w:iCs/>
          <w:szCs w:val="20"/>
        </w:rPr>
        <w:t xml:space="preserve"> (contd)</w:t>
      </w:r>
    </w:p>
    <w:p w14:paraId="047568AC" w14:textId="77777777" w:rsidR="000A62A2" w:rsidRPr="00CA456F" w:rsidRDefault="000A62A2" w:rsidP="00CA456F">
      <w:pPr>
        <w:pStyle w:val="Titre2"/>
        <w:ind w:left="993" w:hanging="567"/>
        <w:rPr>
          <w:rFonts w:ascii="Ottawa" w:hAnsi="Ottawa"/>
          <w:b/>
          <w:sz w:val="21"/>
          <w:szCs w:val="21"/>
          <w:lang w:val="en-IE"/>
        </w:rPr>
      </w:pPr>
      <w:r w:rsidRPr="00CA456F">
        <w:rPr>
          <w:rFonts w:ascii="Ottawa" w:hAnsi="Ottawa"/>
          <w:b/>
          <w:sz w:val="21"/>
          <w:szCs w:val="21"/>
          <w:lang w:val="en-IE"/>
        </w:rPr>
        <w:t>4.8.</w:t>
      </w:r>
      <w:r w:rsidRPr="00CA456F">
        <w:rPr>
          <w:rFonts w:ascii="Ottawa" w:hAnsi="Ottawa"/>
          <w:b/>
          <w:sz w:val="21"/>
          <w:szCs w:val="21"/>
          <w:lang w:val="en-IE"/>
        </w:rPr>
        <w:tab/>
        <w:t>Bioassay</w:t>
      </w:r>
    </w:p>
    <w:p w14:paraId="273D4329" w14:textId="77777777" w:rsidR="000A62A2" w:rsidRPr="002210B3" w:rsidRDefault="000A62A2" w:rsidP="00CA456F">
      <w:pPr>
        <w:pStyle w:val="Para20"/>
        <w:ind w:left="993"/>
        <w:rPr>
          <w:lang w:eastAsia="zh-CN"/>
        </w:rPr>
      </w:pPr>
      <w:r w:rsidRPr="002210B3">
        <w:rPr>
          <w:lang w:eastAsia="zh-CN"/>
        </w:rPr>
        <w:t>Not applicable.</w:t>
      </w:r>
    </w:p>
    <w:p w14:paraId="744649F8" w14:textId="77777777" w:rsidR="000A62A2" w:rsidRPr="00CA456F" w:rsidRDefault="000A62A2" w:rsidP="00CA456F">
      <w:pPr>
        <w:pStyle w:val="Titre2"/>
        <w:ind w:left="993" w:hanging="567"/>
        <w:rPr>
          <w:rFonts w:ascii="Ottawa" w:hAnsi="Ottawa"/>
          <w:b/>
          <w:sz w:val="21"/>
          <w:szCs w:val="21"/>
          <w:lang w:val="en-IE"/>
        </w:rPr>
      </w:pPr>
      <w:r w:rsidRPr="00CA456F">
        <w:rPr>
          <w:rFonts w:ascii="Ottawa" w:hAnsi="Ottawa"/>
          <w:b/>
          <w:sz w:val="21"/>
          <w:szCs w:val="21"/>
          <w:lang w:val="en-IE"/>
        </w:rPr>
        <w:t>4.9.</w:t>
      </w:r>
      <w:r w:rsidRPr="00CA456F">
        <w:rPr>
          <w:rFonts w:ascii="Ottawa" w:hAnsi="Ottawa"/>
          <w:b/>
          <w:sz w:val="21"/>
          <w:szCs w:val="21"/>
          <w:lang w:val="en-IE"/>
        </w:rPr>
        <w:tab/>
        <w:t>Antibody- or antigen-based detection methods (ELISA, etc.)</w:t>
      </w:r>
    </w:p>
    <w:p w14:paraId="47909346" w14:textId="77777777" w:rsidR="000A62A2" w:rsidRPr="006E2ACD" w:rsidRDefault="000A62A2" w:rsidP="00CA456F">
      <w:pPr>
        <w:pStyle w:val="Para20"/>
        <w:ind w:left="993"/>
      </w:pPr>
      <w:r w:rsidRPr="002210B3">
        <w:rPr>
          <w:lang w:eastAsia="zh-CN"/>
        </w:rPr>
        <w:t>Not applicable.</w:t>
      </w:r>
    </w:p>
    <w:p w14:paraId="106EB8BA" w14:textId="77777777" w:rsidR="000A62A2" w:rsidRPr="00CA456F" w:rsidRDefault="000A62A2" w:rsidP="00CA456F">
      <w:pPr>
        <w:pStyle w:val="Titre2"/>
        <w:ind w:left="993" w:hanging="567"/>
        <w:rPr>
          <w:rFonts w:ascii="Ottawa" w:hAnsi="Ottawa"/>
          <w:b/>
          <w:sz w:val="21"/>
          <w:szCs w:val="21"/>
          <w:lang w:val="en-IE"/>
        </w:rPr>
      </w:pPr>
      <w:r w:rsidRPr="00CA456F">
        <w:rPr>
          <w:rFonts w:ascii="Ottawa" w:hAnsi="Ottawa"/>
          <w:b/>
          <w:sz w:val="21"/>
          <w:szCs w:val="21"/>
          <w:lang w:val="en-IE"/>
        </w:rPr>
        <w:t>4.10.</w:t>
      </w:r>
      <w:r w:rsidRPr="00CA456F">
        <w:rPr>
          <w:rFonts w:ascii="Ottawa" w:hAnsi="Ottawa"/>
          <w:b/>
          <w:sz w:val="21"/>
          <w:szCs w:val="21"/>
          <w:lang w:val="en-IE"/>
        </w:rPr>
        <w:tab/>
        <w:t>Other methods</w:t>
      </w:r>
    </w:p>
    <w:p w14:paraId="02B17850" w14:textId="77777777" w:rsidR="000A62A2" w:rsidRPr="006E2ACD" w:rsidRDefault="000A62A2" w:rsidP="00CA456F">
      <w:pPr>
        <w:pStyle w:val="Para20"/>
        <w:ind w:left="993"/>
        <w:rPr>
          <w:rFonts w:cs="Arial"/>
        </w:rPr>
      </w:pPr>
      <w:r w:rsidRPr="002210B3">
        <w:rPr>
          <w:lang w:eastAsia="zh-CN"/>
        </w:rPr>
        <w:t>Not applicable.</w:t>
      </w:r>
    </w:p>
    <w:p w14:paraId="6D614623" w14:textId="77777777" w:rsidR="000A62A2" w:rsidRPr="00CA456F" w:rsidRDefault="000A62A2" w:rsidP="000A62A2">
      <w:pPr>
        <w:pStyle w:val="Titre2"/>
        <w:ind w:left="426" w:hanging="426"/>
        <w:jc w:val="both"/>
        <w:rPr>
          <w:rFonts w:ascii="Ottawa" w:hAnsi="Ottawa"/>
          <w:b/>
          <w:sz w:val="22"/>
          <w:szCs w:val="22"/>
          <w:lang w:val="en-IE"/>
        </w:rPr>
      </w:pPr>
      <w:r w:rsidRPr="00CA456F">
        <w:rPr>
          <w:rFonts w:ascii="Ottawa" w:hAnsi="Ottawa"/>
          <w:b/>
          <w:sz w:val="22"/>
          <w:szCs w:val="22"/>
          <w:lang w:val="en-IE"/>
        </w:rPr>
        <w:t>5.</w:t>
      </w:r>
      <w:r w:rsidRPr="00CA456F">
        <w:rPr>
          <w:rFonts w:ascii="Ottawa" w:hAnsi="Ottawa"/>
          <w:b/>
          <w:sz w:val="22"/>
          <w:szCs w:val="22"/>
          <w:lang w:val="en-IE"/>
        </w:rPr>
        <w:tab/>
        <w:t>Test(s) recommended for surveillance to demonstrate freedom in apparently healthy populations</w:t>
      </w:r>
    </w:p>
    <w:p w14:paraId="47CCABF2" w14:textId="77777777" w:rsidR="000A62A2" w:rsidRPr="002210B3" w:rsidRDefault="000A62A2" w:rsidP="000A62A2">
      <w:pPr>
        <w:pStyle w:val="Para10"/>
        <w:ind w:left="426"/>
      </w:pPr>
      <w:r w:rsidRPr="008610A0">
        <w:rPr>
          <w:bCs/>
          <w:lang w:eastAsia="zh-CN"/>
        </w:rPr>
        <w:t xml:space="preserve">Real-time PCR is the recommended test for surveillance to demonstrate freedom of disease in apparently healthy population. Sequencing of the amplified CO1 amplicon is required for confirmation of infection in any parasite </w:t>
      </w:r>
      <w:r>
        <w:rPr>
          <w:bCs/>
          <w:lang w:eastAsia="zh-CN"/>
        </w:rPr>
        <w:t>that</w:t>
      </w:r>
      <w:r w:rsidRPr="008610A0">
        <w:rPr>
          <w:bCs/>
          <w:lang w:eastAsia="zh-CN"/>
        </w:rPr>
        <w:t xml:space="preserve"> identified as positive PCR</w:t>
      </w:r>
    </w:p>
    <w:p w14:paraId="11ED3DCE" w14:textId="77777777" w:rsidR="000A62A2" w:rsidRPr="00CA456F" w:rsidRDefault="000A62A2" w:rsidP="00CA456F">
      <w:pPr>
        <w:pStyle w:val="Titre2"/>
        <w:ind w:left="426" w:hanging="426"/>
        <w:jc w:val="both"/>
        <w:rPr>
          <w:rFonts w:ascii="Ottawa" w:hAnsi="Ottawa"/>
          <w:b/>
          <w:sz w:val="22"/>
          <w:szCs w:val="22"/>
          <w:lang w:val="en-IE"/>
        </w:rPr>
      </w:pPr>
      <w:r w:rsidRPr="00CA456F">
        <w:rPr>
          <w:rFonts w:ascii="Ottawa" w:hAnsi="Ottawa"/>
          <w:b/>
          <w:sz w:val="22"/>
          <w:szCs w:val="22"/>
          <w:lang w:val="en-IE"/>
        </w:rPr>
        <w:t>6.</w:t>
      </w:r>
      <w:r w:rsidRPr="00CA456F">
        <w:rPr>
          <w:rFonts w:ascii="Ottawa" w:hAnsi="Ottawa"/>
          <w:b/>
          <w:sz w:val="22"/>
          <w:szCs w:val="22"/>
          <w:lang w:val="en-IE"/>
        </w:rPr>
        <w:tab/>
        <w:t>Corroborative diagnostic criteria</w:t>
      </w:r>
    </w:p>
    <w:p w14:paraId="5568C7F9" w14:textId="77777777" w:rsidR="000A62A2" w:rsidRPr="002210B3" w:rsidRDefault="000A62A2" w:rsidP="000A62A2">
      <w:pPr>
        <w:pStyle w:val="Para10"/>
        <w:ind w:left="426"/>
        <w:rPr>
          <w:rFonts w:cs="Arial"/>
        </w:rPr>
      </w:pPr>
      <w:r w:rsidRPr="002210B3">
        <w:rPr>
          <w:rFonts w:cs="Arial"/>
        </w:rPr>
        <w:t xml:space="preserve">All suspect positive samples of </w:t>
      </w:r>
      <w:r w:rsidRPr="002210B3">
        <w:rPr>
          <w:rFonts w:cs="Arial"/>
          <w:i/>
          <w:iCs/>
        </w:rPr>
        <w:t>G. salaris</w:t>
      </w:r>
      <w:r w:rsidRPr="002210B3">
        <w:rPr>
          <w:rFonts w:cs="Arial"/>
        </w:rPr>
        <w:t xml:space="preserve"> from country or zone or compartment considered free from infection with </w:t>
      </w:r>
      <w:r w:rsidRPr="003C0A68">
        <w:rPr>
          <w:rFonts w:cs="Arial"/>
          <w:i/>
          <w:iCs/>
        </w:rPr>
        <w:t>G.</w:t>
      </w:r>
      <w:r>
        <w:rPr>
          <w:rFonts w:cs="Arial"/>
          <w:i/>
          <w:iCs/>
        </w:rPr>
        <w:t> </w:t>
      </w:r>
      <w:r w:rsidRPr="003C0A68">
        <w:rPr>
          <w:rFonts w:cs="Arial"/>
          <w:i/>
          <w:iCs/>
        </w:rPr>
        <w:t>salaris</w:t>
      </w:r>
      <w:r w:rsidRPr="002210B3">
        <w:rPr>
          <w:rFonts w:cs="Arial"/>
        </w:rPr>
        <w:t xml:space="preserve"> should be referred immediately to the OIE Reference Laboratory for confirmation, whether or not clinical signs are associated with the case.</w:t>
      </w:r>
    </w:p>
    <w:p w14:paraId="2FCC87E1" w14:textId="77777777" w:rsidR="000A62A2" w:rsidRPr="002210B3" w:rsidRDefault="000A62A2" w:rsidP="000A62A2">
      <w:pPr>
        <w:pStyle w:val="Para10"/>
        <w:ind w:left="426"/>
        <w:rPr>
          <w:rFonts w:cs="Arial"/>
        </w:rPr>
      </w:pPr>
      <w:r w:rsidRPr="002210B3">
        <w:rPr>
          <w:rFonts w:cs="Arial"/>
        </w:rPr>
        <w:t>This section only addresses the diagnostic test results for detection of infection in the absence (</w:t>
      </w:r>
      <w:r>
        <w:rPr>
          <w:rFonts w:cs="Arial"/>
        </w:rPr>
        <w:t xml:space="preserve">Section </w:t>
      </w:r>
      <w:r w:rsidRPr="002210B3">
        <w:rPr>
          <w:rFonts w:cs="Arial"/>
        </w:rPr>
        <w:t>6.1) or presence of clinical signs (</w:t>
      </w:r>
      <w:r>
        <w:rPr>
          <w:rFonts w:cs="Arial"/>
        </w:rPr>
        <w:t xml:space="preserve">Section </w:t>
      </w:r>
      <w:r w:rsidRPr="002210B3">
        <w:rPr>
          <w:rFonts w:cs="Arial"/>
        </w:rPr>
        <w:t>6.2) but does not evaluate whether the infectious agent is the cause of the clinical event.</w:t>
      </w:r>
    </w:p>
    <w:p w14:paraId="54859635" w14:textId="77777777" w:rsidR="000A62A2" w:rsidRPr="002210B3" w:rsidRDefault="000A62A2" w:rsidP="000A62A2">
      <w:pPr>
        <w:pStyle w:val="Para10"/>
        <w:ind w:left="426"/>
        <w:rPr>
          <w:rFonts w:cs="Arial"/>
          <w:szCs w:val="18"/>
        </w:rPr>
      </w:pPr>
      <w:r w:rsidRPr="002210B3">
        <w:rPr>
          <w:rFonts w:cs="Arial"/>
          <w:szCs w:val="18"/>
        </w:rPr>
        <w:t>The case definitions for a suspect and confirmed case have been developed to support decision making related to trade and confirmation of disease status at the country, zone or compartment level. Case definitions for disease confirmation in endemically affected areas may be less stringent.</w:t>
      </w:r>
    </w:p>
    <w:p w14:paraId="23E0566F" w14:textId="77777777" w:rsidR="000A62A2" w:rsidRPr="00CA456F" w:rsidRDefault="000A62A2" w:rsidP="00CA456F">
      <w:pPr>
        <w:pStyle w:val="Titre2"/>
        <w:ind w:left="851" w:hanging="425"/>
        <w:rPr>
          <w:rFonts w:ascii="Ottawa" w:hAnsi="Ottawa"/>
          <w:b/>
          <w:sz w:val="21"/>
          <w:szCs w:val="21"/>
          <w:lang w:val="en-IE"/>
        </w:rPr>
      </w:pPr>
      <w:r w:rsidRPr="00CA456F">
        <w:rPr>
          <w:rFonts w:ascii="Ottawa" w:hAnsi="Ottawa"/>
          <w:b/>
          <w:sz w:val="21"/>
          <w:szCs w:val="21"/>
          <w:lang w:val="en-IE"/>
        </w:rPr>
        <w:t>6.1.</w:t>
      </w:r>
      <w:r w:rsidRPr="00CA456F">
        <w:rPr>
          <w:rFonts w:ascii="Ottawa" w:hAnsi="Ottawa"/>
          <w:b/>
          <w:sz w:val="21"/>
          <w:szCs w:val="21"/>
          <w:lang w:val="en-IE"/>
        </w:rPr>
        <w:tab/>
        <w:t>Apparently healthy animals or animals of unknown health status</w:t>
      </w:r>
      <w:r w:rsidRPr="00685B5C">
        <w:rPr>
          <w:rFonts w:ascii="Ottawa" w:hAnsi="Ottawa"/>
          <w:b/>
          <w:sz w:val="21"/>
          <w:szCs w:val="21"/>
          <w:vertAlign w:val="superscript"/>
        </w:rPr>
        <w:footnoteReference w:id="5"/>
      </w:r>
    </w:p>
    <w:p w14:paraId="7060985E" w14:textId="77777777" w:rsidR="000A62A2" w:rsidRPr="002210B3" w:rsidRDefault="000A62A2" w:rsidP="000A62A2">
      <w:pPr>
        <w:pStyle w:val="Para20"/>
        <w:ind w:left="851"/>
      </w:pPr>
      <w:r w:rsidRPr="002210B3">
        <w:rPr>
          <w:rFonts w:cs="Arial"/>
        </w:rPr>
        <w:t xml:space="preserve">Healthy populations may fall under suspicion, and therefore be sampled, if there is an epidemiological link(s) to an infected population. </w:t>
      </w:r>
      <w:r w:rsidRPr="002210B3">
        <w:t>Geographic proximity to, or movement of animals or animal products or equipment, etc., from a known infected population equate to an epidemiological link. Alternatively, healthy populations will be sampled in surveys to demonstrate disease freedom.</w:t>
      </w:r>
    </w:p>
    <w:p w14:paraId="44C24941" w14:textId="77777777" w:rsidR="000A62A2" w:rsidRPr="00685B5C" w:rsidRDefault="000A62A2" w:rsidP="00CA456F">
      <w:pPr>
        <w:pStyle w:val="Titre2"/>
        <w:ind w:left="851"/>
        <w:rPr>
          <w:rFonts w:ascii="Ottawa" w:hAnsi="Ottawa"/>
          <w:b/>
          <w:szCs w:val="20"/>
          <w:lang w:val="en-IE"/>
        </w:rPr>
      </w:pPr>
      <w:r w:rsidRPr="00685B5C">
        <w:rPr>
          <w:rFonts w:ascii="Ottawa" w:hAnsi="Ottawa"/>
          <w:b/>
          <w:szCs w:val="20"/>
          <w:lang w:val="en-IE"/>
        </w:rPr>
        <w:t>6.1.1.</w:t>
      </w:r>
      <w:r w:rsidRPr="00685B5C">
        <w:rPr>
          <w:rFonts w:ascii="Ottawa" w:hAnsi="Ottawa"/>
          <w:b/>
          <w:szCs w:val="20"/>
          <w:lang w:val="en-IE"/>
        </w:rPr>
        <w:tab/>
        <w:t>Definition of suspect case in apparently healthy animals</w:t>
      </w:r>
    </w:p>
    <w:p w14:paraId="6C812D3C" w14:textId="77777777" w:rsidR="000A62A2" w:rsidRPr="003C0A68" w:rsidRDefault="000A62A2" w:rsidP="000A62A2">
      <w:pPr>
        <w:pStyle w:val="Para3"/>
      </w:pPr>
      <w:r w:rsidRPr="003C0A68">
        <w:t xml:space="preserve">The presence of infection </w:t>
      </w:r>
      <w:r w:rsidRPr="004F3CD9">
        <w:t xml:space="preserve">with </w:t>
      </w:r>
      <w:r w:rsidRPr="004F3CD9">
        <w:rPr>
          <w:i/>
          <w:iCs/>
        </w:rPr>
        <w:t>G. salaris</w:t>
      </w:r>
      <w:r w:rsidRPr="004F3CD9">
        <w:t xml:space="preserve"> </w:t>
      </w:r>
      <w:r w:rsidRPr="003C0A68">
        <w:t xml:space="preserve">shall be suspected if at least one of the following </w:t>
      </w:r>
      <w:r>
        <w:t>criteria is met</w:t>
      </w:r>
      <w:r w:rsidRPr="003C0A68">
        <w:t>:</w:t>
      </w:r>
    </w:p>
    <w:p w14:paraId="32B142D8" w14:textId="77777777" w:rsidR="000A62A2" w:rsidRPr="00CA456F" w:rsidRDefault="000A62A2" w:rsidP="00CA456F">
      <w:pPr>
        <w:pStyle w:val="Para3i"/>
        <w:ind w:left="1276" w:hanging="425"/>
        <w:rPr>
          <w:rFonts w:ascii="Arial" w:hAnsi="Arial"/>
          <w:sz w:val="18"/>
        </w:rPr>
      </w:pPr>
      <w:r w:rsidRPr="00CA456F">
        <w:rPr>
          <w:rFonts w:ascii="Arial" w:hAnsi="Arial"/>
          <w:sz w:val="18"/>
        </w:rPr>
        <w:t>i)</w:t>
      </w:r>
      <w:r w:rsidRPr="00CA456F">
        <w:rPr>
          <w:rFonts w:ascii="Arial" w:hAnsi="Arial"/>
          <w:sz w:val="18"/>
        </w:rPr>
        <w:tab/>
        <w:t xml:space="preserve">Identification of </w:t>
      </w:r>
      <w:r w:rsidRPr="00CA456F">
        <w:rPr>
          <w:rFonts w:ascii="Arial" w:hAnsi="Arial"/>
          <w:i/>
          <w:iCs/>
          <w:sz w:val="18"/>
        </w:rPr>
        <w:t>G. salaris</w:t>
      </w:r>
      <w:r w:rsidRPr="00CA456F">
        <w:rPr>
          <w:rFonts w:ascii="Arial" w:hAnsi="Arial"/>
          <w:sz w:val="18"/>
        </w:rPr>
        <w:t xml:space="preserve"> by morphological examination </w:t>
      </w:r>
    </w:p>
    <w:p w14:paraId="19555708" w14:textId="77777777" w:rsidR="000A62A2" w:rsidRPr="00CA456F" w:rsidRDefault="000A62A2" w:rsidP="00CA456F">
      <w:pPr>
        <w:pStyle w:val="Para3i"/>
        <w:ind w:left="1276" w:hanging="425"/>
        <w:rPr>
          <w:rFonts w:ascii="Arial" w:hAnsi="Arial"/>
          <w:sz w:val="18"/>
        </w:rPr>
      </w:pPr>
      <w:r w:rsidRPr="00CA456F">
        <w:rPr>
          <w:rFonts w:ascii="Arial" w:hAnsi="Arial"/>
          <w:sz w:val="18"/>
        </w:rPr>
        <w:t>ii)</w:t>
      </w:r>
      <w:r w:rsidRPr="00CA456F">
        <w:rPr>
          <w:rFonts w:ascii="Arial" w:hAnsi="Arial"/>
          <w:sz w:val="18"/>
        </w:rPr>
        <w:tab/>
        <w:t>A positive result by real-time PCR</w:t>
      </w:r>
    </w:p>
    <w:p w14:paraId="79F87BD6" w14:textId="77777777" w:rsidR="000A62A2" w:rsidRPr="00CA456F" w:rsidRDefault="000A62A2" w:rsidP="00CA456F">
      <w:pPr>
        <w:pStyle w:val="Para3i"/>
        <w:ind w:left="1276" w:hanging="425"/>
        <w:rPr>
          <w:rFonts w:ascii="Arial" w:hAnsi="Arial"/>
          <w:sz w:val="18"/>
        </w:rPr>
      </w:pPr>
      <w:r w:rsidRPr="00CA456F">
        <w:rPr>
          <w:rFonts w:ascii="Arial" w:hAnsi="Arial"/>
          <w:sz w:val="18"/>
        </w:rPr>
        <w:t>iii)</w:t>
      </w:r>
      <w:r w:rsidRPr="00CA456F">
        <w:rPr>
          <w:rFonts w:ascii="Arial" w:hAnsi="Arial"/>
          <w:sz w:val="18"/>
        </w:rPr>
        <w:tab/>
        <w:t>A positive result by ddPCR or real-time-PCR from an environmental sample.</w:t>
      </w:r>
    </w:p>
    <w:p w14:paraId="4CB3A7D8" w14:textId="77777777" w:rsidR="000A62A2" w:rsidRPr="00685B5C" w:rsidRDefault="000A62A2" w:rsidP="00CA456F">
      <w:pPr>
        <w:pStyle w:val="Titre2"/>
        <w:ind w:left="851"/>
        <w:rPr>
          <w:rFonts w:ascii="Ottawa" w:hAnsi="Ottawa"/>
          <w:b/>
          <w:szCs w:val="20"/>
          <w:lang w:val="en-IE"/>
        </w:rPr>
      </w:pPr>
      <w:r w:rsidRPr="00685B5C">
        <w:rPr>
          <w:rFonts w:ascii="Ottawa" w:hAnsi="Ottawa"/>
          <w:b/>
          <w:szCs w:val="20"/>
          <w:lang w:val="en-IE"/>
        </w:rPr>
        <w:t>6.1.2.</w:t>
      </w:r>
      <w:r w:rsidRPr="00685B5C">
        <w:rPr>
          <w:rFonts w:ascii="Ottawa" w:hAnsi="Ottawa"/>
          <w:b/>
          <w:szCs w:val="20"/>
          <w:lang w:val="en-IE"/>
        </w:rPr>
        <w:tab/>
        <w:t>Definition of confirmed case in apparently healthy animals</w:t>
      </w:r>
    </w:p>
    <w:p w14:paraId="233AE0EA" w14:textId="77777777" w:rsidR="000A62A2" w:rsidRPr="004F3CD9" w:rsidRDefault="000A62A2" w:rsidP="000A62A2">
      <w:pPr>
        <w:pStyle w:val="Para3"/>
      </w:pPr>
      <w:r w:rsidRPr="004F3CD9">
        <w:t xml:space="preserve">The presence of infection with </w:t>
      </w:r>
      <w:r w:rsidRPr="004F3CD9">
        <w:rPr>
          <w:i/>
          <w:iCs/>
        </w:rPr>
        <w:t>G. salaris</w:t>
      </w:r>
      <w:r w:rsidRPr="004F3CD9">
        <w:t xml:space="preserve"> is considered to be confirmed if, in addition to the criteria in Section 6.1.1</w:t>
      </w:r>
      <w:r>
        <w:t>.</w:t>
      </w:r>
      <w:r w:rsidRPr="004F3CD9">
        <w:t>, the following criteri</w:t>
      </w:r>
      <w:r>
        <w:t>on</w:t>
      </w:r>
      <w:r w:rsidRPr="004F3CD9">
        <w:t xml:space="preserve"> is met:</w:t>
      </w:r>
    </w:p>
    <w:p w14:paraId="24D32383" w14:textId="77777777" w:rsidR="000A62A2" w:rsidRPr="00CA456F" w:rsidRDefault="000A62A2" w:rsidP="000A62A2">
      <w:pPr>
        <w:pStyle w:val="Titre2"/>
        <w:ind w:left="1276" w:hanging="425"/>
        <w:rPr>
          <w:rFonts w:eastAsia="MS Mincho" w:cs="Arial"/>
          <w:szCs w:val="18"/>
          <w:lang w:val="en-IE"/>
        </w:rPr>
      </w:pPr>
      <w:r w:rsidRPr="00CA456F">
        <w:rPr>
          <w:rFonts w:eastAsia="MS Mincho" w:cs="Arial"/>
          <w:szCs w:val="18"/>
          <w:lang w:val="en-IE"/>
        </w:rPr>
        <w:t>i)</w:t>
      </w:r>
      <w:r w:rsidRPr="00CA456F">
        <w:rPr>
          <w:rFonts w:eastAsia="MS Mincho" w:cs="Arial"/>
          <w:szCs w:val="18"/>
          <w:lang w:val="en-IE"/>
        </w:rPr>
        <w:tab/>
        <w:t>A positive result from sequencing amplified CO1 fragments obtained by conventional PCR.</w:t>
      </w:r>
    </w:p>
    <w:p w14:paraId="53061C66" w14:textId="77777777" w:rsidR="000A62A2" w:rsidRPr="00CA456F" w:rsidRDefault="000A62A2" w:rsidP="00CA456F">
      <w:pPr>
        <w:pStyle w:val="Titre2"/>
        <w:ind w:left="851" w:hanging="425"/>
        <w:rPr>
          <w:rFonts w:ascii="Ottawa" w:hAnsi="Ottawa"/>
          <w:b/>
          <w:sz w:val="21"/>
          <w:szCs w:val="21"/>
          <w:lang w:val="en-IE"/>
        </w:rPr>
      </w:pPr>
      <w:r w:rsidRPr="00CA456F">
        <w:rPr>
          <w:rFonts w:ascii="Ottawa" w:hAnsi="Ottawa"/>
          <w:b/>
          <w:sz w:val="21"/>
          <w:szCs w:val="21"/>
          <w:lang w:val="en-IE"/>
        </w:rPr>
        <w:t>6.2</w:t>
      </w:r>
      <w:r w:rsidRPr="00CA456F">
        <w:rPr>
          <w:rFonts w:ascii="Ottawa" w:hAnsi="Ottawa"/>
          <w:b/>
          <w:sz w:val="21"/>
          <w:szCs w:val="21"/>
          <w:lang w:val="en-IE"/>
        </w:rPr>
        <w:tab/>
        <w:t>Clinically affected animals</w:t>
      </w:r>
    </w:p>
    <w:p w14:paraId="2C7C5DA8" w14:textId="77777777" w:rsidR="000A62A2" w:rsidRPr="002210B3" w:rsidRDefault="000A62A2" w:rsidP="000A62A2">
      <w:pPr>
        <w:pStyle w:val="Para20"/>
        <w:ind w:left="851"/>
      </w:pPr>
      <w:r w:rsidRPr="002210B3">
        <w:t xml:space="preserve">Clinical signs are not pathognomonic for a single disease; however, they may narrow the range of possible diagnoses. </w:t>
      </w:r>
    </w:p>
    <w:p w14:paraId="3A21BF63" w14:textId="77777777" w:rsidR="000A62A2" w:rsidRPr="00685B5C" w:rsidRDefault="000A62A2" w:rsidP="00CA456F">
      <w:pPr>
        <w:pStyle w:val="Titre2"/>
        <w:ind w:left="851"/>
        <w:rPr>
          <w:rFonts w:ascii="Ottawa" w:hAnsi="Ottawa"/>
          <w:b/>
          <w:szCs w:val="20"/>
          <w:lang w:val="en-IE"/>
        </w:rPr>
      </w:pPr>
      <w:r w:rsidRPr="00685B5C">
        <w:rPr>
          <w:rFonts w:ascii="Ottawa" w:hAnsi="Ottawa"/>
          <w:b/>
          <w:szCs w:val="20"/>
          <w:lang w:val="en-IE"/>
        </w:rPr>
        <w:t>6.2.1. Definition of suspect case in clinically affected animals</w:t>
      </w:r>
    </w:p>
    <w:p w14:paraId="3BB80C23" w14:textId="77777777" w:rsidR="000A62A2" w:rsidRPr="002210B3" w:rsidRDefault="000A62A2" w:rsidP="000A62A2">
      <w:pPr>
        <w:pStyle w:val="Para3"/>
      </w:pPr>
      <w:r w:rsidRPr="004F3CD9">
        <w:t xml:space="preserve">The presence of infection with </w:t>
      </w:r>
      <w:r w:rsidRPr="004F3CD9">
        <w:rPr>
          <w:i/>
          <w:iCs/>
        </w:rPr>
        <w:t>G. salaris</w:t>
      </w:r>
      <w:r w:rsidRPr="004F3CD9">
        <w:t xml:space="preserve"> shall be suspected if at least one of the following criteria is met:</w:t>
      </w:r>
    </w:p>
    <w:p w14:paraId="523084A2" w14:textId="77777777" w:rsidR="00CA456F" w:rsidRPr="00CA456F" w:rsidRDefault="00CA456F" w:rsidP="00CA456F">
      <w:pPr>
        <w:pStyle w:val="Titre3"/>
        <w:spacing w:after="480"/>
        <w:jc w:val="right"/>
        <w:rPr>
          <w:bCs/>
          <w:i w:val="0"/>
          <w:iCs/>
        </w:rPr>
      </w:pPr>
      <w:r w:rsidRPr="00CA456F">
        <w:rPr>
          <w:rFonts w:cs="Times New Roman"/>
          <w:i w:val="0"/>
          <w:szCs w:val="20"/>
          <w:u w:val="single"/>
        </w:rPr>
        <w:lastRenderedPageBreak/>
        <w:t>A</w:t>
      </w:r>
      <w:r w:rsidRPr="00CA456F">
        <w:rPr>
          <w:rFonts w:cs="Times New Roman"/>
          <w:bCs/>
          <w:i w:val="0"/>
          <w:iCs/>
          <w:szCs w:val="20"/>
          <w:u w:val="single"/>
        </w:rPr>
        <w:t>nnex 15</w:t>
      </w:r>
      <w:r w:rsidRPr="00CA456F">
        <w:rPr>
          <w:rFonts w:cs="Times New Roman"/>
          <w:bCs/>
          <w:i w:val="0"/>
          <w:iCs/>
          <w:szCs w:val="20"/>
        </w:rPr>
        <w:t xml:space="preserve"> (contd)</w:t>
      </w:r>
    </w:p>
    <w:p w14:paraId="1EB66605" w14:textId="77777777" w:rsidR="000A62A2" w:rsidRPr="00CA456F" w:rsidRDefault="000A62A2" w:rsidP="00CA456F">
      <w:pPr>
        <w:pStyle w:val="Para3"/>
        <w:ind w:left="1276" w:hanging="425"/>
        <w:rPr>
          <w:rFonts w:cs="Arial"/>
          <w:szCs w:val="18"/>
        </w:rPr>
      </w:pPr>
      <w:r w:rsidRPr="00CA456F">
        <w:rPr>
          <w:rFonts w:cs="Arial"/>
          <w:szCs w:val="18"/>
          <w:lang w:bidi="en-US"/>
        </w:rPr>
        <w:t>i)</w:t>
      </w:r>
      <w:r w:rsidRPr="00CA456F">
        <w:rPr>
          <w:rFonts w:cs="Arial"/>
          <w:szCs w:val="18"/>
          <w:lang w:bidi="en-US"/>
        </w:rPr>
        <w:tab/>
        <w:t>Gross pathology or clinical signs associated with the disease as described in this chapter, with or without elevated mortality</w:t>
      </w:r>
    </w:p>
    <w:p w14:paraId="56749659" w14:textId="77777777" w:rsidR="000A62A2" w:rsidRPr="00CA456F" w:rsidRDefault="000A62A2" w:rsidP="00CA456F">
      <w:pPr>
        <w:pStyle w:val="Para3i"/>
        <w:ind w:left="1276" w:hanging="425"/>
        <w:rPr>
          <w:rFonts w:ascii="Arial" w:hAnsi="Arial"/>
          <w:sz w:val="18"/>
        </w:rPr>
      </w:pPr>
      <w:r w:rsidRPr="00CA456F">
        <w:rPr>
          <w:rFonts w:ascii="Arial" w:hAnsi="Arial"/>
          <w:sz w:val="18"/>
        </w:rPr>
        <w:t>ii)</w:t>
      </w:r>
      <w:r w:rsidRPr="00CA456F">
        <w:rPr>
          <w:rFonts w:ascii="Arial" w:hAnsi="Arial"/>
          <w:sz w:val="18"/>
        </w:rPr>
        <w:tab/>
        <w:t xml:space="preserve">Identification of </w:t>
      </w:r>
      <w:r w:rsidRPr="00CA456F">
        <w:rPr>
          <w:rFonts w:ascii="Arial" w:hAnsi="Arial"/>
          <w:i/>
          <w:iCs/>
          <w:sz w:val="18"/>
        </w:rPr>
        <w:t xml:space="preserve">G. salaris </w:t>
      </w:r>
      <w:r w:rsidRPr="00CA456F">
        <w:rPr>
          <w:rFonts w:ascii="Arial" w:hAnsi="Arial"/>
          <w:sz w:val="18"/>
        </w:rPr>
        <w:t>by morphological examination</w:t>
      </w:r>
    </w:p>
    <w:p w14:paraId="51B8A794" w14:textId="77777777" w:rsidR="000A62A2" w:rsidRPr="00CA456F" w:rsidRDefault="000A62A2" w:rsidP="00CA456F">
      <w:pPr>
        <w:pStyle w:val="Para3i"/>
        <w:ind w:left="1276" w:hanging="425"/>
        <w:rPr>
          <w:rFonts w:ascii="Arial" w:hAnsi="Arial"/>
          <w:sz w:val="18"/>
        </w:rPr>
      </w:pPr>
      <w:r w:rsidRPr="00CA456F">
        <w:rPr>
          <w:rFonts w:ascii="Arial" w:hAnsi="Arial"/>
          <w:sz w:val="18"/>
        </w:rPr>
        <w:t>iii)</w:t>
      </w:r>
      <w:r w:rsidRPr="00CA456F">
        <w:rPr>
          <w:rFonts w:ascii="Arial" w:hAnsi="Arial"/>
          <w:sz w:val="18"/>
        </w:rPr>
        <w:tab/>
        <w:t>A positive result by real-time PCR.</w:t>
      </w:r>
    </w:p>
    <w:p w14:paraId="3401AB0A" w14:textId="77777777" w:rsidR="000A62A2" w:rsidRPr="00685B5C" w:rsidRDefault="000A62A2" w:rsidP="00CA456F">
      <w:pPr>
        <w:pStyle w:val="Titre2"/>
        <w:ind w:left="851"/>
        <w:rPr>
          <w:rFonts w:ascii="Ottawa" w:hAnsi="Ottawa"/>
          <w:b/>
          <w:szCs w:val="20"/>
          <w:lang w:val="en-IE"/>
        </w:rPr>
      </w:pPr>
      <w:r w:rsidRPr="00685B5C">
        <w:rPr>
          <w:rFonts w:ascii="Ottawa" w:hAnsi="Ottawa"/>
          <w:b/>
          <w:szCs w:val="20"/>
          <w:lang w:val="en-IE"/>
        </w:rPr>
        <w:t>6.2.2.</w:t>
      </w:r>
      <w:r w:rsidRPr="00685B5C">
        <w:rPr>
          <w:rFonts w:ascii="Ottawa" w:hAnsi="Ottawa"/>
          <w:b/>
          <w:szCs w:val="20"/>
          <w:lang w:val="en-IE"/>
        </w:rPr>
        <w:tab/>
        <w:t>Definition of confirmed case in clinically affected animals</w:t>
      </w:r>
    </w:p>
    <w:p w14:paraId="3F0B630B" w14:textId="77777777" w:rsidR="000A62A2" w:rsidRPr="002210B3" w:rsidRDefault="000A62A2" w:rsidP="000A62A2">
      <w:pPr>
        <w:pStyle w:val="Para3"/>
      </w:pPr>
      <w:r w:rsidRPr="002210B3">
        <w:t xml:space="preserve">The presence of infection with </w:t>
      </w:r>
      <w:r w:rsidRPr="004F3CD9">
        <w:rPr>
          <w:i/>
          <w:iCs/>
        </w:rPr>
        <w:t>G. salaris</w:t>
      </w:r>
      <w:r w:rsidRPr="002210B3">
        <w:t xml:space="preserve"> is considered to be confirmed if, in addition to the criteria in section 6.2.1. the following criterion is met:</w:t>
      </w:r>
    </w:p>
    <w:p w14:paraId="32E3709E" w14:textId="77777777" w:rsidR="000A62A2" w:rsidRPr="002210B3" w:rsidRDefault="000A62A2" w:rsidP="00CA456F">
      <w:pPr>
        <w:pStyle w:val="Para3"/>
        <w:ind w:left="1276" w:hanging="425"/>
      </w:pPr>
      <w:r>
        <w:t>i)</w:t>
      </w:r>
      <w:r>
        <w:tab/>
      </w:r>
      <w:r w:rsidRPr="002210B3">
        <w:t>A positive result from sequencing of a</w:t>
      </w:r>
      <w:r w:rsidRPr="002210B3">
        <w:rPr>
          <w:rFonts w:cs="Arial"/>
          <w:szCs w:val="18"/>
        </w:rPr>
        <w:t xml:space="preserve">mplified CO1 fragments </w:t>
      </w:r>
      <w:r w:rsidRPr="002210B3">
        <w:t xml:space="preserve">obtained by conventional PCR. </w:t>
      </w:r>
    </w:p>
    <w:p w14:paraId="5A642C26" w14:textId="77777777" w:rsidR="000A62A2" w:rsidRPr="00CA456F" w:rsidRDefault="000A62A2" w:rsidP="00CA456F">
      <w:pPr>
        <w:pStyle w:val="Titre2"/>
        <w:ind w:left="993" w:hanging="567"/>
        <w:rPr>
          <w:rFonts w:ascii="Ottawa" w:hAnsi="Ottawa"/>
          <w:b/>
          <w:sz w:val="21"/>
          <w:szCs w:val="21"/>
          <w:lang w:val="en-IE"/>
        </w:rPr>
      </w:pPr>
      <w:r w:rsidRPr="00CA456F">
        <w:rPr>
          <w:rFonts w:ascii="Ottawa" w:hAnsi="Ottawa"/>
          <w:b/>
          <w:sz w:val="21"/>
          <w:szCs w:val="21"/>
          <w:lang w:val="en-IE"/>
        </w:rPr>
        <w:t>6.3.</w:t>
      </w:r>
      <w:r w:rsidRPr="00CA456F">
        <w:rPr>
          <w:rFonts w:ascii="Ottawa" w:hAnsi="Ottawa"/>
          <w:b/>
          <w:sz w:val="21"/>
          <w:szCs w:val="21"/>
          <w:lang w:val="en-IE"/>
        </w:rPr>
        <w:tab/>
        <w:t>Diagnostic sensitivity and specificity for diagnostic tests</w:t>
      </w:r>
    </w:p>
    <w:p w14:paraId="4FFE83F9" w14:textId="77777777" w:rsidR="000A62A2" w:rsidRDefault="000A62A2" w:rsidP="00CA456F">
      <w:pPr>
        <w:keepNext/>
        <w:keepLines/>
        <w:spacing w:after="120"/>
        <w:ind w:left="993"/>
        <w:jc w:val="both"/>
        <w:rPr>
          <w:rFonts w:ascii="Arial" w:hAnsi="Arial"/>
          <w:bCs/>
          <w:sz w:val="18"/>
          <w:szCs w:val="18"/>
          <w:lang w:val="en-IE"/>
        </w:rPr>
      </w:pPr>
      <w:r>
        <w:rPr>
          <w:rFonts w:ascii="Arial" w:hAnsi="Arial"/>
          <w:bCs/>
          <w:sz w:val="18"/>
          <w:szCs w:val="18"/>
          <w:lang w:val="en-IE"/>
        </w:rPr>
        <w:t xml:space="preserve">The diagnostic performance </w:t>
      </w:r>
      <w:r w:rsidRPr="00454F39">
        <w:rPr>
          <w:rFonts w:ascii="Arial" w:hAnsi="Arial"/>
          <w:bCs/>
          <w:sz w:val="18"/>
          <w:szCs w:val="18"/>
          <w:lang w:val="en-IE"/>
        </w:rPr>
        <w:t xml:space="preserve">of tests recommended for surveillance or diagnosis </w:t>
      </w:r>
      <w:r>
        <w:rPr>
          <w:rFonts w:ascii="Arial" w:hAnsi="Arial"/>
          <w:bCs/>
          <w:sz w:val="18"/>
          <w:szCs w:val="18"/>
          <w:lang w:val="en-IE"/>
        </w:rPr>
        <w:t xml:space="preserve">of infection with </w:t>
      </w:r>
      <w:r w:rsidRPr="00057E23">
        <w:rPr>
          <w:rFonts w:ascii="Arial" w:hAnsi="Arial"/>
          <w:bCs/>
          <w:i/>
          <w:sz w:val="18"/>
          <w:szCs w:val="18"/>
          <w:lang w:val="en-IE"/>
        </w:rPr>
        <w:t>G. salaris</w:t>
      </w:r>
      <w:r w:rsidRPr="00EF478C">
        <w:rPr>
          <w:rFonts w:ascii="Arial" w:hAnsi="Arial"/>
          <w:bCs/>
          <w:sz w:val="18"/>
          <w:szCs w:val="18"/>
          <w:lang w:val="en-IE"/>
        </w:rPr>
        <w:t xml:space="preserve"> </w:t>
      </w:r>
      <w:r>
        <w:rPr>
          <w:rFonts w:ascii="Arial" w:hAnsi="Arial"/>
          <w:bCs/>
          <w:sz w:val="18"/>
          <w:szCs w:val="18"/>
          <w:lang w:val="en-IE"/>
        </w:rPr>
        <w:t xml:space="preserve">are provided in Table 6.3. (note: no data are currently available). </w:t>
      </w:r>
      <w:r w:rsidRPr="007D0630">
        <w:rPr>
          <w:rFonts w:ascii="Arial" w:hAnsi="Arial"/>
          <w:bCs/>
          <w:sz w:val="18"/>
          <w:szCs w:val="18"/>
          <w:lang w:val="en-IE"/>
        </w:rPr>
        <w:t>Th</w:t>
      </w:r>
      <w:r>
        <w:rPr>
          <w:rFonts w:ascii="Arial" w:hAnsi="Arial"/>
          <w:bCs/>
          <w:sz w:val="18"/>
          <w:szCs w:val="18"/>
          <w:lang w:val="en-IE"/>
        </w:rPr>
        <w:t>is</w:t>
      </w:r>
      <w:r w:rsidRPr="007D0630">
        <w:rPr>
          <w:rFonts w:ascii="Arial" w:hAnsi="Arial"/>
          <w:bCs/>
          <w:sz w:val="18"/>
          <w:szCs w:val="18"/>
          <w:lang w:val="en-IE"/>
        </w:rPr>
        <w:t xml:space="preserve"> information can be used for the design of surveys for infection with </w:t>
      </w:r>
      <w:r w:rsidRPr="00057E23">
        <w:rPr>
          <w:rFonts w:ascii="Arial" w:hAnsi="Arial"/>
          <w:bCs/>
          <w:i/>
          <w:sz w:val="18"/>
          <w:szCs w:val="18"/>
          <w:lang w:val="en-IE"/>
        </w:rPr>
        <w:t>G. salaris</w:t>
      </w:r>
      <w:r w:rsidRPr="007D0630">
        <w:rPr>
          <w:rFonts w:ascii="Arial" w:hAnsi="Arial"/>
          <w:bCs/>
          <w:sz w:val="18"/>
          <w:szCs w:val="18"/>
          <w:lang w:val="en-IE"/>
        </w:rPr>
        <w:t xml:space="preserve">, however, it should be noted that diagnostic performance is specific to the circumstances of </w:t>
      </w:r>
      <w:r w:rsidRPr="005719DE">
        <w:rPr>
          <w:rFonts w:ascii="Arial" w:hAnsi="Arial"/>
          <w:bCs/>
          <w:sz w:val="18"/>
          <w:szCs w:val="18"/>
          <w:lang w:val="en-IE"/>
        </w:rPr>
        <w:t>each</w:t>
      </w:r>
      <w:r w:rsidRPr="001B7AE3">
        <w:rPr>
          <w:rFonts w:ascii="Arial" w:hAnsi="Arial"/>
          <w:bCs/>
          <w:sz w:val="18"/>
          <w:szCs w:val="18"/>
          <w:lang w:val="en-IE"/>
        </w:rPr>
        <w:t xml:space="preserve"> </w:t>
      </w:r>
      <w:r w:rsidRPr="001811FE">
        <w:rPr>
          <w:rFonts w:ascii="Arial" w:hAnsi="Arial"/>
          <w:bCs/>
          <w:sz w:val="18"/>
          <w:szCs w:val="18"/>
          <w:lang w:val="en-IE"/>
        </w:rPr>
        <w:t>diagnostic accuracy study</w:t>
      </w:r>
      <w:r w:rsidRPr="005719DE">
        <w:rPr>
          <w:rFonts w:ascii="Arial" w:hAnsi="Arial"/>
          <w:bCs/>
          <w:sz w:val="18"/>
          <w:szCs w:val="18"/>
          <w:lang w:val="en-IE"/>
        </w:rPr>
        <w:t xml:space="preserve"> </w:t>
      </w:r>
      <w:r w:rsidRPr="001B7AE3">
        <w:rPr>
          <w:rFonts w:ascii="Arial" w:hAnsi="Arial"/>
          <w:bCs/>
          <w:sz w:val="18"/>
          <w:szCs w:val="18"/>
          <w:lang w:val="en-IE"/>
        </w:rPr>
        <w:t xml:space="preserve">(including the </w:t>
      </w:r>
      <w:r w:rsidRPr="00AA34F2">
        <w:rPr>
          <w:rFonts w:ascii="Arial" w:hAnsi="Arial"/>
          <w:bCs/>
          <w:sz w:val="18"/>
          <w:szCs w:val="18"/>
          <w:lang w:val="en-IE"/>
        </w:rPr>
        <w:t>test purpose, source population,</w:t>
      </w:r>
      <w:r w:rsidRPr="003C62EF">
        <w:rPr>
          <w:rFonts w:ascii="Arial" w:hAnsi="Arial"/>
          <w:bCs/>
          <w:sz w:val="18"/>
          <w:szCs w:val="18"/>
          <w:lang w:val="en-IE"/>
        </w:rPr>
        <w:t xml:space="preserve"> tissue sample types and host </w:t>
      </w:r>
      <w:r w:rsidRPr="00D74FA1">
        <w:rPr>
          <w:rFonts w:ascii="Arial" w:hAnsi="Arial"/>
          <w:bCs/>
          <w:sz w:val="18"/>
          <w:szCs w:val="18"/>
          <w:lang w:val="en-IE"/>
        </w:rPr>
        <w:t xml:space="preserve">species) and </w:t>
      </w:r>
      <w:r w:rsidRPr="005719DE">
        <w:rPr>
          <w:rFonts w:ascii="Arial" w:hAnsi="Arial"/>
          <w:bCs/>
          <w:sz w:val="18"/>
          <w:szCs w:val="18"/>
          <w:lang w:val="en-IE"/>
        </w:rPr>
        <w:t>diagnostic performance may vary under different conditions. Data is only presented where tests are validated to at</w:t>
      </w:r>
      <w:r>
        <w:rPr>
          <w:rFonts w:ascii="Arial" w:hAnsi="Arial"/>
          <w:bCs/>
          <w:sz w:val="18"/>
          <w:szCs w:val="18"/>
          <w:lang w:val="en-IE"/>
        </w:rPr>
        <w:t xml:space="preserve"> </w:t>
      </w:r>
      <w:r w:rsidRPr="005719DE">
        <w:rPr>
          <w:rFonts w:ascii="Arial" w:hAnsi="Arial"/>
          <w:bCs/>
          <w:sz w:val="18"/>
          <w:szCs w:val="18"/>
          <w:lang w:val="en-IE"/>
        </w:rPr>
        <w:t xml:space="preserve">least level two of the validation pathway described in </w:t>
      </w:r>
      <w:r w:rsidRPr="001811FE">
        <w:rPr>
          <w:rFonts w:ascii="Arial" w:hAnsi="Arial"/>
          <w:bCs/>
          <w:sz w:val="18"/>
          <w:szCs w:val="18"/>
          <w:lang w:val="en-IE"/>
        </w:rPr>
        <w:t>Chapter 1.1.2.</w:t>
      </w:r>
      <w:r w:rsidRPr="005719DE">
        <w:rPr>
          <w:rFonts w:ascii="Arial" w:hAnsi="Arial"/>
          <w:bCs/>
          <w:sz w:val="18"/>
          <w:szCs w:val="18"/>
          <w:lang w:val="en-IE"/>
        </w:rPr>
        <w:t xml:space="preserve"> and the </w:t>
      </w:r>
      <w:r w:rsidRPr="001B7AE3">
        <w:rPr>
          <w:rFonts w:ascii="Arial" w:hAnsi="Arial"/>
          <w:bCs/>
          <w:sz w:val="18"/>
          <w:szCs w:val="18"/>
          <w:lang w:val="en-IE"/>
        </w:rPr>
        <w:t>information is available within published diagnostic accuracy studies.</w:t>
      </w:r>
    </w:p>
    <w:p w14:paraId="7219BCF3" w14:textId="77777777" w:rsidR="000A62A2" w:rsidRDefault="000A62A2" w:rsidP="000A62A2">
      <w:pPr>
        <w:keepNext/>
        <w:keepLines/>
        <w:spacing w:after="120"/>
        <w:ind w:firstLine="1"/>
        <w:jc w:val="center"/>
        <w:rPr>
          <w:rFonts w:ascii="Ottawa" w:hAnsi="Ottawa"/>
          <w:bCs/>
          <w:i/>
          <w:sz w:val="18"/>
          <w:szCs w:val="18"/>
          <w:lang w:val="en-IE"/>
        </w:rPr>
      </w:pPr>
      <w:r w:rsidRPr="007D0630">
        <w:rPr>
          <w:rFonts w:ascii="Ottawa" w:hAnsi="Ottawa"/>
          <w:b/>
          <w:bCs/>
          <w:i/>
          <w:sz w:val="18"/>
          <w:szCs w:val="18"/>
          <w:lang w:val="en-IE"/>
        </w:rPr>
        <w:t>Table 6.3.</w:t>
      </w:r>
      <w:r w:rsidRPr="007D0630">
        <w:rPr>
          <w:rFonts w:ascii="Ottawa" w:hAnsi="Ottawa"/>
          <w:bCs/>
          <w:i/>
          <w:sz w:val="18"/>
          <w:szCs w:val="18"/>
          <w:lang w:val="en-IE"/>
        </w:rPr>
        <w:t xml:space="preserve"> Diagnostic performance of tests recommended for surveillance or diagnosis</w:t>
      </w:r>
    </w:p>
    <w:tbl>
      <w:tblPr>
        <w:tblW w:w="949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134"/>
        <w:gridCol w:w="992"/>
        <w:gridCol w:w="1276"/>
        <w:gridCol w:w="1105"/>
        <w:gridCol w:w="850"/>
        <w:gridCol w:w="993"/>
        <w:gridCol w:w="1020"/>
        <w:gridCol w:w="850"/>
      </w:tblGrid>
      <w:tr w:rsidR="000A62A2" w:rsidRPr="00D250A3" w14:paraId="532F6C86" w14:textId="77777777" w:rsidTr="000A62A2">
        <w:tc>
          <w:tcPr>
            <w:tcW w:w="1277" w:type="dxa"/>
            <w:shd w:val="clear" w:color="auto" w:fill="auto"/>
          </w:tcPr>
          <w:p w14:paraId="607299C8" w14:textId="77777777" w:rsidR="000A62A2" w:rsidRPr="00D250A3" w:rsidRDefault="000A62A2" w:rsidP="000A62A2">
            <w:pPr>
              <w:spacing w:after="0"/>
              <w:rPr>
                <w:rFonts w:ascii="Arial Narrow" w:eastAsia="DengXian" w:hAnsi="Arial Narrow" w:cs="Arial"/>
                <w:b/>
                <w:sz w:val="18"/>
                <w:szCs w:val="18"/>
              </w:rPr>
            </w:pPr>
            <w:r w:rsidRPr="00D250A3">
              <w:rPr>
                <w:rFonts w:ascii="Arial Narrow" w:eastAsia="DengXian" w:hAnsi="Arial Narrow" w:cs="Arial"/>
                <w:b/>
                <w:sz w:val="18"/>
                <w:szCs w:val="18"/>
              </w:rPr>
              <w:t>Test type</w:t>
            </w:r>
          </w:p>
        </w:tc>
        <w:tc>
          <w:tcPr>
            <w:tcW w:w="1134" w:type="dxa"/>
            <w:shd w:val="clear" w:color="auto" w:fill="auto"/>
          </w:tcPr>
          <w:p w14:paraId="27826FE4" w14:textId="77777777" w:rsidR="000A62A2" w:rsidRPr="00D250A3" w:rsidRDefault="000A62A2" w:rsidP="000A62A2">
            <w:pPr>
              <w:spacing w:after="0"/>
              <w:rPr>
                <w:rFonts w:ascii="Arial Narrow" w:eastAsia="DengXian" w:hAnsi="Arial Narrow" w:cs="Arial"/>
                <w:b/>
                <w:sz w:val="18"/>
                <w:szCs w:val="18"/>
              </w:rPr>
            </w:pPr>
            <w:r w:rsidRPr="00D250A3">
              <w:rPr>
                <w:rFonts w:ascii="Arial Narrow" w:eastAsia="DengXian" w:hAnsi="Arial Narrow" w:cs="Arial"/>
                <w:b/>
                <w:sz w:val="18"/>
                <w:szCs w:val="18"/>
              </w:rPr>
              <w:t>Test purpose</w:t>
            </w:r>
          </w:p>
        </w:tc>
        <w:tc>
          <w:tcPr>
            <w:tcW w:w="992" w:type="dxa"/>
            <w:shd w:val="clear" w:color="auto" w:fill="auto"/>
          </w:tcPr>
          <w:p w14:paraId="520B3653" w14:textId="77777777" w:rsidR="000A62A2" w:rsidRPr="00D250A3" w:rsidRDefault="000A62A2" w:rsidP="000A62A2">
            <w:pPr>
              <w:spacing w:after="0"/>
              <w:rPr>
                <w:rFonts w:ascii="Arial Narrow" w:eastAsia="DengXian" w:hAnsi="Arial Narrow" w:cs="Arial"/>
                <w:b/>
                <w:sz w:val="18"/>
                <w:szCs w:val="18"/>
              </w:rPr>
            </w:pPr>
            <w:r w:rsidRPr="00D250A3">
              <w:rPr>
                <w:rFonts w:ascii="Arial Narrow" w:eastAsia="DengXian" w:hAnsi="Arial Narrow" w:cs="Arial"/>
                <w:b/>
                <w:sz w:val="18"/>
                <w:szCs w:val="18"/>
              </w:rPr>
              <w:t>Source population</w:t>
            </w:r>
          </w:p>
        </w:tc>
        <w:tc>
          <w:tcPr>
            <w:tcW w:w="1276" w:type="dxa"/>
            <w:shd w:val="clear" w:color="auto" w:fill="auto"/>
          </w:tcPr>
          <w:p w14:paraId="132FE659" w14:textId="77777777" w:rsidR="000A62A2" w:rsidRPr="00D250A3" w:rsidRDefault="000A62A2" w:rsidP="000A62A2">
            <w:pPr>
              <w:spacing w:after="0"/>
              <w:rPr>
                <w:rFonts w:ascii="Arial Narrow" w:eastAsia="DengXian" w:hAnsi="Arial Narrow" w:cs="Arial"/>
                <w:b/>
                <w:sz w:val="18"/>
                <w:szCs w:val="18"/>
              </w:rPr>
            </w:pPr>
            <w:r w:rsidRPr="00D250A3">
              <w:rPr>
                <w:rFonts w:ascii="Arial Narrow" w:eastAsia="DengXian" w:hAnsi="Arial Narrow" w:cs="Arial"/>
                <w:b/>
                <w:sz w:val="18"/>
                <w:szCs w:val="18"/>
              </w:rPr>
              <w:t>Tissue/ sample type</w:t>
            </w:r>
          </w:p>
        </w:tc>
        <w:tc>
          <w:tcPr>
            <w:tcW w:w="1105" w:type="dxa"/>
            <w:shd w:val="clear" w:color="auto" w:fill="auto"/>
          </w:tcPr>
          <w:p w14:paraId="2FA48FCB" w14:textId="77777777" w:rsidR="000A62A2" w:rsidRPr="00D250A3" w:rsidRDefault="000A62A2" w:rsidP="000A62A2">
            <w:pPr>
              <w:spacing w:after="0"/>
              <w:rPr>
                <w:rFonts w:ascii="Arial Narrow" w:eastAsia="DengXian" w:hAnsi="Arial Narrow" w:cs="Arial"/>
                <w:b/>
                <w:sz w:val="18"/>
                <w:szCs w:val="18"/>
              </w:rPr>
            </w:pPr>
            <w:r w:rsidRPr="00D250A3">
              <w:rPr>
                <w:rFonts w:ascii="Arial Narrow" w:eastAsia="DengXian" w:hAnsi="Arial Narrow" w:cs="Arial"/>
                <w:b/>
                <w:sz w:val="18"/>
                <w:szCs w:val="18"/>
              </w:rPr>
              <w:t>Species</w:t>
            </w:r>
          </w:p>
        </w:tc>
        <w:tc>
          <w:tcPr>
            <w:tcW w:w="850" w:type="dxa"/>
            <w:shd w:val="clear" w:color="auto" w:fill="auto"/>
          </w:tcPr>
          <w:p w14:paraId="572D1FB5" w14:textId="77777777" w:rsidR="000A62A2" w:rsidRPr="00D250A3" w:rsidRDefault="000A62A2" w:rsidP="000A62A2">
            <w:pPr>
              <w:spacing w:after="0"/>
              <w:rPr>
                <w:rFonts w:ascii="Arial Narrow" w:eastAsia="DengXian" w:hAnsi="Arial Narrow" w:cs="Arial"/>
                <w:b/>
                <w:sz w:val="18"/>
                <w:szCs w:val="18"/>
              </w:rPr>
            </w:pPr>
            <w:r w:rsidRPr="00D250A3">
              <w:rPr>
                <w:rFonts w:ascii="Arial Narrow" w:eastAsia="DengXian" w:hAnsi="Arial Narrow" w:cs="Arial"/>
                <w:b/>
                <w:sz w:val="18"/>
                <w:szCs w:val="18"/>
              </w:rPr>
              <w:t>DSe (</w:t>
            </w:r>
            <w:r w:rsidRPr="00D250A3">
              <w:rPr>
                <w:rFonts w:ascii="Arial Narrow" w:eastAsia="DengXian" w:hAnsi="Arial Narrow" w:cs="Arial"/>
                <w:b/>
                <w:i/>
                <w:sz w:val="18"/>
                <w:szCs w:val="18"/>
              </w:rPr>
              <w:t>n</w:t>
            </w:r>
            <w:r w:rsidRPr="00D250A3">
              <w:rPr>
                <w:rFonts w:ascii="Arial Narrow" w:eastAsia="DengXian" w:hAnsi="Arial Narrow" w:cs="Arial"/>
                <w:b/>
                <w:sz w:val="18"/>
                <w:szCs w:val="18"/>
              </w:rPr>
              <w:t>)</w:t>
            </w:r>
          </w:p>
        </w:tc>
        <w:tc>
          <w:tcPr>
            <w:tcW w:w="993" w:type="dxa"/>
            <w:shd w:val="clear" w:color="auto" w:fill="auto"/>
          </w:tcPr>
          <w:p w14:paraId="79264F19" w14:textId="77777777" w:rsidR="000A62A2" w:rsidRPr="00D250A3" w:rsidRDefault="000A62A2" w:rsidP="000A62A2">
            <w:pPr>
              <w:spacing w:after="0"/>
              <w:rPr>
                <w:rFonts w:ascii="Arial Narrow" w:eastAsia="DengXian" w:hAnsi="Arial Narrow" w:cs="Arial"/>
                <w:b/>
                <w:sz w:val="18"/>
                <w:szCs w:val="18"/>
              </w:rPr>
            </w:pPr>
            <w:r w:rsidRPr="00D250A3">
              <w:rPr>
                <w:rFonts w:ascii="Arial Narrow" w:eastAsia="DengXian" w:hAnsi="Arial Narrow" w:cs="Arial"/>
                <w:b/>
                <w:sz w:val="18"/>
                <w:szCs w:val="18"/>
              </w:rPr>
              <w:t>DSp (</w:t>
            </w:r>
            <w:r w:rsidRPr="00D250A3">
              <w:rPr>
                <w:rFonts w:ascii="Arial Narrow" w:eastAsia="DengXian" w:hAnsi="Arial Narrow" w:cs="Arial"/>
                <w:b/>
                <w:i/>
                <w:sz w:val="18"/>
                <w:szCs w:val="18"/>
              </w:rPr>
              <w:t>n</w:t>
            </w:r>
            <w:r w:rsidRPr="00D250A3">
              <w:rPr>
                <w:rFonts w:ascii="Arial Narrow" w:eastAsia="DengXian" w:hAnsi="Arial Narrow" w:cs="Arial"/>
                <w:b/>
                <w:sz w:val="18"/>
                <w:szCs w:val="18"/>
              </w:rPr>
              <w:t>)</w:t>
            </w:r>
          </w:p>
        </w:tc>
        <w:tc>
          <w:tcPr>
            <w:tcW w:w="1020" w:type="dxa"/>
            <w:shd w:val="clear" w:color="auto" w:fill="auto"/>
          </w:tcPr>
          <w:p w14:paraId="4DB564F2" w14:textId="77777777" w:rsidR="000A62A2" w:rsidRPr="00D250A3" w:rsidRDefault="000A62A2" w:rsidP="000A62A2">
            <w:pPr>
              <w:spacing w:after="0"/>
              <w:rPr>
                <w:rFonts w:ascii="Arial Narrow" w:eastAsia="DengXian" w:hAnsi="Arial Narrow" w:cs="Arial"/>
                <w:b/>
                <w:sz w:val="18"/>
                <w:szCs w:val="18"/>
              </w:rPr>
            </w:pPr>
            <w:r w:rsidRPr="00D250A3">
              <w:rPr>
                <w:rFonts w:ascii="Arial Narrow" w:eastAsia="DengXian" w:hAnsi="Arial Narrow" w:cs="Arial"/>
                <w:b/>
                <w:sz w:val="18"/>
                <w:szCs w:val="18"/>
              </w:rPr>
              <w:t>Reference test</w:t>
            </w:r>
          </w:p>
        </w:tc>
        <w:tc>
          <w:tcPr>
            <w:tcW w:w="850" w:type="dxa"/>
            <w:shd w:val="clear" w:color="auto" w:fill="auto"/>
          </w:tcPr>
          <w:p w14:paraId="42EE8349" w14:textId="77777777" w:rsidR="000A62A2" w:rsidRPr="00D250A3" w:rsidRDefault="000A62A2" w:rsidP="000A62A2">
            <w:pPr>
              <w:spacing w:after="0"/>
              <w:rPr>
                <w:rFonts w:ascii="Arial Narrow" w:eastAsia="DengXian" w:hAnsi="Arial Narrow" w:cs="Arial"/>
                <w:b/>
                <w:sz w:val="18"/>
                <w:szCs w:val="18"/>
              </w:rPr>
            </w:pPr>
            <w:r w:rsidRPr="00D250A3">
              <w:rPr>
                <w:rFonts w:ascii="Arial Narrow" w:eastAsia="DengXian" w:hAnsi="Arial Narrow" w:cs="Arial"/>
                <w:b/>
                <w:sz w:val="18"/>
                <w:szCs w:val="18"/>
              </w:rPr>
              <w:t>Citation</w:t>
            </w:r>
          </w:p>
        </w:tc>
      </w:tr>
      <w:tr w:rsidR="000A62A2" w:rsidRPr="00D250A3" w14:paraId="5EA032DA" w14:textId="77777777" w:rsidTr="000A62A2">
        <w:trPr>
          <w:trHeight w:val="493"/>
        </w:trPr>
        <w:tc>
          <w:tcPr>
            <w:tcW w:w="1277" w:type="dxa"/>
            <w:shd w:val="clear" w:color="auto" w:fill="auto"/>
          </w:tcPr>
          <w:p w14:paraId="5D6324D3"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Real-time PCR</w:t>
            </w:r>
          </w:p>
        </w:tc>
        <w:tc>
          <w:tcPr>
            <w:tcW w:w="1134" w:type="dxa"/>
            <w:shd w:val="clear" w:color="auto" w:fill="auto"/>
          </w:tcPr>
          <w:p w14:paraId="3F888BD1"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Surveillance</w:t>
            </w:r>
          </w:p>
        </w:tc>
        <w:tc>
          <w:tcPr>
            <w:tcW w:w="992" w:type="dxa"/>
            <w:shd w:val="clear" w:color="auto" w:fill="auto"/>
          </w:tcPr>
          <w:p w14:paraId="7468B09B"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w:t>
            </w:r>
          </w:p>
        </w:tc>
        <w:tc>
          <w:tcPr>
            <w:tcW w:w="1276" w:type="dxa"/>
            <w:shd w:val="clear" w:color="auto" w:fill="auto"/>
          </w:tcPr>
          <w:p w14:paraId="6F4C28C9"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Parasites</w:t>
            </w:r>
          </w:p>
        </w:tc>
        <w:tc>
          <w:tcPr>
            <w:tcW w:w="1105" w:type="dxa"/>
            <w:shd w:val="clear" w:color="auto" w:fill="auto"/>
          </w:tcPr>
          <w:p w14:paraId="57C5983C"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w:t>
            </w:r>
          </w:p>
        </w:tc>
        <w:tc>
          <w:tcPr>
            <w:tcW w:w="850" w:type="dxa"/>
            <w:shd w:val="clear" w:color="auto" w:fill="auto"/>
          </w:tcPr>
          <w:p w14:paraId="526E2151"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Not yet available</w:t>
            </w:r>
          </w:p>
        </w:tc>
        <w:tc>
          <w:tcPr>
            <w:tcW w:w="993" w:type="dxa"/>
            <w:shd w:val="clear" w:color="auto" w:fill="auto"/>
          </w:tcPr>
          <w:p w14:paraId="6601135D"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Not yet available</w:t>
            </w:r>
          </w:p>
        </w:tc>
        <w:tc>
          <w:tcPr>
            <w:tcW w:w="1020" w:type="dxa"/>
            <w:shd w:val="clear" w:color="auto" w:fill="auto"/>
          </w:tcPr>
          <w:p w14:paraId="5250C90D"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w:t>
            </w:r>
          </w:p>
        </w:tc>
        <w:tc>
          <w:tcPr>
            <w:tcW w:w="850" w:type="dxa"/>
            <w:shd w:val="clear" w:color="auto" w:fill="auto"/>
          </w:tcPr>
          <w:p w14:paraId="003DD1A4"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w:t>
            </w:r>
          </w:p>
        </w:tc>
      </w:tr>
      <w:tr w:rsidR="000A62A2" w:rsidRPr="00D250A3" w14:paraId="2108EEE8" w14:textId="77777777" w:rsidTr="000A62A2">
        <w:tc>
          <w:tcPr>
            <w:tcW w:w="1277" w:type="dxa"/>
            <w:shd w:val="clear" w:color="auto" w:fill="auto"/>
          </w:tcPr>
          <w:p w14:paraId="42CBD0D4"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Amplicon sequencing</w:t>
            </w:r>
          </w:p>
        </w:tc>
        <w:tc>
          <w:tcPr>
            <w:tcW w:w="1134" w:type="dxa"/>
            <w:shd w:val="clear" w:color="auto" w:fill="auto"/>
          </w:tcPr>
          <w:p w14:paraId="20173201"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Diagnosis</w:t>
            </w:r>
          </w:p>
        </w:tc>
        <w:tc>
          <w:tcPr>
            <w:tcW w:w="992" w:type="dxa"/>
            <w:shd w:val="clear" w:color="auto" w:fill="auto"/>
          </w:tcPr>
          <w:p w14:paraId="34E613CD"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w:t>
            </w:r>
          </w:p>
        </w:tc>
        <w:tc>
          <w:tcPr>
            <w:tcW w:w="1276" w:type="dxa"/>
            <w:shd w:val="clear" w:color="auto" w:fill="auto"/>
          </w:tcPr>
          <w:p w14:paraId="7992653A"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 xml:space="preserve">Parasites </w:t>
            </w:r>
          </w:p>
        </w:tc>
        <w:tc>
          <w:tcPr>
            <w:tcW w:w="1105" w:type="dxa"/>
            <w:shd w:val="clear" w:color="auto" w:fill="auto"/>
          </w:tcPr>
          <w:p w14:paraId="00426666"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w:t>
            </w:r>
          </w:p>
        </w:tc>
        <w:tc>
          <w:tcPr>
            <w:tcW w:w="850" w:type="dxa"/>
            <w:shd w:val="clear" w:color="auto" w:fill="auto"/>
          </w:tcPr>
          <w:p w14:paraId="0E5F0224"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Not yet available</w:t>
            </w:r>
          </w:p>
        </w:tc>
        <w:tc>
          <w:tcPr>
            <w:tcW w:w="993" w:type="dxa"/>
            <w:shd w:val="clear" w:color="auto" w:fill="auto"/>
          </w:tcPr>
          <w:p w14:paraId="6DE1E390"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Not yet available</w:t>
            </w:r>
          </w:p>
        </w:tc>
        <w:tc>
          <w:tcPr>
            <w:tcW w:w="1020" w:type="dxa"/>
            <w:shd w:val="clear" w:color="auto" w:fill="auto"/>
          </w:tcPr>
          <w:p w14:paraId="0DE3F446"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w:t>
            </w:r>
          </w:p>
        </w:tc>
        <w:tc>
          <w:tcPr>
            <w:tcW w:w="850" w:type="dxa"/>
            <w:shd w:val="clear" w:color="auto" w:fill="auto"/>
          </w:tcPr>
          <w:p w14:paraId="7D1EC8C3" w14:textId="77777777" w:rsidR="000A62A2" w:rsidRPr="00057E23" w:rsidRDefault="000A62A2" w:rsidP="000A62A2">
            <w:pPr>
              <w:spacing w:after="0"/>
              <w:rPr>
                <w:rFonts w:ascii="Arial Narrow" w:eastAsia="DengXian" w:hAnsi="Arial Narrow" w:cs="Arial"/>
                <w:sz w:val="18"/>
                <w:szCs w:val="18"/>
              </w:rPr>
            </w:pPr>
            <w:r w:rsidRPr="00057E23">
              <w:rPr>
                <w:rFonts w:ascii="Arial Narrow" w:eastAsia="DengXian" w:hAnsi="Arial Narrow" w:cs="Arial"/>
                <w:sz w:val="18"/>
                <w:szCs w:val="18"/>
              </w:rPr>
              <w:t>–</w:t>
            </w:r>
          </w:p>
        </w:tc>
      </w:tr>
    </w:tbl>
    <w:p w14:paraId="6EC1FCBD" w14:textId="77777777" w:rsidR="000A62A2" w:rsidRPr="000712D1" w:rsidRDefault="000A62A2" w:rsidP="000A62A2">
      <w:pPr>
        <w:spacing w:before="120" w:line="240" w:lineRule="auto"/>
        <w:jc w:val="center"/>
        <w:rPr>
          <w:rFonts w:ascii="Arial" w:hAnsi="Arial" w:cs="Arial"/>
          <w:b/>
          <w:sz w:val="16"/>
          <w:szCs w:val="16"/>
        </w:rPr>
      </w:pPr>
      <w:r w:rsidRPr="000712D1">
        <w:rPr>
          <w:rFonts w:ascii="Arial" w:hAnsi="Arial" w:cs="Arial"/>
          <w:sz w:val="16"/>
          <w:szCs w:val="16"/>
        </w:rPr>
        <w:t>DSe = diagnostic sensitivity</w:t>
      </w:r>
      <w:r>
        <w:rPr>
          <w:rFonts w:ascii="Arial" w:hAnsi="Arial" w:cs="Arial"/>
          <w:sz w:val="16"/>
          <w:szCs w:val="16"/>
        </w:rPr>
        <w:t>;</w:t>
      </w:r>
      <w:r w:rsidRPr="000712D1">
        <w:rPr>
          <w:rFonts w:ascii="Arial" w:hAnsi="Arial" w:cs="Arial"/>
          <w:sz w:val="16"/>
          <w:szCs w:val="16"/>
        </w:rPr>
        <w:t xml:space="preserve"> DSp = diagnostic specificity</w:t>
      </w:r>
      <w:r>
        <w:rPr>
          <w:rFonts w:ascii="Arial" w:hAnsi="Arial" w:cs="Arial"/>
          <w:sz w:val="16"/>
          <w:szCs w:val="16"/>
        </w:rPr>
        <w:t>;</w:t>
      </w:r>
      <w:r w:rsidRPr="000712D1">
        <w:rPr>
          <w:rFonts w:ascii="Arial" w:hAnsi="Arial" w:cs="Arial"/>
          <w:sz w:val="16"/>
          <w:szCs w:val="16"/>
        </w:rPr>
        <w:t xml:space="preserve"> </w:t>
      </w:r>
      <w:r w:rsidRPr="00057E23">
        <w:rPr>
          <w:rFonts w:ascii="Arial" w:hAnsi="Arial"/>
          <w:i/>
          <w:iCs/>
          <w:sz w:val="16"/>
          <w:szCs w:val="16"/>
        </w:rPr>
        <w:t>n</w:t>
      </w:r>
      <w:r w:rsidRPr="00057E23">
        <w:rPr>
          <w:rFonts w:ascii="Arial" w:hAnsi="Arial"/>
          <w:sz w:val="16"/>
          <w:szCs w:val="16"/>
        </w:rPr>
        <w:t xml:space="preserve"> = number of samples used in the study;</w:t>
      </w:r>
    </w:p>
    <w:p w14:paraId="2440D8B0" w14:textId="77777777" w:rsidR="000A62A2" w:rsidRPr="00CA456F" w:rsidRDefault="000A62A2" w:rsidP="00CA456F">
      <w:pPr>
        <w:pStyle w:val="Titre1"/>
        <w:spacing w:before="0" w:after="240" w:line="240" w:lineRule="auto"/>
        <w:ind w:left="425" w:hanging="425"/>
        <w:rPr>
          <w:rFonts w:ascii="Ottawa" w:hAnsi="Ottawa"/>
          <w:b/>
          <w:color w:val="auto"/>
          <w:sz w:val="22"/>
          <w:szCs w:val="22"/>
          <w:lang w:val="en-IE"/>
        </w:rPr>
      </w:pPr>
      <w:r w:rsidRPr="00CA456F">
        <w:rPr>
          <w:rFonts w:ascii="Ottawa" w:hAnsi="Ottawa"/>
          <w:b/>
          <w:color w:val="auto"/>
          <w:sz w:val="22"/>
          <w:szCs w:val="22"/>
          <w:lang w:val="en-IE"/>
        </w:rPr>
        <w:t>7.</w:t>
      </w:r>
      <w:r w:rsidRPr="00CA456F">
        <w:rPr>
          <w:rFonts w:ascii="Ottawa" w:hAnsi="Ottawa"/>
          <w:b/>
          <w:color w:val="auto"/>
          <w:sz w:val="22"/>
          <w:szCs w:val="22"/>
          <w:lang w:val="en-IE"/>
        </w:rPr>
        <w:tab/>
        <w:t>References</w:t>
      </w:r>
    </w:p>
    <w:p w14:paraId="66C58DA9" w14:textId="77777777" w:rsidR="000A62A2" w:rsidRPr="002210B3" w:rsidRDefault="000A62A2" w:rsidP="000A62A2">
      <w:pPr>
        <w:pStyle w:val="Para3"/>
        <w:ind w:left="426"/>
      </w:pPr>
      <w:r w:rsidRPr="003D1545">
        <w:rPr>
          <w:smallCaps/>
        </w:rPr>
        <w:t>Anttila P., Romakkaniemi A., Kuusela J. &amp; Koski P</w:t>
      </w:r>
      <w:r>
        <w:t>.</w:t>
      </w:r>
      <w:r w:rsidRPr="002210B3">
        <w:t xml:space="preserve"> (2008)</w:t>
      </w:r>
      <w:r>
        <w:t>.</w:t>
      </w:r>
      <w:r w:rsidRPr="002210B3">
        <w:t xml:space="preserve"> Epidemiology of </w:t>
      </w:r>
      <w:r w:rsidRPr="002210B3">
        <w:rPr>
          <w:i/>
          <w:iCs/>
        </w:rPr>
        <w:t>G. salaris</w:t>
      </w:r>
      <w:r w:rsidRPr="002210B3">
        <w:t xml:space="preserve"> (Monogenea) in the River Tornionjoki, a Baltic wild salmon river. </w:t>
      </w:r>
      <w:r w:rsidRPr="003D1545">
        <w:rPr>
          <w:i/>
          <w:iCs/>
        </w:rPr>
        <w:t>J. Fish Dis.,</w:t>
      </w:r>
      <w:r w:rsidRPr="002210B3">
        <w:t xml:space="preserve"> </w:t>
      </w:r>
      <w:r w:rsidRPr="003D1545">
        <w:rPr>
          <w:b/>
          <w:bCs w:val="0"/>
        </w:rPr>
        <w:t>31</w:t>
      </w:r>
      <w:r>
        <w:t xml:space="preserve">, </w:t>
      </w:r>
      <w:r w:rsidRPr="002210B3">
        <w:t>373</w:t>
      </w:r>
      <w:r>
        <w:t>–</w:t>
      </w:r>
      <w:r w:rsidRPr="002210B3">
        <w:t>382</w:t>
      </w:r>
      <w:r>
        <w:t>.</w:t>
      </w:r>
    </w:p>
    <w:p w14:paraId="43D86F4D" w14:textId="77777777" w:rsidR="000A62A2" w:rsidRPr="002210B3" w:rsidRDefault="000A62A2" w:rsidP="000A62A2">
      <w:pPr>
        <w:pStyle w:val="Para3"/>
        <w:ind w:left="426"/>
      </w:pPr>
      <w:r w:rsidRPr="003D1545">
        <w:rPr>
          <w:smallCaps/>
        </w:rPr>
        <w:t>Appleby C. &amp; Mo T.A.</w:t>
      </w:r>
      <w:r w:rsidRPr="002210B3">
        <w:t xml:space="preserve"> (1997). Population Dynamics of </w:t>
      </w:r>
      <w:r w:rsidRPr="002210B3">
        <w:rPr>
          <w:i/>
          <w:iCs/>
        </w:rPr>
        <w:t>G. salaris</w:t>
      </w:r>
      <w:r w:rsidRPr="002210B3">
        <w:t xml:space="preserve"> (Monogenea) Infecting Atlantic Salmon, </w:t>
      </w:r>
      <w:r w:rsidRPr="002210B3">
        <w:rPr>
          <w:i/>
          <w:iCs/>
        </w:rPr>
        <w:t>Salmo salar</w:t>
      </w:r>
      <w:r w:rsidRPr="002210B3">
        <w:t xml:space="preserve">, Parr in the River Batnfjordselva, Norway. </w:t>
      </w:r>
      <w:r w:rsidRPr="003D1545">
        <w:rPr>
          <w:i/>
          <w:iCs/>
        </w:rPr>
        <w:t>J. Parasitol</w:t>
      </w:r>
      <w:r w:rsidRPr="002210B3">
        <w:t xml:space="preserve">., </w:t>
      </w:r>
      <w:r w:rsidRPr="003D1545">
        <w:rPr>
          <w:b/>
          <w:bCs w:val="0"/>
        </w:rPr>
        <w:t>83</w:t>
      </w:r>
      <w:r w:rsidRPr="002210B3">
        <w:t>, 23–30</w:t>
      </w:r>
    </w:p>
    <w:p w14:paraId="6132ADD2" w14:textId="77777777" w:rsidR="000A62A2" w:rsidRPr="002210B3" w:rsidRDefault="000A62A2" w:rsidP="000A62A2">
      <w:pPr>
        <w:pStyle w:val="Para3"/>
        <w:ind w:left="426"/>
      </w:pPr>
      <w:r w:rsidRPr="003D1545">
        <w:rPr>
          <w:smallCaps/>
        </w:rPr>
        <w:t>Buchmann K. &amp; Bresciani</w:t>
      </w:r>
      <w:r w:rsidRPr="002210B3">
        <w:t xml:space="preserve"> J. (1997). Parasitic infections in pond-reared rainbow trout </w:t>
      </w:r>
      <w:r w:rsidRPr="002210B3">
        <w:rPr>
          <w:i/>
          <w:iCs/>
        </w:rPr>
        <w:t>Oncorhynchus mykiss</w:t>
      </w:r>
      <w:r w:rsidRPr="002210B3">
        <w:t xml:space="preserve"> in Denmark. </w:t>
      </w:r>
      <w:r w:rsidRPr="003D1545">
        <w:rPr>
          <w:i/>
          <w:iCs/>
        </w:rPr>
        <w:t>Dis. Aquat. Org</w:t>
      </w:r>
      <w:r w:rsidRPr="002210B3">
        <w:t xml:space="preserve">., </w:t>
      </w:r>
      <w:r w:rsidRPr="003D1545">
        <w:rPr>
          <w:b/>
          <w:bCs w:val="0"/>
        </w:rPr>
        <w:t>28</w:t>
      </w:r>
      <w:r w:rsidRPr="002210B3">
        <w:t>, 125–138</w:t>
      </w:r>
      <w:r>
        <w:t>.</w:t>
      </w:r>
    </w:p>
    <w:p w14:paraId="70432AC0" w14:textId="77777777" w:rsidR="000A62A2" w:rsidRPr="002210B3" w:rsidRDefault="000A62A2" w:rsidP="000A62A2">
      <w:pPr>
        <w:pStyle w:val="Para3"/>
        <w:ind w:left="426"/>
      </w:pPr>
      <w:r w:rsidRPr="00595276">
        <w:rPr>
          <w:smallCaps/>
        </w:rPr>
        <w:t>Collins C.M., Kerr R., McIntosh R. &amp; Snow M.</w:t>
      </w:r>
      <w:r w:rsidRPr="002210B3">
        <w:t xml:space="preserve"> (2010)</w:t>
      </w:r>
      <w:r>
        <w:t>.</w:t>
      </w:r>
      <w:r w:rsidRPr="002210B3">
        <w:t xml:space="preserve"> Development of a real-time PCR assay for the identification of </w:t>
      </w:r>
      <w:r w:rsidRPr="002210B3">
        <w:rPr>
          <w:i/>
        </w:rPr>
        <w:t>Gyrodactylus</w:t>
      </w:r>
      <w:r w:rsidRPr="002210B3">
        <w:t xml:space="preserve"> parasites infecting salmonids in northern Europe. </w:t>
      </w:r>
      <w:r w:rsidRPr="00531F18">
        <w:rPr>
          <w:i/>
          <w:iCs/>
        </w:rPr>
        <w:t>Dis. Aquat. Org</w:t>
      </w:r>
      <w:r>
        <w:t>.,</w:t>
      </w:r>
      <w:r w:rsidRPr="002210B3">
        <w:t xml:space="preserve"> </w:t>
      </w:r>
      <w:r w:rsidRPr="00531F18">
        <w:rPr>
          <w:b/>
          <w:bCs w:val="0"/>
        </w:rPr>
        <w:t>90</w:t>
      </w:r>
      <w:r>
        <w:t xml:space="preserve">, </w:t>
      </w:r>
      <w:r w:rsidRPr="002210B3">
        <w:t>135</w:t>
      </w:r>
      <w:r>
        <w:t>–</w:t>
      </w:r>
      <w:r w:rsidRPr="002210B3">
        <w:t>142</w:t>
      </w:r>
      <w:r>
        <w:t>.</w:t>
      </w:r>
    </w:p>
    <w:p w14:paraId="5BCC034E" w14:textId="77777777" w:rsidR="000A62A2" w:rsidRPr="0006424E" w:rsidRDefault="000A62A2" w:rsidP="000A62A2">
      <w:pPr>
        <w:pStyle w:val="REF"/>
        <w:spacing w:after="200"/>
        <w:ind w:left="426"/>
        <w:rPr>
          <w:smallCaps/>
          <w:szCs w:val="18"/>
        </w:rPr>
      </w:pPr>
      <w:r w:rsidRPr="0006424E">
        <w:rPr>
          <w:smallCaps/>
          <w:szCs w:val="18"/>
        </w:rPr>
        <w:t xml:space="preserve">Cunningham C.O. (1997). </w:t>
      </w:r>
      <w:r w:rsidRPr="0006424E">
        <w:rPr>
          <w:szCs w:val="18"/>
        </w:rPr>
        <w:t xml:space="preserve">Species variation within the internal transcribed spacer (ITS) region of </w:t>
      </w:r>
      <w:r w:rsidRPr="0006424E">
        <w:rPr>
          <w:i/>
          <w:szCs w:val="18"/>
        </w:rPr>
        <w:t>Gyrodactylus</w:t>
      </w:r>
      <w:r w:rsidRPr="0006424E">
        <w:rPr>
          <w:szCs w:val="18"/>
        </w:rPr>
        <w:t xml:space="preserve"> (Monogenea: Gyrodactylidae) ribosomal RNA genes. </w:t>
      </w:r>
      <w:r w:rsidRPr="0006424E">
        <w:rPr>
          <w:i/>
          <w:szCs w:val="18"/>
        </w:rPr>
        <w:t>J. Parasitol</w:t>
      </w:r>
      <w:r w:rsidRPr="0006424E">
        <w:rPr>
          <w:szCs w:val="18"/>
        </w:rPr>
        <w:t xml:space="preserve">., </w:t>
      </w:r>
      <w:r w:rsidRPr="0006424E">
        <w:rPr>
          <w:b/>
          <w:szCs w:val="18"/>
        </w:rPr>
        <w:t>83</w:t>
      </w:r>
      <w:r w:rsidRPr="0006424E">
        <w:rPr>
          <w:szCs w:val="18"/>
        </w:rPr>
        <w:t>, 215</w:t>
      </w:r>
      <w:r w:rsidRPr="0006424E">
        <w:rPr>
          <w:lang w:val="en-GB"/>
        </w:rPr>
        <w:t>–</w:t>
      </w:r>
      <w:r w:rsidRPr="0006424E">
        <w:rPr>
          <w:szCs w:val="18"/>
        </w:rPr>
        <w:t>219.</w:t>
      </w:r>
    </w:p>
    <w:p w14:paraId="3CA7B568" w14:textId="77777777" w:rsidR="000A62A2" w:rsidRPr="0006424E" w:rsidRDefault="000A62A2" w:rsidP="000A62A2">
      <w:pPr>
        <w:pStyle w:val="REF"/>
        <w:spacing w:after="200"/>
        <w:ind w:left="426"/>
        <w:rPr>
          <w:szCs w:val="18"/>
          <w:lang w:val="en-GB"/>
        </w:rPr>
      </w:pPr>
      <w:r w:rsidRPr="0006424E">
        <w:rPr>
          <w:smallCaps/>
          <w:szCs w:val="18"/>
        </w:rPr>
        <w:t>Cunningham C.O., Mo T.A., Collins C.M., Buchmann K., Thiery R., Blanc G. &amp; Lautraite</w:t>
      </w:r>
      <w:r w:rsidRPr="0006424E">
        <w:rPr>
          <w:szCs w:val="18"/>
        </w:rPr>
        <w:t xml:space="preserve"> A. (2001). Redescription of </w:t>
      </w:r>
      <w:r w:rsidRPr="0006424E">
        <w:rPr>
          <w:i/>
          <w:szCs w:val="18"/>
        </w:rPr>
        <w:t>Gyrodactylus teuchis</w:t>
      </w:r>
      <w:r w:rsidRPr="0006424E">
        <w:rPr>
          <w:szCs w:val="18"/>
        </w:rPr>
        <w:t xml:space="preserve"> Lautraite, Blanc, Thiery, Daniel &amp; Vigneulle, 1999 (Monogenea: Gyrodactylidae), a species identified by ribosomal RNA sequence. </w:t>
      </w:r>
      <w:r w:rsidRPr="0006424E">
        <w:rPr>
          <w:i/>
          <w:szCs w:val="18"/>
        </w:rPr>
        <w:t>Syst. Parasitol</w:t>
      </w:r>
      <w:r w:rsidRPr="0006424E">
        <w:rPr>
          <w:szCs w:val="18"/>
        </w:rPr>
        <w:t xml:space="preserve">., </w:t>
      </w:r>
      <w:r w:rsidRPr="0006424E">
        <w:rPr>
          <w:b/>
          <w:szCs w:val="18"/>
        </w:rPr>
        <w:t>48</w:t>
      </w:r>
      <w:r w:rsidRPr="0006424E">
        <w:rPr>
          <w:szCs w:val="18"/>
        </w:rPr>
        <w:t>, 141–150.</w:t>
      </w:r>
    </w:p>
    <w:p w14:paraId="08E72A1B" w14:textId="77777777" w:rsidR="000A62A2" w:rsidRPr="00BC5907" w:rsidRDefault="000A62A2" w:rsidP="000A62A2">
      <w:pPr>
        <w:widowControl w:val="0"/>
        <w:autoSpaceDE w:val="0"/>
        <w:autoSpaceDN w:val="0"/>
        <w:adjustRightInd w:val="0"/>
        <w:spacing w:line="240" w:lineRule="auto"/>
        <w:ind w:left="426"/>
        <w:jc w:val="both"/>
        <w:rPr>
          <w:rFonts w:cs="Calibri"/>
          <w:noProof/>
          <w:lang w:val="nb-NO"/>
        </w:rPr>
      </w:pPr>
      <w:r w:rsidRPr="00057E23">
        <w:rPr>
          <w:rFonts w:ascii="Arial" w:hAnsi="Arial"/>
          <w:smallCaps/>
          <w:sz w:val="18"/>
          <w:szCs w:val="18"/>
          <w:lang w:val="en-IE"/>
        </w:rPr>
        <w:t>Hagen</w:t>
      </w:r>
      <w:r w:rsidRPr="00057E23">
        <w:rPr>
          <w:rFonts w:ascii="Arial" w:hAnsi="Arial"/>
          <w:bCs/>
          <w:sz w:val="18"/>
          <w:lang w:val="en-IE"/>
        </w:rPr>
        <w:t xml:space="preserve"> A.G., </w:t>
      </w:r>
      <w:r w:rsidRPr="00057E23">
        <w:rPr>
          <w:rFonts w:ascii="Arial" w:hAnsi="Arial"/>
          <w:smallCaps/>
          <w:sz w:val="18"/>
          <w:szCs w:val="18"/>
          <w:lang w:val="en-IE"/>
        </w:rPr>
        <w:t xml:space="preserve">Hytterød </w:t>
      </w:r>
      <w:r w:rsidRPr="00057E23">
        <w:rPr>
          <w:rFonts w:ascii="Arial" w:hAnsi="Arial"/>
          <w:bCs/>
          <w:sz w:val="18"/>
          <w:lang w:val="en-IE"/>
        </w:rPr>
        <w:t>S.</w:t>
      </w:r>
      <w:r>
        <w:rPr>
          <w:rFonts w:ascii="Arial" w:hAnsi="Arial"/>
          <w:bCs/>
          <w:sz w:val="18"/>
          <w:lang w:val="en-IE"/>
        </w:rPr>
        <w:t xml:space="preserve"> &amp;</w:t>
      </w:r>
      <w:r w:rsidRPr="00057E23">
        <w:rPr>
          <w:rFonts w:ascii="Arial" w:hAnsi="Arial"/>
          <w:bCs/>
          <w:sz w:val="18"/>
          <w:lang w:val="en-IE"/>
        </w:rPr>
        <w:t xml:space="preserve"> </w:t>
      </w:r>
      <w:r w:rsidRPr="00057E23">
        <w:rPr>
          <w:rFonts w:ascii="Arial" w:hAnsi="Arial"/>
          <w:smallCaps/>
          <w:sz w:val="18"/>
          <w:szCs w:val="18"/>
          <w:lang w:val="en-IE"/>
        </w:rPr>
        <w:t>Olstad</w:t>
      </w:r>
      <w:r w:rsidRPr="00057E23">
        <w:rPr>
          <w:rFonts w:ascii="Arial" w:hAnsi="Arial"/>
          <w:bCs/>
          <w:sz w:val="18"/>
          <w:lang w:val="en-IE"/>
        </w:rPr>
        <w:t xml:space="preserve"> K.</w:t>
      </w:r>
      <w:r>
        <w:rPr>
          <w:rFonts w:ascii="Arial" w:hAnsi="Arial"/>
          <w:bCs/>
          <w:sz w:val="18"/>
          <w:lang w:val="en-IE"/>
        </w:rPr>
        <w:t xml:space="preserve"> (</w:t>
      </w:r>
      <w:r w:rsidRPr="00057E23">
        <w:rPr>
          <w:rFonts w:ascii="Arial" w:hAnsi="Arial"/>
          <w:smallCaps/>
          <w:sz w:val="18"/>
          <w:szCs w:val="18"/>
          <w:lang w:val="en-IE"/>
        </w:rPr>
        <w:t>2014</w:t>
      </w:r>
      <w:r>
        <w:rPr>
          <w:rFonts w:ascii="Arial" w:hAnsi="Arial"/>
          <w:smallCaps/>
          <w:sz w:val="18"/>
          <w:szCs w:val="18"/>
          <w:lang w:val="en-IE"/>
        </w:rPr>
        <w:t>)</w:t>
      </w:r>
      <w:r w:rsidRPr="00057E23">
        <w:rPr>
          <w:rFonts w:ascii="Arial" w:hAnsi="Arial"/>
          <w:bCs/>
          <w:sz w:val="18"/>
          <w:lang w:val="en-IE"/>
        </w:rPr>
        <w:t xml:space="preserve">. Low concentrations of sodium hypochlorite affect population dynamics in </w:t>
      </w:r>
      <w:r w:rsidRPr="00057E23">
        <w:rPr>
          <w:rFonts w:ascii="Arial" w:hAnsi="Arial"/>
          <w:bCs/>
          <w:i/>
          <w:iCs/>
          <w:sz w:val="18"/>
          <w:lang w:val="en-IE"/>
        </w:rPr>
        <w:t>Gyrodactylus salaris</w:t>
      </w:r>
      <w:r w:rsidRPr="00057E23">
        <w:rPr>
          <w:rFonts w:ascii="Arial" w:hAnsi="Arial"/>
          <w:bCs/>
          <w:sz w:val="18"/>
          <w:lang w:val="en-IE"/>
        </w:rPr>
        <w:t xml:space="preserve"> (Malmberg, 1957): practical guidelines for the treatment of the Atlantic salmon, </w:t>
      </w:r>
      <w:r w:rsidRPr="00057E23">
        <w:rPr>
          <w:rFonts w:ascii="Arial" w:hAnsi="Arial"/>
          <w:bCs/>
          <w:i/>
          <w:iCs/>
          <w:sz w:val="18"/>
          <w:lang w:val="en-IE"/>
        </w:rPr>
        <w:t>Salmo salar</w:t>
      </w:r>
      <w:r w:rsidRPr="00057E23">
        <w:rPr>
          <w:rFonts w:ascii="Arial" w:hAnsi="Arial"/>
          <w:bCs/>
          <w:sz w:val="18"/>
          <w:lang w:val="en-IE"/>
        </w:rPr>
        <w:t xml:space="preserve"> L. parasite. </w:t>
      </w:r>
      <w:r w:rsidRPr="00BC5907">
        <w:rPr>
          <w:rFonts w:ascii="Arial" w:hAnsi="Arial"/>
          <w:bCs/>
          <w:i/>
          <w:iCs/>
          <w:sz w:val="18"/>
          <w:lang w:val="nb-NO"/>
        </w:rPr>
        <w:t>J. Fish Dis.,</w:t>
      </w:r>
      <w:r w:rsidRPr="00BC5907">
        <w:rPr>
          <w:rFonts w:cs="Calibri"/>
          <w:noProof/>
          <w:szCs w:val="24"/>
          <w:lang w:val="nb-NO"/>
        </w:rPr>
        <w:t xml:space="preserve"> </w:t>
      </w:r>
      <w:r w:rsidRPr="00BC5907">
        <w:rPr>
          <w:rFonts w:ascii="Arial" w:hAnsi="Arial"/>
          <w:b/>
          <w:sz w:val="18"/>
          <w:szCs w:val="18"/>
          <w:lang w:val="nb-NO"/>
        </w:rPr>
        <w:t>37</w:t>
      </w:r>
      <w:r w:rsidRPr="00BC5907">
        <w:rPr>
          <w:rFonts w:cs="Calibri"/>
          <w:noProof/>
          <w:szCs w:val="24"/>
          <w:lang w:val="nb-NO"/>
        </w:rPr>
        <w:t xml:space="preserve">, </w:t>
      </w:r>
      <w:r w:rsidRPr="00BC5907">
        <w:rPr>
          <w:rFonts w:ascii="Arial" w:hAnsi="Arial"/>
          <w:sz w:val="18"/>
          <w:szCs w:val="18"/>
          <w:lang w:val="nb-NO"/>
        </w:rPr>
        <w:t>1003–1011. https://doi.org/10.1111/jfd.12218</w:t>
      </w:r>
    </w:p>
    <w:p w14:paraId="274700B0" w14:textId="77777777" w:rsidR="000A62A2" w:rsidRPr="00BC5907" w:rsidRDefault="000A62A2" w:rsidP="000A62A2">
      <w:pPr>
        <w:pStyle w:val="REF"/>
        <w:spacing w:after="200"/>
        <w:ind w:left="426"/>
        <w:rPr>
          <w:szCs w:val="18"/>
          <w:lang w:val="en-US"/>
        </w:rPr>
      </w:pPr>
      <w:r w:rsidRPr="0006424E">
        <w:rPr>
          <w:smallCaps/>
          <w:szCs w:val="18"/>
          <w:lang w:val="nb-NO"/>
        </w:rPr>
        <w:t>Hansen</w:t>
      </w:r>
      <w:r w:rsidRPr="0006424E">
        <w:rPr>
          <w:szCs w:val="18"/>
          <w:lang w:val="nb-NO"/>
        </w:rPr>
        <w:t xml:space="preserve"> H., </w:t>
      </w:r>
      <w:r w:rsidRPr="0006424E">
        <w:rPr>
          <w:smallCaps/>
          <w:szCs w:val="18"/>
          <w:lang w:val="nb-NO"/>
        </w:rPr>
        <w:t>Bachmann</w:t>
      </w:r>
      <w:r w:rsidRPr="0006424E">
        <w:rPr>
          <w:szCs w:val="18"/>
          <w:lang w:val="nb-NO"/>
        </w:rPr>
        <w:t xml:space="preserve"> L. &amp; </w:t>
      </w:r>
      <w:r w:rsidRPr="0006424E">
        <w:rPr>
          <w:smallCaps/>
          <w:szCs w:val="18"/>
          <w:lang w:val="nb-NO"/>
        </w:rPr>
        <w:t>Bakke</w:t>
      </w:r>
      <w:r w:rsidRPr="0006424E">
        <w:rPr>
          <w:szCs w:val="18"/>
          <w:lang w:val="nb-NO"/>
        </w:rPr>
        <w:t xml:space="preserve"> T.A. (2003). </w:t>
      </w:r>
      <w:r w:rsidRPr="0006424E">
        <w:rPr>
          <w:szCs w:val="18"/>
          <w:lang w:val="en-GB"/>
        </w:rPr>
        <w:t xml:space="preserve">Mitochondrial DNA variation of </w:t>
      </w:r>
      <w:r w:rsidRPr="0006424E">
        <w:rPr>
          <w:i/>
          <w:szCs w:val="18"/>
          <w:lang w:val="en-GB"/>
        </w:rPr>
        <w:t>Gyrodactylus</w:t>
      </w:r>
      <w:r w:rsidRPr="0006424E">
        <w:rPr>
          <w:szCs w:val="18"/>
          <w:lang w:val="en-GB"/>
        </w:rPr>
        <w:t xml:space="preserve"> spp. </w:t>
      </w:r>
      <w:r w:rsidRPr="0006424E">
        <w:rPr>
          <w:szCs w:val="18"/>
        </w:rPr>
        <w:t xml:space="preserve">(Monogenea, Gyrodactylidae) populations infecting Atlantic salmon, grayling, and rainbow trout in Norway and Sweden. </w:t>
      </w:r>
      <w:r w:rsidRPr="00BC5907">
        <w:rPr>
          <w:i/>
          <w:szCs w:val="18"/>
          <w:lang w:val="en-US"/>
        </w:rPr>
        <w:t>Int. J. Parasitol.,</w:t>
      </w:r>
      <w:r w:rsidRPr="00BC5907">
        <w:rPr>
          <w:szCs w:val="18"/>
          <w:lang w:val="en-US"/>
        </w:rPr>
        <w:t xml:space="preserve"> </w:t>
      </w:r>
      <w:r w:rsidRPr="00BC5907">
        <w:rPr>
          <w:b/>
          <w:szCs w:val="18"/>
          <w:lang w:val="en-US"/>
        </w:rPr>
        <w:t>33</w:t>
      </w:r>
      <w:r w:rsidRPr="00BC5907">
        <w:rPr>
          <w:bCs/>
          <w:szCs w:val="18"/>
          <w:lang w:val="en-US"/>
        </w:rPr>
        <w:t>,</w:t>
      </w:r>
      <w:r w:rsidRPr="00BC5907">
        <w:rPr>
          <w:szCs w:val="18"/>
          <w:lang w:val="en-US"/>
        </w:rPr>
        <w:t xml:space="preserve"> 1471–1478.</w:t>
      </w:r>
    </w:p>
    <w:p w14:paraId="409A7192" w14:textId="77777777" w:rsidR="00CA456F" w:rsidRPr="00CA456F" w:rsidRDefault="00CA456F" w:rsidP="00CA456F">
      <w:pPr>
        <w:pStyle w:val="Titre3"/>
        <w:spacing w:after="480"/>
        <w:rPr>
          <w:bCs/>
          <w:i w:val="0"/>
          <w:iCs/>
        </w:rPr>
      </w:pPr>
      <w:r w:rsidRPr="00CA456F">
        <w:rPr>
          <w:rFonts w:cs="Times New Roman"/>
          <w:i w:val="0"/>
          <w:szCs w:val="20"/>
          <w:u w:val="single"/>
        </w:rPr>
        <w:lastRenderedPageBreak/>
        <w:t>A</w:t>
      </w:r>
      <w:r w:rsidRPr="00CA456F">
        <w:rPr>
          <w:rFonts w:cs="Times New Roman"/>
          <w:bCs/>
          <w:i w:val="0"/>
          <w:iCs/>
          <w:szCs w:val="20"/>
          <w:u w:val="single"/>
        </w:rPr>
        <w:t>nnex 15</w:t>
      </w:r>
      <w:r w:rsidRPr="00CA456F">
        <w:rPr>
          <w:rFonts w:cs="Times New Roman"/>
          <w:bCs/>
          <w:i w:val="0"/>
          <w:iCs/>
          <w:szCs w:val="20"/>
        </w:rPr>
        <w:t xml:space="preserve"> (contd)</w:t>
      </w:r>
    </w:p>
    <w:p w14:paraId="69F22039" w14:textId="77777777" w:rsidR="000A62A2" w:rsidRPr="00BC5907" w:rsidRDefault="000A62A2" w:rsidP="000A62A2">
      <w:pPr>
        <w:pStyle w:val="REF"/>
        <w:spacing w:after="200"/>
        <w:ind w:left="426"/>
        <w:rPr>
          <w:szCs w:val="18"/>
          <w:lang w:val="nb-NO"/>
        </w:rPr>
      </w:pPr>
      <w:r w:rsidRPr="0006424E">
        <w:rPr>
          <w:smallCaps/>
          <w:szCs w:val="18"/>
          <w:lang w:val="nl-NL"/>
        </w:rPr>
        <w:t>Hansen H., Bakke T.A. &amp; Bachmann L.</w:t>
      </w:r>
      <w:r w:rsidRPr="0006424E">
        <w:rPr>
          <w:szCs w:val="18"/>
          <w:lang w:val="nl-NL"/>
        </w:rPr>
        <w:t xml:space="preserve"> (2007a). </w:t>
      </w:r>
      <w:r w:rsidRPr="0006424E">
        <w:rPr>
          <w:szCs w:val="18"/>
          <w:lang w:val="en-GB"/>
        </w:rPr>
        <w:t xml:space="preserve">DNA taxonomy and barcoding of monogenean parasites: lessons from </w:t>
      </w:r>
      <w:r w:rsidRPr="0006424E">
        <w:rPr>
          <w:i/>
          <w:szCs w:val="18"/>
          <w:lang w:val="en-GB"/>
        </w:rPr>
        <w:t>Gyrodactylus</w:t>
      </w:r>
      <w:r w:rsidRPr="0006424E">
        <w:rPr>
          <w:szCs w:val="18"/>
          <w:lang w:val="en-GB"/>
        </w:rPr>
        <w:t xml:space="preserve">. </w:t>
      </w:r>
      <w:r w:rsidRPr="00BC5907">
        <w:rPr>
          <w:i/>
          <w:szCs w:val="18"/>
          <w:lang w:val="nb-NO"/>
        </w:rPr>
        <w:t>Trends Parasitol.</w:t>
      </w:r>
      <w:r w:rsidRPr="00BC5907">
        <w:rPr>
          <w:szCs w:val="18"/>
          <w:lang w:val="nb-NO"/>
        </w:rPr>
        <w:t xml:space="preserve">, </w:t>
      </w:r>
      <w:r w:rsidRPr="00BC5907">
        <w:rPr>
          <w:b/>
          <w:szCs w:val="18"/>
          <w:lang w:val="nb-NO"/>
        </w:rPr>
        <w:t>23</w:t>
      </w:r>
      <w:r w:rsidRPr="00BC5907">
        <w:rPr>
          <w:szCs w:val="18"/>
          <w:lang w:val="nb-NO"/>
        </w:rPr>
        <w:t>, 363–367.</w:t>
      </w:r>
    </w:p>
    <w:p w14:paraId="08CB2512" w14:textId="77777777" w:rsidR="000A62A2" w:rsidRPr="0006424E" w:rsidRDefault="000A62A2" w:rsidP="000A62A2">
      <w:pPr>
        <w:pStyle w:val="REF"/>
        <w:spacing w:after="200"/>
        <w:ind w:left="426"/>
        <w:rPr>
          <w:szCs w:val="18"/>
          <w:lang w:val="en-GB"/>
        </w:rPr>
      </w:pPr>
      <w:r w:rsidRPr="0006424E">
        <w:rPr>
          <w:smallCaps/>
          <w:szCs w:val="18"/>
          <w:lang w:val="nl-NL"/>
        </w:rPr>
        <w:t>Hansen H., Bakke T.A. &amp; Bachmann L</w:t>
      </w:r>
      <w:r w:rsidRPr="0006424E">
        <w:rPr>
          <w:caps/>
          <w:szCs w:val="18"/>
          <w:lang w:val="nl-NL"/>
        </w:rPr>
        <w:t>.</w:t>
      </w:r>
      <w:r w:rsidRPr="0006424E">
        <w:rPr>
          <w:szCs w:val="18"/>
          <w:lang w:val="nl-NL"/>
        </w:rPr>
        <w:t xml:space="preserve"> (2007b). </w:t>
      </w:r>
      <w:r w:rsidRPr="0006424E">
        <w:rPr>
          <w:szCs w:val="18"/>
          <w:lang w:val="en-GB"/>
        </w:rPr>
        <w:t xml:space="preserve">Mitochondrial haplotype diversity of </w:t>
      </w:r>
      <w:r w:rsidRPr="0006424E">
        <w:rPr>
          <w:i/>
          <w:szCs w:val="18"/>
          <w:lang w:val="en-GB"/>
        </w:rPr>
        <w:t>Gyrodactylus thymalli</w:t>
      </w:r>
      <w:r w:rsidRPr="0006424E">
        <w:rPr>
          <w:szCs w:val="18"/>
          <w:lang w:val="en-GB"/>
        </w:rPr>
        <w:t xml:space="preserve"> (Platyhelminthes; Monogenea): extended geographic sampling in United Kingdom, Poland, and Norway reveals further lineages. </w:t>
      </w:r>
      <w:r w:rsidRPr="0006424E">
        <w:rPr>
          <w:i/>
          <w:szCs w:val="18"/>
          <w:lang w:val="en-GB"/>
        </w:rPr>
        <w:t>Parasitol. Res.,</w:t>
      </w:r>
      <w:r w:rsidRPr="0006424E">
        <w:rPr>
          <w:szCs w:val="18"/>
          <w:lang w:val="en-GB"/>
        </w:rPr>
        <w:t xml:space="preserve"> </w:t>
      </w:r>
      <w:r w:rsidRPr="0006424E">
        <w:rPr>
          <w:b/>
          <w:szCs w:val="18"/>
          <w:lang w:val="en-GB"/>
        </w:rPr>
        <w:t>100</w:t>
      </w:r>
      <w:r w:rsidRPr="0006424E">
        <w:rPr>
          <w:szCs w:val="18"/>
          <w:lang w:val="en-GB"/>
        </w:rPr>
        <w:t>, 1389–1394.</w:t>
      </w:r>
    </w:p>
    <w:p w14:paraId="7459C867" w14:textId="77777777" w:rsidR="000A62A2" w:rsidRDefault="000A62A2" w:rsidP="000A62A2">
      <w:pPr>
        <w:pStyle w:val="REF"/>
        <w:spacing w:after="200"/>
        <w:ind w:left="426"/>
        <w:rPr>
          <w:szCs w:val="18"/>
          <w:lang w:val="en-GB"/>
        </w:rPr>
      </w:pPr>
      <w:r w:rsidRPr="0006424E">
        <w:rPr>
          <w:smallCaps/>
          <w:szCs w:val="18"/>
          <w:lang w:val="en-GB"/>
        </w:rPr>
        <w:t>Harris P.D., Cable J., Tinsley R.C. &amp; Lazarus C.M</w:t>
      </w:r>
      <w:r w:rsidRPr="0006424E">
        <w:rPr>
          <w:caps/>
          <w:szCs w:val="18"/>
          <w:lang w:val="en-GB"/>
        </w:rPr>
        <w:t>.</w:t>
      </w:r>
      <w:r w:rsidRPr="0006424E">
        <w:rPr>
          <w:szCs w:val="18"/>
          <w:lang w:val="en-GB"/>
        </w:rPr>
        <w:t xml:space="preserve"> (1999). Combined ribosomal DNA and morphological analysis of individual gyrodactylid monogeneans. </w:t>
      </w:r>
      <w:r w:rsidRPr="0006424E">
        <w:rPr>
          <w:i/>
          <w:szCs w:val="18"/>
          <w:lang w:val="en-GB"/>
        </w:rPr>
        <w:t>J. Parasitol.,</w:t>
      </w:r>
      <w:r w:rsidRPr="0006424E">
        <w:rPr>
          <w:szCs w:val="18"/>
          <w:lang w:val="en-GB"/>
        </w:rPr>
        <w:t xml:space="preserve"> </w:t>
      </w:r>
      <w:r w:rsidRPr="0006424E">
        <w:rPr>
          <w:b/>
          <w:szCs w:val="18"/>
          <w:lang w:val="en-GB"/>
        </w:rPr>
        <w:t>85</w:t>
      </w:r>
      <w:r w:rsidRPr="0006424E">
        <w:rPr>
          <w:szCs w:val="18"/>
          <w:lang w:val="en-GB"/>
        </w:rPr>
        <w:t>, 188–191.</w:t>
      </w:r>
    </w:p>
    <w:p w14:paraId="3369FF58" w14:textId="77777777" w:rsidR="000A62A2" w:rsidRPr="0006424E" w:rsidRDefault="000A62A2" w:rsidP="000A62A2">
      <w:pPr>
        <w:pStyle w:val="REF"/>
        <w:spacing w:after="200"/>
        <w:ind w:left="426"/>
        <w:rPr>
          <w:smallCaps/>
          <w:lang w:val="nb-NO"/>
        </w:rPr>
      </w:pPr>
      <w:r w:rsidRPr="00BC5907">
        <w:rPr>
          <w:smallCaps/>
          <w:szCs w:val="18"/>
          <w:lang w:val="en-US"/>
        </w:rPr>
        <w:t>Jensen A.J. &amp; Johnsen B.O. (1992).</w:t>
      </w:r>
      <w:r w:rsidRPr="00BC5907">
        <w:rPr>
          <w:rFonts w:cs="Arial"/>
          <w:smallCaps/>
          <w:szCs w:val="18"/>
          <w:lang w:val="en-US" w:eastAsia="nb-NO"/>
        </w:rPr>
        <w:t xml:space="preserve"> </w:t>
      </w:r>
      <w:r w:rsidRPr="0006424E">
        <w:rPr>
          <w:rFonts w:cs="Arial"/>
          <w:szCs w:val="18"/>
          <w:lang w:val="en-GB" w:eastAsia="nb-NO"/>
        </w:rPr>
        <w:t xml:space="preserve">Site Specificity of </w:t>
      </w:r>
      <w:r w:rsidRPr="0006424E">
        <w:rPr>
          <w:rFonts w:cs="Arial"/>
          <w:i/>
          <w:szCs w:val="18"/>
          <w:lang w:val="en-GB" w:eastAsia="nb-NO"/>
        </w:rPr>
        <w:t>Gyrodactylus salaris</w:t>
      </w:r>
      <w:r w:rsidRPr="0006424E">
        <w:rPr>
          <w:rFonts w:cs="Arial"/>
          <w:szCs w:val="18"/>
          <w:lang w:val="en-GB" w:eastAsia="nb-NO"/>
        </w:rPr>
        <w:t xml:space="preserve"> Malmberg, 1957 (Monogenea) on Atlantic Salmon (</w:t>
      </w:r>
      <w:r w:rsidRPr="0006424E">
        <w:rPr>
          <w:rFonts w:cs="Arial"/>
          <w:i/>
          <w:szCs w:val="18"/>
          <w:lang w:val="en-GB" w:eastAsia="nb-NO"/>
        </w:rPr>
        <w:t>Salmo salar</w:t>
      </w:r>
      <w:r w:rsidRPr="0006424E">
        <w:rPr>
          <w:rFonts w:cs="Arial"/>
          <w:szCs w:val="18"/>
          <w:lang w:val="en-GB" w:eastAsia="nb-NO"/>
        </w:rPr>
        <w:t xml:space="preserve"> L.) in the River Lakselva, northern Norway. </w:t>
      </w:r>
      <w:r w:rsidRPr="0006424E">
        <w:rPr>
          <w:rFonts w:cs="Arial"/>
          <w:i/>
          <w:szCs w:val="18"/>
          <w:lang w:val="nb-NO" w:eastAsia="nb-NO"/>
        </w:rPr>
        <w:t>Can. J. Zool.</w:t>
      </w:r>
      <w:r w:rsidRPr="0006424E">
        <w:rPr>
          <w:rFonts w:cs="Arial"/>
          <w:szCs w:val="18"/>
          <w:lang w:val="nb-NO" w:eastAsia="nb-NO"/>
        </w:rPr>
        <w:t xml:space="preserve">, </w:t>
      </w:r>
      <w:r w:rsidRPr="0006424E">
        <w:rPr>
          <w:rFonts w:cs="Arial"/>
          <w:b/>
          <w:szCs w:val="18"/>
          <w:lang w:val="nb-NO" w:eastAsia="nb-NO"/>
        </w:rPr>
        <w:t>41</w:t>
      </w:r>
      <w:r w:rsidRPr="0006424E">
        <w:rPr>
          <w:rFonts w:cs="Arial"/>
          <w:szCs w:val="18"/>
          <w:lang w:val="nb-NO" w:eastAsia="nb-NO"/>
        </w:rPr>
        <w:t>, 264–267.</w:t>
      </w:r>
      <w:r w:rsidRPr="0006424E">
        <w:rPr>
          <w:smallCaps/>
          <w:lang w:val="nb-NO"/>
        </w:rPr>
        <w:t xml:space="preserve"> </w:t>
      </w:r>
    </w:p>
    <w:p w14:paraId="0475AA6A" w14:textId="77777777" w:rsidR="000A62A2" w:rsidRDefault="000A62A2" w:rsidP="000A62A2">
      <w:pPr>
        <w:pStyle w:val="REF"/>
        <w:spacing w:after="200"/>
        <w:ind w:left="426"/>
        <w:rPr>
          <w:szCs w:val="18"/>
          <w:lang w:val="en-GB"/>
        </w:rPr>
      </w:pPr>
      <w:r w:rsidRPr="00BC5907">
        <w:rPr>
          <w:lang w:val="nb-NO"/>
        </w:rPr>
        <w:t>J</w:t>
      </w:r>
      <w:r w:rsidRPr="00BC5907">
        <w:rPr>
          <w:smallCaps/>
          <w:lang w:val="nb-NO"/>
        </w:rPr>
        <w:t xml:space="preserve">ohnsen B.O., Møkkelgjerd P. &amp;., Jensen A.J. </w:t>
      </w:r>
      <w:r w:rsidRPr="00BC5907">
        <w:rPr>
          <w:lang w:val="nb-NO"/>
        </w:rPr>
        <w:t xml:space="preserve">(1999). </w:t>
      </w:r>
      <w:r>
        <w:rPr>
          <w:lang w:val="en-US"/>
        </w:rPr>
        <w:t xml:space="preserve">The parasite </w:t>
      </w:r>
      <w:r>
        <w:rPr>
          <w:i/>
          <w:iCs/>
          <w:lang w:val="en-US"/>
        </w:rPr>
        <w:t>Gyrodactylus salaris</w:t>
      </w:r>
      <w:r>
        <w:rPr>
          <w:lang w:val="en-US"/>
        </w:rPr>
        <w:t xml:space="preserve"> on salmon parr in Norwegian rivers, status report at the beginning of year 2000. </w:t>
      </w:r>
      <w:r w:rsidRPr="00057E23">
        <w:rPr>
          <w:i/>
          <w:iCs/>
          <w:lang w:val="en-US"/>
        </w:rPr>
        <w:t>In:</w:t>
      </w:r>
      <w:r>
        <w:rPr>
          <w:lang w:val="en-US"/>
        </w:rPr>
        <w:t xml:space="preserve"> NINA Oppdragsmelding, p. 1</w:t>
      </w:r>
      <w:r w:rsidRPr="00BC5907">
        <w:rPr>
          <w:rFonts w:cs="Arial"/>
          <w:szCs w:val="18"/>
          <w:lang w:val="en-US" w:eastAsia="nb-NO"/>
        </w:rPr>
        <w:t>–</w:t>
      </w:r>
      <w:r>
        <w:rPr>
          <w:lang w:val="en-US"/>
        </w:rPr>
        <w:t>129 (In Norwegian with English summary).</w:t>
      </w:r>
    </w:p>
    <w:p w14:paraId="31175703" w14:textId="77777777" w:rsidR="000A62A2" w:rsidRPr="00BC5907" w:rsidRDefault="000A62A2" w:rsidP="000A62A2">
      <w:pPr>
        <w:pStyle w:val="REF"/>
        <w:spacing w:after="200"/>
        <w:ind w:left="426"/>
        <w:rPr>
          <w:lang w:val="nb-NO"/>
        </w:rPr>
      </w:pPr>
      <w:r w:rsidRPr="00BC5907">
        <w:rPr>
          <w:smallCaps/>
          <w:lang w:val="en-US"/>
        </w:rPr>
        <w:t>Jorgensen T.R., Larsen T.B., Jørgensen L.G., Bresciani J., Kania P. &amp; Buchmann K</w:t>
      </w:r>
      <w:r w:rsidRPr="00BC5907">
        <w:rPr>
          <w:lang w:val="en-US"/>
        </w:rPr>
        <w:t xml:space="preserve">. (2007). </w:t>
      </w:r>
      <w:r w:rsidRPr="0006424E">
        <w:rPr>
          <w:lang w:val="en-GB"/>
        </w:rPr>
        <w:t xml:space="preserve">Characterisation of a low pathogenic strain of </w:t>
      </w:r>
      <w:r w:rsidRPr="0006424E">
        <w:rPr>
          <w:i/>
          <w:lang w:val="en-GB"/>
        </w:rPr>
        <w:t xml:space="preserve">Gyrodactylus salaris </w:t>
      </w:r>
      <w:r w:rsidRPr="0006424E">
        <w:rPr>
          <w:lang w:val="en-GB"/>
        </w:rPr>
        <w:t xml:space="preserve">from rainbow trout. </w:t>
      </w:r>
      <w:r w:rsidRPr="00BC5907">
        <w:rPr>
          <w:i/>
          <w:lang w:val="nb-NO"/>
        </w:rPr>
        <w:t>Dis. Aquat. Org.,</w:t>
      </w:r>
      <w:r w:rsidRPr="00BC5907">
        <w:rPr>
          <w:lang w:val="nb-NO"/>
        </w:rPr>
        <w:t xml:space="preserve"> </w:t>
      </w:r>
      <w:r w:rsidRPr="00BC5907">
        <w:rPr>
          <w:b/>
          <w:lang w:val="nb-NO"/>
        </w:rPr>
        <w:t>73</w:t>
      </w:r>
      <w:r w:rsidRPr="00BC5907">
        <w:rPr>
          <w:lang w:val="nb-NO"/>
        </w:rPr>
        <w:t>, 235–244.</w:t>
      </w:r>
    </w:p>
    <w:p w14:paraId="6771D1E6" w14:textId="77777777" w:rsidR="000A62A2" w:rsidRPr="00057E23" w:rsidRDefault="000A62A2" w:rsidP="000A62A2">
      <w:pPr>
        <w:pStyle w:val="REF"/>
        <w:spacing w:after="200"/>
        <w:ind w:left="426"/>
      </w:pPr>
      <w:r w:rsidRPr="00057E23">
        <w:rPr>
          <w:smallCaps/>
          <w:lang w:val="nb-NO"/>
        </w:rPr>
        <w:t>Karlsson S., Bolstad G.H., Hansen H., Jansen P.A., Moen T. &amp; Noble LR</w:t>
      </w:r>
      <w:r>
        <w:rPr>
          <w:lang w:val="nb-NO"/>
        </w:rPr>
        <w:t xml:space="preserve">. </w:t>
      </w:r>
      <w:r w:rsidRPr="00BC5907">
        <w:rPr>
          <w:lang w:val="en-US"/>
        </w:rPr>
        <w:t xml:space="preserve">(2019). </w:t>
      </w:r>
      <w:r>
        <w:rPr>
          <w:lang w:val="en-US"/>
        </w:rPr>
        <w:t xml:space="preserve">The potential for evolution of resistance to </w:t>
      </w:r>
      <w:r>
        <w:rPr>
          <w:i/>
          <w:iCs/>
          <w:lang w:val="en-US"/>
        </w:rPr>
        <w:t xml:space="preserve">Gyrodactylus salaris </w:t>
      </w:r>
      <w:r>
        <w:rPr>
          <w:lang w:val="en-US"/>
        </w:rPr>
        <w:t xml:space="preserve">in Norwegian Atlantic salmon. Norwegian Institute for Nature Research (NINA) </w:t>
      </w:r>
      <w:r w:rsidRPr="009A1474">
        <w:t>Report 1812. Norwegian Institute for Nature Research. ISSN: 1504-3312 ISBN: 978-82-426-4570-8</w:t>
      </w:r>
      <w:r>
        <w:t>.</w:t>
      </w:r>
    </w:p>
    <w:p w14:paraId="148E4D28" w14:textId="77777777" w:rsidR="000A62A2" w:rsidRPr="002210B3" w:rsidRDefault="000A62A2" w:rsidP="000A62A2">
      <w:pPr>
        <w:pStyle w:val="Para3"/>
        <w:ind w:left="426"/>
      </w:pPr>
      <w:r w:rsidRPr="003F0197">
        <w:rPr>
          <w:smallCaps/>
          <w:lang w:val="en-GB"/>
        </w:rPr>
        <w:t>Kuusela J., Zietara M.S. &amp; Lumme J.</w:t>
      </w:r>
      <w:r w:rsidRPr="003F0197">
        <w:rPr>
          <w:lang w:val="en-GB"/>
        </w:rPr>
        <w:t xml:space="preserve"> (2009). </w:t>
      </w:r>
      <w:r w:rsidRPr="002210B3">
        <w:t xml:space="preserve">Description of three new European cryptic species of </w:t>
      </w:r>
      <w:r w:rsidRPr="002210B3">
        <w:rPr>
          <w:i/>
        </w:rPr>
        <w:t>Gyrodactylus</w:t>
      </w:r>
      <w:r w:rsidRPr="002210B3">
        <w:t xml:space="preserve"> Nordmann, 1832 supported by nuclear and mitochondrial phylogenetic characterization. </w:t>
      </w:r>
      <w:r w:rsidRPr="00595276">
        <w:rPr>
          <w:i/>
          <w:iCs/>
        </w:rPr>
        <w:t>Acta Parasitol.,</w:t>
      </w:r>
      <w:r>
        <w:t xml:space="preserve"> </w:t>
      </w:r>
      <w:r w:rsidRPr="00595276">
        <w:rPr>
          <w:b/>
          <w:bCs w:val="0"/>
        </w:rPr>
        <w:t>53</w:t>
      </w:r>
      <w:r>
        <w:t xml:space="preserve">, </w:t>
      </w:r>
      <w:r w:rsidRPr="002210B3">
        <w:t>120</w:t>
      </w:r>
      <w:r>
        <w:t>–</w:t>
      </w:r>
      <w:r w:rsidRPr="002210B3">
        <w:t>126</w:t>
      </w:r>
      <w:r>
        <w:t>.</w:t>
      </w:r>
    </w:p>
    <w:p w14:paraId="3232C0E3" w14:textId="77777777" w:rsidR="000A62A2" w:rsidRPr="00BC5907" w:rsidRDefault="000A62A2" w:rsidP="000A62A2">
      <w:pPr>
        <w:pStyle w:val="REF"/>
        <w:spacing w:after="200"/>
        <w:ind w:left="426"/>
        <w:rPr>
          <w:lang w:val="nb-NO"/>
        </w:rPr>
      </w:pPr>
      <w:r w:rsidRPr="0006424E">
        <w:rPr>
          <w:smallCaps/>
          <w:lang w:val="en-GB"/>
        </w:rPr>
        <w:t>Lindenstr</w:t>
      </w:r>
      <w:r>
        <w:rPr>
          <w:smallCaps/>
          <w:lang w:val="en-GB"/>
        </w:rPr>
        <w:t>o</w:t>
      </w:r>
      <w:r w:rsidRPr="0006424E">
        <w:rPr>
          <w:smallCaps/>
          <w:lang w:val="en-GB"/>
        </w:rPr>
        <w:t>m T., Collins C.M., Bresciani J., Cunningham C.O. &amp; Buchmann K</w:t>
      </w:r>
      <w:r w:rsidRPr="0006424E">
        <w:rPr>
          <w:lang w:val="en-GB"/>
        </w:rPr>
        <w:t xml:space="preserve">. (2003). Characterization of a </w:t>
      </w:r>
      <w:r w:rsidRPr="0006424E">
        <w:rPr>
          <w:i/>
          <w:lang w:val="en-GB"/>
        </w:rPr>
        <w:t>Gyrodactylus salaris</w:t>
      </w:r>
      <w:r w:rsidRPr="0006424E">
        <w:rPr>
          <w:lang w:val="en-GB"/>
        </w:rPr>
        <w:t xml:space="preserve"> variant: infection biology, morphology and molecular genetics. </w:t>
      </w:r>
      <w:r w:rsidRPr="00BC5907">
        <w:rPr>
          <w:i/>
          <w:lang w:val="nb-NO"/>
        </w:rPr>
        <w:t>Parasitology,</w:t>
      </w:r>
      <w:r w:rsidRPr="00BC5907">
        <w:rPr>
          <w:lang w:val="nb-NO"/>
        </w:rPr>
        <w:t xml:space="preserve"> </w:t>
      </w:r>
      <w:r w:rsidRPr="00BC5907">
        <w:rPr>
          <w:b/>
          <w:lang w:val="nb-NO"/>
        </w:rPr>
        <w:t>127</w:t>
      </w:r>
      <w:r w:rsidRPr="00BC5907">
        <w:rPr>
          <w:lang w:val="nb-NO"/>
        </w:rPr>
        <w:t>, 165–177.</w:t>
      </w:r>
    </w:p>
    <w:p w14:paraId="10AC1385" w14:textId="13BB1079" w:rsidR="000A62A2" w:rsidRPr="003F0197" w:rsidRDefault="000A62A2" w:rsidP="00CA456F">
      <w:pPr>
        <w:pStyle w:val="REF"/>
        <w:spacing w:after="200"/>
        <w:ind w:left="426"/>
        <w:rPr>
          <w:b/>
          <w:bCs/>
          <w:iCs/>
        </w:rPr>
      </w:pPr>
      <w:r w:rsidRPr="0006424E">
        <w:rPr>
          <w:smallCaps/>
          <w:szCs w:val="18"/>
          <w:lang w:val="nb-NO"/>
        </w:rPr>
        <w:t>Malmberg G</w:t>
      </w:r>
      <w:r w:rsidRPr="0006424E">
        <w:rPr>
          <w:szCs w:val="18"/>
          <w:lang w:val="nb-NO"/>
        </w:rPr>
        <w:t xml:space="preserve">. (1957). Om förekomsten av </w:t>
      </w:r>
      <w:r w:rsidRPr="0006424E">
        <w:rPr>
          <w:i/>
          <w:szCs w:val="18"/>
          <w:lang w:val="nb-NO"/>
        </w:rPr>
        <w:t>Gyrodactylus</w:t>
      </w:r>
      <w:r w:rsidRPr="0006424E">
        <w:rPr>
          <w:szCs w:val="18"/>
          <w:lang w:val="nb-NO"/>
        </w:rPr>
        <w:t xml:space="preserve"> på svenska fiskar. </w:t>
      </w:r>
      <w:r w:rsidRPr="0006424E">
        <w:rPr>
          <w:i/>
          <w:szCs w:val="18"/>
        </w:rPr>
        <w:t xml:space="preserve">Skr. söd. Sver. Fisk För., </w:t>
      </w:r>
      <w:r w:rsidRPr="0006424E">
        <w:rPr>
          <w:iCs/>
          <w:szCs w:val="18"/>
        </w:rPr>
        <w:t>(</w:t>
      </w:r>
      <w:r w:rsidRPr="0006424E">
        <w:rPr>
          <w:i/>
          <w:szCs w:val="18"/>
        </w:rPr>
        <w:t>Årsskr.</w:t>
      </w:r>
      <w:r w:rsidRPr="0006424E">
        <w:rPr>
          <w:iCs/>
          <w:szCs w:val="18"/>
        </w:rPr>
        <w:t xml:space="preserve">) </w:t>
      </w:r>
      <w:r w:rsidRPr="0006424E">
        <w:rPr>
          <w:szCs w:val="18"/>
        </w:rPr>
        <w:t>1956, 19–76. (In Swedish, species descriptions and summary in English).</w:t>
      </w:r>
    </w:p>
    <w:p w14:paraId="34759DD9" w14:textId="77777777" w:rsidR="000A62A2" w:rsidRDefault="000A62A2" w:rsidP="000A62A2">
      <w:pPr>
        <w:pStyle w:val="REF"/>
        <w:spacing w:after="200"/>
        <w:ind w:left="426"/>
        <w:rPr>
          <w:szCs w:val="18"/>
        </w:rPr>
      </w:pPr>
      <w:r w:rsidRPr="0006424E">
        <w:rPr>
          <w:smallCaps/>
          <w:szCs w:val="18"/>
        </w:rPr>
        <w:t>Malmberg G</w:t>
      </w:r>
      <w:r w:rsidRPr="0006424E">
        <w:rPr>
          <w:szCs w:val="18"/>
        </w:rPr>
        <w:t xml:space="preserve">. (1970). The excretory systems and the marginal hooks as a basis for the systematics of </w:t>
      </w:r>
      <w:r w:rsidRPr="0006424E">
        <w:rPr>
          <w:i/>
          <w:szCs w:val="18"/>
        </w:rPr>
        <w:t>Gyrodactylus</w:t>
      </w:r>
      <w:r w:rsidRPr="0006424E">
        <w:rPr>
          <w:szCs w:val="18"/>
        </w:rPr>
        <w:t xml:space="preserve"> (Trematoda, Monogenea). </w:t>
      </w:r>
      <w:r w:rsidRPr="0006424E">
        <w:rPr>
          <w:i/>
          <w:szCs w:val="18"/>
        </w:rPr>
        <w:t xml:space="preserve">Ark. Zool. </w:t>
      </w:r>
      <w:r w:rsidRPr="0006424E">
        <w:rPr>
          <w:iCs/>
          <w:szCs w:val="18"/>
        </w:rPr>
        <w:t>[</w:t>
      </w:r>
      <w:r w:rsidRPr="0006424E">
        <w:rPr>
          <w:i/>
          <w:szCs w:val="18"/>
        </w:rPr>
        <w:t>Ser. 2</w:t>
      </w:r>
      <w:r w:rsidRPr="0006424E">
        <w:rPr>
          <w:iCs/>
          <w:szCs w:val="18"/>
        </w:rPr>
        <w:t>],</w:t>
      </w:r>
      <w:r w:rsidRPr="0006424E">
        <w:rPr>
          <w:szCs w:val="18"/>
        </w:rPr>
        <w:t xml:space="preserve"> </w:t>
      </w:r>
      <w:r w:rsidRPr="0006424E">
        <w:rPr>
          <w:b/>
          <w:szCs w:val="18"/>
        </w:rPr>
        <w:t>23</w:t>
      </w:r>
      <w:r w:rsidRPr="0006424E">
        <w:rPr>
          <w:szCs w:val="18"/>
        </w:rPr>
        <w:t>, 1–235.</w:t>
      </w:r>
    </w:p>
    <w:p w14:paraId="1F356114" w14:textId="77777777" w:rsidR="000A62A2" w:rsidRPr="0006424E" w:rsidRDefault="000A62A2" w:rsidP="000A62A2">
      <w:pPr>
        <w:pStyle w:val="REF"/>
        <w:spacing w:after="200"/>
        <w:ind w:left="426"/>
        <w:rPr>
          <w:szCs w:val="18"/>
        </w:rPr>
      </w:pPr>
      <w:smartTag w:uri="urn:schemas-microsoft-com:office:smarttags" w:element="place">
        <w:smartTag w:uri="urn:schemas:contacts" w:element="Sn">
          <w:r>
            <w:rPr>
              <w:smallCaps/>
            </w:rPr>
            <w:t>Matejusová</w:t>
          </w:r>
        </w:smartTag>
        <w:r w:rsidRPr="00942B0B">
          <w:rPr>
            <w:smallCaps/>
          </w:rPr>
          <w:t xml:space="preserve"> </w:t>
        </w:r>
        <w:smartTag w:uri="urn:schemas:contacts" w:element="Sn">
          <w:r w:rsidRPr="00942B0B">
            <w:rPr>
              <w:smallCaps/>
            </w:rPr>
            <w:t>I.</w:t>
          </w:r>
        </w:smartTag>
      </w:smartTag>
      <w:r>
        <w:rPr>
          <w:smallCaps/>
        </w:rPr>
        <w:t>, Gelnar M., McBeath A.J.A., Collins C.M. &amp; Cunningham C.</w:t>
      </w:r>
      <w:r w:rsidRPr="00942B0B">
        <w:rPr>
          <w:smallCaps/>
        </w:rPr>
        <w:t>O.</w:t>
      </w:r>
      <w:r>
        <w:t xml:space="preserve"> </w:t>
      </w:r>
      <w:r w:rsidRPr="00942B0B">
        <w:t xml:space="preserve">(2001). Molecular markers for gyrodactylids (Gyrodactylidae: Monogenea) from five fish families (Teleostei). </w:t>
      </w:r>
      <w:r w:rsidRPr="00942B0B">
        <w:rPr>
          <w:i/>
        </w:rPr>
        <w:t>Int</w:t>
      </w:r>
      <w:r>
        <w:rPr>
          <w:i/>
        </w:rPr>
        <w:t>.</w:t>
      </w:r>
      <w:r w:rsidRPr="00942B0B">
        <w:rPr>
          <w:i/>
        </w:rPr>
        <w:t xml:space="preserve"> J</w:t>
      </w:r>
      <w:r>
        <w:rPr>
          <w:i/>
        </w:rPr>
        <w:t>.</w:t>
      </w:r>
      <w:r w:rsidRPr="00942B0B">
        <w:rPr>
          <w:i/>
        </w:rPr>
        <w:t xml:space="preserve"> Parasitol</w:t>
      </w:r>
      <w:r>
        <w:rPr>
          <w:i/>
        </w:rPr>
        <w:t>.</w:t>
      </w:r>
      <w:r w:rsidRPr="00942B0B">
        <w:rPr>
          <w:i/>
        </w:rPr>
        <w:t>,</w:t>
      </w:r>
      <w:r w:rsidRPr="00942B0B">
        <w:t xml:space="preserve"> </w:t>
      </w:r>
      <w:r w:rsidRPr="000E5097">
        <w:rPr>
          <w:b/>
        </w:rPr>
        <w:t>31</w:t>
      </w:r>
      <w:r w:rsidRPr="00942B0B">
        <w:t>, 738</w:t>
      </w:r>
      <w:r>
        <w:t>–</w:t>
      </w:r>
      <w:r w:rsidRPr="00942B0B">
        <w:t>745.</w:t>
      </w:r>
    </w:p>
    <w:p w14:paraId="5DDA0E89" w14:textId="77777777" w:rsidR="000A62A2" w:rsidRPr="0006424E" w:rsidRDefault="000A62A2" w:rsidP="000A62A2">
      <w:pPr>
        <w:pStyle w:val="REF"/>
        <w:spacing w:after="200"/>
        <w:ind w:left="426"/>
        <w:rPr>
          <w:szCs w:val="18"/>
          <w:lang w:val="en-GB"/>
        </w:rPr>
      </w:pPr>
      <w:r w:rsidRPr="0006424E">
        <w:rPr>
          <w:smallCaps/>
          <w:szCs w:val="18"/>
        </w:rPr>
        <w:t>M</w:t>
      </w:r>
      <w:r w:rsidRPr="0006424E">
        <w:rPr>
          <w:smallCaps/>
          <w:szCs w:val="18"/>
          <w:lang w:val="en-GB"/>
        </w:rPr>
        <w:t xml:space="preserve">cHugh E.S., Shinn A.P. &amp; Kay J.W. </w:t>
      </w:r>
      <w:r w:rsidRPr="0006424E">
        <w:rPr>
          <w:szCs w:val="18"/>
          <w:lang w:val="en-GB"/>
        </w:rPr>
        <w:t xml:space="preserve">(2000). Discrimination of the notifiable pathogen </w:t>
      </w:r>
      <w:r w:rsidRPr="0006424E">
        <w:rPr>
          <w:i/>
          <w:szCs w:val="18"/>
          <w:lang w:val="en-GB"/>
        </w:rPr>
        <w:t>Gyrodactylus salaris</w:t>
      </w:r>
      <w:r w:rsidRPr="0006424E">
        <w:rPr>
          <w:szCs w:val="18"/>
          <w:lang w:val="en-GB"/>
        </w:rPr>
        <w:t xml:space="preserve"> from </w:t>
      </w:r>
      <w:r w:rsidRPr="0006424E">
        <w:rPr>
          <w:i/>
          <w:szCs w:val="18"/>
          <w:lang w:val="en-GB"/>
        </w:rPr>
        <w:t>G. thymalli</w:t>
      </w:r>
      <w:r w:rsidRPr="0006424E">
        <w:rPr>
          <w:szCs w:val="18"/>
          <w:lang w:val="en-GB"/>
        </w:rPr>
        <w:t xml:space="preserve"> (Monogenea) using statistical classifiers applied to morphometric data. </w:t>
      </w:r>
      <w:r w:rsidRPr="0006424E">
        <w:rPr>
          <w:i/>
          <w:szCs w:val="18"/>
          <w:lang w:val="en-GB"/>
        </w:rPr>
        <w:t>Parasitology,</w:t>
      </w:r>
      <w:r w:rsidRPr="0006424E">
        <w:rPr>
          <w:szCs w:val="18"/>
          <w:lang w:val="en-GB"/>
        </w:rPr>
        <w:t xml:space="preserve"> </w:t>
      </w:r>
      <w:r w:rsidRPr="0006424E">
        <w:rPr>
          <w:b/>
          <w:szCs w:val="18"/>
          <w:lang w:val="en-GB"/>
        </w:rPr>
        <w:t>121</w:t>
      </w:r>
      <w:r w:rsidRPr="0006424E">
        <w:rPr>
          <w:szCs w:val="18"/>
          <w:lang w:val="en-GB"/>
        </w:rPr>
        <w:t>, 315–323.</w:t>
      </w:r>
    </w:p>
    <w:p w14:paraId="116C888C" w14:textId="77777777" w:rsidR="000A62A2" w:rsidRPr="0006424E" w:rsidRDefault="000A62A2" w:rsidP="000A62A2">
      <w:pPr>
        <w:pStyle w:val="REF"/>
        <w:spacing w:after="200"/>
        <w:ind w:left="426"/>
        <w:rPr>
          <w:szCs w:val="18"/>
          <w:lang w:val="es-ES"/>
        </w:rPr>
      </w:pPr>
      <w:r w:rsidRPr="0006424E">
        <w:rPr>
          <w:szCs w:val="18"/>
          <w:lang w:val="en-GB"/>
        </w:rPr>
        <w:t>M</w:t>
      </w:r>
      <w:r w:rsidRPr="0006424E">
        <w:rPr>
          <w:smallCaps/>
          <w:szCs w:val="18"/>
          <w:lang w:val="en-GB"/>
        </w:rPr>
        <w:t>einil</w:t>
      </w:r>
      <w:r>
        <w:rPr>
          <w:smallCaps/>
          <w:szCs w:val="18"/>
          <w:lang w:val="en-GB"/>
        </w:rPr>
        <w:t>a</w:t>
      </w:r>
      <w:r w:rsidRPr="0006424E">
        <w:rPr>
          <w:szCs w:val="18"/>
          <w:lang w:val="en-GB"/>
        </w:rPr>
        <w:t xml:space="preserve"> M., K</w:t>
      </w:r>
      <w:r w:rsidRPr="0006424E">
        <w:rPr>
          <w:smallCaps/>
          <w:szCs w:val="18"/>
          <w:lang w:val="en-GB"/>
        </w:rPr>
        <w:t>uusela</w:t>
      </w:r>
      <w:r w:rsidRPr="0006424E">
        <w:rPr>
          <w:szCs w:val="18"/>
          <w:lang w:val="en-GB"/>
        </w:rPr>
        <w:t xml:space="preserve"> J., Z</w:t>
      </w:r>
      <w:r w:rsidRPr="0006424E">
        <w:rPr>
          <w:smallCaps/>
          <w:szCs w:val="18"/>
          <w:lang w:val="en-GB"/>
        </w:rPr>
        <w:t>i</w:t>
      </w:r>
      <w:r w:rsidRPr="0006424E">
        <w:rPr>
          <w:rFonts w:cs="Arial"/>
          <w:smallCaps/>
          <w:szCs w:val="18"/>
          <w:lang w:val="en-GB"/>
        </w:rPr>
        <w:t>ę</w:t>
      </w:r>
      <w:r w:rsidRPr="0006424E">
        <w:rPr>
          <w:smallCaps/>
          <w:szCs w:val="18"/>
          <w:lang w:val="en-GB"/>
        </w:rPr>
        <w:t>tara</w:t>
      </w:r>
      <w:r w:rsidRPr="0006424E">
        <w:rPr>
          <w:szCs w:val="18"/>
          <w:lang w:val="en-GB"/>
        </w:rPr>
        <w:t xml:space="preserve"> M. &amp; L</w:t>
      </w:r>
      <w:r w:rsidRPr="0006424E">
        <w:rPr>
          <w:smallCaps/>
          <w:szCs w:val="18"/>
          <w:lang w:val="en-GB"/>
        </w:rPr>
        <w:t>umme</w:t>
      </w:r>
      <w:r w:rsidRPr="0006424E">
        <w:rPr>
          <w:szCs w:val="18"/>
          <w:lang w:val="en-GB"/>
        </w:rPr>
        <w:t xml:space="preserve"> J. (2002) Primers for amplifying approximately 820 bp of highly polymorphic mitochondrial COI gene of </w:t>
      </w:r>
      <w:r w:rsidRPr="0006424E">
        <w:rPr>
          <w:i/>
          <w:szCs w:val="18"/>
          <w:lang w:val="en-GB"/>
        </w:rPr>
        <w:t>Gyrodactylus salaris.</w:t>
      </w:r>
      <w:r w:rsidRPr="0006424E">
        <w:rPr>
          <w:szCs w:val="18"/>
          <w:lang w:val="en-GB"/>
        </w:rPr>
        <w:t xml:space="preserve"> </w:t>
      </w:r>
      <w:r w:rsidRPr="0006424E">
        <w:rPr>
          <w:i/>
          <w:szCs w:val="18"/>
          <w:lang w:val="es-ES"/>
        </w:rPr>
        <w:t>Hereditas,</w:t>
      </w:r>
      <w:r w:rsidRPr="0006424E">
        <w:rPr>
          <w:szCs w:val="18"/>
          <w:lang w:val="es-ES"/>
        </w:rPr>
        <w:t xml:space="preserve"> </w:t>
      </w:r>
      <w:r w:rsidRPr="0006424E">
        <w:rPr>
          <w:b/>
          <w:szCs w:val="18"/>
          <w:lang w:val="es-ES"/>
        </w:rPr>
        <w:t>137</w:t>
      </w:r>
      <w:r w:rsidRPr="0006424E">
        <w:rPr>
          <w:bCs/>
          <w:szCs w:val="18"/>
          <w:lang w:val="es-ES"/>
        </w:rPr>
        <w:t>,</w:t>
      </w:r>
      <w:r w:rsidRPr="0006424E">
        <w:rPr>
          <w:szCs w:val="18"/>
          <w:lang w:val="es-ES"/>
        </w:rPr>
        <w:t xml:space="preserve"> 72–74.</w:t>
      </w:r>
    </w:p>
    <w:p w14:paraId="0BBF101F" w14:textId="77777777" w:rsidR="000A62A2" w:rsidRPr="0006424E" w:rsidRDefault="000A62A2" w:rsidP="000A62A2">
      <w:pPr>
        <w:pStyle w:val="REF"/>
        <w:spacing w:after="200"/>
        <w:ind w:left="426"/>
        <w:rPr>
          <w:szCs w:val="18"/>
          <w:lang w:val="en-GB"/>
        </w:rPr>
      </w:pPr>
      <w:r w:rsidRPr="0006424E">
        <w:rPr>
          <w:szCs w:val="18"/>
          <w:lang w:val="pt-BR"/>
        </w:rPr>
        <w:t>M</w:t>
      </w:r>
      <w:r w:rsidRPr="0006424E">
        <w:rPr>
          <w:smallCaps/>
          <w:szCs w:val="18"/>
          <w:lang w:val="pt-BR"/>
        </w:rPr>
        <w:t>einil</w:t>
      </w:r>
      <w:r>
        <w:rPr>
          <w:smallCaps/>
          <w:szCs w:val="18"/>
          <w:lang w:val="pt-BR"/>
        </w:rPr>
        <w:t>a</w:t>
      </w:r>
      <w:r w:rsidRPr="0006424E">
        <w:rPr>
          <w:smallCaps/>
          <w:szCs w:val="18"/>
          <w:lang w:val="pt-BR"/>
        </w:rPr>
        <w:t xml:space="preserve"> M., Kuusela J., Zi</w:t>
      </w:r>
      <w:r w:rsidRPr="0006424E">
        <w:rPr>
          <w:rFonts w:cs="Arial"/>
          <w:smallCaps/>
          <w:szCs w:val="18"/>
          <w:lang w:val="pt-BR"/>
        </w:rPr>
        <w:t>ę</w:t>
      </w:r>
      <w:r w:rsidRPr="0006424E">
        <w:rPr>
          <w:smallCaps/>
          <w:szCs w:val="18"/>
          <w:lang w:val="pt-BR"/>
        </w:rPr>
        <w:t xml:space="preserve">tara M.S. &amp; Lumme J. </w:t>
      </w:r>
      <w:r w:rsidRPr="0006424E">
        <w:rPr>
          <w:szCs w:val="18"/>
          <w:lang w:val="pt-BR"/>
        </w:rPr>
        <w:t xml:space="preserve">(2004). </w:t>
      </w:r>
      <w:r w:rsidRPr="0006424E">
        <w:rPr>
          <w:szCs w:val="18"/>
          <w:lang w:val="en-GB"/>
        </w:rPr>
        <w:t xml:space="preserve">Initial steps of speciation by geographic isolation and host switch in salmonid pathogen </w:t>
      </w:r>
      <w:r w:rsidRPr="0006424E">
        <w:rPr>
          <w:i/>
          <w:szCs w:val="18"/>
          <w:lang w:val="en-GB"/>
        </w:rPr>
        <w:t>Gyrodactylus salaris</w:t>
      </w:r>
      <w:r w:rsidRPr="0006424E">
        <w:rPr>
          <w:szCs w:val="18"/>
          <w:lang w:val="en-GB"/>
        </w:rPr>
        <w:t xml:space="preserve"> (Monogenea: Gyrodactylidae). </w:t>
      </w:r>
      <w:r w:rsidRPr="0006424E">
        <w:rPr>
          <w:i/>
          <w:szCs w:val="18"/>
          <w:lang w:val="en-GB"/>
        </w:rPr>
        <w:t>Int. J. Parasitol.,</w:t>
      </w:r>
      <w:r w:rsidRPr="0006424E">
        <w:rPr>
          <w:szCs w:val="18"/>
          <w:lang w:val="en-GB"/>
        </w:rPr>
        <w:t xml:space="preserve"> </w:t>
      </w:r>
      <w:r w:rsidRPr="0006424E">
        <w:rPr>
          <w:b/>
          <w:szCs w:val="18"/>
          <w:lang w:val="en-GB"/>
        </w:rPr>
        <w:t>34</w:t>
      </w:r>
      <w:r w:rsidRPr="0006424E">
        <w:rPr>
          <w:szCs w:val="18"/>
          <w:lang w:val="en-GB"/>
        </w:rPr>
        <w:t>, 515–526.</w:t>
      </w:r>
    </w:p>
    <w:p w14:paraId="3BDA1DA6" w14:textId="77777777" w:rsidR="000A62A2" w:rsidRPr="002210B3" w:rsidRDefault="000A62A2" w:rsidP="000A62A2">
      <w:pPr>
        <w:pStyle w:val="Para3"/>
        <w:ind w:left="426"/>
      </w:pPr>
      <w:r w:rsidRPr="00595276">
        <w:rPr>
          <w:smallCaps/>
        </w:rPr>
        <w:t>Mieszkowska A., Gorniak M., Jurczak-Kurek A. &amp; Zietara M.S. (</w:t>
      </w:r>
      <w:r w:rsidRPr="002210B3">
        <w:t>2018)</w:t>
      </w:r>
      <w:r>
        <w:t>.</w:t>
      </w:r>
      <w:r w:rsidRPr="002210B3">
        <w:t xml:space="preserve"> Revision of </w:t>
      </w:r>
      <w:r w:rsidRPr="0006424E">
        <w:rPr>
          <w:i/>
          <w:szCs w:val="18"/>
        </w:rPr>
        <w:t xml:space="preserve">Gyrodactylus </w:t>
      </w:r>
      <w:r w:rsidRPr="002210B3">
        <w:rPr>
          <w:i/>
          <w:iCs/>
        </w:rPr>
        <w:t>salaris</w:t>
      </w:r>
      <w:r w:rsidRPr="002210B3">
        <w:t xml:space="preserve"> phylogeny inspired by new evidence for Eemian crossing between lineages living on grayling in Baltic and White sea basins. </w:t>
      </w:r>
      <w:r w:rsidRPr="00CB78FF">
        <w:rPr>
          <w:i/>
          <w:iCs/>
        </w:rPr>
        <w:t>PeerJ.</w:t>
      </w:r>
      <w:r>
        <w:t xml:space="preserve">, </w:t>
      </w:r>
      <w:r w:rsidRPr="002210B3">
        <w:t>6:e5167. doi:10.7717/peerj.5167</w:t>
      </w:r>
    </w:p>
    <w:p w14:paraId="39B03F79" w14:textId="77777777" w:rsidR="000A62A2" w:rsidRPr="00BC5907" w:rsidRDefault="000A62A2" w:rsidP="000A62A2">
      <w:pPr>
        <w:pStyle w:val="REF"/>
        <w:spacing w:after="200"/>
        <w:ind w:left="426"/>
        <w:rPr>
          <w:szCs w:val="18"/>
          <w:lang w:val="en-US"/>
        </w:rPr>
      </w:pPr>
      <w:r w:rsidRPr="0006424E">
        <w:rPr>
          <w:smallCaps/>
          <w:szCs w:val="18"/>
        </w:rPr>
        <w:t>Mo</w:t>
      </w:r>
      <w:r w:rsidRPr="0006424E">
        <w:rPr>
          <w:noProof/>
          <w:szCs w:val="18"/>
          <w:lang w:val="en-GB"/>
        </w:rPr>
        <w:t xml:space="preserve"> T.A. (1992). Seasonal variations in the prevalence and infestation intensity of </w:t>
      </w:r>
      <w:r w:rsidRPr="0006424E">
        <w:rPr>
          <w:i/>
          <w:noProof/>
          <w:szCs w:val="18"/>
          <w:lang w:val="en-GB"/>
        </w:rPr>
        <w:t>Gyrodactylus salaris</w:t>
      </w:r>
      <w:r w:rsidRPr="0006424E">
        <w:rPr>
          <w:noProof/>
          <w:szCs w:val="18"/>
          <w:lang w:val="en-GB"/>
        </w:rPr>
        <w:t xml:space="preserve"> Malmberg, 1957 (Monogenea: Gyrodactylidae) on Atlantic salmon parr, </w:t>
      </w:r>
      <w:r w:rsidRPr="0006424E">
        <w:rPr>
          <w:i/>
          <w:noProof/>
          <w:szCs w:val="18"/>
          <w:lang w:val="en-GB"/>
        </w:rPr>
        <w:t>Salmo salar</w:t>
      </w:r>
      <w:r w:rsidRPr="0006424E">
        <w:rPr>
          <w:noProof/>
          <w:szCs w:val="18"/>
          <w:lang w:val="en-GB"/>
        </w:rPr>
        <w:t xml:space="preserve"> L., in the River Batnfjordselva, Norway. </w:t>
      </w:r>
      <w:r w:rsidRPr="00BC5907">
        <w:rPr>
          <w:i/>
          <w:noProof/>
          <w:szCs w:val="18"/>
          <w:lang w:val="en-US"/>
        </w:rPr>
        <w:t>J. Fish Biol.</w:t>
      </w:r>
      <w:r w:rsidRPr="00BC5907">
        <w:rPr>
          <w:noProof/>
          <w:szCs w:val="18"/>
          <w:lang w:val="en-US"/>
        </w:rPr>
        <w:t xml:space="preserve">, </w:t>
      </w:r>
      <w:r w:rsidRPr="00BC5907">
        <w:rPr>
          <w:b/>
          <w:noProof/>
          <w:szCs w:val="18"/>
          <w:lang w:val="en-US"/>
        </w:rPr>
        <w:t>41</w:t>
      </w:r>
      <w:r w:rsidRPr="00BC5907">
        <w:rPr>
          <w:noProof/>
          <w:szCs w:val="18"/>
          <w:lang w:val="en-US"/>
        </w:rPr>
        <w:t>, 697</w:t>
      </w:r>
      <w:r w:rsidRPr="00BC5907">
        <w:rPr>
          <w:rFonts w:cs="Arial"/>
          <w:szCs w:val="18"/>
          <w:lang w:val="en-US" w:eastAsia="nb-NO"/>
        </w:rPr>
        <w:t>–</w:t>
      </w:r>
      <w:r w:rsidRPr="00BC5907">
        <w:rPr>
          <w:noProof/>
          <w:szCs w:val="18"/>
          <w:lang w:val="en-US"/>
        </w:rPr>
        <w:t>707</w:t>
      </w:r>
      <w:r w:rsidRPr="00BC5907">
        <w:rPr>
          <w:szCs w:val="18"/>
          <w:lang w:val="en-US"/>
        </w:rPr>
        <w:t>.</w:t>
      </w:r>
    </w:p>
    <w:p w14:paraId="397FDA73" w14:textId="77777777" w:rsidR="000A62A2" w:rsidRPr="00BC5907" w:rsidRDefault="000A62A2" w:rsidP="000A62A2">
      <w:pPr>
        <w:pStyle w:val="REF"/>
        <w:spacing w:after="200"/>
        <w:ind w:left="426"/>
        <w:rPr>
          <w:lang w:val="en-US"/>
        </w:rPr>
      </w:pPr>
      <w:r w:rsidRPr="00BC5907">
        <w:rPr>
          <w:smallCaps/>
          <w:lang w:val="en-US"/>
        </w:rPr>
        <w:t>Olstad K., Cable J., Robertsen G. &amp; Bakke T. A</w:t>
      </w:r>
      <w:r w:rsidRPr="00BC5907">
        <w:rPr>
          <w:lang w:val="en-US"/>
        </w:rPr>
        <w:t xml:space="preserve">. </w:t>
      </w:r>
      <w:r w:rsidRPr="0006424E">
        <w:rPr>
          <w:lang w:val="en-GB"/>
        </w:rPr>
        <w:t xml:space="preserve">(2006). Unpredicted transmission strategy of </w:t>
      </w:r>
      <w:r w:rsidRPr="0006424E">
        <w:rPr>
          <w:i/>
          <w:lang w:val="en-GB"/>
        </w:rPr>
        <w:t xml:space="preserve">Gyrodactylus salaris </w:t>
      </w:r>
      <w:r w:rsidRPr="0006424E">
        <w:rPr>
          <w:lang w:val="en-GB"/>
        </w:rPr>
        <w:t xml:space="preserve">(Monogenea: Gyrodactylidae): survival and infectivity of parasites on dead hosts. </w:t>
      </w:r>
      <w:r w:rsidRPr="00BC5907">
        <w:rPr>
          <w:i/>
          <w:lang w:val="en-US"/>
        </w:rPr>
        <w:t>Parasitology,</w:t>
      </w:r>
      <w:r w:rsidRPr="00BC5907">
        <w:rPr>
          <w:lang w:val="en-US"/>
        </w:rPr>
        <w:t xml:space="preserve"> </w:t>
      </w:r>
      <w:r w:rsidRPr="00BC5907">
        <w:rPr>
          <w:b/>
          <w:lang w:val="en-US"/>
        </w:rPr>
        <w:t>133</w:t>
      </w:r>
      <w:r w:rsidRPr="00BC5907">
        <w:rPr>
          <w:lang w:val="en-US"/>
        </w:rPr>
        <w:t>, 33–41.</w:t>
      </w:r>
    </w:p>
    <w:p w14:paraId="78EC5147" w14:textId="77777777" w:rsidR="000A62A2" w:rsidRPr="0006424E" w:rsidRDefault="000A62A2" w:rsidP="000A62A2">
      <w:pPr>
        <w:pStyle w:val="REF"/>
        <w:spacing w:after="200"/>
        <w:ind w:left="426"/>
        <w:rPr>
          <w:szCs w:val="18"/>
          <w:lang w:val="it-IT"/>
        </w:rPr>
      </w:pPr>
      <w:r w:rsidRPr="00BC5907">
        <w:rPr>
          <w:smallCaps/>
          <w:szCs w:val="18"/>
          <w:lang w:val="en-US"/>
        </w:rPr>
        <w:t xml:space="preserve">Olstad K., Robertsen G., Bachmann L. &amp; Bakke T.A. </w:t>
      </w:r>
      <w:r w:rsidRPr="00BC5907">
        <w:rPr>
          <w:caps/>
          <w:szCs w:val="18"/>
          <w:lang w:val="en-US"/>
        </w:rPr>
        <w:t>(2007</w:t>
      </w:r>
      <w:r w:rsidRPr="00BC5907">
        <w:rPr>
          <w:szCs w:val="18"/>
          <w:lang w:val="en-US"/>
        </w:rPr>
        <w:t>a</w:t>
      </w:r>
      <w:r w:rsidRPr="00BC5907">
        <w:rPr>
          <w:caps/>
          <w:szCs w:val="18"/>
          <w:lang w:val="en-US"/>
        </w:rPr>
        <w:t>).</w:t>
      </w:r>
      <w:r w:rsidRPr="00BC5907">
        <w:rPr>
          <w:szCs w:val="18"/>
          <w:lang w:val="en-US"/>
        </w:rPr>
        <w:t xml:space="preserve"> </w:t>
      </w:r>
      <w:r w:rsidRPr="0006424E">
        <w:rPr>
          <w:szCs w:val="18"/>
          <w:lang w:val="en-GB"/>
        </w:rPr>
        <w:t xml:space="preserve">Variation in host preference within </w:t>
      </w:r>
      <w:r w:rsidRPr="0006424E">
        <w:rPr>
          <w:i/>
          <w:szCs w:val="18"/>
          <w:lang w:val="en-GB"/>
        </w:rPr>
        <w:t xml:space="preserve">Gyrodactylus salaris </w:t>
      </w:r>
      <w:r w:rsidRPr="0006424E">
        <w:rPr>
          <w:szCs w:val="18"/>
          <w:lang w:val="en-GB"/>
        </w:rPr>
        <w:t xml:space="preserve">(Monogenea): an experimental approach. </w:t>
      </w:r>
      <w:r w:rsidRPr="0006424E">
        <w:rPr>
          <w:i/>
          <w:szCs w:val="18"/>
          <w:lang w:val="it-IT"/>
        </w:rPr>
        <w:t>Parasitology,</w:t>
      </w:r>
      <w:r w:rsidRPr="0006424E">
        <w:rPr>
          <w:szCs w:val="18"/>
          <w:lang w:val="it-IT"/>
        </w:rPr>
        <w:t xml:space="preserve"> </w:t>
      </w:r>
      <w:r w:rsidRPr="0006424E">
        <w:rPr>
          <w:b/>
          <w:szCs w:val="18"/>
          <w:lang w:val="it-IT"/>
        </w:rPr>
        <w:t>134</w:t>
      </w:r>
      <w:r w:rsidRPr="0006424E">
        <w:rPr>
          <w:szCs w:val="18"/>
          <w:lang w:val="it-IT"/>
        </w:rPr>
        <w:t>, 589–597.</w:t>
      </w:r>
    </w:p>
    <w:p w14:paraId="1DEC19DA" w14:textId="77777777" w:rsidR="00CA456F" w:rsidRPr="00CA456F" w:rsidRDefault="00CA456F" w:rsidP="00CA456F">
      <w:pPr>
        <w:pStyle w:val="Titre3"/>
        <w:spacing w:after="480"/>
        <w:jc w:val="right"/>
        <w:rPr>
          <w:bCs/>
          <w:i w:val="0"/>
          <w:iCs/>
        </w:rPr>
      </w:pPr>
      <w:r w:rsidRPr="00CA456F">
        <w:rPr>
          <w:rFonts w:cs="Times New Roman"/>
          <w:i w:val="0"/>
          <w:szCs w:val="20"/>
          <w:u w:val="single"/>
        </w:rPr>
        <w:lastRenderedPageBreak/>
        <w:t>A</w:t>
      </w:r>
      <w:r w:rsidRPr="00CA456F">
        <w:rPr>
          <w:rFonts w:cs="Times New Roman"/>
          <w:bCs/>
          <w:i w:val="0"/>
          <w:iCs/>
          <w:szCs w:val="20"/>
          <w:u w:val="single"/>
        </w:rPr>
        <w:t>nnex 15</w:t>
      </w:r>
      <w:r w:rsidRPr="00CA456F">
        <w:rPr>
          <w:rFonts w:cs="Times New Roman"/>
          <w:bCs/>
          <w:i w:val="0"/>
          <w:iCs/>
          <w:szCs w:val="20"/>
        </w:rPr>
        <w:t xml:space="preserve"> (contd)</w:t>
      </w:r>
    </w:p>
    <w:p w14:paraId="1CF71964" w14:textId="77777777" w:rsidR="000A62A2" w:rsidRPr="0006424E" w:rsidRDefault="000A62A2" w:rsidP="000A62A2">
      <w:pPr>
        <w:pStyle w:val="REF"/>
        <w:spacing w:after="200"/>
        <w:ind w:left="426"/>
        <w:rPr>
          <w:szCs w:val="18"/>
          <w:lang w:val="it-IT"/>
        </w:rPr>
      </w:pPr>
      <w:r w:rsidRPr="00BC5907">
        <w:rPr>
          <w:smallCaps/>
          <w:szCs w:val="18"/>
          <w:lang w:val="en-US"/>
        </w:rPr>
        <w:t xml:space="preserve">Olstad K., Shinn A.P., Bachmann L. &amp; Bakke T.A. </w:t>
      </w:r>
      <w:r w:rsidRPr="00BC5907">
        <w:rPr>
          <w:caps/>
          <w:szCs w:val="18"/>
          <w:lang w:val="en-US"/>
        </w:rPr>
        <w:t>(2007</w:t>
      </w:r>
      <w:r w:rsidRPr="00BC5907">
        <w:rPr>
          <w:szCs w:val="18"/>
          <w:lang w:val="en-US"/>
        </w:rPr>
        <w:t>b</w:t>
      </w:r>
      <w:r w:rsidRPr="00BC5907">
        <w:rPr>
          <w:caps/>
          <w:szCs w:val="18"/>
          <w:lang w:val="en-US"/>
        </w:rPr>
        <w:t>).</w:t>
      </w:r>
      <w:r w:rsidRPr="00BC5907">
        <w:rPr>
          <w:szCs w:val="18"/>
          <w:lang w:val="en-US"/>
        </w:rPr>
        <w:t xml:space="preserve"> </w:t>
      </w:r>
      <w:r w:rsidRPr="0006424E">
        <w:rPr>
          <w:szCs w:val="18"/>
          <w:lang w:val="en-GB"/>
        </w:rPr>
        <w:t xml:space="preserve">Host-based identification is not supported by morphometrics in natural populations of </w:t>
      </w:r>
      <w:r w:rsidRPr="0006424E">
        <w:rPr>
          <w:i/>
          <w:szCs w:val="18"/>
          <w:lang w:val="en-GB"/>
        </w:rPr>
        <w:t>Gyrodactylus</w:t>
      </w:r>
      <w:r w:rsidRPr="0006424E">
        <w:rPr>
          <w:szCs w:val="18"/>
          <w:lang w:val="en-GB"/>
        </w:rPr>
        <w:t xml:space="preserve"> </w:t>
      </w:r>
      <w:r w:rsidRPr="0006424E">
        <w:rPr>
          <w:i/>
          <w:szCs w:val="18"/>
          <w:lang w:val="en-GB"/>
        </w:rPr>
        <w:t>salaris</w:t>
      </w:r>
      <w:r w:rsidRPr="0006424E">
        <w:rPr>
          <w:szCs w:val="18"/>
          <w:lang w:val="en-GB"/>
        </w:rPr>
        <w:t xml:space="preserve"> and G. </w:t>
      </w:r>
      <w:r w:rsidRPr="0006424E">
        <w:rPr>
          <w:i/>
          <w:szCs w:val="18"/>
          <w:lang w:val="en-GB"/>
        </w:rPr>
        <w:t>thymalli</w:t>
      </w:r>
      <w:r w:rsidRPr="0006424E">
        <w:rPr>
          <w:szCs w:val="18"/>
          <w:lang w:val="en-GB"/>
        </w:rPr>
        <w:t xml:space="preserve"> (Platyhelminthes, Monogenea). </w:t>
      </w:r>
      <w:r w:rsidRPr="0006424E">
        <w:rPr>
          <w:i/>
          <w:szCs w:val="18"/>
          <w:lang w:val="it-IT"/>
        </w:rPr>
        <w:t>Parasitology,</w:t>
      </w:r>
      <w:r w:rsidRPr="0006424E">
        <w:rPr>
          <w:szCs w:val="18"/>
          <w:lang w:val="it-IT"/>
        </w:rPr>
        <w:t xml:space="preserve"> </w:t>
      </w:r>
      <w:r w:rsidRPr="0006424E">
        <w:rPr>
          <w:b/>
          <w:szCs w:val="18"/>
          <w:lang w:val="it-IT"/>
        </w:rPr>
        <w:t>134</w:t>
      </w:r>
      <w:r w:rsidRPr="0006424E">
        <w:rPr>
          <w:szCs w:val="18"/>
          <w:lang w:val="it-IT"/>
        </w:rPr>
        <w:t>, 2041–2052.</w:t>
      </w:r>
    </w:p>
    <w:p w14:paraId="4E95C9E6" w14:textId="77777777" w:rsidR="000A62A2" w:rsidRPr="00894345" w:rsidRDefault="000A62A2" w:rsidP="000A62A2">
      <w:pPr>
        <w:pStyle w:val="REF"/>
        <w:spacing w:after="200"/>
        <w:ind w:left="426"/>
        <w:rPr>
          <w:szCs w:val="18"/>
          <w:lang w:val="it-IT"/>
        </w:rPr>
      </w:pPr>
      <w:r w:rsidRPr="0006424E">
        <w:rPr>
          <w:smallCaps/>
          <w:szCs w:val="18"/>
          <w:lang w:val="it-IT"/>
        </w:rPr>
        <w:t>Paladini G., Gustinelli A., Fioravanti M.L., Hansen H. &amp; Shinn A.P. (</w:t>
      </w:r>
      <w:r w:rsidRPr="0006424E">
        <w:rPr>
          <w:szCs w:val="18"/>
          <w:lang w:val="it-IT"/>
        </w:rPr>
        <w:t xml:space="preserve">2009). </w:t>
      </w:r>
      <w:r w:rsidRPr="0006424E">
        <w:rPr>
          <w:szCs w:val="18"/>
          <w:lang w:val="en-GB"/>
        </w:rPr>
        <w:t xml:space="preserve">The first report of </w:t>
      </w:r>
      <w:r w:rsidRPr="0006424E">
        <w:rPr>
          <w:i/>
          <w:szCs w:val="18"/>
          <w:lang w:val="en-GB"/>
        </w:rPr>
        <w:t>Gyrodactylus salaris</w:t>
      </w:r>
      <w:r w:rsidRPr="0006424E">
        <w:rPr>
          <w:szCs w:val="18"/>
          <w:lang w:val="en-GB"/>
        </w:rPr>
        <w:t xml:space="preserve"> Malmberg 1957 (Platyhelminthes, Monogenea) on Italian cultured stocks of rainbow trout (</w:t>
      </w:r>
      <w:r w:rsidRPr="0006424E">
        <w:rPr>
          <w:i/>
          <w:szCs w:val="18"/>
          <w:lang w:val="en-GB"/>
        </w:rPr>
        <w:t>Oncorhynchus mykiss</w:t>
      </w:r>
      <w:r w:rsidRPr="0006424E">
        <w:rPr>
          <w:szCs w:val="18"/>
          <w:lang w:val="en-GB"/>
        </w:rPr>
        <w:t xml:space="preserve"> Walbaum).</w:t>
      </w:r>
      <w:r w:rsidRPr="0006424E">
        <w:rPr>
          <w:i/>
          <w:szCs w:val="18"/>
          <w:lang w:val="it-IT"/>
        </w:rPr>
        <w:t xml:space="preserve"> Vet. Parasitol</w:t>
      </w:r>
      <w:r w:rsidRPr="0006424E">
        <w:rPr>
          <w:szCs w:val="18"/>
          <w:lang w:val="it-IT"/>
        </w:rPr>
        <w:t xml:space="preserve">., </w:t>
      </w:r>
      <w:r w:rsidRPr="0006424E">
        <w:rPr>
          <w:b/>
          <w:szCs w:val="18"/>
          <w:lang w:val="it-IT"/>
        </w:rPr>
        <w:t>165</w:t>
      </w:r>
      <w:r w:rsidRPr="0006424E">
        <w:rPr>
          <w:szCs w:val="18"/>
          <w:lang w:val="it-IT"/>
        </w:rPr>
        <w:t>, 290–297</w:t>
      </w:r>
      <w:r>
        <w:rPr>
          <w:szCs w:val="18"/>
          <w:lang w:val="it-IT"/>
        </w:rPr>
        <w:t>.</w:t>
      </w:r>
    </w:p>
    <w:p w14:paraId="636F5BB6" w14:textId="77777777" w:rsidR="000A62A2" w:rsidRPr="00BC5907" w:rsidRDefault="000A62A2" w:rsidP="000A62A2">
      <w:pPr>
        <w:pStyle w:val="Para3"/>
        <w:ind w:left="425"/>
        <w:rPr>
          <w:lang w:val="nb-NO"/>
        </w:rPr>
      </w:pPr>
      <w:r w:rsidRPr="00894345">
        <w:rPr>
          <w:smallCaps/>
          <w:lang w:val="it-IT"/>
        </w:rPr>
        <w:t>Paladini G., Hansen H., Williams C.F., Taylor N.G.H., Rubio-Mejía O.L., Denholm S., Hytterød S., Bron J.E. &amp; Shinn A.P.</w:t>
      </w:r>
      <w:r w:rsidRPr="00894345">
        <w:rPr>
          <w:lang w:val="it-IT"/>
        </w:rPr>
        <w:t xml:space="preserve"> (2014). </w:t>
      </w:r>
      <w:r w:rsidRPr="002210B3">
        <w:t xml:space="preserve">Reservoir hosts for </w:t>
      </w:r>
      <w:r w:rsidRPr="0006424E">
        <w:rPr>
          <w:i/>
          <w:szCs w:val="18"/>
          <w:lang w:val="en-GB"/>
        </w:rPr>
        <w:t>Gyrodactylus</w:t>
      </w:r>
      <w:r w:rsidRPr="0006424E">
        <w:rPr>
          <w:szCs w:val="18"/>
          <w:lang w:val="en-GB"/>
        </w:rPr>
        <w:t xml:space="preserve"> </w:t>
      </w:r>
      <w:r w:rsidRPr="002210B3">
        <w:rPr>
          <w:i/>
          <w:iCs/>
        </w:rPr>
        <w:t>salaris</w:t>
      </w:r>
      <w:r w:rsidRPr="002210B3">
        <w:t xml:space="preserve"> may play a more significant role in epidemics than previously thought. </w:t>
      </w:r>
      <w:r w:rsidRPr="00BC5907">
        <w:rPr>
          <w:i/>
          <w:iCs/>
          <w:lang w:val="nb-NO"/>
        </w:rPr>
        <w:t>Parasit. Vectors</w:t>
      </w:r>
      <w:r w:rsidRPr="00BC5907">
        <w:rPr>
          <w:lang w:val="nb-NO"/>
        </w:rPr>
        <w:t xml:space="preserve">, </w:t>
      </w:r>
      <w:r w:rsidRPr="00BC5907">
        <w:rPr>
          <w:b/>
          <w:bCs w:val="0"/>
          <w:lang w:val="nb-NO"/>
        </w:rPr>
        <w:t>7</w:t>
      </w:r>
      <w:r w:rsidRPr="00BC5907">
        <w:rPr>
          <w:lang w:val="nb-NO"/>
        </w:rPr>
        <w:t>, 576.</w:t>
      </w:r>
    </w:p>
    <w:p w14:paraId="421E492E" w14:textId="77777777" w:rsidR="000A62A2" w:rsidRPr="00BC5907" w:rsidRDefault="000A62A2" w:rsidP="000A62A2">
      <w:pPr>
        <w:pStyle w:val="Para3"/>
        <w:ind w:left="425"/>
        <w:rPr>
          <w:lang w:val="nb-NO"/>
        </w:rPr>
      </w:pPr>
      <w:r w:rsidRPr="00BC5907">
        <w:rPr>
          <w:smallCaps/>
          <w:lang w:val="nb-NO"/>
        </w:rPr>
        <w:t>Pettersen R.T., Hytterød S., Mo T.A., Hagen A.G., Flodmark L.E.W., Høgberget R., Olsen N., Kjøsnes A.J., Øxnevad S., Håvardstun J., Kristensen T., Sandodden R., Moen A. &amp; Lyder-sen E</w:t>
      </w:r>
      <w:r w:rsidRPr="00BC5907">
        <w:rPr>
          <w:lang w:val="nb-NO"/>
        </w:rPr>
        <w:t xml:space="preserve">. (2007). Kjemisk behandling mot </w:t>
      </w:r>
      <w:r w:rsidRPr="00BC5907">
        <w:rPr>
          <w:i/>
          <w:iCs/>
          <w:lang w:val="nb-NO"/>
        </w:rPr>
        <w:t>G. salaris</w:t>
      </w:r>
      <w:r w:rsidRPr="00BC5907">
        <w:rPr>
          <w:lang w:val="nb-NO"/>
        </w:rPr>
        <w:t xml:space="preserve"> i Lærdalselva 2005/2006 – Sluttrapport. NIVA-rapport 5349-2007. 27 pp. (in Norwegian).</w:t>
      </w:r>
    </w:p>
    <w:p w14:paraId="1EEA516A" w14:textId="77777777" w:rsidR="000A62A2" w:rsidRPr="0006424E" w:rsidRDefault="000A62A2" w:rsidP="000A62A2">
      <w:pPr>
        <w:pStyle w:val="REF"/>
        <w:spacing w:after="200"/>
        <w:ind w:left="425"/>
        <w:rPr>
          <w:lang w:val="nb-NO"/>
        </w:rPr>
      </w:pPr>
      <w:r w:rsidRPr="0006424E">
        <w:rPr>
          <w:smallCaps/>
          <w:lang w:val="nb-NO"/>
        </w:rPr>
        <w:t>Pol</w:t>
      </w:r>
      <w:r>
        <w:rPr>
          <w:smallCaps/>
          <w:lang w:val="nb-NO"/>
        </w:rPr>
        <w:t>e</w:t>
      </w:r>
      <w:r w:rsidRPr="0006424E">
        <w:rPr>
          <w:smallCaps/>
          <w:lang w:val="nb-NO"/>
        </w:rPr>
        <w:t>o A.B.S., Schjolden J., Hansen H., Bakke T.A., Mo T.A., Rosseland B.O. &amp; Lydersen E</w:t>
      </w:r>
      <w:r w:rsidRPr="0006424E">
        <w:rPr>
          <w:lang w:val="nb-NO"/>
        </w:rPr>
        <w:t xml:space="preserve">. (2004). </w:t>
      </w:r>
      <w:r w:rsidRPr="0006424E">
        <w:rPr>
          <w:lang w:val="en-GB"/>
        </w:rPr>
        <w:t xml:space="preserve">The effect of various metals on </w:t>
      </w:r>
      <w:r w:rsidRPr="0006424E">
        <w:rPr>
          <w:i/>
          <w:lang w:val="en-GB"/>
        </w:rPr>
        <w:t xml:space="preserve">Gyrodactylus salaris </w:t>
      </w:r>
      <w:r w:rsidRPr="0006424E">
        <w:rPr>
          <w:lang w:val="en-GB"/>
        </w:rPr>
        <w:t>(Platyhelminthes, Monogenea) infections in Atlantic salmon (</w:t>
      </w:r>
      <w:r w:rsidRPr="0006424E">
        <w:rPr>
          <w:i/>
          <w:lang w:val="en-GB"/>
        </w:rPr>
        <w:t>Salmo salar</w:t>
      </w:r>
      <w:r w:rsidRPr="0006424E">
        <w:rPr>
          <w:lang w:val="en-GB"/>
        </w:rPr>
        <w:t xml:space="preserve">). </w:t>
      </w:r>
      <w:r w:rsidRPr="0006424E">
        <w:rPr>
          <w:i/>
          <w:lang w:val="nb-NO"/>
        </w:rPr>
        <w:t>Parasitology,</w:t>
      </w:r>
      <w:r w:rsidRPr="0006424E">
        <w:rPr>
          <w:lang w:val="nb-NO"/>
        </w:rPr>
        <w:t xml:space="preserve"> </w:t>
      </w:r>
      <w:r w:rsidRPr="0006424E">
        <w:rPr>
          <w:b/>
          <w:lang w:val="nb-NO"/>
        </w:rPr>
        <w:t>128</w:t>
      </w:r>
      <w:r w:rsidRPr="0006424E">
        <w:rPr>
          <w:lang w:val="nb-NO"/>
        </w:rPr>
        <w:t>, 169–177.</w:t>
      </w:r>
    </w:p>
    <w:p w14:paraId="1E4211F9" w14:textId="77777777" w:rsidR="000A62A2" w:rsidRPr="00BC5907" w:rsidRDefault="000A62A2" w:rsidP="000A62A2">
      <w:pPr>
        <w:pStyle w:val="REF"/>
        <w:spacing w:after="200"/>
        <w:ind w:left="425"/>
        <w:rPr>
          <w:lang w:val="en-US"/>
        </w:rPr>
      </w:pPr>
      <w:r w:rsidRPr="0006424E">
        <w:rPr>
          <w:smallCaps/>
          <w:lang w:val="nb-NO"/>
        </w:rPr>
        <w:t>Robertsen G., Hansen H., Bachmann L. &amp; Bakke T. A</w:t>
      </w:r>
      <w:r w:rsidRPr="0006424E">
        <w:rPr>
          <w:lang w:val="nb-NO"/>
        </w:rPr>
        <w:t xml:space="preserve">. </w:t>
      </w:r>
      <w:r w:rsidRPr="00BC5907">
        <w:rPr>
          <w:lang w:val="nb-NO"/>
        </w:rPr>
        <w:t xml:space="preserve">(2007). </w:t>
      </w:r>
      <w:r w:rsidRPr="0006424E">
        <w:rPr>
          <w:lang w:val="en-GB"/>
        </w:rPr>
        <w:t>Arctic charr (</w:t>
      </w:r>
      <w:r w:rsidRPr="0006424E">
        <w:rPr>
          <w:i/>
          <w:lang w:val="en-GB"/>
        </w:rPr>
        <w:t>Salvelinus alpinus</w:t>
      </w:r>
      <w:r w:rsidRPr="0006424E">
        <w:rPr>
          <w:lang w:val="en-GB"/>
        </w:rPr>
        <w:t xml:space="preserve">) is a suitable host for </w:t>
      </w:r>
      <w:r w:rsidRPr="0006424E">
        <w:rPr>
          <w:i/>
          <w:lang w:val="en-GB"/>
        </w:rPr>
        <w:t xml:space="preserve">Gyrodactylus salaris </w:t>
      </w:r>
      <w:r w:rsidRPr="0006424E">
        <w:rPr>
          <w:lang w:val="en-GB"/>
        </w:rPr>
        <w:t xml:space="preserve">(Monogenea, Gyrodactylidae) in Norway. </w:t>
      </w:r>
      <w:r w:rsidRPr="00BC5907">
        <w:rPr>
          <w:i/>
          <w:lang w:val="en-US"/>
        </w:rPr>
        <w:t>Parasitology,</w:t>
      </w:r>
      <w:r w:rsidRPr="00BC5907">
        <w:rPr>
          <w:lang w:val="en-US"/>
        </w:rPr>
        <w:t xml:space="preserve"> </w:t>
      </w:r>
      <w:r w:rsidRPr="00BC5907">
        <w:rPr>
          <w:b/>
          <w:lang w:val="en-US"/>
        </w:rPr>
        <w:t>134</w:t>
      </w:r>
      <w:r w:rsidRPr="00BC5907">
        <w:rPr>
          <w:lang w:val="en-US"/>
        </w:rPr>
        <w:t>, 257–267.</w:t>
      </w:r>
    </w:p>
    <w:p w14:paraId="67B8355A" w14:textId="77777777" w:rsidR="000A62A2" w:rsidRPr="0006424E" w:rsidRDefault="000A62A2" w:rsidP="000A62A2">
      <w:pPr>
        <w:pStyle w:val="REF"/>
        <w:spacing w:after="200"/>
        <w:ind w:left="425"/>
        <w:rPr>
          <w:szCs w:val="18"/>
          <w:lang w:val="nb-NO"/>
        </w:rPr>
      </w:pPr>
      <w:r w:rsidRPr="0006424E">
        <w:rPr>
          <w:smallCaps/>
          <w:szCs w:val="18"/>
          <w:lang w:val="fi-FI"/>
        </w:rPr>
        <w:t>Rokicka M., Lumme J. &amp; Zi</w:t>
      </w:r>
      <w:r w:rsidRPr="00BC5907">
        <w:rPr>
          <w:rFonts w:cs="Arial"/>
          <w:smallCaps/>
          <w:szCs w:val="18"/>
          <w:lang w:val="en-US"/>
        </w:rPr>
        <w:t>ę</w:t>
      </w:r>
      <w:r w:rsidRPr="0006424E">
        <w:rPr>
          <w:smallCaps/>
          <w:szCs w:val="18"/>
          <w:lang w:val="fi-FI"/>
        </w:rPr>
        <w:t xml:space="preserve">tara M. </w:t>
      </w:r>
      <w:r w:rsidRPr="0006424E">
        <w:rPr>
          <w:szCs w:val="18"/>
          <w:lang w:val="fi-FI"/>
        </w:rPr>
        <w:t xml:space="preserve">(2007). </w:t>
      </w:r>
      <w:r w:rsidRPr="0006424E">
        <w:rPr>
          <w:szCs w:val="18"/>
          <w:lang w:val="en-GB"/>
        </w:rPr>
        <w:t xml:space="preserve">Identification of </w:t>
      </w:r>
      <w:r w:rsidRPr="0006424E">
        <w:rPr>
          <w:i/>
          <w:szCs w:val="18"/>
          <w:lang w:val="en-GB"/>
        </w:rPr>
        <w:t>Gyrodactylus</w:t>
      </w:r>
      <w:r w:rsidRPr="0006424E">
        <w:rPr>
          <w:szCs w:val="18"/>
          <w:lang w:val="en-GB"/>
        </w:rPr>
        <w:t xml:space="preserve"> ectoparasites in Polish salmonid farms by PCR-RFLP of the nuclear ITS segment of ribosomal DNA (Monogenea, Gyrodactylidae). </w:t>
      </w:r>
      <w:r w:rsidRPr="0006424E">
        <w:rPr>
          <w:i/>
          <w:szCs w:val="18"/>
          <w:lang w:val="nb-NO"/>
        </w:rPr>
        <w:t>Acta Parasitologica,</w:t>
      </w:r>
      <w:r w:rsidRPr="0006424E">
        <w:rPr>
          <w:szCs w:val="18"/>
          <w:lang w:val="nb-NO"/>
        </w:rPr>
        <w:t xml:space="preserve"> </w:t>
      </w:r>
      <w:r w:rsidRPr="0006424E">
        <w:rPr>
          <w:b/>
          <w:szCs w:val="18"/>
          <w:lang w:val="nb-NO"/>
        </w:rPr>
        <w:t>52</w:t>
      </w:r>
      <w:r w:rsidRPr="0006424E">
        <w:rPr>
          <w:szCs w:val="18"/>
          <w:lang w:val="nb-NO"/>
        </w:rPr>
        <w:t>, 185–195.</w:t>
      </w:r>
    </w:p>
    <w:p w14:paraId="20E3AADE" w14:textId="77777777" w:rsidR="000A62A2" w:rsidRPr="00BC5907" w:rsidRDefault="000A62A2" w:rsidP="000A62A2">
      <w:pPr>
        <w:pStyle w:val="Para3"/>
        <w:ind w:left="425"/>
        <w:rPr>
          <w:lang w:val="nb-NO"/>
        </w:rPr>
      </w:pPr>
      <w:r w:rsidRPr="00BC5907">
        <w:rPr>
          <w:smallCaps/>
          <w:lang w:val="nb-NO"/>
        </w:rPr>
        <w:t>Rusch J.C., Hansen H., Strand D.A., Markussen T., Hytterød S. &amp; Vrålstad T. (</w:t>
      </w:r>
      <w:r w:rsidRPr="00BC5907">
        <w:rPr>
          <w:lang w:val="nb-NO"/>
        </w:rPr>
        <w:t xml:space="preserve">2018). </w:t>
      </w:r>
      <w:r w:rsidRPr="002210B3">
        <w:t xml:space="preserve">Catching the fish with the worm: a case study on eDNA detection of the monogenean parasite </w:t>
      </w:r>
      <w:r w:rsidRPr="002210B3">
        <w:rPr>
          <w:i/>
          <w:iCs/>
        </w:rPr>
        <w:t>G. salaris</w:t>
      </w:r>
      <w:r w:rsidRPr="002210B3">
        <w:t xml:space="preserve"> and two of its hosts, Atlantic salmon (</w:t>
      </w:r>
      <w:r w:rsidRPr="002210B3">
        <w:rPr>
          <w:i/>
        </w:rPr>
        <w:t>Salmo salar</w:t>
      </w:r>
      <w:r w:rsidRPr="002210B3">
        <w:t>) and rainbow trout (</w:t>
      </w:r>
      <w:r w:rsidRPr="002210B3">
        <w:rPr>
          <w:i/>
        </w:rPr>
        <w:t>Oncorhynchus mykiss</w:t>
      </w:r>
      <w:r w:rsidRPr="002210B3">
        <w:t xml:space="preserve">). </w:t>
      </w:r>
      <w:r w:rsidRPr="00BC5907">
        <w:rPr>
          <w:i/>
          <w:iCs/>
          <w:lang w:val="nb-NO"/>
        </w:rPr>
        <w:t>Parasit. Vectors</w:t>
      </w:r>
      <w:r w:rsidRPr="00BC5907">
        <w:rPr>
          <w:lang w:val="nb-NO"/>
        </w:rPr>
        <w:t xml:space="preserve">, </w:t>
      </w:r>
      <w:r w:rsidRPr="00BC5907">
        <w:rPr>
          <w:b/>
          <w:bCs w:val="0"/>
          <w:lang w:val="nb-NO"/>
        </w:rPr>
        <w:t>11</w:t>
      </w:r>
      <w:r w:rsidRPr="00BC5907">
        <w:rPr>
          <w:lang w:val="nb-NO"/>
        </w:rPr>
        <w:t>, 333. doi:10.1186/s13071-018-2916-3</w:t>
      </w:r>
    </w:p>
    <w:p w14:paraId="0E94643C" w14:textId="77777777" w:rsidR="000A62A2" w:rsidRPr="00BC5907" w:rsidRDefault="000A62A2" w:rsidP="000A62A2">
      <w:pPr>
        <w:pStyle w:val="REF"/>
        <w:spacing w:after="200"/>
        <w:ind w:left="425"/>
        <w:rPr>
          <w:smallCaps/>
          <w:szCs w:val="18"/>
          <w:lang w:val="nb-NO"/>
        </w:rPr>
      </w:pPr>
      <w:r w:rsidRPr="0006424E">
        <w:rPr>
          <w:smallCaps/>
          <w:szCs w:val="18"/>
          <w:lang w:val="nb-NO"/>
        </w:rPr>
        <w:t xml:space="preserve">Salte R., Bentsen H.B., Moen T., Tripathy S., Bakke T.A., Ødegård J., Omholt S. Hansen L.P. (2010). </w:t>
      </w:r>
      <w:r w:rsidRPr="0006424E">
        <w:rPr>
          <w:szCs w:val="18"/>
          <w:lang w:val="en-GB"/>
        </w:rPr>
        <w:t xml:space="preserve">Prospects for a genetic mangement strategy to control </w:t>
      </w:r>
      <w:r w:rsidRPr="0006424E">
        <w:rPr>
          <w:i/>
          <w:szCs w:val="18"/>
          <w:lang w:val="en-GB"/>
        </w:rPr>
        <w:t>Gyrodactylus salaris</w:t>
      </w:r>
      <w:r w:rsidRPr="0006424E">
        <w:rPr>
          <w:szCs w:val="18"/>
          <w:lang w:val="en-GB"/>
        </w:rPr>
        <w:t xml:space="preserve"> infection in wild Atlantic salmon (</w:t>
      </w:r>
      <w:r w:rsidRPr="0006424E">
        <w:rPr>
          <w:i/>
          <w:szCs w:val="18"/>
          <w:lang w:val="en-GB"/>
        </w:rPr>
        <w:t>Salmo salar</w:t>
      </w:r>
      <w:r w:rsidRPr="0006424E">
        <w:rPr>
          <w:szCs w:val="18"/>
          <w:lang w:val="en-GB"/>
        </w:rPr>
        <w:t xml:space="preserve">) stocks. </w:t>
      </w:r>
      <w:r w:rsidRPr="00BC5907">
        <w:rPr>
          <w:i/>
          <w:szCs w:val="18"/>
          <w:lang w:val="nb-NO"/>
        </w:rPr>
        <w:t>Can. J. Fish. Aquat. Sci.</w:t>
      </w:r>
      <w:r w:rsidRPr="00BC5907">
        <w:rPr>
          <w:szCs w:val="18"/>
          <w:lang w:val="nb-NO"/>
        </w:rPr>
        <w:t>,</w:t>
      </w:r>
      <w:r w:rsidRPr="00BC5907">
        <w:rPr>
          <w:i/>
          <w:szCs w:val="18"/>
          <w:lang w:val="nb-NO"/>
        </w:rPr>
        <w:t xml:space="preserve"> </w:t>
      </w:r>
      <w:r w:rsidRPr="00BC5907">
        <w:rPr>
          <w:b/>
          <w:szCs w:val="18"/>
          <w:lang w:val="nb-NO"/>
        </w:rPr>
        <w:t>67</w:t>
      </w:r>
      <w:r w:rsidRPr="00BC5907">
        <w:rPr>
          <w:szCs w:val="18"/>
          <w:lang w:val="nb-NO"/>
        </w:rPr>
        <w:t xml:space="preserve">, 121–129. </w:t>
      </w:r>
    </w:p>
    <w:p w14:paraId="6DD60D96" w14:textId="77777777" w:rsidR="000A62A2" w:rsidRPr="0006424E" w:rsidRDefault="000A62A2" w:rsidP="000A62A2">
      <w:pPr>
        <w:pStyle w:val="REF"/>
        <w:spacing w:after="200"/>
        <w:ind w:left="425"/>
        <w:rPr>
          <w:szCs w:val="18"/>
          <w:lang w:val="en-GB"/>
        </w:rPr>
      </w:pPr>
      <w:r w:rsidRPr="0006424E">
        <w:rPr>
          <w:smallCaps/>
          <w:szCs w:val="18"/>
          <w:lang w:val="nb-NO"/>
        </w:rPr>
        <w:t xml:space="preserve">Shinn A.P., Hansen H., Olstad K., Bachmann L. &amp; Bakke T.A. </w:t>
      </w:r>
      <w:r w:rsidRPr="0006424E">
        <w:rPr>
          <w:szCs w:val="18"/>
          <w:lang w:val="nb-NO"/>
        </w:rPr>
        <w:t xml:space="preserve">(2004). </w:t>
      </w:r>
      <w:r w:rsidRPr="0006424E">
        <w:rPr>
          <w:szCs w:val="18"/>
          <w:lang w:val="en-GB"/>
        </w:rPr>
        <w:t xml:space="preserve">The use of morphometric characters to discriminate specimens of laboratory-reared and wild populations of </w:t>
      </w:r>
      <w:r w:rsidRPr="0006424E">
        <w:rPr>
          <w:i/>
          <w:szCs w:val="18"/>
          <w:lang w:val="en-GB"/>
        </w:rPr>
        <w:t>Gyrodactylus salaris</w:t>
      </w:r>
      <w:r w:rsidRPr="0006424E">
        <w:rPr>
          <w:szCs w:val="18"/>
          <w:lang w:val="en-GB"/>
        </w:rPr>
        <w:t xml:space="preserve"> and </w:t>
      </w:r>
      <w:r w:rsidRPr="0006424E">
        <w:rPr>
          <w:i/>
          <w:szCs w:val="18"/>
          <w:lang w:val="en-GB"/>
        </w:rPr>
        <w:t>G. thymalli</w:t>
      </w:r>
      <w:r w:rsidRPr="0006424E">
        <w:rPr>
          <w:szCs w:val="18"/>
          <w:lang w:val="en-GB"/>
        </w:rPr>
        <w:t xml:space="preserve"> (Monogenea). </w:t>
      </w:r>
      <w:r w:rsidRPr="0006424E">
        <w:rPr>
          <w:i/>
          <w:szCs w:val="18"/>
          <w:lang w:val="en-GB"/>
        </w:rPr>
        <w:t>Folia Parasitol.,</w:t>
      </w:r>
      <w:r w:rsidRPr="0006424E">
        <w:rPr>
          <w:szCs w:val="18"/>
          <w:lang w:val="en-GB"/>
        </w:rPr>
        <w:t xml:space="preserve"> </w:t>
      </w:r>
      <w:r w:rsidRPr="0006424E">
        <w:rPr>
          <w:b/>
          <w:szCs w:val="18"/>
          <w:lang w:val="en-GB"/>
        </w:rPr>
        <w:t>51</w:t>
      </w:r>
      <w:r w:rsidRPr="0006424E">
        <w:rPr>
          <w:szCs w:val="18"/>
          <w:lang w:val="en-GB"/>
        </w:rPr>
        <w:t>, 239–252.</w:t>
      </w:r>
    </w:p>
    <w:p w14:paraId="47D431BF" w14:textId="77777777" w:rsidR="000A62A2" w:rsidRPr="0006424E" w:rsidRDefault="000A62A2" w:rsidP="000A62A2">
      <w:pPr>
        <w:pStyle w:val="REF"/>
        <w:spacing w:after="200"/>
        <w:ind w:left="425"/>
        <w:rPr>
          <w:szCs w:val="18"/>
          <w:lang w:val="en-GB"/>
        </w:rPr>
      </w:pPr>
      <w:r w:rsidRPr="00BC5907">
        <w:rPr>
          <w:smallCaps/>
          <w:szCs w:val="18"/>
          <w:lang w:val="en-US"/>
        </w:rPr>
        <w:t xml:space="preserve">Soleng A. &amp; Bakke T.A. </w:t>
      </w:r>
      <w:r w:rsidRPr="00BC5907">
        <w:rPr>
          <w:szCs w:val="18"/>
          <w:lang w:val="en-US"/>
        </w:rPr>
        <w:t xml:space="preserve">(1997). </w:t>
      </w:r>
      <w:r w:rsidRPr="0006424E">
        <w:rPr>
          <w:szCs w:val="18"/>
          <w:lang w:val="en-GB"/>
        </w:rPr>
        <w:t xml:space="preserve">Salinity tolerance of </w:t>
      </w:r>
      <w:r w:rsidRPr="0006424E">
        <w:rPr>
          <w:i/>
          <w:szCs w:val="18"/>
          <w:lang w:val="en-GB"/>
        </w:rPr>
        <w:t>Gyrodactylus salaris</w:t>
      </w:r>
      <w:r w:rsidRPr="0006424E">
        <w:rPr>
          <w:szCs w:val="18"/>
          <w:lang w:val="en-GB"/>
        </w:rPr>
        <w:t xml:space="preserve"> (Platyhelminthes, Monogenea): laboratory studies. </w:t>
      </w:r>
      <w:bookmarkStart w:id="165" w:name="OLE_LINK1"/>
      <w:r w:rsidRPr="0006424E">
        <w:rPr>
          <w:i/>
          <w:szCs w:val="18"/>
          <w:lang w:val="en-GB"/>
        </w:rPr>
        <w:t>Can. J. Fish. Aquat. Sci.</w:t>
      </w:r>
      <w:r w:rsidRPr="0006424E">
        <w:rPr>
          <w:szCs w:val="18"/>
          <w:lang w:val="en-GB"/>
        </w:rPr>
        <w:t>,</w:t>
      </w:r>
      <w:r w:rsidRPr="0006424E">
        <w:rPr>
          <w:i/>
          <w:szCs w:val="18"/>
          <w:lang w:val="en-GB"/>
        </w:rPr>
        <w:t xml:space="preserve"> </w:t>
      </w:r>
      <w:r w:rsidRPr="0006424E">
        <w:rPr>
          <w:b/>
          <w:szCs w:val="18"/>
          <w:lang w:val="en-GB"/>
        </w:rPr>
        <w:t>55</w:t>
      </w:r>
      <w:r w:rsidRPr="0006424E">
        <w:rPr>
          <w:szCs w:val="18"/>
          <w:lang w:val="en-GB"/>
        </w:rPr>
        <w:t>, 1837–1845.</w:t>
      </w:r>
      <w:bookmarkEnd w:id="165"/>
    </w:p>
    <w:p w14:paraId="328548C6" w14:textId="77777777" w:rsidR="000A62A2" w:rsidRPr="0006424E" w:rsidRDefault="000A62A2" w:rsidP="000A62A2">
      <w:pPr>
        <w:pStyle w:val="REF"/>
        <w:spacing w:after="200"/>
        <w:ind w:left="425"/>
        <w:rPr>
          <w:lang w:val="en-GB"/>
        </w:rPr>
      </w:pPr>
      <w:r w:rsidRPr="00BC5907">
        <w:rPr>
          <w:smallCaps/>
          <w:lang w:val="en-US"/>
        </w:rPr>
        <w:t>Soleng A., Poleo A.B.S., Alstad N.E.W. &amp; Bakke T. A</w:t>
      </w:r>
      <w:r w:rsidRPr="00BC5907">
        <w:rPr>
          <w:lang w:val="en-US"/>
        </w:rPr>
        <w:t xml:space="preserve">. (1999). </w:t>
      </w:r>
      <w:r w:rsidRPr="0006424E">
        <w:rPr>
          <w:lang w:val="en-GB"/>
        </w:rPr>
        <w:t xml:space="preserve">Aqueous aluminium eliminates </w:t>
      </w:r>
      <w:r w:rsidRPr="0006424E">
        <w:rPr>
          <w:i/>
          <w:lang w:val="en-GB"/>
        </w:rPr>
        <w:t xml:space="preserve">Gyrodactylus salaris </w:t>
      </w:r>
      <w:r w:rsidRPr="0006424E">
        <w:rPr>
          <w:lang w:val="en-GB"/>
        </w:rPr>
        <w:t xml:space="preserve">(Platyhelminthes, Monogenea) infections in Atlantic salmon. </w:t>
      </w:r>
      <w:r w:rsidRPr="0006424E">
        <w:rPr>
          <w:i/>
          <w:lang w:val="en-GB"/>
        </w:rPr>
        <w:t>Parasitology,</w:t>
      </w:r>
      <w:r w:rsidRPr="0006424E">
        <w:rPr>
          <w:lang w:val="en-GB"/>
        </w:rPr>
        <w:t xml:space="preserve"> </w:t>
      </w:r>
      <w:r w:rsidRPr="0006424E">
        <w:rPr>
          <w:b/>
          <w:lang w:val="en-GB"/>
        </w:rPr>
        <w:t>119</w:t>
      </w:r>
      <w:r w:rsidRPr="0006424E">
        <w:rPr>
          <w:lang w:val="en-GB"/>
        </w:rPr>
        <w:t>, 19–25.</w:t>
      </w:r>
    </w:p>
    <w:p w14:paraId="3E45AC58" w14:textId="77777777" w:rsidR="000A62A2" w:rsidRPr="002210B3" w:rsidRDefault="000A62A2" w:rsidP="000A62A2">
      <w:pPr>
        <w:pStyle w:val="Para3"/>
        <w:ind w:left="425"/>
      </w:pPr>
      <w:r w:rsidRPr="00595276">
        <w:rPr>
          <w:smallCaps/>
        </w:rPr>
        <w:t>Sterud E</w:t>
      </w:r>
      <w:r>
        <w:rPr>
          <w:smallCaps/>
        </w:rPr>
        <w:t>.</w:t>
      </w:r>
      <w:r w:rsidRPr="00595276">
        <w:rPr>
          <w:smallCaps/>
        </w:rPr>
        <w:t>, Mo T</w:t>
      </w:r>
      <w:r>
        <w:rPr>
          <w:smallCaps/>
        </w:rPr>
        <w:t>.</w:t>
      </w:r>
      <w:r w:rsidRPr="00595276">
        <w:rPr>
          <w:smallCaps/>
        </w:rPr>
        <w:t>A</w:t>
      </w:r>
      <w:r>
        <w:rPr>
          <w:smallCaps/>
        </w:rPr>
        <w:t>.</w:t>
      </w:r>
      <w:r w:rsidRPr="00595276">
        <w:rPr>
          <w:smallCaps/>
        </w:rPr>
        <w:t>, Collins C</w:t>
      </w:r>
      <w:r>
        <w:rPr>
          <w:smallCaps/>
        </w:rPr>
        <w:t>.</w:t>
      </w:r>
      <w:r w:rsidRPr="00595276">
        <w:rPr>
          <w:smallCaps/>
        </w:rPr>
        <w:t xml:space="preserve"> M.</w:t>
      </w:r>
      <w:r>
        <w:rPr>
          <w:smallCaps/>
        </w:rPr>
        <w:t xml:space="preserve"> &amp;</w:t>
      </w:r>
      <w:r w:rsidRPr="00595276">
        <w:rPr>
          <w:smallCaps/>
        </w:rPr>
        <w:t xml:space="preserve"> Cunningham C</w:t>
      </w:r>
      <w:r>
        <w:rPr>
          <w:smallCaps/>
        </w:rPr>
        <w:t>.</w:t>
      </w:r>
      <w:r w:rsidRPr="00595276">
        <w:rPr>
          <w:smallCaps/>
        </w:rPr>
        <w:t>O</w:t>
      </w:r>
      <w:r>
        <w:rPr>
          <w:smallCaps/>
        </w:rPr>
        <w:t>.</w:t>
      </w:r>
      <w:r w:rsidRPr="002210B3">
        <w:t xml:space="preserve"> (2002)</w:t>
      </w:r>
      <w:r>
        <w:t>.</w:t>
      </w:r>
      <w:r w:rsidRPr="002210B3">
        <w:t xml:space="preserve"> The use of host specificity, pathogenicity, and molecular markers to differentiate between </w:t>
      </w:r>
      <w:r w:rsidRPr="002210B3">
        <w:rPr>
          <w:i/>
          <w:iCs/>
        </w:rPr>
        <w:t>G. salaris</w:t>
      </w:r>
      <w:r w:rsidRPr="002210B3">
        <w:t xml:space="preserve"> Malmberg, 1957 and </w:t>
      </w:r>
      <w:r w:rsidRPr="002210B3">
        <w:rPr>
          <w:i/>
        </w:rPr>
        <w:t>G. thymalli</w:t>
      </w:r>
      <w:r w:rsidRPr="002210B3">
        <w:t xml:space="preserve"> Žitňan, 1960 (Monogenea: Gyrodactylidae). </w:t>
      </w:r>
      <w:r w:rsidRPr="00595276">
        <w:rPr>
          <w:i/>
          <w:iCs/>
        </w:rPr>
        <w:t>Parasitology</w:t>
      </w:r>
      <w:r>
        <w:t>,</w:t>
      </w:r>
      <w:r w:rsidRPr="002210B3">
        <w:t xml:space="preserve"> </w:t>
      </w:r>
      <w:r w:rsidRPr="00595276">
        <w:rPr>
          <w:b/>
          <w:bCs w:val="0"/>
        </w:rPr>
        <w:t>124</w:t>
      </w:r>
      <w:r>
        <w:t xml:space="preserve">, </w:t>
      </w:r>
      <w:r w:rsidRPr="002210B3">
        <w:t>203</w:t>
      </w:r>
      <w:r>
        <w:t>–</w:t>
      </w:r>
      <w:r w:rsidRPr="002210B3">
        <w:t>213</w:t>
      </w:r>
      <w:r>
        <w:t>.</w:t>
      </w:r>
    </w:p>
    <w:p w14:paraId="11F192B3" w14:textId="77777777" w:rsidR="000A62A2" w:rsidRPr="002210B3" w:rsidRDefault="000A62A2" w:rsidP="000A62A2">
      <w:pPr>
        <w:pStyle w:val="Para3"/>
        <w:ind w:left="425"/>
      </w:pPr>
      <w:r w:rsidRPr="00595276">
        <w:rPr>
          <w:smallCaps/>
        </w:rPr>
        <w:t>Thrush M.A., Hill T. &amp; Taylor N.G.H.</w:t>
      </w:r>
      <w:r w:rsidRPr="002210B3">
        <w:t xml:space="preserve"> (2019)</w:t>
      </w:r>
      <w:r>
        <w:t>.</w:t>
      </w:r>
      <w:r w:rsidRPr="002210B3">
        <w:t xml:space="preserve"> Development of a non-lethal hydrogen peroxide treatment for surveillance of </w:t>
      </w:r>
      <w:r w:rsidRPr="0006424E">
        <w:rPr>
          <w:i/>
          <w:szCs w:val="18"/>
          <w:lang w:val="en-GB"/>
        </w:rPr>
        <w:t xml:space="preserve">Gyrodactylus </w:t>
      </w:r>
      <w:r w:rsidRPr="002210B3">
        <w:rPr>
          <w:i/>
          <w:iCs/>
        </w:rPr>
        <w:t>salaris</w:t>
      </w:r>
      <w:r w:rsidRPr="002210B3">
        <w:t xml:space="preserve"> on trout farms and its application to testing wild salmon populations. </w:t>
      </w:r>
      <w:r w:rsidRPr="00595276">
        <w:rPr>
          <w:i/>
          <w:iCs/>
        </w:rPr>
        <w:t>Transbound. Emerg. Dis.,</w:t>
      </w:r>
      <w:r w:rsidRPr="002210B3">
        <w:t xml:space="preserve"> doi:10.1111/tbed.13263</w:t>
      </w:r>
      <w:r>
        <w:t>.</w:t>
      </w:r>
    </w:p>
    <w:p w14:paraId="54371D14" w14:textId="77777777" w:rsidR="00CA456F" w:rsidRDefault="00CA456F">
      <w:pPr>
        <w:rPr>
          <w:rFonts w:ascii="Arial" w:hAnsi="Arial" w:cs="Arial"/>
          <w:smallCaps/>
          <w:sz w:val="18"/>
          <w:szCs w:val="18"/>
          <w:lang w:val="en-IE"/>
        </w:rPr>
      </w:pPr>
      <w:r>
        <w:rPr>
          <w:rFonts w:ascii="Arial" w:hAnsi="Arial" w:cs="Arial"/>
          <w:smallCaps/>
          <w:sz w:val="18"/>
          <w:szCs w:val="18"/>
          <w:lang w:val="en-IE"/>
        </w:rPr>
        <w:br w:type="page"/>
      </w:r>
    </w:p>
    <w:p w14:paraId="70EA9315" w14:textId="77777777" w:rsidR="00CA456F" w:rsidRPr="00CA456F" w:rsidRDefault="00CA456F" w:rsidP="00CA456F">
      <w:pPr>
        <w:pStyle w:val="Titre3"/>
        <w:spacing w:after="480"/>
        <w:rPr>
          <w:bCs/>
          <w:i w:val="0"/>
          <w:iCs/>
        </w:rPr>
      </w:pPr>
      <w:r w:rsidRPr="00CA456F">
        <w:rPr>
          <w:rFonts w:cs="Times New Roman"/>
          <w:i w:val="0"/>
          <w:szCs w:val="20"/>
          <w:u w:val="single"/>
        </w:rPr>
        <w:lastRenderedPageBreak/>
        <w:t>A</w:t>
      </w:r>
      <w:r w:rsidRPr="00CA456F">
        <w:rPr>
          <w:rFonts w:cs="Times New Roman"/>
          <w:bCs/>
          <w:i w:val="0"/>
          <w:iCs/>
          <w:szCs w:val="20"/>
          <w:u w:val="single"/>
        </w:rPr>
        <w:t>nnex 15</w:t>
      </w:r>
      <w:r w:rsidRPr="00CA456F">
        <w:rPr>
          <w:rFonts w:cs="Times New Roman"/>
          <w:bCs/>
          <w:i w:val="0"/>
          <w:iCs/>
          <w:szCs w:val="20"/>
        </w:rPr>
        <w:t xml:space="preserve"> (contd)</w:t>
      </w:r>
    </w:p>
    <w:p w14:paraId="7B9591A0" w14:textId="28F82F30" w:rsidR="000A62A2" w:rsidRPr="0006424E" w:rsidRDefault="000A62A2" w:rsidP="000A62A2">
      <w:pPr>
        <w:spacing w:after="200" w:line="240" w:lineRule="auto"/>
        <w:ind w:left="425"/>
        <w:jc w:val="both"/>
        <w:rPr>
          <w:rFonts w:ascii="Arial" w:hAnsi="Arial" w:cs="Arial"/>
          <w:sz w:val="18"/>
          <w:szCs w:val="18"/>
        </w:rPr>
      </w:pPr>
      <w:r w:rsidRPr="0006424E">
        <w:rPr>
          <w:rFonts w:ascii="Arial" w:hAnsi="Arial" w:cs="Arial"/>
          <w:smallCaps/>
          <w:sz w:val="18"/>
          <w:szCs w:val="18"/>
        </w:rPr>
        <w:t>Zi</w:t>
      </w:r>
      <w:r>
        <w:rPr>
          <w:rFonts w:ascii="Arial" w:hAnsi="Arial" w:cs="Arial"/>
          <w:smallCaps/>
          <w:sz w:val="18"/>
          <w:szCs w:val="18"/>
        </w:rPr>
        <w:t>e</w:t>
      </w:r>
      <w:r w:rsidRPr="0006424E">
        <w:rPr>
          <w:rFonts w:ascii="Arial" w:hAnsi="Arial" w:cs="Arial"/>
          <w:smallCaps/>
          <w:sz w:val="18"/>
          <w:szCs w:val="18"/>
        </w:rPr>
        <w:t xml:space="preserve">tara M.S., Rokicka, M., Stojanovski S., Skorkowski E.F. &amp; Lumme J. (2007). </w:t>
      </w:r>
      <w:r w:rsidRPr="0006424E">
        <w:rPr>
          <w:rFonts w:ascii="Arial" w:hAnsi="Arial" w:cs="Arial"/>
          <w:sz w:val="18"/>
          <w:szCs w:val="18"/>
        </w:rPr>
        <w:t xml:space="preserve">Alien mitochondrial DNA in variant clones of </w:t>
      </w:r>
      <w:r w:rsidRPr="0006424E">
        <w:rPr>
          <w:rFonts w:ascii="Arial" w:hAnsi="Arial" w:cs="Arial"/>
          <w:i/>
          <w:sz w:val="18"/>
          <w:szCs w:val="18"/>
        </w:rPr>
        <w:t>Gyrodactylus salaris</w:t>
      </w:r>
      <w:r w:rsidRPr="0006424E">
        <w:rPr>
          <w:rFonts w:ascii="Arial" w:hAnsi="Arial" w:cs="Arial"/>
          <w:sz w:val="18"/>
          <w:szCs w:val="18"/>
        </w:rPr>
        <w:t xml:space="preserve"> indicates a complex hybrid history in salmonid farms. 7th International Symposium on Fish Parasites, Viterbo, Italy. </w:t>
      </w:r>
      <w:r w:rsidRPr="0006424E">
        <w:rPr>
          <w:rFonts w:ascii="Arial" w:hAnsi="Arial" w:cs="Arial"/>
          <w:i/>
          <w:sz w:val="18"/>
          <w:szCs w:val="18"/>
        </w:rPr>
        <w:t>Parassitologia</w:t>
      </w:r>
      <w:r w:rsidRPr="0006424E">
        <w:rPr>
          <w:rFonts w:ascii="Arial" w:hAnsi="Arial" w:cs="Arial"/>
          <w:sz w:val="18"/>
          <w:szCs w:val="18"/>
        </w:rPr>
        <w:t xml:space="preserve">, </w:t>
      </w:r>
      <w:r w:rsidRPr="0006424E">
        <w:rPr>
          <w:rFonts w:ascii="Arial" w:hAnsi="Arial" w:cs="Arial"/>
          <w:b/>
          <w:sz w:val="18"/>
          <w:szCs w:val="18"/>
        </w:rPr>
        <w:t>49</w:t>
      </w:r>
      <w:r w:rsidRPr="0006424E">
        <w:rPr>
          <w:rFonts w:ascii="Arial" w:hAnsi="Arial" w:cs="Arial"/>
          <w:sz w:val="18"/>
          <w:szCs w:val="18"/>
        </w:rPr>
        <w:t>, 119.</w:t>
      </w:r>
    </w:p>
    <w:p w14:paraId="34009499" w14:textId="77777777" w:rsidR="000A62A2" w:rsidRPr="002210B3" w:rsidRDefault="000A62A2" w:rsidP="000A62A2">
      <w:pPr>
        <w:pStyle w:val="Para10"/>
        <w:jc w:val="center"/>
        <w:rPr>
          <w:rFonts w:cs="Arial"/>
        </w:rPr>
      </w:pPr>
      <w:r w:rsidRPr="002210B3">
        <w:rPr>
          <w:rFonts w:cs="Arial"/>
        </w:rPr>
        <w:t>*</w:t>
      </w:r>
      <w:r w:rsidRPr="002210B3">
        <w:rPr>
          <w:rFonts w:cs="Arial"/>
        </w:rPr>
        <w:br/>
        <w:t>*   *</w:t>
      </w:r>
    </w:p>
    <w:p w14:paraId="15517399" w14:textId="77777777" w:rsidR="000A62A2" w:rsidRPr="00390413" w:rsidRDefault="000A62A2" w:rsidP="000A62A2">
      <w:pPr>
        <w:pStyle w:val="Para10"/>
        <w:jc w:val="center"/>
        <w:rPr>
          <w:rFonts w:cs="Arial"/>
          <w:smallCaps/>
        </w:rPr>
      </w:pPr>
      <w:r w:rsidRPr="002210B3">
        <w:rPr>
          <w:rFonts w:cs="Arial"/>
          <w:b/>
          <w:bCs/>
        </w:rPr>
        <w:t xml:space="preserve">NB: </w:t>
      </w:r>
      <w:r w:rsidRPr="002210B3">
        <w:rPr>
          <w:rFonts w:cs="Arial"/>
        </w:rPr>
        <w:t xml:space="preserve">There is an OIE Reference Laboratory for infection with </w:t>
      </w:r>
      <w:r w:rsidRPr="002210B3">
        <w:rPr>
          <w:rFonts w:cs="Arial"/>
          <w:i/>
          <w:iCs/>
        </w:rPr>
        <w:t>G. salaris</w:t>
      </w:r>
      <w:r w:rsidRPr="002210B3">
        <w:rPr>
          <w:rFonts w:cs="Arial"/>
        </w:rPr>
        <w:br/>
        <w:t xml:space="preserve">(see Table at the end of this </w:t>
      </w:r>
      <w:r w:rsidRPr="002210B3">
        <w:rPr>
          <w:rFonts w:cs="Arial"/>
          <w:i/>
          <w:iCs/>
        </w:rPr>
        <w:t>Aquatic Manual</w:t>
      </w:r>
      <w:r w:rsidRPr="002210B3">
        <w:rPr>
          <w:rFonts w:cs="Arial"/>
        </w:rPr>
        <w:t xml:space="preserve"> or consult the OIE web site for the most up-to-date list:</w:t>
      </w:r>
      <w:r w:rsidRPr="002210B3">
        <w:rPr>
          <w:rFonts w:cs="Arial"/>
        </w:rPr>
        <w:br/>
      </w:r>
      <w:hyperlink r:id="rId232" w:history="1">
        <w:r w:rsidRPr="002210B3">
          <w:rPr>
            <w:rStyle w:val="Lienhypertexte"/>
            <w:rFonts w:cs="Arial"/>
          </w:rPr>
          <w:t>http://www.oie.int/en/scientific-expertise/reference-laboratories/list-of-laboratories/</w:t>
        </w:r>
      </w:hyperlink>
      <w:r w:rsidRPr="002210B3">
        <w:rPr>
          <w:rFonts w:cs="Arial"/>
        </w:rPr>
        <w:t>).</w:t>
      </w:r>
      <w:r w:rsidRPr="002210B3">
        <w:rPr>
          <w:rFonts w:cs="Arial"/>
        </w:rPr>
        <w:br/>
        <w:t xml:space="preserve">Please contact the OIE Reference Laboratories for any further information on infection with </w:t>
      </w:r>
      <w:r w:rsidRPr="002210B3">
        <w:rPr>
          <w:rFonts w:cs="Arial"/>
          <w:i/>
          <w:iCs/>
        </w:rPr>
        <w:t>G. salaris</w:t>
      </w:r>
      <w:r w:rsidRPr="002210B3">
        <w:rPr>
          <w:rFonts w:cs="Arial"/>
        </w:rPr>
        <w:t>.</w:t>
      </w:r>
      <w:r w:rsidRPr="002210B3">
        <w:rPr>
          <w:rFonts w:cs="Arial"/>
        </w:rPr>
        <w:br/>
      </w:r>
      <w:r w:rsidRPr="002210B3">
        <w:rPr>
          <w:rFonts w:cs="Arial"/>
        </w:rPr>
        <w:br/>
      </w:r>
      <w:r w:rsidRPr="002210B3">
        <w:rPr>
          <w:rFonts w:cs="Arial"/>
        </w:rPr>
        <w:br/>
      </w:r>
      <w:r w:rsidRPr="002210B3">
        <w:rPr>
          <w:rFonts w:cs="Arial"/>
        </w:rPr>
        <w:br/>
      </w:r>
      <w:r w:rsidRPr="002210B3">
        <w:rPr>
          <w:rFonts w:cs="Arial"/>
        </w:rPr>
        <w:br/>
      </w:r>
      <w:r w:rsidRPr="00390413">
        <w:rPr>
          <w:rFonts w:cs="Arial"/>
          <w:b/>
          <w:bCs/>
          <w:smallCaps/>
        </w:rPr>
        <w:t>NB:</w:t>
      </w:r>
      <w:r w:rsidRPr="00390413">
        <w:rPr>
          <w:rFonts w:cs="Arial"/>
          <w:smallCaps/>
        </w:rPr>
        <w:t xml:space="preserve"> First adopted in 1997 as Gyrodactylosis of Atlantic salmon (</w:t>
      </w:r>
      <w:r w:rsidRPr="00390413">
        <w:rPr>
          <w:rFonts w:cs="Arial"/>
          <w:i/>
          <w:iCs/>
          <w:smallCaps/>
        </w:rPr>
        <w:t>Gyrodactylus</w:t>
      </w:r>
      <w:r w:rsidRPr="00390413">
        <w:rPr>
          <w:rFonts w:cs="Arial"/>
          <w:smallCaps/>
        </w:rPr>
        <w:t xml:space="preserve"> F);</w:t>
      </w:r>
      <w:r w:rsidRPr="00390413">
        <w:rPr>
          <w:rFonts w:cs="Arial"/>
          <w:smallCaps/>
        </w:rPr>
        <w:br/>
        <w:t>Most recent updates adopted in 2018.</w:t>
      </w:r>
    </w:p>
    <w:p w14:paraId="5C08F1FD" w14:textId="77777777" w:rsidR="007757F5" w:rsidRDefault="007757F5" w:rsidP="00562F64">
      <w:pPr>
        <w:pStyle w:val="Chaptertitle"/>
        <w:rPr>
          <w:rFonts w:cs="Arial"/>
        </w:rPr>
        <w:sectPr w:rsidR="007757F5" w:rsidSect="00942CAA">
          <w:headerReference w:type="even" r:id="rId233"/>
          <w:headerReference w:type="default" r:id="rId234"/>
          <w:footerReference w:type="even" r:id="rId235"/>
          <w:footerReference w:type="default" r:id="rId236"/>
          <w:headerReference w:type="first" r:id="rId237"/>
          <w:footerReference w:type="first" r:id="rId238"/>
          <w:pgSz w:w="11906" w:h="16838" w:code="9"/>
          <w:pgMar w:top="1304" w:right="1304" w:bottom="1304" w:left="1304" w:header="567" w:footer="567" w:gutter="0"/>
          <w:cols w:space="708"/>
          <w:titlePg/>
          <w:docGrid w:linePitch="360"/>
        </w:sectPr>
      </w:pPr>
    </w:p>
    <w:p w14:paraId="05741F3C" w14:textId="4DCC6C3E" w:rsidR="00F373BA" w:rsidRPr="006A2D15" w:rsidRDefault="00F373BA" w:rsidP="006A2D15">
      <w:pPr>
        <w:pStyle w:val="Titre4"/>
        <w:spacing w:before="0" w:after="480" w:line="240" w:lineRule="auto"/>
        <w:ind w:left="720"/>
        <w:jc w:val="right"/>
        <w:rPr>
          <w:rFonts w:ascii="Times New Roman" w:hAnsi="Times New Roman" w:cs="Times New Roman"/>
          <w:bCs/>
          <w:i w:val="0"/>
          <w:iCs w:val="0"/>
          <w:color w:val="auto"/>
          <w:szCs w:val="20"/>
        </w:rPr>
      </w:pPr>
      <w:bookmarkStart w:id="166" w:name="_Annex_16"/>
      <w:bookmarkEnd w:id="166"/>
      <w:r w:rsidRPr="006A2D15">
        <w:rPr>
          <w:rFonts w:ascii="Times New Roman" w:hAnsi="Times New Roman" w:cs="Times New Roman"/>
          <w:i w:val="0"/>
          <w:color w:val="auto"/>
          <w:u w:val="single"/>
        </w:rPr>
        <w:lastRenderedPageBreak/>
        <w:t>A</w:t>
      </w:r>
      <w:r w:rsidRPr="006A2D15">
        <w:rPr>
          <w:rFonts w:ascii="Times New Roman" w:hAnsi="Times New Roman" w:cs="Times New Roman"/>
          <w:bCs/>
          <w:i w:val="0"/>
          <w:iCs w:val="0"/>
          <w:color w:val="auto"/>
          <w:szCs w:val="20"/>
          <w:u w:val="single"/>
        </w:rPr>
        <w:t>nnex 16</w:t>
      </w:r>
    </w:p>
    <w:p w14:paraId="2DF1A81B" w14:textId="7EF36F7C" w:rsidR="00562F64" w:rsidRPr="00A30D5D" w:rsidRDefault="00562F64" w:rsidP="00562F64">
      <w:pPr>
        <w:pStyle w:val="Chaptertitle"/>
        <w:rPr>
          <w:rFonts w:cs="Arial"/>
          <w:b/>
          <w:sz w:val="32"/>
          <w:szCs w:val="32"/>
          <w:lang w:val="en-IE"/>
        </w:rPr>
      </w:pPr>
      <w:r w:rsidRPr="003550B3">
        <w:rPr>
          <w:rFonts w:cs="Arial"/>
        </w:rPr>
        <w:t>CHAPTER 2.3.6.</w:t>
      </w:r>
      <w:r w:rsidRPr="003550B3">
        <w:rPr>
          <w:rFonts w:cs="Arial"/>
        </w:rPr>
        <w:br/>
      </w:r>
      <w:r w:rsidRPr="003550B3">
        <w:rPr>
          <w:rFonts w:cs="Arial"/>
        </w:rPr>
        <w:br/>
      </w:r>
      <w:r w:rsidRPr="00A30D5D">
        <w:rPr>
          <w:rFonts w:cs="Arial"/>
          <w:b/>
          <w:sz w:val="32"/>
          <w:szCs w:val="32"/>
          <w:lang w:val="en-IE"/>
        </w:rPr>
        <w:t xml:space="preserve">infection with </w:t>
      </w:r>
      <w:r>
        <w:rPr>
          <w:rFonts w:cs="Arial"/>
          <w:b/>
          <w:sz w:val="32"/>
          <w:szCs w:val="32"/>
          <w:lang w:val="en-IE"/>
        </w:rPr>
        <w:t>salmonid alphavirus</w:t>
      </w:r>
    </w:p>
    <w:p w14:paraId="2ACAE854" w14:textId="77777777" w:rsidR="00562F64" w:rsidRPr="00A175F0" w:rsidRDefault="00562F64" w:rsidP="00562F64">
      <w:pPr>
        <w:pStyle w:val="10"/>
        <w:rPr>
          <w:rFonts w:ascii="Ottawa" w:hAnsi="Ottawa"/>
          <w:sz w:val="22"/>
          <w:szCs w:val="22"/>
        </w:rPr>
      </w:pPr>
      <w:r w:rsidRPr="00A175F0">
        <w:rPr>
          <w:rFonts w:ascii="Ottawa" w:hAnsi="Ottawa"/>
          <w:sz w:val="22"/>
          <w:szCs w:val="22"/>
        </w:rPr>
        <w:t>1.</w:t>
      </w:r>
      <w:r w:rsidRPr="00A175F0">
        <w:rPr>
          <w:rFonts w:ascii="Ottawa" w:hAnsi="Ottawa"/>
          <w:sz w:val="22"/>
          <w:szCs w:val="22"/>
        </w:rPr>
        <w:tab/>
        <w:t>Scope</w:t>
      </w:r>
    </w:p>
    <w:p w14:paraId="453FB429" w14:textId="77777777" w:rsidR="00562F64" w:rsidRPr="007F35B1" w:rsidRDefault="00562F64" w:rsidP="00D10BBF">
      <w:pPr>
        <w:pStyle w:val="Para10"/>
        <w:ind w:left="284"/>
        <w:rPr>
          <w:rFonts w:cs="Arial"/>
        </w:rPr>
      </w:pPr>
      <w:r w:rsidRPr="00AA1AF1">
        <w:rPr>
          <w:rFonts w:eastAsia="Arial"/>
        </w:rPr>
        <w:t xml:space="preserve">Infection with salmonid alphavirus (SAV) means infection with any genotype of the pathogenic agent SAV, Genus </w:t>
      </w:r>
      <w:r w:rsidRPr="00AA1AF1">
        <w:rPr>
          <w:rFonts w:eastAsia="Arial"/>
          <w:i/>
        </w:rPr>
        <w:t>Alphavirus</w:t>
      </w:r>
      <w:r w:rsidRPr="00AA1AF1">
        <w:rPr>
          <w:rFonts w:eastAsia="Arial"/>
        </w:rPr>
        <w:t xml:space="preserve"> and Family </w:t>
      </w:r>
      <w:r w:rsidRPr="00AA1AF1">
        <w:rPr>
          <w:rFonts w:eastAsia="Arial"/>
          <w:i/>
        </w:rPr>
        <w:t>Togaviridae.</w:t>
      </w:r>
    </w:p>
    <w:p w14:paraId="37EF53F9" w14:textId="77777777" w:rsidR="00562F64" w:rsidRPr="00A175F0" w:rsidRDefault="00562F64" w:rsidP="00562F64">
      <w:pPr>
        <w:pStyle w:val="10"/>
        <w:rPr>
          <w:rFonts w:ascii="Ottawa" w:hAnsi="Ottawa"/>
          <w:sz w:val="22"/>
          <w:szCs w:val="22"/>
        </w:rPr>
      </w:pPr>
      <w:r w:rsidRPr="00A175F0">
        <w:rPr>
          <w:rFonts w:ascii="Ottawa" w:hAnsi="Ottawa"/>
          <w:sz w:val="22"/>
          <w:szCs w:val="22"/>
        </w:rPr>
        <w:t>2.</w:t>
      </w:r>
      <w:r w:rsidRPr="00A175F0">
        <w:rPr>
          <w:rFonts w:ascii="Ottawa" w:hAnsi="Ottawa"/>
          <w:sz w:val="22"/>
          <w:szCs w:val="22"/>
        </w:rPr>
        <w:tab/>
        <w:t>Disease information</w:t>
      </w:r>
    </w:p>
    <w:p w14:paraId="73755171" w14:textId="77777777" w:rsidR="00562F64" w:rsidRPr="00D10BBF" w:rsidRDefault="00562F64" w:rsidP="00562F64">
      <w:pPr>
        <w:pStyle w:val="11"/>
        <w:tabs>
          <w:tab w:val="left" w:pos="1418"/>
        </w:tabs>
        <w:rPr>
          <w:rFonts w:ascii="Ottawa" w:hAnsi="Ottawa"/>
          <w:sz w:val="21"/>
          <w:szCs w:val="21"/>
        </w:rPr>
      </w:pPr>
      <w:r w:rsidRPr="00D10BBF">
        <w:rPr>
          <w:rFonts w:ascii="Ottawa" w:hAnsi="Ottawa"/>
          <w:sz w:val="21"/>
          <w:szCs w:val="21"/>
        </w:rPr>
        <w:t>2.1.</w:t>
      </w:r>
      <w:r w:rsidRPr="00D10BBF">
        <w:rPr>
          <w:rFonts w:ascii="Ottawa" w:hAnsi="Ottawa"/>
          <w:sz w:val="21"/>
          <w:szCs w:val="21"/>
        </w:rPr>
        <w:tab/>
        <w:t>Agent factors</w:t>
      </w:r>
    </w:p>
    <w:p w14:paraId="76C26205" w14:textId="77777777" w:rsidR="00562F64" w:rsidRPr="007F35B1" w:rsidRDefault="00562F64" w:rsidP="00F373BA">
      <w:pPr>
        <w:pStyle w:val="111"/>
        <w:ind w:left="1276"/>
        <w:rPr>
          <w:lang w:val="en-IE"/>
        </w:rPr>
      </w:pPr>
      <w:r w:rsidRPr="007F35B1">
        <w:rPr>
          <w:lang w:val="en-IE"/>
        </w:rPr>
        <w:t>2.1.1.</w:t>
      </w:r>
      <w:r w:rsidRPr="007F35B1">
        <w:rPr>
          <w:lang w:val="en-IE"/>
        </w:rPr>
        <w:tab/>
        <w:t>Aetiological agent</w:t>
      </w:r>
    </w:p>
    <w:p w14:paraId="1A375154" w14:textId="77777777" w:rsidR="00562F64" w:rsidRPr="00C77BF3" w:rsidRDefault="00562F64" w:rsidP="00F373BA">
      <w:pPr>
        <w:pStyle w:val="Para3"/>
        <w:ind w:left="709"/>
        <w:rPr>
          <w:rFonts w:eastAsia="Arial"/>
        </w:rPr>
      </w:pPr>
      <w:r w:rsidRPr="00AA1AF1">
        <w:rPr>
          <w:rFonts w:eastAsia="Arial"/>
        </w:rPr>
        <w:t>SAV is an enveloped, spherical, single-stranded, positive-sense RNA virus, approximately 60</w:t>
      </w:r>
      <w:r>
        <w:rPr>
          <w:rFonts w:eastAsia="Arial"/>
        </w:rPr>
        <w:t>–</w:t>
      </w:r>
      <w:r w:rsidRPr="00AA1AF1">
        <w:rPr>
          <w:rFonts w:eastAsia="Arial"/>
        </w:rPr>
        <w:t>70 nm in diameter, with a genome of ~12 kb. The genome codes for eight proteins: four capsid glycoproteins (E1, E2, E3 and 6K)</w:t>
      </w:r>
      <w:r w:rsidRPr="00AA1AF1">
        <w:t xml:space="preserve"> and </w:t>
      </w:r>
      <w:r w:rsidRPr="00AA1AF1">
        <w:rPr>
          <w:rFonts w:eastAsia="Arial"/>
        </w:rPr>
        <w:t xml:space="preserve">four nonstructural proteins (nsP1–4). Glycoprotein E2 is considered to be the site of most neutralising epitopes, while E1 contains more </w:t>
      </w:r>
      <w:r w:rsidRPr="00D10BBF">
        <w:rPr>
          <w:rFonts w:eastAsia="Arial"/>
          <w:sz w:val="21"/>
          <w:szCs w:val="21"/>
        </w:rPr>
        <w:t>conserved</w:t>
      </w:r>
      <w:r w:rsidRPr="00AA1AF1">
        <w:rPr>
          <w:rFonts w:eastAsia="Arial"/>
        </w:rPr>
        <w:t xml:space="preserve">, cross-reactive </w:t>
      </w:r>
      <w:r w:rsidRPr="00C77BF3">
        <w:rPr>
          <w:rFonts w:eastAsia="Arial"/>
        </w:rPr>
        <w:t xml:space="preserve">epitopes (McLoughlin &amp; Graham, 2007). SAV is considered to belong to the Genus </w:t>
      </w:r>
      <w:r w:rsidRPr="00C77BF3">
        <w:rPr>
          <w:rFonts w:eastAsia="Arial"/>
          <w:i/>
        </w:rPr>
        <w:t>Alphavirus</w:t>
      </w:r>
      <w:r w:rsidRPr="00C77BF3">
        <w:rPr>
          <w:rFonts w:eastAsia="Arial"/>
        </w:rPr>
        <w:t xml:space="preserve"> of the Family </w:t>
      </w:r>
      <w:r w:rsidRPr="00C77BF3">
        <w:rPr>
          <w:rFonts w:eastAsia="Arial"/>
          <w:i/>
        </w:rPr>
        <w:t>Togaviridae</w:t>
      </w:r>
      <w:r w:rsidRPr="00C77BF3">
        <w:rPr>
          <w:rFonts w:eastAsia="Arial"/>
        </w:rPr>
        <w:t>. This is based on nucleotide sequence studies of SAV isolates, and is also supported by biological properties of the virus, including cross-infection and neutralisation trials. In addition, four conserved nucleotide sequence elements (CSEs) and a conserved motif (GDD), characteristic of alphaviruses, are present in the SAV genome (McLoughlin &amp; Graham, 2007).</w:t>
      </w:r>
    </w:p>
    <w:p w14:paraId="5737D290" w14:textId="77777777" w:rsidR="00562F64" w:rsidRPr="00AA1AF1" w:rsidRDefault="00562F64" w:rsidP="00F373BA">
      <w:pPr>
        <w:pStyle w:val="Para3"/>
        <w:ind w:left="709"/>
        <w:rPr>
          <w:rFonts w:eastAsia="Arial"/>
        </w:rPr>
      </w:pPr>
      <w:r w:rsidRPr="00C77BF3">
        <w:rPr>
          <w:rFonts w:eastAsia="Arial"/>
        </w:rPr>
        <w:t xml:space="preserve">SAV has been divided into six genotypes (SAV 1–SAV 6) based solely on nucleic acid sequences for the proteins E2 and nsP3 (Fringuelli </w:t>
      </w:r>
      <w:r w:rsidRPr="00C77BF3">
        <w:rPr>
          <w:rFonts w:eastAsia="Arial"/>
          <w:i/>
        </w:rPr>
        <w:t>et al.,</w:t>
      </w:r>
      <w:r w:rsidRPr="00C77BF3">
        <w:rPr>
          <w:rFonts w:eastAsia="Arial"/>
        </w:rPr>
        <w:t xml:space="preserve"> 2008). The level of antigenic variation among genotypes is considered low as monoclonal antibodies (MAbs) raised against a specific SAV genotype are likely to cross react with other SAV isolates (Graham </w:t>
      </w:r>
      <w:r w:rsidRPr="00C77BF3">
        <w:rPr>
          <w:rFonts w:eastAsia="Arial"/>
          <w:i/>
        </w:rPr>
        <w:t>et al.,</w:t>
      </w:r>
      <w:r w:rsidRPr="00C77BF3">
        <w:rPr>
          <w:rFonts w:eastAsia="Arial"/>
        </w:rPr>
        <w:t xml:space="preserve"> 2014; Jewhurst </w:t>
      </w:r>
      <w:r w:rsidRPr="00C77BF3">
        <w:rPr>
          <w:rFonts w:eastAsia="Arial"/>
          <w:i/>
        </w:rPr>
        <w:t>et al.,</w:t>
      </w:r>
      <w:r w:rsidRPr="00C77BF3">
        <w:rPr>
          <w:rFonts w:eastAsia="Arial"/>
        </w:rPr>
        <w:t xml:space="preserve"> 2004). The genotype groups by susceptible species and environment are presented in Table 2.1.</w:t>
      </w:r>
    </w:p>
    <w:p w14:paraId="1395D05B" w14:textId="77777777" w:rsidR="00562F64" w:rsidRPr="00AA1AF1" w:rsidRDefault="00562F64" w:rsidP="00F373BA">
      <w:pPr>
        <w:pStyle w:val="Para3"/>
        <w:ind w:left="709"/>
        <w:rPr>
          <w:rFonts w:cs="Arial"/>
          <w:szCs w:val="18"/>
        </w:rPr>
      </w:pPr>
      <w:r w:rsidRPr="00AA1AF1">
        <w:rPr>
          <w:rFonts w:cs="Arial"/>
          <w:szCs w:val="18"/>
        </w:rPr>
        <w:t>Infection with SAV cause</w:t>
      </w:r>
      <w:r>
        <w:rPr>
          <w:rFonts w:cs="Arial"/>
          <w:szCs w:val="18"/>
        </w:rPr>
        <w:t>s</w:t>
      </w:r>
      <w:r w:rsidRPr="00AA1AF1">
        <w:rPr>
          <w:rFonts w:cs="Arial"/>
          <w:szCs w:val="18"/>
        </w:rPr>
        <w:t xml:space="preserve"> pancreas disease (PD) or sleeping disease (SD) in Atlantic salmon (</w:t>
      </w:r>
      <w:r w:rsidRPr="00AA1AF1">
        <w:rPr>
          <w:rFonts w:cs="Arial"/>
          <w:i/>
          <w:szCs w:val="18"/>
        </w:rPr>
        <w:t>Salmo salar</w:t>
      </w:r>
      <w:r w:rsidRPr="00AA1AF1">
        <w:rPr>
          <w:rFonts w:cs="Arial"/>
          <w:szCs w:val="18"/>
        </w:rPr>
        <w:t xml:space="preserve"> L.), </w:t>
      </w:r>
      <w:r w:rsidRPr="00AA1AF1">
        <w:rPr>
          <w:lang w:val="en-US"/>
        </w:rPr>
        <w:t>common dab (</w:t>
      </w:r>
      <w:r w:rsidRPr="00AA1AF1">
        <w:rPr>
          <w:i/>
          <w:lang w:val="en-US"/>
        </w:rPr>
        <w:t>Limanda limanda</w:t>
      </w:r>
      <w:r w:rsidRPr="00AA1AF1">
        <w:rPr>
          <w:lang w:val="en-US"/>
        </w:rPr>
        <w:t xml:space="preserve">), </w:t>
      </w:r>
      <w:r w:rsidRPr="00AA1AF1">
        <w:rPr>
          <w:rFonts w:cs="Arial"/>
          <w:szCs w:val="18"/>
        </w:rPr>
        <w:t>rainbow trout (</w:t>
      </w:r>
      <w:r w:rsidRPr="00AA1AF1">
        <w:rPr>
          <w:rFonts w:cs="Arial"/>
          <w:i/>
          <w:szCs w:val="18"/>
        </w:rPr>
        <w:t>Oncorhynchus mykiss</w:t>
      </w:r>
      <w:r w:rsidRPr="00AA1AF1">
        <w:rPr>
          <w:rFonts w:cs="Arial"/>
          <w:szCs w:val="18"/>
        </w:rPr>
        <w:t xml:space="preserve">) </w:t>
      </w:r>
      <w:r>
        <w:rPr>
          <w:rFonts w:cs="Arial"/>
          <w:szCs w:val="18"/>
        </w:rPr>
        <w:t>(</w:t>
      </w:r>
      <w:r w:rsidRPr="00C77BF3">
        <w:rPr>
          <w:rFonts w:cs="Arial"/>
          <w:szCs w:val="18"/>
        </w:rPr>
        <w:t>McLoughlin &amp; Graham, 2007</w:t>
      </w:r>
      <w:r w:rsidRPr="00AA1AF1">
        <w:rPr>
          <w:rFonts w:cs="Arial"/>
          <w:szCs w:val="18"/>
        </w:rPr>
        <w:t>) and Arctic charr (</w:t>
      </w:r>
      <w:r w:rsidRPr="00AA1AF1">
        <w:rPr>
          <w:rFonts w:cs="Arial"/>
          <w:i/>
          <w:szCs w:val="18"/>
        </w:rPr>
        <w:t>Salvelinus alpinus</w:t>
      </w:r>
      <w:r w:rsidRPr="00AA1AF1">
        <w:rPr>
          <w:rFonts w:cs="Arial"/>
          <w:szCs w:val="18"/>
        </w:rPr>
        <w:t>) (</w:t>
      </w:r>
      <w:r w:rsidRPr="00A51082">
        <w:rPr>
          <w:rFonts w:cs="Arial"/>
          <w:szCs w:val="18"/>
        </w:rPr>
        <w:t xml:space="preserve">Lewisch </w:t>
      </w:r>
      <w:r w:rsidRPr="00A51082">
        <w:rPr>
          <w:rFonts w:cs="Arial"/>
          <w:i/>
          <w:szCs w:val="18"/>
        </w:rPr>
        <w:t>et al</w:t>
      </w:r>
      <w:r w:rsidRPr="00A51082">
        <w:rPr>
          <w:rFonts w:cs="Arial"/>
          <w:szCs w:val="18"/>
        </w:rPr>
        <w:t>., 2018</w:t>
      </w:r>
      <w:r w:rsidRPr="00AA1AF1">
        <w:rPr>
          <w:rFonts w:cs="Arial"/>
          <w:szCs w:val="18"/>
        </w:rPr>
        <w:t>). The disease is systemic</w:t>
      </w:r>
      <w:r>
        <w:rPr>
          <w:rFonts w:cs="Arial"/>
          <w:szCs w:val="18"/>
        </w:rPr>
        <w:t>,</w:t>
      </w:r>
      <w:r w:rsidRPr="00AA1AF1">
        <w:rPr>
          <w:rFonts w:cs="Arial"/>
          <w:szCs w:val="18"/>
        </w:rPr>
        <w:t xml:space="preserve"> characterised microscopically by necrosis and loss of exocrine pancreatic tissue, and heart and skeletal muscle</w:t>
      </w:r>
      <w:r>
        <w:rPr>
          <w:rFonts w:cs="Arial"/>
          <w:szCs w:val="18"/>
        </w:rPr>
        <w:t xml:space="preserve"> necrosis and atrophy</w:t>
      </w:r>
      <w:r w:rsidRPr="00AA1AF1">
        <w:rPr>
          <w:rFonts w:cs="Arial"/>
          <w:szCs w:val="18"/>
        </w:rPr>
        <w:t>.</w:t>
      </w:r>
    </w:p>
    <w:p w14:paraId="7566F811" w14:textId="77777777" w:rsidR="00562F64" w:rsidRPr="004878CF" w:rsidRDefault="00562F64" w:rsidP="00562F64">
      <w:pPr>
        <w:pStyle w:val="Para3"/>
        <w:ind w:left="850"/>
        <w:jc w:val="center"/>
        <w:rPr>
          <w:rFonts w:eastAsia="Arial"/>
          <w:b/>
          <w:bCs w:val="0"/>
          <w:i/>
          <w:iCs/>
          <w:strike/>
        </w:rPr>
      </w:pPr>
      <w:r w:rsidRPr="004878CF">
        <w:rPr>
          <w:rFonts w:eastAsia="Arial"/>
          <w:b/>
          <w:bCs w:val="0"/>
          <w:i/>
          <w:iCs/>
        </w:rPr>
        <w:t xml:space="preserve">Table 2.1. </w:t>
      </w:r>
      <w:r w:rsidRPr="004878CF">
        <w:rPr>
          <w:rFonts w:eastAsia="Arial"/>
          <w:i/>
          <w:iCs/>
        </w:rPr>
        <w:t xml:space="preserve">SAV genotypes by </w:t>
      </w:r>
      <w:r w:rsidRPr="002B63BE">
        <w:rPr>
          <w:rFonts w:eastAsia="Arial"/>
          <w:i/>
          <w:iCs/>
        </w:rPr>
        <w:t xml:space="preserve">susceptible host </w:t>
      </w:r>
      <w:r w:rsidRPr="004878CF">
        <w:rPr>
          <w:rFonts w:eastAsia="Arial"/>
          <w:i/>
          <w:iCs/>
        </w:rPr>
        <w:t>species and environment</w:t>
      </w:r>
    </w:p>
    <w:tbl>
      <w:tblPr>
        <w:tblW w:w="836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402"/>
        <w:gridCol w:w="2694"/>
      </w:tblGrid>
      <w:tr w:rsidR="00562F64" w:rsidRPr="00AA1AF1" w14:paraId="5CBC800A" w14:textId="77777777" w:rsidTr="00942CAA">
        <w:trPr>
          <w:trHeight w:val="448"/>
          <w:tblHeader/>
          <w:jc w:val="right"/>
        </w:trPr>
        <w:tc>
          <w:tcPr>
            <w:tcW w:w="2268" w:type="dxa"/>
            <w:shd w:val="clear" w:color="auto" w:fill="auto"/>
            <w:vAlign w:val="center"/>
          </w:tcPr>
          <w:p w14:paraId="0A47892F" w14:textId="77777777" w:rsidR="00562F64" w:rsidRPr="00AA1AF1" w:rsidRDefault="00562F64" w:rsidP="00942CAA">
            <w:pPr>
              <w:spacing w:before="120" w:after="120"/>
              <w:jc w:val="center"/>
              <w:rPr>
                <w:rFonts w:ascii="Arial" w:hAnsi="Arial" w:cs="Arial"/>
                <w:b/>
                <w:sz w:val="18"/>
                <w:szCs w:val="18"/>
              </w:rPr>
            </w:pPr>
            <w:r w:rsidRPr="00AA1AF1">
              <w:rPr>
                <w:rFonts w:ascii="Arial" w:hAnsi="Arial" w:cs="Arial"/>
                <w:b/>
                <w:sz w:val="18"/>
                <w:szCs w:val="18"/>
              </w:rPr>
              <w:t>SAV genotype</w:t>
            </w:r>
          </w:p>
        </w:tc>
        <w:tc>
          <w:tcPr>
            <w:tcW w:w="3402" w:type="dxa"/>
            <w:shd w:val="clear" w:color="auto" w:fill="auto"/>
            <w:vAlign w:val="center"/>
          </w:tcPr>
          <w:p w14:paraId="75667DDA" w14:textId="77777777" w:rsidR="00562F64" w:rsidRPr="00AA1AF1" w:rsidRDefault="00562F64" w:rsidP="00942CAA">
            <w:pPr>
              <w:spacing w:before="120" w:after="120"/>
              <w:jc w:val="center"/>
              <w:rPr>
                <w:rFonts w:ascii="Arial" w:hAnsi="Arial" w:cs="Arial"/>
                <w:b/>
                <w:strike/>
                <w:sz w:val="18"/>
                <w:szCs w:val="18"/>
              </w:rPr>
            </w:pPr>
            <w:r w:rsidRPr="00AA1AF1">
              <w:rPr>
                <w:rFonts w:ascii="Arial" w:hAnsi="Arial" w:cs="Arial"/>
                <w:b/>
                <w:sz w:val="18"/>
                <w:szCs w:val="18"/>
              </w:rPr>
              <w:t>Freshwater</w:t>
            </w:r>
          </w:p>
        </w:tc>
        <w:tc>
          <w:tcPr>
            <w:tcW w:w="2694" w:type="dxa"/>
            <w:vAlign w:val="center"/>
          </w:tcPr>
          <w:p w14:paraId="77F713B8" w14:textId="77777777" w:rsidR="00562F64" w:rsidRPr="00AA1AF1" w:rsidRDefault="00562F64" w:rsidP="00942CAA">
            <w:pPr>
              <w:spacing w:before="120" w:after="120"/>
              <w:jc w:val="center"/>
              <w:rPr>
                <w:rFonts w:ascii="Arial" w:hAnsi="Arial" w:cs="Arial"/>
                <w:b/>
                <w:sz w:val="18"/>
                <w:szCs w:val="18"/>
              </w:rPr>
            </w:pPr>
            <w:r w:rsidRPr="00AA1AF1">
              <w:rPr>
                <w:rFonts w:ascii="Arial" w:hAnsi="Arial" w:cs="Arial"/>
                <w:b/>
                <w:sz w:val="18"/>
                <w:szCs w:val="18"/>
              </w:rPr>
              <w:t>Sea water</w:t>
            </w:r>
          </w:p>
        </w:tc>
      </w:tr>
      <w:tr w:rsidR="00562F64" w:rsidRPr="00AA1AF1" w14:paraId="285E6438" w14:textId="77777777" w:rsidTr="00942CAA">
        <w:trPr>
          <w:trHeight w:val="283"/>
          <w:jc w:val="right"/>
        </w:trPr>
        <w:tc>
          <w:tcPr>
            <w:tcW w:w="2268" w:type="dxa"/>
            <w:tcBorders>
              <w:bottom w:val="single" w:sz="4" w:space="0" w:color="auto"/>
            </w:tcBorders>
            <w:shd w:val="clear" w:color="auto" w:fill="auto"/>
            <w:vAlign w:val="center"/>
          </w:tcPr>
          <w:p w14:paraId="4688E5C3" w14:textId="77777777" w:rsidR="00562F64" w:rsidRPr="00AA1AF1" w:rsidRDefault="00562F64" w:rsidP="00942CAA">
            <w:pPr>
              <w:spacing w:before="60" w:after="60"/>
              <w:jc w:val="center"/>
              <w:rPr>
                <w:rFonts w:ascii="Arial" w:eastAsia="Arial" w:hAnsi="Arial" w:cs="Arial"/>
                <w:sz w:val="16"/>
                <w:szCs w:val="16"/>
                <w:lang w:val="nb-NO"/>
              </w:rPr>
            </w:pPr>
            <w:r w:rsidRPr="00AA1AF1">
              <w:rPr>
                <w:rFonts w:ascii="Arial" w:hAnsi="Arial" w:cs="Arial"/>
                <w:position w:val="1"/>
                <w:sz w:val="16"/>
                <w:szCs w:val="16"/>
                <w:lang w:eastAsia="nb-NO"/>
              </w:rPr>
              <w:t>SAV 1</w:t>
            </w:r>
          </w:p>
        </w:tc>
        <w:tc>
          <w:tcPr>
            <w:tcW w:w="3402" w:type="dxa"/>
            <w:tcBorders>
              <w:bottom w:val="single" w:sz="4" w:space="0" w:color="auto"/>
            </w:tcBorders>
            <w:shd w:val="clear" w:color="auto" w:fill="auto"/>
            <w:vAlign w:val="center"/>
          </w:tcPr>
          <w:p w14:paraId="0CE3336C" w14:textId="77777777" w:rsidR="00562F64" w:rsidRPr="00AA1AF1" w:rsidRDefault="00562F64" w:rsidP="00942CAA">
            <w:pPr>
              <w:overflowPunct w:val="0"/>
              <w:spacing w:before="60" w:after="60"/>
              <w:jc w:val="center"/>
              <w:textAlignment w:val="baseline"/>
              <w:rPr>
                <w:rFonts w:ascii="Arial" w:eastAsia="Arial" w:hAnsi="Arial" w:cs="Arial"/>
                <w:sz w:val="16"/>
                <w:szCs w:val="16"/>
              </w:rPr>
            </w:pPr>
            <w:r w:rsidRPr="00AA1AF1">
              <w:rPr>
                <w:rFonts w:ascii="Arial" w:hAnsi="Arial" w:cs="Arial"/>
                <w:position w:val="1"/>
                <w:sz w:val="16"/>
                <w:szCs w:val="16"/>
                <w:lang w:eastAsia="nb-NO"/>
              </w:rPr>
              <w:t>Rainbow trout</w:t>
            </w:r>
          </w:p>
        </w:tc>
        <w:tc>
          <w:tcPr>
            <w:tcW w:w="2694" w:type="dxa"/>
            <w:tcBorders>
              <w:bottom w:val="single" w:sz="4" w:space="0" w:color="auto"/>
            </w:tcBorders>
            <w:vAlign w:val="center"/>
          </w:tcPr>
          <w:p w14:paraId="033877F3" w14:textId="77777777" w:rsidR="00562F64" w:rsidRPr="00AA1AF1" w:rsidRDefault="00562F64" w:rsidP="00942CAA">
            <w:pPr>
              <w:overflowPunct w:val="0"/>
              <w:spacing w:before="60" w:after="60"/>
              <w:jc w:val="center"/>
              <w:textAlignment w:val="baseline"/>
              <w:rPr>
                <w:rFonts w:ascii="Arial" w:eastAsia="Arial" w:hAnsi="Arial" w:cs="Arial"/>
                <w:sz w:val="16"/>
                <w:szCs w:val="16"/>
              </w:rPr>
            </w:pPr>
            <w:r w:rsidRPr="00AA1AF1">
              <w:rPr>
                <w:rFonts w:ascii="Arial" w:hAnsi="Arial" w:cs="Arial"/>
                <w:position w:val="1"/>
                <w:sz w:val="16"/>
                <w:szCs w:val="16"/>
                <w:lang w:eastAsia="nb-NO"/>
              </w:rPr>
              <w:t>Atlantic salmon</w:t>
            </w:r>
          </w:p>
        </w:tc>
      </w:tr>
      <w:tr w:rsidR="00562F64" w:rsidRPr="00AA1AF1" w14:paraId="50421F27" w14:textId="77777777" w:rsidTr="00942CAA">
        <w:trPr>
          <w:trHeight w:val="227"/>
          <w:jc w:val="right"/>
        </w:trPr>
        <w:tc>
          <w:tcPr>
            <w:tcW w:w="2268" w:type="dxa"/>
            <w:tcBorders>
              <w:bottom w:val="nil"/>
            </w:tcBorders>
            <w:shd w:val="clear" w:color="auto" w:fill="auto"/>
            <w:vAlign w:val="center"/>
          </w:tcPr>
          <w:p w14:paraId="48378200" w14:textId="77777777" w:rsidR="00562F64" w:rsidRPr="00AA1AF1" w:rsidRDefault="00562F64" w:rsidP="00942CAA">
            <w:pPr>
              <w:overflowPunct w:val="0"/>
              <w:spacing w:before="60" w:after="60"/>
              <w:jc w:val="center"/>
              <w:textAlignment w:val="baseline"/>
              <w:rPr>
                <w:rFonts w:ascii="Arial" w:eastAsia="Arial" w:hAnsi="Arial" w:cs="Arial"/>
                <w:sz w:val="16"/>
                <w:szCs w:val="16"/>
                <w:lang w:val="nb-NO"/>
              </w:rPr>
            </w:pPr>
            <w:r w:rsidRPr="00AA1AF1">
              <w:rPr>
                <w:rFonts w:ascii="Arial" w:hAnsi="Arial" w:cs="Arial"/>
                <w:position w:val="1"/>
                <w:sz w:val="16"/>
                <w:szCs w:val="16"/>
                <w:lang w:val="nb-NO" w:eastAsia="nb-NO"/>
              </w:rPr>
              <w:t>SAV 2</w:t>
            </w:r>
          </w:p>
        </w:tc>
        <w:tc>
          <w:tcPr>
            <w:tcW w:w="3402" w:type="dxa"/>
            <w:tcBorders>
              <w:bottom w:val="nil"/>
            </w:tcBorders>
            <w:shd w:val="clear" w:color="auto" w:fill="auto"/>
            <w:vAlign w:val="center"/>
          </w:tcPr>
          <w:p w14:paraId="148319B0" w14:textId="77777777" w:rsidR="00562F64" w:rsidRPr="00AA1AF1" w:rsidRDefault="00562F64" w:rsidP="00942CAA">
            <w:pPr>
              <w:overflowPunct w:val="0"/>
              <w:spacing w:before="60" w:after="60"/>
              <w:jc w:val="center"/>
              <w:textAlignment w:val="baseline"/>
              <w:rPr>
                <w:rFonts w:ascii="Arial" w:hAnsi="Arial" w:cs="Arial"/>
                <w:position w:val="1"/>
                <w:sz w:val="16"/>
                <w:szCs w:val="16"/>
                <w:lang w:eastAsia="nb-NO"/>
              </w:rPr>
            </w:pPr>
            <w:r w:rsidRPr="00AA1AF1">
              <w:rPr>
                <w:rFonts w:ascii="Arial" w:hAnsi="Arial" w:cs="Arial"/>
                <w:position w:val="1"/>
                <w:sz w:val="16"/>
                <w:szCs w:val="16"/>
                <w:lang w:eastAsia="nb-NO"/>
              </w:rPr>
              <w:t>Rainbow trout</w:t>
            </w:r>
            <w:r>
              <w:rPr>
                <w:rFonts w:ascii="Arial" w:hAnsi="Arial" w:cs="Arial"/>
                <w:position w:val="1"/>
                <w:sz w:val="16"/>
                <w:szCs w:val="16"/>
                <w:lang w:eastAsia="nb-NO"/>
              </w:rPr>
              <w:t xml:space="preserve">; </w:t>
            </w:r>
            <w:r w:rsidRPr="00AA1AF1">
              <w:rPr>
                <w:rFonts w:ascii="Arial" w:hAnsi="Arial" w:cs="Arial"/>
                <w:position w:val="1"/>
                <w:sz w:val="16"/>
                <w:szCs w:val="16"/>
                <w:lang w:eastAsia="nb-NO"/>
              </w:rPr>
              <w:t>Atlantic salmon</w:t>
            </w:r>
            <w:r>
              <w:rPr>
                <w:rFonts w:ascii="Arial" w:hAnsi="Arial" w:cs="Arial"/>
                <w:position w:val="1"/>
                <w:sz w:val="16"/>
                <w:szCs w:val="16"/>
                <w:lang w:eastAsia="nb-NO"/>
              </w:rPr>
              <w:t>;</w:t>
            </w:r>
            <w:r w:rsidRPr="00AA1AF1">
              <w:rPr>
                <w:rFonts w:ascii="Arial" w:hAnsi="Arial" w:cs="Arial"/>
                <w:position w:val="1"/>
                <w:sz w:val="16"/>
                <w:szCs w:val="16"/>
                <w:lang w:eastAsia="nb-NO"/>
              </w:rPr>
              <w:t xml:space="preserve"> Arctic charr</w:t>
            </w:r>
          </w:p>
        </w:tc>
        <w:tc>
          <w:tcPr>
            <w:tcW w:w="2694" w:type="dxa"/>
            <w:tcBorders>
              <w:bottom w:val="nil"/>
            </w:tcBorders>
            <w:vAlign w:val="center"/>
          </w:tcPr>
          <w:p w14:paraId="047D26B2" w14:textId="77777777" w:rsidR="00562F64" w:rsidRPr="00AA1AF1" w:rsidRDefault="00562F64" w:rsidP="00942CAA">
            <w:pPr>
              <w:overflowPunct w:val="0"/>
              <w:spacing w:before="60" w:after="60"/>
              <w:jc w:val="center"/>
              <w:textAlignment w:val="baseline"/>
              <w:rPr>
                <w:rFonts w:ascii="Arial" w:hAnsi="Arial" w:cs="Arial"/>
                <w:position w:val="1"/>
                <w:sz w:val="16"/>
                <w:szCs w:val="16"/>
                <w:lang w:eastAsia="nb-NO"/>
              </w:rPr>
            </w:pPr>
            <w:r w:rsidRPr="00AA1AF1">
              <w:rPr>
                <w:rFonts w:ascii="Arial" w:hAnsi="Arial" w:cs="Arial"/>
                <w:position w:val="1"/>
                <w:sz w:val="16"/>
                <w:szCs w:val="16"/>
                <w:lang w:eastAsia="nb-NO"/>
              </w:rPr>
              <w:t>Atlantic salmon</w:t>
            </w:r>
          </w:p>
        </w:tc>
      </w:tr>
      <w:tr w:rsidR="00562F64" w:rsidRPr="00AA1AF1" w14:paraId="4FC4344A" w14:textId="77777777" w:rsidTr="00942CAA">
        <w:trPr>
          <w:trHeight w:val="283"/>
          <w:jc w:val="right"/>
        </w:trPr>
        <w:tc>
          <w:tcPr>
            <w:tcW w:w="2268" w:type="dxa"/>
            <w:shd w:val="clear" w:color="auto" w:fill="auto"/>
            <w:vAlign w:val="center"/>
          </w:tcPr>
          <w:p w14:paraId="13B2069E" w14:textId="77777777" w:rsidR="00562F64" w:rsidRPr="00AA1AF1" w:rsidRDefault="00562F64" w:rsidP="00942CAA">
            <w:pPr>
              <w:spacing w:before="60" w:after="60"/>
              <w:jc w:val="center"/>
              <w:rPr>
                <w:rFonts w:ascii="Arial" w:eastAsia="Arial" w:hAnsi="Arial" w:cs="Arial"/>
                <w:sz w:val="16"/>
                <w:szCs w:val="16"/>
                <w:lang w:val="nb-NO"/>
              </w:rPr>
            </w:pPr>
            <w:r w:rsidRPr="00AA1AF1">
              <w:rPr>
                <w:rFonts w:ascii="Arial" w:hAnsi="Arial" w:cs="Arial"/>
                <w:position w:val="1"/>
                <w:sz w:val="16"/>
                <w:szCs w:val="16"/>
                <w:lang w:eastAsia="nb-NO"/>
              </w:rPr>
              <w:t>SAV 3</w:t>
            </w:r>
          </w:p>
        </w:tc>
        <w:tc>
          <w:tcPr>
            <w:tcW w:w="3402" w:type="dxa"/>
            <w:shd w:val="clear" w:color="auto" w:fill="auto"/>
            <w:vAlign w:val="center"/>
          </w:tcPr>
          <w:p w14:paraId="2FB4A102" w14:textId="77777777" w:rsidR="00562F64" w:rsidRPr="00AA1AF1" w:rsidRDefault="00562F64" w:rsidP="00942CAA">
            <w:pPr>
              <w:overflowPunct w:val="0"/>
              <w:spacing w:before="60" w:after="60"/>
              <w:jc w:val="center"/>
              <w:textAlignment w:val="baseline"/>
              <w:rPr>
                <w:rFonts w:ascii="Arial" w:eastAsia="Arial" w:hAnsi="Arial" w:cs="Arial"/>
                <w:strike/>
                <w:sz w:val="16"/>
                <w:szCs w:val="16"/>
              </w:rPr>
            </w:pPr>
          </w:p>
        </w:tc>
        <w:tc>
          <w:tcPr>
            <w:tcW w:w="2694" w:type="dxa"/>
            <w:vAlign w:val="center"/>
          </w:tcPr>
          <w:p w14:paraId="3F9199C0" w14:textId="77777777" w:rsidR="00562F64" w:rsidRPr="00AA1AF1" w:rsidRDefault="00562F64" w:rsidP="00942CAA">
            <w:pPr>
              <w:overflowPunct w:val="0"/>
              <w:spacing w:before="60" w:after="60"/>
              <w:jc w:val="center"/>
              <w:textAlignment w:val="baseline"/>
              <w:rPr>
                <w:rFonts w:ascii="Arial" w:eastAsia="Arial" w:hAnsi="Arial" w:cs="Arial"/>
                <w:sz w:val="16"/>
                <w:szCs w:val="16"/>
              </w:rPr>
            </w:pPr>
            <w:r w:rsidRPr="00AA1AF1">
              <w:rPr>
                <w:rFonts w:ascii="Arial" w:hAnsi="Arial" w:cs="Arial"/>
                <w:position w:val="1"/>
                <w:sz w:val="16"/>
                <w:szCs w:val="16"/>
                <w:lang w:eastAsia="nb-NO"/>
              </w:rPr>
              <w:t>Rainbow trout</w:t>
            </w:r>
            <w:r>
              <w:rPr>
                <w:rFonts w:ascii="Arial" w:hAnsi="Arial" w:cs="Arial"/>
                <w:position w:val="1"/>
                <w:sz w:val="16"/>
                <w:szCs w:val="16"/>
                <w:lang w:eastAsia="nb-NO"/>
              </w:rPr>
              <w:t xml:space="preserve">; </w:t>
            </w:r>
            <w:r w:rsidRPr="00AA1AF1">
              <w:rPr>
                <w:rFonts w:ascii="Arial" w:hAnsi="Arial" w:cs="Arial"/>
                <w:position w:val="1"/>
                <w:sz w:val="16"/>
                <w:szCs w:val="16"/>
                <w:lang w:eastAsia="nb-NO"/>
              </w:rPr>
              <w:t>Atlantic salmon</w:t>
            </w:r>
          </w:p>
        </w:tc>
      </w:tr>
      <w:tr w:rsidR="00562F64" w:rsidRPr="00AA1AF1" w14:paraId="1C88A180" w14:textId="77777777" w:rsidTr="00942CAA">
        <w:trPr>
          <w:trHeight w:val="307"/>
          <w:jc w:val="right"/>
        </w:trPr>
        <w:tc>
          <w:tcPr>
            <w:tcW w:w="2268" w:type="dxa"/>
            <w:shd w:val="clear" w:color="auto" w:fill="auto"/>
            <w:vAlign w:val="center"/>
          </w:tcPr>
          <w:p w14:paraId="3516D70C" w14:textId="77777777" w:rsidR="00562F64" w:rsidRPr="00AA1AF1" w:rsidRDefault="00562F64" w:rsidP="00942CAA">
            <w:pPr>
              <w:spacing w:before="60" w:after="60"/>
              <w:jc w:val="center"/>
              <w:rPr>
                <w:rFonts w:ascii="Arial" w:eastAsia="Arial" w:hAnsi="Arial" w:cs="Arial"/>
                <w:sz w:val="16"/>
                <w:szCs w:val="16"/>
                <w:lang w:val="nb-NO"/>
              </w:rPr>
            </w:pPr>
            <w:r w:rsidRPr="00AA1AF1">
              <w:rPr>
                <w:rFonts w:ascii="Arial" w:hAnsi="Arial" w:cs="Arial"/>
                <w:position w:val="1"/>
                <w:sz w:val="16"/>
                <w:szCs w:val="16"/>
                <w:lang w:eastAsia="nb-NO"/>
              </w:rPr>
              <w:t>SAV 4</w:t>
            </w:r>
          </w:p>
        </w:tc>
        <w:tc>
          <w:tcPr>
            <w:tcW w:w="3402" w:type="dxa"/>
            <w:shd w:val="clear" w:color="auto" w:fill="auto"/>
            <w:vAlign w:val="center"/>
          </w:tcPr>
          <w:p w14:paraId="4844AADF" w14:textId="77777777" w:rsidR="00562F64" w:rsidRPr="00AA1AF1" w:rsidRDefault="00562F64" w:rsidP="00942CAA">
            <w:pPr>
              <w:spacing w:before="60" w:after="60"/>
              <w:jc w:val="center"/>
              <w:rPr>
                <w:rFonts w:ascii="Arial" w:eastAsia="Arial" w:hAnsi="Arial" w:cs="Arial"/>
                <w:strike/>
                <w:sz w:val="16"/>
                <w:szCs w:val="16"/>
                <w:lang w:val="nb-NO"/>
              </w:rPr>
            </w:pPr>
          </w:p>
        </w:tc>
        <w:tc>
          <w:tcPr>
            <w:tcW w:w="2694" w:type="dxa"/>
            <w:vAlign w:val="center"/>
          </w:tcPr>
          <w:p w14:paraId="0D5BF9BE" w14:textId="77777777" w:rsidR="00562F64" w:rsidRPr="00AA1AF1" w:rsidRDefault="00562F64" w:rsidP="00942CAA">
            <w:pPr>
              <w:spacing w:before="60" w:after="60"/>
              <w:jc w:val="center"/>
              <w:rPr>
                <w:rFonts w:ascii="Arial" w:eastAsia="Arial" w:hAnsi="Arial" w:cs="Arial"/>
                <w:sz w:val="16"/>
                <w:szCs w:val="16"/>
                <w:lang w:val="nb-NO"/>
              </w:rPr>
            </w:pPr>
            <w:r w:rsidRPr="00AA1AF1">
              <w:rPr>
                <w:rFonts w:ascii="Arial" w:hAnsi="Arial" w:cs="Arial"/>
                <w:position w:val="1"/>
                <w:sz w:val="16"/>
                <w:szCs w:val="16"/>
                <w:lang w:eastAsia="nb-NO"/>
              </w:rPr>
              <w:t>Atlantic salmon</w:t>
            </w:r>
          </w:p>
        </w:tc>
      </w:tr>
      <w:tr w:rsidR="00562F64" w:rsidRPr="00AA1AF1" w14:paraId="54DAA832" w14:textId="77777777" w:rsidTr="00942CAA">
        <w:trPr>
          <w:trHeight w:val="269"/>
          <w:jc w:val="right"/>
        </w:trPr>
        <w:tc>
          <w:tcPr>
            <w:tcW w:w="2268" w:type="dxa"/>
            <w:shd w:val="clear" w:color="auto" w:fill="auto"/>
            <w:vAlign w:val="center"/>
          </w:tcPr>
          <w:p w14:paraId="40A87D2C" w14:textId="77777777" w:rsidR="00562F64" w:rsidRPr="00AA1AF1" w:rsidRDefault="00562F64" w:rsidP="00942CAA">
            <w:pPr>
              <w:spacing w:before="60" w:after="60"/>
              <w:jc w:val="center"/>
              <w:rPr>
                <w:rFonts w:ascii="Arial" w:eastAsia="Arial" w:hAnsi="Arial" w:cs="Arial"/>
                <w:sz w:val="16"/>
                <w:szCs w:val="16"/>
                <w:lang w:val="nb-NO"/>
              </w:rPr>
            </w:pPr>
            <w:r w:rsidRPr="00AA1AF1">
              <w:rPr>
                <w:rFonts w:ascii="Arial" w:hAnsi="Arial" w:cs="Arial"/>
                <w:position w:val="1"/>
                <w:sz w:val="16"/>
                <w:szCs w:val="16"/>
                <w:lang w:eastAsia="nb-NO"/>
              </w:rPr>
              <w:t>SAV 5</w:t>
            </w:r>
          </w:p>
        </w:tc>
        <w:tc>
          <w:tcPr>
            <w:tcW w:w="3402" w:type="dxa"/>
            <w:shd w:val="clear" w:color="auto" w:fill="auto"/>
            <w:vAlign w:val="center"/>
          </w:tcPr>
          <w:p w14:paraId="1AD6DA60" w14:textId="77777777" w:rsidR="00562F64" w:rsidRPr="00AA1AF1" w:rsidRDefault="00562F64" w:rsidP="00942CAA">
            <w:pPr>
              <w:overflowPunct w:val="0"/>
              <w:spacing w:before="60" w:after="60"/>
              <w:jc w:val="center"/>
              <w:textAlignment w:val="baseline"/>
              <w:rPr>
                <w:rFonts w:ascii="Arial" w:hAnsi="Arial" w:cs="Arial"/>
                <w:strike/>
                <w:sz w:val="16"/>
                <w:szCs w:val="16"/>
                <w:lang w:eastAsia="nb-NO"/>
              </w:rPr>
            </w:pPr>
          </w:p>
        </w:tc>
        <w:tc>
          <w:tcPr>
            <w:tcW w:w="2694" w:type="dxa"/>
            <w:vAlign w:val="center"/>
          </w:tcPr>
          <w:p w14:paraId="3F84631A" w14:textId="77777777" w:rsidR="00562F64" w:rsidRPr="00AA1AF1" w:rsidRDefault="00562F64" w:rsidP="00942CAA">
            <w:pPr>
              <w:overflowPunct w:val="0"/>
              <w:spacing w:before="60" w:after="60"/>
              <w:jc w:val="center"/>
              <w:textAlignment w:val="baseline"/>
              <w:rPr>
                <w:rFonts w:ascii="Arial" w:hAnsi="Arial" w:cs="Arial"/>
                <w:sz w:val="16"/>
                <w:szCs w:val="16"/>
                <w:lang w:eastAsia="nb-NO"/>
              </w:rPr>
            </w:pPr>
            <w:r w:rsidRPr="00AA1AF1">
              <w:rPr>
                <w:rFonts w:ascii="Arial" w:hAnsi="Arial" w:cs="Arial"/>
                <w:position w:val="1"/>
                <w:sz w:val="16"/>
                <w:szCs w:val="16"/>
                <w:lang w:eastAsia="nb-NO"/>
              </w:rPr>
              <w:t>Atlantic salmon</w:t>
            </w:r>
            <w:r>
              <w:rPr>
                <w:rFonts w:ascii="Arial" w:hAnsi="Arial" w:cs="Arial"/>
                <w:position w:val="1"/>
                <w:sz w:val="16"/>
                <w:szCs w:val="16"/>
                <w:lang w:eastAsia="nb-NO"/>
              </w:rPr>
              <w:t xml:space="preserve">; </w:t>
            </w:r>
            <w:r w:rsidRPr="00AA1AF1">
              <w:rPr>
                <w:rFonts w:ascii="Arial" w:hAnsi="Arial" w:cs="Arial"/>
                <w:position w:val="1"/>
                <w:sz w:val="16"/>
                <w:szCs w:val="16"/>
                <w:lang w:eastAsia="nb-NO"/>
              </w:rPr>
              <w:t>Common dab</w:t>
            </w:r>
          </w:p>
        </w:tc>
      </w:tr>
      <w:tr w:rsidR="00562F64" w:rsidRPr="00AA1AF1" w14:paraId="4DBC55EC" w14:textId="77777777" w:rsidTr="00942CAA">
        <w:trPr>
          <w:trHeight w:val="245"/>
          <w:jc w:val="right"/>
        </w:trPr>
        <w:tc>
          <w:tcPr>
            <w:tcW w:w="2268" w:type="dxa"/>
            <w:shd w:val="clear" w:color="auto" w:fill="auto"/>
            <w:vAlign w:val="center"/>
          </w:tcPr>
          <w:p w14:paraId="63737881" w14:textId="77777777" w:rsidR="00562F64" w:rsidRPr="00AA1AF1" w:rsidRDefault="00562F64" w:rsidP="00942CAA">
            <w:pPr>
              <w:spacing w:before="60" w:after="60"/>
              <w:jc w:val="center"/>
              <w:rPr>
                <w:rFonts w:ascii="Arial" w:eastAsia="Arial" w:hAnsi="Arial" w:cs="Arial"/>
                <w:sz w:val="16"/>
                <w:szCs w:val="16"/>
                <w:lang w:val="nb-NO"/>
              </w:rPr>
            </w:pPr>
            <w:r w:rsidRPr="00AA1AF1">
              <w:rPr>
                <w:rFonts w:ascii="Arial" w:hAnsi="Arial" w:cs="Arial"/>
                <w:position w:val="1"/>
                <w:sz w:val="16"/>
                <w:szCs w:val="16"/>
                <w:lang w:eastAsia="nb-NO"/>
              </w:rPr>
              <w:t>SAV 6</w:t>
            </w:r>
          </w:p>
        </w:tc>
        <w:tc>
          <w:tcPr>
            <w:tcW w:w="3402" w:type="dxa"/>
            <w:shd w:val="clear" w:color="auto" w:fill="auto"/>
            <w:vAlign w:val="center"/>
          </w:tcPr>
          <w:p w14:paraId="5FE2CDBE" w14:textId="77777777" w:rsidR="00562F64" w:rsidRPr="00AA1AF1" w:rsidRDefault="00562F64" w:rsidP="00942CAA">
            <w:pPr>
              <w:spacing w:before="60" w:after="60"/>
              <w:jc w:val="center"/>
              <w:rPr>
                <w:rFonts w:ascii="Arial" w:eastAsia="Arial" w:hAnsi="Arial" w:cs="Arial"/>
                <w:strike/>
                <w:sz w:val="16"/>
                <w:szCs w:val="16"/>
                <w:lang w:val="nb-NO"/>
              </w:rPr>
            </w:pPr>
          </w:p>
        </w:tc>
        <w:tc>
          <w:tcPr>
            <w:tcW w:w="2694" w:type="dxa"/>
            <w:vAlign w:val="center"/>
          </w:tcPr>
          <w:p w14:paraId="1AFBECE9" w14:textId="77777777" w:rsidR="00562F64" w:rsidRPr="00AA1AF1" w:rsidRDefault="00562F64" w:rsidP="00942CAA">
            <w:pPr>
              <w:spacing w:before="60" w:after="60"/>
              <w:jc w:val="center"/>
              <w:rPr>
                <w:rFonts w:ascii="Arial" w:eastAsia="Arial" w:hAnsi="Arial" w:cs="Arial"/>
                <w:sz w:val="16"/>
                <w:szCs w:val="16"/>
                <w:lang w:val="nb-NO"/>
              </w:rPr>
            </w:pPr>
            <w:r w:rsidRPr="00AA1AF1">
              <w:rPr>
                <w:rFonts w:ascii="Arial" w:hAnsi="Arial" w:cs="Arial"/>
                <w:position w:val="1"/>
                <w:sz w:val="16"/>
                <w:szCs w:val="16"/>
                <w:lang w:eastAsia="nb-NO"/>
              </w:rPr>
              <w:t>Atlantic salmon</w:t>
            </w:r>
          </w:p>
        </w:tc>
      </w:tr>
    </w:tbl>
    <w:p w14:paraId="4D39302D" w14:textId="77777777" w:rsidR="00562F64" w:rsidRPr="007F35B1" w:rsidRDefault="00562F64" w:rsidP="00F373BA">
      <w:pPr>
        <w:pStyle w:val="111"/>
        <w:spacing w:before="120"/>
        <w:ind w:left="1276"/>
        <w:rPr>
          <w:lang w:val="en-IE"/>
        </w:rPr>
      </w:pPr>
      <w:r w:rsidRPr="007F35B1">
        <w:rPr>
          <w:lang w:val="en-IE"/>
        </w:rPr>
        <w:t>2.1.2.</w:t>
      </w:r>
      <w:r w:rsidRPr="007F35B1">
        <w:rPr>
          <w:lang w:val="en-IE"/>
        </w:rPr>
        <w:tab/>
        <w:t xml:space="preserve">Survival and stability </w:t>
      </w:r>
      <w:r>
        <w:rPr>
          <w:lang w:val="en-IE"/>
        </w:rPr>
        <w:t>in processed or stored samples</w:t>
      </w:r>
    </w:p>
    <w:p w14:paraId="25FA0857" w14:textId="77777777" w:rsidR="00562F64" w:rsidRPr="00747200" w:rsidRDefault="00562F64" w:rsidP="00F373BA">
      <w:pPr>
        <w:pStyle w:val="Para3"/>
        <w:ind w:left="709"/>
      </w:pPr>
      <w:r w:rsidRPr="00747200">
        <w:t>There are no published scientific data specifically on the survival and stability of SAV in processed or stored samples</w:t>
      </w:r>
      <w:r>
        <w:t>. T</w:t>
      </w:r>
      <w:r w:rsidRPr="00747200">
        <w:t xml:space="preserve">he OIE Reference Laboratory </w:t>
      </w:r>
      <w:r>
        <w:t>has found</w:t>
      </w:r>
      <w:r w:rsidRPr="00747200">
        <w:t xml:space="preserve"> that SAV in serum/plasma samples and virus isolated from cell culture can be stored for many years at </w:t>
      </w:r>
      <w:r>
        <w:t>–</w:t>
      </w:r>
      <w:r w:rsidRPr="00747200">
        <w:t>80</w:t>
      </w:r>
      <w:r w:rsidRPr="00747200">
        <w:rPr>
          <w:rFonts w:cs="Arial"/>
        </w:rPr>
        <w:t>°</w:t>
      </w:r>
      <w:r w:rsidRPr="00747200">
        <w:t xml:space="preserve">C without significant decline in virus titre. This observation is consistent with research </w:t>
      </w:r>
      <w:r>
        <w:t>on</w:t>
      </w:r>
      <w:r w:rsidRPr="00747200">
        <w:t xml:space="preserve"> other alphaviruses.</w:t>
      </w:r>
    </w:p>
    <w:p w14:paraId="459F0E9D" w14:textId="0B646F5E" w:rsidR="00F373BA" w:rsidRPr="008A67C2" w:rsidRDefault="00F373BA" w:rsidP="00BE5986">
      <w:pPr>
        <w:spacing w:after="480" w:line="240" w:lineRule="auto"/>
        <w:rPr>
          <w:rFonts w:cs="Times New Roman"/>
          <w:bCs/>
          <w:iCs/>
          <w:szCs w:val="20"/>
        </w:rPr>
      </w:pPr>
      <w:r>
        <w:rPr>
          <w:lang w:val="en-IE"/>
        </w:rPr>
        <w:br w:type="page"/>
      </w:r>
      <w:r w:rsidRPr="008A67C2">
        <w:rPr>
          <w:u w:val="single"/>
        </w:rPr>
        <w:lastRenderedPageBreak/>
        <w:t>A</w:t>
      </w:r>
      <w:r w:rsidRPr="008A67C2">
        <w:rPr>
          <w:rFonts w:cs="Times New Roman"/>
          <w:bCs/>
          <w:iCs/>
          <w:szCs w:val="20"/>
          <w:u w:val="single"/>
        </w:rPr>
        <w:t>nnex 1</w:t>
      </w:r>
      <w:r>
        <w:rPr>
          <w:rFonts w:cs="Times New Roman"/>
          <w:bCs/>
          <w:iCs/>
          <w:szCs w:val="20"/>
          <w:u w:val="single"/>
        </w:rPr>
        <w:t>6</w:t>
      </w:r>
      <w:r w:rsidRPr="008A67C2">
        <w:rPr>
          <w:rFonts w:cs="Times New Roman"/>
          <w:bCs/>
          <w:iCs/>
          <w:szCs w:val="20"/>
        </w:rPr>
        <w:t xml:space="preserve"> (contd)</w:t>
      </w:r>
    </w:p>
    <w:p w14:paraId="041EAADB" w14:textId="6224C4B6" w:rsidR="00562F64" w:rsidRPr="007F35B1" w:rsidRDefault="00562F64" w:rsidP="00F373BA">
      <w:pPr>
        <w:pStyle w:val="111"/>
        <w:spacing w:before="120"/>
        <w:ind w:left="1276"/>
        <w:rPr>
          <w:lang w:val="en-IE"/>
        </w:rPr>
      </w:pPr>
      <w:r w:rsidRPr="007F35B1">
        <w:rPr>
          <w:lang w:val="en-IE"/>
        </w:rPr>
        <w:t>2.1.3.</w:t>
      </w:r>
      <w:r w:rsidRPr="007F35B1">
        <w:rPr>
          <w:lang w:val="en-IE"/>
        </w:rPr>
        <w:tab/>
        <w:t xml:space="preserve">Survival and stability outside the host </w:t>
      </w:r>
    </w:p>
    <w:p w14:paraId="278D3E58" w14:textId="77777777" w:rsidR="00562F64" w:rsidRPr="00C77BF3" w:rsidRDefault="00562F64" w:rsidP="00F373BA">
      <w:pPr>
        <w:pStyle w:val="Para3"/>
        <w:ind w:left="709"/>
        <w:rPr>
          <w:rFonts w:eastAsia="Arial"/>
        </w:rPr>
      </w:pPr>
      <w:r w:rsidRPr="00AA1AF1">
        <w:rPr>
          <w:rFonts w:eastAsia="Arial"/>
          <w:lang w:val="en-GB"/>
        </w:rPr>
        <w:t xml:space="preserve">Laboratory tests suggest that SAV would survive for extended periods in the aquatic environment. </w:t>
      </w:r>
      <w:r w:rsidRPr="00AA1AF1">
        <w:rPr>
          <w:rFonts w:eastAsia="Arial"/>
        </w:rPr>
        <w:t>In these tests, virus survival was inversely related to temperature</w:t>
      </w:r>
      <w:r w:rsidRPr="00AA1AF1">
        <w:t>.</w:t>
      </w:r>
      <w:r w:rsidRPr="00AA1AF1">
        <w:rPr>
          <w:rFonts w:eastAsia="Arial"/>
        </w:rPr>
        <w:t xml:space="preserve"> In the presence of organic matter, marked</w:t>
      </w:r>
      <w:r>
        <w:rPr>
          <w:rFonts w:eastAsia="Arial"/>
        </w:rPr>
        <w:t>ly</w:t>
      </w:r>
      <w:r w:rsidRPr="00AA1AF1">
        <w:rPr>
          <w:rFonts w:eastAsia="Arial"/>
        </w:rPr>
        <w:t xml:space="preserve"> longer survival times were observed in sea water compared with fresh water (</w:t>
      </w:r>
      <w:r w:rsidRPr="00C77BF3">
        <w:rPr>
          <w:rFonts w:eastAsia="Arial"/>
        </w:rPr>
        <w:t xml:space="preserve">Graham </w:t>
      </w:r>
      <w:r w:rsidRPr="00C77BF3">
        <w:rPr>
          <w:rFonts w:eastAsia="Arial"/>
          <w:i/>
        </w:rPr>
        <w:t>et al.,</w:t>
      </w:r>
      <w:r w:rsidRPr="00C77BF3">
        <w:rPr>
          <w:rFonts w:eastAsia="Arial"/>
        </w:rPr>
        <w:t xml:space="preserve"> 2007b). </w:t>
      </w:r>
    </w:p>
    <w:p w14:paraId="709D84F1" w14:textId="77777777" w:rsidR="00562F64" w:rsidRDefault="00562F64" w:rsidP="00F373BA">
      <w:pPr>
        <w:pStyle w:val="Para3"/>
        <w:ind w:left="709"/>
        <w:rPr>
          <w:rFonts w:cs="Arial"/>
          <w:lang w:bidi="en-US"/>
        </w:rPr>
      </w:pPr>
      <w:r w:rsidRPr="00C77BF3">
        <w:rPr>
          <w:rFonts w:eastAsia="Arial"/>
        </w:rPr>
        <w:t xml:space="preserve">The half-life of SAV in serum has been found to be inversely related to temperature, emphasising the need for rapid shipment of samples at 4°C to laboratories for virus isolation. For long-term conservation of SAV-positive samples and cultured virus, storage at –80°C is recommended (Graham </w:t>
      </w:r>
      <w:r w:rsidRPr="00C77BF3">
        <w:rPr>
          <w:rFonts w:eastAsia="Arial"/>
          <w:i/>
        </w:rPr>
        <w:t>et al.,</w:t>
      </w:r>
      <w:r w:rsidRPr="00C77BF3">
        <w:rPr>
          <w:rFonts w:eastAsia="Arial"/>
        </w:rPr>
        <w:t xml:space="preserve"> 2007b).</w:t>
      </w:r>
    </w:p>
    <w:p w14:paraId="6601FC9F" w14:textId="77777777" w:rsidR="00562F64" w:rsidRPr="00747200" w:rsidRDefault="00562F64" w:rsidP="00F373BA">
      <w:pPr>
        <w:pStyle w:val="Para3"/>
        <w:ind w:left="709"/>
        <w:rPr>
          <w:rFonts w:cs="Arial"/>
        </w:rPr>
      </w:pPr>
      <w:r w:rsidRPr="00747200">
        <w:rPr>
          <w:rFonts w:cs="Arial"/>
        </w:rPr>
        <w:t>For inactivation methods, see Section 2.4.5.</w:t>
      </w:r>
    </w:p>
    <w:p w14:paraId="75454F54" w14:textId="77777777" w:rsidR="00562F64" w:rsidRPr="00D10BBF" w:rsidRDefault="00562F64" w:rsidP="00555AD1">
      <w:pPr>
        <w:pStyle w:val="11"/>
        <w:tabs>
          <w:tab w:val="left" w:pos="1418"/>
        </w:tabs>
        <w:rPr>
          <w:rFonts w:ascii="Ottawa" w:hAnsi="Ottawa"/>
          <w:sz w:val="21"/>
          <w:szCs w:val="21"/>
        </w:rPr>
      </w:pPr>
      <w:r w:rsidRPr="00D10BBF">
        <w:rPr>
          <w:rFonts w:ascii="Ottawa" w:hAnsi="Ottawa"/>
          <w:sz w:val="21"/>
          <w:szCs w:val="21"/>
        </w:rPr>
        <w:t>2.2.</w:t>
      </w:r>
      <w:r w:rsidRPr="00D10BBF">
        <w:rPr>
          <w:rFonts w:ascii="Ottawa" w:hAnsi="Ottawa"/>
          <w:sz w:val="21"/>
          <w:szCs w:val="21"/>
        </w:rPr>
        <w:tab/>
        <w:t>Host factors</w:t>
      </w:r>
    </w:p>
    <w:p w14:paraId="7F01351C" w14:textId="77777777" w:rsidR="00562F64" w:rsidRPr="007F35B1" w:rsidRDefault="00562F64" w:rsidP="00F373BA">
      <w:pPr>
        <w:pStyle w:val="111"/>
        <w:spacing w:before="120"/>
        <w:ind w:left="1276"/>
        <w:rPr>
          <w:lang w:val="en-IE"/>
        </w:rPr>
      </w:pPr>
      <w:r w:rsidRPr="007F35B1">
        <w:rPr>
          <w:lang w:val="en-IE"/>
        </w:rPr>
        <w:t>2.2.1.</w:t>
      </w:r>
      <w:r w:rsidRPr="007F35B1">
        <w:rPr>
          <w:lang w:val="en-IE"/>
        </w:rPr>
        <w:tab/>
        <w:t xml:space="preserve">Susceptible host species </w:t>
      </w:r>
    </w:p>
    <w:p w14:paraId="6C5F6D14" w14:textId="77777777" w:rsidR="00562F64" w:rsidRPr="007F35B1" w:rsidRDefault="00562F64" w:rsidP="00F373BA">
      <w:pPr>
        <w:pStyle w:val="Para3"/>
        <w:ind w:left="709"/>
      </w:pPr>
      <w:r w:rsidRPr="00AA1AF1">
        <w:rPr>
          <w:lang w:val="en-GB"/>
        </w:rPr>
        <w:t xml:space="preserve">Species that fulfil the criteria for listing as susceptible to infection with SAV according to Chapter 1.5. of the </w:t>
      </w:r>
      <w:r w:rsidRPr="00877F0F">
        <w:rPr>
          <w:i/>
          <w:lang w:val="en-GB"/>
        </w:rPr>
        <w:t>Aquatic Animal Health Code</w:t>
      </w:r>
      <w:r w:rsidRPr="00AA1AF1">
        <w:rPr>
          <w:lang w:val="en-GB"/>
        </w:rPr>
        <w:t xml:space="preserve"> (</w:t>
      </w:r>
      <w:r w:rsidRPr="00877F0F">
        <w:rPr>
          <w:i/>
          <w:lang w:val="en-GB"/>
        </w:rPr>
        <w:t>Aquatic Code</w:t>
      </w:r>
      <w:r w:rsidRPr="00AA1AF1">
        <w:rPr>
          <w:lang w:val="en-GB"/>
        </w:rPr>
        <w:t>) include: Arctic charr (</w:t>
      </w:r>
      <w:r w:rsidRPr="00AA1AF1">
        <w:rPr>
          <w:i/>
          <w:lang w:val="en-GB"/>
        </w:rPr>
        <w:t xml:space="preserve">Salvelinus </w:t>
      </w:r>
      <w:r w:rsidRPr="00747200">
        <w:rPr>
          <w:i/>
          <w:iCs/>
          <w:lang w:val="en-GB"/>
        </w:rPr>
        <w:t>alpinus</w:t>
      </w:r>
      <w:r w:rsidRPr="00AA1AF1">
        <w:rPr>
          <w:lang w:val="en-GB"/>
        </w:rPr>
        <w:t xml:space="preserve">), </w:t>
      </w:r>
      <w:r>
        <w:rPr>
          <w:lang w:val="en-GB"/>
        </w:rPr>
        <w:t>Atlantic</w:t>
      </w:r>
      <w:r w:rsidRPr="00AA1AF1">
        <w:rPr>
          <w:lang w:val="en-US"/>
        </w:rPr>
        <w:t xml:space="preserve"> salmon (</w:t>
      </w:r>
      <w:r w:rsidRPr="00AA1AF1">
        <w:rPr>
          <w:i/>
          <w:lang w:val="en-US"/>
        </w:rPr>
        <w:t>Salmo salar</w:t>
      </w:r>
      <w:r w:rsidRPr="00AA1AF1">
        <w:rPr>
          <w:lang w:val="en-US"/>
        </w:rPr>
        <w:t>), common dab (</w:t>
      </w:r>
      <w:r w:rsidRPr="00AA1AF1">
        <w:rPr>
          <w:i/>
          <w:lang w:val="en-US"/>
        </w:rPr>
        <w:t>Limanda limanda</w:t>
      </w:r>
      <w:r w:rsidRPr="00AA1AF1">
        <w:rPr>
          <w:lang w:val="en-US"/>
        </w:rPr>
        <w:t>) and rainbow trout</w:t>
      </w:r>
      <w:r w:rsidRPr="00AA1AF1">
        <w:rPr>
          <w:i/>
          <w:lang w:val="en-US"/>
        </w:rPr>
        <w:t xml:space="preserve"> </w:t>
      </w:r>
      <w:r w:rsidRPr="00AA1AF1">
        <w:rPr>
          <w:lang w:val="en-US"/>
        </w:rPr>
        <w:t>(</w:t>
      </w:r>
      <w:r w:rsidRPr="00AA1AF1">
        <w:rPr>
          <w:i/>
          <w:lang w:val="en-US"/>
        </w:rPr>
        <w:t>Oncorhynchus mykiss</w:t>
      </w:r>
      <w:r w:rsidRPr="00AA1AF1">
        <w:rPr>
          <w:lang w:val="en-US"/>
        </w:rPr>
        <w:t>)</w:t>
      </w:r>
      <w:r>
        <w:rPr>
          <w:lang w:val="en-US"/>
        </w:rPr>
        <w:t>.</w:t>
      </w:r>
    </w:p>
    <w:p w14:paraId="23E8867D" w14:textId="77777777" w:rsidR="00562F64" w:rsidRPr="007F35B1" w:rsidRDefault="00562F64" w:rsidP="00F373BA">
      <w:pPr>
        <w:pStyle w:val="111"/>
        <w:spacing w:before="120"/>
        <w:ind w:left="1276"/>
        <w:rPr>
          <w:lang w:val="en-IE"/>
        </w:rPr>
      </w:pPr>
      <w:r w:rsidRPr="007F35B1">
        <w:rPr>
          <w:lang w:val="en-IE"/>
        </w:rPr>
        <w:t>2.2.2.</w:t>
      </w:r>
      <w:r w:rsidRPr="007F35B1">
        <w:rPr>
          <w:lang w:val="en-IE"/>
        </w:rPr>
        <w:tab/>
        <w:t>Species with incomplete evidence for susceptibility</w:t>
      </w:r>
    </w:p>
    <w:p w14:paraId="2A7C2461" w14:textId="77777777" w:rsidR="00562F64" w:rsidRPr="00AA1AF1" w:rsidRDefault="00562F64" w:rsidP="00F373BA">
      <w:pPr>
        <w:pStyle w:val="Para3"/>
        <w:ind w:left="709"/>
        <w:rPr>
          <w:lang w:val="en-GB"/>
        </w:rPr>
      </w:pPr>
      <w:r w:rsidRPr="00AA1AF1">
        <w:t xml:space="preserve">Species for which there is incomplete evidence for susceptibility according to Chapter 1.5. of the </w:t>
      </w:r>
      <w:r w:rsidRPr="00AA1AF1">
        <w:rPr>
          <w:i/>
          <w:iCs/>
        </w:rPr>
        <w:t>Aquatic Code</w:t>
      </w:r>
      <w:r w:rsidRPr="00AA1AF1">
        <w:t xml:space="preserve"> include: long rough dab (</w:t>
      </w:r>
      <w:r w:rsidRPr="00AA1AF1">
        <w:rPr>
          <w:i/>
          <w:lang w:val="en-GB"/>
        </w:rPr>
        <w:t>Hippoglossoides</w:t>
      </w:r>
      <w:r w:rsidRPr="00AA1AF1">
        <w:t xml:space="preserve"> </w:t>
      </w:r>
      <w:r w:rsidRPr="00AA1AF1">
        <w:rPr>
          <w:i/>
          <w:lang w:val="en-GB"/>
        </w:rPr>
        <w:t>platessoides</w:t>
      </w:r>
      <w:r w:rsidRPr="00AA1AF1">
        <w:rPr>
          <w:lang w:val="en-GB"/>
        </w:rPr>
        <w:t>)</w:t>
      </w:r>
      <w:r>
        <w:rPr>
          <w:lang w:val="en-GB"/>
        </w:rPr>
        <w:t>,</w:t>
      </w:r>
      <w:r w:rsidRPr="00AA1AF1">
        <w:rPr>
          <w:lang w:val="en-GB"/>
        </w:rPr>
        <w:t xml:space="preserve"> plaice (</w:t>
      </w:r>
      <w:r w:rsidRPr="00AA1AF1">
        <w:rPr>
          <w:i/>
          <w:lang w:val="en-GB"/>
        </w:rPr>
        <w:t>Pleuronectes platessa</w:t>
      </w:r>
      <w:r w:rsidRPr="00AA1AF1">
        <w:rPr>
          <w:lang w:val="en-GB"/>
        </w:rPr>
        <w:t>)</w:t>
      </w:r>
      <w:r>
        <w:rPr>
          <w:lang w:val="en-GB"/>
        </w:rPr>
        <w:t xml:space="preserve"> </w:t>
      </w:r>
      <w:r w:rsidRPr="00AA1AF1">
        <w:rPr>
          <w:lang w:val="en-GB"/>
        </w:rPr>
        <w:t>and</w:t>
      </w:r>
      <w:r w:rsidRPr="00282539">
        <w:rPr>
          <w:lang w:val="en-GB"/>
        </w:rPr>
        <w:t xml:space="preserve"> </w:t>
      </w:r>
      <w:r w:rsidRPr="00AA1AF1">
        <w:rPr>
          <w:lang w:val="en-GB"/>
        </w:rPr>
        <w:t>Ballan wrasse (</w:t>
      </w:r>
      <w:r w:rsidRPr="00AA1AF1">
        <w:rPr>
          <w:i/>
          <w:lang w:val="en-GB"/>
        </w:rPr>
        <w:t>Labrus bergylta</w:t>
      </w:r>
      <w:r w:rsidRPr="00AA1AF1">
        <w:rPr>
          <w:lang w:val="en-GB"/>
        </w:rPr>
        <w:t>)</w:t>
      </w:r>
      <w:r>
        <w:rPr>
          <w:lang w:val="en-GB"/>
        </w:rPr>
        <w:t>.</w:t>
      </w:r>
    </w:p>
    <w:p w14:paraId="778C7533" w14:textId="77777777" w:rsidR="00562F64" w:rsidRPr="007F35B1" w:rsidRDefault="00562F64" w:rsidP="00F373BA">
      <w:pPr>
        <w:pStyle w:val="Para3"/>
        <w:ind w:left="709"/>
        <w:rPr>
          <w:rFonts w:cs="Arial"/>
          <w:lang w:eastAsia="fr-FR"/>
        </w:rPr>
      </w:pPr>
      <w:r w:rsidRPr="00AA1AF1">
        <w:rPr>
          <w:lang w:val="en-GB"/>
        </w:rPr>
        <w:t xml:space="preserve">In addition, pathogen-specific positive </w:t>
      </w:r>
      <w:r>
        <w:rPr>
          <w:lang w:val="en-GB"/>
        </w:rPr>
        <w:t>polymerase chain reaction (</w:t>
      </w:r>
      <w:r w:rsidRPr="00AA1AF1">
        <w:rPr>
          <w:lang w:val="en-GB"/>
        </w:rPr>
        <w:t>PCR</w:t>
      </w:r>
      <w:r>
        <w:rPr>
          <w:lang w:val="en-GB"/>
        </w:rPr>
        <w:t>)</w:t>
      </w:r>
      <w:r w:rsidRPr="00AA1AF1">
        <w:rPr>
          <w:lang w:val="en-GB"/>
        </w:rPr>
        <w:t xml:space="preserve"> results have been reported in the following species, but an active infection has not been demonstrated: Argentine hake (</w:t>
      </w:r>
      <w:r w:rsidRPr="00AA1AF1">
        <w:rPr>
          <w:i/>
          <w:lang w:val="en-GB"/>
        </w:rPr>
        <w:t>Merluccius hubbsi</w:t>
      </w:r>
      <w:r w:rsidRPr="00AA1AF1">
        <w:rPr>
          <w:lang w:val="en-GB"/>
        </w:rPr>
        <w:t>),</w:t>
      </w:r>
      <w:r>
        <w:rPr>
          <w:lang w:val="en-GB"/>
        </w:rPr>
        <w:t xml:space="preserve"> </w:t>
      </w:r>
      <w:r w:rsidRPr="00AA1AF1">
        <w:rPr>
          <w:lang w:val="en-GB"/>
        </w:rPr>
        <w:t>brown trout (</w:t>
      </w:r>
      <w:r w:rsidRPr="00AA1AF1">
        <w:rPr>
          <w:i/>
          <w:lang w:val="en-GB"/>
        </w:rPr>
        <w:t>Salmo trutta</w:t>
      </w:r>
      <w:r w:rsidRPr="00AA1AF1">
        <w:rPr>
          <w:lang w:val="en-GB"/>
        </w:rPr>
        <w:t>), cod (</w:t>
      </w:r>
      <w:r w:rsidRPr="00AA1AF1">
        <w:rPr>
          <w:i/>
          <w:lang w:val="en-GB"/>
        </w:rPr>
        <w:t>Gadus morhua</w:t>
      </w:r>
      <w:r w:rsidRPr="00AA1AF1">
        <w:rPr>
          <w:lang w:val="en-GB"/>
        </w:rPr>
        <w:t>), European flounder (</w:t>
      </w:r>
      <w:r w:rsidRPr="00AA1AF1">
        <w:rPr>
          <w:i/>
          <w:lang w:val="en-GB"/>
        </w:rPr>
        <w:t>Platichthys flesus</w:t>
      </w:r>
      <w:r w:rsidRPr="00AA1AF1">
        <w:rPr>
          <w:lang w:val="en-GB"/>
        </w:rPr>
        <w:t>), haddock (</w:t>
      </w:r>
      <w:r w:rsidRPr="00AA1AF1">
        <w:rPr>
          <w:i/>
          <w:lang w:val="en-GB"/>
        </w:rPr>
        <w:t>Melanogrammus aeglefinus</w:t>
      </w:r>
      <w:r w:rsidRPr="00AA1AF1">
        <w:rPr>
          <w:lang w:val="en-GB"/>
        </w:rPr>
        <w:t>), herring (</w:t>
      </w:r>
      <w:r>
        <w:rPr>
          <w:i/>
          <w:lang w:val="en-GB"/>
        </w:rPr>
        <w:t>C</w:t>
      </w:r>
      <w:r w:rsidRPr="00AA1AF1">
        <w:rPr>
          <w:i/>
          <w:lang w:val="en-GB"/>
        </w:rPr>
        <w:t>lupea harengus</w:t>
      </w:r>
      <w:r w:rsidRPr="00AA1AF1">
        <w:rPr>
          <w:lang w:val="en-GB"/>
        </w:rPr>
        <w:t>), Norway pout (</w:t>
      </w:r>
      <w:r w:rsidRPr="00AA1AF1">
        <w:rPr>
          <w:i/>
          <w:lang w:val="en-GB"/>
        </w:rPr>
        <w:t>Trisopterus esmarkii)</w:t>
      </w:r>
      <w:r w:rsidRPr="00AA1AF1">
        <w:rPr>
          <w:lang w:val="en-GB"/>
        </w:rPr>
        <w:t>, saithe (</w:t>
      </w:r>
      <w:r w:rsidRPr="00AA1AF1">
        <w:rPr>
          <w:i/>
          <w:lang w:val="en-GB"/>
        </w:rPr>
        <w:t>Pollachius virens</w:t>
      </w:r>
      <w:r w:rsidRPr="00AA1AF1">
        <w:rPr>
          <w:lang w:val="en-GB"/>
        </w:rPr>
        <w:t>),</w:t>
      </w:r>
      <w:r>
        <w:rPr>
          <w:lang w:val="en-GB"/>
        </w:rPr>
        <w:t xml:space="preserve"> longhorn</w:t>
      </w:r>
      <w:r w:rsidRPr="00AA1AF1">
        <w:rPr>
          <w:lang w:val="en-GB"/>
        </w:rPr>
        <w:t xml:space="preserve"> sculpin (</w:t>
      </w:r>
      <w:r w:rsidRPr="00AA1AF1">
        <w:rPr>
          <w:i/>
          <w:lang w:val="en-GB"/>
        </w:rPr>
        <w:t>Myoxocephalus octodecemspinosus</w:t>
      </w:r>
      <w:r w:rsidRPr="00AA1AF1">
        <w:rPr>
          <w:lang w:val="en-GB"/>
        </w:rPr>
        <w:t>) and whiting (</w:t>
      </w:r>
      <w:r w:rsidRPr="00AA1AF1">
        <w:rPr>
          <w:i/>
          <w:lang w:val="en-GB"/>
        </w:rPr>
        <w:t>Merlangius merlangus</w:t>
      </w:r>
      <w:r w:rsidRPr="00AA1AF1">
        <w:rPr>
          <w:lang w:val="en-GB"/>
        </w:rPr>
        <w:t>).</w:t>
      </w:r>
    </w:p>
    <w:p w14:paraId="62792F2B" w14:textId="77777777" w:rsidR="00562F64" w:rsidRPr="00F373BA" w:rsidRDefault="00562F64" w:rsidP="00F373BA">
      <w:pPr>
        <w:pStyle w:val="111"/>
        <w:spacing w:before="120"/>
        <w:ind w:left="1276"/>
        <w:rPr>
          <w:bCs w:val="0"/>
          <w:lang w:val="en-IE"/>
        </w:rPr>
      </w:pPr>
      <w:r w:rsidRPr="00F373BA">
        <w:rPr>
          <w:bCs w:val="0"/>
          <w:lang w:val="en-IE"/>
        </w:rPr>
        <w:t>2.2.3.</w:t>
      </w:r>
      <w:r w:rsidRPr="00F373BA">
        <w:rPr>
          <w:bCs w:val="0"/>
          <w:lang w:val="en-IE"/>
        </w:rPr>
        <w:tab/>
        <w:t>Non-</w:t>
      </w:r>
      <w:r w:rsidRPr="00F373BA">
        <w:rPr>
          <w:lang w:val="en-IE"/>
        </w:rPr>
        <w:t>susceptible</w:t>
      </w:r>
      <w:r w:rsidRPr="00F373BA">
        <w:rPr>
          <w:bCs w:val="0"/>
          <w:lang w:val="en-IE"/>
        </w:rPr>
        <w:t xml:space="preserve"> species</w:t>
      </w:r>
    </w:p>
    <w:p w14:paraId="5E137862" w14:textId="77777777" w:rsidR="00562F64" w:rsidRPr="00876AAA" w:rsidRDefault="00562F64" w:rsidP="00F373BA">
      <w:pPr>
        <w:pStyle w:val="Para3"/>
        <w:ind w:left="709"/>
        <w:rPr>
          <w:rFonts w:cs="Arial"/>
          <w:iCs/>
          <w:u w:val="single"/>
        </w:rPr>
      </w:pPr>
      <w:r w:rsidRPr="00747200">
        <w:rPr>
          <w:rFonts w:cs="Arial"/>
          <w:iCs/>
        </w:rPr>
        <w:t xml:space="preserve">Species </w:t>
      </w:r>
      <w:r w:rsidRPr="00747200">
        <w:rPr>
          <w:rFonts w:cs="Arial"/>
          <w:bCs w:val="0"/>
          <w:iCs/>
        </w:rPr>
        <w:t>that have been found non-s</w:t>
      </w:r>
      <w:r w:rsidRPr="00747200">
        <w:rPr>
          <w:rFonts w:cs="Arial"/>
          <w:iCs/>
        </w:rPr>
        <w:t>usceptib</w:t>
      </w:r>
      <w:r w:rsidRPr="00747200">
        <w:rPr>
          <w:rFonts w:cs="Arial"/>
          <w:bCs w:val="0"/>
          <w:iCs/>
        </w:rPr>
        <w:t xml:space="preserve">le to infection with SVCV </w:t>
      </w:r>
      <w:r w:rsidRPr="00747200">
        <w:rPr>
          <w:rFonts w:cs="Arial"/>
        </w:rPr>
        <w:t xml:space="preserve">according to Chapter 1.5. of the </w:t>
      </w:r>
      <w:r w:rsidRPr="00747200">
        <w:rPr>
          <w:rFonts w:cs="Arial"/>
          <w:i/>
          <w:iCs/>
        </w:rPr>
        <w:t>Aquatic Code</w:t>
      </w:r>
      <w:r w:rsidRPr="00747200">
        <w:rPr>
          <w:rFonts w:cs="Arial"/>
          <w:iCs/>
        </w:rPr>
        <w:t xml:space="preserve"> are: No species are listed as non-susceptible</w:t>
      </w:r>
      <w:r w:rsidRPr="00876AAA">
        <w:rPr>
          <w:rFonts w:cs="Arial"/>
          <w:iCs/>
        </w:rPr>
        <w:t>.</w:t>
      </w:r>
    </w:p>
    <w:p w14:paraId="2BFE39CB" w14:textId="77777777" w:rsidR="00562F64" w:rsidRPr="007F35B1" w:rsidRDefault="00562F64" w:rsidP="00F373BA">
      <w:pPr>
        <w:pStyle w:val="111"/>
        <w:spacing w:before="120"/>
        <w:ind w:left="1276"/>
        <w:rPr>
          <w:lang w:val="en-IE"/>
        </w:rPr>
      </w:pPr>
      <w:r w:rsidRPr="007F35B1">
        <w:rPr>
          <w:lang w:val="en-IE"/>
        </w:rPr>
        <w:t>2.2.</w:t>
      </w:r>
      <w:r>
        <w:rPr>
          <w:lang w:val="en-IE"/>
        </w:rPr>
        <w:t>4</w:t>
      </w:r>
      <w:r w:rsidRPr="007F35B1">
        <w:rPr>
          <w:lang w:val="en-IE"/>
        </w:rPr>
        <w:t>.</w:t>
      </w:r>
      <w:r w:rsidRPr="007F35B1">
        <w:rPr>
          <w:lang w:val="en-IE"/>
        </w:rPr>
        <w:tab/>
        <w:t xml:space="preserve">Likelihood of infection </w:t>
      </w:r>
      <w:r>
        <w:rPr>
          <w:lang w:val="en-IE"/>
        </w:rPr>
        <w:t>by</w:t>
      </w:r>
      <w:r w:rsidRPr="007F35B1">
        <w:rPr>
          <w:lang w:val="en-IE"/>
        </w:rPr>
        <w:t xml:space="preserve"> species, host life stage</w:t>
      </w:r>
      <w:r>
        <w:rPr>
          <w:lang w:val="en-IE"/>
        </w:rPr>
        <w:t>, population or</w:t>
      </w:r>
      <w:r w:rsidRPr="007F35B1">
        <w:rPr>
          <w:lang w:val="en-IE"/>
        </w:rPr>
        <w:t xml:space="preserve"> sub-populations</w:t>
      </w:r>
      <w:r>
        <w:rPr>
          <w:lang w:val="en-IE"/>
        </w:rPr>
        <w:t xml:space="preserve"> </w:t>
      </w:r>
    </w:p>
    <w:p w14:paraId="52FBF3B1" w14:textId="77777777" w:rsidR="00562F64" w:rsidRPr="00587755" w:rsidRDefault="00562F64" w:rsidP="00F373BA">
      <w:pPr>
        <w:pStyle w:val="Para3"/>
        <w:ind w:left="709"/>
      </w:pPr>
      <w:r w:rsidRPr="00747200">
        <w:rPr>
          <w:rFonts w:cs="Arial"/>
        </w:rPr>
        <w:t xml:space="preserve">Farmed Atlantic salmon and rainbow trout are the species with the highest likelihood of infection with SAV. Experimental studies have demonstrated that all life stages are </w:t>
      </w:r>
      <w:r>
        <w:rPr>
          <w:rFonts w:cs="Arial"/>
        </w:rPr>
        <w:t>susceptible</w:t>
      </w:r>
      <w:r w:rsidRPr="00747200">
        <w:rPr>
          <w:rFonts w:cs="Arial"/>
        </w:rPr>
        <w:t xml:space="preserve"> to infection </w:t>
      </w:r>
      <w:r w:rsidRPr="00EE1DD2">
        <w:rPr>
          <w:rFonts w:cs="Arial"/>
        </w:rPr>
        <w:t>(</w:t>
      </w:r>
      <w:r w:rsidRPr="00A51082">
        <w:rPr>
          <w:rFonts w:cs="Arial"/>
        </w:rPr>
        <w:t>Taksdal &amp; Sindre, 2016</w:t>
      </w:r>
      <w:r w:rsidRPr="00747200">
        <w:rPr>
          <w:rFonts w:cs="Arial"/>
        </w:rPr>
        <w:t>).</w:t>
      </w:r>
      <w:r w:rsidRPr="00587755">
        <w:t xml:space="preserve"> </w:t>
      </w:r>
      <w:r>
        <w:t>SAV 1–SAV 6 have been detected in Atlantic salmon. SAV 2 and SAV 3 have been detected in rainbow trout.</w:t>
      </w:r>
    </w:p>
    <w:p w14:paraId="26C0AA10" w14:textId="77777777" w:rsidR="00562F64" w:rsidRPr="007F35B1" w:rsidRDefault="00562F64" w:rsidP="00F373BA">
      <w:pPr>
        <w:pStyle w:val="111"/>
        <w:spacing w:before="120"/>
        <w:ind w:left="1276"/>
        <w:rPr>
          <w:lang w:val="en-IE"/>
        </w:rPr>
      </w:pPr>
      <w:r w:rsidRPr="007F35B1">
        <w:rPr>
          <w:lang w:val="en-IE"/>
        </w:rPr>
        <w:t>2.2.</w:t>
      </w:r>
      <w:r>
        <w:rPr>
          <w:lang w:val="en-IE"/>
        </w:rPr>
        <w:t>5</w:t>
      </w:r>
      <w:r w:rsidRPr="007F35B1">
        <w:rPr>
          <w:lang w:val="en-IE"/>
        </w:rPr>
        <w:t>.</w:t>
      </w:r>
      <w:r w:rsidRPr="007F35B1">
        <w:rPr>
          <w:lang w:val="en-IE"/>
        </w:rPr>
        <w:tab/>
      </w:r>
      <w:r w:rsidRPr="00F373BA">
        <w:rPr>
          <w:bCs w:val="0"/>
          <w:lang w:val="en-IE"/>
        </w:rPr>
        <w:t>Distribution</w:t>
      </w:r>
      <w:r w:rsidRPr="007F35B1">
        <w:rPr>
          <w:lang w:val="en-IE"/>
        </w:rPr>
        <w:t xml:space="preserve"> of the pathogen in the host</w:t>
      </w:r>
    </w:p>
    <w:p w14:paraId="4848FCB5" w14:textId="77777777" w:rsidR="00562F64" w:rsidRPr="00747200" w:rsidRDefault="00562F64" w:rsidP="00F373BA">
      <w:pPr>
        <w:pStyle w:val="Para3"/>
        <w:ind w:left="709"/>
        <w:rPr>
          <w:rFonts w:cs="Arial"/>
          <w:lang w:eastAsia="fr-FR"/>
        </w:rPr>
      </w:pPr>
      <w:r w:rsidRPr="00747200">
        <w:rPr>
          <w:rFonts w:cs="Arial"/>
        </w:rPr>
        <w:t>The heart and the pancreas are main target organs</w:t>
      </w:r>
      <w:r>
        <w:rPr>
          <w:rFonts w:cs="Arial"/>
        </w:rPr>
        <w:t xml:space="preserve"> for infection with SAV</w:t>
      </w:r>
      <w:r w:rsidRPr="00747200">
        <w:rPr>
          <w:rFonts w:cs="Arial"/>
        </w:rPr>
        <w:t xml:space="preserve">. Necrosis and loss of exocrine pancreatic tissue, myocarditis and skeletal myositis are typical histopathological findings. During the viraemic stage, substantial amounts of virus </w:t>
      </w:r>
      <w:r>
        <w:rPr>
          <w:rFonts w:cs="Arial"/>
        </w:rPr>
        <w:t>are</w:t>
      </w:r>
      <w:r w:rsidRPr="00747200">
        <w:rPr>
          <w:rFonts w:cs="Arial"/>
        </w:rPr>
        <w:t xml:space="preserve"> also found in serum, and during the infection virus can also be found in kidney, spleen, gills, mucous and </w:t>
      </w:r>
      <w:r w:rsidRPr="00857209">
        <w:rPr>
          <w:rFonts w:cs="Arial"/>
        </w:rPr>
        <w:t>faeces (</w:t>
      </w:r>
      <w:r w:rsidRPr="00A51082">
        <w:rPr>
          <w:rFonts w:cs="Arial"/>
        </w:rPr>
        <w:t>Taksdal &amp; Sindre, 2016</w:t>
      </w:r>
      <w:r w:rsidRPr="00857209">
        <w:rPr>
          <w:rFonts w:cs="Arial"/>
        </w:rPr>
        <w:t>).</w:t>
      </w:r>
    </w:p>
    <w:p w14:paraId="33137DE0" w14:textId="77777777" w:rsidR="00562F64" w:rsidRPr="007F35B1" w:rsidRDefault="00562F64" w:rsidP="00F373BA">
      <w:pPr>
        <w:pStyle w:val="111"/>
        <w:spacing w:before="120"/>
        <w:ind w:left="1276"/>
        <w:rPr>
          <w:lang w:val="en-IE"/>
        </w:rPr>
      </w:pPr>
      <w:r w:rsidRPr="007F35B1">
        <w:rPr>
          <w:lang w:val="en-IE"/>
        </w:rPr>
        <w:t>2.2.</w:t>
      </w:r>
      <w:r>
        <w:rPr>
          <w:lang w:val="en-IE"/>
        </w:rPr>
        <w:t>6</w:t>
      </w:r>
      <w:r w:rsidRPr="007F35B1">
        <w:rPr>
          <w:lang w:val="en-IE"/>
        </w:rPr>
        <w:t>.</w:t>
      </w:r>
      <w:r w:rsidRPr="007F35B1">
        <w:rPr>
          <w:lang w:val="en-IE"/>
        </w:rPr>
        <w:tab/>
      </w:r>
      <w:r>
        <w:rPr>
          <w:lang w:val="en-IE"/>
        </w:rPr>
        <w:t xml:space="preserve">Aquatic </w:t>
      </w:r>
      <w:r w:rsidRPr="00F373BA">
        <w:rPr>
          <w:bCs w:val="0"/>
          <w:lang w:val="en-IE"/>
        </w:rPr>
        <w:t>animal</w:t>
      </w:r>
      <w:r>
        <w:rPr>
          <w:lang w:val="en-IE"/>
        </w:rPr>
        <w:t xml:space="preserve"> r</w:t>
      </w:r>
      <w:r w:rsidRPr="007F35B1">
        <w:rPr>
          <w:lang w:val="en-IE"/>
        </w:rPr>
        <w:t xml:space="preserve">eservoirs of infection </w:t>
      </w:r>
    </w:p>
    <w:p w14:paraId="0DD0D737" w14:textId="77777777" w:rsidR="00562F64" w:rsidRPr="00747200" w:rsidRDefault="00562F64" w:rsidP="00F373BA">
      <w:pPr>
        <w:pStyle w:val="Para3"/>
        <w:ind w:left="709"/>
        <w:rPr>
          <w:u w:val="single"/>
        </w:rPr>
      </w:pPr>
      <w:r w:rsidRPr="004916C4">
        <w:rPr>
          <w:rFonts w:cs="Arial"/>
          <w:szCs w:val="18"/>
          <w:lang w:val="en-GB"/>
        </w:rPr>
        <w:t>There is evidence that s</w:t>
      </w:r>
      <w:r w:rsidRPr="007B1F82">
        <w:rPr>
          <w:rFonts w:cs="Arial"/>
          <w:szCs w:val="18"/>
          <w:lang w:val="en-GB"/>
        </w:rPr>
        <w:t>ome survivors of outbreaks will become long-term carriers of the virus</w:t>
      </w:r>
      <w:r w:rsidRPr="00587755">
        <w:rPr>
          <w:rFonts w:cs="Arial"/>
          <w:szCs w:val="18"/>
          <w:lang w:val="en-GB"/>
        </w:rPr>
        <w:t xml:space="preserve"> </w:t>
      </w:r>
      <w:r w:rsidRPr="00A51082">
        <w:rPr>
          <w:rFonts w:cs="Arial"/>
          <w:szCs w:val="18"/>
          <w:lang w:val="en-GB"/>
        </w:rPr>
        <w:t xml:space="preserve">(Graham </w:t>
      </w:r>
      <w:r w:rsidRPr="00A51082">
        <w:rPr>
          <w:rFonts w:cs="Arial"/>
          <w:i/>
          <w:iCs/>
          <w:szCs w:val="18"/>
          <w:lang w:val="en-GB"/>
        </w:rPr>
        <w:t>et al</w:t>
      </w:r>
      <w:r w:rsidRPr="00A51082">
        <w:rPr>
          <w:rFonts w:cs="Arial"/>
          <w:szCs w:val="18"/>
          <w:lang w:val="en-GB"/>
        </w:rPr>
        <w:t>., 2009</w:t>
      </w:r>
      <w:r w:rsidRPr="00587755">
        <w:rPr>
          <w:rFonts w:cs="Arial"/>
          <w:szCs w:val="18"/>
          <w:lang w:val="en-GB"/>
        </w:rPr>
        <w:t xml:space="preserve">) and thus </w:t>
      </w:r>
      <w:r w:rsidRPr="00747200">
        <w:rPr>
          <w:rFonts w:cs="Arial"/>
        </w:rPr>
        <w:t>farmed Atlantic salmon and rainbow trout can be considered the main reservoir of SAV (</w:t>
      </w:r>
      <w:r w:rsidRPr="00A51082">
        <w:rPr>
          <w:rFonts w:cs="Arial"/>
        </w:rPr>
        <w:t>Taksdal &amp; Sindre, 2016</w:t>
      </w:r>
      <w:r w:rsidRPr="00747200">
        <w:rPr>
          <w:rFonts w:cs="Arial"/>
        </w:rPr>
        <w:t>)</w:t>
      </w:r>
      <w:r w:rsidRPr="00747200">
        <w:rPr>
          <w:rFonts w:cs="Arial"/>
          <w:lang w:eastAsia="fr-FR"/>
        </w:rPr>
        <w:t>.</w:t>
      </w:r>
      <w:r w:rsidRPr="00747200">
        <w:rPr>
          <w:rFonts w:cs="Arial"/>
          <w:shd w:val="clear" w:color="auto" w:fill="FFFFFF"/>
        </w:rPr>
        <w:t xml:space="preserve"> Infection with SAV has been detected in some </w:t>
      </w:r>
      <w:r w:rsidRPr="00747200">
        <w:rPr>
          <w:rFonts w:cs="Arial"/>
        </w:rPr>
        <w:t>wild</w:t>
      </w:r>
      <w:r w:rsidRPr="00747200">
        <w:rPr>
          <w:rFonts w:cs="Arial"/>
          <w:shd w:val="clear" w:color="auto" w:fill="FFFFFF"/>
        </w:rPr>
        <w:t xml:space="preserve"> flatfish species in Scotland </w:t>
      </w:r>
      <w:r w:rsidRPr="00421BDF">
        <w:rPr>
          <w:rFonts w:cs="Arial"/>
          <w:shd w:val="clear" w:color="auto" w:fill="FFFFFF"/>
        </w:rPr>
        <w:t>(</w:t>
      </w:r>
      <w:r w:rsidRPr="00A51082">
        <w:rPr>
          <w:rFonts w:cs="Arial"/>
          <w:shd w:val="clear" w:color="auto" w:fill="FFFFFF"/>
        </w:rPr>
        <w:t xml:space="preserve">Bruno </w:t>
      </w:r>
      <w:r w:rsidRPr="00A51082">
        <w:rPr>
          <w:rFonts w:cs="Arial"/>
          <w:i/>
          <w:iCs/>
          <w:shd w:val="clear" w:color="auto" w:fill="FFFFFF"/>
        </w:rPr>
        <w:t>et al.,</w:t>
      </w:r>
      <w:r w:rsidRPr="00A51082">
        <w:rPr>
          <w:rFonts w:cs="Arial"/>
          <w:shd w:val="clear" w:color="auto" w:fill="FFFFFF"/>
        </w:rPr>
        <w:t xml:space="preserve"> 2014</w:t>
      </w:r>
      <w:r w:rsidRPr="00421BDF">
        <w:rPr>
          <w:rFonts w:cs="Arial"/>
          <w:shd w:val="clear" w:color="auto" w:fill="FFFFFF"/>
        </w:rPr>
        <w:t>;</w:t>
      </w:r>
      <w:r w:rsidRPr="00C77BF3">
        <w:rPr>
          <w:rFonts w:cs="Arial"/>
          <w:shd w:val="clear" w:color="auto" w:fill="FFFFFF"/>
        </w:rPr>
        <w:t xml:space="preserve"> Snow </w:t>
      </w:r>
      <w:r w:rsidRPr="00C77BF3">
        <w:rPr>
          <w:rFonts w:cs="Arial"/>
          <w:i/>
          <w:iCs/>
          <w:shd w:val="clear" w:color="auto" w:fill="FFFFFF"/>
        </w:rPr>
        <w:t>et al.,</w:t>
      </w:r>
      <w:r w:rsidRPr="00C77BF3">
        <w:rPr>
          <w:rFonts w:cs="Arial"/>
          <w:shd w:val="clear" w:color="auto" w:fill="FFFFFF"/>
        </w:rPr>
        <w:t xml:space="preserve"> 2010</w:t>
      </w:r>
      <w:r w:rsidRPr="00747200">
        <w:rPr>
          <w:rFonts w:cs="Arial"/>
          <w:shd w:val="clear" w:color="auto" w:fill="FFFFFF"/>
        </w:rPr>
        <w:t>) which could also act as a reservoir of infection.</w:t>
      </w:r>
    </w:p>
    <w:p w14:paraId="1FDD0E7B" w14:textId="77777777" w:rsidR="00562F64" w:rsidRPr="007F35B1" w:rsidRDefault="00562F64" w:rsidP="00F373BA">
      <w:pPr>
        <w:pStyle w:val="111"/>
        <w:spacing w:before="120"/>
        <w:ind w:left="1276"/>
        <w:rPr>
          <w:lang w:val="en-IE"/>
        </w:rPr>
      </w:pPr>
      <w:r w:rsidRPr="007F35B1">
        <w:rPr>
          <w:lang w:val="en-IE"/>
        </w:rPr>
        <w:t>2.2.</w:t>
      </w:r>
      <w:r>
        <w:rPr>
          <w:lang w:val="en-IE"/>
        </w:rPr>
        <w:t>7</w:t>
      </w:r>
      <w:r w:rsidRPr="007F35B1">
        <w:rPr>
          <w:lang w:val="en-IE"/>
        </w:rPr>
        <w:t>.</w:t>
      </w:r>
      <w:r w:rsidRPr="007F35B1">
        <w:rPr>
          <w:lang w:val="en-IE"/>
        </w:rPr>
        <w:tab/>
      </w:r>
      <w:r w:rsidRPr="00F373BA">
        <w:rPr>
          <w:bCs w:val="0"/>
          <w:lang w:val="en-IE"/>
        </w:rPr>
        <w:t>Vectors</w:t>
      </w:r>
    </w:p>
    <w:p w14:paraId="7E8152AE" w14:textId="77777777" w:rsidR="00562F64" w:rsidRPr="00747200" w:rsidRDefault="00562F64" w:rsidP="00F373BA">
      <w:pPr>
        <w:pStyle w:val="Para3"/>
        <w:ind w:left="709"/>
        <w:rPr>
          <w:rFonts w:cs="Arial"/>
          <w:lang w:eastAsia="fr-FR"/>
        </w:rPr>
      </w:pPr>
      <w:r w:rsidRPr="00747200">
        <w:rPr>
          <w:rFonts w:cs="Arial"/>
        </w:rPr>
        <w:t xml:space="preserve">Although most alphaviruses are transmitted by arthropod vectors, vector transmission of SAV has not yet been demonstrated. </w:t>
      </w:r>
      <w:r w:rsidRPr="00747200">
        <w:rPr>
          <w:rFonts w:eastAsia="Arial"/>
        </w:rPr>
        <w:t xml:space="preserve">SAV has been detected by </w:t>
      </w:r>
      <w:r>
        <w:rPr>
          <w:rFonts w:eastAsia="Arial"/>
        </w:rPr>
        <w:t>reverse-transcription (</w:t>
      </w:r>
      <w:r w:rsidRPr="00747200">
        <w:rPr>
          <w:rFonts w:eastAsia="Arial"/>
        </w:rPr>
        <w:t>RT</w:t>
      </w:r>
      <w:r>
        <w:rPr>
          <w:rFonts w:eastAsia="Arial"/>
        </w:rPr>
        <w:t>)</w:t>
      </w:r>
      <w:r w:rsidRPr="00747200" w:rsidDel="00857209">
        <w:rPr>
          <w:rFonts w:eastAsia="Arial"/>
        </w:rPr>
        <w:t xml:space="preserve"> </w:t>
      </w:r>
      <w:r w:rsidRPr="00747200">
        <w:rPr>
          <w:rFonts w:eastAsia="Arial"/>
        </w:rPr>
        <w:t>PCR in salmon lice (</w:t>
      </w:r>
      <w:r w:rsidRPr="00747200">
        <w:rPr>
          <w:rFonts w:eastAsia="Arial"/>
          <w:i/>
        </w:rPr>
        <w:t>Lepeophtheirus salmonis</w:t>
      </w:r>
      <w:r w:rsidRPr="00747200">
        <w:rPr>
          <w:rFonts w:eastAsia="Arial"/>
        </w:rPr>
        <w:t>) collected during acute outbreaks of pancreas disease in Atlantic salmon, but transfer to susceptible fish species has not been reported (</w:t>
      </w:r>
      <w:r w:rsidRPr="00C77BF3">
        <w:rPr>
          <w:rFonts w:eastAsia="Arial"/>
        </w:rPr>
        <w:t xml:space="preserve">Petterson </w:t>
      </w:r>
      <w:r w:rsidRPr="00C77BF3">
        <w:rPr>
          <w:rFonts w:eastAsia="Arial"/>
          <w:i/>
        </w:rPr>
        <w:t>et al.,</w:t>
      </w:r>
      <w:r w:rsidRPr="00C77BF3">
        <w:rPr>
          <w:rFonts w:eastAsia="Arial"/>
        </w:rPr>
        <w:t xml:space="preserve"> 2009</w:t>
      </w:r>
      <w:r w:rsidRPr="00747200">
        <w:rPr>
          <w:rFonts w:eastAsia="Arial"/>
        </w:rPr>
        <w:t xml:space="preserve">). </w:t>
      </w:r>
    </w:p>
    <w:p w14:paraId="6D624EF1" w14:textId="77777777" w:rsidR="00F373BA" w:rsidRPr="008A67C2" w:rsidRDefault="00F373BA" w:rsidP="00F373BA">
      <w:pPr>
        <w:spacing w:after="480" w:line="240" w:lineRule="auto"/>
        <w:jc w:val="right"/>
        <w:rPr>
          <w:rFonts w:cs="Times New Roman"/>
          <w:bCs/>
          <w:iCs/>
          <w:szCs w:val="20"/>
        </w:rPr>
      </w:pPr>
      <w:r w:rsidRPr="008A67C2">
        <w:rPr>
          <w:u w:val="single"/>
        </w:rPr>
        <w:lastRenderedPageBreak/>
        <w:t>A</w:t>
      </w:r>
      <w:r w:rsidRPr="008A67C2">
        <w:rPr>
          <w:rFonts w:cs="Times New Roman"/>
          <w:bCs/>
          <w:iCs/>
          <w:szCs w:val="20"/>
          <w:u w:val="single"/>
        </w:rPr>
        <w:t>nnex 1</w:t>
      </w:r>
      <w:r>
        <w:rPr>
          <w:rFonts w:cs="Times New Roman"/>
          <w:bCs/>
          <w:iCs/>
          <w:szCs w:val="20"/>
          <w:u w:val="single"/>
        </w:rPr>
        <w:t>6</w:t>
      </w:r>
      <w:r w:rsidRPr="008A67C2">
        <w:rPr>
          <w:rFonts w:cs="Times New Roman"/>
          <w:bCs/>
          <w:iCs/>
          <w:szCs w:val="20"/>
        </w:rPr>
        <w:t xml:space="preserve"> (contd)</w:t>
      </w:r>
    </w:p>
    <w:p w14:paraId="424DE0C9" w14:textId="77777777" w:rsidR="00562F64" w:rsidRPr="00D10BBF" w:rsidRDefault="00562F64" w:rsidP="00562F64">
      <w:pPr>
        <w:pStyle w:val="11"/>
        <w:rPr>
          <w:rFonts w:ascii="Ottawa" w:hAnsi="Ottawa"/>
          <w:sz w:val="21"/>
          <w:szCs w:val="21"/>
        </w:rPr>
      </w:pPr>
      <w:r w:rsidRPr="00D10BBF">
        <w:rPr>
          <w:rFonts w:ascii="Ottawa" w:hAnsi="Ottawa"/>
          <w:sz w:val="21"/>
          <w:szCs w:val="21"/>
        </w:rPr>
        <w:t>2.3.</w:t>
      </w:r>
      <w:r w:rsidRPr="00D10BBF">
        <w:rPr>
          <w:rFonts w:ascii="Ottawa" w:hAnsi="Ottawa"/>
          <w:sz w:val="21"/>
          <w:szCs w:val="21"/>
        </w:rPr>
        <w:tab/>
        <w:t>Disease pattern</w:t>
      </w:r>
    </w:p>
    <w:p w14:paraId="40B5575C" w14:textId="77777777" w:rsidR="00562F64" w:rsidRPr="007F35B1" w:rsidRDefault="00562F64" w:rsidP="00555AD1">
      <w:pPr>
        <w:pStyle w:val="111"/>
        <w:ind w:left="1276"/>
        <w:rPr>
          <w:lang w:val="en-IE"/>
        </w:rPr>
      </w:pPr>
      <w:r w:rsidRPr="007F35B1">
        <w:rPr>
          <w:lang w:val="en-IE"/>
        </w:rPr>
        <w:t>2.3.</w:t>
      </w:r>
      <w:r>
        <w:rPr>
          <w:lang w:val="en-IE"/>
        </w:rPr>
        <w:t>1</w:t>
      </w:r>
      <w:r w:rsidRPr="007F35B1">
        <w:rPr>
          <w:lang w:val="en-IE"/>
        </w:rPr>
        <w:t>.</w:t>
      </w:r>
      <w:r w:rsidRPr="007F35B1">
        <w:rPr>
          <w:lang w:val="en-IE"/>
        </w:rPr>
        <w:tab/>
        <w:t>Mortality, morbidity and prevalence</w:t>
      </w:r>
    </w:p>
    <w:p w14:paraId="07E5442F" w14:textId="77777777" w:rsidR="00562F64" w:rsidRPr="00747200" w:rsidRDefault="00562F64" w:rsidP="00555AD1">
      <w:pPr>
        <w:autoSpaceDE w:val="0"/>
        <w:autoSpaceDN w:val="0"/>
        <w:adjustRightInd w:val="0"/>
        <w:spacing w:after="240"/>
        <w:ind w:left="709"/>
        <w:jc w:val="both"/>
        <w:rPr>
          <w:rFonts w:ascii="Arial" w:eastAsia="Arial" w:hAnsi="Arial"/>
          <w:bCs/>
          <w:sz w:val="18"/>
          <w:lang w:val="en-IE"/>
        </w:rPr>
      </w:pPr>
      <w:r w:rsidRPr="00747200">
        <w:rPr>
          <w:rFonts w:ascii="Arial" w:eastAsia="Arial" w:hAnsi="Arial"/>
          <w:bCs/>
          <w:sz w:val="18"/>
          <w:lang w:val="en-IE"/>
        </w:rPr>
        <w:t>Mortality rates due to infection with SAV may vary with genotype, season, year, use of biosecurity measures and species of fish (</w:t>
      </w:r>
      <w:r w:rsidRPr="00C77BF3">
        <w:rPr>
          <w:rFonts w:ascii="Arial" w:eastAsia="Arial" w:hAnsi="Arial"/>
          <w:bCs/>
          <w:sz w:val="18"/>
          <w:lang w:val="en-IE"/>
        </w:rPr>
        <w:t xml:space="preserve">Bang Jensen </w:t>
      </w:r>
      <w:r w:rsidRPr="00C77BF3">
        <w:rPr>
          <w:rFonts w:ascii="Arial" w:eastAsia="Arial" w:hAnsi="Arial"/>
          <w:bCs/>
          <w:i/>
          <w:iCs/>
          <w:sz w:val="18"/>
          <w:lang w:val="en-IE"/>
        </w:rPr>
        <w:t>et al.,</w:t>
      </w:r>
      <w:r w:rsidRPr="00C77BF3">
        <w:rPr>
          <w:rFonts w:ascii="Arial" w:eastAsia="Arial" w:hAnsi="Arial"/>
          <w:bCs/>
          <w:sz w:val="18"/>
          <w:lang w:val="en-IE"/>
        </w:rPr>
        <w:t xml:space="preserve"> 2012; Graham </w:t>
      </w:r>
      <w:r w:rsidRPr="00C77BF3">
        <w:rPr>
          <w:rFonts w:ascii="Arial" w:eastAsia="Arial" w:hAnsi="Arial"/>
          <w:bCs/>
          <w:i/>
          <w:iCs/>
          <w:sz w:val="18"/>
          <w:lang w:val="en-IE"/>
        </w:rPr>
        <w:t>et al.,</w:t>
      </w:r>
      <w:r w:rsidRPr="00C77BF3">
        <w:rPr>
          <w:rFonts w:ascii="Arial" w:eastAsia="Arial" w:hAnsi="Arial"/>
          <w:bCs/>
          <w:sz w:val="18"/>
          <w:lang w:val="en-IE"/>
        </w:rPr>
        <w:t xml:space="preserve"> 2011; Rodger &amp; Mitchell, 2007; Stormoen </w:t>
      </w:r>
      <w:r w:rsidRPr="00C77BF3">
        <w:rPr>
          <w:rFonts w:ascii="Arial" w:eastAsia="Arial" w:hAnsi="Arial"/>
          <w:bCs/>
          <w:i/>
          <w:iCs/>
          <w:sz w:val="18"/>
          <w:lang w:val="en-IE"/>
        </w:rPr>
        <w:t>et al</w:t>
      </w:r>
      <w:r w:rsidRPr="00C77BF3">
        <w:rPr>
          <w:rFonts w:ascii="Arial" w:eastAsia="Arial" w:hAnsi="Arial"/>
          <w:bCs/>
          <w:sz w:val="18"/>
          <w:lang w:val="en-IE"/>
        </w:rPr>
        <w:t xml:space="preserve">., 2013). The cumulative mortality at the farm level ranges from negligible to over 50% in severe cases (Bang Jensen </w:t>
      </w:r>
      <w:r w:rsidRPr="00C77BF3">
        <w:rPr>
          <w:rFonts w:ascii="Arial" w:eastAsia="Arial" w:hAnsi="Arial"/>
          <w:bCs/>
          <w:i/>
          <w:iCs/>
          <w:sz w:val="18"/>
          <w:lang w:val="en-IE"/>
        </w:rPr>
        <w:t>et al.,</w:t>
      </w:r>
      <w:r w:rsidRPr="00C77BF3">
        <w:rPr>
          <w:rFonts w:ascii="Arial" w:eastAsia="Arial" w:hAnsi="Arial"/>
          <w:bCs/>
          <w:sz w:val="18"/>
          <w:lang w:val="en-IE"/>
        </w:rPr>
        <w:t xml:space="preserve"> 2012; Graham </w:t>
      </w:r>
      <w:r w:rsidRPr="00C77BF3">
        <w:rPr>
          <w:rFonts w:ascii="Arial" w:eastAsia="Arial" w:hAnsi="Arial"/>
          <w:bCs/>
          <w:i/>
          <w:iCs/>
          <w:sz w:val="18"/>
          <w:lang w:val="en-IE"/>
        </w:rPr>
        <w:t>et al.,</w:t>
      </w:r>
      <w:r w:rsidRPr="00C77BF3">
        <w:rPr>
          <w:rFonts w:ascii="Arial" w:eastAsia="Arial" w:hAnsi="Arial"/>
          <w:bCs/>
          <w:sz w:val="18"/>
          <w:lang w:val="en-IE"/>
        </w:rPr>
        <w:t xml:space="preserve"> 2003; Rodger &amp; Mitchell, 2007; Ruane </w:t>
      </w:r>
      <w:r w:rsidRPr="00C77BF3">
        <w:rPr>
          <w:rFonts w:ascii="Arial" w:eastAsia="Arial" w:hAnsi="Arial"/>
          <w:bCs/>
          <w:i/>
          <w:iCs/>
          <w:sz w:val="18"/>
          <w:lang w:val="en-IE"/>
        </w:rPr>
        <w:t>et al.,</w:t>
      </w:r>
      <w:r w:rsidRPr="00C77BF3">
        <w:rPr>
          <w:rFonts w:ascii="Arial" w:eastAsia="Arial" w:hAnsi="Arial"/>
          <w:bCs/>
          <w:sz w:val="18"/>
          <w:lang w:val="en-IE"/>
        </w:rPr>
        <w:t xml:space="preserve"> 2008; Stene </w:t>
      </w:r>
      <w:r w:rsidRPr="00C77BF3">
        <w:rPr>
          <w:rFonts w:ascii="Arial" w:eastAsia="Arial" w:hAnsi="Arial"/>
          <w:bCs/>
          <w:i/>
          <w:iCs/>
          <w:sz w:val="18"/>
          <w:lang w:val="en-IE"/>
        </w:rPr>
        <w:t>et al.,</w:t>
      </w:r>
      <w:r w:rsidRPr="00C77BF3">
        <w:rPr>
          <w:rFonts w:ascii="Arial" w:eastAsia="Arial" w:hAnsi="Arial"/>
          <w:bCs/>
          <w:sz w:val="18"/>
          <w:lang w:val="en-IE"/>
        </w:rPr>
        <w:t xml:space="preserve"> 2014).</w:t>
      </w:r>
      <w:r w:rsidRPr="00747200">
        <w:rPr>
          <w:rFonts w:ascii="Arial" w:eastAsia="Arial" w:hAnsi="Arial"/>
          <w:bCs/>
          <w:sz w:val="18"/>
          <w:lang w:val="en-IE"/>
        </w:rPr>
        <w:t xml:space="preserve"> Experimental studies have demonstrated that SAV 2 infection in marine fish causes lower mortality than SAV 3 (</w:t>
      </w:r>
      <w:r w:rsidRPr="00A51082">
        <w:rPr>
          <w:rFonts w:ascii="Arial" w:eastAsia="Arial" w:hAnsi="Arial"/>
          <w:bCs/>
          <w:sz w:val="18"/>
          <w:lang w:val="en-IE"/>
        </w:rPr>
        <w:t xml:space="preserve">Taksdal </w:t>
      </w:r>
      <w:r w:rsidRPr="00A51082">
        <w:rPr>
          <w:rFonts w:ascii="Arial" w:eastAsia="Arial" w:hAnsi="Arial"/>
          <w:bCs/>
          <w:i/>
          <w:iCs/>
          <w:sz w:val="18"/>
          <w:lang w:val="en-IE"/>
        </w:rPr>
        <w:t>et al.</w:t>
      </w:r>
      <w:r w:rsidRPr="00A51082">
        <w:rPr>
          <w:rFonts w:ascii="Arial" w:eastAsia="Arial" w:hAnsi="Arial"/>
          <w:bCs/>
          <w:sz w:val="18"/>
          <w:lang w:val="en-IE"/>
        </w:rPr>
        <w:t>, 2015</w:t>
      </w:r>
      <w:r w:rsidRPr="00747200">
        <w:rPr>
          <w:rFonts w:ascii="Arial" w:eastAsia="Arial" w:hAnsi="Arial"/>
          <w:bCs/>
          <w:sz w:val="18"/>
          <w:lang w:val="en-IE"/>
        </w:rPr>
        <w:t>).</w:t>
      </w:r>
    </w:p>
    <w:p w14:paraId="017577CD" w14:textId="77777777" w:rsidR="00562F64" w:rsidRPr="00C77BF3" w:rsidRDefault="00562F64" w:rsidP="00555AD1">
      <w:pPr>
        <w:pStyle w:val="Para3"/>
        <w:ind w:left="709"/>
        <w:rPr>
          <w:lang w:val="da-DK"/>
        </w:rPr>
      </w:pPr>
      <w:r>
        <w:t>D</w:t>
      </w:r>
      <w:r w:rsidRPr="00AA1AF1">
        <w:t xml:space="preserve">uration of disease outbreaks, defined as the period with increased mortality, </w:t>
      </w:r>
      <w:r w:rsidRPr="00747200">
        <w:t xml:space="preserve">may </w:t>
      </w:r>
      <w:r w:rsidRPr="004D3492">
        <w:t>vary fr</w:t>
      </w:r>
      <w:r w:rsidRPr="00AA1AF1">
        <w:t xml:space="preserve">om 1 to 32 weeks </w:t>
      </w:r>
      <w:r w:rsidRPr="00C77BF3">
        <w:t>(</w:t>
      </w:r>
      <w:r w:rsidRPr="00C77BF3">
        <w:rPr>
          <w:lang w:val="da-DK"/>
        </w:rPr>
        <w:t xml:space="preserve">Jansen </w:t>
      </w:r>
      <w:r w:rsidRPr="00C77BF3">
        <w:rPr>
          <w:i/>
          <w:iCs/>
          <w:lang w:val="da-DK"/>
        </w:rPr>
        <w:t xml:space="preserve">et al. </w:t>
      </w:r>
      <w:r w:rsidRPr="00C77BF3">
        <w:rPr>
          <w:lang w:val="da-DK"/>
        </w:rPr>
        <w:t xml:space="preserve">2010a; 2014; Ruane </w:t>
      </w:r>
      <w:r w:rsidRPr="00C77BF3">
        <w:rPr>
          <w:i/>
          <w:lang w:val="da-DK"/>
        </w:rPr>
        <w:t>et al.,</w:t>
      </w:r>
      <w:r w:rsidRPr="00C77BF3">
        <w:rPr>
          <w:lang w:val="da-DK"/>
        </w:rPr>
        <w:t xml:space="preserve"> 2008).</w:t>
      </w:r>
    </w:p>
    <w:p w14:paraId="128193D8" w14:textId="77777777" w:rsidR="00562F64" w:rsidRPr="00C77BF3" w:rsidRDefault="00562F64" w:rsidP="00555AD1">
      <w:pPr>
        <w:pStyle w:val="Para3"/>
        <w:ind w:left="709"/>
      </w:pPr>
      <w:r w:rsidRPr="00C77BF3">
        <w:t xml:space="preserve">The prevalence of infection with SAV may vary. During disease outbreaks, the prevalence is usually high; prevalences of 70–100% have been reported in Atlantic salmon farming sites (Graham </w:t>
      </w:r>
      <w:r w:rsidRPr="00C77BF3">
        <w:rPr>
          <w:i/>
        </w:rPr>
        <w:t>et al.,</w:t>
      </w:r>
      <w:r w:rsidRPr="00C77BF3">
        <w:t xml:space="preserve"> 2010). </w:t>
      </w:r>
    </w:p>
    <w:p w14:paraId="10118AEF" w14:textId="77777777" w:rsidR="00562F64" w:rsidRDefault="00562F64" w:rsidP="00555AD1">
      <w:pPr>
        <w:pStyle w:val="Para3"/>
        <w:ind w:left="709"/>
      </w:pPr>
      <w:r w:rsidRPr="00C77BF3">
        <w:t xml:space="preserve">Prevalences in wild fish are largely unknown. </w:t>
      </w:r>
      <w:r>
        <w:t>SAV has been detected by PCR in s</w:t>
      </w:r>
      <w:r w:rsidRPr="00C77BF3">
        <w:t xml:space="preserve">ome </w:t>
      </w:r>
      <w:r>
        <w:t xml:space="preserve">marine </w:t>
      </w:r>
      <w:r w:rsidRPr="00C77BF3">
        <w:t>flatfish species in</w:t>
      </w:r>
      <w:r>
        <w:t xml:space="preserve"> Scottish waters </w:t>
      </w:r>
      <w:r w:rsidRPr="00C77BF3">
        <w:t xml:space="preserve">(Snow </w:t>
      </w:r>
      <w:r w:rsidRPr="00C77BF3">
        <w:rPr>
          <w:i/>
        </w:rPr>
        <w:t>et al.,</w:t>
      </w:r>
      <w:r w:rsidRPr="00C77BF3">
        <w:t xml:space="preserve"> 2010). A serological survey of wild salmonids in freshwater river systems in Northern Ireland did not detect virus neutralisation antibodies against SAV in any of 188 sera tested, whereas the majority of sera from farmed salmon in sea water in the same area tested positive (Graham </w:t>
      </w:r>
      <w:r w:rsidRPr="00C77BF3">
        <w:rPr>
          <w:i/>
        </w:rPr>
        <w:t>et al.,</w:t>
      </w:r>
      <w:r w:rsidRPr="00C77BF3">
        <w:t xml:space="preserve"> 2003).</w:t>
      </w:r>
    </w:p>
    <w:p w14:paraId="0C0B9A0D" w14:textId="77777777" w:rsidR="00562F64" w:rsidRPr="008B4EF8" w:rsidRDefault="00562F64" w:rsidP="00555AD1">
      <w:pPr>
        <w:pStyle w:val="111"/>
        <w:ind w:left="1276"/>
      </w:pPr>
      <w:r w:rsidRPr="008B4EF8">
        <w:t>2.3.2.</w:t>
      </w:r>
      <w:r w:rsidRPr="008B4EF8">
        <w:tab/>
        <w:t xml:space="preserve">Clinical </w:t>
      </w:r>
      <w:r w:rsidRPr="00555AD1">
        <w:rPr>
          <w:lang w:val="en-IE"/>
        </w:rPr>
        <w:t>signs</w:t>
      </w:r>
      <w:r w:rsidRPr="008B4EF8">
        <w:t>, including behavioural changes</w:t>
      </w:r>
    </w:p>
    <w:p w14:paraId="3421AECA" w14:textId="77777777" w:rsidR="00562F64" w:rsidRPr="00AA1AF1" w:rsidRDefault="00562F64" w:rsidP="00555AD1">
      <w:pPr>
        <w:pStyle w:val="Para3"/>
        <w:ind w:left="709"/>
        <w:rPr>
          <w:lang w:eastAsia="fr-FR"/>
        </w:rPr>
      </w:pPr>
      <w:r w:rsidRPr="00AA1AF1">
        <w:rPr>
          <w:rFonts w:eastAsia="Arial"/>
        </w:rPr>
        <w:t xml:space="preserve">A sudden drop in appetite may be observed 1–2 weeks before the detection of elevated mortality. Clinically diseased fish may be observed swimming slowly at the water surface. </w:t>
      </w:r>
      <w:r w:rsidRPr="00AA1AF1">
        <w:rPr>
          <w:lang w:eastAsia="fr-FR"/>
        </w:rPr>
        <w:t xml:space="preserve">In some cases, extremely weak (“sleeping”) fish can be found at the bottom of tanks or in net-cages. An increased number of faecal casts may also be observed. </w:t>
      </w:r>
      <w:r w:rsidRPr="00AA1AF1">
        <w:rPr>
          <w:rFonts w:eastAsia="Arial"/>
        </w:rPr>
        <w:t xml:space="preserve">However, it is important to note that clinical signs are not pathognomonic. </w:t>
      </w:r>
    </w:p>
    <w:p w14:paraId="0B3B5736" w14:textId="77777777" w:rsidR="00562F64" w:rsidRPr="000D49A5" w:rsidRDefault="00562F64" w:rsidP="00555AD1">
      <w:pPr>
        <w:pStyle w:val="Para3"/>
        <w:ind w:left="709"/>
        <w:rPr>
          <w:rFonts w:cs="Arial"/>
          <w:lang w:eastAsia="fr-FR"/>
        </w:rPr>
      </w:pPr>
      <w:r w:rsidRPr="00AA1AF1">
        <w:rPr>
          <w:rFonts w:eastAsia="Arial"/>
        </w:rPr>
        <w:t xml:space="preserve">Initially, nutritional status is usually normal, but in the months after an outbreak or in the later stages of disease, long slender fish (‘runts’) with poor body condition are typically observed. </w:t>
      </w:r>
      <w:r>
        <w:rPr>
          <w:rFonts w:eastAsia="Arial"/>
        </w:rPr>
        <w:t>However, t</w:t>
      </w:r>
      <w:r w:rsidRPr="00AA1AF1">
        <w:rPr>
          <w:rFonts w:eastAsia="Arial"/>
        </w:rPr>
        <w:t>he presentation of long, slender fish can be caused by factors other than SAV.</w:t>
      </w:r>
    </w:p>
    <w:p w14:paraId="7E8D69F3" w14:textId="77777777" w:rsidR="00562F64" w:rsidRPr="008B4EF8" w:rsidRDefault="00562F64" w:rsidP="00555AD1">
      <w:pPr>
        <w:pStyle w:val="111"/>
        <w:ind w:left="1276"/>
      </w:pPr>
      <w:r w:rsidRPr="008B4EF8">
        <w:t>2.3.3</w:t>
      </w:r>
      <w:r w:rsidRPr="008B4EF8">
        <w:tab/>
        <w:t xml:space="preserve">Gross </w:t>
      </w:r>
      <w:r w:rsidRPr="00555AD1">
        <w:rPr>
          <w:lang w:val="en-IE"/>
        </w:rPr>
        <w:t>pathology</w:t>
      </w:r>
    </w:p>
    <w:p w14:paraId="122681BC" w14:textId="77777777" w:rsidR="00562F64" w:rsidRPr="000D49A5" w:rsidRDefault="00562F64" w:rsidP="00555AD1">
      <w:pPr>
        <w:pStyle w:val="Para3"/>
        <w:ind w:left="709"/>
        <w:rPr>
          <w:rFonts w:cs="Arial"/>
          <w:lang w:eastAsia="fr-FR"/>
        </w:rPr>
      </w:pPr>
      <w:r w:rsidRPr="00AA1AF1">
        <w:t xml:space="preserve">Yellow mucoid gut contents </w:t>
      </w:r>
      <w:r w:rsidRPr="00747200">
        <w:t>is</w:t>
      </w:r>
      <w:r w:rsidRPr="00A576C9">
        <w:t xml:space="preserve"> </w:t>
      </w:r>
      <w:r w:rsidRPr="00AA1AF1">
        <w:t>a usual post-mortem finding, typically seen in</w:t>
      </w:r>
      <w:r>
        <w:t xml:space="preserve"> inappettant</w:t>
      </w:r>
      <w:r w:rsidRPr="00AA1AF1">
        <w:t xml:space="preserve"> fish. </w:t>
      </w:r>
      <w:r w:rsidRPr="00876AAA">
        <w:t xml:space="preserve">Occasionally, signs of </w:t>
      </w:r>
      <w:r w:rsidRPr="00AA1AF1">
        <w:t xml:space="preserve">circulatory disturbances, such as petechial haemorrhages, small ascites or reddening of the pancreatic region between the pyloric caeca, may be seen. Some diseased fish may show pale hearts or heart ruptures. </w:t>
      </w:r>
      <w:r w:rsidRPr="00AA1AF1">
        <w:rPr>
          <w:rFonts w:eastAsia="Arial"/>
        </w:rPr>
        <w:t xml:space="preserve">It is important to note that </w:t>
      </w:r>
      <w:r w:rsidRPr="00AA1AF1">
        <w:t xml:space="preserve">post-mortem </w:t>
      </w:r>
      <w:r w:rsidRPr="00AA1AF1">
        <w:rPr>
          <w:rFonts w:eastAsia="Arial"/>
        </w:rPr>
        <w:t>findings are not pathognomonic.</w:t>
      </w:r>
    </w:p>
    <w:p w14:paraId="6A4BBB1F" w14:textId="77777777" w:rsidR="00562F64" w:rsidRPr="007F35B1" w:rsidRDefault="00562F64" w:rsidP="00555AD1">
      <w:pPr>
        <w:pStyle w:val="111"/>
        <w:ind w:left="1276"/>
        <w:rPr>
          <w:lang w:val="en-IE"/>
        </w:rPr>
      </w:pPr>
      <w:r w:rsidRPr="007F35B1">
        <w:rPr>
          <w:lang w:val="en-IE"/>
        </w:rPr>
        <w:t>2.3.</w:t>
      </w:r>
      <w:r>
        <w:rPr>
          <w:lang w:val="en-IE"/>
        </w:rPr>
        <w:t>4</w:t>
      </w:r>
      <w:r w:rsidRPr="007F35B1">
        <w:rPr>
          <w:lang w:val="en-IE"/>
        </w:rPr>
        <w:t>.</w:t>
      </w:r>
      <w:r w:rsidRPr="007F35B1">
        <w:rPr>
          <w:lang w:val="en-IE"/>
        </w:rPr>
        <w:tab/>
        <w:t>Modes of transmission and life cycle</w:t>
      </w:r>
    </w:p>
    <w:p w14:paraId="76568C72" w14:textId="77777777" w:rsidR="00562F64" w:rsidRPr="00C77BF3" w:rsidRDefault="00562F64" w:rsidP="00555AD1">
      <w:pPr>
        <w:pStyle w:val="Para3"/>
        <w:ind w:left="709"/>
      </w:pPr>
      <w:r>
        <w:t>Horizontal t</w:t>
      </w:r>
      <w:r w:rsidRPr="00AA1AF1">
        <w:t xml:space="preserve">ransmission of SAV </w:t>
      </w:r>
      <w:r>
        <w:t>is demonstrated</w:t>
      </w:r>
      <w:r w:rsidRPr="00AA1AF1">
        <w:t xml:space="preserve"> by </w:t>
      </w:r>
      <w:r>
        <w:t xml:space="preserve">a range of evidence including: </w:t>
      </w:r>
      <w:r w:rsidRPr="00AA1AF1">
        <w:t>phylogenetic studies, successful transmission among</w:t>
      </w:r>
      <w:r>
        <w:t xml:space="preserve"> cohabiting fish</w:t>
      </w:r>
      <w:r w:rsidRPr="00AA1AF1">
        <w:t xml:space="preserve">, proven transmission between farming sites, studies on survival of SAV in sea water and the spread via water currents </w:t>
      </w:r>
      <w:r w:rsidRPr="00C77BF3">
        <w:t xml:space="preserve">(Graham </w:t>
      </w:r>
      <w:r w:rsidRPr="00C77BF3">
        <w:rPr>
          <w:i/>
        </w:rPr>
        <w:t>et al.,</w:t>
      </w:r>
      <w:r w:rsidRPr="00C77BF3">
        <w:t xml:space="preserve"> 2007b; 2011; Jansen </w:t>
      </w:r>
      <w:r w:rsidRPr="00C77BF3">
        <w:rPr>
          <w:i/>
        </w:rPr>
        <w:t>et al.,</w:t>
      </w:r>
      <w:r w:rsidRPr="00C77BF3">
        <w:t xml:space="preserve"> 2010a; Kristoffersen </w:t>
      </w:r>
      <w:r w:rsidRPr="00C77BF3">
        <w:rPr>
          <w:i/>
        </w:rPr>
        <w:t>et al.,</w:t>
      </w:r>
      <w:r w:rsidRPr="00C77BF3">
        <w:t xml:space="preserve"> 2009; Viljugrein </w:t>
      </w:r>
      <w:r w:rsidRPr="00C77BF3">
        <w:rPr>
          <w:i/>
        </w:rPr>
        <w:t>et al.,</w:t>
      </w:r>
      <w:r w:rsidRPr="00C77BF3">
        <w:t xml:space="preserve"> 2009). </w:t>
      </w:r>
    </w:p>
    <w:p w14:paraId="7156D8BD" w14:textId="77777777" w:rsidR="00562F64" w:rsidRPr="00C77BF3" w:rsidRDefault="00562F64" w:rsidP="00555AD1">
      <w:pPr>
        <w:pStyle w:val="Para3"/>
        <w:ind w:left="709"/>
      </w:pPr>
      <w:r w:rsidRPr="00C77BF3">
        <w:t>Long-distance transmission, and thus introduction of SAV in</w:t>
      </w:r>
      <w:r>
        <w:t>to</w:t>
      </w:r>
      <w:r w:rsidRPr="00C77BF3">
        <w:t xml:space="preserve"> a previously uninfected area, is most likely </w:t>
      </w:r>
      <w:r>
        <w:t>due</w:t>
      </w:r>
      <w:r w:rsidRPr="00C77BF3">
        <w:t xml:space="preserve"> to movement of infected live fish (Kristoffersen </w:t>
      </w:r>
      <w:r w:rsidRPr="00C77BF3">
        <w:rPr>
          <w:i/>
        </w:rPr>
        <w:t>et al.,</w:t>
      </w:r>
      <w:r w:rsidRPr="00C77BF3">
        <w:t xml:space="preserve"> 2009; Rodger &amp; Mitchell, 2007). </w:t>
      </w:r>
      <w:r w:rsidRPr="00C77BF3">
        <w:rPr>
          <w:rFonts w:eastAsia="Arial"/>
        </w:rPr>
        <w:t>SAV has been detected in fat leaking from dead fish which accumulate</w:t>
      </w:r>
      <w:r>
        <w:rPr>
          <w:rFonts w:eastAsia="Arial"/>
        </w:rPr>
        <w:t>s</w:t>
      </w:r>
      <w:r w:rsidRPr="00C77BF3">
        <w:rPr>
          <w:rFonts w:eastAsia="Arial"/>
        </w:rPr>
        <w:t xml:space="preserve"> at the sea water surface, contributing to long distance spread of the virus (Stene </w:t>
      </w:r>
      <w:r w:rsidRPr="00C77BF3">
        <w:rPr>
          <w:rFonts w:eastAsia="Arial"/>
          <w:i/>
        </w:rPr>
        <w:t>et al.,</w:t>
      </w:r>
      <w:r w:rsidRPr="00C77BF3">
        <w:rPr>
          <w:rFonts w:eastAsia="Arial"/>
        </w:rPr>
        <w:t xml:space="preserve"> 2013). </w:t>
      </w:r>
      <w:r w:rsidRPr="00C77BF3">
        <w:t xml:space="preserve">Once SAV has been introduced into an area, farm proximity and water currents </w:t>
      </w:r>
      <w:r>
        <w:t>influence</w:t>
      </w:r>
      <w:r w:rsidRPr="00C77BF3">
        <w:t xml:space="preserve"> local transmission (Aldrin </w:t>
      </w:r>
      <w:r w:rsidRPr="00C77BF3">
        <w:rPr>
          <w:i/>
        </w:rPr>
        <w:t>et al.,</w:t>
      </w:r>
      <w:r w:rsidRPr="00C77BF3">
        <w:t xml:space="preserve"> 2010; Kristoffersen </w:t>
      </w:r>
      <w:r w:rsidRPr="00C77BF3">
        <w:rPr>
          <w:i/>
        </w:rPr>
        <w:t>et al.,</w:t>
      </w:r>
      <w:r w:rsidRPr="00C77BF3">
        <w:t xml:space="preserve"> 2009; Viljugrein </w:t>
      </w:r>
      <w:r w:rsidRPr="00C77BF3">
        <w:rPr>
          <w:i/>
        </w:rPr>
        <w:t>et al.,</w:t>
      </w:r>
      <w:r w:rsidRPr="00C77BF3">
        <w:t xml:space="preserve"> 2009). </w:t>
      </w:r>
    </w:p>
    <w:p w14:paraId="2BC5B715" w14:textId="77777777" w:rsidR="00562F64" w:rsidRPr="00C77BF3" w:rsidRDefault="00562F64" w:rsidP="00555AD1">
      <w:pPr>
        <w:pStyle w:val="Para3"/>
        <w:ind w:left="709"/>
        <w:rPr>
          <w:lang w:val="da-DK"/>
        </w:rPr>
      </w:pPr>
      <w:r w:rsidRPr="00C77BF3">
        <w:t>V</w:t>
      </w:r>
      <w:r w:rsidRPr="00C77BF3">
        <w:rPr>
          <w:lang w:val="da-DK"/>
        </w:rPr>
        <w:t xml:space="preserve">ertical transmission of SAV has been suggested (Bratland &amp; Nylund, 2009), but not demonstrated (Kongtorp </w:t>
      </w:r>
      <w:r w:rsidRPr="00C77BF3">
        <w:rPr>
          <w:i/>
          <w:lang w:val="da-DK"/>
        </w:rPr>
        <w:t>et al.,</w:t>
      </w:r>
      <w:r w:rsidRPr="00C77BF3">
        <w:rPr>
          <w:lang w:val="da-DK"/>
        </w:rPr>
        <w:t xml:space="preserve"> 2010; McLoughlin &amp; Graham, 2007). The Norwegian Scientific Committee for Food Safety, </w:t>
      </w:r>
      <w:r>
        <w:rPr>
          <w:lang w:val="da-DK"/>
        </w:rPr>
        <w:t>(</w:t>
      </w:r>
      <w:r w:rsidRPr="00C77BF3">
        <w:rPr>
          <w:lang w:val="da-DK"/>
        </w:rPr>
        <w:t>2010</w:t>
      </w:r>
      <w:r>
        <w:rPr>
          <w:lang w:val="da-DK"/>
        </w:rPr>
        <w:t>)</w:t>
      </w:r>
      <w:r w:rsidRPr="00C77BF3">
        <w:rPr>
          <w:lang w:val="da-DK"/>
        </w:rPr>
        <w:t xml:space="preserve">, carried out a risk assessment and concluded that the risk of vertical transmission of SAV is negligible. </w:t>
      </w:r>
    </w:p>
    <w:p w14:paraId="5B0D742C" w14:textId="77777777" w:rsidR="00562F64" w:rsidRPr="00C77BF3" w:rsidRDefault="00562F64" w:rsidP="00555AD1">
      <w:pPr>
        <w:pStyle w:val="111"/>
        <w:ind w:left="1276"/>
        <w:rPr>
          <w:lang w:val="en-IE"/>
        </w:rPr>
      </w:pPr>
      <w:r w:rsidRPr="00C77BF3">
        <w:rPr>
          <w:lang w:val="en-IE"/>
        </w:rPr>
        <w:t>2.3.5.</w:t>
      </w:r>
      <w:r w:rsidRPr="00C77BF3">
        <w:rPr>
          <w:lang w:val="en-IE"/>
        </w:rPr>
        <w:tab/>
        <w:t xml:space="preserve">Environmental and management factors </w:t>
      </w:r>
    </w:p>
    <w:p w14:paraId="2E2EAA21" w14:textId="77777777" w:rsidR="00562F64" w:rsidRPr="00C77BF3" w:rsidRDefault="00562F64" w:rsidP="00555AD1">
      <w:pPr>
        <w:pStyle w:val="Para3"/>
        <w:ind w:left="709"/>
      </w:pPr>
      <w:r w:rsidRPr="00C77BF3">
        <w:t xml:space="preserve">Clinical outbreaks and mortality are influenced by water temperature and season (McLoughlin &amp; Graham, 2007; Rodger &amp; Mitchell, 2007; Stene </w:t>
      </w:r>
      <w:r w:rsidRPr="00C77BF3">
        <w:rPr>
          <w:i/>
        </w:rPr>
        <w:t>et al.,</w:t>
      </w:r>
      <w:r w:rsidRPr="00C77BF3">
        <w:t xml:space="preserve"> 2014; Stormoen </w:t>
      </w:r>
      <w:r w:rsidRPr="00C77BF3">
        <w:rPr>
          <w:i/>
        </w:rPr>
        <w:t>et al.,</w:t>
      </w:r>
      <w:r w:rsidRPr="00C77BF3">
        <w:t xml:space="preserve"> 2013). Stressing the fish by movement, crowding or treatment may initiate disease outbreaks on infected farms.</w:t>
      </w:r>
    </w:p>
    <w:p w14:paraId="1462CAB9" w14:textId="77777777" w:rsidR="00555AD1" w:rsidRPr="008A67C2" w:rsidRDefault="00555AD1" w:rsidP="00555AD1">
      <w:pPr>
        <w:spacing w:after="480" w:line="240" w:lineRule="auto"/>
        <w:rPr>
          <w:rFonts w:cs="Times New Roman"/>
          <w:bCs/>
          <w:iCs/>
          <w:szCs w:val="20"/>
        </w:rPr>
      </w:pPr>
      <w:r w:rsidRPr="008A67C2">
        <w:rPr>
          <w:u w:val="single"/>
        </w:rPr>
        <w:lastRenderedPageBreak/>
        <w:t>A</w:t>
      </w:r>
      <w:r w:rsidRPr="008A67C2">
        <w:rPr>
          <w:rFonts w:cs="Times New Roman"/>
          <w:bCs/>
          <w:iCs/>
          <w:szCs w:val="20"/>
          <w:u w:val="single"/>
        </w:rPr>
        <w:t>nnex 1</w:t>
      </w:r>
      <w:r>
        <w:rPr>
          <w:rFonts w:cs="Times New Roman"/>
          <w:bCs/>
          <w:iCs/>
          <w:szCs w:val="20"/>
          <w:u w:val="single"/>
        </w:rPr>
        <w:t>6</w:t>
      </w:r>
      <w:r w:rsidRPr="008A67C2">
        <w:rPr>
          <w:rFonts w:cs="Times New Roman"/>
          <w:bCs/>
          <w:iCs/>
          <w:szCs w:val="20"/>
        </w:rPr>
        <w:t xml:space="preserve"> (contd)</w:t>
      </w:r>
    </w:p>
    <w:p w14:paraId="4F418E47" w14:textId="77777777" w:rsidR="00562F64" w:rsidRPr="00747200" w:rsidRDefault="00562F64" w:rsidP="00555AD1">
      <w:pPr>
        <w:pStyle w:val="Para3"/>
        <w:spacing w:after="160"/>
        <w:ind w:left="709"/>
      </w:pPr>
      <w:r w:rsidRPr="00C77BF3">
        <w:t xml:space="preserve">Risk factors for outbreaks on a farming site include a previous history of infection with SAV, high feeding rate, high sea lice burden, the use of autumn smolts and previous outbreaks of infectious pancreatic necrosis (IPN) (Bang Jensen </w:t>
      </w:r>
      <w:r w:rsidRPr="00C77BF3">
        <w:rPr>
          <w:i/>
        </w:rPr>
        <w:t>et al.,</w:t>
      </w:r>
      <w:r w:rsidRPr="00C77BF3">
        <w:t xml:space="preserve"> 2012; Kristoffersen </w:t>
      </w:r>
      <w:r w:rsidRPr="00C77BF3">
        <w:rPr>
          <w:i/>
        </w:rPr>
        <w:t>et al.,</w:t>
      </w:r>
      <w:r w:rsidRPr="00C77BF3">
        <w:t xml:space="preserve"> 2009; Rodger &amp; Mitchell, 2007).</w:t>
      </w:r>
      <w:r w:rsidRPr="00747200">
        <w:t xml:space="preserve"> </w:t>
      </w:r>
    </w:p>
    <w:p w14:paraId="20FC0EEA" w14:textId="77777777" w:rsidR="00562F64" w:rsidRPr="00747200" w:rsidRDefault="00562F64" w:rsidP="00555AD1">
      <w:pPr>
        <w:pStyle w:val="111"/>
        <w:spacing w:after="160"/>
        <w:ind w:left="1276"/>
        <w:rPr>
          <w:lang w:val="en-IE"/>
        </w:rPr>
      </w:pPr>
      <w:r w:rsidRPr="00747200">
        <w:rPr>
          <w:lang w:val="en-IE"/>
        </w:rPr>
        <w:t>2.3.6.</w:t>
      </w:r>
      <w:r w:rsidRPr="00747200">
        <w:rPr>
          <w:lang w:val="en-IE"/>
        </w:rPr>
        <w:tab/>
        <w:t>Geographical distribution</w:t>
      </w:r>
    </w:p>
    <w:p w14:paraId="00D4E7AD" w14:textId="77777777" w:rsidR="00562F64" w:rsidRPr="00F96663" w:rsidRDefault="00562F64" w:rsidP="00555AD1">
      <w:pPr>
        <w:pStyle w:val="Para3"/>
        <w:spacing w:after="160"/>
        <w:ind w:left="709"/>
        <w:rPr>
          <w:rFonts w:cs="Arial"/>
          <w:lang w:eastAsia="fr-FR"/>
        </w:rPr>
      </w:pPr>
      <w:r w:rsidRPr="00AA1AF1">
        <w:t xml:space="preserve">Infection with SAV </w:t>
      </w:r>
      <w:r>
        <w:t>has been reported from several countries in Europe</w:t>
      </w:r>
      <w:r w:rsidRPr="00AA1AF1">
        <w:t>.</w:t>
      </w:r>
      <w:r w:rsidRPr="008F71F5">
        <w:rPr>
          <w:rFonts w:cs="Arial"/>
          <w:lang w:eastAsia="fr-FR"/>
        </w:rPr>
        <w:t xml:space="preserve"> </w:t>
      </w:r>
      <w:r>
        <w:rPr>
          <w:rFonts w:cs="Arial"/>
          <w:lang w:eastAsia="fr-FR"/>
        </w:rPr>
        <w:t xml:space="preserve">See </w:t>
      </w:r>
      <w:r w:rsidRPr="007F35B1">
        <w:rPr>
          <w:rFonts w:cs="Arial"/>
          <w:lang w:eastAsia="fr-FR"/>
        </w:rPr>
        <w:t xml:space="preserve">WAHIS </w:t>
      </w:r>
      <w:r>
        <w:rPr>
          <w:rFonts w:cs="Arial"/>
          <w:lang w:eastAsia="fr-FR"/>
        </w:rPr>
        <w:t>(</w:t>
      </w:r>
      <w:hyperlink r:id="rId239" w:history="1">
        <w:r>
          <w:rPr>
            <w:rStyle w:val="Lienhypertexte"/>
            <w:rFonts w:eastAsiaTheme="majorEastAsia"/>
          </w:rPr>
          <w:t>https://www.oie.int/wahis_2/public/wahid.php/Wahidhome/Home/index/newlang/en</w:t>
        </w:r>
      </w:hyperlink>
      <w:r w:rsidRPr="007F35B1">
        <w:rPr>
          <w:rFonts w:cs="Arial"/>
          <w:lang w:eastAsia="fr-FR"/>
        </w:rPr>
        <w:t>)</w:t>
      </w:r>
      <w:r>
        <w:rPr>
          <w:rFonts w:cs="Arial"/>
          <w:lang w:eastAsia="fr-FR"/>
        </w:rPr>
        <w:t xml:space="preserve"> </w:t>
      </w:r>
      <w:r w:rsidRPr="007F35B1">
        <w:rPr>
          <w:rFonts w:cs="Arial"/>
          <w:lang w:eastAsia="fr-FR"/>
        </w:rPr>
        <w:t>for recent information on distribution</w:t>
      </w:r>
      <w:r>
        <w:rPr>
          <w:rFonts w:cs="Arial"/>
          <w:lang w:eastAsia="fr-FR"/>
        </w:rPr>
        <w:t xml:space="preserve"> at the country level.</w:t>
      </w:r>
    </w:p>
    <w:p w14:paraId="02C881F6" w14:textId="77777777" w:rsidR="00562F64" w:rsidRPr="00D10BBF" w:rsidRDefault="00562F64" w:rsidP="00555AD1">
      <w:pPr>
        <w:pStyle w:val="11"/>
        <w:spacing w:after="160"/>
        <w:rPr>
          <w:rFonts w:ascii="Ottawa" w:hAnsi="Ottawa"/>
          <w:sz w:val="21"/>
          <w:szCs w:val="21"/>
        </w:rPr>
      </w:pPr>
      <w:r w:rsidRPr="00D10BBF">
        <w:rPr>
          <w:rFonts w:ascii="Ottawa" w:hAnsi="Ottawa"/>
          <w:sz w:val="21"/>
          <w:szCs w:val="21"/>
        </w:rPr>
        <w:t>2.4.</w:t>
      </w:r>
      <w:r w:rsidRPr="00D10BBF">
        <w:rPr>
          <w:rFonts w:ascii="Ottawa" w:hAnsi="Ottawa"/>
          <w:sz w:val="21"/>
          <w:szCs w:val="21"/>
        </w:rPr>
        <w:tab/>
        <w:t xml:space="preserve">Biosecurity and disease control strategies </w:t>
      </w:r>
    </w:p>
    <w:p w14:paraId="612E70FD" w14:textId="77777777" w:rsidR="00562F64" w:rsidRPr="007F35B1" w:rsidRDefault="00562F64" w:rsidP="00555AD1">
      <w:pPr>
        <w:pStyle w:val="111"/>
        <w:spacing w:after="160"/>
        <w:ind w:left="1276"/>
        <w:rPr>
          <w:lang w:val="en-IE"/>
        </w:rPr>
      </w:pPr>
      <w:r w:rsidRPr="007F35B1">
        <w:rPr>
          <w:lang w:val="en-IE"/>
        </w:rPr>
        <w:t>2.4.1.</w:t>
      </w:r>
      <w:r w:rsidRPr="007F35B1">
        <w:rPr>
          <w:lang w:val="en-IE"/>
        </w:rPr>
        <w:tab/>
        <w:t>Vaccination</w:t>
      </w:r>
    </w:p>
    <w:p w14:paraId="4DB18F35" w14:textId="77777777" w:rsidR="00562F64" w:rsidRPr="00747200" w:rsidRDefault="00562F64" w:rsidP="00555AD1">
      <w:pPr>
        <w:pStyle w:val="Para20"/>
        <w:spacing w:after="160"/>
        <w:ind w:left="709"/>
        <w:rPr>
          <w:rFonts w:cs="Arial"/>
        </w:rPr>
      </w:pPr>
      <w:r w:rsidRPr="00AA1AF1">
        <w:rPr>
          <w:rFonts w:cs="Arial"/>
          <w:szCs w:val="18"/>
        </w:rPr>
        <w:t xml:space="preserve">DNA-based and virus-inactivated vaccines against SAV are both commercially available. </w:t>
      </w:r>
      <w:r w:rsidRPr="005136BF">
        <w:rPr>
          <w:rFonts w:cs="Arial"/>
          <w:szCs w:val="18"/>
        </w:rPr>
        <w:t xml:space="preserve">The </w:t>
      </w:r>
      <w:r w:rsidRPr="00747200">
        <w:rPr>
          <w:rFonts w:cs="Arial"/>
          <w:lang w:val="da-DK"/>
        </w:rPr>
        <w:t xml:space="preserve">vaccines may cause a risk </w:t>
      </w:r>
      <w:r>
        <w:rPr>
          <w:rFonts w:cs="Arial"/>
          <w:lang w:val="da-DK"/>
        </w:rPr>
        <w:t>of</w:t>
      </w:r>
      <w:r w:rsidRPr="00747200">
        <w:rPr>
          <w:rFonts w:cs="Arial"/>
          <w:lang w:val="da-DK"/>
        </w:rPr>
        <w:t xml:space="preserve"> false positives, both in serological and PCR-</w:t>
      </w:r>
      <w:r>
        <w:rPr>
          <w:rFonts w:cs="Arial"/>
          <w:lang w:val="da-DK"/>
        </w:rPr>
        <w:t>bas</w:t>
      </w:r>
      <w:r w:rsidRPr="00747200">
        <w:rPr>
          <w:rFonts w:cs="Arial"/>
          <w:lang w:val="da-DK"/>
        </w:rPr>
        <w:t xml:space="preserve">ed tests, according to data presented by vaccine companies. However, reports from the field indicates that false positives to serological tests do not occur after sea transfer. To prevent false positives by RT-PCR, sampling from vaccinated individuals should </w:t>
      </w:r>
      <w:r>
        <w:rPr>
          <w:rFonts w:cs="Arial"/>
          <w:lang w:val="da-DK"/>
        </w:rPr>
        <w:t>use</w:t>
      </w:r>
      <w:r w:rsidRPr="00747200">
        <w:rPr>
          <w:rFonts w:cs="Arial"/>
          <w:lang w:val="da-DK"/>
        </w:rPr>
        <w:t xml:space="preserve"> heart</w:t>
      </w:r>
      <w:r>
        <w:rPr>
          <w:rFonts w:cs="Arial"/>
          <w:lang w:val="da-DK"/>
        </w:rPr>
        <w:t xml:space="preserve"> tissue </w:t>
      </w:r>
      <w:r w:rsidRPr="00747200">
        <w:rPr>
          <w:rFonts w:cs="Arial"/>
          <w:lang w:val="da-DK"/>
        </w:rPr>
        <w:t>to avoid opening the abdominal cavity.</w:t>
      </w:r>
    </w:p>
    <w:p w14:paraId="2FCFC80F" w14:textId="77777777" w:rsidR="00562F64" w:rsidRPr="007F35B1" w:rsidRDefault="00562F64" w:rsidP="00555AD1">
      <w:pPr>
        <w:pStyle w:val="111"/>
        <w:spacing w:after="160"/>
        <w:ind w:left="1276"/>
        <w:rPr>
          <w:lang w:val="en-IE"/>
        </w:rPr>
      </w:pPr>
      <w:r w:rsidRPr="007F35B1">
        <w:rPr>
          <w:lang w:val="en-IE"/>
        </w:rPr>
        <w:t>2.4.2.</w:t>
      </w:r>
      <w:r w:rsidRPr="007F35B1">
        <w:rPr>
          <w:lang w:val="en-IE"/>
        </w:rPr>
        <w:tab/>
        <w:t>Chemotherapy including blocking agents</w:t>
      </w:r>
    </w:p>
    <w:p w14:paraId="513ABF31" w14:textId="77777777" w:rsidR="00562F64" w:rsidRPr="007F35B1" w:rsidRDefault="00562F64" w:rsidP="00555AD1">
      <w:pPr>
        <w:pStyle w:val="Para3"/>
        <w:spacing w:after="160"/>
        <w:ind w:left="709"/>
        <w:rPr>
          <w:rFonts w:cs="Arial"/>
          <w:lang w:eastAsia="fr-FR"/>
        </w:rPr>
      </w:pPr>
      <w:r w:rsidRPr="00AA1AF1">
        <w:rPr>
          <w:lang w:eastAsia="fr-FR"/>
        </w:rPr>
        <w:t>No chemotherapy is available</w:t>
      </w:r>
      <w:r>
        <w:rPr>
          <w:lang w:eastAsia="fr-FR"/>
        </w:rPr>
        <w:t>.</w:t>
      </w:r>
    </w:p>
    <w:p w14:paraId="55C5892D" w14:textId="77777777" w:rsidR="00562F64" w:rsidRPr="007F35B1" w:rsidRDefault="00562F64" w:rsidP="00555AD1">
      <w:pPr>
        <w:pStyle w:val="111"/>
        <w:spacing w:after="160"/>
        <w:ind w:left="1276"/>
        <w:rPr>
          <w:lang w:val="en-IE"/>
        </w:rPr>
      </w:pPr>
      <w:r w:rsidRPr="007F35B1">
        <w:rPr>
          <w:lang w:val="en-IE"/>
        </w:rPr>
        <w:t>2.4.3.</w:t>
      </w:r>
      <w:r w:rsidRPr="007F35B1">
        <w:rPr>
          <w:lang w:val="en-IE"/>
        </w:rPr>
        <w:tab/>
        <w:t>Immunostimulation</w:t>
      </w:r>
    </w:p>
    <w:p w14:paraId="162C5D0A" w14:textId="77777777" w:rsidR="00562F64" w:rsidRPr="007F35B1" w:rsidRDefault="00562F64" w:rsidP="00555AD1">
      <w:pPr>
        <w:pStyle w:val="Para3"/>
        <w:spacing w:after="160"/>
        <w:ind w:left="709"/>
        <w:rPr>
          <w:rFonts w:cs="Arial"/>
          <w:lang w:eastAsia="fr-FR"/>
        </w:rPr>
      </w:pPr>
      <w:r w:rsidRPr="00AA1AF1">
        <w:rPr>
          <w:lang w:eastAsia="fr-FR"/>
        </w:rPr>
        <w:t>No immunostimulation is available.</w:t>
      </w:r>
    </w:p>
    <w:p w14:paraId="3EFA0C5E" w14:textId="77777777" w:rsidR="00562F64" w:rsidRPr="007F35B1" w:rsidRDefault="00562F64" w:rsidP="00555AD1">
      <w:pPr>
        <w:pStyle w:val="111"/>
        <w:spacing w:after="160"/>
        <w:ind w:left="1276"/>
        <w:rPr>
          <w:lang w:val="en-IE"/>
        </w:rPr>
      </w:pPr>
      <w:r w:rsidRPr="007F35B1">
        <w:rPr>
          <w:lang w:val="en-IE"/>
        </w:rPr>
        <w:t>2.4.4.</w:t>
      </w:r>
      <w:r w:rsidRPr="007F35B1">
        <w:rPr>
          <w:lang w:val="en-IE"/>
        </w:rPr>
        <w:tab/>
        <w:t>Breeding resistant strains</w:t>
      </w:r>
    </w:p>
    <w:p w14:paraId="19B953C8" w14:textId="77777777" w:rsidR="00562F64" w:rsidRPr="008F71F5" w:rsidRDefault="00562F64" w:rsidP="00555AD1">
      <w:pPr>
        <w:pStyle w:val="Para3"/>
        <w:spacing w:after="160"/>
        <w:ind w:left="709"/>
        <w:rPr>
          <w:rFonts w:cs="Arial"/>
          <w:lang w:eastAsia="fr-FR"/>
        </w:rPr>
      </w:pPr>
      <w:r w:rsidRPr="008F71F5">
        <w:rPr>
          <w:rFonts w:cs="Arial"/>
          <w:szCs w:val="18"/>
        </w:rPr>
        <w:t>Differences in susceptibility among different family groups of Atlantic salmon have been observed in challenge experiments and in the field, indicating the potential for</w:t>
      </w:r>
      <w:r>
        <w:rPr>
          <w:rFonts w:cs="Arial"/>
          <w:szCs w:val="18"/>
        </w:rPr>
        <w:t xml:space="preserve"> breeding for</w:t>
      </w:r>
      <w:r w:rsidRPr="008F71F5">
        <w:rPr>
          <w:rFonts w:cs="Arial"/>
          <w:szCs w:val="18"/>
        </w:rPr>
        <w:t xml:space="preserve"> resistance</w:t>
      </w:r>
      <w:r>
        <w:rPr>
          <w:rFonts w:cs="Arial"/>
          <w:szCs w:val="18"/>
        </w:rPr>
        <w:t xml:space="preserve"> (Norris </w:t>
      </w:r>
      <w:r w:rsidRPr="00A51082">
        <w:rPr>
          <w:rFonts w:cs="Arial"/>
          <w:i/>
          <w:szCs w:val="18"/>
        </w:rPr>
        <w:t>et al</w:t>
      </w:r>
      <w:r>
        <w:rPr>
          <w:rFonts w:cs="Arial"/>
          <w:szCs w:val="18"/>
        </w:rPr>
        <w:t xml:space="preserve">., 2008; Gonen </w:t>
      </w:r>
      <w:r w:rsidRPr="00A51082">
        <w:rPr>
          <w:rFonts w:cs="Arial"/>
          <w:i/>
          <w:szCs w:val="18"/>
        </w:rPr>
        <w:t>et al.</w:t>
      </w:r>
      <w:r>
        <w:rPr>
          <w:rFonts w:cs="Arial"/>
          <w:szCs w:val="18"/>
        </w:rPr>
        <w:t>, 2015)</w:t>
      </w:r>
      <w:r w:rsidRPr="008F71F5">
        <w:rPr>
          <w:rFonts w:cs="Arial"/>
          <w:szCs w:val="18"/>
        </w:rPr>
        <w:t xml:space="preserve">. </w:t>
      </w:r>
      <w:r>
        <w:rPr>
          <w:rFonts w:cs="Arial"/>
          <w:szCs w:val="18"/>
        </w:rPr>
        <w:t xml:space="preserve">Breeding programmes </w:t>
      </w:r>
      <w:r w:rsidRPr="008F71F5">
        <w:rPr>
          <w:rFonts w:cs="Arial"/>
          <w:szCs w:val="18"/>
        </w:rPr>
        <w:t>in Ireland</w:t>
      </w:r>
      <w:r>
        <w:rPr>
          <w:rFonts w:cs="Arial"/>
          <w:szCs w:val="18"/>
        </w:rPr>
        <w:t xml:space="preserve"> </w:t>
      </w:r>
      <w:r w:rsidRPr="008F71F5">
        <w:rPr>
          <w:rFonts w:cs="Arial"/>
          <w:szCs w:val="18"/>
        </w:rPr>
        <w:t>and Norway</w:t>
      </w:r>
      <w:r>
        <w:rPr>
          <w:rFonts w:cs="Arial"/>
          <w:szCs w:val="18"/>
        </w:rPr>
        <w:t xml:space="preserve"> have successfully produced fish with increased resistance to disease caused by SAV, which are now commercially available.</w:t>
      </w:r>
    </w:p>
    <w:p w14:paraId="75CFED21" w14:textId="77777777" w:rsidR="00562F64" w:rsidRPr="007F35B1" w:rsidRDefault="00562F64" w:rsidP="00555AD1">
      <w:pPr>
        <w:pStyle w:val="111"/>
        <w:spacing w:after="160"/>
        <w:ind w:left="1276"/>
        <w:rPr>
          <w:lang w:val="en-IE"/>
        </w:rPr>
      </w:pPr>
      <w:r w:rsidRPr="007F35B1">
        <w:rPr>
          <w:lang w:val="en-IE"/>
        </w:rPr>
        <w:t>2.4.</w:t>
      </w:r>
      <w:r>
        <w:rPr>
          <w:lang w:val="en-IE"/>
        </w:rPr>
        <w:t>5</w:t>
      </w:r>
      <w:r w:rsidRPr="007F35B1">
        <w:rPr>
          <w:lang w:val="en-IE"/>
        </w:rPr>
        <w:t>.</w:t>
      </w:r>
      <w:r w:rsidRPr="007F35B1">
        <w:rPr>
          <w:lang w:val="en-IE"/>
        </w:rPr>
        <w:tab/>
        <w:t>Inactivation methods</w:t>
      </w:r>
    </w:p>
    <w:p w14:paraId="44C90426" w14:textId="77777777" w:rsidR="00562F64" w:rsidRPr="00C77BF3" w:rsidRDefault="00562F64" w:rsidP="00555AD1">
      <w:pPr>
        <w:pStyle w:val="Para3"/>
        <w:spacing w:after="160"/>
        <w:ind w:left="709"/>
        <w:rPr>
          <w:rFonts w:cs="Arial"/>
        </w:rPr>
      </w:pPr>
      <w:r w:rsidRPr="00747200">
        <w:rPr>
          <w:rFonts w:cs="Arial"/>
          <w:lang w:eastAsia="fr-FR"/>
        </w:rPr>
        <w:t>SAV is rapidly inactivated in the presence of high levels of organic matter at 60°C, pH 7.2, and at 4°C, pH 4 and pH 12, suggesting that composting, ensiling and alkaline hydrolysis would all be effective at inactivating virus in fish waste (</w:t>
      </w:r>
      <w:r w:rsidRPr="00C77BF3">
        <w:rPr>
          <w:rFonts w:cs="Arial"/>
          <w:lang w:eastAsia="fr-FR"/>
        </w:rPr>
        <w:t xml:space="preserve">Graham </w:t>
      </w:r>
      <w:r w:rsidRPr="00C77BF3">
        <w:rPr>
          <w:rFonts w:cs="Arial"/>
          <w:i/>
          <w:iCs/>
          <w:lang w:eastAsia="fr-FR"/>
        </w:rPr>
        <w:t>et al.,</w:t>
      </w:r>
      <w:r w:rsidRPr="00C77BF3">
        <w:rPr>
          <w:rFonts w:cs="Arial"/>
          <w:lang w:eastAsia="fr-FR"/>
        </w:rPr>
        <w:t xml:space="preserve"> 2007a). The virus is also readily inactivated by UV-light, but is more resistant to chlorine and ozone treatment. </w:t>
      </w:r>
    </w:p>
    <w:p w14:paraId="6EB0F4B4" w14:textId="77777777" w:rsidR="00562F64" w:rsidRPr="00C77BF3" w:rsidRDefault="00562F64" w:rsidP="00555AD1">
      <w:pPr>
        <w:pStyle w:val="111"/>
        <w:spacing w:after="160"/>
        <w:ind w:left="1276"/>
        <w:rPr>
          <w:lang w:val="en-IE"/>
        </w:rPr>
      </w:pPr>
      <w:r w:rsidRPr="00C77BF3">
        <w:rPr>
          <w:lang w:val="en-IE"/>
        </w:rPr>
        <w:t>2.4.6.</w:t>
      </w:r>
      <w:r w:rsidRPr="00C77BF3">
        <w:rPr>
          <w:lang w:val="en-IE"/>
        </w:rPr>
        <w:tab/>
        <w:t>Disinfection of eggs and larvae</w:t>
      </w:r>
    </w:p>
    <w:p w14:paraId="15A8817F" w14:textId="77777777" w:rsidR="00562F64" w:rsidRPr="008F71F5" w:rsidRDefault="00562F64" w:rsidP="00555AD1">
      <w:pPr>
        <w:pStyle w:val="Para3"/>
        <w:spacing w:after="160"/>
        <w:ind w:left="709"/>
        <w:rPr>
          <w:rFonts w:cs="Arial"/>
        </w:rPr>
      </w:pPr>
      <w:r w:rsidRPr="00C77BF3">
        <w:rPr>
          <w:rFonts w:cs="Arial"/>
          <w:szCs w:val="18"/>
        </w:rPr>
        <w:t xml:space="preserve">Standard disinfection procedures are considered sufficient to prevent surface contamination of eggs by SAV (Graham </w:t>
      </w:r>
      <w:r w:rsidRPr="00C77BF3">
        <w:rPr>
          <w:rFonts w:cs="Arial"/>
          <w:i/>
          <w:iCs/>
          <w:szCs w:val="18"/>
        </w:rPr>
        <w:t>et al.,</w:t>
      </w:r>
      <w:r w:rsidRPr="00C77BF3">
        <w:rPr>
          <w:rFonts w:cs="Arial"/>
          <w:szCs w:val="18"/>
        </w:rPr>
        <w:t xml:space="preserve"> 2007).</w:t>
      </w:r>
      <w:r w:rsidRPr="008F71F5">
        <w:rPr>
          <w:rFonts w:cs="Arial"/>
          <w:szCs w:val="18"/>
        </w:rPr>
        <w:t xml:space="preserve"> </w:t>
      </w:r>
    </w:p>
    <w:p w14:paraId="7C7CB262" w14:textId="77777777" w:rsidR="00562F64" w:rsidRPr="008B4EF8" w:rsidRDefault="00562F64" w:rsidP="00555AD1">
      <w:pPr>
        <w:pStyle w:val="111"/>
        <w:spacing w:after="160"/>
        <w:ind w:left="1276"/>
      </w:pPr>
      <w:r w:rsidRPr="008B4EF8">
        <w:t>2.4.7.</w:t>
      </w:r>
      <w:r w:rsidRPr="008B4EF8">
        <w:tab/>
        <w:t xml:space="preserve">General </w:t>
      </w:r>
      <w:r w:rsidRPr="00555AD1">
        <w:rPr>
          <w:lang w:val="en-IE"/>
        </w:rPr>
        <w:t>husbandry</w:t>
      </w:r>
    </w:p>
    <w:p w14:paraId="56D46438" w14:textId="77777777" w:rsidR="00562F64" w:rsidRPr="007F35B1" w:rsidRDefault="00562F64" w:rsidP="00555AD1">
      <w:pPr>
        <w:pStyle w:val="Para3"/>
        <w:spacing w:after="160"/>
        <w:ind w:left="709"/>
        <w:rPr>
          <w:rFonts w:cs="Arial"/>
        </w:rPr>
      </w:pPr>
      <w:r w:rsidRPr="00AA1AF1">
        <w:rPr>
          <w:lang w:eastAsia="fr-FR"/>
        </w:rPr>
        <w:t xml:space="preserve">To avoid infection with SAV, </w:t>
      </w:r>
      <w:r>
        <w:rPr>
          <w:lang w:eastAsia="fr-FR"/>
        </w:rPr>
        <w:t>good husbandry</w:t>
      </w:r>
      <w:r w:rsidRPr="00AA1AF1">
        <w:rPr>
          <w:lang w:eastAsia="fr-FR"/>
        </w:rPr>
        <w:t xml:space="preserve"> practices should be applied</w:t>
      </w:r>
      <w:r>
        <w:rPr>
          <w:lang w:eastAsia="fr-FR"/>
        </w:rPr>
        <w:t xml:space="preserve"> such as </w:t>
      </w:r>
      <w:r w:rsidRPr="00AA1AF1">
        <w:rPr>
          <w:lang w:eastAsia="fr-FR"/>
        </w:rPr>
        <w:t xml:space="preserve">use of appropriate sites for farming, segregation of generations, stocking with good </w:t>
      </w:r>
      <w:r w:rsidRPr="004D3492">
        <w:rPr>
          <w:lang w:eastAsia="fr-FR"/>
        </w:rPr>
        <w:t>quality fish, removal of dead fish, regular cleaning of tanks and pens, control</w:t>
      </w:r>
      <w:r>
        <w:rPr>
          <w:lang w:eastAsia="fr-FR"/>
        </w:rPr>
        <w:t xml:space="preserve"> of </w:t>
      </w:r>
      <w:r w:rsidRPr="004D3492">
        <w:rPr>
          <w:lang w:eastAsia="fr-FR"/>
        </w:rPr>
        <w:t xml:space="preserve">parasites and other pathogens, as well </w:t>
      </w:r>
      <w:r w:rsidRPr="00AA1AF1">
        <w:rPr>
          <w:lang w:eastAsia="fr-FR"/>
        </w:rPr>
        <w:t xml:space="preserve">as careful handling of fish. Once </w:t>
      </w:r>
      <w:r>
        <w:rPr>
          <w:lang w:eastAsia="fr-FR"/>
        </w:rPr>
        <w:t xml:space="preserve">an outbreak has started, </w:t>
      </w:r>
      <w:r w:rsidRPr="00AA1AF1">
        <w:rPr>
          <w:lang w:eastAsia="fr-FR"/>
        </w:rPr>
        <w:t xml:space="preserve">mortality may be reduced by </w:t>
      </w:r>
      <w:r>
        <w:rPr>
          <w:lang w:eastAsia="fr-FR"/>
        </w:rPr>
        <w:t>minimising handling and ceasing feeding</w:t>
      </w:r>
      <w:r>
        <w:rPr>
          <w:rFonts w:cs="Arial"/>
          <w:lang w:eastAsia="fr-FR"/>
        </w:rPr>
        <w:t>.</w:t>
      </w:r>
    </w:p>
    <w:p w14:paraId="2D1593AF" w14:textId="77777777" w:rsidR="00562F64" w:rsidRPr="00555AD1" w:rsidRDefault="00562F64" w:rsidP="00555AD1">
      <w:pPr>
        <w:pStyle w:val="StyleTitre1Arial"/>
        <w:spacing w:after="160"/>
        <w:rPr>
          <w:rFonts w:ascii="Ottawa" w:hAnsi="Ottawa"/>
          <w:lang w:val="en-IE"/>
        </w:rPr>
      </w:pPr>
      <w:bookmarkStart w:id="167" w:name="_Toc38028717"/>
      <w:r w:rsidRPr="00555AD1">
        <w:rPr>
          <w:rFonts w:ascii="Ottawa" w:hAnsi="Ottawa"/>
          <w:lang w:val="en-IE"/>
        </w:rPr>
        <w:t>3.</w:t>
      </w:r>
      <w:r w:rsidRPr="00555AD1">
        <w:rPr>
          <w:rFonts w:ascii="Ottawa" w:hAnsi="Ottawa"/>
          <w:lang w:val="en-IE"/>
        </w:rPr>
        <w:tab/>
        <w:t>Specimen selection, sample collection, transportation and handling</w:t>
      </w:r>
      <w:bookmarkEnd w:id="167"/>
      <w:r w:rsidRPr="00555AD1">
        <w:rPr>
          <w:rFonts w:ascii="Ottawa" w:hAnsi="Ottawa"/>
          <w:lang w:val="en-IE"/>
        </w:rPr>
        <w:t xml:space="preserve"> </w:t>
      </w:r>
    </w:p>
    <w:p w14:paraId="2FCF6429" w14:textId="77777777" w:rsidR="00562F64" w:rsidRPr="00D10BBF" w:rsidRDefault="00562F64" w:rsidP="00555AD1">
      <w:pPr>
        <w:pStyle w:val="11"/>
        <w:spacing w:after="160"/>
        <w:rPr>
          <w:rFonts w:ascii="Ottawa" w:hAnsi="Ottawa"/>
          <w:sz w:val="21"/>
          <w:szCs w:val="21"/>
        </w:rPr>
      </w:pPr>
      <w:r w:rsidRPr="00D10BBF">
        <w:rPr>
          <w:rFonts w:ascii="Ottawa" w:hAnsi="Ottawa"/>
          <w:sz w:val="21"/>
          <w:szCs w:val="21"/>
        </w:rPr>
        <w:t>3.1.</w:t>
      </w:r>
      <w:r w:rsidRPr="00D10BBF">
        <w:rPr>
          <w:rFonts w:ascii="Ottawa" w:hAnsi="Ottawa"/>
          <w:sz w:val="21"/>
          <w:szCs w:val="21"/>
        </w:rPr>
        <w:tab/>
        <w:t xml:space="preserve">Selection of populations and individual specimens </w:t>
      </w:r>
    </w:p>
    <w:p w14:paraId="42424C97" w14:textId="77777777" w:rsidR="00562F64" w:rsidRDefault="00562F64" w:rsidP="00555AD1">
      <w:pPr>
        <w:pStyle w:val="Para20"/>
        <w:ind w:left="709"/>
      </w:pPr>
      <w:r w:rsidRPr="00110442">
        <w:rPr>
          <w:rFonts w:cs="Arial"/>
          <w:spacing w:val="-2"/>
          <w:szCs w:val="18"/>
          <w:lang w:val="en-GB"/>
        </w:rPr>
        <w:t xml:space="preserve">Clinical inspections should be carried out during a period when the water temperature is below </w:t>
      </w:r>
      <w:r w:rsidRPr="00A51082">
        <w:rPr>
          <w:rFonts w:cs="Arial"/>
          <w:spacing w:val="-2"/>
          <w:szCs w:val="18"/>
          <w:lang w:val="en-GB"/>
        </w:rPr>
        <w:t>XX</w:t>
      </w:r>
      <w:r w:rsidRPr="00110442">
        <w:rPr>
          <w:rFonts w:cs="Arial"/>
          <w:spacing w:val="-2"/>
          <w:szCs w:val="18"/>
          <w:lang w:val="en-GB"/>
        </w:rPr>
        <w:t>°C</w:t>
      </w:r>
      <w:r>
        <w:rPr>
          <w:rFonts w:cs="Arial"/>
          <w:spacing w:val="-2"/>
          <w:szCs w:val="18"/>
          <w:lang w:val="en-GB"/>
        </w:rPr>
        <w:t xml:space="preserve">. </w:t>
      </w:r>
      <w:r w:rsidRPr="00AA1AF1">
        <w:rPr>
          <w:rFonts w:cs="Arial"/>
          <w:lang w:eastAsia="fr-FR"/>
        </w:rPr>
        <w:t>All production units (ponds, tanks, net-cages, etc.) should be inspected for the presence of dead, weak or abnormally behaving fish. Extremely weak (‘sleeping’) fish may be found at the bottom of a tank or in the net-</w:t>
      </w:r>
      <w:r w:rsidRPr="00AA1AF1">
        <w:rPr>
          <w:rFonts w:cs="Arial"/>
        </w:rPr>
        <w:t>cages</w:t>
      </w:r>
      <w:r w:rsidRPr="00AA1AF1">
        <w:rPr>
          <w:rFonts w:cs="Arial"/>
          <w:lang w:eastAsia="fr-FR"/>
        </w:rPr>
        <w:t>. If the number of clinically diseased fish is low, samples from long, thin fish (‘runts’) may be added (</w:t>
      </w:r>
      <w:r w:rsidRPr="00C77BF3">
        <w:rPr>
          <w:rFonts w:cs="Arial"/>
          <w:lang w:eastAsia="fr-FR"/>
        </w:rPr>
        <w:t xml:space="preserve">Jansen </w:t>
      </w:r>
      <w:r w:rsidRPr="00C77BF3">
        <w:rPr>
          <w:rFonts w:cs="Arial"/>
          <w:i/>
          <w:lang w:eastAsia="fr-FR"/>
        </w:rPr>
        <w:t>et al.,</w:t>
      </w:r>
      <w:r w:rsidRPr="00C77BF3">
        <w:rPr>
          <w:rFonts w:cs="Arial"/>
          <w:lang w:eastAsia="fr-FR"/>
        </w:rPr>
        <w:t xml:space="preserve"> 2010b). </w:t>
      </w:r>
      <w:r w:rsidRPr="00C77BF3">
        <w:t xml:space="preserve">If moribund or thin fish or runts are sampled, the probability of detecting SAV is higher than if randomly selected, apparently healthy fish are sampled (Jansen </w:t>
      </w:r>
      <w:r w:rsidRPr="00C77BF3">
        <w:rPr>
          <w:i/>
        </w:rPr>
        <w:t>et al.,</w:t>
      </w:r>
      <w:r w:rsidRPr="00C77BF3">
        <w:t xml:space="preserve"> 2010b). Prevalence</w:t>
      </w:r>
      <w:r w:rsidRPr="00AA1AF1">
        <w:t xml:space="preserve"> estimates will also vary with the diagnostic method used.</w:t>
      </w:r>
    </w:p>
    <w:p w14:paraId="2E4E2FF5" w14:textId="77777777" w:rsidR="00555AD1" w:rsidRDefault="00555AD1">
      <w:pPr>
        <w:rPr>
          <w:rFonts w:ascii="Arial" w:eastAsia="Times New Roman" w:hAnsi="Arial" w:cs="Arial"/>
          <w:sz w:val="18"/>
          <w:szCs w:val="18"/>
        </w:rPr>
      </w:pPr>
      <w:r>
        <w:rPr>
          <w:rFonts w:cs="Arial"/>
          <w:szCs w:val="18"/>
        </w:rPr>
        <w:br w:type="page"/>
      </w:r>
    </w:p>
    <w:p w14:paraId="0267A1E8" w14:textId="77777777" w:rsidR="00555AD1" w:rsidRPr="008A67C2" w:rsidRDefault="00555AD1" w:rsidP="00555AD1">
      <w:pPr>
        <w:spacing w:after="480" w:line="240" w:lineRule="auto"/>
        <w:jc w:val="right"/>
        <w:rPr>
          <w:rFonts w:cs="Times New Roman"/>
          <w:bCs/>
          <w:iCs/>
          <w:szCs w:val="20"/>
        </w:rPr>
      </w:pPr>
      <w:r w:rsidRPr="008A67C2">
        <w:rPr>
          <w:u w:val="single"/>
        </w:rPr>
        <w:lastRenderedPageBreak/>
        <w:t>A</w:t>
      </w:r>
      <w:r w:rsidRPr="008A67C2">
        <w:rPr>
          <w:rFonts w:cs="Times New Roman"/>
          <w:bCs/>
          <w:iCs/>
          <w:szCs w:val="20"/>
          <w:u w:val="single"/>
        </w:rPr>
        <w:t>nnex 1</w:t>
      </w:r>
      <w:r>
        <w:rPr>
          <w:rFonts w:cs="Times New Roman"/>
          <w:bCs/>
          <w:iCs/>
          <w:szCs w:val="20"/>
          <w:u w:val="single"/>
        </w:rPr>
        <w:t>6</w:t>
      </w:r>
      <w:r w:rsidRPr="008A67C2">
        <w:rPr>
          <w:rFonts w:cs="Times New Roman"/>
          <w:bCs/>
          <w:iCs/>
          <w:szCs w:val="20"/>
        </w:rPr>
        <w:t xml:space="preserve"> (contd)</w:t>
      </w:r>
    </w:p>
    <w:p w14:paraId="04811294" w14:textId="6B2CBCA7" w:rsidR="00562F64" w:rsidRPr="00110442" w:rsidRDefault="00562F64" w:rsidP="00555AD1">
      <w:pPr>
        <w:pStyle w:val="Para20"/>
        <w:spacing w:after="120"/>
        <w:ind w:left="709"/>
        <w:rPr>
          <w:rFonts w:cs="Arial"/>
          <w:szCs w:val="18"/>
          <w:lang w:val="en-GB"/>
        </w:rPr>
      </w:pPr>
      <w:r>
        <w:rPr>
          <w:rFonts w:cs="Arial"/>
          <w:szCs w:val="18"/>
          <w:lang w:val="en-GB"/>
        </w:rPr>
        <w:t>Fis</w:t>
      </w:r>
      <w:r w:rsidRPr="00110442">
        <w:rPr>
          <w:rFonts w:cs="Arial"/>
          <w:szCs w:val="18"/>
          <w:lang w:val="en-GB"/>
        </w:rPr>
        <w:t>h to be sampled are selected as follows:</w:t>
      </w:r>
    </w:p>
    <w:p w14:paraId="66B26372" w14:textId="77777777" w:rsidR="00562F64" w:rsidRPr="00110442" w:rsidRDefault="00562F64" w:rsidP="00555AD1">
      <w:pPr>
        <w:pStyle w:val="Parai2"/>
        <w:spacing w:after="120"/>
        <w:ind w:left="1134"/>
        <w:rPr>
          <w:rFonts w:cs="Arial"/>
          <w:szCs w:val="18"/>
          <w:lang w:val="en-GB"/>
        </w:rPr>
      </w:pPr>
      <w:r w:rsidRPr="00110442">
        <w:rPr>
          <w:rFonts w:cs="Arial"/>
          <w:szCs w:val="18"/>
          <w:lang w:val="en-GB"/>
        </w:rPr>
        <w:t>i)</w:t>
      </w:r>
      <w:r w:rsidRPr="00110442">
        <w:rPr>
          <w:rFonts w:cs="Arial"/>
          <w:szCs w:val="18"/>
          <w:lang w:val="en-GB"/>
        </w:rPr>
        <w:tab/>
        <w:t xml:space="preserve">Susceptible species should be sampled proportionally, or following risk-based criteria for targeted selection of lots or populations with a history of abnormal mortality or potential exposure events (e.g. via untreated surface water, wild harvest or replacement with stocks of unknown </w:t>
      </w:r>
      <w:r>
        <w:rPr>
          <w:rFonts w:cs="Arial"/>
          <w:szCs w:val="18"/>
          <w:lang w:val="en-GB"/>
        </w:rPr>
        <w:t>disease</w:t>
      </w:r>
      <w:r w:rsidRPr="00110442">
        <w:rPr>
          <w:rFonts w:cs="Arial"/>
          <w:szCs w:val="18"/>
          <w:lang w:val="en-GB"/>
        </w:rPr>
        <w:t xml:space="preserve"> status).</w:t>
      </w:r>
    </w:p>
    <w:p w14:paraId="649E08A5" w14:textId="77777777" w:rsidR="00562F64" w:rsidRPr="00110442" w:rsidRDefault="00562F64" w:rsidP="00555AD1">
      <w:pPr>
        <w:pStyle w:val="Parai2"/>
        <w:spacing w:after="120"/>
        <w:ind w:left="1134"/>
        <w:rPr>
          <w:rFonts w:cs="Arial"/>
          <w:szCs w:val="18"/>
          <w:lang w:val="en-GB"/>
        </w:rPr>
      </w:pPr>
      <w:r w:rsidRPr="00110442">
        <w:rPr>
          <w:rFonts w:cs="Arial"/>
          <w:szCs w:val="18"/>
          <w:lang w:val="en-GB"/>
        </w:rPr>
        <w:t>ii)</w:t>
      </w:r>
      <w:r w:rsidRPr="00110442">
        <w:rPr>
          <w:rFonts w:cs="Arial"/>
          <w:szCs w:val="18"/>
          <w:lang w:val="en-GB"/>
        </w:rPr>
        <w:tab/>
        <w:t>If more than one water source is used for fish production, fish from all water sources should be included in the sample.</w:t>
      </w:r>
    </w:p>
    <w:p w14:paraId="1DBE81ED" w14:textId="77777777" w:rsidR="00562F64" w:rsidRPr="00110442" w:rsidRDefault="00562F64" w:rsidP="00555AD1">
      <w:pPr>
        <w:pStyle w:val="Para20"/>
        <w:ind w:left="1134" w:hanging="425"/>
        <w:rPr>
          <w:rFonts w:cs="Arial"/>
        </w:rPr>
      </w:pPr>
      <w:r w:rsidRPr="00110442">
        <w:rPr>
          <w:rFonts w:cs="Arial"/>
          <w:szCs w:val="18"/>
          <w:lang w:val="en-GB"/>
        </w:rPr>
        <w:t>iii)</w:t>
      </w:r>
      <w:r w:rsidRPr="00110442">
        <w:rPr>
          <w:rFonts w:cs="Arial"/>
          <w:szCs w:val="18"/>
          <w:lang w:val="en-GB"/>
        </w:rPr>
        <w:tab/>
        <w:t>If weak, abnormally behaving or freshly dead (not decomposed) fish are present, such fish should be selected. If such fish are not present, the fish selected should include normal appearing, healthy fish collected in such a way that all parts of the farm as well as all year classes are proportionally represented in the sample.</w:t>
      </w:r>
    </w:p>
    <w:p w14:paraId="308B2EBA" w14:textId="77777777" w:rsidR="00562F64" w:rsidRPr="00D10BBF" w:rsidRDefault="00562F64" w:rsidP="00562F64">
      <w:pPr>
        <w:pStyle w:val="11"/>
        <w:rPr>
          <w:rFonts w:ascii="Ottawa" w:hAnsi="Ottawa"/>
          <w:sz w:val="21"/>
          <w:szCs w:val="21"/>
        </w:rPr>
      </w:pPr>
      <w:r w:rsidRPr="00D10BBF">
        <w:rPr>
          <w:rFonts w:ascii="Ottawa" w:hAnsi="Ottawa"/>
          <w:sz w:val="21"/>
          <w:szCs w:val="21"/>
        </w:rPr>
        <w:t>3.2.</w:t>
      </w:r>
      <w:r w:rsidRPr="00D10BBF">
        <w:rPr>
          <w:rFonts w:ascii="Ottawa" w:hAnsi="Ottawa"/>
          <w:sz w:val="21"/>
          <w:szCs w:val="21"/>
        </w:rPr>
        <w:tab/>
        <w:t>Selection of organs or tissues</w:t>
      </w:r>
    </w:p>
    <w:p w14:paraId="668C4FF0" w14:textId="77777777" w:rsidR="00562F64" w:rsidRPr="00C77BF3" w:rsidRDefault="00562F64" w:rsidP="00555AD1">
      <w:pPr>
        <w:pStyle w:val="Para20"/>
        <w:ind w:left="709"/>
      </w:pPr>
      <w:r w:rsidRPr="00747200">
        <w:t xml:space="preserve">Heart and mid-kidney are the recommended organs for detection of SAV either by molecular biological methods or by cell culture. During the course of the disease, the heart usually contains more SAV than other tissues and should always be sampled. After disease outbreaks, gill and </w:t>
      </w:r>
      <w:r w:rsidRPr="00C77BF3">
        <w:t xml:space="preserve">heart tissue (Graham </w:t>
      </w:r>
      <w:r w:rsidRPr="00C77BF3">
        <w:rPr>
          <w:i/>
          <w:iCs/>
        </w:rPr>
        <w:t>et al.,</w:t>
      </w:r>
      <w:r w:rsidRPr="00C77BF3">
        <w:t xml:space="preserve"> 2010) and pools of heart and mid-kidney tissue (Jansen </w:t>
      </w:r>
      <w:r w:rsidRPr="00C77BF3">
        <w:rPr>
          <w:i/>
          <w:iCs/>
        </w:rPr>
        <w:t>et al.,</w:t>
      </w:r>
      <w:r w:rsidRPr="00C77BF3">
        <w:t xml:space="preserve"> 2010b) remained positive by real time RT-PCR for months after initial detection. </w:t>
      </w:r>
    </w:p>
    <w:p w14:paraId="2FE39722" w14:textId="77777777" w:rsidR="00562F64" w:rsidRPr="00C77BF3" w:rsidRDefault="00562F64" w:rsidP="00555AD1">
      <w:pPr>
        <w:pStyle w:val="Para20"/>
        <w:ind w:left="709"/>
      </w:pPr>
      <w:r w:rsidRPr="00C77BF3">
        <w:t>For sampling from vaccinated fish, the heart should be sampled without opening the abdominal cavity. Sampling of mid-kidney, spleen or other internal organs is not recommended to avoid contamination of viral RNA/DNA from the vaccine (See Section 2.4).</w:t>
      </w:r>
    </w:p>
    <w:p w14:paraId="4929D13D" w14:textId="77777777" w:rsidR="00562F64" w:rsidRPr="00747200" w:rsidRDefault="00562F64" w:rsidP="00555AD1">
      <w:pPr>
        <w:pStyle w:val="Para20"/>
        <w:ind w:left="709"/>
      </w:pPr>
      <w:r w:rsidRPr="00C77BF3">
        <w:t xml:space="preserve">During the initial viraemic phase, serum samples are also suitable for detection of SAV either by molecular biological methods or by cell culture, which </w:t>
      </w:r>
      <w:r>
        <w:t xml:space="preserve">can </w:t>
      </w:r>
      <w:r w:rsidRPr="00C77BF3">
        <w:t xml:space="preserve">provide an early warning of disease outbreaks (Graham </w:t>
      </w:r>
      <w:r w:rsidRPr="00C77BF3">
        <w:rPr>
          <w:i/>
          <w:iCs/>
        </w:rPr>
        <w:t>et al.,</w:t>
      </w:r>
      <w:r w:rsidRPr="00C77BF3">
        <w:t xml:space="preserve"> 2010). From approximately 3 weeks after SAV infection, blood serum or plasma is suitable for a virus neutralisation test (Graham </w:t>
      </w:r>
      <w:r w:rsidRPr="00C77BF3">
        <w:rPr>
          <w:i/>
          <w:iCs/>
        </w:rPr>
        <w:t>et al.,</w:t>
      </w:r>
      <w:r w:rsidRPr="00C77BF3">
        <w:t xml:space="preserve"> 2003).</w:t>
      </w:r>
      <w:r w:rsidRPr="00747200">
        <w:t xml:space="preserve"> </w:t>
      </w:r>
    </w:p>
    <w:p w14:paraId="644CDB7D" w14:textId="77777777" w:rsidR="00562F64" w:rsidRPr="00747200" w:rsidRDefault="00562F64" w:rsidP="00555AD1">
      <w:pPr>
        <w:pStyle w:val="Para20"/>
        <w:ind w:left="709"/>
      </w:pPr>
      <w:r w:rsidRPr="00747200">
        <w:t>Tissues for histological examinations should include gill, heart, pyloric caeca with attached pancreatic tissue, liver, kidney, spleen and skeletal muscle containing both red (aerobic) and white (anaerobic) muscle. Skin with associated skeletal muscle should be sampled at the lateral line level and deep enough to include both red and white muscle.</w:t>
      </w:r>
    </w:p>
    <w:p w14:paraId="738D2B71" w14:textId="77777777" w:rsidR="00562F64" w:rsidRPr="00D10BBF" w:rsidRDefault="00562F64" w:rsidP="00562F64">
      <w:pPr>
        <w:pStyle w:val="11"/>
        <w:rPr>
          <w:rFonts w:ascii="Ottawa" w:hAnsi="Ottawa"/>
          <w:sz w:val="21"/>
          <w:szCs w:val="21"/>
        </w:rPr>
      </w:pPr>
      <w:r w:rsidRPr="00D10BBF">
        <w:rPr>
          <w:rFonts w:ascii="Ottawa" w:hAnsi="Ottawa"/>
          <w:sz w:val="21"/>
          <w:szCs w:val="21"/>
        </w:rPr>
        <w:t>3.3.</w:t>
      </w:r>
      <w:r w:rsidRPr="00D10BBF">
        <w:rPr>
          <w:rFonts w:ascii="Ottawa" w:hAnsi="Ottawa"/>
          <w:sz w:val="21"/>
          <w:szCs w:val="21"/>
        </w:rPr>
        <w:tab/>
        <w:t>Samples or tissues not suitable for pathogen detection</w:t>
      </w:r>
    </w:p>
    <w:p w14:paraId="09C87083" w14:textId="77777777" w:rsidR="00562F64" w:rsidRPr="00747200" w:rsidRDefault="00562F64" w:rsidP="00555AD1">
      <w:pPr>
        <w:pStyle w:val="Para20"/>
        <w:ind w:left="709"/>
        <w:rPr>
          <w:rFonts w:cs="Arial"/>
        </w:rPr>
      </w:pPr>
      <w:r w:rsidRPr="00747200">
        <w:rPr>
          <w:rFonts w:cs="Arial"/>
          <w:lang w:val="da-DK"/>
        </w:rPr>
        <w:t>Pancreas, although a target organ for the virus, is not suitable for RT-PCR detection of SAV, as it is impossible to separate this organ from the intestine of the fish during sampling, and in addition loss of pancreas is common in infected fish. Organs other than those recommended in</w:t>
      </w:r>
      <w:r>
        <w:rPr>
          <w:rFonts w:cs="Arial"/>
          <w:lang w:val="da-DK"/>
        </w:rPr>
        <w:t xml:space="preserve"> Section</w:t>
      </w:r>
      <w:r w:rsidRPr="00747200">
        <w:rPr>
          <w:rFonts w:cs="Arial"/>
          <w:lang w:val="da-DK"/>
        </w:rPr>
        <w:t xml:space="preserve"> 3.2. should not be used for the detection of SAV, as the sensitivity of the diagnostic methods might be reduced.</w:t>
      </w:r>
    </w:p>
    <w:p w14:paraId="6990F8C6" w14:textId="77777777" w:rsidR="00562F64" w:rsidRPr="00D10BBF" w:rsidRDefault="00562F64" w:rsidP="00562F64">
      <w:pPr>
        <w:pStyle w:val="11"/>
        <w:rPr>
          <w:rFonts w:ascii="Ottawa" w:hAnsi="Ottawa"/>
          <w:sz w:val="21"/>
          <w:szCs w:val="21"/>
        </w:rPr>
      </w:pPr>
      <w:r w:rsidRPr="00D10BBF">
        <w:rPr>
          <w:rFonts w:ascii="Ottawa" w:hAnsi="Ottawa"/>
          <w:sz w:val="21"/>
          <w:szCs w:val="21"/>
        </w:rPr>
        <w:t>3.4.</w:t>
      </w:r>
      <w:r w:rsidRPr="00D10BBF">
        <w:rPr>
          <w:rFonts w:ascii="Ottawa" w:hAnsi="Ottawa"/>
          <w:sz w:val="21"/>
          <w:szCs w:val="21"/>
        </w:rPr>
        <w:tab/>
        <w:t>Non-lethal sampling</w:t>
      </w:r>
    </w:p>
    <w:p w14:paraId="79A4C40E" w14:textId="77777777" w:rsidR="00562F64" w:rsidRPr="00A51082" w:rsidRDefault="00562F64" w:rsidP="00555AD1">
      <w:pPr>
        <w:pStyle w:val="Para20"/>
        <w:ind w:left="709"/>
        <w:rPr>
          <w:rFonts w:cs="Arial"/>
          <w:strike/>
          <w:lang w:eastAsia="fr-FR"/>
        </w:rPr>
      </w:pPr>
      <w:r w:rsidRPr="00747200">
        <w:rPr>
          <w:rFonts w:cs="Arial"/>
          <w:lang w:eastAsia="fr-FR"/>
        </w:rPr>
        <w:t xml:space="preserve">There are investigations into using non-lethal sampling methods for surveillance of SAV in fish farms, including detection of virus in water. However, no validated methods are currently available. </w:t>
      </w:r>
    </w:p>
    <w:p w14:paraId="41023E27" w14:textId="77777777" w:rsidR="00562F64" w:rsidRPr="00D10BBF" w:rsidRDefault="00562F64" w:rsidP="00562F64">
      <w:pPr>
        <w:pStyle w:val="11"/>
        <w:rPr>
          <w:rFonts w:ascii="Ottawa" w:hAnsi="Ottawa"/>
          <w:sz w:val="21"/>
          <w:szCs w:val="21"/>
        </w:rPr>
      </w:pPr>
      <w:r w:rsidRPr="00D10BBF">
        <w:rPr>
          <w:rFonts w:ascii="Ottawa" w:hAnsi="Ottawa"/>
          <w:sz w:val="21"/>
          <w:szCs w:val="21"/>
        </w:rPr>
        <w:t>3.5.</w:t>
      </w:r>
      <w:r w:rsidRPr="00D10BBF">
        <w:rPr>
          <w:rFonts w:ascii="Ottawa" w:hAnsi="Ottawa"/>
          <w:sz w:val="21"/>
          <w:szCs w:val="21"/>
        </w:rPr>
        <w:tab/>
        <w:t xml:space="preserve">Preservation of samples for submission </w:t>
      </w:r>
    </w:p>
    <w:p w14:paraId="0E173BC2" w14:textId="77777777" w:rsidR="00562F64" w:rsidRPr="00103238" w:rsidRDefault="00562F64" w:rsidP="00555AD1">
      <w:pPr>
        <w:pStyle w:val="Para20"/>
        <w:spacing w:before="240"/>
        <w:ind w:left="709"/>
      </w:pPr>
      <w:r w:rsidRPr="00103238">
        <w:t>For guidance on sample preservation methods for the intended test methods, see Chapter 2.3.0.</w:t>
      </w:r>
    </w:p>
    <w:p w14:paraId="2C5C2FEF" w14:textId="77777777" w:rsidR="00562F64" w:rsidRPr="007F35B1" w:rsidRDefault="00562F64" w:rsidP="00555AD1">
      <w:pPr>
        <w:pStyle w:val="111"/>
        <w:ind w:left="1276"/>
        <w:rPr>
          <w:lang w:val="en-IE"/>
        </w:rPr>
      </w:pPr>
      <w:r w:rsidRPr="007F35B1">
        <w:rPr>
          <w:lang w:val="en-IE"/>
        </w:rPr>
        <w:t>3.5.1.</w:t>
      </w:r>
      <w:r w:rsidRPr="007F35B1">
        <w:rPr>
          <w:lang w:val="en-IE"/>
        </w:rPr>
        <w:tab/>
        <w:t xml:space="preserve">Samples for pathogen isolation </w:t>
      </w:r>
    </w:p>
    <w:p w14:paraId="67A7AEFA" w14:textId="77777777" w:rsidR="00562F64" w:rsidRPr="00C4176E" w:rsidRDefault="00562F64" w:rsidP="00555AD1">
      <w:pPr>
        <w:spacing w:after="200"/>
        <w:ind w:left="709"/>
        <w:jc w:val="both"/>
        <w:rPr>
          <w:rFonts w:ascii="Arial" w:hAnsi="Arial"/>
          <w:bCs/>
          <w:sz w:val="18"/>
          <w:szCs w:val="18"/>
          <w:lang w:val="en-IE" w:eastAsia="fr-FR"/>
        </w:rPr>
      </w:pPr>
      <w:r w:rsidRPr="00C4176E">
        <w:rPr>
          <w:rFonts w:ascii="Arial" w:hAnsi="Arial"/>
          <w:bCs/>
          <w:sz w:val="18"/>
          <w:szCs w:val="18"/>
          <w:lang w:val="en-IE" w:eastAsia="fr-FR"/>
        </w:rPr>
        <w:t xml:space="preserve">The success of pathogen isolation and results of bioassay depend </w:t>
      </w:r>
      <w:r>
        <w:rPr>
          <w:rFonts w:ascii="Arial" w:hAnsi="Arial"/>
          <w:bCs/>
          <w:sz w:val="18"/>
          <w:szCs w:val="18"/>
          <w:lang w:val="en-IE" w:eastAsia="fr-FR"/>
        </w:rPr>
        <w:t>heavily</w:t>
      </w:r>
      <w:r w:rsidRPr="00C4176E">
        <w:rPr>
          <w:rFonts w:ascii="Arial" w:hAnsi="Arial"/>
          <w:bCs/>
          <w:sz w:val="18"/>
          <w:szCs w:val="18"/>
          <w:lang w:val="en-IE" w:eastAsia="fr-FR"/>
        </w:rPr>
        <w:t xml:space="preserve"> on the quality of samples (time since collection and time in storage). Fresh specimens should be kept on ice and preferably sent to the laboratory within 24 hours of collection. Alternate storage methods should be used only after consultation with the receiving laboratory.</w:t>
      </w:r>
    </w:p>
    <w:p w14:paraId="1E06AE3C" w14:textId="77777777" w:rsidR="00555AD1" w:rsidRDefault="00555AD1">
      <w:pPr>
        <w:rPr>
          <w:rFonts w:ascii="Arial" w:hAnsi="Arial"/>
          <w:bCs/>
          <w:sz w:val="18"/>
          <w:szCs w:val="18"/>
          <w:highlight w:val="yellow"/>
          <w:lang w:val="en-IE" w:eastAsia="fr-FR"/>
        </w:rPr>
      </w:pPr>
      <w:r>
        <w:rPr>
          <w:rFonts w:ascii="Arial" w:hAnsi="Arial"/>
          <w:bCs/>
          <w:sz w:val="18"/>
          <w:szCs w:val="18"/>
          <w:highlight w:val="yellow"/>
          <w:lang w:val="en-IE" w:eastAsia="fr-FR"/>
        </w:rPr>
        <w:br w:type="page"/>
      </w:r>
    </w:p>
    <w:p w14:paraId="0812589D" w14:textId="77777777" w:rsidR="00555AD1" w:rsidRPr="008A67C2" w:rsidRDefault="00555AD1" w:rsidP="00555AD1">
      <w:pPr>
        <w:spacing w:after="480" w:line="240" w:lineRule="auto"/>
        <w:rPr>
          <w:rFonts w:cs="Times New Roman"/>
          <w:bCs/>
          <w:iCs/>
          <w:szCs w:val="20"/>
        </w:rPr>
      </w:pPr>
      <w:r w:rsidRPr="008A67C2">
        <w:rPr>
          <w:u w:val="single"/>
        </w:rPr>
        <w:lastRenderedPageBreak/>
        <w:t>A</w:t>
      </w:r>
      <w:r w:rsidRPr="008A67C2">
        <w:rPr>
          <w:rFonts w:cs="Times New Roman"/>
          <w:bCs/>
          <w:iCs/>
          <w:szCs w:val="20"/>
          <w:u w:val="single"/>
        </w:rPr>
        <w:t>nnex 1</w:t>
      </w:r>
      <w:r>
        <w:rPr>
          <w:rFonts w:cs="Times New Roman"/>
          <w:bCs/>
          <w:iCs/>
          <w:szCs w:val="20"/>
          <w:u w:val="single"/>
        </w:rPr>
        <w:t>6</w:t>
      </w:r>
      <w:r w:rsidRPr="008A67C2">
        <w:rPr>
          <w:rFonts w:cs="Times New Roman"/>
          <w:bCs/>
          <w:iCs/>
          <w:szCs w:val="20"/>
        </w:rPr>
        <w:t xml:space="preserve"> (contd)</w:t>
      </w:r>
    </w:p>
    <w:p w14:paraId="26F08DC8" w14:textId="2B595B0C" w:rsidR="00562F64" w:rsidRPr="00BC5907" w:rsidRDefault="00562F64" w:rsidP="00555AD1">
      <w:pPr>
        <w:spacing w:after="200"/>
        <w:ind w:left="709"/>
        <w:jc w:val="both"/>
        <w:rPr>
          <w:rFonts w:ascii="Arial" w:hAnsi="Arial"/>
          <w:bCs/>
          <w:sz w:val="18"/>
          <w:szCs w:val="18"/>
          <w:lang w:val="en-IE" w:eastAsia="fr-FR"/>
        </w:rPr>
      </w:pPr>
      <w:r w:rsidRPr="00BC5907">
        <w:rPr>
          <w:rFonts w:ascii="Arial" w:hAnsi="Arial"/>
          <w:bCs/>
          <w:sz w:val="18"/>
          <w:szCs w:val="18"/>
          <w:lang w:val="en-IE" w:eastAsia="fr-FR"/>
        </w:rPr>
        <w:t>Before transfer to the laboratory, pieces</w:t>
      </w:r>
      <w:r w:rsidRPr="00BC5907">
        <w:rPr>
          <w:rFonts w:ascii="Arial" w:hAnsi="Arial"/>
          <w:bCs/>
          <w:sz w:val="18"/>
          <w:szCs w:val="18"/>
          <w:lang w:val="en-IE"/>
        </w:rPr>
        <w:t xml:space="preserve"> of the organs to be examined </w:t>
      </w:r>
      <w:r w:rsidRPr="00BC5907">
        <w:rPr>
          <w:rFonts w:ascii="Arial" w:hAnsi="Arial"/>
          <w:bCs/>
          <w:sz w:val="18"/>
          <w:szCs w:val="18"/>
          <w:lang w:val="en-IE" w:eastAsia="fr-FR"/>
        </w:rPr>
        <w:t>should</w:t>
      </w:r>
      <w:r w:rsidRPr="00BC5907">
        <w:rPr>
          <w:rFonts w:ascii="Arial" w:hAnsi="Arial"/>
          <w:bCs/>
          <w:sz w:val="18"/>
          <w:szCs w:val="18"/>
          <w:lang w:val="en-IE"/>
        </w:rPr>
        <w:t xml:space="preserve"> be removed from the fish with sterile dissection </w:t>
      </w:r>
      <w:r w:rsidRPr="00BC5907">
        <w:rPr>
          <w:rFonts w:ascii="Arial" w:hAnsi="Arial"/>
          <w:bCs/>
          <w:sz w:val="18"/>
          <w:szCs w:val="18"/>
          <w:lang w:val="en-IE" w:eastAsia="fr-FR"/>
        </w:rPr>
        <w:t>tools and transferred to sterile plastic tubes containing at least 4 ml transport medium,</w:t>
      </w:r>
      <w:r w:rsidRPr="00BC5907">
        <w:rPr>
          <w:rFonts w:ascii="Arial" w:hAnsi="Arial" w:cs="Arial"/>
          <w:bCs/>
          <w:sz w:val="18"/>
          <w:szCs w:val="18"/>
        </w:rPr>
        <w:t xml:space="preserve"> i.e. cell culture medium with 10% fetal calf serum (FCS) and antibiotics. The combination of 200 International Units (IU) penicillin, 200 µg streptomycin, and 200 µg kanamycin per ml are recommended, although other antibiotics of proven efficiency may also be used.</w:t>
      </w:r>
      <w:r w:rsidRPr="00BC5907">
        <w:rPr>
          <w:rFonts w:ascii="Arial" w:hAnsi="Arial"/>
          <w:bCs/>
          <w:sz w:val="18"/>
          <w:szCs w:val="18"/>
          <w:lang w:val="en-IE" w:eastAsia="fr-FR"/>
        </w:rPr>
        <w:t xml:space="preserve"> The tissue in each sample should </w:t>
      </w:r>
      <w:r w:rsidRPr="00BC5907">
        <w:rPr>
          <w:rFonts w:ascii="Arial" w:hAnsi="Arial"/>
          <w:bCs/>
          <w:sz w:val="18"/>
          <w:szCs w:val="18"/>
          <w:lang w:val="en-IE"/>
        </w:rPr>
        <w:t>be larger than the analytical unit size required for initial laboratory testing (e.g. between 0.5 and 2 g) and taken in duplicate if retesting may be required</w:t>
      </w:r>
      <w:r w:rsidRPr="00BC5907">
        <w:rPr>
          <w:rFonts w:ascii="Arial" w:hAnsi="Arial"/>
          <w:bCs/>
          <w:sz w:val="18"/>
          <w:szCs w:val="18"/>
          <w:lang w:val="en-IE" w:eastAsia="fr-FR"/>
        </w:rPr>
        <w:t>.</w:t>
      </w:r>
    </w:p>
    <w:p w14:paraId="757BE6C7" w14:textId="77777777" w:rsidR="00562F64" w:rsidRPr="00C4176E" w:rsidRDefault="00562F64" w:rsidP="00555AD1">
      <w:pPr>
        <w:spacing w:after="200"/>
        <w:ind w:left="709"/>
        <w:jc w:val="both"/>
        <w:rPr>
          <w:rFonts w:ascii="Arial" w:hAnsi="Arial" w:cs="Arial"/>
          <w:bCs/>
          <w:sz w:val="18"/>
          <w:szCs w:val="18"/>
        </w:rPr>
      </w:pPr>
      <w:r w:rsidRPr="00C4176E">
        <w:rPr>
          <w:rFonts w:ascii="Arial" w:hAnsi="Arial" w:cs="Arial"/>
          <w:bCs/>
          <w:sz w:val="18"/>
          <w:szCs w:val="18"/>
        </w:rPr>
        <w:t xml:space="preserve">Tubes containing fish tissues in transport medium for cell cultivation should be placed in insulated containers, such as thick-walled polystyrene boxes, together with sufficient ice or an alternative cooling medium with the similar cooling effect to ensure chilling of the samples during transportation to the laboratory. However, freezing of the samples should be avoided. The temperature of a sample during transit must never exceed 10°C. </w:t>
      </w:r>
    </w:p>
    <w:p w14:paraId="2D51582E" w14:textId="77777777" w:rsidR="00562F64" w:rsidRPr="00747200" w:rsidRDefault="00562F64" w:rsidP="00555AD1">
      <w:pPr>
        <w:spacing w:after="200"/>
        <w:ind w:left="709"/>
        <w:jc w:val="both"/>
        <w:rPr>
          <w:rFonts w:ascii="Arial" w:hAnsi="Arial" w:cs="Arial"/>
          <w:bCs/>
          <w:sz w:val="18"/>
          <w:szCs w:val="18"/>
          <w:lang w:val="en-IE" w:bidi="en-US"/>
        </w:rPr>
      </w:pPr>
      <w:r w:rsidRPr="00C4176E">
        <w:rPr>
          <w:rFonts w:ascii="Arial" w:hAnsi="Arial" w:cs="Arial"/>
          <w:bCs/>
          <w:sz w:val="18"/>
          <w:szCs w:val="18"/>
        </w:rPr>
        <w:t xml:space="preserve">Whole fish may be sent to the laboratory if the temperature requirements referred to in the first paragraph during transportation can be fulfilled. Whole fish should be wrapped up in paper with absorptive capacity and enclosed in a plastic bag. Live fish may also be transported to the </w:t>
      </w:r>
      <w:r w:rsidRPr="00747200">
        <w:rPr>
          <w:rFonts w:ascii="Arial" w:hAnsi="Arial" w:cs="Arial"/>
          <w:bCs/>
          <w:sz w:val="18"/>
          <w:szCs w:val="18"/>
        </w:rPr>
        <w:t xml:space="preserve">laboratory. </w:t>
      </w:r>
    </w:p>
    <w:p w14:paraId="24B0A82A" w14:textId="77777777" w:rsidR="00562F64" w:rsidRPr="00A32E06" w:rsidRDefault="00562F64" w:rsidP="00555AD1">
      <w:pPr>
        <w:spacing w:after="200"/>
        <w:ind w:left="709"/>
        <w:jc w:val="both"/>
        <w:rPr>
          <w:rFonts w:ascii="Arial" w:hAnsi="Arial"/>
          <w:bCs/>
          <w:sz w:val="18"/>
          <w:szCs w:val="18"/>
          <w:lang w:val="en-IE" w:eastAsia="fr-FR"/>
        </w:rPr>
      </w:pPr>
      <w:r w:rsidRPr="00C4176E">
        <w:rPr>
          <w:rFonts w:ascii="Arial" w:hAnsi="Arial"/>
          <w:bCs/>
          <w:sz w:val="18"/>
          <w:szCs w:val="18"/>
          <w:lang w:val="en-IE" w:eastAsia="fr-FR"/>
        </w:rPr>
        <w:t>The virological examination for isolation in cell culture should be started as soon as possible and no later than 48 hours after the collection of the samples. In exceptional cases, the virological examination may be started at the latest within 72 hours after the collection of the material, provided that the material to be examined is protected by a transport medium and that the temperature requirements during transportation can be fulfilled.</w:t>
      </w:r>
    </w:p>
    <w:p w14:paraId="283029BA" w14:textId="77777777" w:rsidR="00562F64" w:rsidRPr="007F35B1" w:rsidRDefault="00562F64" w:rsidP="00555AD1">
      <w:pPr>
        <w:pStyle w:val="111"/>
        <w:ind w:left="1276"/>
        <w:rPr>
          <w:lang w:val="en-IE"/>
        </w:rPr>
      </w:pPr>
      <w:r w:rsidRPr="007F35B1">
        <w:rPr>
          <w:lang w:val="en-IE"/>
        </w:rPr>
        <w:t>3.5.2.</w:t>
      </w:r>
      <w:r w:rsidRPr="007F35B1">
        <w:rPr>
          <w:lang w:val="en-IE"/>
        </w:rPr>
        <w:tab/>
      </w:r>
      <w:r w:rsidRPr="00555AD1">
        <w:rPr>
          <w:lang w:val="en-IE"/>
        </w:rPr>
        <w:t>Preservation</w:t>
      </w:r>
      <w:r w:rsidRPr="007F35B1">
        <w:t xml:space="preserve"> of samples for </w:t>
      </w:r>
      <w:r w:rsidRPr="007F35B1">
        <w:rPr>
          <w:lang w:val="en-IE"/>
        </w:rPr>
        <w:t>molecular detection</w:t>
      </w:r>
      <w:r>
        <w:rPr>
          <w:lang w:val="en-IE"/>
        </w:rPr>
        <w:t xml:space="preserve"> </w:t>
      </w:r>
    </w:p>
    <w:p w14:paraId="5ABD8F92" w14:textId="77777777" w:rsidR="00562F64" w:rsidRPr="00C4176E" w:rsidRDefault="00562F64" w:rsidP="00555AD1">
      <w:pPr>
        <w:spacing w:after="200"/>
        <w:ind w:left="709"/>
        <w:jc w:val="both"/>
        <w:rPr>
          <w:rFonts w:ascii="Arial" w:hAnsi="Arial"/>
          <w:bCs/>
          <w:sz w:val="18"/>
          <w:szCs w:val="18"/>
          <w:lang w:val="en-IE" w:eastAsia="fr-FR"/>
        </w:rPr>
      </w:pPr>
      <w:r w:rsidRPr="00C4176E">
        <w:rPr>
          <w:rFonts w:ascii="Arial" w:hAnsi="Arial"/>
          <w:bCs/>
          <w:sz w:val="18"/>
          <w:szCs w:val="18"/>
          <w:lang w:val="en-IE" w:eastAsia="fr-FR"/>
        </w:rPr>
        <w:t>Samples can be taken from the fish in accordance with the procedure described in Section 3.5.1, using a sterile instrument, and transferred to a sterile plastic tube containing transport medium.</w:t>
      </w:r>
    </w:p>
    <w:p w14:paraId="3539CD6D" w14:textId="77777777" w:rsidR="00562F64" w:rsidRPr="00747200" w:rsidRDefault="00562F64" w:rsidP="00555AD1">
      <w:pPr>
        <w:spacing w:after="200"/>
        <w:ind w:left="709"/>
        <w:jc w:val="both"/>
        <w:rPr>
          <w:rFonts w:ascii="Arial" w:hAnsi="Arial"/>
          <w:bCs/>
          <w:sz w:val="18"/>
          <w:lang w:val="en-IE" w:eastAsia="fr-FR"/>
        </w:rPr>
      </w:pPr>
      <w:r w:rsidRPr="00747200">
        <w:rPr>
          <w:rFonts w:ascii="Arial" w:hAnsi="Arial"/>
          <w:bCs/>
          <w:sz w:val="18"/>
          <w:lang w:val="en-IE" w:eastAsia="fr-FR"/>
        </w:rPr>
        <w:t xml:space="preserve">Alternatively, tissue samples for RT-PCR testing should be preserved in an appropriate medium for preservation of RNA. </w:t>
      </w:r>
      <w:r w:rsidRPr="00C4176E">
        <w:rPr>
          <w:rFonts w:ascii="Arial" w:hAnsi="Arial"/>
          <w:bCs/>
          <w:sz w:val="18"/>
          <w:lang w:val="en-IE" w:eastAsia="fr-FR"/>
        </w:rPr>
        <w:t>Samples in RNA stabilising reagents can be shipped on ice or at room temperature if transport time does not exceed 24 hours.</w:t>
      </w:r>
    </w:p>
    <w:p w14:paraId="058A8BF8" w14:textId="77777777" w:rsidR="00562F64" w:rsidRPr="00747200" w:rsidRDefault="00562F64" w:rsidP="00555AD1">
      <w:pPr>
        <w:pStyle w:val="Para3"/>
        <w:ind w:left="709"/>
        <w:rPr>
          <w:lang w:eastAsia="fr-FR"/>
        </w:rPr>
      </w:pPr>
      <w:r w:rsidRPr="00747200">
        <w:rPr>
          <w:lang w:eastAsia="fr-FR"/>
        </w:rPr>
        <w:t xml:space="preserve">For further storage the samples can be kept at </w:t>
      </w:r>
      <w:r>
        <w:rPr>
          <w:lang w:eastAsia="fr-FR"/>
        </w:rPr>
        <w:t>–</w:t>
      </w:r>
      <w:r w:rsidRPr="00747200">
        <w:rPr>
          <w:lang w:eastAsia="fr-FR"/>
        </w:rPr>
        <w:t>20</w:t>
      </w:r>
      <w:r w:rsidRPr="00747200">
        <w:rPr>
          <w:rFonts w:cs="Arial"/>
          <w:lang w:eastAsia="fr-FR"/>
        </w:rPr>
        <w:t>°</w:t>
      </w:r>
      <w:r w:rsidRPr="00747200">
        <w:rPr>
          <w:lang w:eastAsia="fr-FR"/>
        </w:rPr>
        <w:t>C.</w:t>
      </w:r>
    </w:p>
    <w:p w14:paraId="2F285381" w14:textId="77777777" w:rsidR="00562F64" w:rsidRPr="007F35B1" w:rsidRDefault="00562F64" w:rsidP="00555AD1">
      <w:pPr>
        <w:pStyle w:val="111"/>
        <w:ind w:left="1276"/>
        <w:rPr>
          <w:lang w:val="en-IE"/>
        </w:rPr>
      </w:pPr>
      <w:r w:rsidRPr="007F35B1">
        <w:rPr>
          <w:lang w:val="en-IE"/>
        </w:rPr>
        <w:t>3.5.3.</w:t>
      </w:r>
      <w:r w:rsidRPr="007F35B1">
        <w:rPr>
          <w:lang w:val="en-IE"/>
        </w:rPr>
        <w:tab/>
        <w:t xml:space="preserve">Fixed samples for histopathology, immunohistochemistry or </w:t>
      </w:r>
      <w:r w:rsidRPr="007F35B1">
        <w:rPr>
          <w:i/>
          <w:lang w:val="en-IE"/>
        </w:rPr>
        <w:t>in-situ</w:t>
      </w:r>
      <w:r w:rsidRPr="007F35B1">
        <w:rPr>
          <w:lang w:val="en-IE"/>
        </w:rPr>
        <w:t xml:space="preserve"> hybridisation</w:t>
      </w:r>
      <w:r>
        <w:rPr>
          <w:lang w:val="en-IE"/>
        </w:rPr>
        <w:t xml:space="preserve"> </w:t>
      </w:r>
    </w:p>
    <w:p w14:paraId="39184E5C" w14:textId="77777777" w:rsidR="00562F64" w:rsidRPr="00110442" w:rsidRDefault="00562F64" w:rsidP="00555AD1">
      <w:pPr>
        <w:pStyle w:val="Para3"/>
        <w:ind w:left="709"/>
        <w:rPr>
          <w:szCs w:val="18"/>
          <w:lang w:eastAsia="fr-FR"/>
        </w:rPr>
      </w:pPr>
      <w:r w:rsidRPr="00C4176E">
        <w:rPr>
          <w:szCs w:val="18"/>
          <w:lang w:eastAsia="fr-FR"/>
        </w:rPr>
        <w:t>Tissue samples for histopathology should be fixed in 10% neutral buffered formalin immediately after collection. The recommended ratio of fixative to tissue is 10:1.</w:t>
      </w:r>
    </w:p>
    <w:p w14:paraId="7482F8BC" w14:textId="77777777" w:rsidR="00562F64" w:rsidRPr="00B52903" w:rsidRDefault="00562F64" w:rsidP="00555AD1">
      <w:pPr>
        <w:pStyle w:val="111"/>
        <w:ind w:left="1276"/>
        <w:rPr>
          <w:u w:val="single"/>
          <w:lang w:val="en-IE"/>
        </w:rPr>
      </w:pPr>
      <w:r w:rsidRPr="007F35B1">
        <w:rPr>
          <w:lang w:val="en-IE"/>
        </w:rPr>
        <w:t>3.5.4.</w:t>
      </w:r>
      <w:r w:rsidRPr="00B52903">
        <w:rPr>
          <w:lang w:val="en-IE"/>
        </w:rPr>
        <w:tab/>
      </w:r>
      <w:r w:rsidRPr="00876AAA">
        <w:rPr>
          <w:lang w:val="en-IE"/>
        </w:rPr>
        <w:t>Fixed samples for electron microscopy</w:t>
      </w:r>
    </w:p>
    <w:p w14:paraId="5F8D31EA" w14:textId="77777777" w:rsidR="00562F64" w:rsidRPr="00D467B6" w:rsidRDefault="00562F64" w:rsidP="00555AD1">
      <w:pPr>
        <w:pStyle w:val="Para3"/>
        <w:ind w:left="709"/>
        <w:rPr>
          <w:lang w:eastAsia="fr-FR"/>
        </w:rPr>
      </w:pPr>
      <w:r w:rsidRPr="00D467B6">
        <w:rPr>
          <w:rFonts w:cs="Arial"/>
          <w:szCs w:val="18"/>
          <w:lang w:eastAsia="fr-FR"/>
        </w:rPr>
        <w:t>Samples for electron microscopy are not routinely required and are collected only when it is considered beneficial to facilitate further diagnostic investigation. A 2 mm cubed section from each of the appropriate organs described in section 3.2 should be fixed in glutaraldehyde; the recommended ratio of fixative to tissue is 10:1</w:t>
      </w:r>
      <w:r w:rsidRPr="00D467B6">
        <w:rPr>
          <w:lang w:eastAsia="fr-FR"/>
        </w:rPr>
        <w:t>.</w:t>
      </w:r>
    </w:p>
    <w:p w14:paraId="46C0D452" w14:textId="77777777" w:rsidR="00562F64" w:rsidRPr="007F35B1" w:rsidRDefault="00562F64" w:rsidP="00555AD1">
      <w:pPr>
        <w:pStyle w:val="111"/>
        <w:ind w:left="1276"/>
        <w:rPr>
          <w:lang w:val="en-IE"/>
        </w:rPr>
      </w:pPr>
      <w:r w:rsidRPr="007F35B1">
        <w:rPr>
          <w:lang w:val="en-IE"/>
        </w:rPr>
        <w:t>3.5.5.</w:t>
      </w:r>
      <w:r w:rsidRPr="007F35B1">
        <w:rPr>
          <w:lang w:val="en-IE"/>
        </w:rPr>
        <w:tab/>
        <w:t>Samples for other tests</w:t>
      </w:r>
    </w:p>
    <w:p w14:paraId="6E9E205C" w14:textId="77777777" w:rsidR="00562F64" w:rsidRPr="00747200" w:rsidRDefault="00562F64" w:rsidP="00555AD1">
      <w:pPr>
        <w:pStyle w:val="Para3"/>
        <w:ind w:left="709"/>
        <w:rPr>
          <w:lang w:eastAsia="fr-FR"/>
        </w:rPr>
      </w:pPr>
      <w:r w:rsidRPr="00747200">
        <w:rPr>
          <w:lang w:eastAsia="fr-FR"/>
        </w:rPr>
        <w:t>Blood samples should be centrifuged for the collection of serum or plasma as soon as possible after sampling, to avoid lysis of the red blood cells. Serum</w:t>
      </w:r>
      <w:r>
        <w:rPr>
          <w:lang w:eastAsia="fr-FR"/>
        </w:rPr>
        <w:t xml:space="preserve"> </w:t>
      </w:r>
      <w:r w:rsidRPr="00747200">
        <w:rPr>
          <w:lang w:eastAsia="fr-FR"/>
        </w:rPr>
        <w:t>or plasma samples should be shipped on ice to the laboratory to ensure virus viability.</w:t>
      </w:r>
    </w:p>
    <w:p w14:paraId="434C49B4" w14:textId="77777777" w:rsidR="00562F64" w:rsidRPr="00555AD1" w:rsidRDefault="00562F64" w:rsidP="00562F64">
      <w:pPr>
        <w:pStyle w:val="11"/>
        <w:rPr>
          <w:rFonts w:ascii="Ottawa" w:hAnsi="Ottawa" w:cs="Arial"/>
          <w:sz w:val="21"/>
          <w:szCs w:val="21"/>
        </w:rPr>
      </w:pPr>
      <w:r w:rsidRPr="00555AD1">
        <w:rPr>
          <w:rFonts w:ascii="Ottawa" w:hAnsi="Ottawa" w:cs="Arial"/>
          <w:sz w:val="21"/>
          <w:szCs w:val="21"/>
        </w:rPr>
        <w:t>3.6.</w:t>
      </w:r>
      <w:r w:rsidRPr="00555AD1">
        <w:rPr>
          <w:rFonts w:ascii="Ottawa" w:hAnsi="Ottawa" w:cs="Arial"/>
          <w:sz w:val="21"/>
          <w:szCs w:val="21"/>
        </w:rPr>
        <w:tab/>
        <w:t>Pooling of samples</w:t>
      </w:r>
    </w:p>
    <w:p w14:paraId="60B467F7" w14:textId="77777777" w:rsidR="00562F64" w:rsidRPr="00747200" w:rsidRDefault="00562F64" w:rsidP="00555AD1">
      <w:pPr>
        <w:pStyle w:val="Para20"/>
        <w:ind w:left="709"/>
        <w:rPr>
          <w:bCs/>
          <w:lang w:eastAsia="fr-FR"/>
        </w:rPr>
      </w:pPr>
      <w:r w:rsidRPr="00747200">
        <w:rPr>
          <w:bCs/>
          <w:lang w:eastAsia="fr-FR"/>
        </w:rPr>
        <w:t>The reliability of a virus isolation and real-time RT-PCR for detecting SAV in pooled samples from apparently healthy and clinically diseased populations of Atlantic salmon has been evaluated (</w:t>
      </w:r>
      <w:r w:rsidRPr="00A51082">
        <w:rPr>
          <w:bCs/>
          <w:lang w:eastAsia="fr-FR"/>
        </w:rPr>
        <w:t xml:space="preserve">Hall </w:t>
      </w:r>
      <w:r w:rsidRPr="00A51082">
        <w:rPr>
          <w:bCs/>
          <w:i/>
          <w:iCs/>
          <w:lang w:eastAsia="fr-FR"/>
        </w:rPr>
        <w:t>et al.</w:t>
      </w:r>
      <w:r w:rsidRPr="00A51082">
        <w:rPr>
          <w:bCs/>
          <w:lang w:eastAsia="fr-FR"/>
        </w:rPr>
        <w:t>,2014</w:t>
      </w:r>
      <w:r w:rsidRPr="00747200">
        <w:rPr>
          <w:bCs/>
          <w:lang w:eastAsia="fr-FR"/>
        </w:rPr>
        <w:t xml:space="preserve">). The results suggest that the use of individual samples rather than pools is more appropriate when testing for freedom from, or for confirmatory diagnosis of, </w:t>
      </w:r>
      <w:bookmarkStart w:id="168" w:name="_Hlk33316079"/>
      <w:r w:rsidRPr="00747200">
        <w:rPr>
          <w:bCs/>
          <w:lang w:eastAsia="fr-FR"/>
        </w:rPr>
        <w:t>infection with SAV</w:t>
      </w:r>
      <w:bookmarkEnd w:id="168"/>
      <w:r w:rsidRPr="00747200">
        <w:rPr>
          <w:bCs/>
          <w:lang w:eastAsia="fr-FR"/>
        </w:rPr>
        <w:t xml:space="preserve"> (</w:t>
      </w:r>
      <w:r w:rsidRPr="00A51082">
        <w:rPr>
          <w:bCs/>
          <w:lang w:eastAsia="fr-FR"/>
        </w:rPr>
        <w:t xml:space="preserve">Hall </w:t>
      </w:r>
      <w:r w:rsidRPr="00A51082">
        <w:rPr>
          <w:bCs/>
          <w:i/>
          <w:iCs/>
          <w:lang w:eastAsia="fr-FR"/>
        </w:rPr>
        <w:t>et al.,</w:t>
      </w:r>
      <w:r w:rsidRPr="00A51082">
        <w:rPr>
          <w:bCs/>
          <w:lang w:eastAsia="fr-FR"/>
        </w:rPr>
        <w:t xml:space="preserve"> 2014</w:t>
      </w:r>
      <w:r w:rsidRPr="00747200">
        <w:rPr>
          <w:bCs/>
          <w:lang w:eastAsia="fr-FR"/>
        </w:rPr>
        <w:t>).</w:t>
      </w:r>
      <w:r w:rsidRPr="00222CA3">
        <w:rPr>
          <w:sz w:val="16"/>
          <w:szCs w:val="16"/>
        </w:rPr>
        <w:t xml:space="preserve"> </w:t>
      </w:r>
    </w:p>
    <w:p w14:paraId="7F1760ED" w14:textId="77777777" w:rsidR="00555AD1" w:rsidRDefault="00555AD1">
      <w:pPr>
        <w:rPr>
          <w:rFonts w:ascii="Ottawa" w:eastAsia="Times New Roman" w:hAnsi="Ottawa" w:cs="Times New Roman"/>
          <w:b/>
          <w:bCs/>
          <w:sz w:val="22"/>
          <w:lang w:val="en-IE" w:bidi="en-US"/>
        </w:rPr>
      </w:pPr>
      <w:bookmarkStart w:id="169" w:name="_Toc38028718"/>
      <w:r>
        <w:rPr>
          <w:rFonts w:ascii="Ottawa" w:hAnsi="Ottawa"/>
          <w:lang w:val="en-IE"/>
        </w:rPr>
        <w:br w:type="page"/>
      </w:r>
    </w:p>
    <w:p w14:paraId="2D859E53" w14:textId="77777777" w:rsidR="00555AD1" w:rsidRPr="008A67C2" w:rsidRDefault="00555AD1" w:rsidP="00555AD1">
      <w:pPr>
        <w:spacing w:after="480" w:line="240" w:lineRule="auto"/>
        <w:jc w:val="right"/>
        <w:rPr>
          <w:rFonts w:cs="Times New Roman"/>
          <w:bCs/>
          <w:iCs/>
          <w:szCs w:val="20"/>
        </w:rPr>
      </w:pPr>
      <w:r w:rsidRPr="008A67C2">
        <w:rPr>
          <w:u w:val="single"/>
        </w:rPr>
        <w:lastRenderedPageBreak/>
        <w:t>A</w:t>
      </w:r>
      <w:r w:rsidRPr="008A67C2">
        <w:rPr>
          <w:rFonts w:cs="Times New Roman"/>
          <w:bCs/>
          <w:iCs/>
          <w:szCs w:val="20"/>
          <w:u w:val="single"/>
        </w:rPr>
        <w:t>nnex 1</w:t>
      </w:r>
      <w:r>
        <w:rPr>
          <w:rFonts w:cs="Times New Roman"/>
          <w:bCs/>
          <w:iCs/>
          <w:szCs w:val="20"/>
          <w:u w:val="single"/>
        </w:rPr>
        <w:t>6</w:t>
      </w:r>
      <w:r w:rsidRPr="008A67C2">
        <w:rPr>
          <w:rFonts w:cs="Times New Roman"/>
          <w:bCs/>
          <w:iCs/>
          <w:szCs w:val="20"/>
        </w:rPr>
        <w:t xml:space="preserve"> (contd)</w:t>
      </w:r>
    </w:p>
    <w:p w14:paraId="040545F3" w14:textId="6CC5E60D" w:rsidR="00562F64" w:rsidRPr="00A30D5D" w:rsidRDefault="00562F64" w:rsidP="00562F64">
      <w:pPr>
        <w:pStyle w:val="StyleTitre1Arial"/>
        <w:rPr>
          <w:rFonts w:ascii="Ottawa" w:hAnsi="Ottawa"/>
          <w:lang w:val="en-IE"/>
        </w:rPr>
      </w:pPr>
      <w:r w:rsidRPr="00A30D5D">
        <w:rPr>
          <w:rFonts w:ascii="Ottawa" w:hAnsi="Ottawa"/>
          <w:lang w:val="en-IE"/>
        </w:rPr>
        <w:t>4.</w:t>
      </w:r>
      <w:r w:rsidRPr="00A30D5D">
        <w:rPr>
          <w:rFonts w:ascii="Ottawa" w:hAnsi="Ottawa"/>
          <w:lang w:val="en-IE"/>
        </w:rPr>
        <w:tab/>
        <w:t>Diagnostic methods</w:t>
      </w:r>
      <w:bookmarkEnd w:id="169"/>
    </w:p>
    <w:p w14:paraId="59593F3C" w14:textId="77777777" w:rsidR="00562F64" w:rsidRPr="007F35B1" w:rsidRDefault="00562F64" w:rsidP="00D10BBF">
      <w:pPr>
        <w:pStyle w:val="Para10"/>
        <w:spacing w:after="120"/>
        <w:ind w:left="284"/>
        <w:rPr>
          <w:rFonts w:cs="Arial"/>
        </w:rPr>
      </w:pPr>
      <w:r>
        <w:rPr>
          <w:rFonts w:cs="Arial"/>
        </w:rPr>
        <w:t>T</w:t>
      </w:r>
      <w:r w:rsidRPr="007F35B1">
        <w:rPr>
          <w:rFonts w:cs="Arial"/>
        </w:rPr>
        <w:t>he methods currently available for identifying infection</w:t>
      </w:r>
      <w:r>
        <w:rPr>
          <w:rFonts w:cs="Arial"/>
        </w:rPr>
        <w:t xml:space="preserve"> that can be used in i)</w:t>
      </w:r>
      <w:r w:rsidRPr="007F35B1">
        <w:rPr>
          <w:rFonts w:cs="Arial"/>
        </w:rPr>
        <w:t xml:space="preserve"> surveillance</w:t>
      </w:r>
      <w:r>
        <w:rPr>
          <w:rFonts w:cs="Arial"/>
        </w:rPr>
        <w:t xml:space="preserve"> of apparently healthy populations), ii) presumptive and iii) confirmatory d</w:t>
      </w:r>
      <w:r w:rsidRPr="007F35B1">
        <w:rPr>
          <w:rFonts w:cs="Arial"/>
        </w:rPr>
        <w:t>iagnostic purposes are listed in Table 4</w:t>
      </w:r>
      <w:r>
        <w:rPr>
          <w:rFonts w:cs="Arial"/>
        </w:rPr>
        <w:t>.1</w:t>
      </w:r>
      <w:r w:rsidRPr="007F35B1">
        <w:rPr>
          <w:rFonts w:cs="Arial"/>
        </w:rPr>
        <w:t>.</w:t>
      </w:r>
      <w:r>
        <w:rPr>
          <w:rFonts w:cs="Arial"/>
        </w:rPr>
        <w:t xml:space="preserve"> by life stage. </w:t>
      </w:r>
      <w:r w:rsidRPr="007F35B1">
        <w:rPr>
          <w:rFonts w:cs="Arial"/>
        </w:rPr>
        <w:t xml:space="preserve">The designations used in Table </w:t>
      </w:r>
      <w:r>
        <w:rPr>
          <w:rFonts w:cs="Arial"/>
        </w:rPr>
        <w:t xml:space="preserve">4.1 </w:t>
      </w:r>
      <w:r w:rsidRPr="007F35B1">
        <w:rPr>
          <w:rFonts w:cs="Arial"/>
        </w:rPr>
        <w:t xml:space="preserve">indicate: </w:t>
      </w:r>
    </w:p>
    <w:p w14:paraId="4FDBD755" w14:textId="77777777" w:rsidR="00562F64" w:rsidRPr="007F35B1" w:rsidRDefault="00562F64" w:rsidP="00D10BBF">
      <w:pPr>
        <w:pStyle w:val="Textebrut"/>
        <w:spacing w:before="120"/>
        <w:ind w:left="284"/>
        <w:rPr>
          <w:rFonts w:ascii="Arial" w:hAnsi="Arial" w:cs="Arial"/>
          <w:color w:val="000000"/>
          <w:sz w:val="18"/>
          <w:szCs w:val="18"/>
          <w:lang w:val="en-IE"/>
        </w:rPr>
      </w:pPr>
      <w:r w:rsidRPr="007F35B1">
        <w:rPr>
          <w:rFonts w:ascii="Arial" w:hAnsi="Arial" w:cs="Arial"/>
          <w:color w:val="000000"/>
          <w:sz w:val="18"/>
          <w:szCs w:val="18"/>
          <w:lang w:val="en-IE"/>
        </w:rPr>
        <w:t xml:space="preserve">Key: </w:t>
      </w:r>
    </w:p>
    <w:p w14:paraId="3FE0BF5B" w14:textId="77777777" w:rsidR="00562F64" w:rsidRPr="007F35B1" w:rsidRDefault="00562F64" w:rsidP="00D10BBF">
      <w:pPr>
        <w:pStyle w:val="Textebrut"/>
        <w:ind w:left="1701" w:hanging="1417"/>
        <w:rPr>
          <w:rFonts w:ascii="Arial" w:hAnsi="Arial" w:cs="Arial"/>
          <w:color w:val="000000"/>
          <w:sz w:val="18"/>
          <w:szCs w:val="18"/>
          <w:lang w:val="en-IE"/>
        </w:rPr>
      </w:pPr>
      <w:r w:rsidRPr="007F35B1">
        <w:rPr>
          <w:rFonts w:ascii="Arial" w:hAnsi="Arial" w:cs="Arial"/>
          <w:color w:val="000000"/>
          <w:sz w:val="18"/>
          <w:szCs w:val="18"/>
          <w:lang w:val="en-IE"/>
        </w:rPr>
        <w:t>+++ =</w:t>
      </w:r>
      <w:r w:rsidRPr="007F35B1">
        <w:rPr>
          <w:rFonts w:ascii="Arial" w:hAnsi="Arial" w:cs="Arial"/>
          <w:color w:val="000000"/>
          <w:sz w:val="18"/>
          <w:szCs w:val="18"/>
          <w:lang w:val="en-IE"/>
        </w:rPr>
        <w:tab/>
        <w:t>Recommended method(s) validated for the purpose shown and usually to stage 3 of the OIE Validation Pathway;</w:t>
      </w:r>
    </w:p>
    <w:p w14:paraId="2C19D9FB" w14:textId="77777777" w:rsidR="00562F64" w:rsidRPr="007F35B1" w:rsidRDefault="00562F64" w:rsidP="00D10BBF">
      <w:pPr>
        <w:pStyle w:val="Textebrut"/>
        <w:ind w:left="1701" w:hanging="1417"/>
        <w:rPr>
          <w:rFonts w:ascii="Arial" w:hAnsi="Arial" w:cs="Arial"/>
          <w:color w:val="000000"/>
          <w:sz w:val="18"/>
          <w:szCs w:val="18"/>
          <w:lang w:val="en-IE"/>
        </w:rPr>
      </w:pPr>
      <w:r w:rsidRPr="007F35B1">
        <w:rPr>
          <w:rFonts w:ascii="Arial" w:hAnsi="Arial" w:cs="Arial"/>
          <w:color w:val="000000"/>
          <w:sz w:val="18"/>
          <w:szCs w:val="18"/>
          <w:lang w:val="en-IE"/>
        </w:rPr>
        <w:t xml:space="preserve">++ = </w:t>
      </w:r>
      <w:r w:rsidRPr="007F35B1">
        <w:rPr>
          <w:rFonts w:ascii="Arial" w:hAnsi="Arial" w:cs="Arial"/>
          <w:color w:val="000000"/>
          <w:sz w:val="18"/>
          <w:szCs w:val="18"/>
          <w:lang w:val="en-IE"/>
        </w:rPr>
        <w:tab/>
        <w:t xml:space="preserve">Suitable method(s) but may need further validation; </w:t>
      </w:r>
    </w:p>
    <w:p w14:paraId="76CC3671" w14:textId="77777777" w:rsidR="00562F64" w:rsidRPr="007F35B1" w:rsidRDefault="00562F64" w:rsidP="00D10BBF">
      <w:pPr>
        <w:pStyle w:val="Textebrut"/>
        <w:ind w:left="1701" w:hanging="1417"/>
        <w:rPr>
          <w:rFonts w:ascii="Arial" w:hAnsi="Arial" w:cs="Arial"/>
          <w:sz w:val="18"/>
          <w:szCs w:val="18"/>
          <w:lang w:val="en-IE"/>
        </w:rPr>
      </w:pPr>
      <w:r w:rsidRPr="007F35B1">
        <w:rPr>
          <w:rFonts w:ascii="Arial" w:hAnsi="Arial" w:cs="Arial"/>
          <w:color w:val="000000"/>
          <w:sz w:val="18"/>
          <w:szCs w:val="18"/>
          <w:lang w:val="en-IE"/>
        </w:rPr>
        <w:t xml:space="preserve">+ = </w:t>
      </w:r>
      <w:r w:rsidRPr="007F35B1">
        <w:rPr>
          <w:rFonts w:ascii="Arial" w:hAnsi="Arial" w:cs="Arial"/>
          <w:color w:val="000000"/>
          <w:sz w:val="18"/>
          <w:szCs w:val="18"/>
          <w:lang w:val="en-IE"/>
        </w:rPr>
        <w:tab/>
        <w:t xml:space="preserve">May be used </w:t>
      </w:r>
      <w:r w:rsidRPr="007F35B1">
        <w:rPr>
          <w:rFonts w:ascii="Arial" w:hAnsi="Arial" w:cs="Arial"/>
          <w:sz w:val="18"/>
          <w:szCs w:val="18"/>
          <w:lang w:val="en-IE"/>
        </w:rPr>
        <w:t xml:space="preserve">in some situations, but cost, reliability, </w:t>
      </w:r>
      <w:r>
        <w:rPr>
          <w:rFonts w:ascii="Arial" w:hAnsi="Arial" w:cs="Arial"/>
          <w:sz w:val="18"/>
          <w:szCs w:val="18"/>
          <w:lang w:val="en-IE"/>
        </w:rPr>
        <w:t xml:space="preserve">lack of validation </w:t>
      </w:r>
      <w:r w:rsidRPr="007F35B1">
        <w:rPr>
          <w:rFonts w:ascii="Arial" w:hAnsi="Arial" w:cs="Arial"/>
          <w:sz w:val="18"/>
          <w:szCs w:val="18"/>
          <w:lang w:val="en-IE"/>
        </w:rPr>
        <w:t xml:space="preserve">or other factors severely limits its application; </w:t>
      </w:r>
    </w:p>
    <w:p w14:paraId="1351791A" w14:textId="77777777" w:rsidR="00562F64" w:rsidRPr="007F35B1" w:rsidRDefault="00562F64" w:rsidP="00D10BBF">
      <w:pPr>
        <w:pStyle w:val="Textebrut"/>
        <w:spacing w:after="240"/>
        <w:ind w:left="1701" w:hanging="1417"/>
        <w:rPr>
          <w:rFonts w:ascii="Arial" w:hAnsi="Arial" w:cs="Arial"/>
          <w:color w:val="000000"/>
          <w:sz w:val="18"/>
          <w:szCs w:val="18"/>
          <w:lang w:val="en-IE"/>
        </w:rPr>
      </w:pPr>
      <w:r w:rsidRPr="007F35B1">
        <w:rPr>
          <w:rFonts w:ascii="Arial" w:hAnsi="Arial" w:cs="Arial"/>
          <w:color w:val="000000"/>
          <w:sz w:val="18"/>
          <w:szCs w:val="18"/>
          <w:lang w:val="en-IE"/>
        </w:rPr>
        <w:t xml:space="preserve">Shaded boxes = </w:t>
      </w:r>
      <w:r w:rsidRPr="007F35B1">
        <w:rPr>
          <w:rFonts w:ascii="Arial" w:hAnsi="Arial" w:cs="Arial"/>
          <w:color w:val="000000"/>
          <w:sz w:val="18"/>
          <w:szCs w:val="18"/>
          <w:lang w:val="en-IE"/>
        </w:rPr>
        <w:tab/>
        <w:t>Not appropriate for this purpose.</w:t>
      </w:r>
    </w:p>
    <w:p w14:paraId="379F8B39" w14:textId="77777777" w:rsidR="00562F64" w:rsidRPr="007F35B1" w:rsidRDefault="00562F64" w:rsidP="00D10BBF">
      <w:pPr>
        <w:pStyle w:val="Para10"/>
        <w:ind w:left="284"/>
        <w:rPr>
          <w:rFonts w:cs="Arial"/>
        </w:rPr>
      </w:pPr>
      <w:r w:rsidRPr="007F35B1">
        <w:rPr>
          <w:rFonts w:cs="Arial"/>
        </w:rPr>
        <w:t xml:space="preserve">The selection of a test for a given purpose depends on </w:t>
      </w:r>
      <w:r>
        <w:rPr>
          <w:rFonts w:cs="Arial"/>
        </w:rPr>
        <w:t xml:space="preserve">the analytical and diagnostic sensitivities and specificities </w:t>
      </w:r>
      <w:r w:rsidRPr="007F35B1">
        <w:rPr>
          <w:rFonts w:cs="Arial"/>
        </w:rPr>
        <w:t xml:space="preserve">repeatability and reproducibility. OIE Reference Laboratories welcome feedback on </w:t>
      </w:r>
      <w:r>
        <w:rPr>
          <w:rFonts w:cs="Arial"/>
        </w:rPr>
        <w:t xml:space="preserve">diagnostic </w:t>
      </w:r>
      <w:r w:rsidRPr="007F35B1">
        <w:rPr>
          <w:rFonts w:cs="Arial"/>
        </w:rPr>
        <w:t xml:space="preserve">performance for assays, in particular PCR methods, for factors affecting assay </w:t>
      </w:r>
      <w:r>
        <w:rPr>
          <w:rFonts w:cs="Arial"/>
        </w:rPr>
        <w:t xml:space="preserve">analytical </w:t>
      </w:r>
      <w:r w:rsidRPr="007F35B1">
        <w:rPr>
          <w:rFonts w:cs="Arial"/>
        </w:rPr>
        <w:t xml:space="preserve">sensitivity or </w:t>
      </w:r>
      <w:r>
        <w:rPr>
          <w:rFonts w:cs="Arial"/>
        </w:rPr>
        <w:t xml:space="preserve">analytical </w:t>
      </w:r>
      <w:r w:rsidRPr="007F35B1">
        <w:rPr>
          <w:rFonts w:cs="Arial"/>
        </w:rPr>
        <w:t xml:space="preserve">specificity, such as tissue components inhibiting amplification, </w:t>
      </w:r>
      <w:r>
        <w:rPr>
          <w:rFonts w:cs="Arial"/>
        </w:rPr>
        <w:t xml:space="preserve">presence of </w:t>
      </w:r>
      <w:r w:rsidRPr="007F35B1">
        <w:rPr>
          <w:rFonts w:cs="Arial"/>
        </w:rPr>
        <w:t>nonspecific or uncertain bands, etc., and any assays that are in the +++ category.</w:t>
      </w:r>
    </w:p>
    <w:p w14:paraId="7EACED0F" w14:textId="77777777" w:rsidR="00562F64" w:rsidRPr="007F35B1" w:rsidRDefault="00562F64" w:rsidP="00562F64">
      <w:pPr>
        <w:pStyle w:val="Para10"/>
        <w:rPr>
          <w:rFonts w:cs="Arial"/>
        </w:rPr>
      </w:pPr>
    </w:p>
    <w:p w14:paraId="4B0F531B" w14:textId="77777777" w:rsidR="00562F64" w:rsidRPr="007F35B1" w:rsidRDefault="00562F64" w:rsidP="00562F64">
      <w:pPr>
        <w:pStyle w:val="Tabletitle"/>
        <w:sectPr w:rsidR="00562F64" w:rsidRPr="007F35B1" w:rsidSect="007757F5">
          <w:headerReference w:type="even" r:id="rId240"/>
          <w:headerReference w:type="default" r:id="rId241"/>
          <w:footerReference w:type="even" r:id="rId242"/>
          <w:headerReference w:type="first" r:id="rId243"/>
          <w:footerReference w:type="first" r:id="rId244"/>
          <w:type w:val="oddPage"/>
          <w:pgSz w:w="11906" w:h="16838" w:code="9"/>
          <w:pgMar w:top="1304" w:right="1304" w:bottom="1304" w:left="1304" w:header="567" w:footer="567" w:gutter="0"/>
          <w:cols w:space="708"/>
          <w:titlePg/>
          <w:docGrid w:linePitch="360"/>
        </w:sectPr>
      </w:pPr>
    </w:p>
    <w:p w14:paraId="25F419FD" w14:textId="77777777" w:rsidR="00562F64" w:rsidRPr="007F35B1" w:rsidRDefault="00562F64" w:rsidP="00562F64">
      <w:pPr>
        <w:pStyle w:val="Tabletitle"/>
      </w:pPr>
      <w:r w:rsidRPr="007F35B1">
        <w:lastRenderedPageBreak/>
        <w:t>Table 4.</w:t>
      </w:r>
      <w:r w:rsidRPr="007F35B1">
        <w:rPr>
          <w:noProof/>
        </w:rPr>
        <w:t>1</w:t>
      </w:r>
      <w:r w:rsidRPr="007F35B1">
        <w:t xml:space="preserve">. </w:t>
      </w:r>
      <w:r w:rsidRPr="00AA679A">
        <w:rPr>
          <w:b w:val="0"/>
        </w:rPr>
        <w:t>OIE recommended</w:t>
      </w:r>
      <w:r>
        <w:t xml:space="preserve"> </w:t>
      </w:r>
      <w:r>
        <w:rPr>
          <w:b w:val="0"/>
        </w:rPr>
        <w:t>d</w:t>
      </w:r>
      <w:r w:rsidRPr="004244E4">
        <w:rPr>
          <w:b w:val="0"/>
        </w:rPr>
        <w:t>iagnostic m</w:t>
      </w:r>
      <w:r w:rsidRPr="007F35B1">
        <w:rPr>
          <w:b w:val="0"/>
        </w:rPr>
        <w:t>ethods and their level of validation for surveillance</w:t>
      </w:r>
      <w:r>
        <w:rPr>
          <w:b w:val="0"/>
        </w:rPr>
        <w:t xml:space="preserve"> of </w:t>
      </w:r>
      <w:r w:rsidRPr="008E400A">
        <w:rPr>
          <w:b w:val="0"/>
        </w:rPr>
        <w:t>apparently</w:t>
      </w:r>
      <w:r>
        <w:rPr>
          <w:b w:val="0"/>
        </w:rPr>
        <w:t xml:space="preserve"> healthy animals and investigation of clinically affected animals</w:t>
      </w:r>
      <w:r w:rsidRPr="007F35B1">
        <w:rPr>
          <w:b w:val="0"/>
        </w:rPr>
        <w:t xml:space="preserve"> </w:t>
      </w:r>
    </w:p>
    <w:tbl>
      <w:tblPr>
        <w:tblW w:w="12892" w:type="dxa"/>
        <w:jc w:val="center"/>
        <w:tblLayout w:type="fixed"/>
        <w:tblCellMar>
          <w:left w:w="96" w:type="dxa"/>
          <w:right w:w="96" w:type="dxa"/>
        </w:tblCellMar>
        <w:tblLook w:val="0000" w:firstRow="0" w:lastRow="0" w:firstColumn="0" w:lastColumn="0" w:noHBand="0" w:noVBand="0"/>
      </w:tblPr>
      <w:tblGrid>
        <w:gridCol w:w="2399"/>
        <w:gridCol w:w="995"/>
        <w:gridCol w:w="993"/>
        <w:gridCol w:w="708"/>
        <w:gridCol w:w="709"/>
        <w:gridCol w:w="851"/>
        <w:gridCol w:w="992"/>
        <w:gridCol w:w="850"/>
        <w:gridCol w:w="634"/>
        <w:gridCol w:w="960"/>
        <w:gridCol w:w="1100"/>
        <w:gridCol w:w="992"/>
        <w:gridCol w:w="709"/>
      </w:tblGrid>
      <w:tr w:rsidR="00562F64" w:rsidRPr="00C4589D" w14:paraId="4F841808" w14:textId="77777777" w:rsidTr="00942CAA">
        <w:trPr>
          <w:trHeight w:val="402"/>
          <w:tblHeader/>
          <w:jc w:val="center"/>
        </w:trPr>
        <w:tc>
          <w:tcPr>
            <w:tcW w:w="2399" w:type="dxa"/>
            <w:vMerge w:val="restart"/>
            <w:tcBorders>
              <w:top w:val="single" w:sz="6" w:space="0" w:color="auto"/>
              <w:left w:val="single" w:sz="6" w:space="0" w:color="auto"/>
            </w:tcBorders>
            <w:vAlign w:val="center"/>
          </w:tcPr>
          <w:p w14:paraId="2095B6F5" w14:textId="77777777" w:rsidR="00562F64" w:rsidRPr="00C4589D" w:rsidRDefault="00562F64" w:rsidP="00942CAA">
            <w:pPr>
              <w:pStyle w:val="TableHead"/>
              <w:rPr>
                <w:rFonts w:ascii="Arial" w:hAnsi="Arial" w:cs="Arial"/>
                <w:sz w:val="16"/>
                <w:szCs w:val="16"/>
              </w:rPr>
            </w:pPr>
            <w:r w:rsidRPr="00C4589D">
              <w:rPr>
                <w:rFonts w:ascii="Arial" w:hAnsi="Arial" w:cs="Arial"/>
                <w:sz w:val="16"/>
                <w:szCs w:val="16"/>
              </w:rPr>
              <w:t>Method</w:t>
            </w:r>
            <w:r w:rsidRPr="00C4589D">
              <w:rPr>
                <w:rFonts w:ascii="Arial" w:hAnsi="Arial" w:cs="Arial"/>
                <w:sz w:val="16"/>
                <w:szCs w:val="16"/>
              </w:rPr>
              <w:br/>
            </w:r>
          </w:p>
        </w:tc>
        <w:tc>
          <w:tcPr>
            <w:tcW w:w="3405" w:type="dxa"/>
            <w:gridSpan w:val="4"/>
            <w:tcBorders>
              <w:top w:val="single" w:sz="6" w:space="0" w:color="auto"/>
              <w:left w:val="single" w:sz="6" w:space="0" w:color="auto"/>
              <w:bottom w:val="single" w:sz="4" w:space="0" w:color="auto"/>
              <w:right w:val="single" w:sz="6" w:space="0" w:color="auto"/>
            </w:tcBorders>
          </w:tcPr>
          <w:p w14:paraId="2A98A9C0" w14:textId="77777777" w:rsidR="00562F64" w:rsidRPr="00C4589D" w:rsidRDefault="00562F64" w:rsidP="00025D4D">
            <w:pPr>
              <w:pStyle w:val="TableHead"/>
              <w:numPr>
                <w:ilvl w:val="0"/>
                <w:numId w:val="37"/>
              </w:numPr>
              <w:jc w:val="left"/>
              <w:rPr>
                <w:rFonts w:ascii="Arial" w:hAnsi="Arial" w:cs="Arial"/>
                <w:sz w:val="14"/>
                <w:szCs w:val="14"/>
              </w:rPr>
            </w:pPr>
            <w:r w:rsidRPr="00C4589D">
              <w:rPr>
                <w:rFonts w:ascii="Arial" w:hAnsi="Arial" w:cs="Arial"/>
                <w:sz w:val="14"/>
                <w:szCs w:val="14"/>
              </w:rPr>
              <w:t>Surveillance of apparently healthy animals</w:t>
            </w:r>
          </w:p>
        </w:tc>
        <w:tc>
          <w:tcPr>
            <w:tcW w:w="3327" w:type="dxa"/>
            <w:gridSpan w:val="4"/>
            <w:tcBorders>
              <w:top w:val="single" w:sz="6" w:space="0" w:color="auto"/>
              <w:left w:val="single" w:sz="6" w:space="0" w:color="auto"/>
            </w:tcBorders>
          </w:tcPr>
          <w:p w14:paraId="3DB4EEEF" w14:textId="77777777" w:rsidR="00562F64" w:rsidRPr="00C4589D" w:rsidRDefault="00562F64" w:rsidP="00025D4D">
            <w:pPr>
              <w:pStyle w:val="TableHead"/>
              <w:numPr>
                <w:ilvl w:val="0"/>
                <w:numId w:val="37"/>
              </w:numPr>
              <w:rPr>
                <w:rFonts w:ascii="Arial" w:hAnsi="Arial" w:cs="Arial"/>
                <w:sz w:val="14"/>
                <w:szCs w:val="14"/>
              </w:rPr>
            </w:pPr>
            <w:r w:rsidRPr="00C4589D">
              <w:rPr>
                <w:rFonts w:ascii="Arial" w:hAnsi="Arial" w:cs="Arial"/>
                <w:sz w:val="14"/>
                <w:szCs w:val="14"/>
              </w:rPr>
              <w:t>Presumptive diagnosis of clinically affected animals</w:t>
            </w:r>
          </w:p>
        </w:tc>
        <w:tc>
          <w:tcPr>
            <w:tcW w:w="3761" w:type="dxa"/>
            <w:gridSpan w:val="4"/>
            <w:tcBorders>
              <w:top w:val="single" w:sz="6" w:space="0" w:color="auto"/>
              <w:left w:val="single" w:sz="6" w:space="0" w:color="auto"/>
              <w:right w:val="single" w:sz="6" w:space="0" w:color="auto"/>
            </w:tcBorders>
          </w:tcPr>
          <w:p w14:paraId="613F2BE7" w14:textId="77777777" w:rsidR="00562F64" w:rsidRPr="00C4589D" w:rsidRDefault="00562F64" w:rsidP="00025D4D">
            <w:pPr>
              <w:pStyle w:val="TableHead"/>
              <w:numPr>
                <w:ilvl w:val="0"/>
                <w:numId w:val="37"/>
              </w:numPr>
              <w:rPr>
                <w:rFonts w:ascii="Arial" w:hAnsi="Arial" w:cs="Arial"/>
                <w:sz w:val="14"/>
                <w:szCs w:val="14"/>
              </w:rPr>
            </w:pPr>
            <w:r w:rsidRPr="00C4589D">
              <w:rPr>
                <w:rFonts w:ascii="Arial" w:hAnsi="Arial" w:cs="Arial"/>
                <w:sz w:val="14"/>
                <w:szCs w:val="14"/>
              </w:rPr>
              <w:t>Confirmatory diagnosis</w:t>
            </w:r>
            <w:r w:rsidRPr="00C4589D">
              <w:rPr>
                <w:rFonts w:ascii="Arial" w:hAnsi="Arial" w:cs="Arial"/>
                <w:sz w:val="14"/>
                <w:szCs w:val="14"/>
                <w:vertAlign w:val="superscript"/>
              </w:rPr>
              <w:t>1</w:t>
            </w:r>
            <w:r w:rsidRPr="00C4589D">
              <w:rPr>
                <w:rFonts w:ascii="Arial" w:hAnsi="Arial" w:cs="Arial"/>
                <w:sz w:val="14"/>
                <w:szCs w:val="14"/>
              </w:rPr>
              <w:t xml:space="preserve"> of a suspect result </w:t>
            </w:r>
            <w:r w:rsidRPr="00C4589D">
              <w:rPr>
                <w:rFonts w:ascii="Arial" w:hAnsi="Arial"/>
                <w:sz w:val="14"/>
                <w:szCs w:val="14"/>
              </w:rPr>
              <w:t>from surveillance or presumptive diagnosis</w:t>
            </w:r>
          </w:p>
        </w:tc>
      </w:tr>
      <w:tr w:rsidR="00562F64" w:rsidRPr="00C4589D" w14:paraId="0AD7072E" w14:textId="77777777" w:rsidTr="00942CAA">
        <w:trPr>
          <w:trHeight w:val="402"/>
          <w:tblHeader/>
          <w:jc w:val="center"/>
        </w:trPr>
        <w:tc>
          <w:tcPr>
            <w:tcW w:w="2399" w:type="dxa"/>
            <w:vMerge/>
            <w:tcBorders>
              <w:left w:val="single" w:sz="6" w:space="0" w:color="auto"/>
            </w:tcBorders>
            <w:vAlign w:val="center"/>
          </w:tcPr>
          <w:p w14:paraId="199ABFF4" w14:textId="77777777" w:rsidR="00562F64" w:rsidRPr="00C4589D" w:rsidRDefault="00562F64" w:rsidP="00942CAA">
            <w:pPr>
              <w:pStyle w:val="TableHead"/>
              <w:rPr>
                <w:rFonts w:ascii="Arial" w:hAnsi="Arial" w:cs="Arial"/>
                <w:sz w:val="16"/>
                <w:szCs w:val="16"/>
              </w:rPr>
            </w:pPr>
          </w:p>
        </w:tc>
        <w:tc>
          <w:tcPr>
            <w:tcW w:w="995" w:type="dxa"/>
            <w:tcBorders>
              <w:top w:val="single" w:sz="4" w:space="0" w:color="auto"/>
              <w:left w:val="single" w:sz="6" w:space="0" w:color="auto"/>
              <w:bottom w:val="single" w:sz="6" w:space="0" w:color="auto"/>
            </w:tcBorders>
            <w:vAlign w:val="center"/>
          </w:tcPr>
          <w:p w14:paraId="60C2AD55" w14:textId="77777777" w:rsidR="00562F64" w:rsidRPr="00C4589D" w:rsidRDefault="00562F64" w:rsidP="00942CAA">
            <w:pPr>
              <w:pStyle w:val="TableHead"/>
              <w:rPr>
                <w:rFonts w:ascii="Arial" w:hAnsi="Arial" w:cs="Arial"/>
                <w:sz w:val="14"/>
                <w:szCs w:val="14"/>
              </w:rPr>
            </w:pPr>
            <w:r w:rsidRPr="00C4589D">
              <w:rPr>
                <w:rFonts w:ascii="Arial" w:hAnsi="Arial" w:cs="Arial"/>
                <w:sz w:val="14"/>
                <w:szCs w:val="14"/>
              </w:rPr>
              <w:t>Early life stages</w:t>
            </w:r>
            <w:r w:rsidRPr="00C4589D">
              <w:rPr>
                <w:rFonts w:ascii="Arial" w:hAnsi="Arial" w:cs="Arial"/>
                <w:sz w:val="14"/>
                <w:szCs w:val="14"/>
                <w:vertAlign w:val="superscript"/>
              </w:rPr>
              <w:t>2</w:t>
            </w:r>
          </w:p>
        </w:tc>
        <w:tc>
          <w:tcPr>
            <w:tcW w:w="993" w:type="dxa"/>
            <w:tcBorders>
              <w:top w:val="single" w:sz="4" w:space="0" w:color="auto"/>
              <w:left w:val="single" w:sz="6" w:space="0" w:color="auto"/>
              <w:bottom w:val="single" w:sz="6" w:space="0" w:color="auto"/>
            </w:tcBorders>
            <w:vAlign w:val="center"/>
          </w:tcPr>
          <w:p w14:paraId="278090D7" w14:textId="77777777" w:rsidR="00562F64" w:rsidRPr="00C4589D" w:rsidRDefault="00562F64" w:rsidP="00942CAA">
            <w:pPr>
              <w:pStyle w:val="TableHead"/>
              <w:rPr>
                <w:rFonts w:ascii="Arial" w:hAnsi="Arial" w:cs="Arial"/>
                <w:sz w:val="14"/>
                <w:szCs w:val="14"/>
              </w:rPr>
            </w:pPr>
            <w:r w:rsidRPr="00C4589D">
              <w:rPr>
                <w:rFonts w:ascii="Arial" w:hAnsi="Arial" w:cs="Arial"/>
                <w:sz w:val="14"/>
                <w:szCs w:val="14"/>
              </w:rPr>
              <w:t>Juveniles</w:t>
            </w:r>
            <w:r w:rsidRPr="00C4589D">
              <w:rPr>
                <w:rFonts w:ascii="Arial" w:hAnsi="Arial" w:cs="Arial"/>
                <w:sz w:val="14"/>
                <w:szCs w:val="14"/>
                <w:vertAlign w:val="superscript"/>
              </w:rPr>
              <w:t>2</w:t>
            </w:r>
          </w:p>
        </w:tc>
        <w:tc>
          <w:tcPr>
            <w:tcW w:w="708" w:type="dxa"/>
            <w:tcBorders>
              <w:top w:val="single" w:sz="4" w:space="0" w:color="auto"/>
              <w:left w:val="single" w:sz="6" w:space="0" w:color="auto"/>
              <w:bottom w:val="single" w:sz="6" w:space="0" w:color="auto"/>
            </w:tcBorders>
            <w:vAlign w:val="center"/>
          </w:tcPr>
          <w:p w14:paraId="0A413E5B" w14:textId="77777777" w:rsidR="00562F64" w:rsidRPr="00C4589D" w:rsidRDefault="00562F64" w:rsidP="00942CAA">
            <w:pPr>
              <w:pStyle w:val="TableHead"/>
              <w:rPr>
                <w:rFonts w:ascii="Arial" w:hAnsi="Arial" w:cs="Arial"/>
                <w:sz w:val="14"/>
                <w:szCs w:val="14"/>
              </w:rPr>
            </w:pPr>
            <w:r w:rsidRPr="00C4589D">
              <w:rPr>
                <w:rFonts w:ascii="Arial" w:hAnsi="Arial" w:cs="Arial"/>
                <w:sz w:val="14"/>
                <w:szCs w:val="14"/>
              </w:rPr>
              <w:t>Adults</w:t>
            </w:r>
          </w:p>
        </w:tc>
        <w:tc>
          <w:tcPr>
            <w:tcW w:w="709" w:type="dxa"/>
            <w:tcBorders>
              <w:top w:val="single" w:sz="4" w:space="0" w:color="auto"/>
              <w:left w:val="single" w:sz="6" w:space="0" w:color="auto"/>
              <w:bottom w:val="single" w:sz="6" w:space="0" w:color="auto"/>
              <w:right w:val="single" w:sz="6" w:space="0" w:color="auto"/>
            </w:tcBorders>
            <w:vAlign w:val="center"/>
          </w:tcPr>
          <w:p w14:paraId="0401F005" w14:textId="77777777" w:rsidR="00562F64" w:rsidRPr="00C4589D" w:rsidRDefault="00562F64" w:rsidP="00942CAA">
            <w:pPr>
              <w:pStyle w:val="TableHead"/>
              <w:rPr>
                <w:rFonts w:ascii="Arial" w:hAnsi="Arial" w:cs="Arial"/>
                <w:sz w:val="14"/>
                <w:szCs w:val="14"/>
              </w:rPr>
            </w:pPr>
            <w:r w:rsidRPr="00C4589D">
              <w:rPr>
                <w:rFonts w:ascii="Arial" w:hAnsi="Arial" w:cs="Arial"/>
                <w:sz w:val="14"/>
                <w:szCs w:val="14"/>
              </w:rPr>
              <w:t>LV</w:t>
            </w:r>
          </w:p>
        </w:tc>
        <w:tc>
          <w:tcPr>
            <w:tcW w:w="851" w:type="dxa"/>
            <w:tcBorders>
              <w:top w:val="single" w:sz="6" w:space="0" w:color="auto"/>
              <w:left w:val="single" w:sz="6" w:space="0" w:color="auto"/>
              <w:bottom w:val="single" w:sz="6" w:space="0" w:color="auto"/>
            </w:tcBorders>
            <w:vAlign w:val="center"/>
          </w:tcPr>
          <w:p w14:paraId="5961A3D1" w14:textId="77777777" w:rsidR="00562F64" w:rsidRPr="00C4589D" w:rsidRDefault="00562F64" w:rsidP="00942CAA">
            <w:pPr>
              <w:pStyle w:val="TableHead"/>
              <w:rPr>
                <w:rFonts w:ascii="Arial" w:hAnsi="Arial" w:cs="Arial"/>
                <w:sz w:val="14"/>
                <w:szCs w:val="14"/>
              </w:rPr>
            </w:pPr>
            <w:r w:rsidRPr="00C4589D">
              <w:rPr>
                <w:rFonts w:ascii="Arial" w:hAnsi="Arial" w:cs="Arial"/>
                <w:sz w:val="14"/>
                <w:szCs w:val="14"/>
                <w:lang w:val="en-US"/>
              </w:rPr>
              <w:t>Early life stages</w:t>
            </w:r>
            <w:r w:rsidRPr="00C4589D">
              <w:rPr>
                <w:rFonts w:ascii="Arial" w:hAnsi="Arial" w:cs="Arial"/>
                <w:sz w:val="14"/>
                <w:szCs w:val="14"/>
                <w:vertAlign w:val="superscript"/>
                <w:lang w:val="en-US"/>
              </w:rPr>
              <w:t>2</w:t>
            </w:r>
          </w:p>
        </w:tc>
        <w:tc>
          <w:tcPr>
            <w:tcW w:w="992" w:type="dxa"/>
            <w:tcBorders>
              <w:top w:val="single" w:sz="6" w:space="0" w:color="auto"/>
              <w:left w:val="single" w:sz="6" w:space="0" w:color="auto"/>
              <w:bottom w:val="single" w:sz="6" w:space="0" w:color="auto"/>
            </w:tcBorders>
            <w:vAlign w:val="center"/>
          </w:tcPr>
          <w:p w14:paraId="11D66504" w14:textId="77777777" w:rsidR="00562F64" w:rsidRPr="00C4589D" w:rsidRDefault="00562F64" w:rsidP="00942CAA">
            <w:pPr>
              <w:pStyle w:val="TableHead"/>
              <w:rPr>
                <w:rFonts w:ascii="Arial" w:hAnsi="Arial" w:cs="Arial"/>
                <w:sz w:val="14"/>
                <w:szCs w:val="14"/>
              </w:rPr>
            </w:pPr>
            <w:r w:rsidRPr="00C4589D">
              <w:rPr>
                <w:rFonts w:ascii="Arial" w:hAnsi="Arial" w:cs="Arial"/>
                <w:sz w:val="14"/>
                <w:szCs w:val="14"/>
              </w:rPr>
              <w:t>Juveniles</w:t>
            </w:r>
            <w:r w:rsidRPr="00C4589D">
              <w:rPr>
                <w:rFonts w:ascii="Arial" w:hAnsi="Arial" w:cs="Arial"/>
                <w:sz w:val="14"/>
                <w:szCs w:val="14"/>
                <w:vertAlign w:val="superscript"/>
                <w:lang w:val="en-US"/>
              </w:rPr>
              <w:t>2</w:t>
            </w:r>
          </w:p>
        </w:tc>
        <w:tc>
          <w:tcPr>
            <w:tcW w:w="850" w:type="dxa"/>
            <w:tcBorders>
              <w:top w:val="single" w:sz="6" w:space="0" w:color="auto"/>
              <w:left w:val="single" w:sz="6" w:space="0" w:color="auto"/>
              <w:bottom w:val="single" w:sz="6" w:space="0" w:color="auto"/>
            </w:tcBorders>
            <w:vAlign w:val="center"/>
          </w:tcPr>
          <w:p w14:paraId="68EE06FE" w14:textId="77777777" w:rsidR="00562F64" w:rsidRPr="00C4589D" w:rsidRDefault="00562F64" w:rsidP="00942CAA">
            <w:pPr>
              <w:pStyle w:val="TableHead"/>
              <w:rPr>
                <w:rFonts w:ascii="Arial" w:hAnsi="Arial" w:cs="Arial"/>
                <w:sz w:val="14"/>
                <w:szCs w:val="14"/>
              </w:rPr>
            </w:pPr>
            <w:r w:rsidRPr="00C4589D">
              <w:rPr>
                <w:rFonts w:ascii="Arial" w:hAnsi="Arial" w:cs="Arial"/>
                <w:sz w:val="14"/>
                <w:szCs w:val="14"/>
              </w:rPr>
              <w:t>Adults</w:t>
            </w:r>
          </w:p>
        </w:tc>
        <w:tc>
          <w:tcPr>
            <w:tcW w:w="634" w:type="dxa"/>
            <w:tcBorders>
              <w:top w:val="single" w:sz="4" w:space="0" w:color="auto"/>
              <w:left w:val="single" w:sz="6" w:space="0" w:color="auto"/>
              <w:bottom w:val="single" w:sz="6" w:space="0" w:color="auto"/>
              <w:right w:val="single" w:sz="6" w:space="0" w:color="auto"/>
            </w:tcBorders>
            <w:vAlign w:val="center"/>
          </w:tcPr>
          <w:p w14:paraId="0E8F357D" w14:textId="77777777" w:rsidR="00562F64" w:rsidRPr="00C4589D" w:rsidRDefault="00562F64" w:rsidP="00942CAA">
            <w:pPr>
              <w:pStyle w:val="TableHead"/>
              <w:rPr>
                <w:rFonts w:ascii="Arial" w:hAnsi="Arial" w:cs="Arial"/>
                <w:sz w:val="14"/>
                <w:szCs w:val="14"/>
              </w:rPr>
            </w:pPr>
            <w:r w:rsidRPr="00C4589D">
              <w:rPr>
                <w:rFonts w:ascii="Arial" w:hAnsi="Arial" w:cs="Arial"/>
                <w:sz w:val="14"/>
                <w:szCs w:val="14"/>
              </w:rPr>
              <w:t>LV</w:t>
            </w:r>
          </w:p>
        </w:tc>
        <w:tc>
          <w:tcPr>
            <w:tcW w:w="960" w:type="dxa"/>
            <w:tcBorders>
              <w:top w:val="single" w:sz="4" w:space="0" w:color="auto"/>
              <w:left w:val="single" w:sz="6" w:space="0" w:color="auto"/>
              <w:bottom w:val="single" w:sz="6" w:space="0" w:color="auto"/>
              <w:right w:val="single" w:sz="6" w:space="0" w:color="auto"/>
            </w:tcBorders>
            <w:vAlign w:val="center"/>
          </w:tcPr>
          <w:p w14:paraId="2703AF83" w14:textId="77777777" w:rsidR="00562F64" w:rsidRPr="00C4589D" w:rsidRDefault="00562F64" w:rsidP="00942CAA">
            <w:pPr>
              <w:pStyle w:val="TableHead"/>
              <w:rPr>
                <w:rFonts w:ascii="Arial" w:hAnsi="Arial" w:cs="Arial"/>
                <w:sz w:val="14"/>
                <w:szCs w:val="14"/>
              </w:rPr>
            </w:pPr>
            <w:r w:rsidRPr="00C4589D">
              <w:rPr>
                <w:rFonts w:ascii="Arial" w:hAnsi="Arial" w:cs="Arial"/>
                <w:sz w:val="14"/>
                <w:szCs w:val="14"/>
                <w:lang w:val="en-US"/>
              </w:rPr>
              <w:t>Early life stages</w:t>
            </w:r>
            <w:r w:rsidRPr="00C4589D">
              <w:rPr>
                <w:rFonts w:ascii="Arial" w:hAnsi="Arial" w:cs="Arial"/>
                <w:sz w:val="14"/>
                <w:szCs w:val="14"/>
                <w:vertAlign w:val="superscript"/>
                <w:lang w:val="en-US"/>
              </w:rPr>
              <w:t>2</w:t>
            </w:r>
          </w:p>
        </w:tc>
        <w:tc>
          <w:tcPr>
            <w:tcW w:w="1100" w:type="dxa"/>
            <w:tcBorders>
              <w:top w:val="single" w:sz="4" w:space="0" w:color="auto"/>
              <w:left w:val="single" w:sz="6" w:space="0" w:color="auto"/>
              <w:bottom w:val="single" w:sz="6" w:space="0" w:color="auto"/>
              <w:right w:val="single" w:sz="6" w:space="0" w:color="auto"/>
            </w:tcBorders>
            <w:vAlign w:val="center"/>
          </w:tcPr>
          <w:p w14:paraId="537109C8" w14:textId="77777777" w:rsidR="00562F64" w:rsidRPr="00C4589D" w:rsidRDefault="00562F64" w:rsidP="00942CAA">
            <w:pPr>
              <w:pStyle w:val="TableHead"/>
              <w:rPr>
                <w:rFonts w:ascii="Arial" w:hAnsi="Arial" w:cs="Arial"/>
                <w:sz w:val="14"/>
                <w:szCs w:val="14"/>
              </w:rPr>
            </w:pPr>
            <w:r w:rsidRPr="00C4589D">
              <w:rPr>
                <w:rFonts w:ascii="Arial" w:hAnsi="Arial" w:cs="Arial"/>
                <w:sz w:val="14"/>
                <w:szCs w:val="14"/>
              </w:rPr>
              <w:t>Juveniles</w:t>
            </w:r>
            <w:r w:rsidRPr="00C4589D">
              <w:rPr>
                <w:rFonts w:ascii="Arial" w:hAnsi="Arial" w:cs="Arial"/>
                <w:sz w:val="14"/>
                <w:szCs w:val="14"/>
                <w:vertAlign w:val="superscript"/>
                <w:lang w:val="en-US"/>
              </w:rPr>
              <w:t>2</w:t>
            </w:r>
          </w:p>
        </w:tc>
        <w:tc>
          <w:tcPr>
            <w:tcW w:w="992" w:type="dxa"/>
            <w:tcBorders>
              <w:top w:val="single" w:sz="4" w:space="0" w:color="auto"/>
              <w:left w:val="single" w:sz="6" w:space="0" w:color="auto"/>
              <w:bottom w:val="single" w:sz="6" w:space="0" w:color="auto"/>
            </w:tcBorders>
            <w:vAlign w:val="center"/>
          </w:tcPr>
          <w:p w14:paraId="32912BA7" w14:textId="77777777" w:rsidR="00562F64" w:rsidRPr="00C4589D" w:rsidRDefault="00562F64" w:rsidP="00942CAA">
            <w:pPr>
              <w:pStyle w:val="TableHead"/>
              <w:rPr>
                <w:rFonts w:ascii="Arial" w:hAnsi="Arial" w:cs="Arial"/>
                <w:sz w:val="14"/>
                <w:szCs w:val="14"/>
              </w:rPr>
            </w:pPr>
            <w:r w:rsidRPr="00C4589D">
              <w:rPr>
                <w:rFonts w:ascii="Arial" w:hAnsi="Arial" w:cs="Arial"/>
                <w:sz w:val="14"/>
                <w:szCs w:val="14"/>
              </w:rPr>
              <w:t>Adults</w:t>
            </w:r>
          </w:p>
        </w:tc>
        <w:tc>
          <w:tcPr>
            <w:tcW w:w="709" w:type="dxa"/>
            <w:tcBorders>
              <w:top w:val="single" w:sz="4" w:space="0" w:color="auto"/>
              <w:left w:val="single" w:sz="6" w:space="0" w:color="auto"/>
              <w:bottom w:val="single" w:sz="6" w:space="0" w:color="auto"/>
              <w:right w:val="single" w:sz="6" w:space="0" w:color="auto"/>
            </w:tcBorders>
            <w:vAlign w:val="center"/>
          </w:tcPr>
          <w:p w14:paraId="06447206" w14:textId="77777777" w:rsidR="00562F64" w:rsidRPr="00C4589D" w:rsidRDefault="00562F64" w:rsidP="00942CAA">
            <w:pPr>
              <w:pStyle w:val="TableHead"/>
              <w:rPr>
                <w:rFonts w:ascii="Arial" w:hAnsi="Arial" w:cs="Arial"/>
                <w:sz w:val="14"/>
                <w:szCs w:val="14"/>
              </w:rPr>
            </w:pPr>
            <w:r w:rsidRPr="00C4589D">
              <w:rPr>
                <w:rFonts w:ascii="Arial" w:hAnsi="Arial" w:cs="Arial"/>
                <w:sz w:val="14"/>
                <w:szCs w:val="14"/>
              </w:rPr>
              <w:t>LV</w:t>
            </w:r>
          </w:p>
        </w:tc>
      </w:tr>
      <w:tr w:rsidR="00562F64" w:rsidRPr="00C4589D" w14:paraId="1939F233" w14:textId="77777777" w:rsidTr="00942CAA">
        <w:trPr>
          <w:trHeight w:val="227"/>
          <w:jc w:val="center"/>
        </w:trPr>
        <w:tc>
          <w:tcPr>
            <w:tcW w:w="2399" w:type="dxa"/>
            <w:tcBorders>
              <w:top w:val="single" w:sz="6" w:space="0" w:color="auto"/>
              <w:left w:val="single" w:sz="6" w:space="0" w:color="auto"/>
            </w:tcBorders>
            <w:vAlign w:val="center"/>
          </w:tcPr>
          <w:p w14:paraId="763B2F9F" w14:textId="77777777" w:rsidR="00562F64" w:rsidRPr="00C4589D" w:rsidRDefault="00562F64" w:rsidP="00942CAA">
            <w:pPr>
              <w:pStyle w:val="TableHead"/>
              <w:spacing w:before="80" w:after="80"/>
              <w:rPr>
                <w:rFonts w:ascii="Arial" w:hAnsi="Arial" w:cs="Arial"/>
                <w:sz w:val="16"/>
                <w:szCs w:val="16"/>
              </w:rPr>
            </w:pPr>
            <w:r w:rsidRPr="00C4589D">
              <w:rPr>
                <w:rFonts w:ascii="Arial" w:hAnsi="Arial" w:cs="Arial"/>
                <w:sz w:val="16"/>
                <w:szCs w:val="16"/>
              </w:rPr>
              <w:t>Wet mounts</w:t>
            </w:r>
          </w:p>
        </w:tc>
        <w:tc>
          <w:tcPr>
            <w:tcW w:w="995" w:type="dxa"/>
            <w:tcBorders>
              <w:top w:val="single" w:sz="6" w:space="0" w:color="auto"/>
              <w:left w:val="single" w:sz="6" w:space="0" w:color="auto"/>
              <w:bottom w:val="single" w:sz="6" w:space="0" w:color="auto"/>
            </w:tcBorders>
            <w:shd w:val="pct15" w:color="auto" w:fill="auto"/>
            <w:vAlign w:val="center"/>
          </w:tcPr>
          <w:p w14:paraId="579EE4A4" w14:textId="77777777" w:rsidR="00562F64" w:rsidRPr="000924C1" w:rsidRDefault="00562F64" w:rsidP="00942CAA">
            <w:pPr>
              <w:pStyle w:val="TableHead"/>
              <w:spacing w:before="80" w:after="80"/>
              <w:rPr>
                <w:rFonts w:ascii="Arial" w:hAnsi="Arial" w:cs="Arial"/>
                <w:b w:val="0"/>
                <w:szCs w:val="16"/>
              </w:rPr>
            </w:pPr>
          </w:p>
        </w:tc>
        <w:tc>
          <w:tcPr>
            <w:tcW w:w="993" w:type="dxa"/>
            <w:tcBorders>
              <w:top w:val="single" w:sz="6" w:space="0" w:color="auto"/>
              <w:left w:val="single" w:sz="6" w:space="0" w:color="auto"/>
              <w:bottom w:val="single" w:sz="6" w:space="0" w:color="auto"/>
            </w:tcBorders>
            <w:shd w:val="pct15" w:color="auto" w:fill="auto"/>
            <w:vAlign w:val="center"/>
          </w:tcPr>
          <w:p w14:paraId="05B6476A" w14:textId="77777777" w:rsidR="00562F64" w:rsidRPr="000924C1" w:rsidRDefault="00562F64" w:rsidP="00942CAA">
            <w:pPr>
              <w:pStyle w:val="TableHead"/>
              <w:spacing w:before="80" w:after="80"/>
              <w:rPr>
                <w:rFonts w:ascii="Arial" w:hAnsi="Arial" w:cs="Arial"/>
                <w:b w:val="0"/>
                <w:szCs w:val="16"/>
              </w:rPr>
            </w:pPr>
          </w:p>
        </w:tc>
        <w:tc>
          <w:tcPr>
            <w:tcW w:w="708" w:type="dxa"/>
            <w:tcBorders>
              <w:top w:val="single" w:sz="6" w:space="0" w:color="auto"/>
              <w:left w:val="single" w:sz="6" w:space="0" w:color="auto"/>
              <w:bottom w:val="single" w:sz="6" w:space="0" w:color="auto"/>
            </w:tcBorders>
            <w:shd w:val="pct15" w:color="auto" w:fill="auto"/>
            <w:vAlign w:val="center"/>
          </w:tcPr>
          <w:p w14:paraId="3CDE6D33" w14:textId="77777777" w:rsidR="00562F64" w:rsidRPr="000924C1" w:rsidRDefault="00562F64" w:rsidP="00942CAA">
            <w:pPr>
              <w:pStyle w:val="TableHead"/>
              <w:spacing w:before="80" w:after="80"/>
              <w:rPr>
                <w:rFonts w:ascii="Arial" w:hAnsi="Arial" w:cs="Arial"/>
                <w:b w:val="0"/>
                <w:szCs w:val="16"/>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3C100024" w14:textId="77777777" w:rsidR="00562F64" w:rsidRPr="000924C1" w:rsidRDefault="00562F64" w:rsidP="00942CAA">
            <w:pPr>
              <w:pStyle w:val="TableHead"/>
              <w:spacing w:before="80" w:after="80"/>
              <w:rPr>
                <w:rFonts w:ascii="Arial" w:hAnsi="Arial" w:cs="Arial"/>
                <w:b w:val="0"/>
                <w:szCs w:val="16"/>
              </w:rPr>
            </w:pPr>
          </w:p>
        </w:tc>
        <w:tc>
          <w:tcPr>
            <w:tcW w:w="851" w:type="dxa"/>
            <w:tcBorders>
              <w:top w:val="single" w:sz="6" w:space="0" w:color="auto"/>
              <w:left w:val="single" w:sz="6" w:space="0" w:color="auto"/>
              <w:bottom w:val="single" w:sz="6" w:space="0" w:color="auto"/>
            </w:tcBorders>
            <w:shd w:val="pct15" w:color="auto" w:fill="auto"/>
            <w:vAlign w:val="center"/>
          </w:tcPr>
          <w:p w14:paraId="4CE22AE9" w14:textId="77777777" w:rsidR="00562F64" w:rsidRPr="000924C1" w:rsidRDefault="00562F64" w:rsidP="00942CAA">
            <w:pPr>
              <w:pStyle w:val="Tabletext"/>
              <w:spacing w:before="80" w:after="80"/>
              <w:rPr>
                <w:szCs w:val="18"/>
              </w:rPr>
            </w:pPr>
          </w:p>
        </w:tc>
        <w:tc>
          <w:tcPr>
            <w:tcW w:w="992" w:type="dxa"/>
            <w:tcBorders>
              <w:top w:val="single" w:sz="6" w:space="0" w:color="auto"/>
              <w:left w:val="single" w:sz="6" w:space="0" w:color="auto"/>
              <w:bottom w:val="single" w:sz="6" w:space="0" w:color="auto"/>
            </w:tcBorders>
            <w:shd w:val="pct15" w:color="auto" w:fill="auto"/>
            <w:vAlign w:val="center"/>
          </w:tcPr>
          <w:p w14:paraId="1B951193" w14:textId="77777777" w:rsidR="00562F64" w:rsidRPr="000924C1" w:rsidRDefault="00562F64" w:rsidP="00942CAA">
            <w:pPr>
              <w:pStyle w:val="Tabletext"/>
              <w:spacing w:before="80" w:after="80"/>
              <w:rPr>
                <w:szCs w:val="18"/>
              </w:rPr>
            </w:pPr>
          </w:p>
        </w:tc>
        <w:tc>
          <w:tcPr>
            <w:tcW w:w="850" w:type="dxa"/>
            <w:tcBorders>
              <w:top w:val="single" w:sz="6" w:space="0" w:color="auto"/>
              <w:left w:val="single" w:sz="6" w:space="0" w:color="auto"/>
              <w:bottom w:val="single" w:sz="6" w:space="0" w:color="auto"/>
            </w:tcBorders>
            <w:shd w:val="pct15" w:color="auto" w:fill="auto"/>
            <w:vAlign w:val="center"/>
          </w:tcPr>
          <w:p w14:paraId="40D00194" w14:textId="77777777" w:rsidR="00562F64" w:rsidRPr="000924C1" w:rsidRDefault="00562F64" w:rsidP="00942CAA">
            <w:pPr>
              <w:pStyle w:val="Tabletext"/>
              <w:spacing w:before="80" w:after="80"/>
              <w:rPr>
                <w:szCs w:val="18"/>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06D9680E" w14:textId="77777777" w:rsidR="00562F64" w:rsidRPr="000924C1" w:rsidRDefault="00562F64" w:rsidP="00942CAA">
            <w:pPr>
              <w:pStyle w:val="Tabletext"/>
              <w:spacing w:before="80" w:after="80"/>
              <w:rPr>
                <w:szCs w:val="18"/>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5D799A08" w14:textId="77777777" w:rsidR="00562F64" w:rsidRPr="000924C1" w:rsidRDefault="00562F64" w:rsidP="00942CAA">
            <w:pPr>
              <w:pStyle w:val="Tabletext"/>
              <w:spacing w:before="80" w:after="80"/>
              <w:rPr>
                <w:szCs w:val="18"/>
              </w:rPr>
            </w:pPr>
          </w:p>
        </w:tc>
        <w:tc>
          <w:tcPr>
            <w:tcW w:w="1100" w:type="dxa"/>
            <w:tcBorders>
              <w:top w:val="single" w:sz="6" w:space="0" w:color="auto"/>
              <w:left w:val="single" w:sz="6" w:space="0" w:color="auto"/>
              <w:bottom w:val="single" w:sz="6" w:space="0" w:color="auto"/>
              <w:right w:val="single" w:sz="6" w:space="0" w:color="auto"/>
            </w:tcBorders>
            <w:shd w:val="pct15" w:color="auto" w:fill="auto"/>
            <w:vAlign w:val="center"/>
          </w:tcPr>
          <w:p w14:paraId="1D17008C" w14:textId="77777777" w:rsidR="00562F64" w:rsidRPr="000924C1" w:rsidRDefault="00562F64" w:rsidP="00942CAA">
            <w:pPr>
              <w:pStyle w:val="Tabletext"/>
              <w:spacing w:before="80" w:after="80"/>
              <w:rPr>
                <w:szCs w:val="18"/>
              </w:rPr>
            </w:pPr>
          </w:p>
        </w:tc>
        <w:tc>
          <w:tcPr>
            <w:tcW w:w="992" w:type="dxa"/>
            <w:tcBorders>
              <w:top w:val="single" w:sz="6" w:space="0" w:color="auto"/>
              <w:left w:val="single" w:sz="6" w:space="0" w:color="auto"/>
              <w:bottom w:val="single" w:sz="6" w:space="0" w:color="auto"/>
            </w:tcBorders>
            <w:shd w:val="pct15" w:color="auto" w:fill="auto"/>
            <w:vAlign w:val="center"/>
          </w:tcPr>
          <w:p w14:paraId="167CB3F5" w14:textId="77777777" w:rsidR="00562F64" w:rsidRPr="000924C1" w:rsidRDefault="00562F64" w:rsidP="00942CAA">
            <w:pPr>
              <w:pStyle w:val="Tabletext"/>
              <w:spacing w:before="80" w:after="80"/>
              <w:rPr>
                <w:szCs w:val="18"/>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49108137" w14:textId="77777777" w:rsidR="00562F64" w:rsidRPr="000924C1" w:rsidRDefault="00562F64" w:rsidP="00942CAA">
            <w:pPr>
              <w:pStyle w:val="Tabletext"/>
              <w:spacing w:before="80" w:after="80"/>
              <w:rPr>
                <w:szCs w:val="18"/>
              </w:rPr>
            </w:pPr>
          </w:p>
        </w:tc>
      </w:tr>
      <w:tr w:rsidR="00562F64" w:rsidRPr="00C4589D" w14:paraId="7C15F517" w14:textId="77777777" w:rsidTr="00942CAA">
        <w:trPr>
          <w:trHeight w:val="324"/>
          <w:jc w:val="center"/>
        </w:trPr>
        <w:tc>
          <w:tcPr>
            <w:tcW w:w="2399" w:type="dxa"/>
            <w:tcBorders>
              <w:top w:val="single" w:sz="6" w:space="0" w:color="auto"/>
              <w:left w:val="single" w:sz="6" w:space="0" w:color="auto"/>
            </w:tcBorders>
            <w:vAlign w:val="center"/>
          </w:tcPr>
          <w:p w14:paraId="5F0D527C" w14:textId="77777777" w:rsidR="00562F64" w:rsidRPr="00C4589D" w:rsidRDefault="00562F64" w:rsidP="00942CAA">
            <w:pPr>
              <w:pStyle w:val="TableHead"/>
              <w:spacing w:before="80" w:after="80"/>
              <w:rPr>
                <w:rFonts w:ascii="Arial" w:hAnsi="Arial" w:cs="Arial"/>
                <w:sz w:val="16"/>
                <w:szCs w:val="16"/>
              </w:rPr>
            </w:pPr>
            <w:r>
              <w:rPr>
                <w:rFonts w:ascii="Arial" w:hAnsi="Arial" w:cs="Arial"/>
                <w:sz w:val="16"/>
                <w:szCs w:val="16"/>
              </w:rPr>
              <w:t>His</w:t>
            </w:r>
            <w:r w:rsidRPr="00C4589D">
              <w:rPr>
                <w:rFonts w:ascii="Arial" w:hAnsi="Arial" w:cs="Arial"/>
                <w:sz w:val="16"/>
                <w:szCs w:val="16"/>
              </w:rPr>
              <w:t>topathology</w:t>
            </w:r>
            <w:r w:rsidRPr="00C4589D">
              <w:rPr>
                <w:rFonts w:ascii="Arial" w:hAnsi="Arial" w:cs="Arial"/>
                <w:sz w:val="16"/>
                <w:szCs w:val="16"/>
                <w:vertAlign w:val="superscript"/>
              </w:rPr>
              <w:t>3</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1D225596" w14:textId="77777777" w:rsidR="00562F64" w:rsidRPr="000924C1" w:rsidRDefault="00562F64" w:rsidP="00942CAA">
            <w:pPr>
              <w:pStyle w:val="TableHead"/>
              <w:spacing w:before="80" w:after="80"/>
              <w:rPr>
                <w:rFonts w:ascii="Arial" w:hAnsi="Arial" w:cs="Arial"/>
                <w:b w:val="0"/>
                <w:szCs w:val="16"/>
              </w:rPr>
            </w:pPr>
          </w:p>
        </w:tc>
        <w:tc>
          <w:tcPr>
            <w:tcW w:w="993" w:type="dxa"/>
            <w:tcBorders>
              <w:top w:val="single" w:sz="6" w:space="0" w:color="auto"/>
              <w:left w:val="single" w:sz="6" w:space="0" w:color="auto"/>
              <w:bottom w:val="single" w:sz="6" w:space="0" w:color="auto"/>
            </w:tcBorders>
            <w:shd w:val="clear" w:color="auto" w:fill="D9D9D9" w:themeFill="background1" w:themeFillShade="D9"/>
            <w:vAlign w:val="center"/>
          </w:tcPr>
          <w:p w14:paraId="493A1C9B" w14:textId="77777777" w:rsidR="00562F64" w:rsidRPr="000924C1" w:rsidRDefault="00562F64" w:rsidP="00942CAA">
            <w:pPr>
              <w:pStyle w:val="TableHead"/>
              <w:spacing w:before="80" w:after="80"/>
              <w:rPr>
                <w:rFonts w:ascii="Arial" w:hAnsi="Arial" w:cs="Arial"/>
                <w:b w:val="0"/>
                <w:szCs w:val="16"/>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55683A3A" w14:textId="77777777" w:rsidR="00562F64" w:rsidRPr="000924C1" w:rsidRDefault="00562F64" w:rsidP="00942CAA">
            <w:pPr>
              <w:pStyle w:val="TableHead"/>
              <w:spacing w:before="80" w:after="80"/>
              <w:rPr>
                <w:rFonts w:ascii="Arial" w:hAnsi="Arial" w:cs="Arial"/>
                <w:b w:val="0"/>
                <w:szCs w:val="16"/>
              </w:rPr>
            </w:pP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A8EADB2" w14:textId="77777777" w:rsidR="00562F64" w:rsidRPr="000924C1" w:rsidRDefault="00562F64" w:rsidP="00942CAA">
            <w:pPr>
              <w:pStyle w:val="TableHead"/>
              <w:spacing w:before="80" w:after="80"/>
              <w:rPr>
                <w:rFonts w:ascii="Arial" w:hAnsi="Arial" w:cs="Arial"/>
                <w:b w:val="0"/>
                <w:szCs w:val="16"/>
              </w:rPr>
            </w:pPr>
          </w:p>
        </w:tc>
        <w:tc>
          <w:tcPr>
            <w:tcW w:w="851" w:type="dxa"/>
            <w:tcBorders>
              <w:top w:val="single" w:sz="6" w:space="0" w:color="auto"/>
              <w:left w:val="single" w:sz="6" w:space="0" w:color="auto"/>
              <w:bottom w:val="single" w:sz="6" w:space="0" w:color="auto"/>
            </w:tcBorders>
            <w:vAlign w:val="center"/>
          </w:tcPr>
          <w:p w14:paraId="6EAA4B58" w14:textId="77777777" w:rsidR="00562F64" w:rsidRPr="000924C1" w:rsidRDefault="00562F64" w:rsidP="00942CAA">
            <w:pPr>
              <w:pStyle w:val="Tabletext"/>
              <w:spacing w:before="80" w:after="80"/>
              <w:rPr>
                <w:szCs w:val="18"/>
              </w:rPr>
            </w:pPr>
            <w:r>
              <w:rPr>
                <w:szCs w:val="18"/>
              </w:rPr>
              <w:t>++</w:t>
            </w:r>
          </w:p>
        </w:tc>
        <w:tc>
          <w:tcPr>
            <w:tcW w:w="992" w:type="dxa"/>
            <w:tcBorders>
              <w:top w:val="single" w:sz="6" w:space="0" w:color="auto"/>
              <w:left w:val="single" w:sz="6" w:space="0" w:color="auto"/>
              <w:bottom w:val="single" w:sz="6" w:space="0" w:color="auto"/>
            </w:tcBorders>
            <w:vAlign w:val="center"/>
          </w:tcPr>
          <w:p w14:paraId="16196C54" w14:textId="77777777" w:rsidR="00562F64" w:rsidRPr="000924C1" w:rsidRDefault="00562F64" w:rsidP="00942CAA">
            <w:pPr>
              <w:pStyle w:val="Tabletext"/>
              <w:spacing w:before="80" w:after="80"/>
              <w:rPr>
                <w:szCs w:val="18"/>
              </w:rPr>
            </w:pPr>
            <w:r>
              <w:rPr>
                <w:szCs w:val="18"/>
              </w:rPr>
              <w:t>++</w:t>
            </w:r>
          </w:p>
        </w:tc>
        <w:tc>
          <w:tcPr>
            <w:tcW w:w="850" w:type="dxa"/>
            <w:tcBorders>
              <w:top w:val="single" w:sz="6" w:space="0" w:color="auto"/>
              <w:left w:val="single" w:sz="6" w:space="0" w:color="auto"/>
              <w:bottom w:val="single" w:sz="6" w:space="0" w:color="auto"/>
            </w:tcBorders>
            <w:vAlign w:val="center"/>
          </w:tcPr>
          <w:p w14:paraId="685D81A5" w14:textId="77777777" w:rsidR="00562F64" w:rsidRPr="000924C1" w:rsidRDefault="00562F64" w:rsidP="00942CAA">
            <w:pPr>
              <w:pStyle w:val="Tabletext"/>
              <w:spacing w:before="80" w:after="80"/>
              <w:rPr>
                <w:szCs w:val="18"/>
              </w:rPr>
            </w:pPr>
            <w:r>
              <w:rPr>
                <w:szCs w:val="18"/>
              </w:rPr>
              <w:t>++</w:t>
            </w:r>
          </w:p>
        </w:tc>
        <w:tc>
          <w:tcPr>
            <w:tcW w:w="63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6437A72" w14:textId="77777777" w:rsidR="00562F64" w:rsidRPr="000924C1" w:rsidRDefault="00562F64" w:rsidP="00942CAA">
            <w:pPr>
              <w:pStyle w:val="Tabletext"/>
              <w:spacing w:before="80" w:after="80"/>
              <w:rPr>
                <w:szCs w:val="18"/>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45BD49A5" w14:textId="77777777" w:rsidR="00562F64" w:rsidRPr="000924C1" w:rsidRDefault="00562F64" w:rsidP="00942CAA">
            <w:pPr>
              <w:pStyle w:val="Tabletext"/>
              <w:spacing w:before="80" w:after="80"/>
              <w:rPr>
                <w:szCs w:val="18"/>
              </w:rPr>
            </w:pPr>
          </w:p>
        </w:tc>
        <w:tc>
          <w:tcPr>
            <w:tcW w:w="1100" w:type="dxa"/>
            <w:tcBorders>
              <w:top w:val="single" w:sz="6" w:space="0" w:color="auto"/>
              <w:left w:val="single" w:sz="6" w:space="0" w:color="auto"/>
              <w:bottom w:val="single" w:sz="6" w:space="0" w:color="auto"/>
              <w:right w:val="single" w:sz="6" w:space="0" w:color="auto"/>
            </w:tcBorders>
            <w:shd w:val="pct15" w:color="auto" w:fill="auto"/>
            <w:vAlign w:val="center"/>
          </w:tcPr>
          <w:p w14:paraId="09BF1DCE" w14:textId="77777777" w:rsidR="00562F64" w:rsidRPr="000924C1" w:rsidRDefault="00562F64" w:rsidP="00942CAA">
            <w:pPr>
              <w:pStyle w:val="Tabletext"/>
              <w:spacing w:before="80" w:after="80"/>
              <w:rPr>
                <w:szCs w:val="18"/>
              </w:rPr>
            </w:pPr>
          </w:p>
        </w:tc>
        <w:tc>
          <w:tcPr>
            <w:tcW w:w="992" w:type="dxa"/>
            <w:tcBorders>
              <w:top w:val="single" w:sz="6" w:space="0" w:color="auto"/>
              <w:left w:val="single" w:sz="6" w:space="0" w:color="auto"/>
              <w:bottom w:val="single" w:sz="6" w:space="0" w:color="auto"/>
            </w:tcBorders>
            <w:shd w:val="pct15" w:color="auto" w:fill="auto"/>
            <w:vAlign w:val="center"/>
          </w:tcPr>
          <w:p w14:paraId="03E719AB" w14:textId="77777777" w:rsidR="00562F64" w:rsidRPr="000924C1" w:rsidRDefault="00562F64" w:rsidP="00942CAA">
            <w:pPr>
              <w:pStyle w:val="Tabletext"/>
              <w:spacing w:before="80" w:after="80"/>
              <w:rPr>
                <w:szCs w:val="18"/>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53D06094" w14:textId="77777777" w:rsidR="00562F64" w:rsidRPr="000924C1" w:rsidRDefault="00562F64" w:rsidP="00942CAA">
            <w:pPr>
              <w:pStyle w:val="Tabletext"/>
              <w:spacing w:before="80" w:after="80"/>
              <w:rPr>
                <w:szCs w:val="18"/>
              </w:rPr>
            </w:pPr>
          </w:p>
        </w:tc>
      </w:tr>
      <w:tr w:rsidR="00562F64" w:rsidRPr="00C4589D" w14:paraId="32FCCF18" w14:textId="77777777" w:rsidTr="00942CAA">
        <w:trPr>
          <w:trHeight w:val="402"/>
          <w:jc w:val="center"/>
        </w:trPr>
        <w:tc>
          <w:tcPr>
            <w:tcW w:w="2399" w:type="dxa"/>
            <w:tcBorders>
              <w:top w:val="single" w:sz="6" w:space="0" w:color="auto"/>
              <w:left w:val="single" w:sz="6" w:space="0" w:color="auto"/>
              <w:bottom w:val="single" w:sz="6" w:space="0" w:color="auto"/>
            </w:tcBorders>
            <w:vAlign w:val="center"/>
          </w:tcPr>
          <w:p w14:paraId="71685FB3" w14:textId="77777777" w:rsidR="00562F64" w:rsidRPr="00C4589D" w:rsidRDefault="00562F64" w:rsidP="00942CAA">
            <w:pPr>
              <w:pStyle w:val="TableHead"/>
              <w:spacing w:before="80" w:after="80"/>
              <w:rPr>
                <w:rFonts w:ascii="Arial" w:hAnsi="Arial" w:cs="Arial"/>
                <w:sz w:val="16"/>
                <w:szCs w:val="16"/>
              </w:rPr>
            </w:pPr>
            <w:r>
              <w:rPr>
                <w:rFonts w:ascii="Arial" w:hAnsi="Arial" w:cs="Arial"/>
                <w:sz w:val="16"/>
                <w:szCs w:val="16"/>
              </w:rPr>
              <w:t>Cy</w:t>
            </w:r>
            <w:r w:rsidRPr="00C4589D">
              <w:rPr>
                <w:rFonts w:ascii="Arial" w:hAnsi="Arial" w:cs="Arial"/>
                <w:sz w:val="16"/>
                <w:szCs w:val="16"/>
              </w:rPr>
              <w:t>topathology</w:t>
            </w:r>
            <w:r w:rsidRPr="00C4589D">
              <w:rPr>
                <w:rFonts w:ascii="Arial" w:hAnsi="Arial" w:cs="Arial"/>
                <w:sz w:val="16"/>
                <w:szCs w:val="16"/>
                <w:vertAlign w:val="superscript"/>
                <w:lang w:val="en-US"/>
              </w:rPr>
              <w:t>3</w:t>
            </w:r>
          </w:p>
        </w:tc>
        <w:tc>
          <w:tcPr>
            <w:tcW w:w="995" w:type="dxa"/>
            <w:tcBorders>
              <w:top w:val="single" w:sz="6" w:space="0" w:color="auto"/>
              <w:left w:val="single" w:sz="6" w:space="0" w:color="auto"/>
              <w:bottom w:val="single" w:sz="6" w:space="0" w:color="auto"/>
            </w:tcBorders>
            <w:shd w:val="pct15" w:color="auto" w:fill="auto"/>
            <w:vAlign w:val="center"/>
          </w:tcPr>
          <w:p w14:paraId="4C2C490B" w14:textId="77777777" w:rsidR="00562F64" w:rsidRPr="000924C1" w:rsidRDefault="00562F64" w:rsidP="00942CAA">
            <w:pPr>
              <w:pStyle w:val="TableHead"/>
              <w:spacing w:before="80" w:after="80"/>
              <w:rPr>
                <w:rFonts w:ascii="Arial" w:hAnsi="Arial" w:cs="Arial"/>
                <w:b w:val="0"/>
                <w:szCs w:val="16"/>
              </w:rPr>
            </w:pPr>
          </w:p>
        </w:tc>
        <w:tc>
          <w:tcPr>
            <w:tcW w:w="993" w:type="dxa"/>
            <w:tcBorders>
              <w:top w:val="single" w:sz="6" w:space="0" w:color="auto"/>
              <w:left w:val="single" w:sz="6" w:space="0" w:color="auto"/>
              <w:bottom w:val="single" w:sz="6" w:space="0" w:color="auto"/>
            </w:tcBorders>
            <w:shd w:val="pct15" w:color="auto" w:fill="auto"/>
            <w:vAlign w:val="center"/>
          </w:tcPr>
          <w:p w14:paraId="59FAFDF1" w14:textId="77777777" w:rsidR="00562F64" w:rsidRPr="000924C1" w:rsidRDefault="00562F64" w:rsidP="00942CAA">
            <w:pPr>
              <w:pStyle w:val="TableHead"/>
              <w:spacing w:before="80" w:after="80"/>
              <w:rPr>
                <w:rFonts w:ascii="Arial" w:hAnsi="Arial" w:cs="Arial"/>
                <w:b w:val="0"/>
                <w:szCs w:val="16"/>
              </w:rPr>
            </w:pPr>
          </w:p>
        </w:tc>
        <w:tc>
          <w:tcPr>
            <w:tcW w:w="708" w:type="dxa"/>
            <w:tcBorders>
              <w:top w:val="single" w:sz="6" w:space="0" w:color="auto"/>
              <w:left w:val="single" w:sz="6" w:space="0" w:color="auto"/>
              <w:bottom w:val="single" w:sz="6" w:space="0" w:color="auto"/>
            </w:tcBorders>
            <w:shd w:val="pct15" w:color="auto" w:fill="auto"/>
            <w:vAlign w:val="center"/>
          </w:tcPr>
          <w:p w14:paraId="0CECE351" w14:textId="77777777" w:rsidR="00562F64" w:rsidRPr="000924C1" w:rsidRDefault="00562F64" w:rsidP="00942CAA">
            <w:pPr>
              <w:pStyle w:val="TableHead"/>
              <w:spacing w:before="80" w:after="80"/>
              <w:rPr>
                <w:rFonts w:ascii="Arial" w:hAnsi="Arial" w:cs="Arial"/>
                <w:b w:val="0"/>
                <w:szCs w:val="16"/>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76D948F4" w14:textId="77777777" w:rsidR="00562F64" w:rsidRPr="000924C1" w:rsidRDefault="00562F64" w:rsidP="00942CAA">
            <w:pPr>
              <w:pStyle w:val="TableHead"/>
              <w:spacing w:before="80" w:after="80"/>
              <w:rPr>
                <w:rFonts w:ascii="Arial" w:hAnsi="Arial" w:cs="Arial"/>
                <w:b w:val="0"/>
                <w:szCs w:val="16"/>
              </w:rPr>
            </w:pPr>
          </w:p>
        </w:tc>
        <w:tc>
          <w:tcPr>
            <w:tcW w:w="851" w:type="dxa"/>
            <w:tcBorders>
              <w:top w:val="single" w:sz="6" w:space="0" w:color="auto"/>
              <w:left w:val="single" w:sz="6" w:space="0" w:color="auto"/>
              <w:bottom w:val="single" w:sz="6" w:space="0" w:color="auto"/>
            </w:tcBorders>
            <w:shd w:val="pct15" w:color="auto" w:fill="auto"/>
            <w:vAlign w:val="center"/>
          </w:tcPr>
          <w:p w14:paraId="08D0B121" w14:textId="77777777" w:rsidR="00562F64" w:rsidRPr="000924C1" w:rsidRDefault="00562F64" w:rsidP="00942CAA">
            <w:pPr>
              <w:pStyle w:val="Tabletext"/>
              <w:spacing w:before="80" w:after="80"/>
              <w:rPr>
                <w:szCs w:val="18"/>
              </w:rPr>
            </w:pPr>
          </w:p>
        </w:tc>
        <w:tc>
          <w:tcPr>
            <w:tcW w:w="992" w:type="dxa"/>
            <w:tcBorders>
              <w:top w:val="single" w:sz="6" w:space="0" w:color="auto"/>
              <w:left w:val="single" w:sz="6" w:space="0" w:color="auto"/>
              <w:bottom w:val="single" w:sz="6" w:space="0" w:color="auto"/>
            </w:tcBorders>
            <w:shd w:val="pct15" w:color="auto" w:fill="auto"/>
            <w:vAlign w:val="center"/>
          </w:tcPr>
          <w:p w14:paraId="4927F576" w14:textId="77777777" w:rsidR="00562F64" w:rsidRPr="000924C1" w:rsidRDefault="00562F64" w:rsidP="00942CAA">
            <w:pPr>
              <w:pStyle w:val="Tabletext"/>
              <w:spacing w:before="80" w:after="80"/>
              <w:rPr>
                <w:szCs w:val="18"/>
              </w:rPr>
            </w:pPr>
          </w:p>
        </w:tc>
        <w:tc>
          <w:tcPr>
            <w:tcW w:w="850" w:type="dxa"/>
            <w:tcBorders>
              <w:top w:val="single" w:sz="6" w:space="0" w:color="auto"/>
              <w:left w:val="single" w:sz="6" w:space="0" w:color="auto"/>
              <w:bottom w:val="single" w:sz="6" w:space="0" w:color="auto"/>
            </w:tcBorders>
            <w:shd w:val="pct15" w:color="auto" w:fill="auto"/>
            <w:vAlign w:val="center"/>
          </w:tcPr>
          <w:p w14:paraId="1D008BBB" w14:textId="77777777" w:rsidR="00562F64" w:rsidRPr="000924C1" w:rsidRDefault="00562F64" w:rsidP="00942CAA">
            <w:pPr>
              <w:pStyle w:val="Tabletext"/>
              <w:spacing w:before="80" w:after="80"/>
              <w:rPr>
                <w:szCs w:val="18"/>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38FD52EF" w14:textId="77777777" w:rsidR="00562F64" w:rsidRPr="000924C1" w:rsidRDefault="00562F64" w:rsidP="00942CAA">
            <w:pPr>
              <w:pStyle w:val="Tabletext"/>
              <w:spacing w:before="80" w:after="80"/>
              <w:rPr>
                <w:szCs w:val="18"/>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69637808" w14:textId="77777777" w:rsidR="00562F64" w:rsidRPr="000924C1" w:rsidRDefault="00562F64" w:rsidP="00942CAA">
            <w:pPr>
              <w:pStyle w:val="Tabletext"/>
              <w:spacing w:before="80" w:after="80"/>
              <w:rPr>
                <w:szCs w:val="18"/>
              </w:rPr>
            </w:pPr>
          </w:p>
        </w:tc>
        <w:tc>
          <w:tcPr>
            <w:tcW w:w="1100" w:type="dxa"/>
            <w:tcBorders>
              <w:top w:val="single" w:sz="6" w:space="0" w:color="auto"/>
              <w:left w:val="single" w:sz="6" w:space="0" w:color="auto"/>
              <w:bottom w:val="single" w:sz="6" w:space="0" w:color="auto"/>
              <w:right w:val="single" w:sz="6" w:space="0" w:color="auto"/>
            </w:tcBorders>
            <w:shd w:val="pct15" w:color="auto" w:fill="auto"/>
            <w:vAlign w:val="center"/>
          </w:tcPr>
          <w:p w14:paraId="2800C99D" w14:textId="77777777" w:rsidR="00562F64" w:rsidRPr="000924C1" w:rsidRDefault="00562F64" w:rsidP="00942CAA">
            <w:pPr>
              <w:pStyle w:val="Tabletext"/>
              <w:spacing w:before="80" w:after="80"/>
              <w:rPr>
                <w:szCs w:val="18"/>
              </w:rPr>
            </w:pPr>
          </w:p>
        </w:tc>
        <w:tc>
          <w:tcPr>
            <w:tcW w:w="992" w:type="dxa"/>
            <w:tcBorders>
              <w:top w:val="single" w:sz="6" w:space="0" w:color="auto"/>
              <w:left w:val="single" w:sz="6" w:space="0" w:color="auto"/>
              <w:bottom w:val="single" w:sz="6" w:space="0" w:color="auto"/>
            </w:tcBorders>
            <w:shd w:val="pct15" w:color="auto" w:fill="auto"/>
            <w:vAlign w:val="center"/>
          </w:tcPr>
          <w:p w14:paraId="4143456E" w14:textId="77777777" w:rsidR="00562F64" w:rsidRPr="000924C1" w:rsidRDefault="00562F64" w:rsidP="00942CAA">
            <w:pPr>
              <w:pStyle w:val="Tabletext"/>
              <w:spacing w:before="80" w:after="80"/>
              <w:rPr>
                <w:szCs w:val="18"/>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4CCB6C0B" w14:textId="77777777" w:rsidR="00562F64" w:rsidRPr="000924C1" w:rsidRDefault="00562F64" w:rsidP="00942CAA">
            <w:pPr>
              <w:pStyle w:val="Tabletext"/>
              <w:spacing w:before="80" w:after="80"/>
              <w:rPr>
                <w:szCs w:val="18"/>
              </w:rPr>
            </w:pPr>
          </w:p>
        </w:tc>
      </w:tr>
      <w:tr w:rsidR="00562F64" w:rsidRPr="00C4589D" w14:paraId="232F11F4" w14:textId="77777777" w:rsidTr="00942CAA">
        <w:trPr>
          <w:trHeight w:val="402"/>
          <w:jc w:val="center"/>
        </w:trPr>
        <w:tc>
          <w:tcPr>
            <w:tcW w:w="2399" w:type="dxa"/>
            <w:tcBorders>
              <w:top w:val="single" w:sz="6" w:space="0" w:color="auto"/>
              <w:left w:val="single" w:sz="6" w:space="0" w:color="auto"/>
              <w:bottom w:val="single" w:sz="6" w:space="0" w:color="auto"/>
            </w:tcBorders>
            <w:vAlign w:val="center"/>
          </w:tcPr>
          <w:p w14:paraId="27A1912E" w14:textId="77777777" w:rsidR="00562F64" w:rsidRPr="00C4589D" w:rsidRDefault="00562F64" w:rsidP="00942CAA">
            <w:pPr>
              <w:pStyle w:val="TableHead"/>
              <w:spacing w:before="80" w:after="80"/>
              <w:rPr>
                <w:rFonts w:ascii="Arial" w:hAnsi="Arial" w:cs="Arial"/>
                <w:sz w:val="16"/>
                <w:szCs w:val="16"/>
              </w:rPr>
            </w:pPr>
            <w:r w:rsidRPr="00C4589D">
              <w:rPr>
                <w:rFonts w:ascii="Arial" w:hAnsi="Arial" w:cs="Arial"/>
                <w:sz w:val="16"/>
                <w:szCs w:val="16"/>
              </w:rPr>
              <w:t xml:space="preserve">Cell or artificial </w:t>
            </w:r>
            <w:r>
              <w:rPr>
                <w:rFonts w:ascii="Arial" w:hAnsi="Arial" w:cs="Arial"/>
                <w:sz w:val="16"/>
                <w:szCs w:val="16"/>
              </w:rPr>
              <w:br/>
            </w:r>
            <w:r w:rsidRPr="00C4589D">
              <w:rPr>
                <w:rFonts w:ascii="Arial" w:hAnsi="Arial" w:cs="Arial"/>
                <w:sz w:val="16"/>
                <w:szCs w:val="16"/>
              </w:rPr>
              <w:t>media culture</w:t>
            </w:r>
          </w:p>
        </w:tc>
        <w:tc>
          <w:tcPr>
            <w:tcW w:w="995" w:type="dxa"/>
            <w:tcBorders>
              <w:top w:val="single" w:sz="6" w:space="0" w:color="auto"/>
              <w:left w:val="single" w:sz="6" w:space="0" w:color="auto"/>
              <w:bottom w:val="single" w:sz="6" w:space="0" w:color="auto"/>
            </w:tcBorders>
            <w:shd w:val="pct15" w:color="auto" w:fill="auto"/>
            <w:vAlign w:val="center"/>
          </w:tcPr>
          <w:p w14:paraId="7C4B53CB" w14:textId="77777777" w:rsidR="00562F64" w:rsidRPr="000924C1" w:rsidRDefault="00562F64" w:rsidP="00942CAA">
            <w:pPr>
              <w:pStyle w:val="TableHead"/>
              <w:spacing w:before="80" w:after="80"/>
              <w:rPr>
                <w:rFonts w:ascii="Arial" w:hAnsi="Arial" w:cs="Arial"/>
                <w:b w:val="0"/>
                <w:szCs w:val="16"/>
              </w:rPr>
            </w:pPr>
          </w:p>
        </w:tc>
        <w:tc>
          <w:tcPr>
            <w:tcW w:w="993" w:type="dxa"/>
            <w:tcBorders>
              <w:top w:val="single" w:sz="6" w:space="0" w:color="auto"/>
              <w:left w:val="single" w:sz="6" w:space="0" w:color="auto"/>
              <w:bottom w:val="single" w:sz="6" w:space="0" w:color="auto"/>
            </w:tcBorders>
            <w:shd w:val="pct15" w:color="auto" w:fill="auto"/>
            <w:vAlign w:val="center"/>
          </w:tcPr>
          <w:p w14:paraId="70DA9AE3" w14:textId="77777777" w:rsidR="00562F64" w:rsidRPr="000924C1" w:rsidRDefault="00562F64" w:rsidP="00942CAA">
            <w:pPr>
              <w:pStyle w:val="TableHead"/>
              <w:spacing w:before="80" w:after="80"/>
              <w:rPr>
                <w:rFonts w:ascii="Arial" w:hAnsi="Arial" w:cs="Arial"/>
                <w:b w:val="0"/>
                <w:szCs w:val="16"/>
              </w:rPr>
            </w:pPr>
          </w:p>
        </w:tc>
        <w:tc>
          <w:tcPr>
            <w:tcW w:w="708" w:type="dxa"/>
            <w:tcBorders>
              <w:top w:val="single" w:sz="6" w:space="0" w:color="auto"/>
              <w:left w:val="single" w:sz="6" w:space="0" w:color="auto"/>
              <w:bottom w:val="single" w:sz="6" w:space="0" w:color="auto"/>
            </w:tcBorders>
            <w:shd w:val="pct15" w:color="auto" w:fill="auto"/>
            <w:vAlign w:val="center"/>
          </w:tcPr>
          <w:p w14:paraId="0D74F852" w14:textId="77777777" w:rsidR="00562F64" w:rsidRPr="000924C1" w:rsidRDefault="00562F64" w:rsidP="00942CAA">
            <w:pPr>
              <w:pStyle w:val="TableHead"/>
              <w:spacing w:before="80" w:after="80"/>
              <w:rPr>
                <w:rFonts w:ascii="Arial" w:hAnsi="Arial" w:cs="Arial"/>
                <w:b w:val="0"/>
                <w:szCs w:val="16"/>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5B670D05" w14:textId="77777777" w:rsidR="00562F64" w:rsidRPr="000924C1" w:rsidRDefault="00562F64" w:rsidP="00942CAA">
            <w:pPr>
              <w:pStyle w:val="TableHead"/>
              <w:spacing w:before="80" w:after="80"/>
              <w:rPr>
                <w:rFonts w:ascii="Arial" w:hAnsi="Arial" w:cs="Arial"/>
                <w:b w:val="0"/>
                <w:szCs w:val="16"/>
              </w:rPr>
            </w:pPr>
          </w:p>
        </w:tc>
        <w:tc>
          <w:tcPr>
            <w:tcW w:w="851" w:type="dxa"/>
            <w:tcBorders>
              <w:top w:val="single" w:sz="6" w:space="0" w:color="auto"/>
              <w:left w:val="single" w:sz="6" w:space="0" w:color="auto"/>
              <w:bottom w:val="single" w:sz="6" w:space="0" w:color="auto"/>
            </w:tcBorders>
            <w:vAlign w:val="center"/>
          </w:tcPr>
          <w:p w14:paraId="1B6B719A" w14:textId="77777777" w:rsidR="00562F64" w:rsidRPr="000924C1" w:rsidRDefault="00562F64" w:rsidP="00942CAA">
            <w:pPr>
              <w:pStyle w:val="Tabletext"/>
              <w:spacing w:before="80" w:after="80"/>
              <w:rPr>
                <w:szCs w:val="18"/>
              </w:rPr>
            </w:pPr>
            <w:r>
              <w:rPr>
                <w:szCs w:val="18"/>
              </w:rPr>
              <w:t>+</w:t>
            </w:r>
          </w:p>
        </w:tc>
        <w:tc>
          <w:tcPr>
            <w:tcW w:w="992" w:type="dxa"/>
            <w:tcBorders>
              <w:top w:val="single" w:sz="6" w:space="0" w:color="auto"/>
              <w:left w:val="single" w:sz="6" w:space="0" w:color="auto"/>
              <w:bottom w:val="single" w:sz="6" w:space="0" w:color="auto"/>
            </w:tcBorders>
            <w:vAlign w:val="center"/>
          </w:tcPr>
          <w:p w14:paraId="03F1F34C" w14:textId="77777777" w:rsidR="00562F64" w:rsidRPr="000924C1" w:rsidRDefault="00562F64" w:rsidP="00942CAA">
            <w:pPr>
              <w:pStyle w:val="Tabletext"/>
              <w:spacing w:before="80" w:after="80"/>
              <w:rPr>
                <w:szCs w:val="18"/>
              </w:rPr>
            </w:pPr>
            <w:r>
              <w:rPr>
                <w:szCs w:val="18"/>
              </w:rPr>
              <w:t>+</w:t>
            </w:r>
          </w:p>
        </w:tc>
        <w:tc>
          <w:tcPr>
            <w:tcW w:w="850" w:type="dxa"/>
            <w:tcBorders>
              <w:top w:val="single" w:sz="6" w:space="0" w:color="auto"/>
              <w:left w:val="single" w:sz="6" w:space="0" w:color="auto"/>
              <w:bottom w:val="single" w:sz="6" w:space="0" w:color="auto"/>
            </w:tcBorders>
            <w:vAlign w:val="center"/>
          </w:tcPr>
          <w:p w14:paraId="740F4F9F" w14:textId="77777777" w:rsidR="00562F64" w:rsidRPr="000924C1" w:rsidRDefault="00562F64" w:rsidP="00942CAA">
            <w:pPr>
              <w:pStyle w:val="Tabletext"/>
              <w:spacing w:before="80" w:after="80"/>
              <w:rPr>
                <w:szCs w:val="18"/>
              </w:rPr>
            </w:pPr>
            <w:r>
              <w:rPr>
                <w:szCs w:val="18"/>
              </w:rPr>
              <w:t>+</w:t>
            </w:r>
          </w:p>
        </w:tc>
        <w:tc>
          <w:tcPr>
            <w:tcW w:w="63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A6E7CA1" w14:textId="77777777" w:rsidR="00562F64" w:rsidRPr="000924C1" w:rsidRDefault="00562F64" w:rsidP="00942CAA">
            <w:pPr>
              <w:pStyle w:val="Tabletext"/>
              <w:spacing w:before="80" w:after="80"/>
              <w:rPr>
                <w:szCs w:val="18"/>
              </w:rPr>
            </w:pPr>
          </w:p>
        </w:tc>
        <w:tc>
          <w:tcPr>
            <w:tcW w:w="960" w:type="dxa"/>
            <w:tcBorders>
              <w:top w:val="single" w:sz="6" w:space="0" w:color="auto"/>
              <w:left w:val="single" w:sz="6" w:space="0" w:color="auto"/>
              <w:bottom w:val="single" w:sz="6" w:space="0" w:color="auto"/>
              <w:right w:val="single" w:sz="6" w:space="0" w:color="auto"/>
            </w:tcBorders>
            <w:vAlign w:val="center"/>
          </w:tcPr>
          <w:p w14:paraId="4BAFD553" w14:textId="77777777" w:rsidR="00562F64" w:rsidRPr="00747200" w:rsidRDefault="00562F64" w:rsidP="00942CAA">
            <w:pPr>
              <w:pStyle w:val="Tabletext"/>
              <w:spacing w:before="80" w:after="80"/>
              <w:rPr>
                <w:szCs w:val="18"/>
              </w:rPr>
            </w:pPr>
            <w:r w:rsidRPr="00747200">
              <w:rPr>
                <w:szCs w:val="18"/>
              </w:rPr>
              <w:t>+</w:t>
            </w:r>
          </w:p>
        </w:tc>
        <w:tc>
          <w:tcPr>
            <w:tcW w:w="1100" w:type="dxa"/>
            <w:tcBorders>
              <w:top w:val="single" w:sz="6" w:space="0" w:color="auto"/>
              <w:left w:val="single" w:sz="6" w:space="0" w:color="auto"/>
              <w:bottom w:val="single" w:sz="6" w:space="0" w:color="auto"/>
              <w:right w:val="single" w:sz="6" w:space="0" w:color="auto"/>
            </w:tcBorders>
            <w:vAlign w:val="center"/>
          </w:tcPr>
          <w:p w14:paraId="3397AAC5" w14:textId="77777777" w:rsidR="00562F64" w:rsidRPr="00747200" w:rsidRDefault="00562F64" w:rsidP="00942CAA">
            <w:pPr>
              <w:pStyle w:val="Tabletext"/>
              <w:spacing w:before="80" w:after="80"/>
              <w:rPr>
                <w:szCs w:val="18"/>
              </w:rPr>
            </w:pPr>
            <w:r w:rsidRPr="00747200">
              <w:rPr>
                <w:szCs w:val="18"/>
              </w:rPr>
              <w:t>+</w:t>
            </w:r>
          </w:p>
        </w:tc>
        <w:tc>
          <w:tcPr>
            <w:tcW w:w="992" w:type="dxa"/>
            <w:tcBorders>
              <w:top w:val="single" w:sz="6" w:space="0" w:color="auto"/>
              <w:left w:val="single" w:sz="6" w:space="0" w:color="auto"/>
              <w:bottom w:val="single" w:sz="6" w:space="0" w:color="auto"/>
            </w:tcBorders>
            <w:vAlign w:val="center"/>
          </w:tcPr>
          <w:p w14:paraId="5C7F0455" w14:textId="77777777" w:rsidR="00562F64" w:rsidRPr="00747200" w:rsidRDefault="00562F64" w:rsidP="00942CAA">
            <w:pPr>
              <w:pStyle w:val="Tabletext"/>
              <w:spacing w:before="80" w:after="80"/>
              <w:rPr>
                <w:szCs w:val="18"/>
              </w:rPr>
            </w:pPr>
            <w:r w:rsidRPr="00747200">
              <w:rPr>
                <w:szCs w:val="18"/>
              </w:rPr>
              <w:t>+</w:t>
            </w: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FD616A3" w14:textId="77777777" w:rsidR="00562F64" w:rsidRPr="000924C1" w:rsidRDefault="00562F64" w:rsidP="00942CAA">
            <w:pPr>
              <w:pStyle w:val="Tabletext"/>
              <w:spacing w:before="80" w:after="80"/>
              <w:rPr>
                <w:szCs w:val="18"/>
              </w:rPr>
            </w:pPr>
          </w:p>
        </w:tc>
      </w:tr>
      <w:tr w:rsidR="00562F64" w:rsidRPr="00C4589D" w14:paraId="55337D73" w14:textId="77777777" w:rsidTr="00942CAA">
        <w:trPr>
          <w:trHeight w:val="402"/>
          <w:jc w:val="center"/>
        </w:trPr>
        <w:tc>
          <w:tcPr>
            <w:tcW w:w="2399" w:type="dxa"/>
            <w:tcBorders>
              <w:top w:val="single" w:sz="6" w:space="0" w:color="auto"/>
              <w:left w:val="single" w:sz="6" w:space="0" w:color="auto"/>
              <w:bottom w:val="single" w:sz="6" w:space="0" w:color="auto"/>
            </w:tcBorders>
            <w:vAlign w:val="center"/>
          </w:tcPr>
          <w:p w14:paraId="5FD093F5" w14:textId="77777777" w:rsidR="00562F64" w:rsidRPr="00C4589D" w:rsidRDefault="00562F64" w:rsidP="00942CAA">
            <w:pPr>
              <w:pStyle w:val="TableHead"/>
              <w:spacing w:before="80" w:after="80"/>
              <w:rPr>
                <w:rFonts w:ascii="Arial" w:hAnsi="Arial" w:cs="Arial"/>
                <w:sz w:val="16"/>
                <w:szCs w:val="16"/>
              </w:rPr>
            </w:pPr>
            <w:r w:rsidRPr="00C4589D">
              <w:rPr>
                <w:rFonts w:ascii="Arial" w:hAnsi="Arial" w:cs="Arial"/>
                <w:sz w:val="16"/>
                <w:szCs w:val="16"/>
              </w:rPr>
              <w:t xml:space="preserve">Real-time </w:t>
            </w:r>
            <w:r>
              <w:rPr>
                <w:rFonts w:ascii="Arial" w:hAnsi="Arial" w:cs="Arial"/>
                <w:sz w:val="16"/>
                <w:szCs w:val="16"/>
              </w:rPr>
              <w:t>RT-PCR</w:t>
            </w:r>
          </w:p>
        </w:tc>
        <w:tc>
          <w:tcPr>
            <w:tcW w:w="995" w:type="dxa"/>
            <w:tcBorders>
              <w:top w:val="single" w:sz="6" w:space="0" w:color="auto"/>
              <w:left w:val="single" w:sz="6" w:space="0" w:color="auto"/>
              <w:bottom w:val="single" w:sz="6" w:space="0" w:color="auto"/>
            </w:tcBorders>
            <w:vAlign w:val="center"/>
          </w:tcPr>
          <w:p w14:paraId="5FC9016F" w14:textId="77777777" w:rsidR="00562F64" w:rsidRPr="000924C1" w:rsidRDefault="00562F64" w:rsidP="00942CAA">
            <w:pPr>
              <w:pStyle w:val="TableHead"/>
              <w:spacing w:before="80" w:after="80"/>
              <w:rPr>
                <w:rFonts w:ascii="Arial" w:hAnsi="Arial" w:cs="Arial"/>
                <w:b w:val="0"/>
                <w:szCs w:val="16"/>
              </w:rPr>
            </w:pPr>
            <w:r>
              <w:rPr>
                <w:rFonts w:ascii="Arial" w:hAnsi="Arial" w:cs="Arial"/>
                <w:b w:val="0"/>
                <w:szCs w:val="16"/>
              </w:rPr>
              <w:t>+++</w:t>
            </w:r>
          </w:p>
        </w:tc>
        <w:tc>
          <w:tcPr>
            <w:tcW w:w="993" w:type="dxa"/>
            <w:tcBorders>
              <w:top w:val="single" w:sz="6" w:space="0" w:color="auto"/>
              <w:left w:val="single" w:sz="6" w:space="0" w:color="auto"/>
              <w:bottom w:val="single" w:sz="6" w:space="0" w:color="auto"/>
            </w:tcBorders>
            <w:vAlign w:val="center"/>
          </w:tcPr>
          <w:p w14:paraId="3D48DA96" w14:textId="77777777" w:rsidR="00562F64" w:rsidRPr="000924C1" w:rsidRDefault="00562F64" w:rsidP="00942CAA">
            <w:pPr>
              <w:pStyle w:val="TableHead"/>
              <w:spacing w:before="80" w:after="80"/>
              <w:rPr>
                <w:rFonts w:ascii="Arial" w:hAnsi="Arial" w:cs="Arial"/>
                <w:b w:val="0"/>
                <w:szCs w:val="16"/>
              </w:rPr>
            </w:pPr>
            <w:r>
              <w:rPr>
                <w:rFonts w:ascii="Arial" w:hAnsi="Arial" w:cs="Arial"/>
                <w:b w:val="0"/>
                <w:szCs w:val="16"/>
              </w:rPr>
              <w:t>+++</w:t>
            </w:r>
          </w:p>
        </w:tc>
        <w:tc>
          <w:tcPr>
            <w:tcW w:w="708" w:type="dxa"/>
            <w:tcBorders>
              <w:top w:val="single" w:sz="6" w:space="0" w:color="auto"/>
              <w:left w:val="single" w:sz="6" w:space="0" w:color="auto"/>
              <w:bottom w:val="single" w:sz="6" w:space="0" w:color="auto"/>
            </w:tcBorders>
            <w:vAlign w:val="center"/>
          </w:tcPr>
          <w:p w14:paraId="2EF68F79" w14:textId="77777777" w:rsidR="00562F64" w:rsidRPr="000924C1" w:rsidRDefault="00562F64" w:rsidP="00942CAA">
            <w:pPr>
              <w:pStyle w:val="TableHead"/>
              <w:spacing w:before="80" w:after="80"/>
              <w:rPr>
                <w:rFonts w:ascii="Arial" w:hAnsi="Arial" w:cs="Arial"/>
                <w:b w:val="0"/>
                <w:szCs w:val="16"/>
              </w:rPr>
            </w:pPr>
            <w:r>
              <w:rPr>
                <w:rFonts w:ascii="Arial" w:hAnsi="Arial" w:cs="Arial"/>
                <w:b w:val="0"/>
                <w:szCs w:val="16"/>
              </w:rPr>
              <w:t>+++</w:t>
            </w:r>
          </w:p>
        </w:tc>
        <w:tc>
          <w:tcPr>
            <w:tcW w:w="709" w:type="dxa"/>
            <w:tcBorders>
              <w:top w:val="single" w:sz="6" w:space="0" w:color="auto"/>
              <w:left w:val="single" w:sz="6" w:space="0" w:color="auto"/>
              <w:bottom w:val="single" w:sz="6" w:space="0" w:color="auto"/>
              <w:right w:val="single" w:sz="6" w:space="0" w:color="auto"/>
            </w:tcBorders>
            <w:vAlign w:val="center"/>
          </w:tcPr>
          <w:p w14:paraId="43EAECC6" w14:textId="77777777" w:rsidR="00562F64" w:rsidRPr="000924C1" w:rsidRDefault="00562F64" w:rsidP="00942CAA">
            <w:pPr>
              <w:pStyle w:val="TableHead"/>
              <w:spacing w:before="80" w:after="80"/>
              <w:rPr>
                <w:rFonts w:ascii="Arial" w:hAnsi="Arial" w:cs="Arial"/>
                <w:b w:val="0"/>
                <w:szCs w:val="16"/>
              </w:rPr>
            </w:pPr>
          </w:p>
        </w:tc>
        <w:tc>
          <w:tcPr>
            <w:tcW w:w="851" w:type="dxa"/>
            <w:tcBorders>
              <w:top w:val="single" w:sz="6" w:space="0" w:color="auto"/>
              <w:left w:val="single" w:sz="6" w:space="0" w:color="auto"/>
              <w:bottom w:val="single" w:sz="6" w:space="0" w:color="auto"/>
            </w:tcBorders>
            <w:vAlign w:val="center"/>
          </w:tcPr>
          <w:p w14:paraId="268A3D46" w14:textId="77777777" w:rsidR="00562F64" w:rsidRPr="000924C1" w:rsidRDefault="00562F64" w:rsidP="00942CAA">
            <w:pPr>
              <w:pStyle w:val="Tabletext"/>
              <w:spacing w:before="80" w:after="80"/>
              <w:rPr>
                <w:szCs w:val="18"/>
              </w:rPr>
            </w:pPr>
            <w:r>
              <w:rPr>
                <w:szCs w:val="18"/>
              </w:rPr>
              <w:t>+++</w:t>
            </w:r>
          </w:p>
        </w:tc>
        <w:tc>
          <w:tcPr>
            <w:tcW w:w="992" w:type="dxa"/>
            <w:tcBorders>
              <w:top w:val="single" w:sz="6" w:space="0" w:color="auto"/>
              <w:left w:val="single" w:sz="6" w:space="0" w:color="auto"/>
              <w:bottom w:val="single" w:sz="6" w:space="0" w:color="auto"/>
            </w:tcBorders>
            <w:vAlign w:val="center"/>
          </w:tcPr>
          <w:p w14:paraId="205D7C00" w14:textId="77777777" w:rsidR="00562F64" w:rsidRPr="000924C1" w:rsidRDefault="00562F64" w:rsidP="00942CAA">
            <w:pPr>
              <w:pStyle w:val="Tabletext"/>
              <w:spacing w:before="80" w:after="80"/>
              <w:rPr>
                <w:szCs w:val="18"/>
              </w:rPr>
            </w:pPr>
            <w:r>
              <w:rPr>
                <w:szCs w:val="18"/>
              </w:rPr>
              <w:t>+++</w:t>
            </w:r>
          </w:p>
        </w:tc>
        <w:tc>
          <w:tcPr>
            <w:tcW w:w="850" w:type="dxa"/>
            <w:tcBorders>
              <w:top w:val="single" w:sz="6" w:space="0" w:color="auto"/>
              <w:left w:val="single" w:sz="6" w:space="0" w:color="auto"/>
              <w:bottom w:val="single" w:sz="6" w:space="0" w:color="auto"/>
            </w:tcBorders>
            <w:vAlign w:val="center"/>
          </w:tcPr>
          <w:p w14:paraId="3D6AD01C" w14:textId="77777777" w:rsidR="00562F64" w:rsidRPr="000924C1" w:rsidRDefault="00562F64" w:rsidP="00942CAA">
            <w:pPr>
              <w:pStyle w:val="Tabletext"/>
              <w:spacing w:before="80" w:after="80"/>
              <w:rPr>
                <w:szCs w:val="18"/>
              </w:rPr>
            </w:pPr>
            <w:r>
              <w:rPr>
                <w:szCs w:val="18"/>
              </w:rPr>
              <w:t>+++</w:t>
            </w:r>
          </w:p>
        </w:tc>
        <w:tc>
          <w:tcPr>
            <w:tcW w:w="63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5BEA048" w14:textId="77777777" w:rsidR="00562F64" w:rsidRPr="000924C1" w:rsidRDefault="00562F64" w:rsidP="00942CAA">
            <w:pPr>
              <w:pStyle w:val="Tabletext"/>
              <w:spacing w:before="80" w:after="80"/>
              <w:rPr>
                <w:szCs w:val="18"/>
              </w:rPr>
            </w:pPr>
          </w:p>
        </w:tc>
        <w:tc>
          <w:tcPr>
            <w:tcW w:w="960" w:type="dxa"/>
            <w:tcBorders>
              <w:top w:val="single" w:sz="6" w:space="0" w:color="auto"/>
              <w:left w:val="single" w:sz="6" w:space="0" w:color="auto"/>
              <w:bottom w:val="single" w:sz="6" w:space="0" w:color="auto"/>
              <w:right w:val="single" w:sz="6" w:space="0" w:color="auto"/>
            </w:tcBorders>
            <w:vAlign w:val="center"/>
          </w:tcPr>
          <w:p w14:paraId="3D17C964" w14:textId="77777777" w:rsidR="00562F64" w:rsidRPr="00747200" w:rsidRDefault="00562F64" w:rsidP="00942CAA">
            <w:pPr>
              <w:pStyle w:val="Tabletext"/>
              <w:spacing w:before="80" w:after="80"/>
              <w:rPr>
                <w:szCs w:val="18"/>
              </w:rPr>
            </w:pPr>
            <w:r w:rsidRPr="00747200">
              <w:rPr>
                <w:szCs w:val="18"/>
              </w:rPr>
              <w:t>+++</w:t>
            </w:r>
          </w:p>
        </w:tc>
        <w:tc>
          <w:tcPr>
            <w:tcW w:w="1100" w:type="dxa"/>
            <w:tcBorders>
              <w:top w:val="single" w:sz="6" w:space="0" w:color="auto"/>
              <w:left w:val="single" w:sz="6" w:space="0" w:color="auto"/>
              <w:bottom w:val="single" w:sz="6" w:space="0" w:color="auto"/>
              <w:right w:val="single" w:sz="6" w:space="0" w:color="auto"/>
            </w:tcBorders>
            <w:vAlign w:val="center"/>
          </w:tcPr>
          <w:p w14:paraId="5495D5FF" w14:textId="77777777" w:rsidR="00562F64" w:rsidRPr="00747200" w:rsidRDefault="00562F64" w:rsidP="00942CAA">
            <w:pPr>
              <w:pStyle w:val="Tabletext"/>
              <w:spacing w:before="80" w:after="80"/>
              <w:rPr>
                <w:szCs w:val="18"/>
              </w:rPr>
            </w:pPr>
            <w:r w:rsidRPr="00747200">
              <w:rPr>
                <w:szCs w:val="18"/>
              </w:rPr>
              <w:t>+++</w:t>
            </w:r>
          </w:p>
        </w:tc>
        <w:tc>
          <w:tcPr>
            <w:tcW w:w="992" w:type="dxa"/>
            <w:tcBorders>
              <w:top w:val="single" w:sz="6" w:space="0" w:color="auto"/>
              <w:left w:val="single" w:sz="6" w:space="0" w:color="auto"/>
              <w:bottom w:val="single" w:sz="6" w:space="0" w:color="auto"/>
            </w:tcBorders>
            <w:vAlign w:val="center"/>
          </w:tcPr>
          <w:p w14:paraId="133F7B38" w14:textId="77777777" w:rsidR="00562F64" w:rsidRPr="00747200" w:rsidRDefault="00562F64" w:rsidP="00942CAA">
            <w:pPr>
              <w:pStyle w:val="Tabletext"/>
              <w:spacing w:before="80" w:after="80"/>
              <w:rPr>
                <w:szCs w:val="18"/>
              </w:rPr>
            </w:pPr>
            <w:r w:rsidRPr="00747200">
              <w:rPr>
                <w:szCs w:val="18"/>
              </w:rPr>
              <w:t>+++</w:t>
            </w: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566D62F" w14:textId="77777777" w:rsidR="00562F64" w:rsidRPr="000924C1" w:rsidRDefault="00562F64" w:rsidP="00942CAA">
            <w:pPr>
              <w:pStyle w:val="Tabletext"/>
              <w:spacing w:before="80" w:after="80"/>
              <w:rPr>
                <w:szCs w:val="18"/>
              </w:rPr>
            </w:pPr>
          </w:p>
        </w:tc>
      </w:tr>
      <w:tr w:rsidR="00562F64" w:rsidRPr="00C4589D" w14:paraId="2800D57B" w14:textId="77777777" w:rsidTr="00942CAA">
        <w:trPr>
          <w:trHeight w:val="402"/>
          <w:jc w:val="center"/>
        </w:trPr>
        <w:tc>
          <w:tcPr>
            <w:tcW w:w="2399" w:type="dxa"/>
            <w:tcBorders>
              <w:top w:val="single" w:sz="6" w:space="0" w:color="auto"/>
              <w:left w:val="single" w:sz="6" w:space="0" w:color="auto"/>
              <w:bottom w:val="single" w:sz="6" w:space="0" w:color="auto"/>
            </w:tcBorders>
            <w:vAlign w:val="center"/>
          </w:tcPr>
          <w:p w14:paraId="33607D58" w14:textId="77777777" w:rsidR="00562F64" w:rsidRPr="00C4589D" w:rsidRDefault="00562F64" w:rsidP="00942CAA">
            <w:pPr>
              <w:pStyle w:val="TableHead"/>
              <w:spacing w:before="80" w:after="80"/>
              <w:rPr>
                <w:rFonts w:ascii="Arial" w:hAnsi="Arial" w:cs="Arial"/>
                <w:sz w:val="16"/>
                <w:szCs w:val="16"/>
              </w:rPr>
            </w:pPr>
            <w:r w:rsidRPr="00C4589D">
              <w:rPr>
                <w:rFonts w:ascii="Arial" w:hAnsi="Arial" w:cs="Arial"/>
                <w:sz w:val="16"/>
                <w:szCs w:val="16"/>
              </w:rPr>
              <w:t xml:space="preserve">Conventional </w:t>
            </w:r>
            <w:r>
              <w:rPr>
                <w:rFonts w:ascii="Arial" w:hAnsi="Arial" w:cs="Arial"/>
                <w:sz w:val="16"/>
                <w:szCs w:val="16"/>
              </w:rPr>
              <w:t>RT-</w:t>
            </w:r>
            <w:r w:rsidRPr="00C4589D">
              <w:rPr>
                <w:rFonts w:ascii="Arial" w:hAnsi="Arial" w:cs="Arial"/>
                <w:sz w:val="16"/>
                <w:szCs w:val="16"/>
              </w:rPr>
              <w:t>PCR</w:t>
            </w:r>
          </w:p>
        </w:tc>
        <w:tc>
          <w:tcPr>
            <w:tcW w:w="995" w:type="dxa"/>
            <w:tcBorders>
              <w:top w:val="single" w:sz="6" w:space="0" w:color="auto"/>
              <w:left w:val="single" w:sz="6" w:space="0" w:color="auto"/>
              <w:bottom w:val="single" w:sz="6" w:space="0" w:color="auto"/>
            </w:tcBorders>
            <w:shd w:val="pct15" w:color="auto" w:fill="auto"/>
            <w:vAlign w:val="center"/>
          </w:tcPr>
          <w:p w14:paraId="17B56746" w14:textId="77777777" w:rsidR="00562F64" w:rsidRPr="000924C1" w:rsidRDefault="00562F64" w:rsidP="00942CAA">
            <w:pPr>
              <w:pStyle w:val="TableHead"/>
              <w:spacing w:before="80" w:after="80"/>
              <w:rPr>
                <w:rFonts w:ascii="Arial" w:hAnsi="Arial" w:cs="Arial"/>
                <w:b w:val="0"/>
                <w:szCs w:val="16"/>
              </w:rPr>
            </w:pPr>
          </w:p>
        </w:tc>
        <w:tc>
          <w:tcPr>
            <w:tcW w:w="993" w:type="dxa"/>
            <w:tcBorders>
              <w:top w:val="single" w:sz="6" w:space="0" w:color="auto"/>
              <w:left w:val="single" w:sz="6" w:space="0" w:color="auto"/>
              <w:bottom w:val="single" w:sz="6" w:space="0" w:color="auto"/>
            </w:tcBorders>
            <w:shd w:val="pct15" w:color="auto" w:fill="auto"/>
            <w:vAlign w:val="center"/>
          </w:tcPr>
          <w:p w14:paraId="254794CA" w14:textId="77777777" w:rsidR="00562F64" w:rsidRPr="000924C1" w:rsidRDefault="00562F64" w:rsidP="00942CAA">
            <w:pPr>
              <w:pStyle w:val="TableHead"/>
              <w:spacing w:before="80" w:after="80"/>
              <w:rPr>
                <w:rFonts w:ascii="Arial" w:hAnsi="Arial" w:cs="Arial"/>
                <w:b w:val="0"/>
                <w:szCs w:val="16"/>
              </w:rPr>
            </w:pPr>
          </w:p>
        </w:tc>
        <w:tc>
          <w:tcPr>
            <w:tcW w:w="708" w:type="dxa"/>
            <w:tcBorders>
              <w:top w:val="single" w:sz="6" w:space="0" w:color="auto"/>
              <w:left w:val="single" w:sz="6" w:space="0" w:color="auto"/>
              <w:bottom w:val="single" w:sz="6" w:space="0" w:color="auto"/>
            </w:tcBorders>
            <w:shd w:val="pct15" w:color="auto" w:fill="auto"/>
            <w:vAlign w:val="center"/>
          </w:tcPr>
          <w:p w14:paraId="4623D13D" w14:textId="77777777" w:rsidR="00562F64" w:rsidRPr="000924C1" w:rsidRDefault="00562F64" w:rsidP="00942CAA">
            <w:pPr>
              <w:pStyle w:val="TableHead"/>
              <w:spacing w:before="80" w:after="80"/>
              <w:rPr>
                <w:rFonts w:ascii="Arial" w:hAnsi="Arial" w:cs="Arial"/>
                <w:b w:val="0"/>
                <w:szCs w:val="16"/>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671EF26A" w14:textId="77777777" w:rsidR="00562F64" w:rsidRPr="000924C1" w:rsidRDefault="00562F64" w:rsidP="00942CAA">
            <w:pPr>
              <w:pStyle w:val="TableHead"/>
              <w:spacing w:before="80" w:after="80"/>
              <w:rPr>
                <w:rFonts w:ascii="Arial" w:hAnsi="Arial" w:cs="Arial"/>
                <w:b w:val="0"/>
                <w:szCs w:val="16"/>
              </w:rPr>
            </w:pPr>
          </w:p>
        </w:tc>
        <w:tc>
          <w:tcPr>
            <w:tcW w:w="851" w:type="dxa"/>
            <w:tcBorders>
              <w:top w:val="single" w:sz="6" w:space="0" w:color="auto"/>
              <w:left w:val="single" w:sz="6" w:space="0" w:color="auto"/>
              <w:bottom w:val="single" w:sz="6" w:space="0" w:color="auto"/>
            </w:tcBorders>
            <w:shd w:val="clear" w:color="auto" w:fill="FFFFFF" w:themeFill="background1"/>
            <w:vAlign w:val="center"/>
          </w:tcPr>
          <w:p w14:paraId="2946C3DF" w14:textId="77777777" w:rsidR="00562F64" w:rsidRPr="000924C1" w:rsidRDefault="00562F64" w:rsidP="00942CAA">
            <w:pPr>
              <w:pStyle w:val="Tabletext"/>
              <w:spacing w:before="80" w:after="80"/>
              <w:rPr>
                <w:szCs w:val="18"/>
              </w:rPr>
            </w:pPr>
            <w:r>
              <w:rPr>
                <w:szCs w:val="18"/>
              </w:rPr>
              <w:t>++</w:t>
            </w:r>
          </w:p>
        </w:tc>
        <w:tc>
          <w:tcPr>
            <w:tcW w:w="992" w:type="dxa"/>
            <w:tcBorders>
              <w:top w:val="single" w:sz="6" w:space="0" w:color="auto"/>
              <w:left w:val="single" w:sz="6" w:space="0" w:color="auto"/>
              <w:bottom w:val="single" w:sz="6" w:space="0" w:color="auto"/>
            </w:tcBorders>
            <w:shd w:val="clear" w:color="auto" w:fill="FFFFFF" w:themeFill="background1"/>
            <w:vAlign w:val="center"/>
          </w:tcPr>
          <w:p w14:paraId="1AD5030D" w14:textId="77777777" w:rsidR="00562F64" w:rsidRPr="000924C1" w:rsidRDefault="00562F64" w:rsidP="00942CAA">
            <w:pPr>
              <w:pStyle w:val="Tabletext"/>
              <w:spacing w:before="80" w:after="80"/>
              <w:rPr>
                <w:szCs w:val="18"/>
              </w:rPr>
            </w:pPr>
            <w:r>
              <w:rPr>
                <w:szCs w:val="18"/>
              </w:rPr>
              <w:t>++</w:t>
            </w:r>
          </w:p>
        </w:tc>
        <w:tc>
          <w:tcPr>
            <w:tcW w:w="850" w:type="dxa"/>
            <w:tcBorders>
              <w:top w:val="single" w:sz="6" w:space="0" w:color="auto"/>
              <w:left w:val="single" w:sz="6" w:space="0" w:color="auto"/>
              <w:bottom w:val="single" w:sz="6" w:space="0" w:color="auto"/>
            </w:tcBorders>
            <w:shd w:val="clear" w:color="auto" w:fill="FFFFFF" w:themeFill="background1"/>
            <w:vAlign w:val="center"/>
          </w:tcPr>
          <w:p w14:paraId="78E2D6AC" w14:textId="77777777" w:rsidR="00562F64" w:rsidRPr="000924C1" w:rsidRDefault="00562F64" w:rsidP="00942CAA">
            <w:pPr>
              <w:pStyle w:val="Tabletext"/>
              <w:spacing w:before="80" w:after="80"/>
              <w:rPr>
                <w:szCs w:val="18"/>
              </w:rPr>
            </w:pPr>
            <w:r>
              <w:rPr>
                <w:szCs w:val="18"/>
              </w:rPr>
              <w:t>++</w:t>
            </w:r>
          </w:p>
        </w:tc>
        <w:tc>
          <w:tcPr>
            <w:tcW w:w="63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152733B" w14:textId="77777777" w:rsidR="00562F64" w:rsidRPr="000924C1" w:rsidRDefault="00562F64" w:rsidP="00942CAA">
            <w:pPr>
              <w:pStyle w:val="Tabletext"/>
              <w:spacing w:before="80" w:after="80"/>
              <w:rPr>
                <w:szCs w:val="18"/>
              </w:rPr>
            </w:pPr>
          </w:p>
        </w:tc>
        <w:tc>
          <w:tcPr>
            <w:tcW w:w="96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31B63E4" w14:textId="77777777" w:rsidR="00562F64" w:rsidRPr="00747200" w:rsidRDefault="00562F64" w:rsidP="00942CAA">
            <w:pPr>
              <w:pStyle w:val="Tabletext"/>
              <w:spacing w:before="80" w:after="80"/>
              <w:rPr>
                <w:szCs w:val="18"/>
              </w:rPr>
            </w:pPr>
            <w:r w:rsidRPr="00747200">
              <w:rPr>
                <w:szCs w:val="18"/>
              </w:rPr>
              <w:t>++</w:t>
            </w:r>
          </w:p>
        </w:tc>
        <w:tc>
          <w:tcPr>
            <w:tcW w:w="110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CD40A48" w14:textId="77777777" w:rsidR="00562F64" w:rsidRPr="00747200" w:rsidRDefault="00562F64" w:rsidP="00942CAA">
            <w:pPr>
              <w:pStyle w:val="Tabletext"/>
              <w:spacing w:before="80" w:after="80"/>
              <w:rPr>
                <w:szCs w:val="18"/>
              </w:rPr>
            </w:pPr>
            <w:r w:rsidRPr="00747200">
              <w:rPr>
                <w:szCs w:val="18"/>
              </w:rPr>
              <w:t>++</w:t>
            </w:r>
          </w:p>
        </w:tc>
        <w:tc>
          <w:tcPr>
            <w:tcW w:w="992" w:type="dxa"/>
            <w:tcBorders>
              <w:top w:val="single" w:sz="6" w:space="0" w:color="auto"/>
              <w:left w:val="single" w:sz="6" w:space="0" w:color="auto"/>
              <w:bottom w:val="single" w:sz="6" w:space="0" w:color="auto"/>
            </w:tcBorders>
            <w:shd w:val="clear" w:color="auto" w:fill="FFFFFF" w:themeFill="background1"/>
            <w:vAlign w:val="center"/>
          </w:tcPr>
          <w:p w14:paraId="3D9B2793" w14:textId="77777777" w:rsidR="00562F64" w:rsidRPr="00747200" w:rsidRDefault="00562F64" w:rsidP="00942CAA">
            <w:pPr>
              <w:pStyle w:val="Tabletext"/>
              <w:spacing w:before="80" w:after="80"/>
              <w:rPr>
                <w:szCs w:val="18"/>
              </w:rPr>
            </w:pPr>
            <w:r w:rsidRPr="00747200">
              <w:rPr>
                <w:szCs w:val="18"/>
              </w:rPr>
              <w:t>++</w:t>
            </w: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044A0DD2" w14:textId="77777777" w:rsidR="00562F64" w:rsidRPr="000924C1" w:rsidRDefault="00562F64" w:rsidP="00942CAA">
            <w:pPr>
              <w:pStyle w:val="Tabletext"/>
              <w:spacing w:before="80" w:after="80"/>
              <w:rPr>
                <w:szCs w:val="18"/>
              </w:rPr>
            </w:pPr>
          </w:p>
        </w:tc>
      </w:tr>
      <w:tr w:rsidR="00562F64" w:rsidRPr="00C4589D" w14:paraId="6E1982F0" w14:textId="77777777" w:rsidTr="00942CAA">
        <w:trPr>
          <w:trHeight w:val="402"/>
          <w:jc w:val="center"/>
        </w:trPr>
        <w:tc>
          <w:tcPr>
            <w:tcW w:w="2399" w:type="dxa"/>
            <w:tcBorders>
              <w:top w:val="single" w:sz="6" w:space="0" w:color="auto"/>
              <w:left w:val="single" w:sz="6" w:space="0" w:color="auto"/>
              <w:bottom w:val="single" w:sz="6" w:space="0" w:color="auto"/>
            </w:tcBorders>
            <w:vAlign w:val="center"/>
          </w:tcPr>
          <w:p w14:paraId="430A9F42" w14:textId="77777777" w:rsidR="00562F64" w:rsidRPr="00C4589D" w:rsidRDefault="00562F64" w:rsidP="00942CAA">
            <w:pPr>
              <w:pStyle w:val="TableHead"/>
              <w:spacing w:before="80" w:after="80"/>
              <w:rPr>
                <w:rFonts w:ascii="Arial" w:hAnsi="Arial" w:cs="Arial"/>
                <w:sz w:val="16"/>
                <w:szCs w:val="16"/>
              </w:rPr>
            </w:pPr>
            <w:r w:rsidRPr="00C4589D">
              <w:rPr>
                <w:rFonts w:ascii="Arial" w:hAnsi="Arial" w:cs="Arial"/>
                <w:sz w:val="16"/>
                <w:szCs w:val="16"/>
              </w:rPr>
              <w:t>Amplicon sequencing</w:t>
            </w:r>
            <w:r w:rsidRPr="00C4589D">
              <w:rPr>
                <w:rFonts w:ascii="Arial" w:hAnsi="Arial" w:cs="Arial"/>
                <w:sz w:val="16"/>
                <w:szCs w:val="16"/>
                <w:vertAlign w:val="superscript"/>
              </w:rPr>
              <w:t>4</w:t>
            </w:r>
          </w:p>
        </w:tc>
        <w:tc>
          <w:tcPr>
            <w:tcW w:w="995" w:type="dxa"/>
            <w:tcBorders>
              <w:top w:val="single" w:sz="6" w:space="0" w:color="auto"/>
              <w:left w:val="single" w:sz="6" w:space="0" w:color="auto"/>
              <w:bottom w:val="single" w:sz="6" w:space="0" w:color="auto"/>
            </w:tcBorders>
            <w:shd w:val="clear" w:color="auto" w:fill="D9D9D9" w:themeFill="background1" w:themeFillShade="D9"/>
            <w:vAlign w:val="center"/>
          </w:tcPr>
          <w:p w14:paraId="098C7D13" w14:textId="77777777" w:rsidR="00562F64" w:rsidRPr="000924C1" w:rsidRDefault="00562F64" w:rsidP="00942CAA">
            <w:pPr>
              <w:pStyle w:val="TableHead"/>
              <w:spacing w:before="80" w:after="80"/>
              <w:rPr>
                <w:rFonts w:ascii="Arial" w:hAnsi="Arial" w:cs="Arial"/>
                <w:b w:val="0"/>
                <w:szCs w:val="16"/>
              </w:rPr>
            </w:pPr>
          </w:p>
        </w:tc>
        <w:tc>
          <w:tcPr>
            <w:tcW w:w="993" w:type="dxa"/>
            <w:tcBorders>
              <w:top w:val="single" w:sz="6" w:space="0" w:color="auto"/>
              <w:left w:val="single" w:sz="6" w:space="0" w:color="auto"/>
              <w:bottom w:val="single" w:sz="6" w:space="0" w:color="auto"/>
            </w:tcBorders>
            <w:shd w:val="clear" w:color="auto" w:fill="D9D9D9" w:themeFill="background1" w:themeFillShade="D9"/>
            <w:vAlign w:val="center"/>
          </w:tcPr>
          <w:p w14:paraId="6DA6EA10" w14:textId="77777777" w:rsidR="00562F64" w:rsidRPr="001B17AB" w:rsidRDefault="00562F64" w:rsidP="00942CAA">
            <w:pPr>
              <w:pStyle w:val="TableHead"/>
              <w:spacing w:before="80" w:after="80"/>
              <w:rPr>
                <w:rFonts w:ascii="Arial" w:hAnsi="Arial" w:cs="Arial"/>
                <w:b w:val="0"/>
                <w:szCs w:val="16"/>
                <w:highlight w:val="lightGray"/>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376E4F70" w14:textId="77777777" w:rsidR="00562F64" w:rsidRPr="000924C1" w:rsidRDefault="00562F64" w:rsidP="00942CAA">
            <w:pPr>
              <w:pStyle w:val="TableHead"/>
              <w:spacing w:before="80" w:after="80"/>
              <w:rPr>
                <w:rFonts w:ascii="Arial" w:hAnsi="Arial" w:cs="Arial"/>
                <w:b w:val="0"/>
                <w:szCs w:val="16"/>
              </w:rPr>
            </w:pP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DEA5D9F" w14:textId="77777777" w:rsidR="00562F64" w:rsidRPr="000924C1" w:rsidRDefault="00562F64" w:rsidP="00942CAA">
            <w:pPr>
              <w:pStyle w:val="TableHead"/>
              <w:spacing w:before="80" w:after="80"/>
              <w:rPr>
                <w:rFonts w:ascii="Arial" w:hAnsi="Arial" w:cs="Arial"/>
                <w:b w:val="0"/>
                <w:szCs w:val="16"/>
              </w:rPr>
            </w:pPr>
          </w:p>
        </w:tc>
        <w:tc>
          <w:tcPr>
            <w:tcW w:w="851" w:type="dxa"/>
            <w:tcBorders>
              <w:top w:val="single" w:sz="6" w:space="0" w:color="auto"/>
              <w:left w:val="single" w:sz="6" w:space="0" w:color="auto"/>
              <w:bottom w:val="single" w:sz="6" w:space="0" w:color="auto"/>
            </w:tcBorders>
            <w:shd w:val="clear" w:color="auto" w:fill="D9D9D9" w:themeFill="background1" w:themeFillShade="D9"/>
            <w:vAlign w:val="center"/>
          </w:tcPr>
          <w:p w14:paraId="43165FBF" w14:textId="77777777" w:rsidR="00562F64" w:rsidRPr="000924C1" w:rsidRDefault="00562F64" w:rsidP="00942CAA">
            <w:pPr>
              <w:pStyle w:val="Tabletext"/>
              <w:spacing w:before="80" w:after="80"/>
              <w:rPr>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4C640B10" w14:textId="77777777" w:rsidR="00562F64" w:rsidRPr="000924C1" w:rsidRDefault="00562F64" w:rsidP="00942CAA">
            <w:pPr>
              <w:pStyle w:val="Tabletext"/>
              <w:spacing w:before="80" w:after="80"/>
              <w:rPr>
                <w:szCs w:val="18"/>
              </w:rPr>
            </w:pPr>
          </w:p>
        </w:tc>
        <w:tc>
          <w:tcPr>
            <w:tcW w:w="850" w:type="dxa"/>
            <w:tcBorders>
              <w:top w:val="single" w:sz="6" w:space="0" w:color="auto"/>
              <w:left w:val="single" w:sz="6" w:space="0" w:color="auto"/>
              <w:bottom w:val="single" w:sz="6" w:space="0" w:color="auto"/>
            </w:tcBorders>
            <w:shd w:val="clear" w:color="auto" w:fill="D9D9D9" w:themeFill="background1" w:themeFillShade="D9"/>
            <w:vAlign w:val="center"/>
          </w:tcPr>
          <w:p w14:paraId="35093523" w14:textId="77777777" w:rsidR="00562F64" w:rsidRPr="000924C1" w:rsidRDefault="00562F64" w:rsidP="00942CAA">
            <w:pPr>
              <w:pStyle w:val="Tabletext"/>
              <w:spacing w:before="80" w:after="80"/>
              <w:rPr>
                <w:szCs w:val="18"/>
              </w:rPr>
            </w:pPr>
          </w:p>
        </w:tc>
        <w:tc>
          <w:tcPr>
            <w:tcW w:w="63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D484EC4" w14:textId="77777777" w:rsidR="00562F64" w:rsidRPr="000924C1" w:rsidRDefault="00562F64" w:rsidP="00942CAA">
            <w:pPr>
              <w:pStyle w:val="Tabletext"/>
              <w:spacing w:before="80" w:after="80"/>
              <w:rPr>
                <w:szCs w:val="18"/>
              </w:rPr>
            </w:pPr>
          </w:p>
        </w:tc>
        <w:tc>
          <w:tcPr>
            <w:tcW w:w="960" w:type="dxa"/>
            <w:tcBorders>
              <w:top w:val="single" w:sz="6" w:space="0" w:color="auto"/>
              <w:left w:val="single" w:sz="6" w:space="0" w:color="auto"/>
              <w:bottom w:val="single" w:sz="6" w:space="0" w:color="auto"/>
              <w:right w:val="single" w:sz="6" w:space="0" w:color="auto"/>
            </w:tcBorders>
            <w:vAlign w:val="center"/>
          </w:tcPr>
          <w:p w14:paraId="1A0280E2" w14:textId="77777777" w:rsidR="00562F64" w:rsidRPr="000924C1" w:rsidRDefault="00562F64" w:rsidP="00942CAA">
            <w:pPr>
              <w:pStyle w:val="Tabletext"/>
              <w:spacing w:before="80" w:after="80"/>
              <w:rPr>
                <w:szCs w:val="18"/>
              </w:rPr>
            </w:pPr>
            <w:r>
              <w:rPr>
                <w:szCs w:val="18"/>
              </w:rPr>
              <w:t>+++</w:t>
            </w:r>
          </w:p>
        </w:tc>
        <w:tc>
          <w:tcPr>
            <w:tcW w:w="1100" w:type="dxa"/>
            <w:tcBorders>
              <w:top w:val="single" w:sz="6" w:space="0" w:color="auto"/>
              <w:left w:val="single" w:sz="6" w:space="0" w:color="auto"/>
              <w:bottom w:val="single" w:sz="6" w:space="0" w:color="auto"/>
              <w:right w:val="single" w:sz="6" w:space="0" w:color="auto"/>
            </w:tcBorders>
            <w:vAlign w:val="center"/>
          </w:tcPr>
          <w:p w14:paraId="6D17231C" w14:textId="77777777" w:rsidR="00562F64" w:rsidRPr="000924C1" w:rsidRDefault="00562F64" w:rsidP="00942CAA">
            <w:pPr>
              <w:pStyle w:val="Tabletext"/>
              <w:spacing w:before="80" w:after="80"/>
              <w:rPr>
                <w:szCs w:val="18"/>
              </w:rPr>
            </w:pPr>
            <w:r>
              <w:rPr>
                <w:szCs w:val="18"/>
              </w:rPr>
              <w:t>+++</w:t>
            </w:r>
          </w:p>
        </w:tc>
        <w:tc>
          <w:tcPr>
            <w:tcW w:w="992" w:type="dxa"/>
            <w:tcBorders>
              <w:top w:val="single" w:sz="6" w:space="0" w:color="auto"/>
              <w:left w:val="single" w:sz="6" w:space="0" w:color="auto"/>
              <w:bottom w:val="single" w:sz="6" w:space="0" w:color="auto"/>
            </w:tcBorders>
            <w:vAlign w:val="center"/>
          </w:tcPr>
          <w:p w14:paraId="2BAACE2D" w14:textId="77777777" w:rsidR="00562F64" w:rsidRPr="000924C1" w:rsidRDefault="00562F64" w:rsidP="00942CAA">
            <w:pPr>
              <w:pStyle w:val="Tabletext"/>
              <w:spacing w:before="80" w:after="80"/>
              <w:rPr>
                <w:szCs w:val="18"/>
              </w:rPr>
            </w:pPr>
            <w:r>
              <w:rPr>
                <w:szCs w:val="18"/>
              </w:rPr>
              <w:t>+++</w:t>
            </w: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2B4687E" w14:textId="77777777" w:rsidR="00562F64" w:rsidRPr="000924C1" w:rsidRDefault="00562F64" w:rsidP="00942CAA">
            <w:pPr>
              <w:pStyle w:val="Tabletext"/>
              <w:spacing w:before="80" w:after="80"/>
              <w:rPr>
                <w:szCs w:val="18"/>
              </w:rPr>
            </w:pPr>
          </w:p>
        </w:tc>
      </w:tr>
      <w:tr w:rsidR="00562F64" w:rsidRPr="00C4589D" w14:paraId="59DE4A36" w14:textId="77777777" w:rsidTr="00942CAA">
        <w:trPr>
          <w:trHeight w:val="402"/>
          <w:jc w:val="center"/>
        </w:trPr>
        <w:tc>
          <w:tcPr>
            <w:tcW w:w="2399" w:type="dxa"/>
            <w:tcBorders>
              <w:top w:val="single" w:sz="6" w:space="0" w:color="auto"/>
              <w:left w:val="single" w:sz="6" w:space="0" w:color="auto"/>
            </w:tcBorders>
            <w:vAlign w:val="center"/>
          </w:tcPr>
          <w:p w14:paraId="63C110DE" w14:textId="77777777" w:rsidR="00562F64" w:rsidRPr="00C4589D" w:rsidRDefault="00562F64" w:rsidP="00942CAA">
            <w:pPr>
              <w:pStyle w:val="TableHead"/>
              <w:spacing w:before="80" w:after="80"/>
              <w:rPr>
                <w:rFonts w:ascii="Arial" w:hAnsi="Arial" w:cs="Arial"/>
                <w:sz w:val="16"/>
                <w:szCs w:val="16"/>
              </w:rPr>
            </w:pPr>
            <w:r w:rsidRPr="00C4589D">
              <w:rPr>
                <w:rFonts w:ascii="Arial" w:hAnsi="Arial" w:cs="Arial"/>
                <w:i/>
                <w:iCs/>
                <w:sz w:val="16"/>
                <w:szCs w:val="16"/>
              </w:rPr>
              <w:t>In-situ</w:t>
            </w:r>
            <w:r w:rsidRPr="00C4589D">
              <w:rPr>
                <w:rFonts w:ascii="Arial" w:hAnsi="Arial" w:cs="Arial"/>
                <w:sz w:val="16"/>
                <w:szCs w:val="16"/>
              </w:rPr>
              <w:t xml:space="preserve"> hybridisation</w:t>
            </w:r>
          </w:p>
        </w:tc>
        <w:tc>
          <w:tcPr>
            <w:tcW w:w="995" w:type="dxa"/>
            <w:tcBorders>
              <w:top w:val="single" w:sz="6" w:space="0" w:color="auto"/>
              <w:left w:val="single" w:sz="6" w:space="0" w:color="auto"/>
              <w:bottom w:val="single" w:sz="6" w:space="0" w:color="auto"/>
            </w:tcBorders>
            <w:shd w:val="pct15" w:color="auto" w:fill="auto"/>
            <w:vAlign w:val="center"/>
          </w:tcPr>
          <w:p w14:paraId="00B11335" w14:textId="77777777" w:rsidR="00562F64" w:rsidRPr="000924C1" w:rsidRDefault="00562F64" w:rsidP="00942CAA">
            <w:pPr>
              <w:pStyle w:val="TableHead"/>
              <w:spacing w:before="80" w:after="80"/>
              <w:rPr>
                <w:rFonts w:ascii="Arial" w:hAnsi="Arial" w:cs="Arial"/>
                <w:b w:val="0"/>
                <w:i/>
                <w:iCs/>
                <w:szCs w:val="16"/>
              </w:rPr>
            </w:pPr>
          </w:p>
        </w:tc>
        <w:tc>
          <w:tcPr>
            <w:tcW w:w="993" w:type="dxa"/>
            <w:tcBorders>
              <w:top w:val="single" w:sz="6" w:space="0" w:color="auto"/>
              <w:left w:val="single" w:sz="6" w:space="0" w:color="auto"/>
              <w:bottom w:val="single" w:sz="6" w:space="0" w:color="auto"/>
            </w:tcBorders>
            <w:shd w:val="pct15" w:color="auto" w:fill="auto"/>
            <w:vAlign w:val="center"/>
          </w:tcPr>
          <w:p w14:paraId="243A83B7" w14:textId="77777777" w:rsidR="00562F64" w:rsidRPr="000924C1" w:rsidRDefault="00562F64" w:rsidP="00942CAA">
            <w:pPr>
              <w:pStyle w:val="TableHead"/>
              <w:spacing w:before="80" w:after="80"/>
              <w:rPr>
                <w:rFonts w:ascii="Arial" w:hAnsi="Arial" w:cs="Arial"/>
                <w:b w:val="0"/>
                <w:i/>
                <w:iCs/>
                <w:szCs w:val="16"/>
              </w:rPr>
            </w:pPr>
          </w:p>
        </w:tc>
        <w:tc>
          <w:tcPr>
            <w:tcW w:w="708" w:type="dxa"/>
            <w:tcBorders>
              <w:top w:val="single" w:sz="6" w:space="0" w:color="auto"/>
              <w:left w:val="single" w:sz="6" w:space="0" w:color="auto"/>
              <w:bottom w:val="single" w:sz="6" w:space="0" w:color="auto"/>
            </w:tcBorders>
            <w:shd w:val="pct15" w:color="auto" w:fill="auto"/>
            <w:vAlign w:val="center"/>
          </w:tcPr>
          <w:p w14:paraId="73DBC471" w14:textId="77777777" w:rsidR="00562F64" w:rsidRPr="000924C1" w:rsidRDefault="00562F64" w:rsidP="00942CAA">
            <w:pPr>
              <w:pStyle w:val="TableHead"/>
              <w:spacing w:before="80" w:after="80"/>
              <w:rPr>
                <w:rFonts w:ascii="Arial" w:hAnsi="Arial" w:cs="Arial"/>
                <w:b w:val="0"/>
                <w:szCs w:val="16"/>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510C1AE6" w14:textId="77777777" w:rsidR="00562F64" w:rsidRPr="000924C1" w:rsidRDefault="00562F64" w:rsidP="00942CAA">
            <w:pPr>
              <w:pStyle w:val="TableHead"/>
              <w:spacing w:before="80" w:after="80"/>
              <w:rPr>
                <w:rFonts w:ascii="Arial" w:hAnsi="Arial" w:cs="Arial"/>
                <w:b w:val="0"/>
                <w:szCs w:val="16"/>
              </w:rPr>
            </w:pPr>
          </w:p>
        </w:tc>
        <w:tc>
          <w:tcPr>
            <w:tcW w:w="851" w:type="dxa"/>
            <w:tcBorders>
              <w:top w:val="single" w:sz="6" w:space="0" w:color="auto"/>
              <w:left w:val="single" w:sz="6" w:space="0" w:color="auto"/>
            </w:tcBorders>
            <w:shd w:val="clear" w:color="auto" w:fill="D9D9D9" w:themeFill="background1" w:themeFillShade="D9"/>
            <w:vAlign w:val="center"/>
          </w:tcPr>
          <w:p w14:paraId="5870C4BE" w14:textId="77777777" w:rsidR="00562F64" w:rsidRPr="000924C1" w:rsidRDefault="00562F64" w:rsidP="00942CAA">
            <w:pPr>
              <w:pStyle w:val="Tabletext"/>
              <w:spacing w:before="80" w:after="80"/>
              <w:rPr>
                <w:szCs w:val="18"/>
              </w:rPr>
            </w:pPr>
          </w:p>
        </w:tc>
        <w:tc>
          <w:tcPr>
            <w:tcW w:w="992" w:type="dxa"/>
            <w:tcBorders>
              <w:top w:val="single" w:sz="6" w:space="0" w:color="auto"/>
              <w:left w:val="single" w:sz="6" w:space="0" w:color="auto"/>
            </w:tcBorders>
            <w:shd w:val="clear" w:color="auto" w:fill="D9D9D9" w:themeFill="background1" w:themeFillShade="D9"/>
            <w:vAlign w:val="center"/>
          </w:tcPr>
          <w:p w14:paraId="79388908" w14:textId="77777777" w:rsidR="00562F64" w:rsidRPr="000924C1" w:rsidRDefault="00562F64" w:rsidP="00942CAA">
            <w:pPr>
              <w:pStyle w:val="Tabletext"/>
              <w:spacing w:before="80" w:after="80"/>
              <w:rPr>
                <w:szCs w:val="18"/>
              </w:rPr>
            </w:pPr>
          </w:p>
        </w:tc>
        <w:tc>
          <w:tcPr>
            <w:tcW w:w="850" w:type="dxa"/>
            <w:tcBorders>
              <w:top w:val="single" w:sz="6" w:space="0" w:color="auto"/>
              <w:left w:val="single" w:sz="6" w:space="0" w:color="auto"/>
            </w:tcBorders>
            <w:shd w:val="clear" w:color="auto" w:fill="D9D9D9" w:themeFill="background1" w:themeFillShade="D9"/>
            <w:vAlign w:val="center"/>
          </w:tcPr>
          <w:p w14:paraId="08EDFA36" w14:textId="77777777" w:rsidR="00562F64" w:rsidRPr="000924C1" w:rsidRDefault="00562F64" w:rsidP="00942CAA">
            <w:pPr>
              <w:pStyle w:val="Tabletext"/>
              <w:spacing w:before="80" w:after="80"/>
              <w:rPr>
                <w:szCs w:val="18"/>
              </w:rPr>
            </w:pPr>
          </w:p>
        </w:tc>
        <w:tc>
          <w:tcPr>
            <w:tcW w:w="634" w:type="dxa"/>
            <w:tcBorders>
              <w:top w:val="single" w:sz="6" w:space="0" w:color="auto"/>
              <w:left w:val="single" w:sz="6" w:space="0" w:color="auto"/>
              <w:right w:val="single" w:sz="6" w:space="0" w:color="auto"/>
            </w:tcBorders>
            <w:shd w:val="clear" w:color="auto" w:fill="D9D9D9" w:themeFill="background1" w:themeFillShade="D9"/>
            <w:vAlign w:val="center"/>
          </w:tcPr>
          <w:p w14:paraId="2CA4984D" w14:textId="77777777" w:rsidR="00562F64" w:rsidRPr="000924C1" w:rsidRDefault="00562F64" w:rsidP="00942CAA">
            <w:pPr>
              <w:pStyle w:val="Tabletext"/>
              <w:spacing w:before="80" w:after="80"/>
              <w:rPr>
                <w:szCs w:val="18"/>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41737BAB" w14:textId="77777777" w:rsidR="00562F64" w:rsidRPr="000924C1" w:rsidRDefault="00562F64" w:rsidP="00942CAA">
            <w:pPr>
              <w:pStyle w:val="Tabletext"/>
              <w:spacing w:before="80" w:after="80"/>
              <w:rPr>
                <w:szCs w:val="18"/>
              </w:rPr>
            </w:pPr>
          </w:p>
        </w:tc>
        <w:tc>
          <w:tcPr>
            <w:tcW w:w="1100" w:type="dxa"/>
            <w:tcBorders>
              <w:top w:val="single" w:sz="6" w:space="0" w:color="auto"/>
              <w:left w:val="single" w:sz="6" w:space="0" w:color="auto"/>
              <w:right w:val="single" w:sz="6" w:space="0" w:color="auto"/>
            </w:tcBorders>
            <w:shd w:val="clear" w:color="auto" w:fill="D9D9D9" w:themeFill="background1" w:themeFillShade="D9"/>
            <w:vAlign w:val="center"/>
          </w:tcPr>
          <w:p w14:paraId="065C23B8" w14:textId="77777777" w:rsidR="00562F64" w:rsidRPr="000924C1" w:rsidRDefault="00562F64" w:rsidP="00942CAA">
            <w:pPr>
              <w:pStyle w:val="Tabletext"/>
              <w:spacing w:before="80" w:after="80"/>
              <w:rPr>
                <w:szCs w:val="18"/>
              </w:rPr>
            </w:pPr>
          </w:p>
        </w:tc>
        <w:tc>
          <w:tcPr>
            <w:tcW w:w="992" w:type="dxa"/>
            <w:tcBorders>
              <w:top w:val="single" w:sz="6" w:space="0" w:color="auto"/>
              <w:left w:val="single" w:sz="6" w:space="0" w:color="auto"/>
            </w:tcBorders>
            <w:shd w:val="clear" w:color="auto" w:fill="D9D9D9" w:themeFill="background1" w:themeFillShade="D9"/>
            <w:vAlign w:val="center"/>
          </w:tcPr>
          <w:p w14:paraId="17D30018" w14:textId="77777777" w:rsidR="00562F64" w:rsidRPr="000924C1" w:rsidRDefault="00562F64" w:rsidP="00942CAA">
            <w:pPr>
              <w:pStyle w:val="Tabletext"/>
              <w:spacing w:before="80" w:after="80"/>
              <w:rPr>
                <w:szCs w:val="18"/>
              </w:rPr>
            </w:pPr>
          </w:p>
        </w:tc>
        <w:tc>
          <w:tcPr>
            <w:tcW w:w="709" w:type="dxa"/>
            <w:tcBorders>
              <w:top w:val="single" w:sz="6" w:space="0" w:color="auto"/>
              <w:left w:val="single" w:sz="6" w:space="0" w:color="auto"/>
              <w:right w:val="single" w:sz="6" w:space="0" w:color="auto"/>
            </w:tcBorders>
            <w:shd w:val="clear" w:color="auto" w:fill="D9D9D9" w:themeFill="background1" w:themeFillShade="D9"/>
            <w:vAlign w:val="center"/>
          </w:tcPr>
          <w:p w14:paraId="14B75FAE" w14:textId="77777777" w:rsidR="00562F64" w:rsidRPr="000924C1" w:rsidRDefault="00562F64" w:rsidP="00942CAA">
            <w:pPr>
              <w:pStyle w:val="Tabletext"/>
              <w:spacing w:before="80" w:after="80"/>
              <w:rPr>
                <w:szCs w:val="18"/>
              </w:rPr>
            </w:pPr>
          </w:p>
        </w:tc>
      </w:tr>
      <w:tr w:rsidR="00562F64" w:rsidRPr="00C4589D" w14:paraId="1202861D" w14:textId="77777777" w:rsidTr="00942CAA">
        <w:trPr>
          <w:trHeight w:val="402"/>
          <w:jc w:val="center"/>
        </w:trPr>
        <w:tc>
          <w:tcPr>
            <w:tcW w:w="2399" w:type="dxa"/>
            <w:tcBorders>
              <w:top w:val="single" w:sz="6" w:space="0" w:color="auto"/>
              <w:left w:val="single" w:sz="6" w:space="0" w:color="auto"/>
            </w:tcBorders>
            <w:vAlign w:val="center"/>
          </w:tcPr>
          <w:p w14:paraId="3FD1D5B4" w14:textId="77777777" w:rsidR="00562F64" w:rsidRPr="00C4589D" w:rsidRDefault="00562F64" w:rsidP="00942CAA">
            <w:pPr>
              <w:pStyle w:val="TableHead"/>
              <w:spacing w:before="80" w:after="80"/>
              <w:rPr>
                <w:rFonts w:ascii="Arial" w:hAnsi="Arial" w:cs="Arial"/>
                <w:sz w:val="16"/>
                <w:szCs w:val="16"/>
              </w:rPr>
            </w:pPr>
            <w:r w:rsidRPr="00C4589D">
              <w:rPr>
                <w:rFonts w:ascii="Arial" w:hAnsi="Arial" w:cs="Arial"/>
                <w:sz w:val="16"/>
                <w:szCs w:val="16"/>
              </w:rPr>
              <w:t>Bioassay</w:t>
            </w:r>
          </w:p>
        </w:tc>
        <w:tc>
          <w:tcPr>
            <w:tcW w:w="995" w:type="dxa"/>
            <w:tcBorders>
              <w:top w:val="single" w:sz="6" w:space="0" w:color="auto"/>
              <w:left w:val="single" w:sz="6" w:space="0" w:color="auto"/>
              <w:bottom w:val="single" w:sz="6" w:space="0" w:color="auto"/>
            </w:tcBorders>
            <w:shd w:val="pct15" w:color="auto" w:fill="auto"/>
            <w:vAlign w:val="center"/>
          </w:tcPr>
          <w:p w14:paraId="70003D4B" w14:textId="77777777" w:rsidR="00562F64" w:rsidRPr="000924C1" w:rsidRDefault="00562F64" w:rsidP="00942CAA">
            <w:pPr>
              <w:pStyle w:val="TableHead"/>
              <w:spacing w:before="80" w:after="80"/>
              <w:rPr>
                <w:rFonts w:ascii="Arial" w:hAnsi="Arial" w:cs="Arial"/>
                <w:b w:val="0"/>
                <w:szCs w:val="16"/>
              </w:rPr>
            </w:pPr>
          </w:p>
        </w:tc>
        <w:tc>
          <w:tcPr>
            <w:tcW w:w="993" w:type="dxa"/>
            <w:tcBorders>
              <w:top w:val="single" w:sz="6" w:space="0" w:color="auto"/>
              <w:left w:val="single" w:sz="6" w:space="0" w:color="auto"/>
              <w:bottom w:val="single" w:sz="6" w:space="0" w:color="auto"/>
            </w:tcBorders>
            <w:shd w:val="pct15" w:color="auto" w:fill="auto"/>
            <w:vAlign w:val="center"/>
          </w:tcPr>
          <w:p w14:paraId="543C5D75" w14:textId="77777777" w:rsidR="00562F64" w:rsidRPr="000924C1" w:rsidRDefault="00562F64" w:rsidP="00942CAA">
            <w:pPr>
              <w:pStyle w:val="TableHead"/>
              <w:spacing w:before="80" w:after="80"/>
              <w:rPr>
                <w:rFonts w:ascii="Arial" w:hAnsi="Arial" w:cs="Arial"/>
                <w:b w:val="0"/>
                <w:szCs w:val="16"/>
              </w:rPr>
            </w:pPr>
          </w:p>
        </w:tc>
        <w:tc>
          <w:tcPr>
            <w:tcW w:w="708" w:type="dxa"/>
            <w:tcBorders>
              <w:top w:val="single" w:sz="6" w:space="0" w:color="auto"/>
              <w:left w:val="single" w:sz="6" w:space="0" w:color="auto"/>
              <w:bottom w:val="single" w:sz="6" w:space="0" w:color="auto"/>
            </w:tcBorders>
            <w:shd w:val="pct15" w:color="auto" w:fill="auto"/>
            <w:vAlign w:val="center"/>
          </w:tcPr>
          <w:p w14:paraId="2ADA2B0B" w14:textId="77777777" w:rsidR="00562F64" w:rsidRPr="000924C1" w:rsidRDefault="00562F64" w:rsidP="00942CAA">
            <w:pPr>
              <w:pStyle w:val="TableHead"/>
              <w:spacing w:before="80" w:after="80"/>
              <w:rPr>
                <w:rFonts w:ascii="Arial" w:hAnsi="Arial" w:cs="Arial"/>
                <w:b w:val="0"/>
                <w:szCs w:val="16"/>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0EB22129" w14:textId="77777777" w:rsidR="00562F64" w:rsidRPr="000924C1" w:rsidRDefault="00562F64" w:rsidP="00942CAA">
            <w:pPr>
              <w:pStyle w:val="TableHead"/>
              <w:spacing w:before="80" w:after="80"/>
              <w:rPr>
                <w:rFonts w:ascii="Arial" w:hAnsi="Arial" w:cs="Arial"/>
                <w:b w:val="0"/>
                <w:szCs w:val="16"/>
              </w:rPr>
            </w:pPr>
          </w:p>
        </w:tc>
        <w:tc>
          <w:tcPr>
            <w:tcW w:w="851" w:type="dxa"/>
            <w:tcBorders>
              <w:top w:val="single" w:sz="6" w:space="0" w:color="auto"/>
              <w:left w:val="single" w:sz="6" w:space="0" w:color="auto"/>
              <w:bottom w:val="single" w:sz="6" w:space="0" w:color="auto"/>
            </w:tcBorders>
            <w:shd w:val="clear" w:color="auto" w:fill="D9D9D9" w:themeFill="background1" w:themeFillShade="D9"/>
            <w:vAlign w:val="center"/>
          </w:tcPr>
          <w:p w14:paraId="62AEE567" w14:textId="77777777" w:rsidR="00562F64" w:rsidRPr="000924C1" w:rsidRDefault="00562F64" w:rsidP="00942CAA">
            <w:pPr>
              <w:pStyle w:val="Tabletext"/>
              <w:spacing w:before="80" w:after="80"/>
              <w:rPr>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6AA39381" w14:textId="77777777" w:rsidR="00562F64" w:rsidRPr="000924C1" w:rsidRDefault="00562F64" w:rsidP="00942CAA">
            <w:pPr>
              <w:pStyle w:val="Tabletext"/>
              <w:spacing w:before="80" w:after="80"/>
              <w:rPr>
                <w:szCs w:val="18"/>
              </w:rPr>
            </w:pPr>
          </w:p>
        </w:tc>
        <w:tc>
          <w:tcPr>
            <w:tcW w:w="850" w:type="dxa"/>
            <w:tcBorders>
              <w:top w:val="single" w:sz="6" w:space="0" w:color="auto"/>
              <w:left w:val="single" w:sz="6" w:space="0" w:color="auto"/>
              <w:bottom w:val="single" w:sz="6" w:space="0" w:color="auto"/>
            </w:tcBorders>
            <w:shd w:val="clear" w:color="auto" w:fill="D9D9D9" w:themeFill="background1" w:themeFillShade="D9"/>
            <w:vAlign w:val="center"/>
          </w:tcPr>
          <w:p w14:paraId="205EBC11" w14:textId="77777777" w:rsidR="00562F64" w:rsidRPr="000924C1" w:rsidRDefault="00562F64" w:rsidP="00942CAA">
            <w:pPr>
              <w:pStyle w:val="Tabletext"/>
              <w:spacing w:before="80" w:after="80"/>
              <w:rPr>
                <w:szCs w:val="18"/>
              </w:rPr>
            </w:pPr>
          </w:p>
        </w:tc>
        <w:tc>
          <w:tcPr>
            <w:tcW w:w="63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D61A9D8" w14:textId="77777777" w:rsidR="00562F64" w:rsidRPr="000924C1" w:rsidRDefault="00562F64" w:rsidP="00942CAA">
            <w:pPr>
              <w:pStyle w:val="Tabletext"/>
              <w:spacing w:before="80" w:after="80"/>
              <w:rPr>
                <w:szCs w:val="18"/>
              </w:rPr>
            </w:pP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6BDC338" w14:textId="77777777" w:rsidR="00562F64" w:rsidRPr="000924C1" w:rsidRDefault="00562F64" w:rsidP="00942CAA">
            <w:pPr>
              <w:pStyle w:val="Tabletext"/>
              <w:spacing w:before="80" w:after="80"/>
              <w:rPr>
                <w:szCs w:val="18"/>
              </w:rPr>
            </w:pPr>
          </w:p>
        </w:tc>
        <w:tc>
          <w:tcPr>
            <w:tcW w:w="11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8F73002" w14:textId="77777777" w:rsidR="00562F64" w:rsidRPr="000924C1" w:rsidRDefault="00562F64" w:rsidP="00942CAA">
            <w:pPr>
              <w:pStyle w:val="Tabletext"/>
              <w:spacing w:before="80" w:after="80"/>
              <w:rPr>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4DF98F72" w14:textId="77777777" w:rsidR="00562F64" w:rsidRPr="000924C1" w:rsidRDefault="00562F64" w:rsidP="00942CAA">
            <w:pPr>
              <w:pStyle w:val="Tabletext"/>
              <w:spacing w:before="80" w:after="80"/>
              <w:rPr>
                <w:szCs w:val="18"/>
              </w:rPr>
            </w:pP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A00F6A1" w14:textId="77777777" w:rsidR="00562F64" w:rsidRPr="000924C1" w:rsidRDefault="00562F64" w:rsidP="00942CAA">
            <w:pPr>
              <w:pStyle w:val="Tabletext"/>
              <w:spacing w:before="80" w:after="80"/>
              <w:rPr>
                <w:szCs w:val="18"/>
              </w:rPr>
            </w:pPr>
          </w:p>
        </w:tc>
      </w:tr>
      <w:tr w:rsidR="00562F64" w:rsidRPr="00C4589D" w14:paraId="49B88147" w14:textId="77777777" w:rsidTr="00942CAA">
        <w:trPr>
          <w:trHeight w:val="402"/>
          <w:jc w:val="center"/>
        </w:trPr>
        <w:tc>
          <w:tcPr>
            <w:tcW w:w="2399" w:type="dxa"/>
            <w:tcBorders>
              <w:top w:val="single" w:sz="6" w:space="0" w:color="auto"/>
              <w:left w:val="single" w:sz="6" w:space="0" w:color="auto"/>
              <w:bottom w:val="single" w:sz="4" w:space="0" w:color="auto"/>
            </w:tcBorders>
            <w:vAlign w:val="center"/>
          </w:tcPr>
          <w:p w14:paraId="05DFB153" w14:textId="77777777" w:rsidR="00562F64" w:rsidRPr="00C4589D" w:rsidRDefault="00562F64" w:rsidP="00942CAA">
            <w:pPr>
              <w:pStyle w:val="TableHead"/>
              <w:spacing w:before="80" w:after="80"/>
              <w:rPr>
                <w:rFonts w:ascii="Arial" w:hAnsi="Arial" w:cs="Arial"/>
                <w:sz w:val="16"/>
                <w:szCs w:val="16"/>
              </w:rPr>
            </w:pPr>
            <w:r w:rsidRPr="00C4589D">
              <w:rPr>
                <w:rFonts w:ascii="Arial" w:hAnsi="Arial" w:cs="Arial"/>
                <w:sz w:val="16"/>
                <w:szCs w:val="16"/>
              </w:rPr>
              <w:t>LAMP</w:t>
            </w:r>
          </w:p>
        </w:tc>
        <w:tc>
          <w:tcPr>
            <w:tcW w:w="995" w:type="dxa"/>
            <w:tcBorders>
              <w:top w:val="single" w:sz="6" w:space="0" w:color="auto"/>
              <w:left w:val="single" w:sz="6" w:space="0" w:color="auto"/>
              <w:bottom w:val="single" w:sz="6" w:space="0" w:color="auto"/>
            </w:tcBorders>
            <w:shd w:val="pct15" w:color="auto" w:fill="auto"/>
            <w:vAlign w:val="center"/>
          </w:tcPr>
          <w:p w14:paraId="71A265C3" w14:textId="77777777" w:rsidR="00562F64" w:rsidRPr="000924C1" w:rsidRDefault="00562F64" w:rsidP="00942CAA">
            <w:pPr>
              <w:pStyle w:val="TableHead"/>
              <w:spacing w:before="80" w:after="80"/>
              <w:rPr>
                <w:rFonts w:ascii="Arial" w:hAnsi="Arial" w:cs="Arial"/>
                <w:b w:val="0"/>
                <w:szCs w:val="16"/>
              </w:rPr>
            </w:pPr>
          </w:p>
        </w:tc>
        <w:tc>
          <w:tcPr>
            <w:tcW w:w="993" w:type="dxa"/>
            <w:tcBorders>
              <w:top w:val="single" w:sz="6" w:space="0" w:color="auto"/>
              <w:left w:val="single" w:sz="6" w:space="0" w:color="auto"/>
              <w:bottom w:val="single" w:sz="6" w:space="0" w:color="auto"/>
            </w:tcBorders>
            <w:shd w:val="pct15" w:color="auto" w:fill="auto"/>
            <w:vAlign w:val="center"/>
          </w:tcPr>
          <w:p w14:paraId="7E26D4E9" w14:textId="77777777" w:rsidR="00562F64" w:rsidRPr="000924C1" w:rsidRDefault="00562F64" w:rsidP="00942CAA">
            <w:pPr>
              <w:pStyle w:val="TableHead"/>
              <w:spacing w:before="80" w:after="80"/>
              <w:rPr>
                <w:rFonts w:ascii="Arial" w:hAnsi="Arial" w:cs="Arial"/>
                <w:b w:val="0"/>
                <w:szCs w:val="16"/>
              </w:rPr>
            </w:pPr>
          </w:p>
        </w:tc>
        <w:tc>
          <w:tcPr>
            <w:tcW w:w="708" w:type="dxa"/>
            <w:tcBorders>
              <w:top w:val="single" w:sz="6" w:space="0" w:color="auto"/>
              <w:left w:val="single" w:sz="6" w:space="0" w:color="auto"/>
              <w:bottom w:val="single" w:sz="6" w:space="0" w:color="auto"/>
            </w:tcBorders>
            <w:shd w:val="pct15" w:color="auto" w:fill="auto"/>
            <w:vAlign w:val="center"/>
          </w:tcPr>
          <w:p w14:paraId="32C2DE37" w14:textId="77777777" w:rsidR="00562F64" w:rsidRPr="000924C1" w:rsidRDefault="00562F64" w:rsidP="00942CAA">
            <w:pPr>
              <w:pStyle w:val="TableHead"/>
              <w:spacing w:before="80" w:after="80"/>
              <w:rPr>
                <w:rFonts w:ascii="Arial" w:hAnsi="Arial" w:cs="Arial"/>
                <w:b w:val="0"/>
                <w:szCs w:val="16"/>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78D3A949" w14:textId="77777777" w:rsidR="00562F64" w:rsidRPr="000924C1" w:rsidRDefault="00562F64" w:rsidP="00942CAA">
            <w:pPr>
              <w:pStyle w:val="TableHead"/>
              <w:spacing w:before="80" w:after="80"/>
              <w:rPr>
                <w:rFonts w:ascii="Arial" w:hAnsi="Arial" w:cs="Arial"/>
                <w:b w:val="0"/>
                <w:szCs w:val="16"/>
              </w:rPr>
            </w:pPr>
          </w:p>
        </w:tc>
        <w:tc>
          <w:tcPr>
            <w:tcW w:w="851" w:type="dxa"/>
            <w:tcBorders>
              <w:top w:val="single" w:sz="6" w:space="0" w:color="auto"/>
              <w:left w:val="single" w:sz="6" w:space="0" w:color="auto"/>
              <w:bottom w:val="single" w:sz="4" w:space="0" w:color="auto"/>
            </w:tcBorders>
            <w:shd w:val="pct15" w:color="auto" w:fill="auto"/>
            <w:vAlign w:val="center"/>
          </w:tcPr>
          <w:p w14:paraId="6B125665" w14:textId="77777777" w:rsidR="00562F64" w:rsidRPr="000924C1" w:rsidRDefault="00562F64" w:rsidP="00942CAA">
            <w:pPr>
              <w:pStyle w:val="Tabletext"/>
              <w:spacing w:before="80" w:after="80"/>
              <w:rPr>
                <w:strike/>
                <w:szCs w:val="18"/>
              </w:rPr>
            </w:pPr>
          </w:p>
        </w:tc>
        <w:tc>
          <w:tcPr>
            <w:tcW w:w="992" w:type="dxa"/>
            <w:tcBorders>
              <w:top w:val="single" w:sz="6" w:space="0" w:color="auto"/>
              <w:left w:val="single" w:sz="6" w:space="0" w:color="auto"/>
              <w:bottom w:val="single" w:sz="4" w:space="0" w:color="auto"/>
            </w:tcBorders>
            <w:shd w:val="pct15" w:color="auto" w:fill="auto"/>
            <w:vAlign w:val="center"/>
          </w:tcPr>
          <w:p w14:paraId="39894AB7" w14:textId="77777777" w:rsidR="00562F64" w:rsidRPr="000924C1" w:rsidRDefault="00562F64" w:rsidP="00942CAA">
            <w:pPr>
              <w:pStyle w:val="Tabletext"/>
              <w:spacing w:before="80" w:after="80"/>
              <w:rPr>
                <w:strike/>
                <w:szCs w:val="18"/>
              </w:rPr>
            </w:pPr>
          </w:p>
        </w:tc>
        <w:tc>
          <w:tcPr>
            <w:tcW w:w="850" w:type="dxa"/>
            <w:tcBorders>
              <w:top w:val="single" w:sz="6" w:space="0" w:color="auto"/>
              <w:left w:val="single" w:sz="6" w:space="0" w:color="auto"/>
              <w:bottom w:val="single" w:sz="4" w:space="0" w:color="auto"/>
            </w:tcBorders>
            <w:shd w:val="pct15" w:color="auto" w:fill="auto"/>
            <w:vAlign w:val="center"/>
          </w:tcPr>
          <w:p w14:paraId="63042938" w14:textId="77777777" w:rsidR="00562F64" w:rsidRPr="000924C1" w:rsidRDefault="00562F64" w:rsidP="00942CAA">
            <w:pPr>
              <w:pStyle w:val="Tabletext"/>
              <w:spacing w:before="80" w:after="80"/>
              <w:rPr>
                <w:strike/>
                <w:szCs w:val="18"/>
              </w:rPr>
            </w:pPr>
          </w:p>
        </w:tc>
        <w:tc>
          <w:tcPr>
            <w:tcW w:w="634" w:type="dxa"/>
            <w:tcBorders>
              <w:top w:val="single" w:sz="6" w:space="0" w:color="auto"/>
              <w:left w:val="single" w:sz="6" w:space="0" w:color="auto"/>
              <w:bottom w:val="single" w:sz="4" w:space="0" w:color="auto"/>
              <w:right w:val="single" w:sz="6" w:space="0" w:color="auto"/>
            </w:tcBorders>
            <w:shd w:val="pct15" w:color="auto" w:fill="auto"/>
            <w:vAlign w:val="center"/>
          </w:tcPr>
          <w:p w14:paraId="31AE21E9" w14:textId="77777777" w:rsidR="00562F64" w:rsidRPr="000924C1" w:rsidRDefault="00562F64" w:rsidP="00942CAA">
            <w:pPr>
              <w:pStyle w:val="Tabletext"/>
              <w:spacing w:before="80" w:after="80"/>
              <w:rPr>
                <w:strike/>
                <w:szCs w:val="18"/>
              </w:rPr>
            </w:pPr>
          </w:p>
        </w:tc>
        <w:tc>
          <w:tcPr>
            <w:tcW w:w="960" w:type="dxa"/>
            <w:tcBorders>
              <w:top w:val="single" w:sz="6" w:space="0" w:color="auto"/>
              <w:left w:val="single" w:sz="6" w:space="0" w:color="auto"/>
              <w:bottom w:val="single" w:sz="4" w:space="0" w:color="auto"/>
              <w:right w:val="single" w:sz="6" w:space="0" w:color="auto"/>
            </w:tcBorders>
            <w:shd w:val="pct15" w:color="auto" w:fill="auto"/>
            <w:vAlign w:val="center"/>
          </w:tcPr>
          <w:p w14:paraId="0057B5F3" w14:textId="77777777" w:rsidR="00562F64" w:rsidRPr="000924C1" w:rsidRDefault="00562F64" w:rsidP="00942CAA">
            <w:pPr>
              <w:pStyle w:val="Tabletext"/>
              <w:spacing w:before="80" w:after="80"/>
              <w:rPr>
                <w:strike/>
                <w:szCs w:val="18"/>
              </w:rPr>
            </w:pPr>
          </w:p>
        </w:tc>
        <w:tc>
          <w:tcPr>
            <w:tcW w:w="1100" w:type="dxa"/>
            <w:tcBorders>
              <w:top w:val="single" w:sz="6" w:space="0" w:color="auto"/>
              <w:left w:val="single" w:sz="6" w:space="0" w:color="auto"/>
              <w:bottom w:val="single" w:sz="4" w:space="0" w:color="auto"/>
              <w:right w:val="single" w:sz="6" w:space="0" w:color="auto"/>
            </w:tcBorders>
            <w:shd w:val="pct15" w:color="auto" w:fill="auto"/>
            <w:vAlign w:val="center"/>
          </w:tcPr>
          <w:p w14:paraId="3FEBD7A3" w14:textId="77777777" w:rsidR="00562F64" w:rsidRPr="000924C1" w:rsidRDefault="00562F64" w:rsidP="00942CAA">
            <w:pPr>
              <w:pStyle w:val="Tabletext"/>
              <w:spacing w:before="80" w:after="80"/>
              <w:rPr>
                <w:strike/>
                <w:szCs w:val="18"/>
              </w:rPr>
            </w:pPr>
          </w:p>
        </w:tc>
        <w:tc>
          <w:tcPr>
            <w:tcW w:w="992" w:type="dxa"/>
            <w:tcBorders>
              <w:top w:val="single" w:sz="6" w:space="0" w:color="auto"/>
              <w:left w:val="single" w:sz="6" w:space="0" w:color="auto"/>
              <w:bottom w:val="single" w:sz="4" w:space="0" w:color="auto"/>
            </w:tcBorders>
            <w:shd w:val="pct15" w:color="auto" w:fill="auto"/>
            <w:vAlign w:val="center"/>
          </w:tcPr>
          <w:p w14:paraId="55BC5012" w14:textId="77777777" w:rsidR="00562F64" w:rsidRPr="000924C1" w:rsidRDefault="00562F64" w:rsidP="00942CAA">
            <w:pPr>
              <w:pStyle w:val="Tabletext"/>
              <w:spacing w:before="80" w:after="80"/>
              <w:rPr>
                <w:strike/>
                <w:szCs w:val="18"/>
              </w:rPr>
            </w:pPr>
          </w:p>
        </w:tc>
        <w:tc>
          <w:tcPr>
            <w:tcW w:w="709" w:type="dxa"/>
            <w:tcBorders>
              <w:top w:val="single" w:sz="6" w:space="0" w:color="auto"/>
              <w:left w:val="single" w:sz="6" w:space="0" w:color="auto"/>
              <w:bottom w:val="single" w:sz="4" w:space="0" w:color="auto"/>
              <w:right w:val="single" w:sz="6" w:space="0" w:color="auto"/>
            </w:tcBorders>
            <w:shd w:val="pct15" w:color="auto" w:fill="auto"/>
            <w:vAlign w:val="center"/>
          </w:tcPr>
          <w:p w14:paraId="3458B22F" w14:textId="77777777" w:rsidR="00562F64" w:rsidRPr="000924C1" w:rsidRDefault="00562F64" w:rsidP="00942CAA">
            <w:pPr>
              <w:pStyle w:val="Tabletext"/>
              <w:spacing w:before="80" w:after="80"/>
              <w:rPr>
                <w:strike/>
                <w:szCs w:val="18"/>
              </w:rPr>
            </w:pPr>
          </w:p>
        </w:tc>
      </w:tr>
      <w:tr w:rsidR="00562F64" w:rsidRPr="00C4589D" w14:paraId="611585D2" w14:textId="77777777" w:rsidTr="00942CAA">
        <w:trPr>
          <w:trHeight w:val="402"/>
          <w:jc w:val="center"/>
        </w:trPr>
        <w:tc>
          <w:tcPr>
            <w:tcW w:w="2399" w:type="dxa"/>
            <w:tcBorders>
              <w:top w:val="single" w:sz="6" w:space="0" w:color="auto"/>
              <w:left w:val="single" w:sz="6" w:space="0" w:color="auto"/>
              <w:bottom w:val="single" w:sz="4" w:space="0" w:color="auto"/>
            </w:tcBorders>
            <w:vAlign w:val="center"/>
          </w:tcPr>
          <w:p w14:paraId="46445038" w14:textId="77777777" w:rsidR="00562F64" w:rsidRPr="00C4589D" w:rsidRDefault="00562F64" w:rsidP="00942CAA">
            <w:pPr>
              <w:pStyle w:val="TableHead"/>
              <w:spacing w:before="80" w:after="80"/>
              <w:rPr>
                <w:rFonts w:ascii="Arial" w:hAnsi="Arial" w:cs="Arial"/>
                <w:sz w:val="16"/>
                <w:szCs w:val="16"/>
              </w:rPr>
            </w:pPr>
            <w:r w:rsidRPr="00C4589D">
              <w:rPr>
                <w:rFonts w:ascii="Arial" w:hAnsi="Arial" w:cs="Arial"/>
                <w:sz w:val="16"/>
                <w:szCs w:val="16"/>
              </w:rPr>
              <w:t>Ab ELISA</w:t>
            </w:r>
          </w:p>
        </w:tc>
        <w:tc>
          <w:tcPr>
            <w:tcW w:w="995" w:type="dxa"/>
            <w:tcBorders>
              <w:top w:val="single" w:sz="6" w:space="0" w:color="auto"/>
              <w:left w:val="single" w:sz="6" w:space="0" w:color="auto"/>
              <w:bottom w:val="single" w:sz="6" w:space="0" w:color="auto"/>
            </w:tcBorders>
            <w:shd w:val="pct15" w:color="auto" w:fill="auto"/>
            <w:vAlign w:val="center"/>
          </w:tcPr>
          <w:p w14:paraId="45C63C80" w14:textId="77777777" w:rsidR="00562F64" w:rsidRPr="000924C1" w:rsidRDefault="00562F64" w:rsidP="00942CAA">
            <w:pPr>
              <w:pStyle w:val="TableHead"/>
              <w:spacing w:before="80" w:after="80"/>
              <w:rPr>
                <w:rFonts w:ascii="Arial" w:hAnsi="Arial" w:cs="Arial"/>
                <w:b w:val="0"/>
                <w:szCs w:val="16"/>
              </w:rPr>
            </w:pPr>
          </w:p>
        </w:tc>
        <w:tc>
          <w:tcPr>
            <w:tcW w:w="993" w:type="dxa"/>
            <w:tcBorders>
              <w:top w:val="single" w:sz="6" w:space="0" w:color="auto"/>
              <w:left w:val="single" w:sz="6" w:space="0" w:color="auto"/>
              <w:bottom w:val="single" w:sz="6" w:space="0" w:color="auto"/>
            </w:tcBorders>
            <w:shd w:val="pct15" w:color="auto" w:fill="auto"/>
            <w:vAlign w:val="center"/>
          </w:tcPr>
          <w:p w14:paraId="610BD144" w14:textId="77777777" w:rsidR="00562F64" w:rsidRPr="000924C1" w:rsidRDefault="00562F64" w:rsidP="00942CAA">
            <w:pPr>
              <w:pStyle w:val="TableHead"/>
              <w:spacing w:before="80" w:after="80"/>
              <w:rPr>
                <w:rFonts w:ascii="Arial" w:hAnsi="Arial" w:cs="Arial"/>
                <w:b w:val="0"/>
                <w:szCs w:val="16"/>
              </w:rPr>
            </w:pPr>
          </w:p>
        </w:tc>
        <w:tc>
          <w:tcPr>
            <w:tcW w:w="708" w:type="dxa"/>
            <w:tcBorders>
              <w:top w:val="single" w:sz="6" w:space="0" w:color="auto"/>
              <w:left w:val="single" w:sz="6" w:space="0" w:color="auto"/>
              <w:bottom w:val="single" w:sz="6" w:space="0" w:color="auto"/>
            </w:tcBorders>
            <w:shd w:val="pct15" w:color="auto" w:fill="auto"/>
            <w:vAlign w:val="center"/>
          </w:tcPr>
          <w:p w14:paraId="1D680495" w14:textId="77777777" w:rsidR="00562F64" w:rsidRPr="000924C1" w:rsidRDefault="00562F64" w:rsidP="00942CAA">
            <w:pPr>
              <w:pStyle w:val="TableHead"/>
              <w:spacing w:before="80" w:after="80"/>
              <w:rPr>
                <w:rFonts w:ascii="Arial" w:hAnsi="Arial" w:cs="Arial"/>
                <w:b w:val="0"/>
                <w:szCs w:val="16"/>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3A848AAA" w14:textId="77777777" w:rsidR="00562F64" w:rsidRPr="000924C1" w:rsidRDefault="00562F64" w:rsidP="00942CAA">
            <w:pPr>
              <w:pStyle w:val="TableHead"/>
              <w:spacing w:before="80" w:after="80"/>
              <w:rPr>
                <w:rFonts w:ascii="Arial" w:hAnsi="Arial" w:cs="Arial"/>
                <w:b w:val="0"/>
                <w:szCs w:val="16"/>
              </w:rPr>
            </w:pPr>
          </w:p>
        </w:tc>
        <w:tc>
          <w:tcPr>
            <w:tcW w:w="851" w:type="dxa"/>
            <w:tcBorders>
              <w:top w:val="single" w:sz="6" w:space="0" w:color="auto"/>
              <w:left w:val="single" w:sz="6" w:space="0" w:color="auto"/>
              <w:bottom w:val="single" w:sz="4" w:space="0" w:color="auto"/>
            </w:tcBorders>
            <w:shd w:val="pct15" w:color="auto" w:fill="auto"/>
            <w:vAlign w:val="center"/>
          </w:tcPr>
          <w:p w14:paraId="09C880FD" w14:textId="77777777" w:rsidR="00562F64" w:rsidRPr="000924C1" w:rsidRDefault="00562F64" w:rsidP="00942CAA">
            <w:pPr>
              <w:pStyle w:val="Tabletext"/>
              <w:spacing w:before="80" w:after="80"/>
              <w:rPr>
                <w:strike/>
                <w:szCs w:val="18"/>
              </w:rPr>
            </w:pPr>
          </w:p>
        </w:tc>
        <w:tc>
          <w:tcPr>
            <w:tcW w:w="992" w:type="dxa"/>
            <w:tcBorders>
              <w:top w:val="single" w:sz="6" w:space="0" w:color="auto"/>
              <w:left w:val="single" w:sz="6" w:space="0" w:color="auto"/>
              <w:bottom w:val="single" w:sz="4" w:space="0" w:color="auto"/>
            </w:tcBorders>
            <w:shd w:val="pct15" w:color="auto" w:fill="auto"/>
            <w:vAlign w:val="center"/>
          </w:tcPr>
          <w:p w14:paraId="6C092C98" w14:textId="77777777" w:rsidR="00562F64" w:rsidRPr="000924C1" w:rsidRDefault="00562F64" w:rsidP="00942CAA">
            <w:pPr>
              <w:pStyle w:val="Tabletext"/>
              <w:spacing w:before="80" w:after="80"/>
              <w:rPr>
                <w:strike/>
                <w:szCs w:val="18"/>
              </w:rPr>
            </w:pPr>
          </w:p>
        </w:tc>
        <w:tc>
          <w:tcPr>
            <w:tcW w:w="850" w:type="dxa"/>
            <w:tcBorders>
              <w:top w:val="single" w:sz="6" w:space="0" w:color="auto"/>
              <w:left w:val="single" w:sz="6" w:space="0" w:color="auto"/>
              <w:bottom w:val="single" w:sz="4" w:space="0" w:color="auto"/>
            </w:tcBorders>
            <w:shd w:val="pct15" w:color="auto" w:fill="auto"/>
            <w:vAlign w:val="center"/>
          </w:tcPr>
          <w:p w14:paraId="3700B662" w14:textId="77777777" w:rsidR="00562F64" w:rsidRPr="000924C1" w:rsidRDefault="00562F64" w:rsidP="00942CAA">
            <w:pPr>
              <w:pStyle w:val="Tabletext"/>
              <w:spacing w:before="80" w:after="80"/>
              <w:rPr>
                <w:strike/>
                <w:szCs w:val="18"/>
              </w:rPr>
            </w:pPr>
          </w:p>
        </w:tc>
        <w:tc>
          <w:tcPr>
            <w:tcW w:w="634" w:type="dxa"/>
            <w:tcBorders>
              <w:top w:val="single" w:sz="6" w:space="0" w:color="auto"/>
              <w:left w:val="single" w:sz="6" w:space="0" w:color="auto"/>
              <w:bottom w:val="single" w:sz="4" w:space="0" w:color="auto"/>
              <w:right w:val="single" w:sz="6" w:space="0" w:color="auto"/>
            </w:tcBorders>
            <w:shd w:val="pct15" w:color="auto" w:fill="auto"/>
            <w:vAlign w:val="center"/>
          </w:tcPr>
          <w:p w14:paraId="3161AE7C" w14:textId="77777777" w:rsidR="00562F64" w:rsidRPr="000924C1" w:rsidRDefault="00562F64" w:rsidP="00942CAA">
            <w:pPr>
              <w:pStyle w:val="Tabletext"/>
              <w:spacing w:before="80" w:after="80"/>
              <w:rPr>
                <w:strike/>
                <w:szCs w:val="18"/>
              </w:rPr>
            </w:pPr>
          </w:p>
        </w:tc>
        <w:tc>
          <w:tcPr>
            <w:tcW w:w="960" w:type="dxa"/>
            <w:tcBorders>
              <w:top w:val="single" w:sz="6" w:space="0" w:color="auto"/>
              <w:left w:val="single" w:sz="6" w:space="0" w:color="auto"/>
              <w:bottom w:val="single" w:sz="4" w:space="0" w:color="auto"/>
              <w:right w:val="single" w:sz="6" w:space="0" w:color="auto"/>
            </w:tcBorders>
            <w:shd w:val="pct15" w:color="auto" w:fill="auto"/>
            <w:vAlign w:val="center"/>
          </w:tcPr>
          <w:p w14:paraId="0B6F9F92" w14:textId="77777777" w:rsidR="00562F64" w:rsidRPr="000924C1" w:rsidRDefault="00562F64" w:rsidP="00942CAA">
            <w:pPr>
              <w:pStyle w:val="Tabletext"/>
              <w:spacing w:before="80" w:after="80"/>
              <w:rPr>
                <w:strike/>
                <w:szCs w:val="18"/>
              </w:rPr>
            </w:pPr>
          </w:p>
        </w:tc>
        <w:tc>
          <w:tcPr>
            <w:tcW w:w="1100" w:type="dxa"/>
            <w:tcBorders>
              <w:top w:val="single" w:sz="6" w:space="0" w:color="auto"/>
              <w:left w:val="single" w:sz="6" w:space="0" w:color="auto"/>
              <w:bottom w:val="single" w:sz="4" w:space="0" w:color="auto"/>
              <w:right w:val="single" w:sz="6" w:space="0" w:color="auto"/>
            </w:tcBorders>
            <w:shd w:val="pct15" w:color="auto" w:fill="auto"/>
            <w:vAlign w:val="center"/>
          </w:tcPr>
          <w:p w14:paraId="54495351" w14:textId="77777777" w:rsidR="00562F64" w:rsidRPr="000924C1" w:rsidRDefault="00562F64" w:rsidP="00942CAA">
            <w:pPr>
              <w:pStyle w:val="Tabletext"/>
              <w:spacing w:before="80" w:after="80"/>
              <w:rPr>
                <w:strike/>
                <w:szCs w:val="18"/>
              </w:rPr>
            </w:pPr>
          </w:p>
        </w:tc>
        <w:tc>
          <w:tcPr>
            <w:tcW w:w="992" w:type="dxa"/>
            <w:tcBorders>
              <w:top w:val="single" w:sz="6" w:space="0" w:color="auto"/>
              <w:left w:val="single" w:sz="6" w:space="0" w:color="auto"/>
              <w:bottom w:val="single" w:sz="4" w:space="0" w:color="auto"/>
            </w:tcBorders>
            <w:shd w:val="pct15" w:color="auto" w:fill="auto"/>
            <w:vAlign w:val="center"/>
          </w:tcPr>
          <w:p w14:paraId="1C0E3BDF" w14:textId="77777777" w:rsidR="00562F64" w:rsidRPr="000924C1" w:rsidRDefault="00562F64" w:rsidP="00942CAA">
            <w:pPr>
              <w:pStyle w:val="Tabletext"/>
              <w:spacing w:before="80" w:after="80"/>
              <w:rPr>
                <w:strike/>
                <w:szCs w:val="18"/>
              </w:rPr>
            </w:pPr>
          </w:p>
        </w:tc>
        <w:tc>
          <w:tcPr>
            <w:tcW w:w="709" w:type="dxa"/>
            <w:tcBorders>
              <w:top w:val="single" w:sz="6" w:space="0" w:color="auto"/>
              <w:left w:val="single" w:sz="6" w:space="0" w:color="auto"/>
              <w:bottom w:val="single" w:sz="4" w:space="0" w:color="auto"/>
              <w:right w:val="single" w:sz="6" w:space="0" w:color="auto"/>
            </w:tcBorders>
            <w:shd w:val="pct15" w:color="auto" w:fill="auto"/>
            <w:vAlign w:val="center"/>
          </w:tcPr>
          <w:p w14:paraId="691B8DA3" w14:textId="77777777" w:rsidR="00562F64" w:rsidRPr="000924C1" w:rsidRDefault="00562F64" w:rsidP="00942CAA">
            <w:pPr>
              <w:pStyle w:val="Tabletext"/>
              <w:spacing w:before="80" w:after="80"/>
              <w:rPr>
                <w:strike/>
                <w:szCs w:val="18"/>
              </w:rPr>
            </w:pPr>
          </w:p>
        </w:tc>
      </w:tr>
      <w:tr w:rsidR="00562F64" w:rsidRPr="00C4589D" w14:paraId="23FF69BA" w14:textId="77777777" w:rsidTr="00942CAA">
        <w:trPr>
          <w:trHeight w:val="402"/>
          <w:jc w:val="center"/>
        </w:trPr>
        <w:tc>
          <w:tcPr>
            <w:tcW w:w="2399" w:type="dxa"/>
            <w:tcBorders>
              <w:top w:val="single" w:sz="4" w:space="0" w:color="auto"/>
              <w:left w:val="single" w:sz="6" w:space="0" w:color="auto"/>
            </w:tcBorders>
            <w:vAlign w:val="center"/>
          </w:tcPr>
          <w:p w14:paraId="11BBC0CE" w14:textId="77777777" w:rsidR="00562F64" w:rsidRPr="00C4589D" w:rsidRDefault="00562F64" w:rsidP="00942CAA">
            <w:pPr>
              <w:pStyle w:val="TableHead"/>
              <w:spacing w:before="80" w:after="80"/>
              <w:rPr>
                <w:rFonts w:ascii="Arial" w:hAnsi="Arial" w:cs="Arial"/>
                <w:sz w:val="16"/>
                <w:szCs w:val="16"/>
              </w:rPr>
            </w:pPr>
            <w:r w:rsidRPr="00C4589D">
              <w:rPr>
                <w:rFonts w:ascii="Arial" w:hAnsi="Arial" w:cs="Arial"/>
                <w:sz w:val="16"/>
                <w:szCs w:val="16"/>
              </w:rPr>
              <w:t>Ag ELISA</w:t>
            </w:r>
          </w:p>
        </w:tc>
        <w:tc>
          <w:tcPr>
            <w:tcW w:w="995" w:type="dxa"/>
            <w:tcBorders>
              <w:top w:val="single" w:sz="6" w:space="0" w:color="auto"/>
              <w:left w:val="single" w:sz="6" w:space="0" w:color="auto"/>
            </w:tcBorders>
            <w:shd w:val="pct15" w:color="auto" w:fill="auto"/>
            <w:vAlign w:val="center"/>
          </w:tcPr>
          <w:p w14:paraId="6AE04772" w14:textId="77777777" w:rsidR="00562F64" w:rsidRPr="000924C1" w:rsidRDefault="00562F64" w:rsidP="00942CAA">
            <w:pPr>
              <w:pStyle w:val="TableHead"/>
              <w:spacing w:before="80" w:after="80"/>
              <w:rPr>
                <w:rFonts w:ascii="Arial" w:hAnsi="Arial" w:cs="Arial"/>
                <w:b w:val="0"/>
                <w:szCs w:val="16"/>
              </w:rPr>
            </w:pPr>
          </w:p>
        </w:tc>
        <w:tc>
          <w:tcPr>
            <w:tcW w:w="993" w:type="dxa"/>
            <w:tcBorders>
              <w:top w:val="single" w:sz="6" w:space="0" w:color="auto"/>
              <w:left w:val="single" w:sz="6" w:space="0" w:color="auto"/>
            </w:tcBorders>
            <w:shd w:val="pct15" w:color="auto" w:fill="auto"/>
            <w:vAlign w:val="center"/>
          </w:tcPr>
          <w:p w14:paraId="3921CB7D" w14:textId="77777777" w:rsidR="00562F64" w:rsidRPr="000924C1" w:rsidRDefault="00562F64" w:rsidP="00942CAA">
            <w:pPr>
              <w:pStyle w:val="TableHead"/>
              <w:spacing w:before="80" w:after="80"/>
              <w:rPr>
                <w:rFonts w:ascii="Arial" w:hAnsi="Arial" w:cs="Arial"/>
                <w:b w:val="0"/>
                <w:szCs w:val="16"/>
              </w:rPr>
            </w:pPr>
          </w:p>
        </w:tc>
        <w:tc>
          <w:tcPr>
            <w:tcW w:w="708" w:type="dxa"/>
            <w:tcBorders>
              <w:top w:val="single" w:sz="6" w:space="0" w:color="auto"/>
              <w:left w:val="single" w:sz="6" w:space="0" w:color="auto"/>
            </w:tcBorders>
            <w:shd w:val="pct15" w:color="auto" w:fill="auto"/>
            <w:vAlign w:val="center"/>
          </w:tcPr>
          <w:p w14:paraId="6088439D" w14:textId="77777777" w:rsidR="00562F64" w:rsidRPr="000924C1" w:rsidRDefault="00562F64" w:rsidP="00942CAA">
            <w:pPr>
              <w:pStyle w:val="TableHead"/>
              <w:spacing w:before="80" w:after="80"/>
              <w:rPr>
                <w:rFonts w:ascii="Arial" w:hAnsi="Arial" w:cs="Arial"/>
                <w:b w:val="0"/>
                <w:szCs w:val="16"/>
              </w:rPr>
            </w:pPr>
          </w:p>
        </w:tc>
        <w:tc>
          <w:tcPr>
            <w:tcW w:w="709" w:type="dxa"/>
            <w:tcBorders>
              <w:top w:val="single" w:sz="6" w:space="0" w:color="auto"/>
              <w:left w:val="single" w:sz="6" w:space="0" w:color="auto"/>
              <w:right w:val="single" w:sz="6" w:space="0" w:color="auto"/>
            </w:tcBorders>
            <w:shd w:val="pct15" w:color="auto" w:fill="auto"/>
            <w:vAlign w:val="center"/>
          </w:tcPr>
          <w:p w14:paraId="6696C9A1" w14:textId="77777777" w:rsidR="00562F64" w:rsidRPr="000924C1" w:rsidRDefault="00562F64" w:rsidP="00942CAA">
            <w:pPr>
              <w:pStyle w:val="TableHead"/>
              <w:spacing w:before="80" w:after="80"/>
              <w:rPr>
                <w:rFonts w:ascii="Arial" w:hAnsi="Arial" w:cs="Arial"/>
                <w:b w:val="0"/>
                <w:szCs w:val="16"/>
              </w:rPr>
            </w:pPr>
          </w:p>
        </w:tc>
        <w:tc>
          <w:tcPr>
            <w:tcW w:w="851" w:type="dxa"/>
            <w:tcBorders>
              <w:top w:val="single" w:sz="4" w:space="0" w:color="auto"/>
              <w:left w:val="single" w:sz="6" w:space="0" w:color="auto"/>
            </w:tcBorders>
            <w:shd w:val="pct15" w:color="auto" w:fill="auto"/>
            <w:vAlign w:val="center"/>
          </w:tcPr>
          <w:p w14:paraId="41C21F66" w14:textId="77777777" w:rsidR="00562F64" w:rsidRPr="000924C1" w:rsidRDefault="00562F64" w:rsidP="00942CAA">
            <w:pPr>
              <w:pStyle w:val="Tabletext"/>
              <w:spacing w:before="80" w:after="80"/>
              <w:rPr>
                <w:szCs w:val="18"/>
              </w:rPr>
            </w:pPr>
          </w:p>
        </w:tc>
        <w:tc>
          <w:tcPr>
            <w:tcW w:w="992" w:type="dxa"/>
            <w:tcBorders>
              <w:top w:val="single" w:sz="4" w:space="0" w:color="auto"/>
              <w:left w:val="single" w:sz="6" w:space="0" w:color="auto"/>
            </w:tcBorders>
            <w:shd w:val="pct15" w:color="auto" w:fill="auto"/>
            <w:vAlign w:val="center"/>
          </w:tcPr>
          <w:p w14:paraId="4F3B53D6" w14:textId="77777777" w:rsidR="00562F64" w:rsidRPr="000924C1" w:rsidRDefault="00562F64" w:rsidP="00942CAA">
            <w:pPr>
              <w:pStyle w:val="Tabletext"/>
              <w:spacing w:before="80" w:after="80"/>
              <w:rPr>
                <w:szCs w:val="18"/>
              </w:rPr>
            </w:pPr>
          </w:p>
        </w:tc>
        <w:tc>
          <w:tcPr>
            <w:tcW w:w="850" w:type="dxa"/>
            <w:tcBorders>
              <w:top w:val="single" w:sz="4" w:space="0" w:color="auto"/>
              <w:left w:val="single" w:sz="6" w:space="0" w:color="auto"/>
            </w:tcBorders>
            <w:shd w:val="pct15" w:color="auto" w:fill="auto"/>
            <w:vAlign w:val="center"/>
          </w:tcPr>
          <w:p w14:paraId="320C1308" w14:textId="77777777" w:rsidR="00562F64" w:rsidRPr="000924C1" w:rsidRDefault="00562F64" w:rsidP="00942CAA">
            <w:pPr>
              <w:pStyle w:val="Tabletext"/>
              <w:spacing w:before="80" w:after="80"/>
              <w:rPr>
                <w:szCs w:val="18"/>
              </w:rPr>
            </w:pPr>
          </w:p>
        </w:tc>
        <w:tc>
          <w:tcPr>
            <w:tcW w:w="634" w:type="dxa"/>
            <w:tcBorders>
              <w:top w:val="single" w:sz="4" w:space="0" w:color="auto"/>
              <w:left w:val="single" w:sz="6" w:space="0" w:color="auto"/>
              <w:right w:val="single" w:sz="6" w:space="0" w:color="auto"/>
            </w:tcBorders>
            <w:shd w:val="pct15" w:color="auto" w:fill="auto"/>
            <w:vAlign w:val="center"/>
          </w:tcPr>
          <w:p w14:paraId="1442EF07" w14:textId="77777777" w:rsidR="00562F64" w:rsidRPr="000924C1" w:rsidRDefault="00562F64" w:rsidP="00942CAA">
            <w:pPr>
              <w:pStyle w:val="Tabletext"/>
              <w:spacing w:before="80" w:after="80"/>
              <w:rPr>
                <w:szCs w:val="18"/>
              </w:rPr>
            </w:pPr>
          </w:p>
        </w:tc>
        <w:tc>
          <w:tcPr>
            <w:tcW w:w="960" w:type="dxa"/>
            <w:tcBorders>
              <w:top w:val="single" w:sz="4" w:space="0" w:color="auto"/>
              <w:left w:val="single" w:sz="6" w:space="0" w:color="auto"/>
              <w:right w:val="single" w:sz="6" w:space="0" w:color="auto"/>
            </w:tcBorders>
            <w:shd w:val="pct15" w:color="auto" w:fill="auto"/>
            <w:vAlign w:val="center"/>
          </w:tcPr>
          <w:p w14:paraId="66D8A034" w14:textId="77777777" w:rsidR="00562F64" w:rsidRPr="000924C1" w:rsidRDefault="00562F64" w:rsidP="00942CAA">
            <w:pPr>
              <w:pStyle w:val="Tabletext"/>
              <w:spacing w:before="80" w:after="80"/>
              <w:rPr>
                <w:szCs w:val="18"/>
              </w:rPr>
            </w:pPr>
          </w:p>
        </w:tc>
        <w:tc>
          <w:tcPr>
            <w:tcW w:w="1100" w:type="dxa"/>
            <w:tcBorders>
              <w:top w:val="single" w:sz="4" w:space="0" w:color="auto"/>
              <w:left w:val="single" w:sz="6" w:space="0" w:color="auto"/>
              <w:right w:val="single" w:sz="6" w:space="0" w:color="auto"/>
            </w:tcBorders>
            <w:shd w:val="pct15" w:color="auto" w:fill="auto"/>
            <w:vAlign w:val="center"/>
          </w:tcPr>
          <w:p w14:paraId="1F86E1BB" w14:textId="77777777" w:rsidR="00562F64" w:rsidRPr="000924C1" w:rsidRDefault="00562F64" w:rsidP="00942CAA">
            <w:pPr>
              <w:pStyle w:val="Tabletext"/>
              <w:spacing w:before="80" w:after="80"/>
              <w:rPr>
                <w:szCs w:val="18"/>
              </w:rPr>
            </w:pPr>
          </w:p>
        </w:tc>
        <w:tc>
          <w:tcPr>
            <w:tcW w:w="992" w:type="dxa"/>
            <w:tcBorders>
              <w:top w:val="single" w:sz="4" w:space="0" w:color="auto"/>
              <w:left w:val="single" w:sz="6" w:space="0" w:color="auto"/>
            </w:tcBorders>
            <w:shd w:val="pct15" w:color="auto" w:fill="auto"/>
            <w:vAlign w:val="center"/>
          </w:tcPr>
          <w:p w14:paraId="148E798F" w14:textId="77777777" w:rsidR="00562F64" w:rsidRPr="000924C1" w:rsidRDefault="00562F64" w:rsidP="00942CAA">
            <w:pPr>
              <w:pStyle w:val="Tabletext"/>
              <w:spacing w:before="80" w:after="80"/>
              <w:rPr>
                <w:szCs w:val="18"/>
              </w:rPr>
            </w:pPr>
          </w:p>
        </w:tc>
        <w:tc>
          <w:tcPr>
            <w:tcW w:w="709" w:type="dxa"/>
            <w:tcBorders>
              <w:top w:val="single" w:sz="4" w:space="0" w:color="auto"/>
              <w:left w:val="single" w:sz="6" w:space="0" w:color="auto"/>
              <w:right w:val="single" w:sz="6" w:space="0" w:color="auto"/>
            </w:tcBorders>
            <w:shd w:val="pct15" w:color="auto" w:fill="auto"/>
            <w:vAlign w:val="center"/>
          </w:tcPr>
          <w:p w14:paraId="38DA2663" w14:textId="77777777" w:rsidR="00562F64" w:rsidRPr="000924C1" w:rsidRDefault="00562F64" w:rsidP="00942CAA">
            <w:pPr>
              <w:pStyle w:val="Tabletext"/>
              <w:spacing w:before="80" w:after="80"/>
              <w:rPr>
                <w:szCs w:val="18"/>
              </w:rPr>
            </w:pPr>
          </w:p>
        </w:tc>
      </w:tr>
      <w:tr w:rsidR="00562F64" w:rsidRPr="00C4589D" w14:paraId="55D42912" w14:textId="77777777" w:rsidTr="00942CAA">
        <w:trPr>
          <w:trHeight w:val="402"/>
          <w:jc w:val="center"/>
        </w:trPr>
        <w:tc>
          <w:tcPr>
            <w:tcW w:w="2399" w:type="dxa"/>
            <w:tcBorders>
              <w:top w:val="single" w:sz="4" w:space="0" w:color="auto"/>
              <w:left w:val="single" w:sz="6" w:space="0" w:color="auto"/>
            </w:tcBorders>
            <w:vAlign w:val="center"/>
          </w:tcPr>
          <w:p w14:paraId="1887BC2B" w14:textId="77777777" w:rsidR="00562F64" w:rsidRPr="00C4589D" w:rsidRDefault="00562F64" w:rsidP="00942CAA">
            <w:pPr>
              <w:pStyle w:val="TableHead"/>
              <w:spacing w:before="80" w:after="80"/>
              <w:rPr>
                <w:rFonts w:ascii="Arial" w:hAnsi="Arial" w:cs="Arial"/>
                <w:sz w:val="16"/>
                <w:szCs w:val="16"/>
              </w:rPr>
            </w:pPr>
            <w:r>
              <w:rPr>
                <w:rFonts w:ascii="Arial" w:hAnsi="Arial" w:cs="Arial"/>
                <w:sz w:val="16"/>
                <w:szCs w:val="16"/>
              </w:rPr>
              <w:t xml:space="preserve">Immunohistochemistry </w:t>
            </w:r>
            <w:r w:rsidRPr="00BC5907">
              <w:rPr>
                <w:rFonts w:ascii="Arial" w:hAnsi="Arial" w:cs="Arial"/>
                <w:sz w:val="16"/>
                <w:szCs w:val="16"/>
              </w:rPr>
              <w:t>(needs to be filled in by expert</w:t>
            </w:r>
            <w:r w:rsidRPr="008522DD">
              <w:rPr>
                <w:rFonts w:ascii="Arial" w:hAnsi="Arial" w:cs="Arial"/>
                <w:sz w:val="16"/>
                <w:szCs w:val="16"/>
              </w:rPr>
              <w:t>)</w:t>
            </w:r>
          </w:p>
        </w:tc>
        <w:tc>
          <w:tcPr>
            <w:tcW w:w="995" w:type="dxa"/>
            <w:tcBorders>
              <w:top w:val="single" w:sz="6" w:space="0" w:color="auto"/>
              <w:left w:val="single" w:sz="6" w:space="0" w:color="auto"/>
              <w:bottom w:val="single" w:sz="6" w:space="0" w:color="auto"/>
            </w:tcBorders>
            <w:shd w:val="clear" w:color="auto" w:fill="FFFFFF" w:themeFill="background1"/>
            <w:vAlign w:val="center"/>
          </w:tcPr>
          <w:p w14:paraId="2A4A8EEC" w14:textId="77777777" w:rsidR="00562F64" w:rsidRPr="000924C1" w:rsidRDefault="00562F64" w:rsidP="00942CAA">
            <w:pPr>
              <w:pStyle w:val="TableHead"/>
              <w:spacing w:before="80" w:after="80"/>
              <w:rPr>
                <w:rFonts w:ascii="Arial" w:hAnsi="Arial" w:cs="Arial"/>
                <w:b w:val="0"/>
                <w:szCs w:val="16"/>
              </w:rPr>
            </w:pPr>
          </w:p>
        </w:tc>
        <w:tc>
          <w:tcPr>
            <w:tcW w:w="993" w:type="dxa"/>
            <w:tcBorders>
              <w:top w:val="single" w:sz="6" w:space="0" w:color="auto"/>
              <w:left w:val="single" w:sz="6" w:space="0" w:color="auto"/>
            </w:tcBorders>
            <w:shd w:val="clear" w:color="auto" w:fill="FFFFFF" w:themeFill="background1"/>
            <w:vAlign w:val="center"/>
          </w:tcPr>
          <w:p w14:paraId="0959AA49" w14:textId="77777777" w:rsidR="00562F64" w:rsidRPr="000924C1" w:rsidRDefault="00562F64" w:rsidP="00942CAA">
            <w:pPr>
              <w:pStyle w:val="TableHead"/>
              <w:spacing w:before="80" w:after="80"/>
              <w:rPr>
                <w:rFonts w:ascii="Arial" w:hAnsi="Arial" w:cs="Arial"/>
                <w:b w:val="0"/>
                <w:szCs w:val="16"/>
              </w:rPr>
            </w:pPr>
          </w:p>
        </w:tc>
        <w:tc>
          <w:tcPr>
            <w:tcW w:w="708" w:type="dxa"/>
            <w:tcBorders>
              <w:top w:val="single" w:sz="6" w:space="0" w:color="auto"/>
              <w:left w:val="single" w:sz="6" w:space="0" w:color="auto"/>
            </w:tcBorders>
            <w:shd w:val="clear" w:color="auto" w:fill="FFFFFF" w:themeFill="background1"/>
            <w:vAlign w:val="center"/>
          </w:tcPr>
          <w:p w14:paraId="4FE66EFC" w14:textId="77777777" w:rsidR="00562F64" w:rsidRPr="000924C1" w:rsidRDefault="00562F64" w:rsidP="00942CAA">
            <w:pPr>
              <w:pStyle w:val="TableHead"/>
              <w:spacing w:before="80" w:after="80"/>
              <w:rPr>
                <w:rFonts w:ascii="Arial" w:hAnsi="Arial" w:cs="Arial"/>
                <w:b w:val="0"/>
                <w:szCs w:val="16"/>
              </w:rPr>
            </w:pPr>
          </w:p>
        </w:tc>
        <w:tc>
          <w:tcPr>
            <w:tcW w:w="709" w:type="dxa"/>
            <w:tcBorders>
              <w:top w:val="single" w:sz="6" w:space="0" w:color="auto"/>
              <w:left w:val="single" w:sz="6" w:space="0" w:color="auto"/>
              <w:right w:val="single" w:sz="6" w:space="0" w:color="auto"/>
            </w:tcBorders>
            <w:shd w:val="clear" w:color="auto" w:fill="FFFFFF" w:themeFill="background1"/>
            <w:vAlign w:val="center"/>
          </w:tcPr>
          <w:p w14:paraId="563CA9CA" w14:textId="77777777" w:rsidR="00562F64" w:rsidRPr="000924C1" w:rsidRDefault="00562F64" w:rsidP="00942CAA">
            <w:pPr>
              <w:pStyle w:val="TableHead"/>
              <w:spacing w:before="80" w:after="80"/>
              <w:rPr>
                <w:rFonts w:ascii="Arial" w:hAnsi="Arial" w:cs="Arial"/>
                <w:b w:val="0"/>
                <w:szCs w:val="16"/>
              </w:rPr>
            </w:pPr>
          </w:p>
        </w:tc>
        <w:tc>
          <w:tcPr>
            <w:tcW w:w="851" w:type="dxa"/>
            <w:tcBorders>
              <w:top w:val="single" w:sz="4" w:space="0" w:color="auto"/>
              <w:left w:val="single" w:sz="6" w:space="0" w:color="auto"/>
            </w:tcBorders>
            <w:shd w:val="clear" w:color="auto" w:fill="FFFFFF" w:themeFill="background1"/>
            <w:vAlign w:val="center"/>
          </w:tcPr>
          <w:p w14:paraId="704A87F7" w14:textId="77777777" w:rsidR="00562F64" w:rsidRPr="000924C1" w:rsidRDefault="00562F64" w:rsidP="00942CAA">
            <w:pPr>
              <w:pStyle w:val="Tabletext"/>
              <w:spacing w:before="80" w:after="80"/>
              <w:rPr>
                <w:szCs w:val="18"/>
              </w:rPr>
            </w:pPr>
          </w:p>
        </w:tc>
        <w:tc>
          <w:tcPr>
            <w:tcW w:w="992" w:type="dxa"/>
            <w:tcBorders>
              <w:top w:val="single" w:sz="4" w:space="0" w:color="auto"/>
              <w:left w:val="single" w:sz="6" w:space="0" w:color="auto"/>
            </w:tcBorders>
            <w:shd w:val="clear" w:color="auto" w:fill="FFFFFF" w:themeFill="background1"/>
            <w:vAlign w:val="center"/>
          </w:tcPr>
          <w:p w14:paraId="764F09E9" w14:textId="77777777" w:rsidR="00562F64" w:rsidRPr="000924C1" w:rsidRDefault="00562F64" w:rsidP="00942CAA">
            <w:pPr>
              <w:pStyle w:val="Tabletext"/>
              <w:spacing w:before="80" w:after="80"/>
              <w:rPr>
                <w:szCs w:val="18"/>
              </w:rPr>
            </w:pPr>
          </w:p>
        </w:tc>
        <w:tc>
          <w:tcPr>
            <w:tcW w:w="850" w:type="dxa"/>
            <w:tcBorders>
              <w:top w:val="single" w:sz="4" w:space="0" w:color="auto"/>
              <w:left w:val="single" w:sz="6" w:space="0" w:color="auto"/>
            </w:tcBorders>
            <w:shd w:val="clear" w:color="auto" w:fill="FFFFFF" w:themeFill="background1"/>
            <w:vAlign w:val="center"/>
          </w:tcPr>
          <w:p w14:paraId="513C2129" w14:textId="77777777" w:rsidR="00562F64" w:rsidRPr="000924C1" w:rsidRDefault="00562F64" w:rsidP="00942CAA">
            <w:pPr>
              <w:pStyle w:val="Tabletext"/>
              <w:spacing w:before="80" w:after="80"/>
              <w:rPr>
                <w:szCs w:val="18"/>
              </w:rPr>
            </w:pPr>
          </w:p>
        </w:tc>
        <w:tc>
          <w:tcPr>
            <w:tcW w:w="634" w:type="dxa"/>
            <w:tcBorders>
              <w:top w:val="single" w:sz="4" w:space="0" w:color="auto"/>
              <w:left w:val="single" w:sz="6" w:space="0" w:color="auto"/>
              <w:right w:val="single" w:sz="6" w:space="0" w:color="auto"/>
            </w:tcBorders>
            <w:shd w:val="clear" w:color="auto" w:fill="FFFFFF" w:themeFill="background1"/>
            <w:vAlign w:val="center"/>
          </w:tcPr>
          <w:p w14:paraId="0AD102EE" w14:textId="77777777" w:rsidR="00562F64" w:rsidRPr="000924C1" w:rsidRDefault="00562F64" w:rsidP="00942CAA">
            <w:pPr>
              <w:pStyle w:val="Tabletext"/>
              <w:spacing w:before="80" w:after="80"/>
              <w:rPr>
                <w:szCs w:val="18"/>
              </w:rPr>
            </w:pPr>
          </w:p>
        </w:tc>
        <w:tc>
          <w:tcPr>
            <w:tcW w:w="960" w:type="dxa"/>
            <w:tcBorders>
              <w:top w:val="single" w:sz="4" w:space="0" w:color="auto"/>
              <w:left w:val="single" w:sz="6" w:space="0" w:color="auto"/>
              <w:right w:val="single" w:sz="6" w:space="0" w:color="auto"/>
            </w:tcBorders>
            <w:shd w:val="clear" w:color="auto" w:fill="FFFFFF" w:themeFill="background1"/>
            <w:vAlign w:val="center"/>
          </w:tcPr>
          <w:p w14:paraId="0F6A208F" w14:textId="77777777" w:rsidR="00562F64" w:rsidRPr="000924C1" w:rsidRDefault="00562F64" w:rsidP="00942CAA">
            <w:pPr>
              <w:pStyle w:val="Tabletext"/>
              <w:spacing w:before="80" w:after="80"/>
              <w:rPr>
                <w:szCs w:val="18"/>
              </w:rPr>
            </w:pPr>
          </w:p>
        </w:tc>
        <w:tc>
          <w:tcPr>
            <w:tcW w:w="1100" w:type="dxa"/>
            <w:tcBorders>
              <w:top w:val="single" w:sz="4" w:space="0" w:color="auto"/>
              <w:left w:val="single" w:sz="6" w:space="0" w:color="auto"/>
              <w:right w:val="single" w:sz="6" w:space="0" w:color="auto"/>
            </w:tcBorders>
            <w:shd w:val="clear" w:color="auto" w:fill="FFFFFF" w:themeFill="background1"/>
            <w:vAlign w:val="center"/>
          </w:tcPr>
          <w:p w14:paraId="756FB4FC" w14:textId="77777777" w:rsidR="00562F64" w:rsidRPr="000924C1" w:rsidRDefault="00562F64" w:rsidP="00942CAA">
            <w:pPr>
              <w:pStyle w:val="Tabletext"/>
              <w:spacing w:before="80" w:after="80"/>
              <w:rPr>
                <w:szCs w:val="18"/>
              </w:rPr>
            </w:pPr>
          </w:p>
        </w:tc>
        <w:tc>
          <w:tcPr>
            <w:tcW w:w="992" w:type="dxa"/>
            <w:tcBorders>
              <w:top w:val="single" w:sz="4" w:space="0" w:color="auto"/>
              <w:left w:val="single" w:sz="6" w:space="0" w:color="auto"/>
            </w:tcBorders>
            <w:shd w:val="clear" w:color="auto" w:fill="FFFFFF" w:themeFill="background1"/>
            <w:vAlign w:val="center"/>
          </w:tcPr>
          <w:p w14:paraId="597F19BD" w14:textId="77777777" w:rsidR="00562F64" w:rsidRPr="000924C1" w:rsidRDefault="00562F64" w:rsidP="00942CAA">
            <w:pPr>
              <w:pStyle w:val="Tabletext"/>
              <w:spacing w:before="80" w:after="80"/>
              <w:rPr>
                <w:szCs w:val="18"/>
              </w:rPr>
            </w:pPr>
          </w:p>
        </w:tc>
        <w:tc>
          <w:tcPr>
            <w:tcW w:w="709" w:type="dxa"/>
            <w:tcBorders>
              <w:top w:val="single" w:sz="4" w:space="0" w:color="auto"/>
              <w:left w:val="single" w:sz="6" w:space="0" w:color="auto"/>
              <w:right w:val="single" w:sz="6" w:space="0" w:color="auto"/>
            </w:tcBorders>
            <w:shd w:val="clear" w:color="auto" w:fill="FFFFFF" w:themeFill="background1"/>
            <w:vAlign w:val="center"/>
          </w:tcPr>
          <w:p w14:paraId="7C0B3A9A" w14:textId="77777777" w:rsidR="00562F64" w:rsidRPr="000924C1" w:rsidRDefault="00562F64" w:rsidP="00942CAA">
            <w:pPr>
              <w:pStyle w:val="Tabletext"/>
              <w:spacing w:before="80" w:after="80"/>
              <w:rPr>
                <w:szCs w:val="18"/>
              </w:rPr>
            </w:pPr>
          </w:p>
        </w:tc>
      </w:tr>
      <w:tr w:rsidR="00562F64" w:rsidRPr="00C4589D" w14:paraId="374B5A56" w14:textId="77777777" w:rsidTr="00942CAA">
        <w:trPr>
          <w:trHeight w:val="269"/>
          <w:jc w:val="center"/>
        </w:trPr>
        <w:tc>
          <w:tcPr>
            <w:tcW w:w="2399" w:type="dxa"/>
            <w:tcBorders>
              <w:top w:val="single" w:sz="4" w:space="0" w:color="auto"/>
              <w:left w:val="single" w:sz="6" w:space="0" w:color="auto"/>
              <w:bottom w:val="single" w:sz="4" w:space="0" w:color="auto"/>
            </w:tcBorders>
            <w:vAlign w:val="center"/>
          </w:tcPr>
          <w:p w14:paraId="47386C95" w14:textId="77777777" w:rsidR="00562F64" w:rsidRPr="00C4589D" w:rsidRDefault="00562F64" w:rsidP="00942CAA">
            <w:pPr>
              <w:pStyle w:val="TableHead"/>
              <w:spacing w:before="80" w:after="80"/>
              <w:rPr>
                <w:rFonts w:ascii="Arial" w:hAnsi="Arial" w:cs="Arial"/>
                <w:sz w:val="16"/>
                <w:szCs w:val="16"/>
              </w:rPr>
            </w:pPr>
            <w:r>
              <w:rPr>
                <w:rFonts w:ascii="Arial" w:hAnsi="Arial" w:cs="Arial"/>
                <w:sz w:val="16"/>
                <w:szCs w:val="16"/>
              </w:rPr>
              <w:t>Serum neutralisation assay</w:t>
            </w:r>
          </w:p>
        </w:tc>
        <w:tc>
          <w:tcPr>
            <w:tcW w:w="995" w:type="dxa"/>
            <w:tcBorders>
              <w:top w:val="single" w:sz="6" w:space="0" w:color="auto"/>
              <w:left w:val="single" w:sz="6" w:space="0" w:color="auto"/>
              <w:bottom w:val="single" w:sz="4" w:space="0" w:color="auto"/>
            </w:tcBorders>
            <w:shd w:val="pct15" w:color="auto" w:fill="auto"/>
            <w:vAlign w:val="center"/>
          </w:tcPr>
          <w:p w14:paraId="5AAA7030" w14:textId="77777777" w:rsidR="00562F64" w:rsidRPr="000924C1" w:rsidRDefault="00562F64" w:rsidP="00942CAA">
            <w:pPr>
              <w:pStyle w:val="TableHead"/>
              <w:spacing w:before="80" w:after="80"/>
              <w:rPr>
                <w:rFonts w:ascii="Arial" w:hAnsi="Arial" w:cs="Arial"/>
                <w:b w:val="0"/>
                <w:szCs w:val="16"/>
              </w:rPr>
            </w:pPr>
          </w:p>
        </w:tc>
        <w:tc>
          <w:tcPr>
            <w:tcW w:w="993" w:type="dxa"/>
            <w:tcBorders>
              <w:top w:val="single" w:sz="6" w:space="0" w:color="auto"/>
              <w:left w:val="single" w:sz="6" w:space="0" w:color="auto"/>
              <w:bottom w:val="single" w:sz="4" w:space="0" w:color="auto"/>
            </w:tcBorders>
            <w:vAlign w:val="center"/>
          </w:tcPr>
          <w:p w14:paraId="579EB608" w14:textId="77777777" w:rsidR="00562F64" w:rsidRPr="000924C1" w:rsidRDefault="00562F64" w:rsidP="00942CAA">
            <w:pPr>
              <w:pStyle w:val="TableHead"/>
              <w:spacing w:before="80" w:after="80"/>
              <w:rPr>
                <w:rFonts w:ascii="Arial" w:hAnsi="Arial" w:cs="Arial"/>
                <w:b w:val="0"/>
                <w:szCs w:val="16"/>
              </w:rPr>
            </w:pPr>
            <w:r>
              <w:rPr>
                <w:rFonts w:ascii="Arial" w:hAnsi="Arial" w:cs="Arial"/>
                <w:b w:val="0"/>
                <w:szCs w:val="16"/>
              </w:rPr>
              <w:t>+</w:t>
            </w:r>
          </w:p>
        </w:tc>
        <w:tc>
          <w:tcPr>
            <w:tcW w:w="708" w:type="dxa"/>
            <w:tcBorders>
              <w:top w:val="single" w:sz="6" w:space="0" w:color="auto"/>
              <w:left w:val="single" w:sz="6" w:space="0" w:color="auto"/>
              <w:bottom w:val="single" w:sz="4" w:space="0" w:color="auto"/>
            </w:tcBorders>
            <w:vAlign w:val="center"/>
          </w:tcPr>
          <w:p w14:paraId="7EBA2D84" w14:textId="77777777" w:rsidR="00562F64" w:rsidRPr="000924C1" w:rsidRDefault="00562F64" w:rsidP="00942CAA">
            <w:pPr>
              <w:pStyle w:val="TableHead"/>
              <w:spacing w:before="80" w:after="80"/>
              <w:rPr>
                <w:rFonts w:ascii="Arial" w:hAnsi="Arial" w:cs="Arial"/>
                <w:b w:val="0"/>
                <w:szCs w:val="16"/>
              </w:rPr>
            </w:pPr>
            <w:r>
              <w:rPr>
                <w:rFonts w:ascii="Arial" w:hAnsi="Arial" w:cs="Arial"/>
                <w:b w:val="0"/>
                <w:szCs w:val="16"/>
              </w:rPr>
              <w:t>++</w:t>
            </w:r>
          </w:p>
        </w:tc>
        <w:tc>
          <w:tcPr>
            <w:tcW w:w="709"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47710E46" w14:textId="77777777" w:rsidR="00562F64" w:rsidRPr="000924C1" w:rsidRDefault="00562F64" w:rsidP="00942CAA">
            <w:pPr>
              <w:pStyle w:val="TableHead"/>
              <w:spacing w:before="80" w:after="80"/>
              <w:rPr>
                <w:rFonts w:ascii="Arial" w:hAnsi="Arial" w:cs="Arial"/>
                <w:b w:val="0"/>
                <w:szCs w:val="16"/>
              </w:rPr>
            </w:pPr>
          </w:p>
        </w:tc>
        <w:tc>
          <w:tcPr>
            <w:tcW w:w="851" w:type="dxa"/>
            <w:tcBorders>
              <w:top w:val="single" w:sz="4" w:space="0" w:color="auto"/>
              <w:left w:val="single" w:sz="6" w:space="0" w:color="auto"/>
              <w:bottom w:val="single" w:sz="4" w:space="0" w:color="auto"/>
            </w:tcBorders>
            <w:vAlign w:val="center"/>
          </w:tcPr>
          <w:p w14:paraId="573D6DDE" w14:textId="77777777" w:rsidR="00562F64" w:rsidRPr="000924C1" w:rsidRDefault="00562F64" w:rsidP="00942CAA">
            <w:pPr>
              <w:pStyle w:val="Tabletext"/>
              <w:spacing w:before="80" w:after="80"/>
              <w:rPr>
                <w:szCs w:val="18"/>
              </w:rPr>
            </w:pPr>
            <w:r>
              <w:rPr>
                <w:szCs w:val="18"/>
              </w:rPr>
              <w:t>++</w:t>
            </w:r>
          </w:p>
        </w:tc>
        <w:tc>
          <w:tcPr>
            <w:tcW w:w="992" w:type="dxa"/>
            <w:tcBorders>
              <w:top w:val="single" w:sz="4" w:space="0" w:color="auto"/>
              <w:left w:val="single" w:sz="6" w:space="0" w:color="auto"/>
              <w:bottom w:val="single" w:sz="4" w:space="0" w:color="auto"/>
            </w:tcBorders>
            <w:vAlign w:val="center"/>
          </w:tcPr>
          <w:p w14:paraId="6AACC0B4" w14:textId="77777777" w:rsidR="00562F64" w:rsidRPr="000924C1" w:rsidRDefault="00562F64" w:rsidP="00942CAA">
            <w:pPr>
              <w:pStyle w:val="Tabletext"/>
              <w:spacing w:before="80" w:after="80"/>
              <w:rPr>
                <w:szCs w:val="18"/>
              </w:rPr>
            </w:pPr>
            <w:r>
              <w:rPr>
                <w:szCs w:val="18"/>
              </w:rPr>
              <w:t>++</w:t>
            </w:r>
          </w:p>
        </w:tc>
        <w:tc>
          <w:tcPr>
            <w:tcW w:w="850" w:type="dxa"/>
            <w:tcBorders>
              <w:top w:val="single" w:sz="4" w:space="0" w:color="auto"/>
              <w:left w:val="single" w:sz="6" w:space="0" w:color="auto"/>
              <w:bottom w:val="single" w:sz="4" w:space="0" w:color="auto"/>
            </w:tcBorders>
            <w:vAlign w:val="center"/>
          </w:tcPr>
          <w:p w14:paraId="0069982E" w14:textId="77777777" w:rsidR="00562F64" w:rsidRPr="000924C1" w:rsidRDefault="00562F64" w:rsidP="00942CAA">
            <w:pPr>
              <w:pStyle w:val="Tabletext"/>
              <w:spacing w:before="80" w:after="80"/>
              <w:rPr>
                <w:szCs w:val="18"/>
              </w:rPr>
            </w:pPr>
            <w:r>
              <w:rPr>
                <w:szCs w:val="18"/>
              </w:rPr>
              <w:t>++</w:t>
            </w:r>
          </w:p>
        </w:tc>
        <w:tc>
          <w:tcPr>
            <w:tcW w:w="634"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6DFFC791" w14:textId="77777777" w:rsidR="00562F64" w:rsidRPr="000924C1" w:rsidRDefault="00562F64" w:rsidP="00942CAA">
            <w:pPr>
              <w:pStyle w:val="Tabletext"/>
              <w:spacing w:before="80" w:after="80"/>
              <w:rPr>
                <w:szCs w:val="18"/>
              </w:rPr>
            </w:pPr>
          </w:p>
        </w:tc>
        <w:tc>
          <w:tcPr>
            <w:tcW w:w="960"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089801FD" w14:textId="77777777" w:rsidR="00562F64" w:rsidRPr="00747200" w:rsidRDefault="00562F64" w:rsidP="00942CAA">
            <w:pPr>
              <w:pStyle w:val="Tabletext"/>
              <w:spacing w:before="80" w:after="80"/>
              <w:rPr>
                <w:szCs w:val="18"/>
              </w:rPr>
            </w:pPr>
          </w:p>
        </w:tc>
        <w:tc>
          <w:tcPr>
            <w:tcW w:w="1100"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4A90EF99" w14:textId="77777777" w:rsidR="00562F64" w:rsidRPr="00747200" w:rsidRDefault="00562F64" w:rsidP="00942CAA">
            <w:pPr>
              <w:pStyle w:val="Tabletext"/>
              <w:spacing w:before="80" w:after="80"/>
              <w:rPr>
                <w:szCs w:val="18"/>
                <w:u w:val="single"/>
              </w:rPr>
            </w:pPr>
          </w:p>
        </w:tc>
        <w:tc>
          <w:tcPr>
            <w:tcW w:w="992" w:type="dxa"/>
            <w:tcBorders>
              <w:top w:val="single" w:sz="4" w:space="0" w:color="auto"/>
              <w:left w:val="single" w:sz="6" w:space="0" w:color="auto"/>
              <w:bottom w:val="single" w:sz="4" w:space="0" w:color="auto"/>
            </w:tcBorders>
            <w:shd w:val="clear" w:color="auto" w:fill="D9D9D9" w:themeFill="background1" w:themeFillShade="D9"/>
            <w:vAlign w:val="center"/>
          </w:tcPr>
          <w:p w14:paraId="35448C43" w14:textId="77777777" w:rsidR="00562F64" w:rsidRPr="00747200" w:rsidRDefault="00562F64" w:rsidP="00942CAA">
            <w:pPr>
              <w:pStyle w:val="Tabletext"/>
              <w:spacing w:before="80" w:after="80"/>
              <w:rPr>
                <w:szCs w:val="18"/>
                <w:u w:val="single"/>
              </w:rPr>
            </w:pPr>
          </w:p>
        </w:tc>
        <w:tc>
          <w:tcPr>
            <w:tcW w:w="709"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21C5AB5A" w14:textId="77777777" w:rsidR="00562F64" w:rsidRPr="00747200" w:rsidRDefault="00562F64" w:rsidP="00942CAA">
            <w:pPr>
              <w:pStyle w:val="Tabletext"/>
              <w:spacing w:before="80" w:after="80"/>
              <w:rPr>
                <w:szCs w:val="18"/>
              </w:rPr>
            </w:pPr>
          </w:p>
        </w:tc>
      </w:tr>
    </w:tbl>
    <w:p w14:paraId="60D56963" w14:textId="77777777" w:rsidR="00562F64" w:rsidRPr="007F35B1" w:rsidRDefault="00562F64" w:rsidP="00562F64">
      <w:pPr>
        <w:pStyle w:val="paraA0"/>
        <w:spacing w:before="120" w:after="0"/>
        <w:jc w:val="center"/>
        <w:rPr>
          <w:szCs w:val="22"/>
          <w:lang w:val="en-IE" w:eastAsia="en-US" w:bidi="en-US"/>
        </w:rPr>
      </w:pPr>
      <w:r w:rsidRPr="007F35B1">
        <w:rPr>
          <w:sz w:val="16"/>
          <w:szCs w:val="16"/>
        </w:rPr>
        <w:t xml:space="preserve">LV = level of validation, refers to the stage of validation in </w:t>
      </w:r>
      <w:r>
        <w:rPr>
          <w:sz w:val="16"/>
          <w:szCs w:val="16"/>
        </w:rPr>
        <w:t>the OIE Pathway (chapter 1.1.2)</w:t>
      </w:r>
      <w:r>
        <w:rPr>
          <w:rFonts w:ascii="Calibri" w:hAnsi="Calibri" w:cs="Times New Roman"/>
          <w:sz w:val="16"/>
          <w:szCs w:val="16"/>
          <w:lang w:val="en-US" w:eastAsia="en-US" w:bidi="en-US"/>
        </w:rPr>
        <w:t xml:space="preserve">; </w:t>
      </w:r>
      <w:r w:rsidRPr="007F35B1">
        <w:rPr>
          <w:sz w:val="16"/>
          <w:szCs w:val="16"/>
          <w:lang w:val="en-IE"/>
        </w:rPr>
        <w:t>RT-PCR</w:t>
      </w:r>
      <w:r>
        <w:rPr>
          <w:sz w:val="16"/>
          <w:szCs w:val="16"/>
          <w:lang w:val="en-IE"/>
        </w:rPr>
        <w:t xml:space="preserve"> = </w:t>
      </w:r>
      <w:r w:rsidRPr="007F35B1">
        <w:rPr>
          <w:sz w:val="16"/>
          <w:szCs w:val="16"/>
          <w:lang w:val="en-IE"/>
        </w:rPr>
        <w:t>reverse transcript</w:t>
      </w:r>
      <w:r>
        <w:rPr>
          <w:sz w:val="16"/>
          <w:szCs w:val="16"/>
          <w:lang w:val="en-IE"/>
        </w:rPr>
        <w:t>ion</w:t>
      </w:r>
      <w:r w:rsidRPr="007F35B1">
        <w:rPr>
          <w:sz w:val="16"/>
          <w:szCs w:val="16"/>
          <w:lang w:val="en-IE"/>
        </w:rPr>
        <w:t>-polymerase chain reaction</w:t>
      </w:r>
      <w:r>
        <w:rPr>
          <w:sz w:val="16"/>
          <w:szCs w:val="16"/>
          <w:lang w:val="en-IE"/>
        </w:rPr>
        <w:t xml:space="preserve"> </w:t>
      </w:r>
      <w:r w:rsidRPr="007F35B1">
        <w:rPr>
          <w:sz w:val="16"/>
          <w:szCs w:val="16"/>
          <w:lang w:val="en-IE"/>
        </w:rPr>
        <w:t>methods</w:t>
      </w:r>
      <w:r>
        <w:rPr>
          <w:sz w:val="16"/>
          <w:szCs w:val="16"/>
          <w:lang w:val="en-IE"/>
        </w:rPr>
        <w:t xml:space="preserve">; </w:t>
      </w:r>
      <w:r>
        <w:rPr>
          <w:sz w:val="16"/>
          <w:szCs w:val="16"/>
          <w:lang w:val="en-IE"/>
        </w:rPr>
        <w:br/>
      </w:r>
      <w:r w:rsidRPr="001065D3">
        <w:rPr>
          <w:sz w:val="16"/>
          <w:szCs w:val="16"/>
          <w:lang w:val="en-IE" w:bidi="en-US"/>
        </w:rPr>
        <w:t>LAMP = loop-mediated isothermal amplification</w:t>
      </w:r>
      <w:r>
        <w:rPr>
          <w:sz w:val="16"/>
          <w:szCs w:val="16"/>
          <w:lang w:val="en-IE" w:bidi="en-US"/>
        </w:rPr>
        <w:t xml:space="preserve">; </w:t>
      </w:r>
      <w:r w:rsidRPr="001065D3">
        <w:rPr>
          <w:sz w:val="16"/>
          <w:szCs w:val="16"/>
          <w:lang w:val="en-IE"/>
        </w:rPr>
        <w:t>Ab</w:t>
      </w:r>
      <w:r>
        <w:rPr>
          <w:sz w:val="16"/>
          <w:szCs w:val="16"/>
          <w:lang w:val="en-IE"/>
        </w:rPr>
        <w:t>-</w:t>
      </w:r>
      <w:r w:rsidRPr="001065D3">
        <w:rPr>
          <w:sz w:val="16"/>
          <w:szCs w:val="16"/>
          <w:lang w:val="en-IE"/>
        </w:rPr>
        <w:t xml:space="preserve"> or Ag</w:t>
      </w:r>
      <w:r>
        <w:rPr>
          <w:sz w:val="16"/>
          <w:szCs w:val="16"/>
          <w:lang w:val="en-IE"/>
        </w:rPr>
        <w:t>-</w:t>
      </w:r>
      <w:r w:rsidRPr="001065D3">
        <w:rPr>
          <w:sz w:val="16"/>
          <w:szCs w:val="16"/>
          <w:lang w:val="en-IE"/>
        </w:rPr>
        <w:t>ELISA = antibody or antigen enzyme-linked immunosorbent assay, respectively</w:t>
      </w:r>
      <w:r w:rsidRPr="007F35B1">
        <w:rPr>
          <w:sz w:val="16"/>
          <w:szCs w:val="16"/>
          <w:lang w:val="en-IE"/>
        </w:rPr>
        <w:t xml:space="preserve"> </w:t>
      </w:r>
      <w:r w:rsidRPr="002B27BE">
        <w:rPr>
          <w:sz w:val="16"/>
          <w:szCs w:val="16"/>
          <w:lang w:val="en-IE" w:bidi="en-US"/>
        </w:rPr>
        <w:br/>
      </w:r>
      <w:r>
        <w:rPr>
          <w:sz w:val="16"/>
          <w:szCs w:val="16"/>
          <w:vertAlign w:val="superscript"/>
          <w:lang w:val="en-IE" w:bidi="en-US"/>
        </w:rPr>
        <w:t>1</w:t>
      </w:r>
      <w:r w:rsidRPr="007F35B1">
        <w:rPr>
          <w:sz w:val="16"/>
          <w:szCs w:val="16"/>
          <w:lang w:val="en-IE"/>
        </w:rPr>
        <w:t xml:space="preserve">For confirmatory diagnoses, methods need to be carried out in combination (see Section 6). </w:t>
      </w:r>
      <w:r>
        <w:rPr>
          <w:sz w:val="16"/>
          <w:szCs w:val="16"/>
          <w:vertAlign w:val="superscript"/>
          <w:lang w:val="en-IE" w:bidi="en-US"/>
        </w:rPr>
        <w:t>2</w:t>
      </w:r>
      <w:r>
        <w:rPr>
          <w:sz w:val="16"/>
          <w:szCs w:val="16"/>
          <w:lang w:val="en-IE"/>
        </w:rPr>
        <w:t xml:space="preserve">Early and juvenile life stages have been defined in Section 2.2.3. </w:t>
      </w:r>
      <w:r>
        <w:rPr>
          <w:sz w:val="16"/>
          <w:szCs w:val="16"/>
          <w:lang w:val="en-IE"/>
        </w:rPr>
        <w:br/>
      </w:r>
      <w:r>
        <w:rPr>
          <w:sz w:val="16"/>
          <w:szCs w:val="16"/>
          <w:vertAlign w:val="superscript"/>
          <w:lang w:val="en-IE" w:bidi="en-US"/>
        </w:rPr>
        <w:t>3</w:t>
      </w:r>
      <w:r>
        <w:rPr>
          <w:sz w:val="16"/>
          <w:szCs w:val="16"/>
          <w:lang w:val="en-IE"/>
        </w:rPr>
        <w:t>Histopathology and cy</w:t>
      </w:r>
      <w:r w:rsidRPr="007F35B1">
        <w:rPr>
          <w:sz w:val="16"/>
          <w:szCs w:val="16"/>
          <w:lang w:val="en-IE"/>
        </w:rPr>
        <w:t xml:space="preserve">topathology </w:t>
      </w:r>
      <w:r>
        <w:rPr>
          <w:sz w:val="16"/>
          <w:szCs w:val="16"/>
          <w:lang w:val="en-IE"/>
        </w:rPr>
        <w:t>can be validated if the results from different operators has been statistically compared.</w:t>
      </w:r>
      <w:r w:rsidRPr="000F18EB">
        <w:rPr>
          <w:rFonts w:ascii="Arial Narrow" w:hAnsi="Arial Narrow"/>
          <w:sz w:val="16"/>
          <w:szCs w:val="16"/>
          <w:vertAlign w:val="superscript"/>
        </w:rPr>
        <w:t xml:space="preserve"> </w:t>
      </w:r>
      <w:r>
        <w:rPr>
          <w:rFonts w:ascii="Arial Narrow" w:hAnsi="Arial Narrow"/>
          <w:sz w:val="16"/>
          <w:szCs w:val="16"/>
          <w:vertAlign w:val="superscript"/>
        </w:rPr>
        <w:t>4</w:t>
      </w:r>
      <w:r>
        <w:rPr>
          <w:sz w:val="16"/>
          <w:szCs w:val="16"/>
          <w:lang w:val="en-IE"/>
        </w:rPr>
        <w:t>Sequencing of the PCR product.</w:t>
      </w:r>
      <w:r>
        <w:rPr>
          <w:sz w:val="16"/>
          <w:szCs w:val="16"/>
          <w:lang w:val="en-IE"/>
        </w:rPr>
        <w:br/>
      </w:r>
      <w:r>
        <w:rPr>
          <w:sz w:val="16"/>
          <w:szCs w:val="16"/>
          <w:vertAlign w:val="superscript"/>
          <w:lang w:val="en-IE"/>
        </w:rPr>
        <w:t>5</w:t>
      </w:r>
      <w:r>
        <w:rPr>
          <w:sz w:val="16"/>
          <w:szCs w:val="16"/>
          <w:lang w:val="en-IE"/>
        </w:rPr>
        <w:t xml:space="preserve">Specify the test used. </w:t>
      </w:r>
      <w:r w:rsidRPr="007F35B1">
        <w:rPr>
          <w:sz w:val="16"/>
          <w:szCs w:val="16"/>
          <w:lang w:val="en-IE"/>
        </w:rPr>
        <w:t>Shading indicates the test is inappropriate or should not be used for this purpose.</w:t>
      </w:r>
    </w:p>
    <w:p w14:paraId="7638D420" w14:textId="77777777" w:rsidR="00562F64" w:rsidRDefault="00562F64" w:rsidP="00562F64">
      <w:pPr>
        <w:pStyle w:val="Para10"/>
        <w:rPr>
          <w:rFonts w:cs="Arial"/>
        </w:rPr>
        <w:sectPr w:rsidR="00562F64" w:rsidSect="00942CAA">
          <w:headerReference w:type="even" r:id="rId245"/>
          <w:headerReference w:type="default" r:id="rId246"/>
          <w:headerReference w:type="first" r:id="rId247"/>
          <w:footerReference w:type="first" r:id="rId248"/>
          <w:pgSz w:w="16838" w:h="11906" w:orient="landscape" w:code="9"/>
          <w:pgMar w:top="1304" w:right="1304" w:bottom="1304" w:left="1304" w:header="567" w:footer="567" w:gutter="0"/>
          <w:cols w:space="708"/>
          <w:titlePg/>
          <w:docGrid w:linePitch="360"/>
        </w:sectPr>
      </w:pPr>
    </w:p>
    <w:p w14:paraId="0D4DE242" w14:textId="77777777" w:rsidR="00555AD1" w:rsidRPr="008A67C2" w:rsidRDefault="00555AD1" w:rsidP="00555AD1">
      <w:pPr>
        <w:spacing w:after="480" w:line="240" w:lineRule="auto"/>
        <w:jc w:val="right"/>
        <w:rPr>
          <w:rFonts w:cs="Times New Roman"/>
          <w:bCs/>
          <w:iCs/>
          <w:szCs w:val="20"/>
        </w:rPr>
      </w:pPr>
      <w:r w:rsidRPr="008A67C2">
        <w:rPr>
          <w:u w:val="single"/>
        </w:rPr>
        <w:lastRenderedPageBreak/>
        <w:t>A</w:t>
      </w:r>
      <w:r w:rsidRPr="008A67C2">
        <w:rPr>
          <w:rFonts w:cs="Times New Roman"/>
          <w:bCs/>
          <w:iCs/>
          <w:szCs w:val="20"/>
          <w:u w:val="single"/>
        </w:rPr>
        <w:t>nnex 1</w:t>
      </w:r>
      <w:r>
        <w:rPr>
          <w:rFonts w:cs="Times New Roman"/>
          <w:bCs/>
          <w:iCs/>
          <w:szCs w:val="20"/>
          <w:u w:val="single"/>
        </w:rPr>
        <w:t>6</w:t>
      </w:r>
      <w:r w:rsidRPr="008A67C2">
        <w:rPr>
          <w:rFonts w:cs="Times New Roman"/>
          <w:bCs/>
          <w:iCs/>
          <w:szCs w:val="20"/>
        </w:rPr>
        <w:t xml:space="preserve"> (contd)</w:t>
      </w:r>
    </w:p>
    <w:p w14:paraId="7D2ED5AB" w14:textId="77777777" w:rsidR="00562F64" w:rsidRPr="00D10BBF" w:rsidRDefault="00562F64" w:rsidP="00562F64">
      <w:pPr>
        <w:pStyle w:val="11"/>
        <w:rPr>
          <w:rFonts w:ascii="Ottawa" w:hAnsi="Ottawa"/>
          <w:sz w:val="21"/>
          <w:szCs w:val="21"/>
        </w:rPr>
      </w:pPr>
      <w:r w:rsidRPr="00D10BBF">
        <w:rPr>
          <w:rFonts w:ascii="Ottawa" w:hAnsi="Ottawa"/>
          <w:sz w:val="21"/>
          <w:szCs w:val="21"/>
        </w:rPr>
        <w:t>4.1.</w:t>
      </w:r>
      <w:r w:rsidRPr="00D10BBF">
        <w:rPr>
          <w:rFonts w:ascii="Ottawa" w:hAnsi="Ottawa"/>
          <w:sz w:val="21"/>
          <w:szCs w:val="21"/>
        </w:rPr>
        <w:tab/>
        <w:t xml:space="preserve">Wet mounts </w:t>
      </w:r>
    </w:p>
    <w:p w14:paraId="08C7FFAE" w14:textId="77777777" w:rsidR="00562F64" w:rsidRPr="007F35B1" w:rsidRDefault="00562F64" w:rsidP="00555AD1">
      <w:pPr>
        <w:pStyle w:val="Para20"/>
        <w:ind w:left="709"/>
        <w:rPr>
          <w:rFonts w:cs="Arial"/>
          <w:lang w:eastAsia="fr-FR"/>
        </w:rPr>
      </w:pPr>
      <w:r>
        <w:rPr>
          <w:rFonts w:cs="Arial"/>
          <w:lang w:eastAsia="fr-FR"/>
        </w:rPr>
        <w:t>Not relevant.</w:t>
      </w:r>
    </w:p>
    <w:p w14:paraId="7BA861BE" w14:textId="77777777" w:rsidR="00562F64" w:rsidRPr="00D10BBF" w:rsidRDefault="00562F64" w:rsidP="00562F64">
      <w:pPr>
        <w:pStyle w:val="11"/>
        <w:rPr>
          <w:rFonts w:ascii="Ottawa" w:hAnsi="Ottawa"/>
          <w:sz w:val="21"/>
          <w:szCs w:val="21"/>
        </w:rPr>
      </w:pPr>
      <w:r w:rsidRPr="00D10BBF">
        <w:rPr>
          <w:rFonts w:ascii="Ottawa" w:hAnsi="Ottawa"/>
          <w:sz w:val="21"/>
          <w:szCs w:val="21"/>
        </w:rPr>
        <w:t>4.2.</w:t>
      </w:r>
      <w:r w:rsidRPr="00D10BBF">
        <w:rPr>
          <w:rFonts w:ascii="Ottawa" w:hAnsi="Ottawa"/>
          <w:sz w:val="21"/>
          <w:szCs w:val="21"/>
        </w:rPr>
        <w:tab/>
        <w:t>Histopathology and cytopathology</w:t>
      </w:r>
    </w:p>
    <w:p w14:paraId="05BAA452" w14:textId="77777777" w:rsidR="00562F64" w:rsidRPr="00747200" w:rsidRDefault="00562F64" w:rsidP="00555AD1">
      <w:pPr>
        <w:pStyle w:val="Para20"/>
        <w:ind w:left="709"/>
        <w:rPr>
          <w:lang w:eastAsia="fr-FR"/>
        </w:rPr>
      </w:pPr>
      <w:r w:rsidRPr="00747200">
        <w:rPr>
          <w:lang w:eastAsia="fr-FR"/>
        </w:rPr>
        <w:t xml:space="preserve">The pathological changes most commonly found in clinically diseased fish are severe loss of exocrine pancreatic tissue, cardiomyocytic necrosis and inflammation, red (aerobic) skeletal muscle inflammation and white (anaerobic) skeletal muscle degeneration or inflammation. A less frequent but supporting finding is the detection of cells with many cytoplasmic eosinophilic granules along kidney sinusoids. </w:t>
      </w:r>
    </w:p>
    <w:p w14:paraId="643E9FA6" w14:textId="77777777" w:rsidR="00562F64" w:rsidRPr="00747200" w:rsidRDefault="00562F64" w:rsidP="00555AD1">
      <w:pPr>
        <w:pStyle w:val="Para20"/>
        <w:ind w:left="709"/>
        <w:rPr>
          <w:lang w:eastAsia="fr-FR"/>
        </w:rPr>
      </w:pPr>
      <w:r w:rsidRPr="00747200">
        <w:rPr>
          <w:lang w:eastAsia="fr-FR"/>
        </w:rPr>
        <w:t>As the disease progresses, the development of these changes is not simultaneous in all organs: in a very short, early phase, the only lesions present might be necrosis of exocrine pancreatic tissue and a variable inflammatory reaction in the peripancreatic fat. Shortly thereafter, heart muscle cell degeneration and necrosis develop before the inflammation response in the heart becomes more pronounced. The pancreatic necrotic debris will seemingly disappear, and the typical picture of severe loss of exocrine pancreatic tissue will soon appear simultaneously with the increasing inflammation in the heart. Somewhat later, skeletal muscle degeneration, inflammation and fibrosis develop. In a proportion of fish, severe fibrosis of the peri-acinar tissue may occur, and in these cases, the pancreas does not recover (runts) (</w:t>
      </w:r>
      <w:r w:rsidRPr="00C77BF3">
        <w:rPr>
          <w:lang w:eastAsia="fr-FR"/>
        </w:rPr>
        <w:t xml:space="preserve">Christie </w:t>
      </w:r>
      <w:r w:rsidRPr="00C77BF3">
        <w:rPr>
          <w:i/>
          <w:iCs/>
          <w:lang w:eastAsia="fr-FR"/>
        </w:rPr>
        <w:t>et al.,</w:t>
      </w:r>
      <w:r w:rsidRPr="00C77BF3">
        <w:rPr>
          <w:lang w:eastAsia="fr-FR"/>
        </w:rPr>
        <w:t xml:space="preserve"> 2007</w:t>
      </w:r>
      <w:r w:rsidRPr="00747200">
        <w:rPr>
          <w:lang w:eastAsia="fr-FR"/>
        </w:rPr>
        <w:t xml:space="preserve">; </w:t>
      </w:r>
      <w:r w:rsidRPr="00C77BF3">
        <w:rPr>
          <w:lang w:eastAsia="fr-FR"/>
        </w:rPr>
        <w:t xml:space="preserve">Kerbart Boscher </w:t>
      </w:r>
      <w:r w:rsidRPr="00C77BF3">
        <w:rPr>
          <w:i/>
          <w:iCs/>
          <w:lang w:eastAsia="fr-FR"/>
        </w:rPr>
        <w:t>et al.,</w:t>
      </w:r>
      <w:r w:rsidRPr="00C77BF3">
        <w:rPr>
          <w:lang w:eastAsia="fr-FR"/>
        </w:rPr>
        <w:t xml:space="preserve"> 2006;</w:t>
      </w:r>
      <w:r w:rsidRPr="00747200">
        <w:rPr>
          <w:lang w:eastAsia="fr-FR"/>
        </w:rPr>
        <w:t xml:space="preserve"> </w:t>
      </w:r>
      <w:r w:rsidRPr="00C77BF3">
        <w:rPr>
          <w:lang w:eastAsia="fr-FR"/>
        </w:rPr>
        <w:t xml:space="preserve">McLoughlin &amp; Graham, 2007; Taksdal </w:t>
      </w:r>
      <w:r w:rsidRPr="00C77BF3">
        <w:rPr>
          <w:i/>
          <w:iCs/>
          <w:lang w:eastAsia="fr-FR"/>
        </w:rPr>
        <w:t>et al.,</w:t>
      </w:r>
      <w:r w:rsidRPr="00C77BF3">
        <w:rPr>
          <w:lang w:eastAsia="fr-FR"/>
        </w:rPr>
        <w:t xml:space="preserve"> 2007).</w:t>
      </w:r>
    </w:p>
    <w:p w14:paraId="517F968B" w14:textId="77777777" w:rsidR="00562F64" w:rsidRDefault="00562F64" w:rsidP="00555AD1">
      <w:pPr>
        <w:pStyle w:val="Para20"/>
        <w:ind w:left="709"/>
      </w:pPr>
      <w:r>
        <w:t>Cytopathology is not</w:t>
      </w:r>
      <w:r w:rsidRPr="00AA1AF1">
        <w:t xml:space="preserve"> relevant for diagnostic use</w:t>
      </w:r>
      <w:r>
        <w:t>.</w:t>
      </w:r>
    </w:p>
    <w:p w14:paraId="26BF3A46" w14:textId="77777777" w:rsidR="00562F64" w:rsidRPr="00D10BBF" w:rsidRDefault="00562F64" w:rsidP="00562F64">
      <w:pPr>
        <w:pStyle w:val="11"/>
        <w:rPr>
          <w:rFonts w:ascii="Ottawa" w:hAnsi="Ottawa"/>
          <w:sz w:val="21"/>
          <w:szCs w:val="21"/>
        </w:rPr>
      </w:pPr>
      <w:r w:rsidRPr="00D10BBF">
        <w:rPr>
          <w:rFonts w:ascii="Ottawa" w:hAnsi="Ottawa"/>
          <w:sz w:val="21"/>
          <w:szCs w:val="21"/>
        </w:rPr>
        <w:t>4.3.</w:t>
      </w:r>
      <w:r w:rsidRPr="00D10BBF">
        <w:rPr>
          <w:rFonts w:ascii="Ottawa" w:hAnsi="Ottawa"/>
          <w:sz w:val="21"/>
          <w:szCs w:val="21"/>
        </w:rPr>
        <w:tab/>
        <w:t>Cell or artificial media culture for isolation</w:t>
      </w:r>
    </w:p>
    <w:p w14:paraId="112B58DD" w14:textId="77777777" w:rsidR="00562F64" w:rsidRPr="00747200" w:rsidRDefault="00562F64" w:rsidP="00555AD1">
      <w:pPr>
        <w:pStyle w:val="111"/>
        <w:ind w:left="709" w:firstLine="0"/>
      </w:pPr>
      <w:r w:rsidRPr="00747200">
        <w:t>4.3.1.</w:t>
      </w:r>
      <w:r w:rsidRPr="00747200">
        <w:tab/>
        <w:t>Cell lines</w:t>
      </w:r>
    </w:p>
    <w:p w14:paraId="46FCCA0F" w14:textId="77777777" w:rsidR="00562F64" w:rsidRPr="007B1F82" w:rsidRDefault="00562F64" w:rsidP="00555AD1">
      <w:pPr>
        <w:pStyle w:val="Para3"/>
        <w:ind w:left="709"/>
        <w:rPr>
          <w:rFonts w:eastAsia="Arial"/>
        </w:rPr>
      </w:pPr>
      <w:r w:rsidRPr="00AA1AF1">
        <w:rPr>
          <w:rFonts w:eastAsia="Arial"/>
        </w:rPr>
        <w:t>Isolation of field isolates of SAV in cell culture may be challenging (</w:t>
      </w:r>
      <w:r w:rsidRPr="00C77BF3">
        <w:rPr>
          <w:rFonts w:eastAsia="Arial"/>
        </w:rPr>
        <w:t>Christie</w:t>
      </w:r>
      <w:r w:rsidRPr="00C77BF3">
        <w:rPr>
          <w:rFonts w:eastAsia="Arial"/>
          <w:i/>
          <w:iCs/>
        </w:rPr>
        <w:t xml:space="preserve"> et al.,</w:t>
      </w:r>
      <w:r w:rsidRPr="00C77BF3">
        <w:rPr>
          <w:rFonts w:eastAsia="Arial"/>
        </w:rPr>
        <w:t xml:space="preserve"> 1998; Graham </w:t>
      </w:r>
      <w:r w:rsidRPr="00C77BF3">
        <w:rPr>
          <w:rFonts w:eastAsia="Arial"/>
          <w:i/>
          <w:iCs/>
        </w:rPr>
        <w:t>et al.,</w:t>
      </w:r>
      <w:r w:rsidRPr="00C77BF3">
        <w:rPr>
          <w:rFonts w:eastAsia="Arial"/>
        </w:rPr>
        <w:t xml:space="preserve"> 2007b; Petterson </w:t>
      </w:r>
      <w:r w:rsidRPr="00C77BF3">
        <w:rPr>
          <w:rFonts w:eastAsia="Arial"/>
          <w:i/>
        </w:rPr>
        <w:t>et al.,</w:t>
      </w:r>
      <w:r w:rsidRPr="00C77BF3">
        <w:rPr>
          <w:rFonts w:eastAsia="Arial"/>
        </w:rPr>
        <w:t xml:space="preserve"> 2013). CHSE-214 are commonly used for primary SAV isolation, but susceptible cell lines such as BF-2, FHM, SHK-1, EPC, CHH-1 or others, may be used. Variation in cell line susceptibility among different SAV field isolates has been reported (Graham </w:t>
      </w:r>
      <w:r w:rsidRPr="00C77BF3">
        <w:rPr>
          <w:rFonts w:eastAsia="Arial"/>
          <w:i/>
        </w:rPr>
        <w:t>et al.,</w:t>
      </w:r>
      <w:r w:rsidRPr="00C77BF3">
        <w:rPr>
          <w:rFonts w:eastAsia="Arial"/>
        </w:rPr>
        <w:t xml:space="preserve"> 2008; Herath </w:t>
      </w:r>
      <w:r w:rsidRPr="00C77BF3">
        <w:rPr>
          <w:rFonts w:eastAsia="Arial"/>
          <w:i/>
        </w:rPr>
        <w:t>et al.,</w:t>
      </w:r>
      <w:r w:rsidRPr="00C77BF3">
        <w:rPr>
          <w:rFonts w:eastAsia="Arial"/>
        </w:rPr>
        <w:t xml:space="preserve"> 2009),</w:t>
      </w:r>
      <w:r w:rsidRPr="00AA1AF1">
        <w:rPr>
          <w:rFonts w:eastAsia="Arial"/>
        </w:rPr>
        <w:t xml:space="preserve"> and it is therefore recommended that several cell lines are tested for initial cell culture isolation of SAV in a new laboratory or for a new virus strain. </w:t>
      </w:r>
      <w:r w:rsidRPr="00747200">
        <w:t>Cell lines should be monitored to ensure that susceptibility to targeted pathogens has not changed.</w:t>
      </w:r>
    </w:p>
    <w:p w14:paraId="6AE08EFE" w14:textId="77777777" w:rsidR="00562F64" w:rsidRPr="00AA1AF1" w:rsidRDefault="00562F64" w:rsidP="00555AD1">
      <w:pPr>
        <w:pStyle w:val="Para3"/>
        <w:ind w:left="709"/>
        <w:rPr>
          <w:rFonts w:eastAsia="Arial"/>
        </w:rPr>
      </w:pPr>
      <w:r w:rsidRPr="00AA1AF1">
        <w:rPr>
          <w:rFonts w:eastAsia="Arial"/>
        </w:rPr>
        <w:t xml:space="preserve">The CHSE-214 cells are grown at 20°C in </w:t>
      </w:r>
      <w:r w:rsidRPr="00AA1AF1">
        <w:t xml:space="preserve">Eagle’s </w:t>
      </w:r>
      <w:r w:rsidRPr="00AA1AF1">
        <w:rPr>
          <w:rFonts w:cs="Arial"/>
          <w:szCs w:val="18"/>
        </w:rPr>
        <w:t>minimal essential medium</w:t>
      </w:r>
      <w:r w:rsidRPr="00AA1AF1">
        <w:rPr>
          <w:rFonts w:eastAsia="Arial"/>
        </w:rPr>
        <w:t xml:space="preserve"> (EMEM) with non-essential amino acids and 0.01 M HEPES (</w:t>
      </w:r>
      <w:r w:rsidRPr="00AA1AF1">
        <w:rPr>
          <w:rFonts w:cs="Arial"/>
          <w:szCs w:val="18"/>
        </w:rPr>
        <w:t>N-2-hydroxyethyl-piperazine-N-2-ethanesulfonic acid</w:t>
      </w:r>
      <w:r w:rsidRPr="00AA1AF1">
        <w:rPr>
          <w:rFonts w:eastAsia="Arial"/>
        </w:rPr>
        <w:t>) buffer, or Leibovitz’s L-15 cell culture medium, both supplemented with fetal bovine serum (FBS) (5% or 10%) and L-glutamine (4 mM).</w:t>
      </w:r>
    </w:p>
    <w:p w14:paraId="43DA958B" w14:textId="77777777" w:rsidR="00562F64" w:rsidRPr="00AA1AF1" w:rsidRDefault="00562F64" w:rsidP="00555AD1">
      <w:pPr>
        <w:pStyle w:val="111"/>
        <w:ind w:left="709" w:firstLine="0"/>
      </w:pPr>
      <w:r w:rsidRPr="00AA1AF1">
        <w:t>4.3.</w:t>
      </w:r>
      <w:r>
        <w:t>2</w:t>
      </w:r>
      <w:r w:rsidRPr="00AA1AF1">
        <w:t>.</w:t>
      </w:r>
      <w:r>
        <w:tab/>
      </w:r>
      <w:r w:rsidRPr="001173F1">
        <w:rPr>
          <w:szCs w:val="20"/>
          <w:lang w:val="en-IE"/>
        </w:rPr>
        <w:t>Sample preparation and inoculation</w:t>
      </w:r>
    </w:p>
    <w:p w14:paraId="33A7C54C" w14:textId="77777777" w:rsidR="00562F64" w:rsidRPr="00AA1AF1" w:rsidRDefault="00562F64" w:rsidP="00555AD1">
      <w:pPr>
        <w:pStyle w:val="Para3"/>
        <w:ind w:left="709"/>
        <w:rPr>
          <w:rFonts w:eastAsia="Arial"/>
        </w:rPr>
      </w:pPr>
      <w:r w:rsidRPr="00AA1AF1">
        <w:rPr>
          <w:rFonts w:eastAsia="Arial"/>
        </w:rPr>
        <w:t>For virus isolation, cells are grown in tissue culture flasks or multi-well cell culture plates. SAV-positive controls may be inoculated in parallel with the tissue samples as a test for cell susceptibility to SAV. When positive controls are included, measures must be taken to avoid contamination.</w:t>
      </w:r>
    </w:p>
    <w:p w14:paraId="4648B93E" w14:textId="77777777" w:rsidR="00562F64" w:rsidRPr="00555AD1" w:rsidRDefault="00562F64" w:rsidP="00555AD1">
      <w:pPr>
        <w:pStyle w:val="Para3i"/>
        <w:ind w:left="1134" w:hanging="425"/>
        <w:rPr>
          <w:rFonts w:ascii="Arial" w:hAnsi="Arial"/>
          <w:sz w:val="18"/>
        </w:rPr>
      </w:pPr>
      <w:r w:rsidRPr="00555AD1">
        <w:rPr>
          <w:rFonts w:ascii="Arial" w:hAnsi="Arial"/>
          <w:sz w:val="18"/>
        </w:rPr>
        <w:t>i)</w:t>
      </w:r>
      <w:r w:rsidRPr="00555AD1">
        <w:rPr>
          <w:rFonts w:ascii="Arial" w:hAnsi="Arial"/>
          <w:sz w:val="18"/>
        </w:rPr>
        <w:tab/>
        <w:t>Inoculation of cell monolayers</w:t>
      </w:r>
    </w:p>
    <w:p w14:paraId="6EF7680C" w14:textId="77777777" w:rsidR="00562F64" w:rsidRPr="005064C7" w:rsidRDefault="00562F64" w:rsidP="00555AD1">
      <w:pPr>
        <w:pStyle w:val="Para4"/>
        <w:ind w:left="1134"/>
        <w:rPr>
          <w:rFonts w:eastAsia="Arial"/>
        </w:rPr>
      </w:pPr>
      <w:r w:rsidRPr="005064C7">
        <w:rPr>
          <w:rFonts w:eastAsia="Arial"/>
        </w:rPr>
        <w:t>Prepare a 2% suspension of tissue homogenate or a 10% suspension of serum using L-15 medium or EMEM without serum</w:t>
      </w:r>
      <w:r>
        <w:rPr>
          <w:rFonts w:eastAsia="Arial"/>
          <w:color w:val="FF0000"/>
        </w:rPr>
        <w:t>,</w:t>
      </w:r>
      <w:r w:rsidRPr="005064C7">
        <w:rPr>
          <w:rFonts w:eastAsia="Arial"/>
        </w:rPr>
        <w:t xml:space="preserve"> or other medium with documented suitability. Remove growth medium from actively growing monolayers (1- to 2-day-old cultures or cultures of 70–80% confluency) grown in tissue culture flasks or multi-well </w:t>
      </w:r>
      <w:r w:rsidRPr="00747200">
        <w:rPr>
          <w:rFonts w:eastAsia="Arial"/>
        </w:rPr>
        <w:t>cell</w:t>
      </w:r>
      <w:r w:rsidRPr="005064C7">
        <w:rPr>
          <w:rFonts w:eastAsia="Arial"/>
        </w:rPr>
        <w:t xml:space="preserve"> culture plates (see above). Inoculate monolayers with a low volume of the 2% tissue homogenate or 10% serum dilution (for 25 cm</w:t>
      </w:r>
      <w:r w:rsidRPr="005064C7">
        <w:rPr>
          <w:rFonts w:eastAsia="Arial"/>
          <w:vertAlign w:val="superscript"/>
        </w:rPr>
        <w:t>2</w:t>
      </w:r>
      <w:r w:rsidRPr="005064C7">
        <w:rPr>
          <w:rFonts w:eastAsia="Arial"/>
        </w:rPr>
        <w:t xml:space="preserve"> </w:t>
      </w:r>
      <w:r w:rsidRPr="00747200">
        <w:rPr>
          <w:rFonts w:eastAsia="Arial"/>
        </w:rPr>
        <w:t xml:space="preserve">flasks: 1.5 ml). Adjust volume to the respective surface area in use. Allow 2–3 hours of incubation at </w:t>
      </w:r>
      <w:r w:rsidRPr="00747200">
        <w:rPr>
          <w:rFonts w:eastAsia="Arial" w:cs="Arial"/>
        </w:rPr>
        <w:t>15</w:t>
      </w:r>
      <w:r w:rsidRPr="00747200">
        <w:rPr>
          <w:rFonts w:eastAsia="Symbol" w:cs="Arial"/>
        </w:rPr>
        <w:t>°</w:t>
      </w:r>
      <w:r w:rsidRPr="00747200">
        <w:rPr>
          <w:rFonts w:eastAsia="Arial" w:cs="Arial"/>
        </w:rPr>
        <w:t>C,</w:t>
      </w:r>
      <w:r w:rsidRPr="00747200">
        <w:rPr>
          <w:rFonts w:eastAsia="Arial"/>
        </w:rPr>
        <w:t xml:space="preserve"> followed </w:t>
      </w:r>
      <w:r w:rsidRPr="005064C7">
        <w:rPr>
          <w:rFonts w:eastAsia="Arial"/>
        </w:rPr>
        <w:t>by removal of the inoculum, and addition of fresh L-15 or EMEM medium supplemented with 2–5% fetal bovine serum (for 25 cm</w:t>
      </w:r>
      <w:r w:rsidRPr="005064C7">
        <w:rPr>
          <w:rFonts w:eastAsia="Arial"/>
          <w:vertAlign w:val="superscript"/>
        </w:rPr>
        <w:t>2</w:t>
      </w:r>
      <w:r w:rsidRPr="005064C7">
        <w:rPr>
          <w:rFonts w:eastAsia="Arial"/>
        </w:rPr>
        <w:t xml:space="preserve"> flasks: 5 ml).</w:t>
      </w:r>
    </w:p>
    <w:p w14:paraId="245F7D1C" w14:textId="77777777" w:rsidR="00562F64" w:rsidRPr="005064C7" w:rsidRDefault="00562F64" w:rsidP="00555AD1">
      <w:pPr>
        <w:pStyle w:val="Para4"/>
        <w:ind w:left="1134"/>
        <w:rPr>
          <w:rFonts w:eastAsia="Arial"/>
        </w:rPr>
      </w:pPr>
      <w:r w:rsidRPr="005064C7">
        <w:rPr>
          <w:rFonts w:eastAsia="Arial"/>
        </w:rPr>
        <w:t xml:space="preserve">When fish samples come from production sites where IPNV is </w:t>
      </w:r>
      <w:r w:rsidRPr="00747200">
        <w:rPr>
          <w:rFonts w:eastAsia="Arial"/>
        </w:rPr>
        <w:t>regarded as endemic</w:t>
      </w:r>
      <w:r w:rsidRPr="005064C7">
        <w:rPr>
          <w:rFonts w:eastAsia="Arial"/>
        </w:rPr>
        <w:t>, the tissue homogenate supernatant should be incubated (for a minimum of 1 hour at 15°C) with a pool of antisera to the indigenous serotypes of IPNV prior to inoculation.</w:t>
      </w:r>
    </w:p>
    <w:p w14:paraId="32CDE259" w14:textId="77777777" w:rsidR="00555AD1" w:rsidRPr="008A67C2" w:rsidRDefault="00555AD1" w:rsidP="00555AD1">
      <w:pPr>
        <w:spacing w:after="480" w:line="240" w:lineRule="auto"/>
        <w:rPr>
          <w:rFonts w:cs="Times New Roman"/>
          <w:bCs/>
          <w:iCs/>
          <w:szCs w:val="20"/>
        </w:rPr>
      </w:pPr>
      <w:r w:rsidRPr="008A67C2">
        <w:rPr>
          <w:u w:val="single"/>
        </w:rPr>
        <w:lastRenderedPageBreak/>
        <w:t>A</w:t>
      </w:r>
      <w:r w:rsidRPr="008A67C2">
        <w:rPr>
          <w:rFonts w:cs="Times New Roman"/>
          <w:bCs/>
          <w:iCs/>
          <w:szCs w:val="20"/>
          <w:u w:val="single"/>
        </w:rPr>
        <w:t>nnex 1</w:t>
      </w:r>
      <w:r>
        <w:rPr>
          <w:rFonts w:cs="Times New Roman"/>
          <w:bCs/>
          <w:iCs/>
          <w:szCs w:val="20"/>
          <w:u w:val="single"/>
        </w:rPr>
        <w:t>6</w:t>
      </w:r>
      <w:r w:rsidRPr="008A67C2">
        <w:rPr>
          <w:rFonts w:cs="Times New Roman"/>
          <w:bCs/>
          <w:iCs/>
          <w:szCs w:val="20"/>
        </w:rPr>
        <w:t xml:space="preserve"> (contd)</w:t>
      </w:r>
    </w:p>
    <w:p w14:paraId="7E4F729C" w14:textId="77777777" w:rsidR="00562F64" w:rsidRPr="00555AD1" w:rsidRDefault="00562F64" w:rsidP="00555AD1">
      <w:pPr>
        <w:pStyle w:val="Para3i"/>
        <w:ind w:left="1134" w:hanging="425"/>
        <w:rPr>
          <w:rFonts w:ascii="Arial" w:hAnsi="Arial"/>
          <w:sz w:val="18"/>
        </w:rPr>
      </w:pPr>
      <w:r w:rsidRPr="00555AD1">
        <w:rPr>
          <w:rFonts w:ascii="Arial" w:hAnsi="Arial"/>
          <w:sz w:val="18"/>
        </w:rPr>
        <w:t>ii)</w:t>
      </w:r>
      <w:r w:rsidRPr="00555AD1">
        <w:rPr>
          <w:rFonts w:ascii="Arial" w:hAnsi="Arial"/>
          <w:sz w:val="18"/>
        </w:rPr>
        <w:tab/>
        <w:t>Monitoring incubation</w:t>
      </w:r>
    </w:p>
    <w:p w14:paraId="48ECC9E6" w14:textId="77777777" w:rsidR="00562F64" w:rsidRPr="005064C7" w:rsidRDefault="00562F64" w:rsidP="00555AD1">
      <w:pPr>
        <w:pStyle w:val="Para4"/>
        <w:ind w:left="1134"/>
        <w:rPr>
          <w:rFonts w:eastAsia="Arial"/>
        </w:rPr>
      </w:pPr>
      <w:r w:rsidRPr="005064C7">
        <w:rPr>
          <w:rFonts w:eastAsia="Arial"/>
        </w:rPr>
        <w:t xml:space="preserve">Inoculated cell cultures (kept at 15°C) are examined at regular intervals (at least every 7 days) for the occurrence of </w:t>
      </w:r>
      <w:r w:rsidRPr="005064C7">
        <w:t>cytopathic effect (CPE)</w:t>
      </w:r>
      <w:r w:rsidRPr="005064C7">
        <w:rPr>
          <w:rFonts w:eastAsia="Arial"/>
        </w:rPr>
        <w:t xml:space="preserve">. Typical CPE due to SAV appears as plaques of pyknotic, vacuolated cells. However, Norwegian SAV field isolates (both SAV3 and SAV2) usually do not produce CPE in low passages, and this is also reported for other SAV genotypes </w:t>
      </w:r>
      <w:r w:rsidRPr="00C77BF3">
        <w:rPr>
          <w:rFonts w:eastAsia="Arial"/>
        </w:rPr>
        <w:t xml:space="preserve">(Graham </w:t>
      </w:r>
      <w:r w:rsidRPr="00C77BF3">
        <w:rPr>
          <w:rFonts w:eastAsia="Arial"/>
          <w:i/>
        </w:rPr>
        <w:t>et al.</w:t>
      </w:r>
      <w:r w:rsidRPr="00C77BF3">
        <w:rPr>
          <w:rFonts w:eastAsia="Arial"/>
        </w:rPr>
        <w:t xml:space="preserve">, 2008; Petterson </w:t>
      </w:r>
      <w:r w:rsidRPr="00C77BF3">
        <w:rPr>
          <w:rFonts w:eastAsia="Arial"/>
          <w:i/>
        </w:rPr>
        <w:t>et al.</w:t>
      </w:r>
      <w:r w:rsidRPr="00C77BF3">
        <w:rPr>
          <w:rFonts w:eastAsia="Arial"/>
        </w:rPr>
        <w:t>, 2013). If no CPE has developed after 14 days, subculture to fresh</w:t>
      </w:r>
      <w:r w:rsidRPr="005064C7">
        <w:rPr>
          <w:rFonts w:eastAsia="Arial"/>
        </w:rPr>
        <w:t xml:space="preserve"> cell cultures. </w:t>
      </w:r>
    </w:p>
    <w:p w14:paraId="3F0A66E1" w14:textId="77777777" w:rsidR="00562F64" w:rsidRPr="00555AD1" w:rsidRDefault="00562F64" w:rsidP="00555AD1">
      <w:pPr>
        <w:pStyle w:val="Para3i"/>
        <w:ind w:left="1134" w:hanging="425"/>
        <w:rPr>
          <w:rFonts w:ascii="Arial" w:hAnsi="Arial"/>
          <w:sz w:val="18"/>
        </w:rPr>
      </w:pPr>
      <w:r w:rsidRPr="00555AD1">
        <w:rPr>
          <w:rFonts w:ascii="Arial" w:hAnsi="Arial"/>
          <w:sz w:val="18"/>
        </w:rPr>
        <w:t>iii)</w:t>
      </w:r>
      <w:r w:rsidRPr="00555AD1">
        <w:rPr>
          <w:rFonts w:ascii="Arial" w:hAnsi="Arial"/>
          <w:sz w:val="18"/>
        </w:rPr>
        <w:tab/>
        <w:t>Subcultivation procedure</w:t>
      </w:r>
    </w:p>
    <w:p w14:paraId="0D1995EA" w14:textId="77777777" w:rsidR="00562F64" w:rsidRPr="005064C7" w:rsidRDefault="00562F64" w:rsidP="00555AD1">
      <w:pPr>
        <w:pStyle w:val="Para4"/>
        <w:ind w:left="1134"/>
        <w:rPr>
          <w:rFonts w:eastAsia="Arial"/>
        </w:rPr>
      </w:pPr>
      <w:r w:rsidRPr="005064C7">
        <w:rPr>
          <w:rFonts w:eastAsia="Arial"/>
        </w:rPr>
        <w:t xml:space="preserve">14 days (or earlier when obvious CPE appears) after inoculation, the cultures are freeze–thawed at </w:t>
      </w:r>
      <w:r>
        <w:rPr>
          <w:rFonts w:eastAsia="Arial"/>
        </w:rPr>
        <w:br/>
      </w:r>
      <w:r w:rsidRPr="005064C7">
        <w:rPr>
          <w:rFonts w:eastAsia="Arial"/>
        </w:rPr>
        <w:t xml:space="preserve">–80°C to release virus from the infected cells. </w:t>
      </w:r>
      <w:r w:rsidRPr="00747200">
        <w:rPr>
          <w:rFonts w:eastAsia="Arial"/>
        </w:rPr>
        <w:t>The procedure can be repeated 1–2 times.</w:t>
      </w:r>
    </w:p>
    <w:p w14:paraId="2998F31F" w14:textId="77777777" w:rsidR="00562F64" w:rsidRPr="005064C7" w:rsidRDefault="00562F64" w:rsidP="00555AD1">
      <w:pPr>
        <w:pStyle w:val="Para4"/>
        <w:ind w:left="1134"/>
        <w:rPr>
          <w:rFonts w:eastAsia="Arial"/>
        </w:rPr>
      </w:pPr>
      <w:r w:rsidRPr="005064C7">
        <w:rPr>
          <w:rFonts w:eastAsia="Arial"/>
        </w:rPr>
        <w:t xml:space="preserve">Following centrifugation at 3000 </w:t>
      </w:r>
      <w:r w:rsidRPr="005064C7">
        <w:rPr>
          <w:rFonts w:eastAsia="Arial"/>
          <w:b/>
          <w:i/>
        </w:rPr>
        <w:t>g</w:t>
      </w:r>
      <w:r w:rsidRPr="005064C7">
        <w:rPr>
          <w:rFonts w:eastAsia="Arial"/>
        </w:rPr>
        <w:t xml:space="preserve"> for 5 minutes, the supernatants are inoculated into fresh cell cultures as described for the primary inoculation: remove growth medium, inoculate monolayers with a small volume of diluted supernatant (1/5 and higher dilutions) for 2–3 hours before addition of fresh medium. </w:t>
      </w:r>
    </w:p>
    <w:p w14:paraId="6BB3C02E" w14:textId="77777777" w:rsidR="00562F64" w:rsidRPr="005064C7" w:rsidRDefault="00562F64" w:rsidP="00555AD1">
      <w:pPr>
        <w:pStyle w:val="Para4"/>
        <w:ind w:left="1134"/>
        <w:rPr>
          <w:rFonts w:eastAsia="Arial"/>
        </w:rPr>
      </w:pPr>
      <w:r w:rsidRPr="005064C7">
        <w:rPr>
          <w:rFonts w:eastAsia="Arial"/>
        </w:rPr>
        <w:t>Inoculated cell cultures are incubated for at least 14 days and examined at regular intervals, as described for the primary inoculation. At the end of the incubation period, or earlier if obvious CPE appears, the medium is collected for virus identification, as described below. Cell cultures should always be examined for the presence of SAV by immunofluorescence (</w:t>
      </w:r>
      <w:r w:rsidRPr="005064C7">
        <w:t>indirect fluorescent antibody test [IFAT]</w:t>
      </w:r>
      <w:r w:rsidRPr="005064C7">
        <w:rPr>
          <w:rFonts w:eastAsia="Arial"/>
        </w:rPr>
        <w:t>), as virus replication may occur without development of apparent CPE.</w:t>
      </w:r>
    </w:p>
    <w:p w14:paraId="69E08F55" w14:textId="77777777" w:rsidR="00562F64" w:rsidRPr="00555AD1" w:rsidRDefault="00562F64" w:rsidP="00562F64">
      <w:pPr>
        <w:pStyle w:val="11"/>
        <w:rPr>
          <w:rFonts w:ascii="Ottawa" w:hAnsi="Ottawa"/>
          <w:sz w:val="21"/>
          <w:szCs w:val="21"/>
        </w:rPr>
      </w:pPr>
      <w:r w:rsidRPr="00555AD1">
        <w:rPr>
          <w:rFonts w:ascii="Ottawa" w:hAnsi="Ottawa"/>
          <w:sz w:val="21"/>
          <w:szCs w:val="21"/>
        </w:rPr>
        <w:t>4.4.</w:t>
      </w:r>
      <w:r w:rsidRPr="00555AD1">
        <w:rPr>
          <w:rFonts w:ascii="Ottawa" w:hAnsi="Ottawa"/>
          <w:sz w:val="21"/>
          <w:szCs w:val="21"/>
        </w:rPr>
        <w:tab/>
        <w:t xml:space="preserve">Nucleic acid amplification </w:t>
      </w:r>
    </w:p>
    <w:p w14:paraId="66E79C00" w14:textId="77777777" w:rsidR="00562F64" w:rsidRPr="00555AD1" w:rsidRDefault="00562F64" w:rsidP="00555AD1">
      <w:pPr>
        <w:pStyle w:val="111"/>
        <w:ind w:firstLine="0"/>
        <w:rPr>
          <w:lang w:val="en-IE"/>
        </w:rPr>
      </w:pPr>
      <w:r w:rsidRPr="00555AD1">
        <w:rPr>
          <w:lang w:val="en-IE"/>
        </w:rPr>
        <w:t>4.4.1.</w:t>
      </w:r>
      <w:r w:rsidRPr="00555AD1">
        <w:rPr>
          <w:lang w:val="en-IE"/>
        </w:rPr>
        <w:tab/>
        <w:t xml:space="preserve">Reverse-transcription, real-time polymerase chain reaction </w:t>
      </w:r>
    </w:p>
    <w:p w14:paraId="5E5889F5" w14:textId="77777777" w:rsidR="00562F64" w:rsidRPr="00AA1AF1" w:rsidRDefault="00562F64" w:rsidP="00562F64">
      <w:pPr>
        <w:pStyle w:val="Para3"/>
        <w:rPr>
          <w:rFonts w:eastAsia="Calibri"/>
          <w:szCs w:val="18"/>
        </w:rPr>
      </w:pPr>
      <w:r w:rsidRPr="00AA1AF1">
        <w:rPr>
          <w:rFonts w:eastAsia="Arial"/>
        </w:rPr>
        <w:t>The primers described below for real-time RT-PCR and RT-PCR with sequencing will detect all known genotypes of SAV.</w:t>
      </w:r>
    </w:p>
    <w:p w14:paraId="05B173AB" w14:textId="77777777" w:rsidR="00562F64" w:rsidRPr="00AA1AF1" w:rsidRDefault="00562F64" w:rsidP="00562F64">
      <w:pPr>
        <w:pStyle w:val="Para3"/>
        <w:rPr>
          <w:rFonts w:eastAsia="Arial"/>
        </w:rPr>
      </w:pPr>
      <w:r w:rsidRPr="00AA1AF1">
        <w:rPr>
          <w:rFonts w:eastAsia="Arial"/>
        </w:rPr>
        <w:t xml:space="preserve">RT-PCR may be used for detection of SAV from total RNA (or total nucleic acids) extracted from recommended organs or tissues (see Section 3.4). Real-time RT-PCR for the detection of SAV is recommended as it increases the specificity and also the sensitivity of the test. </w:t>
      </w:r>
    </w:p>
    <w:p w14:paraId="03AF1DAC" w14:textId="77777777" w:rsidR="00562F64" w:rsidRPr="00AA1AF1" w:rsidRDefault="00562F64" w:rsidP="00562F64">
      <w:pPr>
        <w:pStyle w:val="Para3"/>
        <w:rPr>
          <w:rFonts w:eastAsia="Arial"/>
        </w:rPr>
      </w:pPr>
      <w:r w:rsidRPr="00AA1AF1">
        <w:rPr>
          <w:rFonts w:eastAsia="Arial"/>
        </w:rPr>
        <w:t>For genotyping, RT-PCR with subsequent sequencing of fragments from the E2 gene is recommended.</w:t>
      </w:r>
    </w:p>
    <w:p w14:paraId="70120BF3" w14:textId="77777777" w:rsidR="00562F64" w:rsidRPr="00AA1AF1" w:rsidRDefault="00562F64" w:rsidP="00562F64">
      <w:pPr>
        <w:pStyle w:val="Para3"/>
        <w:rPr>
          <w:rFonts w:eastAsia="Arial"/>
        </w:rPr>
      </w:pPr>
      <w:r w:rsidRPr="00AA1AF1">
        <w:rPr>
          <w:rFonts w:eastAsia="Arial"/>
        </w:rPr>
        <w:t xml:space="preserve">The primers and probe sequences for real-time RT-PCR from the nsP1 gene, as well as primers for genotyping, are listed in Table </w:t>
      </w:r>
      <w:r>
        <w:rPr>
          <w:rFonts w:eastAsia="Arial"/>
        </w:rPr>
        <w:t>4.2</w:t>
      </w:r>
      <w:r w:rsidRPr="00AA1AF1">
        <w:rPr>
          <w:rFonts w:eastAsia="Arial"/>
        </w:rPr>
        <w:t xml:space="preserve">. The E2-primers may also be used for conventional RT-PCR detection of SAV, if necessary. </w:t>
      </w:r>
      <w:r w:rsidRPr="00747200">
        <w:rPr>
          <w:rFonts w:eastAsia="Arial"/>
        </w:rPr>
        <w:t>For RNA extraction, automatic and semi-automatic nucleic acid extractors can be used</w:t>
      </w:r>
      <w:r w:rsidRPr="00B03C17">
        <w:rPr>
          <w:rFonts w:eastAsia="Arial"/>
        </w:rPr>
        <w:t>.</w:t>
      </w:r>
      <w:r>
        <w:rPr>
          <w:rFonts w:eastAsia="Arial"/>
        </w:rPr>
        <w:t xml:space="preserve"> In addition, a variety of manual RNA extraction kits can also be used successfully to extract SAV RNA. Various RT-PCR kits and </w:t>
      </w:r>
      <w:r w:rsidRPr="00AA1AF1">
        <w:rPr>
          <w:rFonts w:eastAsia="Arial"/>
        </w:rPr>
        <w:t>qPCR machines can be used. The PCR programme depends on the kit and real-time PCR equipment used in the laboratory. The conditions for performing the real-time RT-PCR in the OIE Reference Laboratory is as follows: 50°C for 10 minutes, 95°C for 3 minutes, and 40 cycles of (95°C for 10</w:t>
      </w:r>
      <w:r>
        <w:rPr>
          <w:rFonts w:eastAsia="Arial"/>
        </w:rPr>
        <w:t> </w:t>
      </w:r>
      <w:r w:rsidRPr="00AA1AF1">
        <w:rPr>
          <w:rFonts w:eastAsia="Arial"/>
        </w:rPr>
        <w:t>seconds, 60°C for 20 seconds). For the conventional RT-PCRs (sequencing), the following programme is used: 50°C for 30 minutes, 95°C for 15 minutes, and 45 cycles of (94°C for 60 seconds, 55°C for 45 seconds, 72°C for 60 seconds).</w:t>
      </w:r>
    </w:p>
    <w:p w14:paraId="7F615984" w14:textId="77777777" w:rsidR="00562F64" w:rsidRPr="005064C7" w:rsidRDefault="00562F64" w:rsidP="00562F64">
      <w:pPr>
        <w:pStyle w:val="Para5"/>
        <w:spacing w:after="120"/>
        <w:jc w:val="center"/>
        <w:rPr>
          <w:rFonts w:ascii="Ottawa" w:eastAsia="Arial" w:hAnsi="Ottawa"/>
          <w:i/>
          <w:lang w:bidi="ar-SA"/>
        </w:rPr>
      </w:pPr>
      <w:r w:rsidRPr="005064C7">
        <w:rPr>
          <w:rFonts w:ascii="Ottawa" w:eastAsia="Arial" w:hAnsi="Ottawa"/>
          <w:b/>
          <w:i/>
          <w:lang w:bidi="ar-SA"/>
        </w:rPr>
        <w:t xml:space="preserve">Table </w:t>
      </w:r>
      <w:r>
        <w:rPr>
          <w:rFonts w:ascii="Ottawa" w:eastAsia="Arial" w:hAnsi="Ottawa"/>
          <w:b/>
          <w:i/>
          <w:lang w:bidi="ar-SA"/>
        </w:rPr>
        <w:t>4.2</w:t>
      </w:r>
      <w:r w:rsidRPr="005064C7">
        <w:rPr>
          <w:rFonts w:ascii="Ottawa" w:eastAsia="Arial" w:hAnsi="Ottawa"/>
          <w:b/>
          <w:i/>
          <w:lang w:bidi="ar-SA"/>
        </w:rPr>
        <w:t>.</w:t>
      </w:r>
      <w:r w:rsidRPr="005064C7">
        <w:rPr>
          <w:rFonts w:ascii="Ottawa" w:eastAsia="Arial" w:hAnsi="Ottawa"/>
          <w:i/>
          <w:lang w:bidi="ar-SA"/>
        </w:rPr>
        <w:t xml:space="preserve"> Primers and probe sequences for RT-PCR and real time RT-PCR</w:t>
      </w:r>
    </w:p>
    <w:tbl>
      <w:tblPr>
        <w:tblW w:w="8221" w:type="dxa"/>
        <w:tblInd w:w="846" w:type="dxa"/>
        <w:tblLayout w:type="fixed"/>
        <w:tblCellMar>
          <w:left w:w="0" w:type="dxa"/>
          <w:right w:w="0" w:type="dxa"/>
        </w:tblCellMar>
        <w:tblLook w:val="01E0" w:firstRow="1" w:lastRow="1" w:firstColumn="1" w:lastColumn="1" w:noHBand="0" w:noVBand="0"/>
      </w:tblPr>
      <w:tblGrid>
        <w:gridCol w:w="3558"/>
        <w:gridCol w:w="1828"/>
        <w:gridCol w:w="1560"/>
        <w:gridCol w:w="1275"/>
      </w:tblGrid>
      <w:tr w:rsidR="00562F64" w:rsidRPr="00AA1AF1" w14:paraId="141343BF" w14:textId="77777777" w:rsidTr="00942CAA">
        <w:trPr>
          <w:trHeight w:hRule="exact" w:val="691"/>
          <w:tblHeader/>
        </w:trPr>
        <w:tc>
          <w:tcPr>
            <w:tcW w:w="3558" w:type="dxa"/>
            <w:tcBorders>
              <w:top w:val="single" w:sz="4" w:space="0" w:color="000000"/>
              <w:left w:val="single" w:sz="4" w:space="0" w:color="000000"/>
              <w:bottom w:val="single" w:sz="4" w:space="0" w:color="000000"/>
              <w:right w:val="single" w:sz="4" w:space="0" w:color="000000"/>
            </w:tcBorders>
          </w:tcPr>
          <w:p w14:paraId="54B4210D" w14:textId="77777777" w:rsidR="00562F64" w:rsidRPr="00AA1AF1" w:rsidRDefault="00562F64" w:rsidP="00942CAA">
            <w:pPr>
              <w:widowControl w:val="0"/>
              <w:spacing w:before="120" w:after="120"/>
              <w:jc w:val="center"/>
              <w:rPr>
                <w:rFonts w:ascii="Arial" w:eastAsia="Arial" w:hAnsi="Arial" w:cs="Arial"/>
                <w:sz w:val="18"/>
                <w:szCs w:val="18"/>
              </w:rPr>
            </w:pPr>
            <w:bookmarkStart w:id="170" w:name="_Hlk434936"/>
            <w:r w:rsidRPr="00AA1AF1">
              <w:rPr>
                <w:rFonts w:ascii="Arial" w:eastAsia="Arial" w:hAnsi="Arial" w:cs="Arial"/>
                <w:b/>
                <w:bCs/>
                <w:w w:val="90"/>
                <w:sz w:val="18"/>
                <w:szCs w:val="18"/>
              </w:rPr>
              <w:t xml:space="preserve">Primer and probe </w:t>
            </w:r>
            <w:r w:rsidRPr="00AA1AF1">
              <w:rPr>
                <w:rFonts w:ascii="Arial" w:eastAsia="Arial" w:hAnsi="Arial" w:cs="Arial"/>
                <w:b/>
                <w:bCs/>
                <w:w w:val="87"/>
                <w:sz w:val="18"/>
                <w:szCs w:val="18"/>
              </w:rPr>
              <w:t>sequenc</w:t>
            </w:r>
            <w:r w:rsidRPr="00AA1AF1">
              <w:rPr>
                <w:rFonts w:ascii="Arial" w:eastAsia="Arial" w:hAnsi="Arial" w:cs="Arial"/>
                <w:b/>
                <w:bCs/>
                <w:w w:val="89"/>
                <w:sz w:val="18"/>
                <w:szCs w:val="18"/>
              </w:rPr>
              <w:t>e</w:t>
            </w:r>
            <w:r w:rsidRPr="00AA1AF1">
              <w:rPr>
                <w:rFonts w:ascii="Arial" w:eastAsia="Arial" w:hAnsi="Arial" w:cs="Arial"/>
                <w:b/>
                <w:bCs/>
                <w:w w:val="69"/>
                <w:sz w:val="18"/>
                <w:szCs w:val="18"/>
              </w:rPr>
              <w:t>s</w:t>
            </w:r>
          </w:p>
        </w:tc>
        <w:tc>
          <w:tcPr>
            <w:tcW w:w="1828" w:type="dxa"/>
            <w:tcBorders>
              <w:top w:val="single" w:sz="4" w:space="0" w:color="000000"/>
              <w:left w:val="single" w:sz="4" w:space="0" w:color="000000"/>
              <w:bottom w:val="single" w:sz="4" w:space="0" w:color="000000"/>
              <w:right w:val="single" w:sz="4" w:space="0" w:color="000000"/>
            </w:tcBorders>
          </w:tcPr>
          <w:p w14:paraId="1D64D28E" w14:textId="77777777" w:rsidR="00562F64" w:rsidRPr="00AA1AF1" w:rsidRDefault="00562F64" w:rsidP="00942CAA">
            <w:pPr>
              <w:widowControl w:val="0"/>
              <w:spacing w:before="120" w:after="120"/>
              <w:jc w:val="center"/>
              <w:rPr>
                <w:rFonts w:ascii="Arial" w:eastAsia="Arial" w:hAnsi="Arial" w:cs="Arial"/>
                <w:sz w:val="18"/>
                <w:szCs w:val="18"/>
              </w:rPr>
            </w:pPr>
            <w:r w:rsidRPr="00AA1AF1">
              <w:rPr>
                <w:rFonts w:ascii="Arial" w:eastAsia="Arial" w:hAnsi="Arial" w:cs="Arial"/>
                <w:b/>
                <w:bCs/>
                <w:w w:val="93"/>
                <w:sz w:val="18"/>
                <w:szCs w:val="18"/>
              </w:rPr>
              <w:t xml:space="preserve">Genomic </w:t>
            </w:r>
            <w:r w:rsidRPr="00AA1AF1">
              <w:rPr>
                <w:rFonts w:ascii="Arial" w:eastAsia="Arial" w:hAnsi="Arial" w:cs="Arial"/>
                <w:b/>
                <w:bCs/>
                <w:w w:val="87"/>
                <w:sz w:val="18"/>
                <w:szCs w:val="18"/>
              </w:rPr>
              <w:t>segment</w:t>
            </w:r>
          </w:p>
        </w:tc>
        <w:tc>
          <w:tcPr>
            <w:tcW w:w="1560" w:type="dxa"/>
            <w:tcBorders>
              <w:top w:val="single" w:sz="4" w:space="0" w:color="000000"/>
              <w:left w:val="single" w:sz="4" w:space="0" w:color="000000"/>
              <w:bottom w:val="single" w:sz="4" w:space="0" w:color="000000"/>
              <w:right w:val="single" w:sz="4" w:space="0" w:color="000000"/>
            </w:tcBorders>
          </w:tcPr>
          <w:p w14:paraId="3FEE5B77" w14:textId="77777777" w:rsidR="00562F64" w:rsidRPr="00AA1AF1" w:rsidRDefault="00562F64" w:rsidP="00942CAA">
            <w:pPr>
              <w:widowControl w:val="0"/>
              <w:spacing w:before="120" w:after="120"/>
              <w:jc w:val="center"/>
              <w:rPr>
                <w:rFonts w:ascii="Arial" w:eastAsia="Arial" w:hAnsi="Arial" w:cs="Arial"/>
                <w:sz w:val="18"/>
                <w:szCs w:val="18"/>
              </w:rPr>
            </w:pPr>
            <w:r w:rsidRPr="00AA1AF1">
              <w:rPr>
                <w:rFonts w:ascii="Arial" w:eastAsia="Arial" w:hAnsi="Arial" w:cs="Arial"/>
                <w:b/>
                <w:bCs/>
                <w:w w:val="89"/>
                <w:sz w:val="18"/>
                <w:szCs w:val="18"/>
              </w:rPr>
              <w:t>Pr</w:t>
            </w:r>
            <w:r w:rsidRPr="00AA1AF1">
              <w:rPr>
                <w:rFonts w:ascii="Arial" w:eastAsia="Arial" w:hAnsi="Arial" w:cs="Arial"/>
                <w:b/>
                <w:bCs/>
                <w:w w:val="91"/>
                <w:sz w:val="18"/>
                <w:szCs w:val="18"/>
              </w:rPr>
              <w:t>od</w:t>
            </w:r>
            <w:r w:rsidRPr="00AA1AF1">
              <w:rPr>
                <w:rFonts w:ascii="Arial" w:eastAsia="Arial" w:hAnsi="Arial" w:cs="Arial"/>
                <w:b/>
                <w:bCs/>
                <w:w w:val="92"/>
                <w:sz w:val="18"/>
                <w:szCs w:val="18"/>
              </w:rPr>
              <w:t xml:space="preserve">uct </w:t>
            </w:r>
            <w:r w:rsidRPr="00AA1AF1">
              <w:rPr>
                <w:rFonts w:ascii="Arial" w:eastAsia="Arial" w:hAnsi="Arial" w:cs="Arial"/>
                <w:b/>
                <w:bCs/>
                <w:sz w:val="18"/>
                <w:szCs w:val="18"/>
              </w:rPr>
              <w:t>size</w:t>
            </w:r>
          </w:p>
        </w:tc>
        <w:tc>
          <w:tcPr>
            <w:tcW w:w="1275" w:type="dxa"/>
            <w:tcBorders>
              <w:top w:val="single" w:sz="4" w:space="0" w:color="000000"/>
              <w:left w:val="single" w:sz="4" w:space="0" w:color="000000"/>
              <w:bottom w:val="single" w:sz="4" w:space="0" w:color="000000"/>
              <w:right w:val="single" w:sz="4" w:space="0" w:color="000000"/>
            </w:tcBorders>
          </w:tcPr>
          <w:p w14:paraId="3637C1D1" w14:textId="77777777" w:rsidR="00562F64" w:rsidRPr="00AA1AF1" w:rsidRDefault="00562F64" w:rsidP="00942CAA">
            <w:pPr>
              <w:widowControl w:val="0"/>
              <w:spacing w:before="120" w:after="120"/>
              <w:jc w:val="center"/>
              <w:rPr>
                <w:rFonts w:ascii="Arial" w:eastAsia="Arial" w:hAnsi="Arial" w:cs="Arial"/>
                <w:sz w:val="18"/>
                <w:szCs w:val="18"/>
              </w:rPr>
            </w:pPr>
            <w:r w:rsidRPr="00AA1AF1">
              <w:rPr>
                <w:rFonts w:ascii="Arial" w:eastAsia="Arial" w:hAnsi="Arial" w:cs="Arial"/>
                <w:b/>
                <w:bCs/>
                <w:sz w:val="18"/>
                <w:szCs w:val="18"/>
              </w:rPr>
              <w:t>Reference</w:t>
            </w:r>
          </w:p>
        </w:tc>
      </w:tr>
      <w:tr w:rsidR="00562F64" w:rsidRPr="00AA1AF1" w14:paraId="631ABFB9" w14:textId="77777777" w:rsidTr="00942CAA">
        <w:trPr>
          <w:trHeight w:hRule="exact" w:val="1031"/>
        </w:trPr>
        <w:tc>
          <w:tcPr>
            <w:tcW w:w="3558" w:type="dxa"/>
            <w:tcBorders>
              <w:top w:val="single" w:sz="4" w:space="0" w:color="000000"/>
              <w:left w:val="single" w:sz="4" w:space="0" w:color="000000"/>
              <w:bottom w:val="single" w:sz="4" w:space="0" w:color="000000"/>
              <w:right w:val="single" w:sz="4" w:space="0" w:color="000000"/>
            </w:tcBorders>
          </w:tcPr>
          <w:p w14:paraId="421AC18A" w14:textId="77777777" w:rsidR="00562F64" w:rsidRPr="00AA1AF1" w:rsidRDefault="00562F64" w:rsidP="00942CAA">
            <w:pPr>
              <w:widowControl w:val="0"/>
              <w:spacing w:before="120" w:after="120"/>
              <w:jc w:val="center"/>
              <w:rPr>
                <w:rFonts w:ascii="Arial" w:eastAsia="Arial" w:hAnsi="Arial" w:cs="Arial"/>
                <w:sz w:val="16"/>
                <w:szCs w:val="16"/>
              </w:rPr>
            </w:pPr>
            <w:r w:rsidRPr="00AA1AF1">
              <w:rPr>
                <w:rFonts w:ascii="Arial" w:eastAsia="Arial" w:hAnsi="Arial" w:cs="Arial"/>
                <w:sz w:val="16"/>
                <w:szCs w:val="16"/>
              </w:rPr>
              <w:t>QnsP1F: 5’-CCG-GCC-CTG-AAC-CAG-TT-3’</w:t>
            </w:r>
            <w:r w:rsidRPr="00AA1AF1">
              <w:rPr>
                <w:rFonts w:ascii="Arial" w:eastAsia="Arial" w:hAnsi="Arial" w:cs="Arial"/>
                <w:sz w:val="16"/>
                <w:szCs w:val="16"/>
              </w:rPr>
              <w:br/>
              <w:t>QnsP1R: 5’-GTA-GCC-AAG-TGG-GAG-AAA-GCT-3’</w:t>
            </w:r>
            <w:r w:rsidRPr="00AA1AF1">
              <w:rPr>
                <w:rFonts w:ascii="Arial" w:eastAsia="Arial" w:hAnsi="Arial" w:cs="Arial"/>
                <w:sz w:val="16"/>
                <w:szCs w:val="16"/>
              </w:rPr>
              <w:br/>
              <w:t>QnsP1probe: 5’FAM-CTG-GCC-ACC-ACT-TCG-A-MGB3’ (Taqman®probe)</w:t>
            </w:r>
          </w:p>
        </w:tc>
        <w:tc>
          <w:tcPr>
            <w:tcW w:w="1828" w:type="dxa"/>
            <w:tcBorders>
              <w:top w:val="single" w:sz="4" w:space="0" w:color="000000"/>
              <w:left w:val="single" w:sz="4" w:space="0" w:color="000000"/>
              <w:bottom w:val="single" w:sz="4" w:space="0" w:color="000000"/>
              <w:right w:val="single" w:sz="4" w:space="0" w:color="000000"/>
            </w:tcBorders>
          </w:tcPr>
          <w:p w14:paraId="177FAC18" w14:textId="77777777" w:rsidR="00562F64" w:rsidRPr="00AA1AF1" w:rsidRDefault="00562F64" w:rsidP="00942CAA">
            <w:pPr>
              <w:widowControl w:val="0"/>
              <w:spacing w:before="120" w:after="120"/>
              <w:jc w:val="center"/>
              <w:rPr>
                <w:rFonts w:ascii="Arial" w:eastAsia="Arial" w:hAnsi="Arial" w:cs="Arial"/>
                <w:sz w:val="16"/>
                <w:szCs w:val="16"/>
              </w:rPr>
            </w:pPr>
            <w:r w:rsidRPr="00AA1AF1">
              <w:rPr>
                <w:rFonts w:ascii="Arial" w:eastAsia="Arial" w:hAnsi="Arial" w:cs="Arial"/>
                <w:sz w:val="16"/>
                <w:szCs w:val="16"/>
              </w:rPr>
              <w:t>QnsP1</w:t>
            </w:r>
          </w:p>
        </w:tc>
        <w:tc>
          <w:tcPr>
            <w:tcW w:w="1560" w:type="dxa"/>
            <w:tcBorders>
              <w:top w:val="single" w:sz="4" w:space="0" w:color="000000"/>
              <w:left w:val="single" w:sz="4" w:space="0" w:color="000000"/>
              <w:bottom w:val="single" w:sz="4" w:space="0" w:color="000000"/>
              <w:right w:val="single" w:sz="4" w:space="0" w:color="000000"/>
            </w:tcBorders>
          </w:tcPr>
          <w:p w14:paraId="17F9C9D8" w14:textId="77777777" w:rsidR="00562F64" w:rsidRPr="00AA1AF1" w:rsidRDefault="00562F64" w:rsidP="00942CAA">
            <w:pPr>
              <w:widowControl w:val="0"/>
              <w:spacing w:before="120" w:after="120"/>
              <w:jc w:val="center"/>
              <w:rPr>
                <w:rFonts w:ascii="Arial" w:eastAsia="Arial" w:hAnsi="Arial" w:cs="Arial"/>
                <w:sz w:val="16"/>
                <w:szCs w:val="16"/>
              </w:rPr>
            </w:pPr>
            <w:r w:rsidRPr="00AA1AF1">
              <w:rPr>
                <w:rFonts w:ascii="Arial" w:eastAsia="Calibri" w:hAnsi="Arial" w:cs="Arial"/>
                <w:sz w:val="16"/>
                <w:szCs w:val="16"/>
              </w:rPr>
              <w:t>107 nt</w:t>
            </w:r>
          </w:p>
        </w:tc>
        <w:tc>
          <w:tcPr>
            <w:tcW w:w="1275" w:type="dxa"/>
            <w:tcBorders>
              <w:top w:val="single" w:sz="4" w:space="0" w:color="000000"/>
              <w:left w:val="single" w:sz="4" w:space="0" w:color="000000"/>
              <w:bottom w:val="single" w:sz="4" w:space="0" w:color="000000"/>
              <w:right w:val="single" w:sz="4" w:space="0" w:color="000000"/>
            </w:tcBorders>
          </w:tcPr>
          <w:p w14:paraId="64C134FD" w14:textId="77777777" w:rsidR="00562F64" w:rsidRPr="00C77BF3" w:rsidRDefault="00562F64" w:rsidP="00942CAA">
            <w:pPr>
              <w:widowControl w:val="0"/>
              <w:spacing w:before="120" w:after="120"/>
              <w:jc w:val="center"/>
              <w:rPr>
                <w:rFonts w:ascii="Arial" w:eastAsia="Arial" w:hAnsi="Arial" w:cs="Arial"/>
                <w:sz w:val="16"/>
                <w:szCs w:val="16"/>
              </w:rPr>
            </w:pPr>
            <w:r w:rsidRPr="00C77BF3">
              <w:rPr>
                <w:rFonts w:ascii="Arial" w:eastAsia="Arial" w:hAnsi="Arial" w:cs="Arial"/>
                <w:sz w:val="16"/>
                <w:szCs w:val="16"/>
              </w:rPr>
              <w:t xml:space="preserve">Hodneland </w:t>
            </w:r>
            <w:r w:rsidRPr="00C77BF3">
              <w:rPr>
                <w:rFonts w:ascii="Arial" w:eastAsia="Arial" w:hAnsi="Arial" w:cs="Arial"/>
                <w:sz w:val="16"/>
                <w:szCs w:val="16"/>
              </w:rPr>
              <w:br/>
            </w:r>
            <w:r w:rsidRPr="00C77BF3">
              <w:rPr>
                <w:rFonts w:ascii="Arial" w:eastAsia="Arial" w:hAnsi="Arial" w:cs="Arial"/>
                <w:i/>
                <w:sz w:val="16"/>
                <w:szCs w:val="16"/>
              </w:rPr>
              <w:t>et al</w:t>
            </w:r>
            <w:r w:rsidRPr="00C77BF3">
              <w:rPr>
                <w:rFonts w:ascii="Arial" w:eastAsia="Arial" w:hAnsi="Arial" w:cs="Arial"/>
                <w:sz w:val="16"/>
                <w:szCs w:val="16"/>
              </w:rPr>
              <w:t>., 2006</w:t>
            </w:r>
          </w:p>
        </w:tc>
      </w:tr>
      <w:tr w:rsidR="00562F64" w:rsidRPr="00AA1AF1" w14:paraId="748DE3E3" w14:textId="77777777" w:rsidTr="00942CAA">
        <w:trPr>
          <w:trHeight w:hRule="exact" w:val="595"/>
        </w:trPr>
        <w:tc>
          <w:tcPr>
            <w:tcW w:w="3558" w:type="dxa"/>
            <w:tcBorders>
              <w:top w:val="single" w:sz="4" w:space="0" w:color="000000"/>
              <w:left w:val="single" w:sz="4" w:space="0" w:color="000000"/>
              <w:bottom w:val="single" w:sz="4" w:space="0" w:color="000000"/>
              <w:right w:val="single" w:sz="4" w:space="0" w:color="000000"/>
            </w:tcBorders>
          </w:tcPr>
          <w:p w14:paraId="143A190A" w14:textId="77777777" w:rsidR="00562F64" w:rsidRPr="00AA1AF1" w:rsidRDefault="00562F64" w:rsidP="00942CAA">
            <w:pPr>
              <w:widowControl w:val="0"/>
              <w:spacing w:before="120" w:after="120"/>
              <w:jc w:val="center"/>
              <w:rPr>
                <w:rFonts w:ascii="Arial" w:eastAsia="Arial" w:hAnsi="Arial" w:cs="Arial"/>
                <w:sz w:val="16"/>
                <w:szCs w:val="16"/>
              </w:rPr>
            </w:pPr>
            <w:r w:rsidRPr="00AA1AF1">
              <w:rPr>
                <w:rFonts w:ascii="Arial" w:eastAsia="Arial" w:hAnsi="Arial" w:cs="Arial"/>
                <w:sz w:val="16"/>
                <w:szCs w:val="16"/>
              </w:rPr>
              <w:t>E2F: 5’-CCG-TTG-CGG-CCA-CAC-TGG-ATG-3’</w:t>
            </w:r>
            <w:r w:rsidRPr="00AA1AF1">
              <w:rPr>
                <w:rFonts w:ascii="Arial" w:eastAsia="Arial" w:hAnsi="Arial" w:cs="Arial"/>
                <w:sz w:val="16"/>
                <w:szCs w:val="16"/>
              </w:rPr>
              <w:br/>
              <w:t>E2R: 5’-CCT-CAT-AGG-TGA-TCG-ACG-GCA-G-3’</w:t>
            </w:r>
          </w:p>
        </w:tc>
        <w:tc>
          <w:tcPr>
            <w:tcW w:w="1828" w:type="dxa"/>
            <w:tcBorders>
              <w:top w:val="single" w:sz="4" w:space="0" w:color="000000"/>
              <w:left w:val="single" w:sz="4" w:space="0" w:color="000000"/>
              <w:bottom w:val="single" w:sz="4" w:space="0" w:color="000000"/>
              <w:right w:val="single" w:sz="4" w:space="0" w:color="000000"/>
            </w:tcBorders>
          </w:tcPr>
          <w:p w14:paraId="13DF5FA4" w14:textId="77777777" w:rsidR="00562F64" w:rsidRPr="00AA1AF1" w:rsidRDefault="00562F64" w:rsidP="00942CAA">
            <w:pPr>
              <w:widowControl w:val="0"/>
              <w:spacing w:before="120" w:after="120"/>
              <w:jc w:val="center"/>
              <w:rPr>
                <w:rFonts w:ascii="Arial" w:eastAsia="Arial" w:hAnsi="Arial" w:cs="Arial"/>
                <w:sz w:val="16"/>
                <w:szCs w:val="16"/>
              </w:rPr>
            </w:pPr>
            <w:r w:rsidRPr="00AA1AF1">
              <w:rPr>
                <w:rFonts w:ascii="Arial" w:eastAsia="Arial" w:hAnsi="Arial" w:cs="Arial"/>
                <w:sz w:val="16"/>
                <w:szCs w:val="16"/>
              </w:rPr>
              <w:t>E2</w:t>
            </w:r>
          </w:p>
        </w:tc>
        <w:tc>
          <w:tcPr>
            <w:tcW w:w="1560" w:type="dxa"/>
            <w:tcBorders>
              <w:top w:val="single" w:sz="4" w:space="0" w:color="000000"/>
              <w:left w:val="single" w:sz="4" w:space="0" w:color="000000"/>
              <w:bottom w:val="single" w:sz="4" w:space="0" w:color="000000"/>
              <w:right w:val="single" w:sz="4" w:space="0" w:color="000000"/>
            </w:tcBorders>
          </w:tcPr>
          <w:p w14:paraId="7B64C33B" w14:textId="77777777" w:rsidR="00562F64" w:rsidRPr="00AA1AF1" w:rsidRDefault="00562F64" w:rsidP="00942CAA">
            <w:pPr>
              <w:widowControl w:val="0"/>
              <w:spacing w:before="120" w:after="120"/>
              <w:jc w:val="center"/>
              <w:rPr>
                <w:rFonts w:ascii="Arial" w:eastAsia="Arial" w:hAnsi="Arial" w:cs="Arial"/>
                <w:sz w:val="16"/>
                <w:szCs w:val="16"/>
              </w:rPr>
            </w:pPr>
            <w:r w:rsidRPr="00AA1AF1">
              <w:rPr>
                <w:rFonts w:ascii="Arial" w:eastAsia="Arial" w:hAnsi="Arial" w:cs="Arial"/>
                <w:sz w:val="16"/>
                <w:szCs w:val="16"/>
              </w:rPr>
              <w:t>516 nt</w:t>
            </w:r>
          </w:p>
        </w:tc>
        <w:tc>
          <w:tcPr>
            <w:tcW w:w="1275" w:type="dxa"/>
            <w:tcBorders>
              <w:top w:val="single" w:sz="4" w:space="0" w:color="000000"/>
              <w:left w:val="single" w:sz="4" w:space="0" w:color="000000"/>
              <w:bottom w:val="single" w:sz="4" w:space="0" w:color="000000"/>
              <w:right w:val="single" w:sz="4" w:space="0" w:color="000000"/>
            </w:tcBorders>
          </w:tcPr>
          <w:p w14:paraId="63A2B886" w14:textId="77777777" w:rsidR="00562F64" w:rsidRPr="00C77BF3" w:rsidRDefault="00562F64" w:rsidP="00942CAA">
            <w:pPr>
              <w:widowControl w:val="0"/>
              <w:spacing w:before="120" w:after="120"/>
              <w:jc w:val="center"/>
              <w:rPr>
                <w:rFonts w:ascii="Arial" w:eastAsia="Arial" w:hAnsi="Arial" w:cs="Arial"/>
                <w:sz w:val="16"/>
                <w:szCs w:val="16"/>
              </w:rPr>
            </w:pPr>
            <w:r w:rsidRPr="00C77BF3">
              <w:rPr>
                <w:rFonts w:ascii="Arial" w:eastAsia="Arial" w:hAnsi="Arial" w:cs="Arial"/>
                <w:sz w:val="16"/>
                <w:szCs w:val="16"/>
              </w:rPr>
              <w:t xml:space="preserve">Fringuelli </w:t>
            </w:r>
            <w:r w:rsidRPr="00C77BF3">
              <w:rPr>
                <w:rFonts w:ascii="Arial" w:eastAsia="Arial" w:hAnsi="Arial" w:cs="Arial"/>
                <w:sz w:val="16"/>
                <w:szCs w:val="16"/>
              </w:rPr>
              <w:br/>
            </w:r>
            <w:r w:rsidRPr="00C77BF3">
              <w:rPr>
                <w:rFonts w:ascii="Arial" w:eastAsia="Arial" w:hAnsi="Arial" w:cs="Arial"/>
                <w:i/>
                <w:sz w:val="16"/>
                <w:szCs w:val="16"/>
              </w:rPr>
              <w:t>et a</w:t>
            </w:r>
            <w:r w:rsidRPr="00C77BF3">
              <w:rPr>
                <w:rFonts w:ascii="Arial" w:eastAsia="Arial" w:hAnsi="Arial" w:cs="Arial"/>
                <w:sz w:val="16"/>
                <w:szCs w:val="16"/>
              </w:rPr>
              <w:t>l., 2008</w:t>
            </w:r>
          </w:p>
        </w:tc>
      </w:tr>
      <w:bookmarkEnd w:id="170"/>
    </w:tbl>
    <w:p w14:paraId="54DA556D" w14:textId="77777777" w:rsidR="00555AD1" w:rsidRDefault="00555AD1" w:rsidP="00555AD1">
      <w:pPr>
        <w:spacing w:after="480" w:line="240" w:lineRule="auto"/>
        <w:rPr>
          <w:u w:val="single"/>
        </w:rPr>
      </w:pPr>
    </w:p>
    <w:p w14:paraId="70368438" w14:textId="208DC36C" w:rsidR="00555AD1" w:rsidRPr="008A67C2" w:rsidRDefault="00555AD1" w:rsidP="00555AD1">
      <w:pPr>
        <w:spacing w:after="480" w:line="240" w:lineRule="auto"/>
        <w:jc w:val="right"/>
        <w:rPr>
          <w:rFonts w:cs="Times New Roman"/>
          <w:bCs/>
          <w:iCs/>
          <w:szCs w:val="20"/>
        </w:rPr>
      </w:pPr>
      <w:r>
        <w:rPr>
          <w:u w:val="single"/>
        </w:rPr>
        <w:br w:type="page"/>
      </w:r>
      <w:r w:rsidRPr="008A67C2">
        <w:rPr>
          <w:u w:val="single"/>
        </w:rPr>
        <w:lastRenderedPageBreak/>
        <w:t>A</w:t>
      </w:r>
      <w:r w:rsidRPr="008A67C2">
        <w:rPr>
          <w:rFonts w:cs="Times New Roman"/>
          <w:bCs/>
          <w:iCs/>
          <w:szCs w:val="20"/>
          <w:u w:val="single"/>
        </w:rPr>
        <w:t>nnex 1</w:t>
      </w:r>
      <w:r>
        <w:rPr>
          <w:rFonts w:cs="Times New Roman"/>
          <w:bCs/>
          <w:iCs/>
          <w:szCs w:val="20"/>
          <w:u w:val="single"/>
        </w:rPr>
        <w:t>6</w:t>
      </w:r>
      <w:r w:rsidRPr="008A67C2">
        <w:rPr>
          <w:rFonts w:cs="Times New Roman"/>
          <w:bCs/>
          <w:iCs/>
          <w:szCs w:val="20"/>
        </w:rPr>
        <w:t xml:space="preserve"> (contd)</w:t>
      </w:r>
    </w:p>
    <w:p w14:paraId="026C7B4C" w14:textId="77777777" w:rsidR="00562F64" w:rsidRPr="00747200" w:rsidRDefault="00562F64" w:rsidP="00555AD1">
      <w:pPr>
        <w:pStyle w:val="Para3"/>
        <w:spacing w:before="240"/>
        <w:ind w:left="709"/>
      </w:pPr>
      <w:r w:rsidRPr="00747200">
        <w:t>The following controls should be run with each assay: negative extraction control; positive template control; no template control.</w:t>
      </w:r>
    </w:p>
    <w:p w14:paraId="16C2C198" w14:textId="77777777" w:rsidR="00562F64" w:rsidRPr="00747200" w:rsidRDefault="00562F64" w:rsidP="00555AD1">
      <w:pPr>
        <w:pStyle w:val="111"/>
        <w:ind w:left="709" w:firstLine="0"/>
      </w:pPr>
      <w:r w:rsidRPr="00747200">
        <w:t>4.4.2.</w:t>
      </w:r>
      <w:r w:rsidRPr="00747200">
        <w:tab/>
      </w:r>
      <w:r w:rsidRPr="00555AD1">
        <w:rPr>
          <w:lang w:val="en-IE"/>
        </w:rPr>
        <w:t>Conventional</w:t>
      </w:r>
      <w:r w:rsidRPr="00747200">
        <w:t xml:space="preserve"> PCR (PCR)</w:t>
      </w:r>
    </w:p>
    <w:p w14:paraId="4889936D" w14:textId="77777777" w:rsidR="00562F64" w:rsidRPr="00747200" w:rsidRDefault="00562F64" w:rsidP="00555AD1">
      <w:pPr>
        <w:pStyle w:val="Para3"/>
        <w:ind w:left="709"/>
      </w:pPr>
      <w:r w:rsidRPr="00747200">
        <w:rPr>
          <w:rFonts w:cs="Arial"/>
        </w:rPr>
        <w:t>See</w:t>
      </w:r>
      <w:r w:rsidRPr="00747200">
        <w:t xml:space="preserve"> Section 4.4.1.</w:t>
      </w:r>
      <w:r w:rsidRPr="00747200">
        <w:rPr>
          <w:rFonts w:cs="Arial"/>
        </w:rPr>
        <w:t xml:space="preserve"> for comments on conventional PCR kits and PCR machines.</w:t>
      </w:r>
    </w:p>
    <w:p w14:paraId="60E997B5" w14:textId="77777777" w:rsidR="00562F64" w:rsidRPr="00747200" w:rsidRDefault="00562F64" w:rsidP="00555AD1">
      <w:pPr>
        <w:pStyle w:val="Para3"/>
        <w:spacing w:before="240"/>
        <w:ind w:left="709"/>
      </w:pPr>
      <w:r w:rsidRPr="00747200">
        <w:t>The following controls should be run with each assay: negative extraction control; positive template control; no template control.</w:t>
      </w:r>
    </w:p>
    <w:p w14:paraId="7C6DF628" w14:textId="77777777" w:rsidR="00562F64" w:rsidRPr="007F35B1" w:rsidRDefault="00562F64" w:rsidP="00555AD1">
      <w:pPr>
        <w:pStyle w:val="111"/>
        <w:ind w:left="709" w:firstLine="0"/>
        <w:rPr>
          <w:lang w:val="en-IE"/>
        </w:rPr>
      </w:pPr>
      <w:r w:rsidRPr="007F35B1">
        <w:rPr>
          <w:lang w:val="en-IE"/>
        </w:rPr>
        <w:t>4.</w:t>
      </w:r>
      <w:r>
        <w:rPr>
          <w:lang w:val="en-IE"/>
        </w:rPr>
        <w:t>4</w:t>
      </w:r>
      <w:r w:rsidRPr="007F35B1">
        <w:rPr>
          <w:lang w:val="en-IE"/>
        </w:rPr>
        <w:t>.3.</w:t>
      </w:r>
      <w:r w:rsidRPr="007F35B1">
        <w:rPr>
          <w:lang w:val="en-IE"/>
        </w:rPr>
        <w:tab/>
        <w:t>Other nuc</w:t>
      </w:r>
      <w:r>
        <w:rPr>
          <w:lang w:val="en-IE"/>
        </w:rPr>
        <w:t>leic acid amplification methods</w:t>
      </w:r>
    </w:p>
    <w:p w14:paraId="218962F4" w14:textId="77777777" w:rsidR="00562F64" w:rsidRPr="00747200" w:rsidRDefault="00562F64" w:rsidP="00555AD1">
      <w:pPr>
        <w:pStyle w:val="Para3"/>
        <w:ind w:left="709"/>
      </w:pPr>
      <w:r w:rsidRPr="00747200">
        <w:t>Not applicable</w:t>
      </w:r>
    </w:p>
    <w:p w14:paraId="2EA5FF63" w14:textId="77777777" w:rsidR="00562F64" w:rsidRPr="00D10BBF" w:rsidRDefault="00562F64" w:rsidP="00562F64">
      <w:pPr>
        <w:pStyle w:val="11"/>
        <w:rPr>
          <w:rFonts w:ascii="Ottawa" w:hAnsi="Ottawa"/>
          <w:sz w:val="21"/>
          <w:szCs w:val="21"/>
        </w:rPr>
      </w:pPr>
      <w:r w:rsidRPr="00D10BBF">
        <w:rPr>
          <w:rFonts w:ascii="Ottawa" w:hAnsi="Ottawa"/>
          <w:sz w:val="21"/>
          <w:szCs w:val="21"/>
        </w:rPr>
        <w:t>4.5.</w:t>
      </w:r>
      <w:r w:rsidRPr="00D10BBF">
        <w:rPr>
          <w:rFonts w:ascii="Ottawa" w:hAnsi="Ottawa"/>
          <w:sz w:val="21"/>
          <w:szCs w:val="21"/>
        </w:rPr>
        <w:tab/>
        <w:t>Amplicon sequencing</w:t>
      </w:r>
    </w:p>
    <w:p w14:paraId="31433D27" w14:textId="77777777" w:rsidR="00562F64" w:rsidRPr="00747200" w:rsidRDefault="00562F64" w:rsidP="00555AD1">
      <w:pPr>
        <w:pStyle w:val="Para20"/>
        <w:ind w:left="709"/>
        <w:rPr>
          <w:rFonts w:cs="Arial"/>
        </w:rPr>
      </w:pPr>
      <w:r w:rsidRPr="00747200">
        <w:t xml:space="preserve">Sequencing to determine the genotype of SAV can be performed using the E2-primer set listed in Table </w:t>
      </w:r>
      <w:r>
        <w:t>4.2</w:t>
      </w:r>
      <w:r w:rsidRPr="00747200">
        <w:t>.</w:t>
      </w:r>
    </w:p>
    <w:p w14:paraId="7B8DBFE1" w14:textId="77777777" w:rsidR="00562F64" w:rsidRPr="00D10BBF" w:rsidRDefault="00562F64" w:rsidP="00562F64">
      <w:pPr>
        <w:pStyle w:val="11"/>
        <w:rPr>
          <w:rFonts w:ascii="Ottawa" w:hAnsi="Ottawa"/>
          <w:sz w:val="21"/>
          <w:szCs w:val="21"/>
        </w:rPr>
      </w:pPr>
      <w:r w:rsidRPr="00D10BBF">
        <w:rPr>
          <w:rFonts w:ascii="Ottawa" w:hAnsi="Ottawa"/>
          <w:sz w:val="21"/>
          <w:szCs w:val="21"/>
        </w:rPr>
        <w:t>4.6.</w:t>
      </w:r>
      <w:r w:rsidRPr="00D10BBF">
        <w:rPr>
          <w:rFonts w:ascii="Ottawa" w:hAnsi="Ottawa"/>
          <w:sz w:val="21"/>
          <w:szCs w:val="21"/>
        </w:rPr>
        <w:tab/>
      </w:r>
      <w:r w:rsidRPr="00D10BBF">
        <w:rPr>
          <w:rFonts w:ascii="Ottawa" w:hAnsi="Ottawa"/>
          <w:i/>
          <w:sz w:val="21"/>
          <w:szCs w:val="21"/>
        </w:rPr>
        <w:t>In-situ</w:t>
      </w:r>
      <w:r w:rsidRPr="00D10BBF">
        <w:rPr>
          <w:rFonts w:ascii="Ottawa" w:hAnsi="Ottawa"/>
          <w:sz w:val="21"/>
          <w:szCs w:val="21"/>
        </w:rPr>
        <w:t xml:space="preserve"> hybridisation</w:t>
      </w:r>
    </w:p>
    <w:p w14:paraId="08071C38" w14:textId="77777777" w:rsidR="00562F64" w:rsidRPr="00747200" w:rsidRDefault="00562F64" w:rsidP="00555AD1">
      <w:pPr>
        <w:pStyle w:val="Para20"/>
        <w:ind w:left="709"/>
      </w:pPr>
      <w:r w:rsidRPr="00747200">
        <w:t>Not applicable</w:t>
      </w:r>
    </w:p>
    <w:p w14:paraId="13D23F07" w14:textId="77777777" w:rsidR="00562F64" w:rsidRPr="00D10BBF" w:rsidRDefault="00562F64" w:rsidP="00562F64">
      <w:pPr>
        <w:pStyle w:val="11"/>
        <w:rPr>
          <w:rFonts w:ascii="Ottawa" w:hAnsi="Ottawa"/>
          <w:sz w:val="21"/>
          <w:szCs w:val="21"/>
        </w:rPr>
      </w:pPr>
      <w:r w:rsidRPr="00D10BBF">
        <w:rPr>
          <w:rFonts w:ascii="Ottawa" w:hAnsi="Ottawa"/>
          <w:sz w:val="21"/>
          <w:szCs w:val="21"/>
        </w:rPr>
        <w:t>4.7.</w:t>
      </w:r>
      <w:r w:rsidRPr="00D10BBF">
        <w:rPr>
          <w:rFonts w:ascii="Ottawa" w:hAnsi="Ottawa"/>
          <w:sz w:val="21"/>
          <w:szCs w:val="21"/>
        </w:rPr>
        <w:tab/>
        <w:t>Immunohistochemistry</w:t>
      </w:r>
    </w:p>
    <w:p w14:paraId="03C8A93E" w14:textId="77777777" w:rsidR="00562F64" w:rsidRPr="00AA1AF1" w:rsidRDefault="00562F64" w:rsidP="00555AD1">
      <w:pPr>
        <w:pStyle w:val="Para20"/>
        <w:ind w:left="709"/>
        <w:rPr>
          <w:rFonts w:eastAsia="Arial"/>
        </w:rPr>
      </w:pPr>
      <w:r w:rsidRPr="00E153A2">
        <w:rPr>
          <w:rFonts w:eastAsia="Arial"/>
        </w:rPr>
        <w:t>Immunohistochemical</w:t>
      </w:r>
      <w:r w:rsidRPr="00AA1AF1">
        <w:rPr>
          <w:rFonts w:eastAsia="Arial"/>
        </w:rPr>
        <w:t xml:space="preserve"> </w:t>
      </w:r>
      <w:r w:rsidRPr="00C77BF3">
        <w:rPr>
          <w:rFonts w:eastAsia="Arial"/>
        </w:rPr>
        <w:t xml:space="preserve">testing (Taksdal </w:t>
      </w:r>
      <w:r w:rsidRPr="00C77BF3">
        <w:rPr>
          <w:rFonts w:eastAsia="Arial"/>
          <w:i/>
        </w:rPr>
        <w:t>et al.,</w:t>
      </w:r>
      <w:r w:rsidRPr="00C77BF3">
        <w:rPr>
          <w:rFonts w:eastAsia="Arial"/>
        </w:rPr>
        <w:t xml:space="preserve"> 2007) is only</w:t>
      </w:r>
      <w:r w:rsidRPr="00AA1AF1">
        <w:rPr>
          <w:rFonts w:eastAsia="Arial"/>
        </w:rPr>
        <w:t xml:space="preserve"> recommended for samples from fish with acute necrosis of exocrine pancreatic tissue.</w:t>
      </w:r>
    </w:p>
    <w:p w14:paraId="44115DC1" w14:textId="77777777" w:rsidR="00562F64" w:rsidRPr="00AA1AF1" w:rsidRDefault="00562F64" w:rsidP="00555AD1">
      <w:pPr>
        <w:pStyle w:val="111"/>
        <w:ind w:left="709" w:firstLine="0"/>
        <w:rPr>
          <w:rFonts w:eastAsia="Arial"/>
        </w:rPr>
      </w:pPr>
      <w:r w:rsidRPr="00AA1AF1">
        <w:rPr>
          <w:rFonts w:eastAsia="Arial"/>
        </w:rPr>
        <w:t>4.</w:t>
      </w:r>
      <w:r>
        <w:rPr>
          <w:rFonts w:eastAsia="Arial"/>
        </w:rPr>
        <w:t>7</w:t>
      </w:r>
      <w:r w:rsidRPr="00AA1AF1">
        <w:rPr>
          <w:rFonts w:eastAsia="Arial"/>
        </w:rPr>
        <w:t>.</w:t>
      </w:r>
      <w:r>
        <w:rPr>
          <w:rFonts w:eastAsia="Arial"/>
        </w:rPr>
        <w:t>1.</w:t>
      </w:r>
      <w:r>
        <w:rPr>
          <w:rFonts w:eastAsia="Arial"/>
        </w:rPr>
        <w:tab/>
      </w:r>
      <w:r w:rsidRPr="00555AD1">
        <w:rPr>
          <w:lang w:val="en-IE"/>
        </w:rPr>
        <w:t>Preparation</w:t>
      </w:r>
      <w:r w:rsidRPr="00AA1AF1">
        <w:rPr>
          <w:rFonts w:eastAsia="Arial"/>
        </w:rPr>
        <w:t xml:space="preserve"> of tissue sections</w:t>
      </w:r>
    </w:p>
    <w:p w14:paraId="694691B9" w14:textId="77777777" w:rsidR="00562F64" w:rsidRPr="00AA1AF1" w:rsidRDefault="00562F64" w:rsidP="00555AD1">
      <w:pPr>
        <w:pStyle w:val="Para3"/>
        <w:ind w:left="709"/>
        <w:rPr>
          <w:rFonts w:eastAsia="Arial"/>
        </w:rPr>
      </w:pPr>
      <w:r w:rsidRPr="00AA1AF1">
        <w:rPr>
          <w:rFonts w:eastAsia="Arial"/>
        </w:rPr>
        <w:t xml:space="preserve">The tissues are fixed in neutral phosphate-buffered 10% formalin for at least 1 day, dehydrated in graded ethanol, cleared in xylene and embedded in paraffin, according to standard protocols. Approximately 3 µm thick sections (for </w:t>
      </w:r>
      <w:r w:rsidRPr="00AA1AF1">
        <w:t>immunohistochemistry</w:t>
      </w:r>
      <w:r w:rsidRPr="00AA1AF1">
        <w:rPr>
          <w:rFonts w:eastAsia="Arial"/>
        </w:rPr>
        <w:t xml:space="preserve"> sampled on poly-L-lysine-coated slides) are heated at 56–58°C (maximum 60°C) for 20 minutes, dewaxed in xylene, rehydrated through graded ethanol, and stained with haematoxylin and eosin for histopathology and immunohistochemistry as described below.</w:t>
      </w:r>
    </w:p>
    <w:p w14:paraId="53515387" w14:textId="77777777" w:rsidR="00562F64" w:rsidRPr="00AA1AF1" w:rsidRDefault="00562F64" w:rsidP="00555AD1">
      <w:pPr>
        <w:pStyle w:val="111"/>
        <w:ind w:left="709" w:firstLine="0"/>
        <w:rPr>
          <w:rFonts w:eastAsia="Arial"/>
        </w:rPr>
      </w:pPr>
      <w:r w:rsidRPr="00AA1AF1">
        <w:rPr>
          <w:rFonts w:eastAsia="Arial"/>
        </w:rPr>
        <w:t>4.</w:t>
      </w:r>
      <w:r>
        <w:rPr>
          <w:rFonts w:eastAsia="Arial"/>
        </w:rPr>
        <w:t>7</w:t>
      </w:r>
      <w:r w:rsidRPr="00AA1AF1">
        <w:rPr>
          <w:rFonts w:eastAsia="Arial"/>
        </w:rPr>
        <w:t>.2.</w:t>
      </w:r>
      <w:r>
        <w:rPr>
          <w:rFonts w:eastAsia="Arial"/>
        </w:rPr>
        <w:tab/>
      </w:r>
      <w:r w:rsidRPr="00AA1AF1">
        <w:rPr>
          <w:rFonts w:eastAsia="Arial"/>
        </w:rPr>
        <w:t>Staining procedure for immunohistochemistry</w:t>
      </w:r>
    </w:p>
    <w:p w14:paraId="71FE3C67" w14:textId="77777777" w:rsidR="00562F64" w:rsidRPr="00AA1AF1" w:rsidRDefault="00562F64" w:rsidP="00555AD1">
      <w:pPr>
        <w:pStyle w:val="Para3"/>
        <w:ind w:left="709"/>
        <w:rPr>
          <w:rFonts w:eastAsia="Arial"/>
        </w:rPr>
      </w:pPr>
      <w:r w:rsidRPr="00AA1AF1">
        <w:rPr>
          <w:rFonts w:eastAsia="Arial"/>
        </w:rPr>
        <w:t>All incubations are carried out at room temperature and all washing steps are done with Tris-buffered saline (TBS).</w:t>
      </w:r>
    </w:p>
    <w:p w14:paraId="41603DDE" w14:textId="77777777" w:rsidR="00562F64" w:rsidRPr="00AA1AF1" w:rsidRDefault="00562F64" w:rsidP="00555AD1">
      <w:pPr>
        <w:pStyle w:val="parai3"/>
        <w:ind w:left="1134"/>
      </w:pPr>
      <w:r w:rsidRPr="00AA1AF1">
        <w:rPr>
          <w:rFonts w:eastAsia="Arial"/>
        </w:rPr>
        <w:t>i)</w:t>
      </w:r>
      <w:r w:rsidRPr="00AA1AF1">
        <w:rPr>
          <w:rFonts w:eastAsia="Arial"/>
        </w:rPr>
        <w:tab/>
        <w:t>Nonspecific antibody binding sites are first blocked in 5% bovine serum albumin (BSA) in TBS for 20</w:t>
      </w:r>
      <w:r>
        <w:rPr>
          <w:rFonts w:eastAsia="Arial"/>
        </w:rPr>
        <w:t> </w:t>
      </w:r>
      <w:r w:rsidRPr="00AA1AF1">
        <w:rPr>
          <w:rFonts w:eastAsia="Arial"/>
        </w:rPr>
        <w:t xml:space="preserve">minutes. The solution is then poured off without washing. </w:t>
      </w:r>
    </w:p>
    <w:p w14:paraId="243250A1" w14:textId="77777777" w:rsidR="00562F64" w:rsidRPr="00C77BF3" w:rsidRDefault="00562F64" w:rsidP="00555AD1">
      <w:pPr>
        <w:pStyle w:val="parai3"/>
        <w:ind w:left="1134"/>
        <w:rPr>
          <w:rFonts w:eastAsia="Arial"/>
        </w:rPr>
      </w:pPr>
      <w:r w:rsidRPr="00AA1AF1">
        <w:rPr>
          <w:rFonts w:eastAsia="Arial"/>
        </w:rPr>
        <w:t>ii)</w:t>
      </w:r>
      <w:r w:rsidRPr="00AA1AF1">
        <w:rPr>
          <w:rFonts w:eastAsia="Arial"/>
        </w:rPr>
        <w:tab/>
        <w:t>Sections are incubated with primary antibody (monoclonal mouse antibody 4H1 against E1 SAV glycoprotein [</w:t>
      </w:r>
      <w:r w:rsidRPr="00C77BF3">
        <w:rPr>
          <w:rFonts w:eastAsia="Arial"/>
        </w:rPr>
        <w:t xml:space="preserve">Todd </w:t>
      </w:r>
      <w:r w:rsidRPr="00C77BF3">
        <w:rPr>
          <w:rFonts w:eastAsia="Arial"/>
          <w:i/>
        </w:rPr>
        <w:t>et al.,</w:t>
      </w:r>
      <w:r w:rsidRPr="00C77BF3">
        <w:rPr>
          <w:rFonts w:eastAsia="Arial"/>
        </w:rPr>
        <w:t xml:space="preserve"> 2001]), diluted 1/3000 in 2.5% BSA in TBS and then incubated overnight, followed by two wash out baths lasting a minimum of 5 minutes. </w:t>
      </w:r>
    </w:p>
    <w:p w14:paraId="394C084E" w14:textId="77777777" w:rsidR="00562F64" w:rsidRPr="00C77BF3" w:rsidRDefault="00562F64" w:rsidP="00555AD1">
      <w:pPr>
        <w:pStyle w:val="parai3"/>
        <w:ind w:left="1134"/>
        <w:rPr>
          <w:rFonts w:eastAsia="Arial"/>
        </w:rPr>
      </w:pPr>
      <w:r w:rsidRPr="00C77BF3">
        <w:rPr>
          <w:rFonts w:eastAsia="Arial"/>
        </w:rPr>
        <w:t>iii)</w:t>
      </w:r>
      <w:r w:rsidRPr="00C77BF3">
        <w:rPr>
          <w:rFonts w:eastAsia="Arial"/>
        </w:rPr>
        <w:tab/>
        <w:t>Sections are incubated with secondary antibody (biotinylated rabbit anti-mouse Ig) diluted 1/300 for 30 minutes, followed by wash out baths as in step ii above.</w:t>
      </w:r>
    </w:p>
    <w:p w14:paraId="34E76DAE" w14:textId="77777777" w:rsidR="00562F64" w:rsidRPr="00C77BF3" w:rsidRDefault="00562F64" w:rsidP="00555AD1">
      <w:pPr>
        <w:pStyle w:val="parai3"/>
        <w:ind w:left="1134"/>
        <w:rPr>
          <w:rFonts w:eastAsia="Arial"/>
        </w:rPr>
      </w:pPr>
      <w:r w:rsidRPr="00C77BF3">
        <w:rPr>
          <w:rFonts w:eastAsia="Arial"/>
        </w:rPr>
        <w:t>iv)</w:t>
      </w:r>
      <w:r w:rsidRPr="00C77BF3">
        <w:rPr>
          <w:rFonts w:eastAsia="Arial"/>
        </w:rPr>
        <w:tab/>
        <w:t>Sections are incubated with streptavidin with alkaline phosphatase 1/500 for 30 minutes followed by wash out baths as in step ii above.</w:t>
      </w:r>
    </w:p>
    <w:p w14:paraId="2D6781C8" w14:textId="77777777" w:rsidR="00562F64" w:rsidRPr="00C77BF3" w:rsidRDefault="00562F64" w:rsidP="00555AD1">
      <w:pPr>
        <w:pStyle w:val="parai3"/>
        <w:ind w:left="1134"/>
        <w:rPr>
          <w:rFonts w:eastAsia="Arial"/>
        </w:rPr>
      </w:pPr>
      <w:r w:rsidRPr="00C77BF3">
        <w:rPr>
          <w:rFonts w:eastAsia="Arial"/>
        </w:rPr>
        <w:t>v)</w:t>
      </w:r>
      <w:r w:rsidRPr="00C77BF3">
        <w:rPr>
          <w:rFonts w:eastAsia="Arial"/>
        </w:rPr>
        <w:tab/>
        <w:t>For detection of bound antibodies, sections are incubated with Fast Red</w:t>
      </w:r>
      <w:r w:rsidRPr="00C77BF3">
        <w:rPr>
          <w:rStyle w:val="Appelnotedebasdep"/>
          <w:rFonts w:eastAsia="Symbol"/>
          <w:szCs w:val="18"/>
        </w:rPr>
        <w:footnoteReference w:id="6"/>
      </w:r>
      <w:r w:rsidRPr="00C77BF3">
        <w:rPr>
          <w:rFonts w:eastAsia="Arial"/>
        </w:rPr>
        <w:t xml:space="preserve"> (1 mg ml</w:t>
      </w:r>
      <w:r w:rsidRPr="00C77BF3">
        <w:rPr>
          <w:rFonts w:eastAsia="Arial"/>
          <w:szCs w:val="14"/>
          <w:vertAlign w:val="superscript"/>
        </w:rPr>
        <w:t>–1</w:t>
      </w:r>
      <w:r w:rsidRPr="00C77BF3">
        <w:rPr>
          <w:rFonts w:eastAsia="Arial"/>
        </w:rPr>
        <w:t>) and Naphthol AS-MX phosphate (0.2 mg ml</w:t>
      </w:r>
      <w:r w:rsidRPr="00C77BF3">
        <w:rPr>
          <w:rFonts w:eastAsia="Arial"/>
          <w:szCs w:val="14"/>
          <w:vertAlign w:val="superscript"/>
        </w:rPr>
        <w:t>–1</w:t>
      </w:r>
      <w:r w:rsidRPr="00C77BF3">
        <w:rPr>
          <w:rFonts w:eastAsia="Arial"/>
        </w:rPr>
        <w:t xml:space="preserve">) with 1 mM Levamisole in 0.1 M TBS (pH 8.2) and allowed to develop for 20 minutes followed by one wash in tap water before counterstaining with Mayer’s haematoxylin and mounting in aqueous mounting medium. </w:t>
      </w:r>
    </w:p>
    <w:p w14:paraId="4D8C9E77" w14:textId="77777777" w:rsidR="00555AD1" w:rsidRPr="008A67C2" w:rsidRDefault="00555AD1" w:rsidP="00555AD1">
      <w:pPr>
        <w:spacing w:after="480" w:line="240" w:lineRule="auto"/>
        <w:rPr>
          <w:rFonts w:cs="Times New Roman"/>
          <w:bCs/>
          <w:iCs/>
          <w:szCs w:val="20"/>
        </w:rPr>
      </w:pPr>
      <w:r w:rsidRPr="008A67C2">
        <w:rPr>
          <w:u w:val="single"/>
        </w:rPr>
        <w:lastRenderedPageBreak/>
        <w:t>A</w:t>
      </w:r>
      <w:r w:rsidRPr="008A67C2">
        <w:rPr>
          <w:rFonts w:cs="Times New Roman"/>
          <w:bCs/>
          <w:iCs/>
          <w:szCs w:val="20"/>
          <w:u w:val="single"/>
        </w:rPr>
        <w:t>nnex 1</w:t>
      </w:r>
      <w:r>
        <w:rPr>
          <w:rFonts w:cs="Times New Roman"/>
          <w:bCs/>
          <w:iCs/>
          <w:szCs w:val="20"/>
          <w:u w:val="single"/>
        </w:rPr>
        <w:t>6</w:t>
      </w:r>
      <w:r w:rsidRPr="008A67C2">
        <w:rPr>
          <w:rFonts w:cs="Times New Roman"/>
          <w:bCs/>
          <w:iCs/>
          <w:szCs w:val="20"/>
        </w:rPr>
        <w:t xml:space="preserve"> (contd)</w:t>
      </w:r>
    </w:p>
    <w:p w14:paraId="76EA99C3" w14:textId="77777777" w:rsidR="00562F64" w:rsidRPr="00AA1AF1" w:rsidRDefault="00562F64" w:rsidP="00555AD1">
      <w:pPr>
        <w:pStyle w:val="Para3"/>
        <w:ind w:left="709"/>
        <w:rPr>
          <w:rFonts w:eastAsia="Arial"/>
        </w:rPr>
      </w:pPr>
      <w:r w:rsidRPr="00C77BF3">
        <w:rPr>
          <w:rFonts w:eastAsia="Arial"/>
        </w:rPr>
        <w:t xml:space="preserve">SAV-positive and SAV-negative tissue sections are included as controls in every setup (Taksdal </w:t>
      </w:r>
      <w:r w:rsidRPr="00C77BF3">
        <w:rPr>
          <w:rFonts w:eastAsia="Arial"/>
          <w:i/>
        </w:rPr>
        <w:t>et al.,</w:t>
      </w:r>
      <w:r w:rsidRPr="00C77BF3">
        <w:rPr>
          <w:rFonts w:eastAsia="Arial"/>
        </w:rPr>
        <w:t xml:space="preserve"> 2007).</w:t>
      </w:r>
    </w:p>
    <w:p w14:paraId="2119D251" w14:textId="77777777" w:rsidR="00562F64" w:rsidRPr="00D10BBF" w:rsidRDefault="00562F64" w:rsidP="00562F64">
      <w:pPr>
        <w:pStyle w:val="11"/>
        <w:rPr>
          <w:rFonts w:ascii="Ottawa" w:hAnsi="Ottawa"/>
          <w:sz w:val="21"/>
          <w:szCs w:val="21"/>
        </w:rPr>
      </w:pPr>
      <w:r w:rsidRPr="00D10BBF">
        <w:rPr>
          <w:rFonts w:ascii="Ottawa" w:hAnsi="Ottawa"/>
          <w:sz w:val="21"/>
          <w:szCs w:val="21"/>
        </w:rPr>
        <w:t>4.8.</w:t>
      </w:r>
      <w:r w:rsidRPr="00D10BBF">
        <w:rPr>
          <w:rFonts w:ascii="Ottawa" w:hAnsi="Ottawa"/>
          <w:sz w:val="21"/>
          <w:szCs w:val="21"/>
        </w:rPr>
        <w:tab/>
        <w:t>Bioassay</w:t>
      </w:r>
    </w:p>
    <w:p w14:paraId="76A6264B" w14:textId="77777777" w:rsidR="00562F64" w:rsidRPr="003820C5" w:rsidRDefault="00562F64" w:rsidP="00555AD1">
      <w:pPr>
        <w:pStyle w:val="Para20"/>
        <w:ind w:left="709"/>
        <w:rPr>
          <w:rFonts w:cs="Arial"/>
        </w:rPr>
      </w:pPr>
      <w:r w:rsidRPr="003820C5">
        <w:t>Not applicable</w:t>
      </w:r>
      <w:r>
        <w:t>.</w:t>
      </w:r>
    </w:p>
    <w:p w14:paraId="5F180647" w14:textId="77777777" w:rsidR="00562F64" w:rsidRPr="00D10BBF" w:rsidRDefault="00562F64" w:rsidP="00562F64">
      <w:pPr>
        <w:pStyle w:val="11"/>
        <w:rPr>
          <w:rFonts w:ascii="Ottawa" w:hAnsi="Ottawa"/>
          <w:sz w:val="21"/>
          <w:szCs w:val="21"/>
        </w:rPr>
      </w:pPr>
      <w:r w:rsidRPr="00D10BBF">
        <w:rPr>
          <w:rFonts w:ascii="Ottawa" w:hAnsi="Ottawa"/>
          <w:sz w:val="21"/>
          <w:szCs w:val="21"/>
        </w:rPr>
        <w:t>4.9.</w:t>
      </w:r>
      <w:r w:rsidRPr="00D10BBF">
        <w:rPr>
          <w:rFonts w:ascii="Ottawa" w:hAnsi="Ottawa"/>
          <w:sz w:val="21"/>
          <w:szCs w:val="21"/>
        </w:rPr>
        <w:tab/>
        <w:t xml:space="preserve">Antibody or antigen-based detection methods </w:t>
      </w:r>
    </w:p>
    <w:p w14:paraId="37B5B586" w14:textId="77777777" w:rsidR="00562F64" w:rsidRPr="005064C7" w:rsidRDefault="00562F64" w:rsidP="00555AD1">
      <w:pPr>
        <w:pStyle w:val="111"/>
        <w:ind w:left="709" w:firstLine="0"/>
      </w:pPr>
      <w:r>
        <w:t>4.9.1.</w:t>
      </w:r>
      <w:r>
        <w:tab/>
      </w:r>
      <w:r w:rsidRPr="005064C7">
        <w:t>Antibody-based verification of SAV growth in cell culture</w:t>
      </w:r>
    </w:p>
    <w:p w14:paraId="5101A674" w14:textId="77777777" w:rsidR="00562F64" w:rsidRPr="00555AD1" w:rsidRDefault="00562F64" w:rsidP="00555AD1">
      <w:pPr>
        <w:pStyle w:val="Para3"/>
        <w:ind w:left="709"/>
        <w:rPr>
          <w:rFonts w:eastAsia="Arial" w:cs="Arial"/>
          <w:szCs w:val="18"/>
        </w:rPr>
      </w:pPr>
      <w:r w:rsidRPr="00555AD1">
        <w:rPr>
          <w:rFonts w:eastAsia="Arial" w:cs="Arial"/>
          <w:szCs w:val="18"/>
        </w:rPr>
        <w:t xml:space="preserve">This </w:t>
      </w:r>
      <w:r w:rsidRPr="00555AD1">
        <w:rPr>
          <w:rFonts w:cs="Arial"/>
          <w:szCs w:val="18"/>
        </w:rPr>
        <w:t>technique should not be used as a screening method.</w:t>
      </w:r>
      <w:r w:rsidRPr="00555AD1">
        <w:rPr>
          <w:rFonts w:eastAsia="Arial" w:cs="Arial"/>
          <w:szCs w:val="18"/>
        </w:rPr>
        <w:t xml:space="preserve"> All incubations below are carried out at room temperature unless otherwise stated.</w:t>
      </w:r>
    </w:p>
    <w:p w14:paraId="475B82A3" w14:textId="77777777" w:rsidR="00562F64" w:rsidRPr="00555AD1" w:rsidRDefault="00562F64" w:rsidP="00555AD1">
      <w:pPr>
        <w:pStyle w:val="Para3i"/>
        <w:ind w:left="1134" w:hanging="425"/>
        <w:rPr>
          <w:rFonts w:ascii="Arial" w:hAnsi="Arial"/>
          <w:sz w:val="18"/>
        </w:rPr>
      </w:pPr>
      <w:r w:rsidRPr="00555AD1">
        <w:rPr>
          <w:rFonts w:ascii="Arial" w:hAnsi="Arial"/>
          <w:sz w:val="18"/>
        </w:rPr>
        <w:t>i)</w:t>
      </w:r>
      <w:r w:rsidRPr="00555AD1">
        <w:rPr>
          <w:rFonts w:ascii="Arial" w:hAnsi="Arial"/>
          <w:sz w:val="18"/>
        </w:rPr>
        <w:tab/>
        <w:t>Prepare monolayers of cells in appropriate tissue culture plates (e.g. 96-well plates) or on cover-slips, depending on the type of microscope available (an inverted microscope equipped with UV light is necessary for monolayers grown on tissue culture plates). The necessary monolayers for negative and positive controls must be included.</w:t>
      </w:r>
    </w:p>
    <w:p w14:paraId="1CAF8088" w14:textId="77777777" w:rsidR="00562F64" w:rsidRPr="00555AD1" w:rsidRDefault="00562F64" w:rsidP="00555AD1">
      <w:pPr>
        <w:pStyle w:val="Para3i"/>
        <w:ind w:left="1134" w:hanging="425"/>
        <w:rPr>
          <w:rFonts w:ascii="Arial" w:hAnsi="Arial"/>
          <w:sz w:val="18"/>
        </w:rPr>
      </w:pPr>
      <w:r w:rsidRPr="00555AD1">
        <w:rPr>
          <w:rFonts w:ascii="Arial" w:hAnsi="Arial"/>
          <w:sz w:val="18"/>
        </w:rPr>
        <w:t>ii)</w:t>
      </w:r>
      <w:r w:rsidRPr="00555AD1">
        <w:rPr>
          <w:rFonts w:ascii="Arial" w:hAnsi="Arial"/>
          <w:sz w:val="18"/>
        </w:rPr>
        <w:tab/>
        <w:t>Inoculate the monolayers with the virus suspensions to be identified in tenfold dilutions, two monolayers for each dilution. Add positive virus control in dilutions known to give a good staining reaction. Incubate inoculated cell cultures at 15°C for 9–11 days.</w:t>
      </w:r>
    </w:p>
    <w:p w14:paraId="13E2A8AB" w14:textId="77777777" w:rsidR="00562F64" w:rsidRPr="00555AD1" w:rsidRDefault="00562F64" w:rsidP="00555AD1">
      <w:pPr>
        <w:pStyle w:val="Para3i"/>
        <w:ind w:left="1134" w:hanging="425"/>
        <w:rPr>
          <w:rFonts w:ascii="Arial" w:hAnsi="Arial"/>
          <w:sz w:val="18"/>
        </w:rPr>
      </w:pPr>
      <w:r w:rsidRPr="00555AD1">
        <w:rPr>
          <w:rFonts w:ascii="Arial" w:hAnsi="Arial"/>
          <w:sz w:val="18"/>
        </w:rPr>
        <w:t>iii)</w:t>
      </w:r>
      <w:r w:rsidRPr="00555AD1">
        <w:rPr>
          <w:rFonts w:ascii="Arial" w:hAnsi="Arial"/>
          <w:sz w:val="18"/>
        </w:rPr>
        <w:tab/>
        <w:t>Fix in 80% acetone for 20 minutes after removing cell culture medium and rinsing once with 80% acetone. Remove the fixative and air dry for 1 hour. If necessary, the fixed cell cultures may be stored dry for 14 days at 4°C until staining.</w:t>
      </w:r>
    </w:p>
    <w:p w14:paraId="796D51A1" w14:textId="77777777" w:rsidR="00562F64" w:rsidRPr="00555AD1" w:rsidRDefault="00562F64" w:rsidP="00555AD1">
      <w:pPr>
        <w:pStyle w:val="Para3i"/>
        <w:ind w:left="1134" w:hanging="425"/>
        <w:rPr>
          <w:rFonts w:ascii="Arial" w:hAnsi="Arial"/>
          <w:sz w:val="18"/>
        </w:rPr>
      </w:pPr>
      <w:r w:rsidRPr="00555AD1">
        <w:rPr>
          <w:rFonts w:ascii="Arial" w:hAnsi="Arial"/>
          <w:sz w:val="18"/>
        </w:rPr>
        <w:t>iv)</w:t>
      </w:r>
      <w:r w:rsidRPr="00555AD1">
        <w:rPr>
          <w:rFonts w:ascii="Arial" w:hAnsi="Arial"/>
          <w:sz w:val="18"/>
        </w:rPr>
        <w:tab/>
        <w:t xml:space="preserve">Incubate the cell monolayers with anti-SAV MAb in an appropriate dilution in phosphate-buffered saline (PBS) for 1 hour and rinse three times with PBS with 0.05% Tween 20. </w:t>
      </w:r>
    </w:p>
    <w:p w14:paraId="71E17F74" w14:textId="77777777" w:rsidR="00562F64" w:rsidRPr="00555AD1" w:rsidRDefault="00562F64" w:rsidP="00555AD1">
      <w:pPr>
        <w:pStyle w:val="Para3i"/>
        <w:ind w:left="1134" w:hanging="425"/>
        <w:rPr>
          <w:rFonts w:ascii="Arial" w:hAnsi="Arial"/>
          <w:sz w:val="18"/>
        </w:rPr>
      </w:pPr>
      <w:r w:rsidRPr="00555AD1">
        <w:rPr>
          <w:rFonts w:ascii="Arial" w:hAnsi="Arial"/>
          <w:sz w:val="18"/>
        </w:rPr>
        <w:t>v)</w:t>
      </w:r>
      <w:r w:rsidRPr="00555AD1">
        <w:rPr>
          <w:rFonts w:ascii="Arial" w:hAnsi="Arial"/>
          <w:sz w:val="18"/>
        </w:rPr>
        <w:tab/>
        <w:t>Incubate with fluorescein isothiocyanate (FITC)-conjugated anti-mouse immunoglobulin for 1 hour (or if the primary Ab is polyclonal from rabbits, use FITC-conjugated antibody against rabbit immunoglobulin), according to the instructions of the supplier. To increase the sensitivity of the test, FITC-conjugated anti-mouse Ig may be replaced with biotin-labelled anti-mouse Ig and FITC-labelled streptavidin with rinsing as in step d) in between the step</w:t>
      </w:r>
      <w:r w:rsidRPr="00555AD1">
        <w:rPr>
          <w:rFonts w:ascii="Arial" w:hAnsi="Arial"/>
          <w:sz w:val="18"/>
          <w:lang w:val="en-US"/>
        </w:rPr>
        <w:t>s</w:t>
      </w:r>
      <w:r w:rsidRPr="00555AD1">
        <w:rPr>
          <w:rFonts w:ascii="Arial" w:hAnsi="Arial"/>
          <w:sz w:val="18"/>
        </w:rPr>
        <w:t>. The nuclei can be stained with propidium iodide (100 µg ml</w:t>
      </w:r>
      <w:r w:rsidRPr="00555AD1">
        <w:rPr>
          <w:rFonts w:ascii="Arial" w:hAnsi="Arial"/>
          <w:sz w:val="18"/>
          <w:vertAlign w:val="superscript"/>
        </w:rPr>
        <w:t xml:space="preserve">–1 </w:t>
      </w:r>
      <w:r w:rsidRPr="00555AD1">
        <w:rPr>
          <w:rFonts w:ascii="Arial" w:hAnsi="Arial"/>
          <w:sz w:val="18"/>
        </w:rPr>
        <w:t xml:space="preserve">in sterile distilled water). Add PBS (without Tween 20) and examine under UV light. To avoid fading, the stained plates should be kept in the dark until examination. For long periods of storage (more than 2–3 weeks) a solution of 1,4-diazabicyclooctane (DABCO 2.5% in PBS, pH 8.2) or similar reagent may be added as an anti-fade solution. </w:t>
      </w:r>
    </w:p>
    <w:p w14:paraId="72E3699E" w14:textId="77777777" w:rsidR="00562F64" w:rsidRPr="00555AD1" w:rsidRDefault="00562F64" w:rsidP="00555AD1">
      <w:pPr>
        <w:pStyle w:val="11"/>
        <w:ind w:left="851" w:hanging="567"/>
        <w:rPr>
          <w:rFonts w:ascii="Ottawa" w:hAnsi="Ottawa"/>
          <w:sz w:val="21"/>
          <w:szCs w:val="21"/>
        </w:rPr>
      </w:pPr>
      <w:r w:rsidRPr="00555AD1">
        <w:rPr>
          <w:rFonts w:ascii="Ottawa" w:hAnsi="Ottawa"/>
          <w:sz w:val="21"/>
          <w:szCs w:val="21"/>
        </w:rPr>
        <w:t>4.10.</w:t>
      </w:r>
      <w:r w:rsidRPr="00555AD1">
        <w:rPr>
          <w:rFonts w:ascii="Ottawa" w:hAnsi="Ottawa"/>
          <w:sz w:val="21"/>
          <w:szCs w:val="21"/>
        </w:rPr>
        <w:tab/>
        <w:t>Other methods</w:t>
      </w:r>
    </w:p>
    <w:p w14:paraId="1957C292" w14:textId="2483BE68" w:rsidR="00562F64" w:rsidRPr="003820C5" w:rsidRDefault="00555AD1" w:rsidP="00555AD1">
      <w:pPr>
        <w:pStyle w:val="111"/>
        <w:ind w:firstLine="0"/>
      </w:pPr>
      <w:r>
        <w:t xml:space="preserve">4.10.1. </w:t>
      </w:r>
      <w:r w:rsidR="00562F64" w:rsidRPr="003820C5">
        <w:t xml:space="preserve">Immunoperoxidase-based serum neutralisation assay </w:t>
      </w:r>
    </w:p>
    <w:p w14:paraId="56D00B5E" w14:textId="77777777" w:rsidR="00562F64" w:rsidRPr="00555AD1" w:rsidRDefault="00562F64" w:rsidP="00562F64">
      <w:pPr>
        <w:pStyle w:val="Para4"/>
        <w:spacing w:after="120"/>
        <w:ind w:left="851"/>
        <w:rPr>
          <w:rFonts w:cs="Arial"/>
          <w:szCs w:val="18"/>
        </w:rPr>
      </w:pPr>
      <w:r w:rsidRPr="00555AD1">
        <w:rPr>
          <w:rFonts w:cs="Arial"/>
          <w:szCs w:val="18"/>
        </w:rPr>
        <w:t xml:space="preserve">Experimental studies have shown that neutralising antibodies can first be detected 10–16 days post-infection (Graham </w:t>
      </w:r>
      <w:r w:rsidRPr="00555AD1">
        <w:rPr>
          <w:rFonts w:cs="Arial"/>
          <w:i/>
          <w:iCs/>
          <w:szCs w:val="18"/>
        </w:rPr>
        <w:t>et al.,</w:t>
      </w:r>
      <w:r w:rsidRPr="00555AD1">
        <w:rPr>
          <w:rFonts w:cs="Arial"/>
          <w:szCs w:val="18"/>
        </w:rPr>
        <w:t xml:space="preserve"> 2003), and serum neutralisation (SN) assays can be used as a diagnostic tool for the detection of SAV antibodies. SN assays are based on the presence or absence of detectable virus growth in cultured cells following incubation with serum that may contain neutralising antibodies. In addition, the assay allows detection of virus in serum or plasma, if present. </w:t>
      </w:r>
    </w:p>
    <w:p w14:paraId="0650F50F" w14:textId="77777777" w:rsidR="00562F64" w:rsidRPr="00555AD1" w:rsidRDefault="00562F64" w:rsidP="00562F64">
      <w:pPr>
        <w:pStyle w:val="Para4"/>
        <w:spacing w:after="120"/>
        <w:ind w:left="851"/>
        <w:rPr>
          <w:rFonts w:cs="Arial"/>
          <w:szCs w:val="18"/>
        </w:rPr>
      </w:pPr>
      <w:r w:rsidRPr="00555AD1">
        <w:rPr>
          <w:rFonts w:cs="Arial"/>
          <w:szCs w:val="18"/>
        </w:rPr>
        <w:t>CHSE-214 cells are grown as described in Section 4.3.1 Cell lines. A suspension of trypsinised cells, diluted 1/3 in growth medium (10% FBS) is prepared for the SN assay.</w:t>
      </w:r>
    </w:p>
    <w:p w14:paraId="6AD6071B" w14:textId="77777777" w:rsidR="00562F64" w:rsidRPr="00555AD1" w:rsidRDefault="00562F64" w:rsidP="00562F64">
      <w:pPr>
        <w:pStyle w:val="Para3i"/>
        <w:rPr>
          <w:rFonts w:ascii="Arial" w:hAnsi="Arial"/>
          <w:sz w:val="18"/>
        </w:rPr>
      </w:pPr>
      <w:r w:rsidRPr="00555AD1">
        <w:rPr>
          <w:rFonts w:ascii="Arial" w:hAnsi="Arial"/>
          <w:sz w:val="18"/>
        </w:rPr>
        <w:t>i)</w:t>
      </w:r>
      <w:r w:rsidRPr="00555AD1">
        <w:rPr>
          <w:rFonts w:ascii="Arial" w:hAnsi="Arial"/>
          <w:sz w:val="18"/>
        </w:rPr>
        <w:tab/>
        <w:t>1/20 and 1/40 dilutions of each test serum are prepared in maintenance medium (2% FBS), and transferred to two duplicate wells (15 µl per well) on a flat-bottomed tissue culture grade microtitre plate. An equal volume of virus (100 TCID</w:t>
      </w:r>
      <w:r w:rsidRPr="00555AD1">
        <w:rPr>
          <w:rFonts w:ascii="Arial" w:hAnsi="Arial"/>
          <w:sz w:val="18"/>
          <w:vertAlign w:val="subscript"/>
        </w:rPr>
        <w:t>50</w:t>
      </w:r>
      <w:r w:rsidRPr="00555AD1">
        <w:rPr>
          <w:rFonts w:ascii="Arial" w:hAnsi="Arial"/>
          <w:sz w:val="18"/>
        </w:rPr>
        <w:t xml:space="preserve"> [median tissue culture infective dose]) is added and the plate is incubated for 2 hours at room temperature.</w:t>
      </w:r>
    </w:p>
    <w:p w14:paraId="2FDB7BAA" w14:textId="77777777" w:rsidR="00562F64" w:rsidRPr="00555AD1" w:rsidRDefault="00562F64" w:rsidP="00562F64">
      <w:pPr>
        <w:pStyle w:val="Para3i"/>
        <w:rPr>
          <w:rFonts w:ascii="Arial" w:hAnsi="Arial"/>
          <w:sz w:val="18"/>
          <w:lang w:eastAsia="fr-FR"/>
        </w:rPr>
      </w:pPr>
      <w:r w:rsidRPr="00555AD1">
        <w:rPr>
          <w:rFonts w:ascii="Arial" w:hAnsi="Arial"/>
          <w:sz w:val="18"/>
          <w:lang w:eastAsia="fr-FR"/>
        </w:rPr>
        <w:t>ii)</w:t>
      </w:r>
      <w:r w:rsidRPr="00555AD1">
        <w:rPr>
          <w:rFonts w:ascii="Arial" w:hAnsi="Arial"/>
          <w:sz w:val="18"/>
          <w:lang w:eastAsia="fr-FR"/>
        </w:rPr>
        <w:tab/>
        <w:t>70 µl of maintenance medium, and 50 µl of the CHSE-214 cell suspension is added to each well, and the plates are incubated for 3 days at 15°C.</w:t>
      </w:r>
    </w:p>
    <w:p w14:paraId="4C7847EE" w14:textId="77777777" w:rsidR="00555AD1" w:rsidRDefault="00555AD1">
      <w:pPr>
        <w:rPr>
          <w:u w:val="single"/>
          <w:lang w:val="en-IE"/>
        </w:rPr>
      </w:pPr>
      <w:r>
        <w:rPr>
          <w:u w:val="single"/>
          <w:lang w:val="en-IE"/>
        </w:rPr>
        <w:br w:type="page"/>
      </w:r>
    </w:p>
    <w:p w14:paraId="2B5B423A" w14:textId="66AB1602" w:rsidR="00555AD1" w:rsidRPr="008A67C2" w:rsidRDefault="00555AD1" w:rsidP="00555AD1">
      <w:pPr>
        <w:spacing w:after="480" w:line="240" w:lineRule="auto"/>
        <w:jc w:val="right"/>
        <w:rPr>
          <w:rFonts w:cs="Times New Roman"/>
          <w:bCs/>
          <w:iCs/>
          <w:szCs w:val="20"/>
        </w:rPr>
      </w:pPr>
      <w:r w:rsidRPr="008A67C2">
        <w:rPr>
          <w:u w:val="single"/>
        </w:rPr>
        <w:lastRenderedPageBreak/>
        <w:t>A</w:t>
      </w:r>
      <w:r w:rsidRPr="008A67C2">
        <w:rPr>
          <w:rFonts w:cs="Times New Roman"/>
          <w:bCs/>
          <w:iCs/>
          <w:szCs w:val="20"/>
          <w:u w:val="single"/>
        </w:rPr>
        <w:t>nnex 1</w:t>
      </w:r>
      <w:r>
        <w:rPr>
          <w:rFonts w:cs="Times New Roman"/>
          <w:bCs/>
          <w:iCs/>
          <w:szCs w:val="20"/>
          <w:u w:val="single"/>
        </w:rPr>
        <w:t>6</w:t>
      </w:r>
      <w:r w:rsidRPr="008A67C2">
        <w:rPr>
          <w:rFonts w:cs="Times New Roman"/>
          <w:bCs/>
          <w:iCs/>
          <w:szCs w:val="20"/>
        </w:rPr>
        <w:t xml:space="preserve"> (contd)</w:t>
      </w:r>
    </w:p>
    <w:p w14:paraId="1223EF1E" w14:textId="77777777" w:rsidR="00562F64" w:rsidRPr="00555AD1" w:rsidRDefault="00562F64" w:rsidP="00562F64">
      <w:pPr>
        <w:pStyle w:val="Para3i"/>
        <w:rPr>
          <w:rFonts w:ascii="Arial" w:hAnsi="Arial"/>
          <w:sz w:val="18"/>
          <w:lang w:eastAsia="fr-FR"/>
        </w:rPr>
      </w:pPr>
      <w:r w:rsidRPr="00555AD1">
        <w:rPr>
          <w:rFonts w:ascii="Arial" w:hAnsi="Arial"/>
          <w:sz w:val="18"/>
          <w:lang w:eastAsia="fr-FR"/>
        </w:rPr>
        <w:t>iii)</w:t>
      </w:r>
      <w:r w:rsidRPr="00555AD1">
        <w:rPr>
          <w:rFonts w:ascii="Arial" w:hAnsi="Arial"/>
          <w:sz w:val="18"/>
          <w:lang w:eastAsia="fr-FR"/>
        </w:rPr>
        <w:tab/>
        <w:t xml:space="preserve">The cell monolayer is then fixed and stained as described in Section 4.9.1 </w:t>
      </w:r>
      <w:r w:rsidRPr="00555AD1">
        <w:rPr>
          <w:rFonts w:ascii="Arial" w:hAnsi="Arial"/>
          <w:i/>
          <w:sz w:val="18"/>
        </w:rPr>
        <w:t xml:space="preserve">Antibody-based </w:t>
      </w:r>
      <w:r w:rsidRPr="00555AD1">
        <w:rPr>
          <w:rFonts w:ascii="Arial" w:eastAsia="Arial" w:hAnsi="Arial"/>
          <w:i/>
          <w:sz w:val="18"/>
        </w:rPr>
        <w:t>verification of SAV growth in cell culture</w:t>
      </w:r>
      <w:r w:rsidRPr="00555AD1">
        <w:rPr>
          <w:rFonts w:ascii="Arial" w:eastAsia="Arial" w:hAnsi="Arial"/>
          <w:sz w:val="18"/>
        </w:rPr>
        <w:t xml:space="preserve">, </w:t>
      </w:r>
      <w:r w:rsidRPr="00555AD1">
        <w:rPr>
          <w:rFonts w:ascii="Arial" w:hAnsi="Arial"/>
          <w:sz w:val="18"/>
          <w:lang w:eastAsia="fr-FR"/>
        </w:rPr>
        <w:t>or using the following procedure: monolayers of CHSE-214 cells are fixed for 30 minutes at room temperature in 10% neutral buffered formalin. Following two washes with 0.01 M PBS, a MAb against SAV is added to the monolayers in an appropriate dilution. Bound MAb is visualised using a labelled streptavidin–biotin system according to the manufacturer’s instructions.</w:t>
      </w:r>
    </w:p>
    <w:p w14:paraId="07991AE2" w14:textId="77777777" w:rsidR="00562F64" w:rsidRPr="00555AD1" w:rsidRDefault="00562F64" w:rsidP="00562F64">
      <w:pPr>
        <w:pStyle w:val="Para3i"/>
        <w:rPr>
          <w:rFonts w:ascii="Arial" w:hAnsi="Arial"/>
          <w:b/>
          <w:bCs/>
          <w:sz w:val="18"/>
          <w:lang w:eastAsia="fr-FR"/>
        </w:rPr>
      </w:pPr>
      <w:r w:rsidRPr="00555AD1">
        <w:rPr>
          <w:rFonts w:ascii="Arial" w:hAnsi="Arial"/>
          <w:sz w:val="18"/>
          <w:lang w:eastAsia="fr-FR"/>
        </w:rPr>
        <w:t>iv)</w:t>
      </w:r>
      <w:r w:rsidRPr="00555AD1">
        <w:rPr>
          <w:rFonts w:ascii="Arial" w:hAnsi="Arial"/>
          <w:sz w:val="18"/>
          <w:lang w:eastAsia="fr-FR"/>
        </w:rPr>
        <w:tab/>
        <w:t>SN titres (ND</w:t>
      </w:r>
      <w:r w:rsidRPr="00555AD1">
        <w:rPr>
          <w:rFonts w:ascii="Arial" w:hAnsi="Arial"/>
          <w:sz w:val="18"/>
          <w:vertAlign w:val="subscript"/>
          <w:lang w:eastAsia="fr-FR"/>
        </w:rPr>
        <w:t>50</w:t>
      </w:r>
      <w:r w:rsidRPr="00555AD1">
        <w:rPr>
          <w:rFonts w:ascii="Arial" w:hAnsi="Arial"/>
          <w:sz w:val="18"/>
          <w:lang w:eastAsia="fr-FR"/>
        </w:rPr>
        <w:t>) are then calculated according to the method of Karber (1931), with titres ≥ 1:20 being considered positive. Both serum controls (without virus added) and a virus control (without serum added) must always be included in the assay, to ensure valid results.</w:t>
      </w:r>
    </w:p>
    <w:p w14:paraId="17A9006F" w14:textId="77777777" w:rsidR="00562F64" w:rsidRPr="00A175F0" w:rsidRDefault="00562F64" w:rsidP="00562F64">
      <w:pPr>
        <w:pStyle w:val="10"/>
        <w:rPr>
          <w:rFonts w:ascii="Ottawa" w:hAnsi="Ottawa"/>
          <w:sz w:val="22"/>
          <w:szCs w:val="22"/>
        </w:rPr>
      </w:pPr>
      <w:r w:rsidRPr="00A175F0">
        <w:rPr>
          <w:rFonts w:ascii="Ottawa" w:hAnsi="Ottawa"/>
          <w:sz w:val="22"/>
          <w:szCs w:val="22"/>
        </w:rPr>
        <w:t>5.</w:t>
      </w:r>
      <w:r w:rsidRPr="00A175F0">
        <w:rPr>
          <w:rFonts w:ascii="Ottawa" w:hAnsi="Ottawa"/>
          <w:sz w:val="22"/>
          <w:szCs w:val="22"/>
        </w:rPr>
        <w:tab/>
        <w:t>Test(s) recommended for surveillance to demonstrate freedom in apparently healthy populations</w:t>
      </w:r>
    </w:p>
    <w:p w14:paraId="49825BDE" w14:textId="77777777" w:rsidR="00562F64" w:rsidRPr="003820C5" w:rsidRDefault="00562F64" w:rsidP="00555AD1">
      <w:pPr>
        <w:pStyle w:val="Para10"/>
        <w:ind w:left="284"/>
      </w:pPr>
      <w:r w:rsidRPr="003820C5">
        <w:t xml:space="preserve">The recommended test to be used in surveillance of susceptible fish populations for declaration of freedom from SAV </w:t>
      </w:r>
      <w:r>
        <w:t>is</w:t>
      </w:r>
      <w:r w:rsidRPr="003820C5">
        <w:t xml:space="preserve"> real-time RT-PCR as described in Section 4.4.1. in this chapter. </w:t>
      </w:r>
    </w:p>
    <w:p w14:paraId="290B40AC" w14:textId="77777777" w:rsidR="00562F64" w:rsidRPr="00A175F0" w:rsidRDefault="00562F64" w:rsidP="00562F64">
      <w:pPr>
        <w:pStyle w:val="10"/>
        <w:rPr>
          <w:rFonts w:ascii="Ottawa" w:hAnsi="Ottawa"/>
          <w:sz w:val="22"/>
          <w:szCs w:val="22"/>
        </w:rPr>
      </w:pPr>
      <w:r w:rsidRPr="00A175F0">
        <w:rPr>
          <w:rFonts w:ascii="Ottawa" w:hAnsi="Ottawa"/>
          <w:sz w:val="22"/>
          <w:szCs w:val="22"/>
        </w:rPr>
        <w:t>6.</w:t>
      </w:r>
      <w:r w:rsidRPr="00A175F0">
        <w:rPr>
          <w:rFonts w:ascii="Ottawa" w:hAnsi="Ottawa"/>
          <w:sz w:val="22"/>
          <w:szCs w:val="22"/>
        </w:rPr>
        <w:tab/>
        <w:t>Corroborative diagnostic criteria</w:t>
      </w:r>
    </w:p>
    <w:p w14:paraId="2FBCC4FA" w14:textId="77777777" w:rsidR="00562F64" w:rsidRPr="0002379E" w:rsidRDefault="00562F64" w:rsidP="00555AD1">
      <w:pPr>
        <w:pStyle w:val="Para10"/>
        <w:ind w:left="284"/>
        <w:rPr>
          <w:rFonts w:cs="Arial"/>
        </w:rPr>
      </w:pPr>
      <w:r w:rsidRPr="0002379E">
        <w:rPr>
          <w:rFonts w:cs="Arial"/>
        </w:rPr>
        <w:t>This section only addresses the diagnostic test results for detection of infection in the absence (Section 6.1.) or in the presence of clinical signs (Section 6.2.) but does not evaluate whether the infectious agent is the cause of the clinical event.</w:t>
      </w:r>
    </w:p>
    <w:p w14:paraId="77DD7106" w14:textId="77777777" w:rsidR="00562F64" w:rsidRPr="0002379E" w:rsidRDefault="00562F64" w:rsidP="00555AD1">
      <w:pPr>
        <w:pStyle w:val="Para10"/>
        <w:ind w:left="284"/>
        <w:rPr>
          <w:rFonts w:cs="Arial"/>
          <w:szCs w:val="18"/>
        </w:rPr>
      </w:pPr>
      <w:r w:rsidRPr="0002379E">
        <w:rPr>
          <w:rFonts w:cs="Arial"/>
          <w:szCs w:val="18"/>
        </w:rPr>
        <w:t xml:space="preserve">The case definitions for a suspect and confirmed case have been developed to support decision making related to trade and confirmation of disease status at the country, zone or compartment level. Case definitions for disease confirmation in endemically affected areas may be less stringent. </w:t>
      </w:r>
      <w:r w:rsidRPr="0002379E">
        <w:rPr>
          <w:rFonts w:cs="Arial"/>
        </w:rPr>
        <w:t>It is recommended that all samples that yield suspect positive test results in an otherwise pathogen-free country or zone or compartment should be referred immediately to the OIE Reference Laboratory for confirmation, whether or not clinical signs are associated with the case. If a laboratory does not have the capacity to undertake the necessary diagnostic tests it should seek advice from the appropriate OIE Reference Laboratory.</w:t>
      </w:r>
    </w:p>
    <w:p w14:paraId="0545FAF4" w14:textId="77777777" w:rsidR="00562F64" w:rsidRPr="00555AD1" w:rsidRDefault="00562F64" w:rsidP="00562F64">
      <w:pPr>
        <w:pStyle w:val="11"/>
        <w:rPr>
          <w:rFonts w:ascii="Ottawa" w:hAnsi="Ottawa" w:cs="Arial"/>
          <w:sz w:val="21"/>
          <w:szCs w:val="21"/>
        </w:rPr>
      </w:pPr>
      <w:r w:rsidRPr="00555AD1">
        <w:rPr>
          <w:rFonts w:ascii="Ottawa" w:hAnsi="Ottawa" w:cs="Arial"/>
          <w:sz w:val="21"/>
          <w:szCs w:val="21"/>
          <w:lang w:val="en-IE"/>
        </w:rPr>
        <w:t>6</w:t>
      </w:r>
      <w:r w:rsidRPr="00555AD1">
        <w:rPr>
          <w:rFonts w:ascii="Ottawa" w:hAnsi="Ottawa" w:cs="Arial"/>
          <w:sz w:val="21"/>
          <w:szCs w:val="21"/>
        </w:rPr>
        <w:t>.1.</w:t>
      </w:r>
      <w:r w:rsidRPr="00555AD1">
        <w:rPr>
          <w:rFonts w:ascii="Ottawa" w:hAnsi="Ottawa" w:cs="Arial"/>
          <w:sz w:val="21"/>
          <w:szCs w:val="21"/>
        </w:rPr>
        <w:tab/>
        <w:t>Apparently healthy animals or animals of unknown health</w:t>
      </w:r>
      <w:r w:rsidRPr="00555AD1">
        <w:rPr>
          <w:rFonts w:ascii="Ottawa" w:hAnsi="Ottawa" w:cs="Arial"/>
          <w:sz w:val="21"/>
          <w:szCs w:val="21"/>
          <w:lang w:val="en-IE"/>
        </w:rPr>
        <w:t xml:space="preserve"> status</w:t>
      </w:r>
      <w:r w:rsidRPr="00555AD1">
        <w:rPr>
          <w:rStyle w:val="Appelnotedebasdep"/>
          <w:rFonts w:ascii="Ottawa" w:hAnsi="Ottawa" w:cs="Arial"/>
          <w:sz w:val="21"/>
          <w:szCs w:val="21"/>
        </w:rPr>
        <w:footnoteReference w:id="7"/>
      </w:r>
    </w:p>
    <w:p w14:paraId="68B91B36" w14:textId="77777777" w:rsidR="00562F64" w:rsidRPr="00555AD1" w:rsidRDefault="00562F64" w:rsidP="00555AD1">
      <w:pPr>
        <w:pStyle w:val="Para20"/>
        <w:ind w:left="709"/>
        <w:rPr>
          <w:rFonts w:cs="Arial"/>
        </w:rPr>
      </w:pPr>
      <w:r w:rsidRPr="00555AD1">
        <w:rPr>
          <w:rFonts w:cs="Arial"/>
        </w:rPr>
        <w:t xml:space="preserve">Apparently healthy populations may fall under suspicion, and therefore be sampled, if there is an epidemiological link(s) to an infected population. Geographic proximity to, or movement of animals or animal products or equipment, etc., from a known infected population equate to an epidemiological link. Alternatively, healthy populations are sampled in surveys to demonstrate disease freedom. </w:t>
      </w:r>
    </w:p>
    <w:p w14:paraId="2055C5C7" w14:textId="77777777" w:rsidR="00562F64" w:rsidRPr="00555AD1" w:rsidRDefault="00562F64" w:rsidP="00555AD1">
      <w:pPr>
        <w:pStyle w:val="111"/>
        <w:spacing w:after="240"/>
        <w:ind w:left="1276"/>
        <w:rPr>
          <w:rFonts w:cs="Arial"/>
        </w:rPr>
      </w:pPr>
      <w:r w:rsidRPr="00555AD1">
        <w:rPr>
          <w:rFonts w:cs="Arial"/>
        </w:rPr>
        <w:t>6.1.1.</w:t>
      </w:r>
      <w:r w:rsidRPr="00555AD1">
        <w:rPr>
          <w:rFonts w:cs="Arial"/>
        </w:rPr>
        <w:tab/>
        <w:t>Definition of suspect case in apparently healthy animals</w:t>
      </w:r>
    </w:p>
    <w:p w14:paraId="159130FF" w14:textId="77777777" w:rsidR="00562F64" w:rsidRPr="00555AD1" w:rsidRDefault="00562F64" w:rsidP="00555AD1">
      <w:pPr>
        <w:pStyle w:val="Para3"/>
        <w:ind w:left="709"/>
        <w:rPr>
          <w:rFonts w:cs="Arial"/>
        </w:rPr>
      </w:pPr>
      <w:r w:rsidRPr="00555AD1">
        <w:rPr>
          <w:rFonts w:cs="Arial"/>
        </w:rPr>
        <w:t>The presence of infection with SAV shall be suspected if at least one of the following criteria is met:</w:t>
      </w:r>
    </w:p>
    <w:p w14:paraId="7E1167F9" w14:textId="77777777" w:rsidR="00562F64" w:rsidRPr="00555AD1" w:rsidRDefault="00562F64" w:rsidP="00555AD1">
      <w:pPr>
        <w:pStyle w:val="Para3i"/>
        <w:ind w:left="1134" w:hanging="425"/>
        <w:rPr>
          <w:rFonts w:ascii="Arial" w:hAnsi="Arial"/>
        </w:rPr>
      </w:pPr>
      <w:r w:rsidRPr="00555AD1">
        <w:rPr>
          <w:rFonts w:ascii="Arial" w:hAnsi="Arial"/>
        </w:rPr>
        <w:t>i)</w:t>
      </w:r>
      <w:r w:rsidRPr="00555AD1">
        <w:rPr>
          <w:rFonts w:ascii="Arial" w:hAnsi="Arial"/>
        </w:rPr>
        <w:tab/>
        <w:t>Positive result by real-time RT-PCR</w:t>
      </w:r>
    </w:p>
    <w:p w14:paraId="7CCEA447" w14:textId="77777777" w:rsidR="00562F64" w:rsidRPr="00555AD1" w:rsidRDefault="00562F64" w:rsidP="00555AD1">
      <w:pPr>
        <w:pStyle w:val="Para3i"/>
        <w:ind w:left="1134" w:hanging="425"/>
        <w:rPr>
          <w:rFonts w:ascii="Arial" w:hAnsi="Arial"/>
          <w:strike/>
        </w:rPr>
      </w:pPr>
      <w:r w:rsidRPr="00555AD1">
        <w:rPr>
          <w:rFonts w:ascii="Arial" w:hAnsi="Arial"/>
        </w:rPr>
        <w:t>ii)</w:t>
      </w:r>
      <w:r w:rsidRPr="00555AD1">
        <w:rPr>
          <w:rFonts w:ascii="Arial" w:hAnsi="Arial"/>
        </w:rPr>
        <w:tab/>
        <w:t xml:space="preserve">Positive result by conventional RT-PCR </w:t>
      </w:r>
    </w:p>
    <w:p w14:paraId="1E813C7E" w14:textId="77777777" w:rsidR="00562F64" w:rsidRPr="00555AD1" w:rsidRDefault="00562F64" w:rsidP="00555AD1">
      <w:pPr>
        <w:pStyle w:val="Para3i"/>
        <w:ind w:left="1134" w:hanging="425"/>
        <w:rPr>
          <w:rFonts w:ascii="Arial" w:eastAsia="Arial" w:hAnsi="Arial"/>
        </w:rPr>
      </w:pPr>
      <w:r w:rsidRPr="00555AD1">
        <w:rPr>
          <w:rFonts w:ascii="Arial" w:eastAsia="Arial" w:hAnsi="Arial"/>
        </w:rPr>
        <w:t>iii)</w:t>
      </w:r>
      <w:r w:rsidRPr="00555AD1">
        <w:rPr>
          <w:rFonts w:ascii="Arial" w:eastAsia="Arial" w:hAnsi="Arial"/>
        </w:rPr>
        <w:tab/>
        <w:t xml:space="preserve">SAV-typical CPE in cell culture </w:t>
      </w:r>
    </w:p>
    <w:p w14:paraId="5EFA7B9F" w14:textId="77777777" w:rsidR="00562F64" w:rsidRPr="00555AD1" w:rsidRDefault="00562F64" w:rsidP="00555AD1">
      <w:pPr>
        <w:pStyle w:val="Para3i"/>
        <w:ind w:left="1134" w:hanging="425"/>
        <w:rPr>
          <w:rFonts w:ascii="Arial" w:eastAsia="Arial" w:hAnsi="Arial"/>
        </w:rPr>
      </w:pPr>
      <w:r w:rsidRPr="00555AD1">
        <w:rPr>
          <w:rFonts w:ascii="Arial" w:hAnsi="Arial"/>
        </w:rPr>
        <w:t>iv)</w:t>
      </w:r>
      <w:r w:rsidRPr="00555AD1">
        <w:rPr>
          <w:rFonts w:ascii="Arial" w:hAnsi="Arial"/>
        </w:rPr>
        <w:tab/>
        <w:t>Detection of neutralising activity against SAV in serum or plasma.</w:t>
      </w:r>
    </w:p>
    <w:p w14:paraId="4A657866" w14:textId="77777777" w:rsidR="00562F64" w:rsidRPr="00555AD1" w:rsidRDefault="00562F64" w:rsidP="00555AD1">
      <w:pPr>
        <w:pStyle w:val="111"/>
        <w:spacing w:after="240"/>
        <w:ind w:left="1276"/>
        <w:rPr>
          <w:rFonts w:cs="Arial"/>
        </w:rPr>
      </w:pPr>
      <w:r w:rsidRPr="00555AD1">
        <w:rPr>
          <w:rFonts w:cs="Arial"/>
        </w:rPr>
        <w:t>6.1.2.</w:t>
      </w:r>
      <w:r w:rsidRPr="00555AD1">
        <w:rPr>
          <w:rFonts w:cs="Arial"/>
        </w:rPr>
        <w:tab/>
        <w:t>Definition of confirmed case in apparently healthy animals</w:t>
      </w:r>
    </w:p>
    <w:p w14:paraId="31C8C1A3" w14:textId="77777777" w:rsidR="00562F64" w:rsidRPr="00AD1153" w:rsidRDefault="00562F64" w:rsidP="00555AD1">
      <w:pPr>
        <w:pStyle w:val="Para3"/>
        <w:ind w:left="709"/>
      </w:pPr>
      <w:r w:rsidRPr="00AD1153">
        <w:t>The presence of infection with SAV is considered to be confirmed if, in addition to the criteria in Section 6.1.1</w:t>
      </w:r>
      <w:r>
        <w:t>.</w:t>
      </w:r>
      <w:r w:rsidRPr="00AD1153">
        <w:t>, one or more of the following criteria is met:</w:t>
      </w:r>
    </w:p>
    <w:p w14:paraId="33D5475B" w14:textId="77777777" w:rsidR="00555AD1" w:rsidRPr="008A67C2" w:rsidRDefault="00555AD1" w:rsidP="00555AD1">
      <w:pPr>
        <w:spacing w:after="480" w:line="240" w:lineRule="auto"/>
        <w:rPr>
          <w:rFonts w:cs="Times New Roman"/>
          <w:bCs/>
          <w:iCs/>
          <w:szCs w:val="20"/>
        </w:rPr>
      </w:pPr>
      <w:bookmarkStart w:id="171" w:name="_Hlk17819364"/>
      <w:r w:rsidRPr="008A67C2">
        <w:rPr>
          <w:u w:val="single"/>
        </w:rPr>
        <w:lastRenderedPageBreak/>
        <w:t>A</w:t>
      </w:r>
      <w:r w:rsidRPr="008A67C2">
        <w:rPr>
          <w:rFonts w:cs="Times New Roman"/>
          <w:bCs/>
          <w:iCs/>
          <w:szCs w:val="20"/>
          <w:u w:val="single"/>
        </w:rPr>
        <w:t>nnex 1</w:t>
      </w:r>
      <w:r>
        <w:rPr>
          <w:rFonts w:cs="Times New Roman"/>
          <w:bCs/>
          <w:iCs/>
          <w:szCs w:val="20"/>
          <w:u w:val="single"/>
        </w:rPr>
        <w:t>6</w:t>
      </w:r>
      <w:r w:rsidRPr="008A67C2">
        <w:rPr>
          <w:rFonts w:cs="Times New Roman"/>
          <w:bCs/>
          <w:iCs/>
          <w:szCs w:val="20"/>
        </w:rPr>
        <w:t xml:space="preserve"> (contd)</w:t>
      </w:r>
    </w:p>
    <w:p w14:paraId="7DB96938" w14:textId="77777777" w:rsidR="00562F64" w:rsidRPr="00AD1153" w:rsidRDefault="00562F64" w:rsidP="00555AD1">
      <w:pPr>
        <w:pStyle w:val="Para20"/>
        <w:spacing w:after="200"/>
        <w:ind w:left="1134" w:hanging="425"/>
      </w:pPr>
      <w:r>
        <w:t>i)</w:t>
      </w:r>
      <w:r>
        <w:tab/>
      </w:r>
      <w:r w:rsidRPr="00AD1153">
        <w:t xml:space="preserve">A positive result by real-time RT-PCR and </w:t>
      </w:r>
      <w:r>
        <w:t xml:space="preserve">a positive result </w:t>
      </w:r>
      <w:r w:rsidRPr="00AD1153">
        <w:t xml:space="preserve">by conventional RT-PCR </w:t>
      </w:r>
      <w:r>
        <w:t>and</w:t>
      </w:r>
      <w:r w:rsidRPr="00AD1153">
        <w:t xml:space="preserve"> sequencing of the amplicon </w:t>
      </w:r>
    </w:p>
    <w:p w14:paraId="4D0695D5" w14:textId="77777777" w:rsidR="00562F64" w:rsidRPr="00AD1153" w:rsidRDefault="00562F64" w:rsidP="00555AD1">
      <w:pPr>
        <w:pStyle w:val="Para20"/>
        <w:spacing w:after="200"/>
        <w:ind w:left="1134" w:hanging="425"/>
      </w:pPr>
      <w:r>
        <w:t>ii)</w:t>
      </w:r>
      <w:r>
        <w:tab/>
      </w:r>
      <w:r w:rsidRPr="00AD1153">
        <w:t xml:space="preserve">SAV-typical CPE in cell culture followed by </w:t>
      </w:r>
      <w:r>
        <w:t xml:space="preserve">virus identification by </w:t>
      </w:r>
      <w:r w:rsidRPr="00AD1153">
        <w:t xml:space="preserve">conventional RT-PCR </w:t>
      </w:r>
      <w:r>
        <w:t>and</w:t>
      </w:r>
      <w:r w:rsidRPr="00AD1153">
        <w:t xml:space="preserve"> sequencing of the amplicon</w:t>
      </w:r>
      <w:r>
        <w:t>.</w:t>
      </w:r>
    </w:p>
    <w:bookmarkEnd w:id="171"/>
    <w:p w14:paraId="10AEFC66" w14:textId="77777777" w:rsidR="00562F64" w:rsidRPr="00AD1153" w:rsidRDefault="00562F64" w:rsidP="00555AD1">
      <w:pPr>
        <w:pStyle w:val="Para3"/>
        <w:spacing w:after="200"/>
        <w:ind w:left="709"/>
      </w:pPr>
      <w:r w:rsidRPr="00AD1153">
        <w:t>Reference Laboratories should be contacted for specimen referral when testing laboratories cannot undertake any of the recommended test methods and testing is being undertaken that will result in notification to the OIE.</w:t>
      </w:r>
    </w:p>
    <w:p w14:paraId="24159DBD" w14:textId="77777777" w:rsidR="00562F64" w:rsidRPr="00555AD1" w:rsidRDefault="00562F64" w:rsidP="00555AD1">
      <w:pPr>
        <w:pStyle w:val="11"/>
        <w:spacing w:after="200"/>
        <w:rPr>
          <w:rFonts w:ascii="Ottawa" w:hAnsi="Ottawa"/>
          <w:sz w:val="21"/>
          <w:szCs w:val="21"/>
          <w:lang w:val="en-IE"/>
        </w:rPr>
      </w:pPr>
      <w:r w:rsidRPr="00555AD1">
        <w:rPr>
          <w:rFonts w:ascii="Ottawa" w:hAnsi="Ottawa"/>
          <w:sz w:val="21"/>
          <w:szCs w:val="21"/>
          <w:lang w:val="en-IE"/>
        </w:rPr>
        <w:t>6.2</w:t>
      </w:r>
      <w:r w:rsidRPr="00555AD1">
        <w:rPr>
          <w:rFonts w:ascii="Ottawa" w:hAnsi="Ottawa"/>
          <w:sz w:val="21"/>
          <w:szCs w:val="21"/>
          <w:lang w:val="en-IE"/>
        </w:rPr>
        <w:tab/>
        <w:t>Clinically affected animals</w:t>
      </w:r>
    </w:p>
    <w:p w14:paraId="6C51167A" w14:textId="77777777" w:rsidR="00562F64" w:rsidRPr="00AD1153" w:rsidRDefault="00562F64" w:rsidP="00555AD1">
      <w:pPr>
        <w:pStyle w:val="Para20"/>
        <w:spacing w:after="200"/>
        <w:ind w:left="709"/>
      </w:pPr>
      <w:r w:rsidRPr="00AD1153">
        <w:t xml:space="preserve">Clinical signs are not pathognomonic for a single disease; however, they may narrow the range of possible diagnoses. </w:t>
      </w:r>
    </w:p>
    <w:p w14:paraId="7DD836B6" w14:textId="77777777" w:rsidR="00562F64" w:rsidRPr="00555AD1" w:rsidRDefault="00562F64" w:rsidP="00555AD1">
      <w:pPr>
        <w:pStyle w:val="111"/>
        <w:spacing w:after="200"/>
        <w:ind w:left="1276"/>
        <w:rPr>
          <w:szCs w:val="20"/>
        </w:rPr>
      </w:pPr>
      <w:r w:rsidRPr="00555AD1">
        <w:rPr>
          <w:szCs w:val="20"/>
        </w:rPr>
        <w:t>6.2.1. Definition of suspect case in clinically affected animals</w:t>
      </w:r>
    </w:p>
    <w:p w14:paraId="6AB7CFA3" w14:textId="77777777" w:rsidR="00562F64" w:rsidRPr="00555AD1" w:rsidRDefault="00562F64" w:rsidP="00555AD1">
      <w:pPr>
        <w:pStyle w:val="Para3"/>
        <w:spacing w:after="200"/>
        <w:ind w:left="709"/>
        <w:rPr>
          <w:rFonts w:cs="Arial"/>
          <w:szCs w:val="18"/>
        </w:rPr>
      </w:pPr>
      <w:r w:rsidRPr="00555AD1">
        <w:rPr>
          <w:rFonts w:cs="Arial"/>
          <w:szCs w:val="18"/>
        </w:rPr>
        <w:t>The presence of infection with SAV shall be suspected if at least one of the following criteria is met:</w:t>
      </w:r>
    </w:p>
    <w:p w14:paraId="28A5933B" w14:textId="77777777" w:rsidR="00562F64" w:rsidRPr="00555AD1" w:rsidRDefault="00562F64" w:rsidP="00555AD1">
      <w:pPr>
        <w:pStyle w:val="Parai2"/>
        <w:spacing w:after="200"/>
        <w:ind w:left="1134"/>
        <w:rPr>
          <w:rFonts w:cs="Arial"/>
          <w:szCs w:val="18"/>
        </w:rPr>
      </w:pPr>
      <w:r w:rsidRPr="00555AD1">
        <w:rPr>
          <w:rFonts w:cs="Arial"/>
          <w:szCs w:val="18"/>
          <w:lang w:bidi="en-US"/>
        </w:rPr>
        <w:t>i)</w:t>
      </w:r>
      <w:r w:rsidRPr="00555AD1">
        <w:rPr>
          <w:rFonts w:cs="Arial"/>
          <w:szCs w:val="18"/>
          <w:lang w:bidi="en-US"/>
        </w:rPr>
        <w:tab/>
        <w:t xml:space="preserve">Gross pathology or clinical signs associated with </w:t>
      </w:r>
      <w:r w:rsidRPr="00555AD1">
        <w:rPr>
          <w:rFonts w:cs="Arial"/>
          <w:szCs w:val="18"/>
        </w:rPr>
        <w:t xml:space="preserve">infection with SAV </w:t>
      </w:r>
    </w:p>
    <w:p w14:paraId="730E114D" w14:textId="77777777" w:rsidR="00562F64" w:rsidRPr="00555AD1" w:rsidRDefault="00562F64" w:rsidP="00555AD1">
      <w:pPr>
        <w:pStyle w:val="Para20"/>
        <w:spacing w:after="200"/>
        <w:ind w:left="1134" w:hanging="425"/>
        <w:rPr>
          <w:rFonts w:cs="Arial"/>
          <w:szCs w:val="18"/>
        </w:rPr>
      </w:pPr>
      <w:r w:rsidRPr="00555AD1">
        <w:rPr>
          <w:rFonts w:cs="Arial"/>
          <w:szCs w:val="18"/>
        </w:rPr>
        <w:t>ii)</w:t>
      </w:r>
      <w:r w:rsidRPr="00555AD1">
        <w:rPr>
          <w:rFonts w:cs="Arial"/>
          <w:szCs w:val="18"/>
        </w:rPr>
        <w:tab/>
        <w:t xml:space="preserve">Histopathology consistent with SAV infection </w:t>
      </w:r>
    </w:p>
    <w:p w14:paraId="7DBAB320" w14:textId="77777777" w:rsidR="00562F64" w:rsidRPr="00555AD1" w:rsidRDefault="00562F64" w:rsidP="00555AD1">
      <w:pPr>
        <w:pStyle w:val="Para3i"/>
        <w:spacing w:after="200"/>
        <w:ind w:left="1134" w:hanging="425"/>
        <w:rPr>
          <w:rFonts w:ascii="Arial" w:hAnsi="Arial"/>
          <w:sz w:val="18"/>
        </w:rPr>
      </w:pPr>
      <w:r w:rsidRPr="00555AD1">
        <w:rPr>
          <w:rFonts w:ascii="Arial" w:hAnsi="Arial"/>
          <w:sz w:val="18"/>
        </w:rPr>
        <w:t>iii)</w:t>
      </w:r>
      <w:r w:rsidRPr="00555AD1">
        <w:rPr>
          <w:rFonts w:ascii="Arial" w:hAnsi="Arial"/>
          <w:sz w:val="18"/>
        </w:rPr>
        <w:tab/>
        <w:t xml:space="preserve">Positive result by real-time RT-PCR </w:t>
      </w:r>
    </w:p>
    <w:p w14:paraId="7E76D213" w14:textId="77777777" w:rsidR="00562F64" w:rsidRPr="00555AD1" w:rsidRDefault="00562F64" w:rsidP="00555AD1">
      <w:pPr>
        <w:pStyle w:val="Para3i"/>
        <w:spacing w:after="200"/>
        <w:ind w:left="1134" w:hanging="425"/>
        <w:rPr>
          <w:rFonts w:ascii="Arial" w:hAnsi="Arial"/>
          <w:sz w:val="18"/>
        </w:rPr>
      </w:pPr>
      <w:r w:rsidRPr="00555AD1">
        <w:rPr>
          <w:rFonts w:ascii="Arial" w:hAnsi="Arial"/>
          <w:sz w:val="18"/>
        </w:rPr>
        <w:t>iv)</w:t>
      </w:r>
      <w:r w:rsidRPr="00555AD1">
        <w:rPr>
          <w:rFonts w:ascii="Arial" w:hAnsi="Arial"/>
          <w:sz w:val="18"/>
        </w:rPr>
        <w:tab/>
        <w:t xml:space="preserve">Positive result by conventional RT-PCR </w:t>
      </w:r>
    </w:p>
    <w:p w14:paraId="2F66220F" w14:textId="77777777" w:rsidR="00562F64" w:rsidRPr="00555AD1" w:rsidRDefault="00562F64" w:rsidP="00555AD1">
      <w:pPr>
        <w:pStyle w:val="Para3i"/>
        <w:spacing w:after="200"/>
        <w:ind w:left="1134" w:hanging="425"/>
        <w:rPr>
          <w:rFonts w:ascii="Arial" w:hAnsi="Arial"/>
          <w:sz w:val="18"/>
        </w:rPr>
      </w:pPr>
      <w:r w:rsidRPr="00555AD1">
        <w:rPr>
          <w:rFonts w:ascii="Arial" w:hAnsi="Arial"/>
          <w:sz w:val="18"/>
        </w:rPr>
        <w:t>v)</w:t>
      </w:r>
      <w:r w:rsidRPr="00555AD1">
        <w:rPr>
          <w:rFonts w:ascii="Arial" w:hAnsi="Arial"/>
          <w:sz w:val="18"/>
        </w:rPr>
        <w:tab/>
      </w:r>
      <w:r w:rsidRPr="00555AD1">
        <w:rPr>
          <w:rFonts w:ascii="Arial" w:eastAsia="Arial" w:hAnsi="Arial"/>
          <w:sz w:val="18"/>
        </w:rPr>
        <w:t xml:space="preserve">SAV-typical CPE in cell culture </w:t>
      </w:r>
    </w:p>
    <w:p w14:paraId="7C35565D" w14:textId="77777777" w:rsidR="00562F64" w:rsidRPr="00555AD1" w:rsidRDefault="00562F64" w:rsidP="00555AD1">
      <w:pPr>
        <w:pStyle w:val="Para20"/>
        <w:spacing w:after="200"/>
        <w:ind w:left="1134" w:hanging="425"/>
        <w:rPr>
          <w:rFonts w:cs="Arial"/>
          <w:szCs w:val="18"/>
        </w:rPr>
      </w:pPr>
      <w:r w:rsidRPr="00555AD1">
        <w:rPr>
          <w:rFonts w:cs="Arial"/>
          <w:szCs w:val="18"/>
        </w:rPr>
        <w:t>vi)</w:t>
      </w:r>
      <w:r w:rsidRPr="00555AD1">
        <w:rPr>
          <w:rFonts w:cs="Arial"/>
          <w:szCs w:val="18"/>
        </w:rPr>
        <w:tab/>
        <w:t>Detection of neutralising activity against SAV in serum or plasma.</w:t>
      </w:r>
    </w:p>
    <w:p w14:paraId="253F217A" w14:textId="77777777" w:rsidR="00562F64" w:rsidRPr="00555AD1" w:rsidRDefault="00562F64" w:rsidP="00555AD1">
      <w:pPr>
        <w:pStyle w:val="111"/>
        <w:spacing w:after="200"/>
        <w:ind w:left="1276"/>
        <w:rPr>
          <w:szCs w:val="20"/>
        </w:rPr>
      </w:pPr>
      <w:r w:rsidRPr="00555AD1">
        <w:rPr>
          <w:szCs w:val="20"/>
        </w:rPr>
        <w:t>6.2.2.</w:t>
      </w:r>
      <w:r w:rsidRPr="00555AD1">
        <w:rPr>
          <w:szCs w:val="20"/>
        </w:rPr>
        <w:tab/>
        <w:t>Definition of confirmed case in clinically affected animals</w:t>
      </w:r>
    </w:p>
    <w:p w14:paraId="01F40A2F" w14:textId="77777777" w:rsidR="00562F64" w:rsidRPr="00555AD1" w:rsidRDefault="00562F64" w:rsidP="00555AD1">
      <w:pPr>
        <w:pStyle w:val="Para3"/>
        <w:spacing w:after="200"/>
        <w:ind w:left="709"/>
        <w:rPr>
          <w:rFonts w:cs="Arial"/>
          <w:szCs w:val="18"/>
        </w:rPr>
      </w:pPr>
      <w:r w:rsidRPr="00555AD1">
        <w:rPr>
          <w:rFonts w:ascii="Ottawa" w:hAnsi="Ottawa"/>
          <w:szCs w:val="18"/>
        </w:rPr>
        <w:t xml:space="preserve">The presence of infection with SAV is considered to be confirmed if, in addition to the criteria Section 6.2.1., </w:t>
      </w:r>
      <w:r w:rsidRPr="00555AD1">
        <w:rPr>
          <w:rFonts w:cs="Arial"/>
          <w:szCs w:val="18"/>
        </w:rPr>
        <w:t>one of the following criteria is met.:</w:t>
      </w:r>
    </w:p>
    <w:p w14:paraId="0A375DC8" w14:textId="77777777" w:rsidR="00562F64" w:rsidRPr="00555AD1" w:rsidRDefault="00562F64" w:rsidP="00555AD1">
      <w:pPr>
        <w:pStyle w:val="Para20"/>
        <w:spacing w:after="200"/>
        <w:ind w:left="1134" w:hanging="425"/>
        <w:rPr>
          <w:rFonts w:cs="Arial"/>
          <w:szCs w:val="18"/>
        </w:rPr>
      </w:pPr>
      <w:r w:rsidRPr="00555AD1">
        <w:rPr>
          <w:rFonts w:cs="Arial"/>
          <w:szCs w:val="18"/>
        </w:rPr>
        <w:t>i)</w:t>
      </w:r>
      <w:r w:rsidRPr="00555AD1">
        <w:rPr>
          <w:rFonts w:cs="Arial"/>
          <w:szCs w:val="18"/>
        </w:rPr>
        <w:tab/>
        <w:t>A positive result by real-time RT-PCR and a positive result by conventional RT-PCR and sequencing of the amplicon</w:t>
      </w:r>
    </w:p>
    <w:p w14:paraId="091577B0" w14:textId="77777777" w:rsidR="00562F64" w:rsidRPr="00555AD1" w:rsidRDefault="00562F64" w:rsidP="00555AD1">
      <w:pPr>
        <w:pStyle w:val="Para20"/>
        <w:spacing w:after="200"/>
        <w:ind w:left="1134" w:hanging="425"/>
        <w:rPr>
          <w:rFonts w:cs="Arial"/>
          <w:szCs w:val="18"/>
        </w:rPr>
      </w:pPr>
      <w:r w:rsidRPr="00555AD1">
        <w:rPr>
          <w:rFonts w:cs="Arial"/>
          <w:szCs w:val="18"/>
        </w:rPr>
        <w:t>ii)</w:t>
      </w:r>
      <w:r w:rsidRPr="00555AD1">
        <w:rPr>
          <w:rFonts w:cs="Arial"/>
          <w:szCs w:val="18"/>
        </w:rPr>
        <w:tab/>
        <w:t>SAV-typical CPE in cell culture followed by virus identification by conventional RT-PCR and sequencing of the amplicon.</w:t>
      </w:r>
    </w:p>
    <w:p w14:paraId="179D3D9F" w14:textId="77777777" w:rsidR="00562F64" w:rsidRPr="00555AD1" w:rsidRDefault="00562F64" w:rsidP="00555AD1">
      <w:pPr>
        <w:pStyle w:val="Para3"/>
        <w:spacing w:after="200"/>
        <w:ind w:left="709"/>
        <w:rPr>
          <w:rFonts w:cs="Arial"/>
          <w:szCs w:val="18"/>
        </w:rPr>
      </w:pPr>
      <w:r w:rsidRPr="00555AD1">
        <w:rPr>
          <w:rFonts w:cs="Arial"/>
          <w:szCs w:val="18"/>
        </w:rPr>
        <w:t>Reference Laboratories should be contacted for specimen referral when testing laboratories cannot undertake any of the recommended test methods and testing is being undertaken that will result in notification to the OIE.</w:t>
      </w:r>
    </w:p>
    <w:p w14:paraId="0651CB2B" w14:textId="77777777" w:rsidR="00562F64" w:rsidRPr="00555AD1" w:rsidRDefault="00562F64" w:rsidP="00555AD1">
      <w:pPr>
        <w:pStyle w:val="11"/>
        <w:spacing w:after="200"/>
        <w:rPr>
          <w:rFonts w:ascii="Ottawa" w:hAnsi="Ottawa"/>
          <w:sz w:val="21"/>
          <w:szCs w:val="21"/>
          <w:lang w:val="en-IE"/>
        </w:rPr>
      </w:pPr>
      <w:r w:rsidRPr="00555AD1">
        <w:rPr>
          <w:rFonts w:ascii="Ottawa" w:hAnsi="Ottawa"/>
          <w:sz w:val="21"/>
          <w:szCs w:val="21"/>
          <w:lang w:val="en-IE"/>
        </w:rPr>
        <w:t>6.3.</w:t>
      </w:r>
      <w:r w:rsidRPr="00555AD1">
        <w:rPr>
          <w:rFonts w:ascii="Ottawa" w:hAnsi="Ottawa"/>
          <w:sz w:val="21"/>
          <w:szCs w:val="21"/>
          <w:lang w:val="en-IE"/>
        </w:rPr>
        <w:tab/>
        <w:t>Diagnostic sensitivity and specificity for diagnostic tests</w:t>
      </w:r>
    </w:p>
    <w:p w14:paraId="0AEBEB5E" w14:textId="77777777" w:rsidR="00562F64" w:rsidRPr="00555AD1" w:rsidRDefault="00562F64" w:rsidP="00555AD1">
      <w:pPr>
        <w:keepNext/>
        <w:keepLines/>
        <w:spacing w:after="120"/>
        <w:ind w:left="709" w:firstLine="1"/>
        <w:jc w:val="both"/>
        <w:rPr>
          <w:rFonts w:ascii="Arial" w:hAnsi="Arial" w:cs="Arial"/>
          <w:bCs/>
          <w:sz w:val="18"/>
          <w:szCs w:val="18"/>
          <w:lang w:val="en-IE"/>
        </w:rPr>
      </w:pPr>
      <w:r w:rsidRPr="00555AD1">
        <w:rPr>
          <w:rFonts w:ascii="Arial" w:hAnsi="Arial" w:cs="Arial"/>
          <w:bCs/>
          <w:sz w:val="18"/>
          <w:szCs w:val="18"/>
          <w:lang w:val="en-IE"/>
        </w:rPr>
        <w:t>The diagnostic performance of tests recommended for surveillance or diagnosis of infection with SAV are provided in Table 6.3. This information can be used for the design of surveys for infection with SAV, however, it should be noted that diagnostic performance is specific to the circumstances of each diagnostic accuracy study (including the test purpose, source population, tissue sample types and host species) and diagnostic performance may vary under different conditions. Data is only presented where tests are validated to at least level two of the validation pathway described in Chapter 1.1.2. and the information is available within published diagnostic accuracy studies.</w:t>
      </w:r>
    </w:p>
    <w:p w14:paraId="17B13836" w14:textId="77777777" w:rsidR="00562F64" w:rsidRPr="004C1784" w:rsidRDefault="00562F64" w:rsidP="00562F64">
      <w:pPr>
        <w:keepNext/>
        <w:keepLines/>
        <w:spacing w:after="120"/>
        <w:ind w:firstLine="1"/>
        <w:rPr>
          <w:rFonts w:ascii="Arial" w:hAnsi="Arial"/>
          <w:bCs/>
          <w:sz w:val="18"/>
          <w:szCs w:val="18"/>
          <w:lang w:val="en-IE"/>
        </w:rPr>
      </w:pPr>
    </w:p>
    <w:p w14:paraId="69CB6466" w14:textId="77777777" w:rsidR="00555AD1" w:rsidRDefault="00555AD1">
      <w:pPr>
        <w:rPr>
          <w:rFonts w:ascii="Ottawa" w:hAnsi="Ottawa"/>
          <w:b/>
          <w:bCs/>
          <w:i/>
          <w:sz w:val="18"/>
          <w:szCs w:val="18"/>
          <w:lang w:val="en-IE" w:bidi="en-US"/>
        </w:rPr>
      </w:pPr>
      <w:r>
        <w:rPr>
          <w:rFonts w:ascii="Ottawa" w:hAnsi="Ottawa"/>
          <w:b/>
          <w:bCs/>
          <w:i/>
          <w:sz w:val="18"/>
          <w:szCs w:val="18"/>
          <w:lang w:val="en-IE" w:bidi="en-US"/>
        </w:rPr>
        <w:br w:type="page"/>
      </w:r>
    </w:p>
    <w:p w14:paraId="416DC248" w14:textId="77777777" w:rsidR="00555AD1" w:rsidRPr="008A67C2" w:rsidRDefault="00555AD1" w:rsidP="00555AD1">
      <w:pPr>
        <w:spacing w:after="480" w:line="240" w:lineRule="auto"/>
        <w:jc w:val="right"/>
        <w:rPr>
          <w:rFonts w:cs="Times New Roman"/>
          <w:bCs/>
          <w:iCs/>
          <w:szCs w:val="20"/>
        </w:rPr>
      </w:pPr>
      <w:r w:rsidRPr="008A67C2">
        <w:rPr>
          <w:u w:val="single"/>
        </w:rPr>
        <w:lastRenderedPageBreak/>
        <w:t>A</w:t>
      </w:r>
      <w:r w:rsidRPr="008A67C2">
        <w:rPr>
          <w:rFonts w:cs="Times New Roman"/>
          <w:bCs/>
          <w:iCs/>
          <w:szCs w:val="20"/>
          <w:u w:val="single"/>
        </w:rPr>
        <w:t>nnex 1</w:t>
      </w:r>
      <w:r>
        <w:rPr>
          <w:rFonts w:cs="Times New Roman"/>
          <w:bCs/>
          <w:iCs/>
          <w:szCs w:val="20"/>
          <w:u w:val="single"/>
        </w:rPr>
        <w:t>6</w:t>
      </w:r>
      <w:r w:rsidRPr="008A67C2">
        <w:rPr>
          <w:rFonts w:cs="Times New Roman"/>
          <w:bCs/>
          <w:iCs/>
          <w:szCs w:val="20"/>
        </w:rPr>
        <w:t xml:space="preserve"> (contd)</w:t>
      </w:r>
    </w:p>
    <w:p w14:paraId="04C638E7" w14:textId="18F428BC" w:rsidR="00562F64" w:rsidRPr="0023377C" w:rsidRDefault="00562F64" w:rsidP="00562F64">
      <w:pPr>
        <w:keepNext/>
        <w:keepLines/>
        <w:spacing w:after="120"/>
        <w:ind w:firstLine="1"/>
        <w:jc w:val="center"/>
        <w:rPr>
          <w:rFonts w:ascii="Ottawa" w:hAnsi="Ottawa"/>
          <w:b/>
          <w:bCs/>
          <w:sz w:val="21"/>
          <w:szCs w:val="21"/>
          <w:lang w:eastAsia="fr-FR"/>
        </w:rPr>
      </w:pPr>
      <w:r w:rsidRPr="0023377C">
        <w:rPr>
          <w:rFonts w:ascii="Ottawa" w:hAnsi="Ottawa"/>
          <w:b/>
          <w:bCs/>
          <w:i/>
          <w:sz w:val="18"/>
          <w:szCs w:val="18"/>
          <w:lang w:val="en-IE" w:bidi="en-US"/>
        </w:rPr>
        <w:t>Table 6.</w:t>
      </w:r>
      <w:r>
        <w:rPr>
          <w:rFonts w:ascii="Ottawa" w:hAnsi="Ottawa"/>
          <w:b/>
          <w:bCs/>
          <w:i/>
          <w:sz w:val="18"/>
          <w:szCs w:val="18"/>
          <w:lang w:val="en-IE" w:bidi="en-US"/>
        </w:rPr>
        <w:t>1</w:t>
      </w:r>
      <w:r w:rsidRPr="0023377C">
        <w:rPr>
          <w:rFonts w:ascii="Ottawa" w:hAnsi="Ottawa"/>
          <w:b/>
          <w:bCs/>
          <w:i/>
          <w:sz w:val="18"/>
          <w:szCs w:val="18"/>
          <w:lang w:val="en-IE" w:bidi="en-US"/>
        </w:rPr>
        <w:t>.</w:t>
      </w:r>
      <w:r w:rsidRPr="0023377C">
        <w:rPr>
          <w:rFonts w:ascii="Ottawa" w:hAnsi="Ottawa"/>
          <w:bCs/>
          <w:i/>
          <w:sz w:val="18"/>
          <w:szCs w:val="18"/>
          <w:lang w:val="en-IE" w:bidi="en-US"/>
        </w:rPr>
        <w:t xml:space="preserve"> Diagnostic performance of tests recommended for surveillance or diagnosis</w:t>
      </w:r>
    </w:p>
    <w:tbl>
      <w:tblPr>
        <w:tblW w:w="9062" w:type="dxa"/>
        <w:tblInd w:w="108" w:type="dxa"/>
        <w:tblCellMar>
          <w:left w:w="0" w:type="dxa"/>
          <w:right w:w="0" w:type="dxa"/>
        </w:tblCellMar>
        <w:tblLook w:val="04A0" w:firstRow="1" w:lastRow="0" w:firstColumn="1" w:lastColumn="0" w:noHBand="0" w:noVBand="1"/>
      </w:tblPr>
      <w:tblGrid>
        <w:gridCol w:w="1191"/>
        <w:gridCol w:w="1010"/>
        <w:gridCol w:w="1162"/>
        <w:gridCol w:w="1080"/>
        <w:gridCol w:w="1178"/>
        <w:gridCol w:w="632"/>
        <w:gridCol w:w="633"/>
        <w:gridCol w:w="1218"/>
        <w:gridCol w:w="958"/>
      </w:tblGrid>
      <w:tr w:rsidR="00562F64" w:rsidRPr="00175F7F" w14:paraId="79767BD5" w14:textId="77777777" w:rsidTr="00942CAA">
        <w:trPr>
          <w:trHeight w:val="510"/>
        </w:trPr>
        <w:tc>
          <w:tcPr>
            <w:tcW w:w="119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819BC2" w14:textId="77777777" w:rsidR="00562F64" w:rsidRPr="00175F7F" w:rsidRDefault="00562F64" w:rsidP="00942CAA">
            <w:pPr>
              <w:spacing w:before="120" w:after="120"/>
              <w:ind w:left="-57"/>
              <w:jc w:val="center"/>
              <w:rPr>
                <w:rFonts w:ascii="Arial" w:eastAsia="Calibri" w:hAnsi="Arial"/>
                <w:sz w:val="16"/>
                <w:szCs w:val="16"/>
              </w:rPr>
            </w:pPr>
            <w:r w:rsidRPr="00175F7F">
              <w:rPr>
                <w:rFonts w:ascii="Arial" w:hAnsi="Arial"/>
                <w:b/>
                <w:bCs/>
                <w:sz w:val="16"/>
                <w:szCs w:val="16"/>
                <w:lang w:val="en-IE" w:eastAsia="fr-FR"/>
              </w:rPr>
              <w:t>Test type</w:t>
            </w:r>
          </w:p>
        </w:tc>
        <w:tc>
          <w:tcPr>
            <w:tcW w:w="10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4130E6" w14:textId="77777777" w:rsidR="00562F64" w:rsidRPr="00175F7F" w:rsidRDefault="00562F64" w:rsidP="00942CAA">
            <w:pPr>
              <w:spacing w:before="120" w:after="120"/>
              <w:ind w:left="-57"/>
              <w:jc w:val="center"/>
              <w:rPr>
                <w:rFonts w:ascii="Arial" w:eastAsia="Calibri" w:hAnsi="Arial"/>
                <w:sz w:val="16"/>
                <w:szCs w:val="16"/>
              </w:rPr>
            </w:pPr>
            <w:r w:rsidRPr="00175F7F">
              <w:rPr>
                <w:rFonts w:ascii="Arial" w:hAnsi="Arial"/>
                <w:b/>
                <w:bCs/>
                <w:sz w:val="16"/>
                <w:szCs w:val="16"/>
                <w:lang w:val="en-IE" w:eastAsia="fr-FR"/>
              </w:rPr>
              <w:t>Test purpose</w:t>
            </w:r>
          </w:p>
        </w:tc>
        <w:tc>
          <w:tcPr>
            <w:tcW w:w="116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5FDD614" w14:textId="77777777" w:rsidR="00562F64" w:rsidRPr="00175F7F" w:rsidRDefault="00562F64" w:rsidP="00942CAA">
            <w:pPr>
              <w:spacing w:before="120" w:after="120"/>
              <w:ind w:left="-57"/>
              <w:jc w:val="center"/>
              <w:rPr>
                <w:rFonts w:ascii="Arial" w:eastAsia="Calibri" w:hAnsi="Arial"/>
                <w:sz w:val="16"/>
                <w:szCs w:val="16"/>
              </w:rPr>
            </w:pPr>
            <w:r w:rsidRPr="00175F7F">
              <w:rPr>
                <w:rFonts w:ascii="Arial" w:hAnsi="Arial"/>
                <w:b/>
                <w:bCs/>
                <w:sz w:val="16"/>
                <w:szCs w:val="16"/>
                <w:lang w:val="en-IE" w:eastAsia="fr-FR"/>
              </w:rPr>
              <w:t>Source populations</w:t>
            </w:r>
          </w:p>
        </w:tc>
        <w:tc>
          <w:tcPr>
            <w:tcW w:w="10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60A6DAB" w14:textId="77777777" w:rsidR="00562F64" w:rsidRPr="00175F7F" w:rsidRDefault="00562F64" w:rsidP="00942CAA">
            <w:pPr>
              <w:spacing w:before="120" w:after="120"/>
              <w:ind w:left="-57"/>
              <w:jc w:val="center"/>
              <w:rPr>
                <w:rFonts w:ascii="Arial" w:eastAsia="Calibri" w:hAnsi="Arial"/>
                <w:sz w:val="16"/>
                <w:szCs w:val="16"/>
              </w:rPr>
            </w:pPr>
            <w:r w:rsidRPr="00175F7F">
              <w:rPr>
                <w:rFonts w:ascii="Arial" w:hAnsi="Arial"/>
                <w:b/>
                <w:bCs/>
                <w:sz w:val="16"/>
                <w:szCs w:val="16"/>
                <w:lang w:val="en-IE" w:eastAsia="fr-FR"/>
              </w:rPr>
              <w:t>Tissue or sample types</w:t>
            </w:r>
          </w:p>
        </w:tc>
        <w:tc>
          <w:tcPr>
            <w:tcW w:w="117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1E2000" w14:textId="77777777" w:rsidR="00562F64" w:rsidRPr="00175F7F" w:rsidRDefault="00562F64" w:rsidP="00942CAA">
            <w:pPr>
              <w:spacing w:before="120" w:after="120"/>
              <w:ind w:left="-57"/>
              <w:jc w:val="center"/>
              <w:rPr>
                <w:rFonts w:ascii="Arial" w:eastAsia="Calibri" w:hAnsi="Arial"/>
                <w:sz w:val="16"/>
                <w:szCs w:val="16"/>
              </w:rPr>
            </w:pPr>
            <w:r w:rsidRPr="00175F7F">
              <w:rPr>
                <w:rFonts w:ascii="Arial" w:hAnsi="Arial"/>
                <w:b/>
                <w:bCs/>
                <w:sz w:val="16"/>
                <w:szCs w:val="16"/>
                <w:lang w:val="en-IE" w:eastAsia="fr-FR"/>
              </w:rPr>
              <w:t>Species</w:t>
            </w:r>
          </w:p>
        </w:tc>
        <w:tc>
          <w:tcPr>
            <w:tcW w:w="63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3BE629C" w14:textId="77777777" w:rsidR="00562F64" w:rsidRPr="00175F7F" w:rsidRDefault="00562F64" w:rsidP="00942CAA">
            <w:pPr>
              <w:spacing w:before="120" w:after="120"/>
              <w:ind w:left="-57"/>
              <w:jc w:val="center"/>
              <w:rPr>
                <w:rFonts w:ascii="Arial" w:eastAsia="Calibri" w:hAnsi="Arial"/>
                <w:sz w:val="16"/>
                <w:szCs w:val="16"/>
              </w:rPr>
            </w:pPr>
            <w:r w:rsidRPr="00175F7F">
              <w:rPr>
                <w:rFonts w:ascii="Arial" w:hAnsi="Arial"/>
                <w:b/>
                <w:bCs/>
                <w:sz w:val="16"/>
                <w:szCs w:val="16"/>
                <w:lang w:val="en-IE" w:eastAsia="fr-FR"/>
              </w:rPr>
              <w:t>DSe (</w:t>
            </w:r>
            <w:r w:rsidRPr="00175F7F">
              <w:rPr>
                <w:rFonts w:ascii="Arial" w:hAnsi="Arial"/>
                <w:b/>
                <w:bCs/>
                <w:i/>
                <w:iCs/>
                <w:sz w:val="16"/>
                <w:szCs w:val="16"/>
                <w:lang w:val="en-IE" w:eastAsia="fr-FR"/>
              </w:rPr>
              <w:t>n</w:t>
            </w:r>
            <w:r w:rsidRPr="00175F7F">
              <w:rPr>
                <w:rFonts w:ascii="Arial" w:hAnsi="Arial"/>
                <w:b/>
                <w:bCs/>
                <w:sz w:val="16"/>
                <w:szCs w:val="16"/>
                <w:lang w:val="en-IE" w:eastAsia="fr-FR"/>
              </w:rPr>
              <w:t>)</w:t>
            </w:r>
          </w:p>
        </w:tc>
        <w:tc>
          <w:tcPr>
            <w:tcW w:w="63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9D9E6DF" w14:textId="77777777" w:rsidR="00562F64" w:rsidRPr="00175F7F" w:rsidRDefault="00562F64" w:rsidP="00942CAA">
            <w:pPr>
              <w:spacing w:before="120" w:after="120"/>
              <w:ind w:left="-57"/>
              <w:jc w:val="center"/>
              <w:rPr>
                <w:rFonts w:ascii="Arial" w:eastAsia="Calibri" w:hAnsi="Arial"/>
                <w:sz w:val="16"/>
                <w:szCs w:val="16"/>
              </w:rPr>
            </w:pPr>
            <w:r w:rsidRPr="00175F7F">
              <w:rPr>
                <w:rFonts w:ascii="Arial" w:hAnsi="Arial"/>
                <w:b/>
                <w:bCs/>
                <w:sz w:val="16"/>
                <w:szCs w:val="16"/>
                <w:lang w:val="en-IE" w:eastAsia="fr-FR"/>
              </w:rPr>
              <w:t>DSp (</w:t>
            </w:r>
            <w:r w:rsidRPr="00175F7F">
              <w:rPr>
                <w:rFonts w:ascii="Arial" w:hAnsi="Arial"/>
                <w:b/>
                <w:bCs/>
                <w:i/>
                <w:iCs/>
                <w:sz w:val="16"/>
                <w:szCs w:val="16"/>
                <w:lang w:val="en-IE" w:eastAsia="fr-FR"/>
              </w:rPr>
              <w:t>n</w:t>
            </w:r>
            <w:r w:rsidRPr="00175F7F">
              <w:rPr>
                <w:rFonts w:ascii="Arial" w:hAnsi="Arial"/>
                <w:b/>
                <w:bCs/>
                <w:sz w:val="16"/>
                <w:szCs w:val="16"/>
                <w:lang w:val="en-IE" w:eastAsia="fr-FR"/>
              </w:rPr>
              <w:t>)</w:t>
            </w:r>
          </w:p>
        </w:tc>
        <w:tc>
          <w:tcPr>
            <w:tcW w:w="12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77AB793" w14:textId="77777777" w:rsidR="00562F64" w:rsidRPr="00175F7F" w:rsidRDefault="00562F64" w:rsidP="00942CAA">
            <w:pPr>
              <w:spacing w:before="120" w:after="120"/>
              <w:ind w:left="-57"/>
              <w:jc w:val="center"/>
              <w:rPr>
                <w:rFonts w:ascii="Arial" w:eastAsia="Calibri" w:hAnsi="Arial"/>
                <w:sz w:val="16"/>
                <w:szCs w:val="16"/>
              </w:rPr>
            </w:pPr>
            <w:r w:rsidRPr="00175F7F">
              <w:rPr>
                <w:rFonts w:ascii="Arial" w:hAnsi="Arial"/>
                <w:b/>
                <w:bCs/>
                <w:sz w:val="16"/>
                <w:szCs w:val="16"/>
                <w:lang w:val="en-IE" w:eastAsia="fr-FR"/>
              </w:rPr>
              <w:t>Reference test</w:t>
            </w:r>
          </w:p>
        </w:tc>
        <w:tc>
          <w:tcPr>
            <w:tcW w:w="9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9E175F2" w14:textId="77777777" w:rsidR="00562F64" w:rsidRPr="00175F7F" w:rsidRDefault="00562F64" w:rsidP="00942CAA">
            <w:pPr>
              <w:spacing w:before="120" w:after="120"/>
              <w:ind w:left="-57"/>
              <w:jc w:val="center"/>
              <w:rPr>
                <w:rFonts w:ascii="Arial" w:eastAsia="Calibri" w:hAnsi="Arial"/>
                <w:sz w:val="16"/>
                <w:szCs w:val="16"/>
              </w:rPr>
            </w:pPr>
            <w:r w:rsidRPr="00175F7F">
              <w:rPr>
                <w:rFonts w:ascii="Arial" w:hAnsi="Arial"/>
                <w:b/>
                <w:bCs/>
                <w:sz w:val="16"/>
                <w:szCs w:val="16"/>
                <w:lang w:val="en-IE" w:eastAsia="fr-FR"/>
              </w:rPr>
              <w:t>Citation</w:t>
            </w:r>
          </w:p>
        </w:tc>
      </w:tr>
      <w:tr w:rsidR="00562F64" w:rsidRPr="005C7C04" w14:paraId="251B9623" w14:textId="77777777" w:rsidTr="00942CAA">
        <w:trPr>
          <w:trHeight w:val="510"/>
        </w:trPr>
        <w:tc>
          <w:tcPr>
            <w:tcW w:w="119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5179A00D" w14:textId="77777777" w:rsidR="00562F64" w:rsidRPr="00AD1153" w:rsidRDefault="00562F64" w:rsidP="00942CAA">
            <w:pPr>
              <w:spacing w:before="120" w:after="120"/>
              <w:ind w:left="-57"/>
              <w:jc w:val="center"/>
              <w:rPr>
                <w:rFonts w:ascii="Arial Narrow" w:eastAsia="Calibri" w:hAnsi="Arial Narrow"/>
                <w:sz w:val="16"/>
                <w:szCs w:val="16"/>
              </w:rPr>
            </w:pPr>
            <w:r w:rsidRPr="00AD1153">
              <w:rPr>
                <w:rFonts w:ascii="Arial Narrow" w:hAnsi="Arial Narrow"/>
                <w:sz w:val="16"/>
                <w:szCs w:val="16"/>
                <w:lang w:val="en-IE" w:eastAsia="fr-FR"/>
              </w:rPr>
              <w:t>Real-time PCR</w:t>
            </w:r>
          </w:p>
        </w:tc>
        <w:tc>
          <w:tcPr>
            <w:tcW w:w="1010"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41FDEE5C" w14:textId="77777777" w:rsidR="00562F64" w:rsidRPr="00AD1153" w:rsidRDefault="00562F64" w:rsidP="00942CAA">
            <w:pPr>
              <w:spacing w:before="120" w:after="120"/>
              <w:ind w:left="-57"/>
              <w:jc w:val="center"/>
              <w:rPr>
                <w:rFonts w:ascii="Arial Narrow" w:eastAsia="Calibri" w:hAnsi="Arial Narrow"/>
                <w:sz w:val="16"/>
                <w:szCs w:val="16"/>
              </w:rPr>
            </w:pPr>
            <w:r w:rsidRPr="00AD1153">
              <w:rPr>
                <w:rFonts w:ascii="Arial Narrow" w:hAnsi="Arial Narrow"/>
                <w:sz w:val="16"/>
                <w:szCs w:val="16"/>
                <w:lang w:val="fr-FR" w:eastAsia="fr-FR"/>
              </w:rPr>
              <w:t xml:space="preserve">Diagnosis </w:t>
            </w:r>
          </w:p>
        </w:tc>
        <w:tc>
          <w:tcPr>
            <w:tcW w:w="1162"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45AE1EE1" w14:textId="77777777" w:rsidR="00562F64" w:rsidRPr="00AD1153" w:rsidRDefault="00562F64" w:rsidP="00942CAA">
            <w:pPr>
              <w:spacing w:before="120" w:after="120"/>
              <w:ind w:left="-57"/>
              <w:rPr>
                <w:rFonts w:ascii="Arial Narrow" w:eastAsia="Calibri" w:hAnsi="Arial Narrow"/>
                <w:sz w:val="16"/>
                <w:szCs w:val="16"/>
              </w:rPr>
            </w:pPr>
            <w:r w:rsidRPr="00AD1153">
              <w:rPr>
                <w:rFonts w:ascii="Arial Narrow" w:hAnsi="Arial Narrow"/>
                <w:sz w:val="16"/>
                <w:szCs w:val="16"/>
                <w:lang w:val="en-IE" w:eastAsia="fr-FR"/>
              </w:rPr>
              <w:t>Clinically diseased fish</w:t>
            </w:r>
          </w:p>
        </w:tc>
        <w:tc>
          <w:tcPr>
            <w:tcW w:w="1080"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43E38750" w14:textId="77777777" w:rsidR="00562F64" w:rsidRPr="00AD1153" w:rsidRDefault="00562F64" w:rsidP="00942CAA">
            <w:pPr>
              <w:spacing w:before="120" w:after="120"/>
              <w:ind w:left="-57"/>
              <w:jc w:val="center"/>
              <w:rPr>
                <w:rFonts w:ascii="Arial Narrow" w:eastAsia="Calibri" w:hAnsi="Arial Narrow"/>
                <w:sz w:val="16"/>
                <w:szCs w:val="16"/>
              </w:rPr>
            </w:pPr>
            <w:r w:rsidRPr="00AD1153">
              <w:rPr>
                <w:rFonts w:ascii="Arial Narrow" w:hAnsi="Arial Narrow"/>
                <w:sz w:val="16"/>
                <w:szCs w:val="16"/>
                <w:lang w:val="en-IE" w:eastAsia="fr-FR"/>
              </w:rPr>
              <w:t>Heart and mid-kidney</w:t>
            </w:r>
          </w:p>
        </w:tc>
        <w:tc>
          <w:tcPr>
            <w:tcW w:w="1178"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0ACADF48" w14:textId="77777777" w:rsidR="00562F64" w:rsidRPr="00AD1153" w:rsidRDefault="00562F64" w:rsidP="00942CAA">
            <w:pPr>
              <w:spacing w:before="120" w:after="120"/>
              <w:ind w:left="-57"/>
              <w:jc w:val="center"/>
              <w:rPr>
                <w:rFonts w:ascii="Arial Narrow" w:eastAsia="Calibri" w:hAnsi="Arial Narrow"/>
                <w:sz w:val="16"/>
                <w:szCs w:val="16"/>
              </w:rPr>
            </w:pPr>
            <w:r w:rsidRPr="00AD1153">
              <w:rPr>
                <w:rFonts w:ascii="Arial Narrow" w:hAnsi="Arial Narrow"/>
                <w:sz w:val="16"/>
                <w:szCs w:val="16"/>
                <w:lang w:val="en-IE" w:eastAsia="fr-FR"/>
              </w:rPr>
              <w:t>Atlantic salmon</w:t>
            </w:r>
          </w:p>
        </w:tc>
        <w:tc>
          <w:tcPr>
            <w:tcW w:w="632" w:type="dxa"/>
            <w:tcBorders>
              <w:top w:val="nil"/>
              <w:left w:val="nil"/>
              <w:bottom w:val="single" w:sz="4" w:space="0" w:color="auto"/>
              <w:right w:val="single" w:sz="8" w:space="0" w:color="auto"/>
            </w:tcBorders>
            <w:shd w:val="clear" w:color="auto" w:fill="FFFF00"/>
            <w:tcMar>
              <w:top w:w="0" w:type="dxa"/>
              <w:left w:w="108" w:type="dxa"/>
              <w:bottom w:w="0" w:type="dxa"/>
              <w:right w:w="108" w:type="dxa"/>
            </w:tcMar>
            <w:vAlign w:val="center"/>
            <w:hideMark/>
          </w:tcPr>
          <w:p w14:paraId="23E4911E" w14:textId="77777777" w:rsidR="00562F64" w:rsidRPr="00AD1153" w:rsidRDefault="00562F64" w:rsidP="00942CAA">
            <w:pPr>
              <w:spacing w:before="120" w:after="120"/>
              <w:ind w:left="-57"/>
              <w:jc w:val="center"/>
              <w:rPr>
                <w:rFonts w:ascii="Arial Narrow" w:eastAsia="Calibri" w:hAnsi="Arial Narrow"/>
                <w:sz w:val="16"/>
                <w:szCs w:val="16"/>
              </w:rPr>
            </w:pPr>
          </w:p>
        </w:tc>
        <w:tc>
          <w:tcPr>
            <w:tcW w:w="633" w:type="dxa"/>
            <w:tcBorders>
              <w:top w:val="nil"/>
              <w:left w:val="nil"/>
              <w:bottom w:val="single" w:sz="4" w:space="0" w:color="auto"/>
              <w:right w:val="single" w:sz="8" w:space="0" w:color="auto"/>
            </w:tcBorders>
            <w:shd w:val="clear" w:color="auto" w:fill="FFFF00"/>
            <w:tcMar>
              <w:top w:w="0" w:type="dxa"/>
              <w:left w:w="108" w:type="dxa"/>
              <w:bottom w:w="0" w:type="dxa"/>
              <w:right w:w="108" w:type="dxa"/>
            </w:tcMar>
            <w:vAlign w:val="center"/>
            <w:hideMark/>
          </w:tcPr>
          <w:p w14:paraId="129FFC13" w14:textId="77777777" w:rsidR="00562F64" w:rsidRPr="00AD1153" w:rsidRDefault="00562F64" w:rsidP="00942CAA">
            <w:pPr>
              <w:spacing w:before="120" w:after="120"/>
              <w:ind w:left="-57"/>
              <w:jc w:val="center"/>
              <w:rPr>
                <w:rFonts w:ascii="Arial Narrow" w:eastAsia="Calibri" w:hAnsi="Arial Narrow"/>
                <w:sz w:val="16"/>
                <w:szCs w:val="16"/>
              </w:rPr>
            </w:pPr>
          </w:p>
        </w:tc>
        <w:tc>
          <w:tcPr>
            <w:tcW w:w="1218" w:type="dxa"/>
            <w:tcBorders>
              <w:top w:val="nil"/>
              <w:left w:val="nil"/>
              <w:bottom w:val="single" w:sz="4" w:space="0" w:color="auto"/>
              <w:right w:val="single" w:sz="8" w:space="0" w:color="auto"/>
            </w:tcBorders>
            <w:shd w:val="clear" w:color="auto" w:fill="FFFF00"/>
            <w:tcMar>
              <w:top w:w="0" w:type="dxa"/>
              <w:left w:w="108" w:type="dxa"/>
              <w:bottom w:w="0" w:type="dxa"/>
              <w:right w:w="108" w:type="dxa"/>
            </w:tcMar>
            <w:vAlign w:val="center"/>
            <w:hideMark/>
          </w:tcPr>
          <w:p w14:paraId="1E962604" w14:textId="77777777" w:rsidR="00562F64" w:rsidRPr="00AD1153" w:rsidRDefault="00562F64" w:rsidP="00942CAA">
            <w:pPr>
              <w:spacing w:before="120" w:after="120"/>
              <w:ind w:left="-57"/>
              <w:jc w:val="center"/>
              <w:rPr>
                <w:rFonts w:ascii="Arial Narrow" w:eastAsia="Calibri" w:hAnsi="Arial Narrow"/>
                <w:sz w:val="16"/>
                <w:szCs w:val="16"/>
              </w:rPr>
            </w:pPr>
          </w:p>
        </w:tc>
        <w:tc>
          <w:tcPr>
            <w:tcW w:w="958"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013D3B61" w14:textId="77777777" w:rsidR="00562F64" w:rsidRPr="00C77BF3" w:rsidRDefault="00562F64" w:rsidP="00942CAA">
            <w:pPr>
              <w:spacing w:before="120" w:after="120"/>
              <w:ind w:left="-57"/>
              <w:jc w:val="center"/>
              <w:rPr>
                <w:rFonts w:ascii="Arial Narrow" w:eastAsia="Calibri" w:hAnsi="Arial Narrow"/>
                <w:sz w:val="16"/>
                <w:szCs w:val="16"/>
              </w:rPr>
            </w:pPr>
            <w:r w:rsidRPr="00C77BF3">
              <w:rPr>
                <w:rFonts w:ascii="Arial Narrow" w:hAnsi="Arial Narrow"/>
                <w:sz w:val="16"/>
                <w:szCs w:val="16"/>
                <w:lang w:val="en-IE" w:eastAsia="fr-FR"/>
              </w:rPr>
              <w:t>Jansen et al, 2019</w:t>
            </w:r>
          </w:p>
        </w:tc>
      </w:tr>
      <w:tr w:rsidR="00562F64" w:rsidRPr="005C7C04" w14:paraId="65858E65" w14:textId="77777777" w:rsidTr="00942CAA">
        <w:trPr>
          <w:trHeight w:val="510"/>
        </w:trPr>
        <w:tc>
          <w:tcPr>
            <w:tcW w:w="1191"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2E5B8267" w14:textId="77777777" w:rsidR="00562F64" w:rsidRPr="00AD1153" w:rsidRDefault="00562F64" w:rsidP="00942CAA">
            <w:pPr>
              <w:spacing w:before="120" w:after="120"/>
              <w:ind w:left="-57"/>
              <w:jc w:val="center"/>
              <w:rPr>
                <w:rFonts w:ascii="Arial Narrow" w:hAnsi="Arial Narrow"/>
                <w:sz w:val="16"/>
                <w:szCs w:val="16"/>
                <w:lang w:val="en-IE" w:eastAsia="fr-FR"/>
              </w:rPr>
            </w:pPr>
            <w:r w:rsidRPr="00AD1153">
              <w:rPr>
                <w:rFonts w:ascii="Arial Narrow" w:hAnsi="Arial Narrow"/>
                <w:sz w:val="16"/>
                <w:szCs w:val="16"/>
                <w:lang w:val="en-IE" w:eastAsia="fr-FR"/>
              </w:rPr>
              <w:t>Isolation of SAV in cell culture</w:t>
            </w:r>
          </w:p>
        </w:tc>
        <w:tc>
          <w:tcPr>
            <w:tcW w:w="1010"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7A6658D" w14:textId="77777777" w:rsidR="00562F64" w:rsidRPr="00AD1153" w:rsidRDefault="00562F64" w:rsidP="00942CAA">
            <w:pPr>
              <w:spacing w:before="120" w:after="120"/>
              <w:ind w:left="-57"/>
              <w:jc w:val="center"/>
              <w:rPr>
                <w:rFonts w:ascii="Arial Narrow" w:hAnsi="Arial Narrow"/>
                <w:sz w:val="16"/>
                <w:szCs w:val="16"/>
                <w:lang w:val="en-IE" w:eastAsia="fr-FR"/>
              </w:rPr>
            </w:pPr>
            <w:r w:rsidRPr="00AD1153">
              <w:rPr>
                <w:rFonts w:ascii="Arial Narrow" w:hAnsi="Arial Narrow"/>
                <w:sz w:val="16"/>
                <w:szCs w:val="16"/>
                <w:lang w:val="en-IE" w:eastAsia="fr-FR"/>
              </w:rPr>
              <w:t>Diagnosis</w:t>
            </w:r>
          </w:p>
        </w:tc>
        <w:tc>
          <w:tcPr>
            <w:tcW w:w="1162"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5928FEE" w14:textId="77777777" w:rsidR="00562F64" w:rsidRPr="00AD1153" w:rsidRDefault="00562F64" w:rsidP="00942CAA">
            <w:pPr>
              <w:spacing w:before="120" w:after="120"/>
              <w:ind w:left="-57"/>
              <w:rPr>
                <w:rFonts w:ascii="Arial Narrow" w:hAnsi="Arial Narrow"/>
                <w:sz w:val="16"/>
                <w:szCs w:val="16"/>
                <w:lang w:val="en-IE" w:eastAsia="fr-FR"/>
              </w:rPr>
            </w:pPr>
            <w:r w:rsidRPr="00AD1153">
              <w:rPr>
                <w:rFonts w:ascii="Arial Narrow" w:hAnsi="Arial Narrow"/>
                <w:sz w:val="16"/>
                <w:szCs w:val="16"/>
                <w:lang w:val="en-IE" w:eastAsia="fr-FR"/>
              </w:rPr>
              <w:t>Clinically diseased fish</w:t>
            </w:r>
          </w:p>
        </w:tc>
        <w:tc>
          <w:tcPr>
            <w:tcW w:w="1080"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2A8540C" w14:textId="77777777" w:rsidR="00562F64" w:rsidRPr="00AD1153" w:rsidRDefault="00562F64" w:rsidP="00942CAA">
            <w:pPr>
              <w:spacing w:before="120" w:after="120"/>
              <w:ind w:left="-57"/>
              <w:jc w:val="center"/>
              <w:rPr>
                <w:rFonts w:ascii="Arial Narrow" w:hAnsi="Arial Narrow"/>
                <w:sz w:val="16"/>
                <w:szCs w:val="16"/>
                <w:lang w:val="en-IE" w:eastAsia="fr-FR"/>
              </w:rPr>
            </w:pPr>
            <w:r w:rsidRPr="00AD1153">
              <w:rPr>
                <w:rFonts w:ascii="Arial Narrow" w:hAnsi="Arial Narrow"/>
                <w:sz w:val="16"/>
                <w:szCs w:val="16"/>
                <w:lang w:val="en-IE" w:eastAsia="fr-FR"/>
              </w:rPr>
              <w:t>Heart and mid-kidney</w:t>
            </w:r>
          </w:p>
        </w:tc>
        <w:tc>
          <w:tcPr>
            <w:tcW w:w="117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EAD237D" w14:textId="77777777" w:rsidR="00562F64" w:rsidRPr="00AD1153" w:rsidRDefault="00562F64" w:rsidP="00942CAA">
            <w:pPr>
              <w:spacing w:before="120" w:after="120"/>
              <w:ind w:left="-57"/>
              <w:jc w:val="center"/>
              <w:rPr>
                <w:rFonts w:ascii="Arial Narrow" w:hAnsi="Arial Narrow"/>
                <w:sz w:val="16"/>
                <w:szCs w:val="16"/>
                <w:lang w:val="en-IE" w:eastAsia="fr-FR"/>
              </w:rPr>
            </w:pPr>
            <w:r w:rsidRPr="00AD1153">
              <w:rPr>
                <w:rFonts w:ascii="Arial Narrow" w:hAnsi="Arial Narrow"/>
                <w:sz w:val="16"/>
                <w:szCs w:val="16"/>
                <w:lang w:val="en-IE" w:eastAsia="fr-FR"/>
              </w:rPr>
              <w:t>Atlantic salmon</w:t>
            </w:r>
          </w:p>
        </w:tc>
        <w:tc>
          <w:tcPr>
            <w:tcW w:w="632" w:type="dxa"/>
            <w:tcBorders>
              <w:top w:val="single" w:sz="4" w:space="0" w:color="auto"/>
              <w:left w:val="nil"/>
              <w:bottom w:val="single" w:sz="4" w:space="0" w:color="auto"/>
              <w:right w:val="single" w:sz="8" w:space="0" w:color="auto"/>
            </w:tcBorders>
            <w:shd w:val="clear" w:color="auto" w:fill="FFFF00"/>
            <w:tcMar>
              <w:top w:w="0" w:type="dxa"/>
              <w:left w:w="108" w:type="dxa"/>
              <w:bottom w:w="0" w:type="dxa"/>
              <w:right w:w="108" w:type="dxa"/>
            </w:tcMar>
            <w:vAlign w:val="center"/>
          </w:tcPr>
          <w:p w14:paraId="533773C6" w14:textId="77777777" w:rsidR="00562F64" w:rsidRPr="00AD1153" w:rsidRDefault="00562F64" w:rsidP="00942CAA">
            <w:pPr>
              <w:spacing w:before="120" w:after="120"/>
              <w:ind w:left="-57"/>
              <w:jc w:val="center"/>
              <w:rPr>
                <w:rFonts w:ascii="Arial Narrow" w:eastAsia="Calibri" w:hAnsi="Arial Narrow"/>
                <w:sz w:val="16"/>
                <w:szCs w:val="16"/>
              </w:rPr>
            </w:pPr>
          </w:p>
        </w:tc>
        <w:tc>
          <w:tcPr>
            <w:tcW w:w="633" w:type="dxa"/>
            <w:tcBorders>
              <w:top w:val="single" w:sz="4" w:space="0" w:color="auto"/>
              <w:left w:val="nil"/>
              <w:bottom w:val="single" w:sz="4" w:space="0" w:color="auto"/>
              <w:right w:val="single" w:sz="8" w:space="0" w:color="auto"/>
            </w:tcBorders>
            <w:shd w:val="clear" w:color="auto" w:fill="FFFF00"/>
            <w:tcMar>
              <w:top w:w="0" w:type="dxa"/>
              <w:left w:w="108" w:type="dxa"/>
              <w:bottom w:w="0" w:type="dxa"/>
              <w:right w:w="108" w:type="dxa"/>
            </w:tcMar>
            <w:vAlign w:val="center"/>
          </w:tcPr>
          <w:p w14:paraId="116150D1" w14:textId="77777777" w:rsidR="00562F64" w:rsidRPr="00AD1153" w:rsidRDefault="00562F64" w:rsidP="00942CAA">
            <w:pPr>
              <w:spacing w:before="120" w:after="120"/>
              <w:ind w:left="-57"/>
              <w:jc w:val="center"/>
              <w:rPr>
                <w:rFonts w:ascii="Arial Narrow" w:eastAsia="Calibri" w:hAnsi="Arial Narrow"/>
                <w:sz w:val="16"/>
                <w:szCs w:val="16"/>
              </w:rPr>
            </w:pPr>
          </w:p>
        </w:tc>
        <w:tc>
          <w:tcPr>
            <w:tcW w:w="1218" w:type="dxa"/>
            <w:tcBorders>
              <w:top w:val="single" w:sz="4" w:space="0" w:color="auto"/>
              <w:left w:val="nil"/>
              <w:bottom w:val="single" w:sz="4" w:space="0" w:color="auto"/>
              <w:right w:val="single" w:sz="8" w:space="0" w:color="auto"/>
            </w:tcBorders>
            <w:shd w:val="clear" w:color="auto" w:fill="FFFF00"/>
            <w:tcMar>
              <w:top w:w="0" w:type="dxa"/>
              <w:left w:w="108" w:type="dxa"/>
              <w:bottom w:w="0" w:type="dxa"/>
              <w:right w:w="108" w:type="dxa"/>
            </w:tcMar>
            <w:vAlign w:val="center"/>
          </w:tcPr>
          <w:p w14:paraId="5D662C41" w14:textId="77777777" w:rsidR="00562F64" w:rsidRPr="00AD1153" w:rsidRDefault="00562F64" w:rsidP="00942CAA">
            <w:pPr>
              <w:spacing w:before="120" w:after="120"/>
              <w:ind w:left="-57"/>
              <w:jc w:val="center"/>
              <w:rPr>
                <w:rFonts w:ascii="Arial Narrow" w:eastAsia="Calibri" w:hAnsi="Arial Narrow"/>
                <w:sz w:val="16"/>
                <w:szCs w:val="16"/>
              </w:rPr>
            </w:pPr>
          </w:p>
        </w:tc>
        <w:tc>
          <w:tcPr>
            <w:tcW w:w="95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33BC9AA6" w14:textId="77777777" w:rsidR="00562F64" w:rsidRPr="00C77BF3" w:rsidRDefault="00562F64" w:rsidP="00942CAA">
            <w:pPr>
              <w:spacing w:before="120" w:after="120"/>
              <w:ind w:left="-57"/>
              <w:jc w:val="center"/>
              <w:rPr>
                <w:rFonts w:ascii="Arial Narrow" w:hAnsi="Arial Narrow"/>
                <w:sz w:val="16"/>
                <w:szCs w:val="16"/>
                <w:lang w:val="en-IE" w:eastAsia="fr-FR"/>
              </w:rPr>
            </w:pPr>
            <w:r w:rsidRPr="00C77BF3">
              <w:rPr>
                <w:rFonts w:ascii="Arial Narrow" w:hAnsi="Arial Narrow"/>
                <w:sz w:val="16"/>
                <w:szCs w:val="16"/>
                <w:lang w:val="en-IE" w:eastAsia="fr-FR"/>
              </w:rPr>
              <w:t>Jansen et al, 2019</w:t>
            </w:r>
          </w:p>
        </w:tc>
      </w:tr>
      <w:tr w:rsidR="00562F64" w:rsidRPr="005C7C04" w14:paraId="4134FD93" w14:textId="77777777" w:rsidTr="00942CAA">
        <w:trPr>
          <w:trHeight w:val="510"/>
        </w:trPr>
        <w:tc>
          <w:tcPr>
            <w:tcW w:w="1191"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4FB4AC74" w14:textId="77777777" w:rsidR="00562F64" w:rsidRPr="00AD1153" w:rsidRDefault="00562F64" w:rsidP="00942CAA">
            <w:pPr>
              <w:spacing w:before="120" w:after="120"/>
              <w:ind w:left="-57"/>
              <w:rPr>
                <w:rFonts w:ascii="Arial Narrow" w:hAnsi="Arial Narrow"/>
                <w:sz w:val="16"/>
                <w:szCs w:val="16"/>
                <w:lang w:val="en-IE" w:eastAsia="fr-FR"/>
              </w:rPr>
            </w:pPr>
            <w:r w:rsidRPr="00AD1153">
              <w:rPr>
                <w:rFonts w:ascii="Arial Narrow" w:hAnsi="Arial Narrow"/>
                <w:sz w:val="16"/>
                <w:szCs w:val="16"/>
                <w:lang w:val="en-IE" w:eastAsia="fr-FR"/>
              </w:rPr>
              <w:t>Detection of neutrali</w:t>
            </w:r>
            <w:r>
              <w:rPr>
                <w:rFonts w:ascii="Arial Narrow" w:hAnsi="Arial Narrow"/>
                <w:sz w:val="16"/>
                <w:szCs w:val="16"/>
                <w:lang w:val="en-IE" w:eastAsia="fr-FR"/>
              </w:rPr>
              <w:t>s</w:t>
            </w:r>
            <w:r w:rsidRPr="00AD1153">
              <w:rPr>
                <w:rFonts w:ascii="Arial Narrow" w:hAnsi="Arial Narrow"/>
                <w:sz w:val="16"/>
                <w:szCs w:val="16"/>
                <w:lang w:val="en-IE" w:eastAsia="fr-FR"/>
              </w:rPr>
              <w:t>ing activity against SAV</w:t>
            </w:r>
          </w:p>
        </w:tc>
        <w:tc>
          <w:tcPr>
            <w:tcW w:w="1010"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148D054" w14:textId="77777777" w:rsidR="00562F64" w:rsidRPr="00AD1153" w:rsidRDefault="00562F64" w:rsidP="00942CAA">
            <w:pPr>
              <w:spacing w:before="120" w:after="120"/>
              <w:ind w:left="-57"/>
              <w:jc w:val="center"/>
              <w:rPr>
                <w:rFonts w:ascii="Arial Narrow" w:hAnsi="Arial Narrow"/>
                <w:sz w:val="16"/>
                <w:szCs w:val="16"/>
                <w:lang w:val="en-IE" w:eastAsia="fr-FR"/>
              </w:rPr>
            </w:pPr>
            <w:r w:rsidRPr="00AD1153">
              <w:rPr>
                <w:rFonts w:ascii="Arial Narrow" w:hAnsi="Arial Narrow"/>
                <w:sz w:val="16"/>
                <w:szCs w:val="16"/>
                <w:lang w:val="en-IE" w:eastAsia="fr-FR"/>
              </w:rPr>
              <w:t>Diagnosis</w:t>
            </w:r>
          </w:p>
        </w:tc>
        <w:tc>
          <w:tcPr>
            <w:tcW w:w="1162"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16D1FD3" w14:textId="77777777" w:rsidR="00562F64" w:rsidRPr="00AD1153" w:rsidRDefault="00562F64" w:rsidP="00942CAA">
            <w:pPr>
              <w:spacing w:before="120" w:after="120"/>
              <w:ind w:left="-57"/>
              <w:rPr>
                <w:rFonts w:ascii="Arial Narrow" w:hAnsi="Arial Narrow"/>
                <w:sz w:val="16"/>
                <w:szCs w:val="16"/>
                <w:lang w:val="en-IE" w:eastAsia="fr-FR"/>
              </w:rPr>
            </w:pPr>
            <w:r w:rsidRPr="00AD1153">
              <w:rPr>
                <w:rFonts w:ascii="Arial Narrow" w:hAnsi="Arial Narrow"/>
                <w:sz w:val="16"/>
                <w:szCs w:val="16"/>
                <w:lang w:val="en-IE" w:eastAsia="fr-FR"/>
              </w:rPr>
              <w:t>Clinically diseased fish</w:t>
            </w:r>
          </w:p>
        </w:tc>
        <w:tc>
          <w:tcPr>
            <w:tcW w:w="1080"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26ABE6B" w14:textId="77777777" w:rsidR="00562F64" w:rsidRPr="00AD1153" w:rsidRDefault="00562F64" w:rsidP="00942CAA">
            <w:pPr>
              <w:spacing w:before="120" w:after="120"/>
              <w:ind w:left="-57"/>
              <w:jc w:val="center"/>
              <w:rPr>
                <w:rFonts w:ascii="Arial Narrow" w:hAnsi="Arial Narrow"/>
                <w:sz w:val="16"/>
                <w:szCs w:val="16"/>
                <w:lang w:val="en-IE" w:eastAsia="fr-FR"/>
              </w:rPr>
            </w:pPr>
            <w:r w:rsidRPr="00AD1153">
              <w:rPr>
                <w:rFonts w:ascii="Arial Narrow" w:hAnsi="Arial Narrow"/>
                <w:sz w:val="16"/>
                <w:szCs w:val="16"/>
                <w:lang w:val="en-IE" w:eastAsia="fr-FR"/>
              </w:rPr>
              <w:t>Serum or plasma</w:t>
            </w:r>
          </w:p>
        </w:tc>
        <w:tc>
          <w:tcPr>
            <w:tcW w:w="117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417BD67" w14:textId="77777777" w:rsidR="00562F64" w:rsidRPr="00AD1153" w:rsidRDefault="00562F64" w:rsidP="00942CAA">
            <w:pPr>
              <w:spacing w:before="120" w:after="120"/>
              <w:ind w:left="-57"/>
              <w:jc w:val="center"/>
              <w:rPr>
                <w:rFonts w:ascii="Arial Narrow" w:hAnsi="Arial Narrow"/>
                <w:sz w:val="16"/>
                <w:szCs w:val="16"/>
                <w:lang w:val="en-IE" w:eastAsia="fr-FR"/>
              </w:rPr>
            </w:pPr>
            <w:r w:rsidRPr="00AD1153">
              <w:rPr>
                <w:rFonts w:ascii="Arial Narrow" w:hAnsi="Arial Narrow"/>
                <w:sz w:val="16"/>
                <w:szCs w:val="16"/>
                <w:lang w:val="en-IE" w:eastAsia="fr-FR"/>
              </w:rPr>
              <w:t>Atlantic salmon</w:t>
            </w:r>
          </w:p>
        </w:tc>
        <w:tc>
          <w:tcPr>
            <w:tcW w:w="632" w:type="dxa"/>
            <w:tcBorders>
              <w:top w:val="single" w:sz="4" w:space="0" w:color="auto"/>
              <w:left w:val="nil"/>
              <w:bottom w:val="single" w:sz="4" w:space="0" w:color="auto"/>
              <w:right w:val="single" w:sz="8" w:space="0" w:color="auto"/>
            </w:tcBorders>
            <w:shd w:val="clear" w:color="auto" w:fill="FFFF00"/>
            <w:tcMar>
              <w:top w:w="0" w:type="dxa"/>
              <w:left w:w="108" w:type="dxa"/>
              <w:bottom w:w="0" w:type="dxa"/>
              <w:right w:w="108" w:type="dxa"/>
            </w:tcMar>
            <w:vAlign w:val="center"/>
          </w:tcPr>
          <w:p w14:paraId="3DC9EA8A" w14:textId="77777777" w:rsidR="00562F64" w:rsidRPr="00AD1153" w:rsidRDefault="00562F64" w:rsidP="00942CAA">
            <w:pPr>
              <w:spacing w:before="120" w:after="120"/>
              <w:ind w:left="-57"/>
              <w:jc w:val="center"/>
              <w:rPr>
                <w:rFonts w:ascii="Arial Narrow" w:eastAsia="Calibri" w:hAnsi="Arial Narrow"/>
                <w:sz w:val="16"/>
                <w:szCs w:val="16"/>
              </w:rPr>
            </w:pPr>
          </w:p>
        </w:tc>
        <w:tc>
          <w:tcPr>
            <w:tcW w:w="633" w:type="dxa"/>
            <w:tcBorders>
              <w:top w:val="single" w:sz="4" w:space="0" w:color="auto"/>
              <w:left w:val="nil"/>
              <w:bottom w:val="single" w:sz="4" w:space="0" w:color="auto"/>
              <w:right w:val="single" w:sz="8" w:space="0" w:color="auto"/>
            </w:tcBorders>
            <w:shd w:val="clear" w:color="auto" w:fill="FFFF00"/>
            <w:tcMar>
              <w:top w:w="0" w:type="dxa"/>
              <w:left w:w="108" w:type="dxa"/>
              <w:bottom w:w="0" w:type="dxa"/>
              <w:right w:w="108" w:type="dxa"/>
            </w:tcMar>
            <w:vAlign w:val="center"/>
          </w:tcPr>
          <w:p w14:paraId="06378CF9" w14:textId="77777777" w:rsidR="00562F64" w:rsidRPr="00AD1153" w:rsidRDefault="00562F64" w:rsidP="00942CAA">
            <w:pPr>
              <w:spacing w:before="120" w:after="120"/>
              <w:ind w:left="-57"/>
              <w:jc w:val="center"/>
              <w:rPr>
                <w:rFonts w:ascii="Arial Narrow" w:eastAsia="Calibri" w:hAnsi="Arial Narrow"/>
                <w:sz w:val="16"/>
                <w:szCs w:val="16"/>
              </w:rPr>
            </w:pPr>
          </w:p>
        </w:tc>
        <w:tc>
          <w:tcPr>
            <w:tcW w:w="1218" w:type="dxa"/>
            <w:tcBorders>
              <w:top w:val="single" w:sz="4" w:space="0" w:color="auto"/>
              <w:left w:val="nil"/>
              <w:bottom w:val="single" w:sz="4" w:space="0" w:color="auto"/>
              <w:right w:val="single" w:sz="8" w:space="0" w:color="auto"/>
            </w:tcBorders>
            <w:shd w:val="clear" w:color="auto" w:fill="FFFF00"/>
            <w:tcMar>
              <w:top w:w="0" w:type="dxa"/>
              <w:left w:w="108" w:type="dxa"/>
              <w:bottom w:w="0" w:type="dxa"/>
              <w:right w:w="108" w:type="dxa"/>
            </w:tcMar>
            <w:vAlign w:val="center"/>
          </w:tcPr>
          <w:p w14:paraId="1C27E1F5" w14:textId="77777777" w:rsidR="00562F64" w:rsidRPr="00AD1153" w:rsidRDefault="00562F64" w:rsidP="00942CAA">
            <w:pPr>
              <w:spacing w:before="120" w:after="120"/>
              <w:ind w:left="-57"/>
              <w:jc w:val="center"/>
              <w:rPr>
                <w:rFonts w:ascii="Arial Narrow" w:eastAsia="Calibri" w:hAnsi="Arial Narrow"/>
                <w:sz w:val="16"/>
                <w:szCs w:val="16"/>
              </w:rPr>
            </w:pPr>
          </w:p>
        </w:tc>
        <w:tc>
          <w:tcPr>
            <w:tcW w:w="95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41144201" w14:textId="77777777" w:rsidR="00562F64" w:rsidRPr="00C77BF3" w:rsidRDefault="00562F64" w:rsidP="00942CAA">
            <w:pPr>
              <w:spacing w:before="120" w:after="120"/>
              <w:ind w:left="-57"/>
              <w:jc w:val="center"/>
              <w:rPr>
                <w:rFonts w:ascii="Arial Narrow" w:hAnsi="Arial Narrow"/>
                <w:sz w:val="16"/>
                <w:szCs w:val="16"/>
                <w:lang w:val="en-IE" w:eastAsia="fr-FR"/>
              </w:rPr>
            </w:pPr>
            <w:r w:rsidRPr="00C77BF3">
              <w:rPr>
                <w:rFonts w:ascii="Arial Narrow" w:hAnsi="Arial Narrow"/>
                <w:sz w:val="16"/>
                <w:szCs w:val="16"/>
                <w:lang w:val="en-IE" w:eastAsia="fr-FR"/>
              </w:rPr>
              <w:t>Jansen et al, 2019</w:t>
            </w:r>
          </w:p>
        </w:tc>
      </w:tr>
      <w:tr w:rsidR="00562F64" w:rsidRPr="005C7C04" w14:paraId="03C3EB72" w14:textId="77777777" w:rsidTr="00942CAA">
        <w:trPr>
          <w:trHeight w:val="510"/>
        </w:trPr>
        <w:tc>
          <w:tcPr>
            <w:tcW w:w="1191"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28F0C8BF" w14:textId="77777777" w:rsidR="00562F64" w:rsidRPr="00AD1153" w:rsidRDefault="00562F64" w:rsidP="00942CAA">
            <w:pPr>
              <w:spacing w:before="120" w:after="120"/>
              <w:ind w:left="-57"/>
              <w:rPr>
                <w:rFonts w:ascii="Arial Narrow" w:hAnsi="Arial Narrow"/>
                <w:sz w:val="16"/>
                <w:szCs w:val="16"/>
                <w:lang w:val="en-IE" w:eastAsia="fr-FR"/>
              </w:rPr>
            </w:pPr>
            <w:r w:rsidRPr="00AD1153">
              <w:rPr>
                <w:rFonts w:ascii="Arial Narrow" w:hAnsi="Arial Narrow"/>
                <w:sz w:val="16"/>
                <w:szCs w:val="16"/>
                <w:lang w:val="en-IE" w:eastAsia="fr-FR"/>
              </w:rPr>
              <w:t>Histopathology</w:t>
            </w:r>
          </w:p>
        </w:tc>
        <w:tc>
          <w:tcPr>
            <w:tcW w:w="1010"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85200C8" w14:textId="77777777" w:rsidR="00562F64" w:rsidRPr="00AD1153" w:rsidRDefault="00562F64" w:rsidP="00942CAA">
            <w:pPr>
              <w:spacing w:before="120" w:after="120"/>
              <w:ind w:left="-57"/>
              <w:jc w:val="center"/>
              <w:rPr>
                <w:rFonts w:ascii="Arial Narrow" w:hAnsi="Arial Narrow"/>
                <w:sz w:val="16"/>
                <w:szCs w:val="16"/>
                <w:lang w:val="en-IE" w:eastAsia="fr-FR"/>
              </w:rPr>
            </w:pPr>
            <w:r w:rsidRPr="00AD1153">
              <w:rPr>
                <w:rFonts w:ascii="Arial Narrow" w:hAnsi="Arial Narrow"/>
                <w:sz w:val="16"/>
                <w:szCs w:val="16"/>
                <w:lang w:val="en-IE" w:eastAsia="fr-FR"/>
              </w:rPr>
              <w:t>Diagnosis</w:t>
            </w:r>
          </w:p>
        </w:tc>
        <w:tc>
          <w:tcPr>
            <w:tcW w:w="1162"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CF4D7BE" w14:textId="77777777" w:rsidR="00562F64" w:rsidRPr="00AD1153" w:rsidRDefault="00562F64" w:rsidP="00942CAA">
            <w:pPr>
              <w:spacing w:before="120" w:after="120"/>
              <w:ind w:left="-57"/>
              <w:rPr>
                <w:rFonts w:ascii="Arial Narrow" w:hAnsi="Arial Narrow"/>
                <w:sz w:val="16"/>
                <w:szCs w:val="16"/>
                <w:lang w:val="en-IE" w:eastAsia="fr-FR"/>
              </w:rPr>
            </w:pPr>
            <w:r w:rsidRPr="00AD1153">
              <w:rPr>
                <w:rFonts w:ascii="Arial Narrow" w:hAnsi="Arial Narrow"/>
                <w:sz w:val="16"/>
                <w:szCs w:val="16"/>
                <w:lang w:val="en-IE" w:eastAsia="fr-FR"/>
              </w:rPr>
              <w:t>Clinically diseased fish</w:t>
            </w:r>
          </w:p>
        </w:tc>
        <w:tc>
          <w:tcPr>
            <w:tcW w:w="1080"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8055AC2" w14:textId="77777777" w:rsidR="00562F64" w:rsidRPr="00AD1153" w:rsidRDefault="00562F64" w:rsidP="00942CAA">
            <w:pPr>
              <w:spacing w:before="120" w:after="120"/>
              <w:ind w:left="-57"/>
              <w:jc w:val="center"/>
              <w:rPr>
                <w:rFonts w:ascii="Arial Narrow" w:hAnsi="Arial Narrow"/>
                <w:sz w:val="16"/>
                <w:szCs w:val="16"/>
                <w:lang w:val="en-IE" w:eastAsia="fr-FR"/>
              </w:rPr>
            </w:pPr>
            <w:r w:rsidRPr="00AD1153">
              <w:rPr>
                <w:rFonts w:ascii="Arial Narrow" w:hAnsi="Arial Narrow"/>
                <w:sz w:val="16"/>
                <w:szCs w:val="16"/>
                <w:lang w:val="en-IE" w:eastAsia="fr-FR"/>
              </w:rPr>
              <w:t>Heart and mid-kidney</w:t>
            </w:r>
          </w:p>
        </w:tc>
        <w:tc>
          <w:tcPr>
            <w:tcW w:w="117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07789F0" w14:textId="77777777" w:rsidR="00562F64" w:rsidRPr="00AD1153" w:rsidRDefault="00562F64" w:rsidP="00942CAA">
            <w:pPr>
              <w:spacing w:before="120" w:after="120"/>
              <w:ind w:left="-57"/>
              <w:jc w:val="center"/>
              <w:rPr>
                <w:rFonts w:ascii="Arial Narrow" w:hAnsi="Arial Narrow"/>
                <w:sz w:val="16"/>
                <w:szCs w:val="16"/>
                <w:lang w:val="en-IE" w:eastAsia="fr-FR"/>
              </w:rPr>
            </w:pPr>
            <w:r w:rsidRPr="00AD1153">
              <w:rPr>
                <w:rFonts w:ascii="Arial Narrow" w:hAnsi="Arial Narrow"/>
                <w:sz w:val="16"/>
                <w:szCs w:val="16"/>
                <w:lang w:val="en-IE" w:eastAsia="fr-FR"/>
              </w:rPr>
              <w:t>Atlantic salmon</w:t>
            </w:r>
          </w:p>
        </w:tc>
        <w:tc>
          <w:tcPr>
            <w:tcW w:w="632" w:type="dxa"/>
            <w:tcBorders>
              <w:top w:val="single" w:sz="4" w:space="0" w:color="auto"/>
              <w:left w:val="nil"/>
              <w:bottom w:val="single" w:sz="4" w:space="0" w:color="auto"/>
              <w:right w:val="single" w:sz="8" w:space="0" w:color="auto"/>
            </w:tcBorders>
            <w:shd w:val="clear" w:color="auto" w:fill="FFFF00"/>
            <w:tcMar>
              <w:top w:w="0" w:type="dxa"/>
              <w:left w:w="108" w:type="dxa"/>
              <w:bottom w:w="0" w:type="dxa"/>
              <w:right w:w="108" w:type="dxa"/>
            </w:tcMar>
            <w:vAlign w:val="center"/>
          </w:tcPr>
          <w:p w14:paraId="24F37E47" w14:textId="77777777" w:rsidR="00562F64" w:rsidRPr="00AD1153" w:rsidRDefault="00562F64" w:rsidP="00942CAA">
            <w:pPr>
              <w:spacing w:before="120" w:after="120"/>
              <w:ind w:left="-57"/>
              <w:jc w:val="center"/>
              <w:rPr>
                <w:rFonts w:ascii="Arial Narrow" w:eastAsia="Calibri" w:hAnsi="Arial Narrow"/>
                <w:sz w:val="16"/>
                <w:szCs w:val="16"/>
              </w:rPr>
            </w:pPr>
          </w:p>
        </w:tc>
        <w:tc>
          <w:tcPr>
            <w:tcW w:w="633" w:type="dxa"/>
            <w:tcBorders>
              <w:top w:val="single" w:sz="4" w:space="0" w:color="auto"/>
              <w:left w:val="nil"/>
              <w:bottom w:val="single" w:sz="4" w:space="0" w:color="auto"/>
              <w:right w:val="single" w:sz="8" w:space="0" w:color="auto"/>
            </w:tcBorders>
            <w:shd w:val="clear" w:color="auto" w:fill="FFFF00"/>
            <w:tcMar>
              <w:top w:w="0" w:type="dxa"/>
              <w:left w:w="108" w:type="dxa"/>
              <w:bottom w:w="0" w:type="dxa"/>
              <w:right w:w="108" w:type="dxa"/>
            </w:tcMar>
            <w:vAlign w:val="center"/>
          </w:tcPr>
          <w:p w14:paraId="2C402536" w14:textId="77777777" w:rsidR="00562F64" w:rsidRPr="00AD1153" w:rsidRDefault="00562F64" w:rsidP="00942CAA">
            <w:pPr>
              <w:spacing w:before="120" w:after="120"/>
              <w:ind w:left="-57"/>
              <w:jc w:val="center"/>
              <w:rPr>
                <w:rFonts w:ascii="Arial Narrow" w:eastAsia="Calibri" w:hAnsi="Arial Narrow"/>
                <w:sz w:val="16"/>
                <w:szCs w:val="16"/>
              </w:rPr>
            </w:pPr>
          </w:p>
        </w:tc>
        <w:tc>
          <w:tcPr>
            <w:tcW w:w="1218" w:type="dxa"/>
            <w:tcBorders>
              <w:top w:val="single" w:sz="4" w:space="0" w:color="auto"/>
              <w:left w:val="nil"/>
              <w:bottom w:val="single" w:sz="4" w:space="0" w:color="auto"/>
              <w:right w:val="single" w:sz="8" w:space="0" w:color="auto"/>
            </w:tcBorders>
            <w:shd w:val="clear" w:color="auto" w:fill="FFFF00"/>
            <w:tcMar>
              <w:top w:w="0" w:type="dxa"/>
              <w:left w:w="108" w:type="dxa"/>
              <w:bottom w:w="0" w:type="dxa"/>
              <w:right w:w="108" w:type="dxa"/>
            </w:tcMar>
            <w:vAlign w:val="center"/>
          </w:tcPr>
          <w:p w14:paraId="33E06408" w14:textId="77777777" w:rsidR="00562F64" w:rsidRPr="00AD1153" w:rsidRDefault="00562F64" w:rsidP="00942CAA">
            <w:pPr>
              <w:spacing w:before="120" w:after="120"/>
              <w:ind w:left="-57"/>
              <w:jc w:val="center"/>
              <w:rPr>
                <w:rFonts w:ascii="Arial Narrow" w:eastAsia="Calibri" w:hAnsi="Arial Narrow"/>
                <w:sz w:val="16"/>
                <w:szCs w:val="16"/>
              </w:rPr>
            </w:pPr>
          </w:p>
        </w:tc>
        <w:tc>
          <w:tcPr>
            <w:tcW w:w="95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426A5176" w14:textId="77777777" w:rsidR="00562F64" w:rsidRPr="00C77BF3" w:rsidRDefault="00562F64" w:rsidP="00942CAA">
            <w:pPr>
              <w:spacing w:before="120" w:after="120"/>
              <w:ind w:left="-57"/>
              <w:jc w:val="center"/>
              <w:rPr>
                <w:rFonts w:ascii="Arial Narrow" w:hAnsi="Arial Narrow"/>
                <w:sz w:val="16"/>
                <w:szCs w:val="16"/>
                <w:lang w:val="en-IE" w:eastAsia="fr-FR"/>
              </w:rPr>
            </w:pPr>
            <w:r w:rsidRPr="00C77BF3">
              <w:rPr>
                <w:rFonts w:ascii="Arial Narrow" w:hAnsi="Arial Narrow"/>
                <w:sz w:val="16"/>
                <w:szCs w:val="16"/>
                <w:lang w:val="en-IE" w:eastAsia="fr-FR"/>
              </w:rPr>
              <w:t>Jansen et al, 2019</w:t>
            </w:r>
          </w:p>
        </w:tc>
      </w:tr>
    </w:tbl>
    <w:p w14:paraId="0E2C2426" w14:textId="29880569" w:rsidR="00562F64" w:rsidRDefault="00562F64" w:rsidP="00562F64">
      <w:pPr>
        <w:pStyle w:val="Paragraphedeliste"/>
        <w:spacing w:before="120" w:after="360"/>
        <w:ind w:left="0"/>
        <w:jc w:val="center"/>
      </w:pPr>
      <w:r>
        <w:rPr>
          <w:rFonts w:ascii="Arial" w:hAnsi="Arial" w:cs="Arial"/>
          <w:sz w:val="16"/>
          <w:szCs w:val="16"/>
        </w:rPr>
        <w:t xml:space="preserve">DSe = diagnostic sensitivity, DSp = diagnostic specificity, </w:t>
      </w:r>
      <w:r w:rsidRPr="00770B2C">
        <w:rPr>
          <w:rFonts w:ascii="Arial" w:hAnsi="Arial" w:cs="Arial"/>
          <w:i/>
          <w:iCs/>
          <w:sz w:val="16"/>
          <w:szCs w:val="16"/>
          <w:highlight w:val="yellow"/>
        </w:rPr>
        <w:t>n</w:t>
      </w:r>
      <w:r w:rsidRPr="00770B2C">
        <w:rPr>
          <w:rFonts w:ascii="Arial" w:hAnsi="Arial" w:cs="Arial"/>
          <w:sz w:val="16"/>
          <w:szCs w:val="16"/>
          <w:highlight w:val="yellow"/>
        </w:rPr>
        <w:t xml:space="preserve"> = number of samples used in the study</w:t>
      </w:r>
      <w:r w:rsidR="00AA5298">
        <w:rPr>
          <w:rFonts w:ascii="Arial" w:hAnsi="Arial" w:cs="Arial"/>
          <w:sz w:val="16"/>
          <w:szCs w:val="16"/>
        </w:rPr>
        <w:t xml:space="preserve"> </w:t>
      </w:r>
      <w:r w:rsidR="00AA5298" w:rsidRPr="00AA5298">
        <w:rPr>
          <w:rFonts w:ascii="Arial" w:hAnsi="Arial" w:cs="Arial"/>
          <w:sz w:val="16"/>
          <w:szCs w:val="16"/>
        </w:rPr>
        <w:t>(</w:t>
      </w:r>
      <w:r w:rsidR="00AA5298" w:rsidRPr="00685B5C">
        <w:rPr>
          <w:rFonts w:ascii="Arial" w:eastAsia="Times New Roman" w:hAnsi="Arial" w:cs="Arial"/>
          <w:color w:val="000000"/>
          <w:sz w:val="16"/>
          <w:szCs w:val="16"/>
        </w:rPr>
        <w:t>this is pending further consultation with the expert)</w:t>
      </w:r>
      <w:r>
        <w:rPr>
          <w:rFonts w:ascii="Arial" w:hAnsi="Arial" w:cs="Arial"/>
          <w:sz w:val="16"/>
          <w:szCs w:val="16"/>
        </w:rPr>
        <w:t>,</w:t>
      </w:r>
      <w:r w:rsidR="00AA5298">
        <w:rPr>
          <w:rFonts w:ascii="Arial" w:hAnsi="Arial" w:cs="Arial"/>
          <w:sz w:val="16"/>
          <w:szCs w:val="16"/>
        </w:rPr>
        <w:t xml:space="preserve"> </w:t>
      </w:r>
      <w:r>
        <w:rPr>
          <w:rFonts w:ascii="Arial" w:hAnsi="Arial" w:cs="Arial"/>
          <w:sz w:val="16"/>
          <w:szCs w:val="16"/>
        </w:rPr>
        <w:t>PCR: = polymerase chain reaction.</w:t>
      </w:r>
    </w:p>
    <w:p w14:paraId="4E736DF7" w14:textId="77777777" w:rsidR="00562F64" w:rsidRPr="00A175F0" w:rsidRDefault="00562F64" w:rsidP="00562F64">
      <w:pPr>
        <w:pStyle w:val="10"/>
        <w:rPr>
          <w:rFonts w:ascii="Ottawa" w:hAnsi="Ottawa"/>
          <w:sz w:val="22"/>
          <w:szCs w:val="22"/>
          <w:lang w:val="nb-NO" w:bidi="en-US"/>
        </w:rPr>
      </w:pPr>
      <w:r w:rsidRPr="00A175F0">
        <w:rPr>
          <w:rFonts w:ascii="Ottawa" w:hAnsi="Ottawa"/>
          <w:sz w:val="22"/>
          <w:szCs w:val="22"/>
          <w:lang w:val="nb-NO" w:bidi="en-US"/>
        </w:rPr>
        <w:t>7.</w:t>
      </w:r>
      <w:r w:rsidRPr="00A175F0">
        <w:rPr>
          <w:rFonts w:ascii="Ottawa" w:hAnsi="Ottawa"/>
          <w:sz w:val="22"/>
          <w:szCs w:val="22"/>
          <w:lang w:val="nb-NO" w:bidi="en-US"/>
        </w:rPr>
        <w:tab/>
        <w:t>References</w:t>
      </w:r>
    </w:p>
    <w:p w14:paraId="3D4E845B" w14:textId="77777777" w:rsidR="00562F64" w:rsidRPr="00AA1AF1" w:rsidRDefault="00562F64" w:rsidP="00555AD1">
      <w:pPr>
        <w:pStyle w:val="REF"/>
        <w:ind w:left="284"/>
        <w:rPr>
          <w:lang w:val="nb-NO"/>
        </w:rPr>
      </w:pPr>
      <w:r w:rsidRPr="00AA1AF1">
        <w:rPr>
          <w:smallCaps/>
          <w:lang w:val="nb-NO"/>
        </w:rPr>
        <w:t>Aldrin M., Storvik B., Frigessi A., Viljugrein H. &amp; Jansen P.A.</w:t>
      </w:r>
      <w:r w:rsidRPr="00AA1AF1">
        <w:rPr>
          <w:lang w:val="nb-NO"/>
        </w:rPr>
        <w:t xml:space="preserve"> (2010). </w:t>
      </w:r>
      <w:r w:rsidRPr="00AA1AF1">
        <w:t xml:space="preserve">A stochastic model for the assessment of the transmission pathways of heart and skeleton muscle inflammation, pancreas disease and infectious salmon anaemia in marine fish farms in Norway. </w:t>
      </w:r>
      <w:r w:rsidRPr="00AA1AF1">
        <w:rPr>
          <w:i/>
          <w:iCs/>
          <w:lang w:val="nb-NO"/>
        </w:rPr>
        <w:t>Prev. Vet. Med.</w:t>
      </w:r>
      <w:r w:rsidRPr="00AA1AF1">
        <w:rPr>
          <w:lang w:val="nb-NO"/>
        </w:rPr>
        <w:t xml:space="preserve">, </w:t>
      </w:r>
      <w:r w:rsidRPr="00AA1AF1">
        <w:rPr>
          <w:b/>
          <w:bCs/>
          <w:lang w:val="nb-NO"/>
        </w:rPr>
        <w:t>93</w:t>
      </w:r>
      <w:r w:rsidRPr="00AA1AF1">
        <w:rPr>
          <w:lang w:val="nb-NO"/>
        </w:rPr>
        <w:t>, 51–61.</w:t>
      </w:r>
    </w:p>
    <w:p w14:paraId="083878EB" w14:textId="77777777" w:rsidR="00562F64" w:rsidRPr="00AA1AF1" w:rsidRDefault="00562F64" w:rsidP="00555AD1">
      <w:pPr>
        <w:pStyle w:val="REF"/>
        <w:ind w:left="284"/>
        <w:rPr>
          <w:rFonts w:cs="Arial"/>
          <w:color w:val="000000"/>
          <w:szCs w:val="18"/>
        </w:rPr>
      </w:pPr>
      <w:r w:rsidRPr="00AA1AF1">
        <w:rPr>
          <w:smallCaps/>
          <w:lang w:val="nb-NO"/>
        </w:rPr>
        <w:t>Bang Jensen B., Kristoffersen A.B., Myr C. &amp; Brun E.</w:t>
      </w:r>
      <w:r w:rsidRPr="00AA1AF1">
        <w:rPr>
          <w:rFonts w:cs="Arial"/>
          <w:szCs w:val="18"/>
          <w:lang w:val="nb-NO"/>
        </w:rPr>
        <w:t xml:space="preserve"> (2012). </w:t>
      </w:r>
      <w:r w:rsidRPr="00AA1AF1">
        <w:rPr>
          <w:rFonts w:cs="Arial"/>
          <w:szCs w:val="18"/>
        </w:rPr>
        <w:t xml:space="preserve">Cohort study of effect of vaccination on pancreas disease in Norwegian salmon aquaculture. </w:t>
      </w:r>
      <w:r w:rsidRPr="00AA1AF1">
        <w:rPr>
          <w:rFonts w:cs="Arial"/>
          <w:i/>
          <w:color w:val="000000"/>
          <w:szCs w:val="18"/>
        </w:rPr>
        <w:t>Dis. Aquat. Org.</w:t>
      </w:r>
      <w:r w:rsidRPr="00AA1AF1">
        <w:rPr>
          <w:rFonts w:cs="Arial"/>
          <w:color w:val="000000"/>
          <w:szCs w:val="18"/>
        </w:rPr>
        <w:t xml:space="preserve">, </w:t>
      </w:r>
      <w:r w:rsidRPr="00AA1AF1">
        <w:rPr>
          <w:rFonts w:cs="Arial"/>
          <w:b/>
          <w:color w:val="000000"/>
          <w:szCs w:val="18"/>
        </w:rPr>
        <w:t>102</w:t>
      </w:r>
      <w:r w:rsidRPr="00AA1AF1">
        <w:rPr>
          <w:rFonts w:cs="Arial"/>
          <w:color w:val="000000"/>
          <w:szCs w:val="18"/>
        </w:rPr>
        <w:t>, 23</w:t>
      </w:r>
      <w:r w:rsidRPr="00AA1AF1">
        <w:t>–</w:t>
      </w:r>
      <w:r w:rsidRPr="00AA1AF1">
        <w:rPr>
          <w:rFonts w:cs="Arial"/>
          <w:color w:val="000000"/>
          <w:szCs w:val="18"/>
        </w:rPr>
        <w:t>31.</w:t>
      </w:r>
    </w:p>
    <w:p w14:paraId="79838B63" w14:textId="77777777" w:rsidR="00562F64" w:rsidRDefault="00562F64" w:rsidP="00BE5986">
      <w:pPr>
        <w:pStyle w:val="REF"/>
        <w:spacing w:after="160"/>
        <w:ind w:left="284"/>
        <w:rPr>
          <w:rFonts w:cs="Arial"/>
          <w:color w:val="000000"/>
          <w:szCs w:val="18"/>
        </w:rPr>
      </w:pPr>
      <w:r w:rsidRPr="00AA1AF1">
        <w:rPr>
          <w:smallCaps/>
        </w:rPr>
        <w:t>Bratland A. &amp; Nylund A.</w:t>
      </w:r>
      <w:r w:rsidRPr="00AA1AF1">
        <w:rPr>
          <w:rFonts w:cs="Arial"/>
          <w:color w:val="000000"/>
          <w:szCs w:val="18"/>
        </w:rPr>
        <w:t xml:space="preserve"> (2009). Studies on the possibility of vertical transmission of Norwegian salmonid Alphavirus in production of Atlantic salmon in Norway. </w:t>
      </w:r>
      <w:r w:rsidRPr="00AA1AF1">
        <w:rPr>
          <w:rFonts w:cs="Arial"/>
          <w:i/>
          <w:color w:val="000000"/>
          <w:szCs w:val="18"/>
        </w:rPr>
        <w:t>J. Aquat. Anim. Health</w:t>
      </w:r>
      <w:r w:rsidRPr="00AA1AF1">
        <w:rPr>
          <w:rFonts w:cs="Arial"/>
          <w:color w:val="000000"/>
          <w:szCs w:val="18"/>
        </w:rPr>
        <w:t xml:space="preserve">, </w:t>
      </w:r>
      <w:r w:rsidRPr="00AA1AF1">
        <w:rPr>
          <w:rFonts w:cs="Arial"/>
          <w:b/>
          <w:color w:val="000000"/>
          <w:szCs w:val="18"/>
        </w:rPr>
        <w:t>21</w:t>
      </w:r>
      <w:r w:rsidRPr="00AA1AF1">
        <w:rPr>
          <w:rFonts w:cs="Arial"/>
          <w:color w:val="000000"/>
          <w:szCs w:val="18"/>
        </w:rPr>
        <w:t>, 73</w:t>
      </w:r>
      <w:r w:rsidRPr="00AA1AF1">
        <w:t>–7</w:t>
      </w:r>
      <w:r w:rsidRPr="00AA1AF1">
        <w:rPr>
          <w:rFonts w:cs="Arial"/>
          <w:color w:val="000000"/>
          <w:szCs w:val="18"/>
        </w:rPr>
        <w:t>8.</w:t>
      </w:r>
    </w:p>
    <w:p w14:paraId="468741C3" w14:textId="77777777" w:rsidR="00562F64" w:rsidRPr="0087021A" w:rsidRDefault="00562F64" w:rsidP="00BE5986">
      <w:pPr>
        <w:pStyle w:val="REF"/>
        <w:spacing w:after="160"/>
        <w:ind w:left="284"/>
        <w:rPr>
          <w:rFonts w:cs="Arial"/>
          <w:color w:val="000000"/>
          <w:szCs w:val="18"/>
        </w:rPr>
      </w:pPr>
      <w:r w:rsidRPr="00A51082">
        <w:rPr>
          <w:rFonts w:cs="Arial"/>
          <w:smallCaps/>
          <w:color w:val="000000"/>
          <w:szCs w:val="18"/>
        </w:rPr>
        <w:t>Bruno</w:t>
      </w:r>
      <w:r w:rsidRPr="00A51082">
        <w:rPr>
          <w:rFonts w:cs="Arial"/>
          <w:color w:val="000000"/>
          <w:szCs w:val="18"/>
        </w:rPr>
        <w:t xml:space="preserve"> D.W., </w:t>
      </w:r>
      <w:r w:rsidRPr="00A51082">
        <w:rPr>
          <w:rFonts w:cs="Arial"/>
          <w:smallCaps/>
          <w:color w:val="000000"/>
          <w:szCs w:val="18"/>
        </w:rPr>
        <w:t>Noguera</w:t>
      </w:r>
      <w:r w:rsidRPr="00A51082">
        <w:rPr>
          <w:rFonts w:cs="Arial"/>
          <w:color w:val="000000"/>
          <w:szCs w:val="18"/>
        </w:rPr>
        <w:t xml:space="preserve"> P.A., </w:t>
      </w:r>
      <w:r w:rsidRPr="00A51082">
        <w:rPr>
          <w:rFonts w:cs="Arial"/>
          <w:smallCaps/>
          <w:color w:val="000000"/>
          <w:szCs w:val="18"/>
        </w:rPr>
        <w:t>Black</w:t>
      </w:r>
      <w:r w:rsidRPr="00A51082">
        <w:rPr>
          <w:rFonts w:cs="Arial"/>
          <w:color w:val="000000"/>
          <w:szCs w:val="18"/>
        </w:rPr>
        <w:t xml:space="preserve"> J., </w:t>
      </w:r>
      <w:r w:rsidRPr="00A51082">
        <w:rPr>
          <w:rFonts w:cs="Arial"/>
          <w:smallCaps/>
          <w:color w:val="000000"/>
          <w:szCs w:val="18"/>
        </w:rPr>
        <w:t>Murray</w:t>
      </w:r>
      <w:r w:rsidRPr="00A51082">
        <w:rPr>
          <w:rFonts w:cs="Arial"/>
          <w:color w:val="000000"/>
          <w:szCs w:val="18"/>
        </w:rPr>
        <w:t xml:space="preserve"> W., </w:t>
      </w:r>
      <w:r w:rsidRPr="00A51082">
        <w:rPr>
          <w:rFonts w:cs="Arial"/>
          <w:smallCaps/>
          <w:color w:val="000000"/>
          <w:szCs w:val="18"/>
        </w:rPr>
        <w:t>Macqueen</w:t>
      </w:r>
      <w:r w:rsidRPr="00A51082">
        <w:rPr>
          <w:rFonts w:cs="Arial"/>
          <w:color w:val="000000"/>
          <w:szCs w:val="18"/>
        </w:rPr>
        <w:t xml:space="preserve"> D.J. </w:t>
      </w:r>
      <w:r w:rsidRPr="00A51082">
        <w:rPr>
          <w:smallCaps/>
          <w:lang w:val="en-US"/>
        </w:rPr>
        <w:t xml:space="preserve">&amp; </w:t>
      </w:r>
      <w:r w:rsidRPr="00A51082">
        <w:rPr>
          <w:rFonts w:cs="Arial"/>
          <w:smallCaps/>
          <w:color w:val="000000"/>
          <w:szCs w:val="18"/>
        </w:rPr>
        <w:t>Matejusova</w:t>
      </w:r>
      <w:r w:rsidRPr="00A51082">
        <w:rPr>
          <w:rFonts w:cs="Arial"/>
          <w:color w:val="000000"/>
          <w:szCs w:val="18"/>
        </w:rPr>
        <w:t xml:space="preserve"> I. (2014) Identification of a wild reservoir of salmonid alphavirus in common dab </w:t>
      </w:r>
      <w:r w:rsidRPr="00A51082">
        <w:rPr>
          <w:rFonts w:cs="Arial"/>
          <w:i/>
          <w:color w:val="000000"/>
          <w:szCs w:val="18"/>
        </w:rPr>
        <w:t>Limanda limanda</w:t>
      </w:r>
      <w:r w:rsidRPr="00A51082">
        <w:rPr>
          <w:rFonts w:cs="Arial"/>
          <w:color w:val="000000"/>
          <w:szCs w:val="18"/>
        </w:rPr>
        <w:t xml:space="preserve">, with emphasis on virus culture and sequencing. </w:t>
      </w:r>
      <w:r w:rsidRPr="00A51082">
        <w:rPr>
          <w:rFonts w:cs="Arial"/>
          <w:i/>
          <w:color w:val="000000"/>
          <w:szCs w:val="18"/>
        </w:rPr>
        <w:t>Aquacult Environ Interact</w:t>
      </w:r>
      <w:r w:rsidRPr="00A51082">
        <w:rPr>
          <w:rFonts w:cs="Arial"/>
          <w:color w:val="000000"/>
          <w:szCs w:val="18"/>
        </w:rPr>
        <w:t xml:space="preserve"> 5:89-98. </w:t>
      </w:r>
      <w:hyperlink r:id="rId249" w:history="1">
        <w:r w:rsidRPr="00A51082">
          <w:rPr>
            <w:rFonts w:cs="Arial"/>
            <w:color w:val="000000"/>
            <w:szCs w:val="18"/>
          </w:rPr>
          <w:t>https://doi.org/10.3354/aei00097</w:t>
        </w:r>
      </w:hyperlink>
      <w:r>
        <w:rPr>
          <w:rFonts w:cs="Arial"/>
          <w:color w:val="000000"/>
          <w:szCs w:val="18"/>
        </w:rPr>
        <w:t>.</w:t>
      </w:r>
    </w:p>
    <w:p w14:paraId="4DF2A5CA" w14:textId="77777777" w:rsidR="00562F64" w:rsidRDefault="00562F64" w:rsidP="00BE5986">
      <w:pPr>
        <w:pStyle w:val="REF"/>
        <w:spacing w:after="160"/>
        <w:ind w:left="284"/>
        <w:rPr>
          <w:rFonts w:cs="Arial"/>
          <w:color w:val="000000"/>
          <w:szCs w:val="18"/>
        </w:rPr>
      </w:pPr>
      <w:r w:rsidRPr="00AA1AF1">
        <w:rPr>
          <w:smallCaps/>
        </w:rPr>
        <w:t>Christie K.E., Fyrand K., Holtet L. &amp; Rowley H.M.</w:t>
      </w:r>
      <w:r w:rsidRPr="00AA1AF1">
        <w:rPr>
          <w:rFonts w:cs="Arial"/>
          <w:color w:val="000000"/>
          <w:szCs w:val="18"/>
        </w:rPr>
        <w:t xml:space="preserve"> (1998) Isolation of pancreas disease virus from farmed Atlantic salmon, </w:t>
      </w:r>
      <w:r w:rsidRPr="00AA1AF1">
        <w:rPr>
          <w:rFonts w:cs="Arial"/>
          <w:i/>
          <w:color w:val="000000"/>
          <w:szCs w:val="18"/>
        </w:rPr>
        <w:t>Salmo salar</w:t>
      </w:r>
      <w:r w:rsidRPr="00AA1AF1">
        <w:rPr>
          <w:rFonts w:cs="Arial"/>
          <w:color w:val="000000"/>
          <w:szCs w:val="18"/>
        </w:rPr>
        <w:t xml:space="preserve"> L., in Norway.</w:t>
      </w:r>
      <w:r w:rsidRPr="00AA1AF1">
        <w:rPr>
          <w:i/>
        </w:rPr>
        <w:t xml:space="preserve"> J. Fish Dis</w:t>
      </w:r>
      <w:r w:rsidRPr="00AA1AF1">
        <w:t xml:space="preserve">., </w:t>
      </w:r>
      <w:r w:rsidRPr="00AA1AF1">
        <w:rPr>
          <w:b/>
        </w:rPr>
        <w:t>21</w:t>
      </w:r>
      <w:r w:rsidRPr="00AA1AF1">
        <w:t>, 391–394.</w:t>
      </w:r>
      <w:r w:rsidRPr="00AA1AF1">
        <w:rPr>
          <w:rFonts w:cs="Arial"/>
          <w:color w:val="000000"/>
          <w:szCs w:val="18"/>
        </w:rPr>
        <w:t xml:space="preserve"> </w:t>
      </w:r>
    </w:p>
    <w:p w14:paraId="70CF08F3" w14:textId="77777777" w:rsidR="00562F64" w:rsidRPr="00C77BF3" w:rsidRDefault="00562F64" w:rsidP="00BE5986">
      <w:pPr>
        <w:pStyle w:val="REF"/>
        <w:spacing w:after="160"/>
        <w:ind w:left="284"/>
      </w:pPr>
      <w:r w:rsidRPr="00C77BF3">
        <w:rPr>
          <w:smallCaps/>
        </w:rPr>
        <w:t>Christie K.E., Graham D.A., McLoughlin M. F., Villoing S., Todd D. &amp; Knappskog D.</w:t>
      </w:r>
      <w:r w:rsidRPr="00C77BF3">
        <w:t xml:space="preserve"> (2007). Experimental infection of Atlantic salmon </w:t>
      </w:r>
      <w:r w:rsidRPr="00C77BF3">
        <w:rPr>
          <w:i/>
        </w:rPr>
        <w:t>Salmo salar</w:t>
      </w:r>
      <w:r w:rsidRPr="00C77BF3">
        <w:t xml:space="preserve"> pre-smolts by i.p. injection of new Irish and Norwegian salmonid alphavirus (SAV) isolates: a comparative study. </w:t>
      </w:r>
      <w:r w:rsidRPr="00C77BF3">
        <w:rPr>
          <w:rFonts w:cs="Arial"/>
          <w:i/>
          <w:color w:val="000000"/>
          <w:szCs w:val="18"/>
        </w:rPr>
        <w:t>Dis. Aquat. Org.</w:t>
      </w:r>
      <w:r w:rsidRPr="00C77BF3">
        <w:rPr>
          <w:rFonts w:cs="Arial"/>
          <w:color w:val="000000"/>
          <w:szCs w:val="18"/>
        </w:rPr>
        <w:t xml:space="preserve">, </w:t>
      </w:r>
      <w:r w:rsidRPr="00C77BF3">
        <w:rPr>
          <w:rFonts w:cs="Arial"/>
          <w:b/>
          <w:color w:val="000000"/>
          <w:szCs w:val="18"/>
        </w:rPr>
        <w:t>75</w:t>
      </w:r>
      <w:r w:rsidRPr="00C77BF3">
        <w:rPr>
          <w:rFonts w:cs="Arial"/>
          <w:color w:val="000000"/>
          <w:szCs w:val="18"/>
        </w:rPr>
        <w:t>, 13</w:t>
      </w:r>
      <w:r w:rsidRPr="00C77BF3">
        <w:t>–</w:t>
      </w:r>
      <w:r w:rsidRPr="00C77BF3">
        <w:rPr>
          <w:rFonts w:cs="Arial"/>
          <w:color w:val="000000"/>
          <w:szCs w:val="18"/>
        </w:rPr>
        <w:t>22.</w:t>
      </w:r>
    </w:p>
    <w:p w14:paraId="519758EC" w14:textId="77777777" w:rsidR="00562F64" w:rsidRPr="00AA1AF1" w:rsidRDefault="00562F64" w:rsidP="00BE5986">
      <w:pPr>
        <w:pStyle w:val="REF"/>
        <w:spacing w:after="160"/>
        <w:ind w:left="284"/>
      </w:pPr>
      <w:r w:rsidRPr="00AA1AF1">
        <w:rPr>
          <w:smallCaps/>
        </w:rPr>
        <w:t>Fringuelli E., Rowley H.M., Wilson J.C., Hunter R., Rodger H. &amp; Graham D.A.</w:t>
      </w:r>
      <w:r w:rsidRPr="00AA1AF1">
        <w:t xml:space="preserve"> (2008). Phylogenetic analyses and molecular epidemiology of European salmonid alphaviruses (SAV) based on partial E2 and nsP3 gene nucleotide sequences. </w:t>
      </w:r>
      <w:r w:rsidRPr="00AA1AF1">
        <w:rPr>
          <w:i/>
        </w:rPr>
        <w:t>J. Fish Dis</w:t>
      </w:r>
      <w:r w:rsidRPr="00AA1AF1">
        <w:t xml:space="preserve">., </w:t>
      </w:r>
      <w:r w:rsidRPr="00AA1AF1">
        <w:rPr>
          <w:b/>
        </w:rPr>
        <w:t>31</w:t>
      </w:r>
      <w:r w:rsidRPr="00AA1AF1">
        <w:t>, 811–823.</w:t>
      </w:r>
    </w:p>
    <w:p w14:paraId="363B3F4F" w14:textId="77777777" w:rsidR="00562F64" w:rsidRDefault="00562F64" w:rsidP="00BE5986">
      <w:pPr>
        <w:pStyle w:val="REF"/>
        <w:spacing w:after="160"/>
        <w:ind w:left="284"/>
        <w:rPr>
          <w:smallCaps/>
        </w:rPr>
      </w:pPr>
      <w:r w:rsidRPr="00A51082">
        <w:rPr>
          <w:rFonts w:ascii="Segoe UI" w:hAnsi="Segoe UI" w:cs="Segoe UI"/>
          <w:smallCaps/>
          <w:color w:val="222222"/>
          <w:shd w:val="clear" w:color="auto" w:fill="FFFFFF"/>
        </w:rPr>
        <w:t>Gonen S., Baranski M., Thorland I.</w:t>
      </w:r>
      <w:r>
        <w:rPr>
          <w:rFonts w:ascii="Segoe UI" w:hAnsi="Segoe UI" w:cs="Segoe UI"/>
          <w:smallCaps/>
          <w:color w:val="222222"/>
          <w:shd w:val="clear" w:color="auto" w:fill="FFFFFF"/>
        </w:rPr>
        <w:t>,</w:t>
      </w:r>
      <w:r w:rsidRPr="00A51082">
        <w:rPr>
          <w:rFonts w:ascii="Segoe UI" w:hAnsi="Segoe UI" w:cs="Segoe UI"/>
          <w:smallCaps/>
          <w:color w:val="222222"/>
          <w:shd w:val="clear" w:color="auto" w:fill="FFFFFF"/>
        </w:rPr>
        <w:t>  Norris A</w:t>
      </w:r>
      <w:r>
        <w:rPr>
          <w:rFonts w:ascii="Segoe UI" w:hAnsi="Segoe UI" w:cs="Segoe UI"/>
          <w:smallCaps/>
          <w:color w:val="222222"/>
          <w:shd w:val="clear" w:color="auto" w:fill="FFFFFF"/>
        </w:rPr>
        <w:t>.</w:t>
      </w:r>
      <w:r w:rsidRPr="00A51082">
        <w:rPr>
          <w:rFonts w:ascii="Segoe UI" w:hAnsi="Segoe UI" w:cs="Segoe UI"/>
          <w:smallCaps/>
          <w:color w:val="222222"/>
          <w:shd w:val="clear" w:color="auto" w:fill="FFFFFF"/>
        </w:rPr>
        <w:t>, Grove H</w:t>
      </w:r>
      <w:r>
        <w:rPr>
          <w:rFonts w:ascii="Segoe UI" w:hAnsi="Segoe UI" w:cs="Segoe UI"/>
          <w:smallCaps/>
          <w:color w:val="222222"/>
          <w:shd w:val="clear" w:color="auto" w:fill="FFFFFF"/>
        </w:rPr>
        <w:t>.</w:t>
      </w:r>
      <w:r w:rsidRPr="00A51082">
        <w:rPr>
          <w:rFonts w:ascii="Segoe UI" w:hAnsi="Segoe UI" w:cs="Segoe UI"/>
          <w:smallCaps/>
          <w:color w:val="222222"/>
          <w:shd w:val="clear" w:color="auto" w:fill="FFFFFF"/>
        </w:rPr>
        <w:t>, Arnesen P</w:t>
      </w:r>
      <w:r>
        <w:rPr>
          <w:rFonts w:ascii="Segoe UI" w:hAnsi="Segoe UI" w:cs="Segoe UI"/>
          <w:smallCaps/>
          <w:color w:val="222222"/>
          <w:shd w:val="clear" w:color="auto" w:fill="FFFFFF"/>
        </w:rPr>
        <w:t>.</w:t>
      </w:r>
      <w:r w:rsidRPr="00A51082">
        <w:rPr>
          <w:rFonts w:ascii="Segoe UI" w:hAnsi="Segoe UI" w:cs="Segoe UI"/>
          <w:smallCaps/>
          <w:color w:val="222222"/>
          <w:shd w:val="clear" w:color="auto" w:fill="FFFFFF"/>
        </w:rPr>
        <w:t>, Bakke H</w:t>
      </w:r>
      <w:r>
        <w:rPr>
          <w:rFonts w:ascii="Segoe UI" w:hAnsi="Segoe UI" w:cs="Segoe UI"/>
          <w:smallCaps/>
          <w:color w:val="222222"/>
          <w:shd w:val="clear" w:color="auto" w:fill="FFFFFF"/>
        </w:rPr>
        <w:t>.</w:t>
      </w:r>
      <w:r w:rsidRPr="00A51082">
        <w:rPr>
          <w:rFonts w:ascii="Segoe UI" w:hAnsi="Segoe UI" w:cs="Segoe UI"/>
          <w:smallCaps/>
          <w:color w:val="222222"/>
          <w:shd w:val="clear" w:color="auto" w:fill="FFFFFF"/>
        </w:rPr>
        <w:t>, Lien S</w:t>
      </w:r>
      <w:r>
        <w:rPr>
          <w:rFonts w:ascii="Segoe UI" w:hAnsi="Segoe UI" w:cs="Segoe UI"/>
          <w:smallCaps/>
          <w:color w:val="222222"/>
          <w:shd w:val="clear" w:color="auto" w:fill="FFFFFF"/>
        </w:rPr>
        <w:t>.</w:t>
      </w:r>
      <w:r w:rsidRPr="00A51082">
        <w:rPr>
          <w:rFonts w:ascii="Segoe UI" w:hAnsi="Segoe UI" w:cs="Segoe UI"/>
          <w:smallCaps/>
          <w:color w:val="222222"/>
          <w:shd w:val="clear" w:color="auto" w:fill="FFFFFF"/>
        </w:rPr>
        <w:t>, Bishop S</w:t>
      </w:r>
      <w:r>
        <w:rPr>
          <w:rFonts w:ascii="Segoe UI" w:hAnsi="Segoe UI" w:cs="Segoe UI"/>
          <w:smallCaps/>
          <w:color w:val="222222"/>
          <w:shd w:val="clear" w:color="auto" w:fill="FFFFFF"/>
        </w:rPr>
        <w:t>.</w:t>
      </w:r>
      <w:r w:rsidRPr="00A51082">
        <w:rPr>
          <w:rFonts w:ascii="Segoe UI" w:hAnsi="Segoe UI" w:cs="Segoe UI"/>
          <w:smallCaps/>
          <w:color w:val="222222"/>
          <w:shd w:val="clear" w:color="auto" w:fill="FFFFFF"/>
        </w:rPr>
        <w:t>C</w:t>
      </w:r>
      <w:r>
        <w:rPr>
          <w:rFonts w:ascii="Segoe UI" w:hAnsi="Segoe UI" w:cs="Segoe UI"/>
          <w:smallCaps/>
          <w:color w:val="222222"/>
          <w:shd w:val="clear" w:color="auto" w:fill="FFFFFF"/>
        </w:rPr>
        <w:t>.</w:t>
      </w:r>
      <w:r w:rsidRPr="00A51082">
        <w:rPr>
          <w:rFonts w:ascii="Segoe UI" w:hAnsi="Segoe UI" w:cs="Segoe UI"/>
          <w:smallCaps/>
          <w:color w:val="222222"/>
          <w:shd w:val="clear" w:color="auto" w:fill="FFFFFF"/>
        </w:rPr>
        <w:t xml:space="preserve"> &amp; Houston R</w:t>
      </w:r>
      <w:r>
        <w:rPr>
          <w:rFonts w:ascii="Segoe UI" w:hAnsi="Segoe UI" w:cs="Segoe UI"/>
          <w:smallCaps/>
          <w:color w:val="222222"/>
          <w:shd w:val="clear" w:color="auto" w:fill="FFFFFF"/>
        </w:rPr>
        <w:t>.</w:t>
      </w:r>
      <w:r w:rsidRPr="00A51082">
        <w:rPr>
          <w:rFonts w:ascii="Segoe UI" w:hAnsi="Segoe UI" w:cs="Segoe UI"/>
          <w:smallCaps/>
          <w:color w:val="222222"/>
          <w:shd w:val="clear" w:color="auto" w:fill="FFFFFF"/>
        </w:rPr>
        <w:t>D.</w:t>
      </w:r>
      <w:r>
        <w:t xml:space="preserve"> </w:t>
      </w:r>
      <w:r>
        <w:rPr>
          <w:rFonts w:ascii="Segoe UI" w:hAnsi="Segoe UI" w:cs="Segoe UI"/>
          <w:color w:val="222222"/>
          <w:shd w:val="clear" w:color="auto" w:fill="FFFFFF"/>
        </w:rPr>
        <w:t>(2015). Mapping and validation of a major QTL affecting resistance to pancreas disease (salmonid alphavirus) in Atlantic salmon (</w:t>
      </w:r>
      <w:r>
        <w:rPr>
          <w:rFonts w:ascii="Segoe UI" w:hAnsi="Segoe UI" w:cs="Segoe UI"/>
          <w:i/>
          <w:iCs/>
          <w:color w:val="222222"/>
          <w:shd w:val="clear" w:color="auto" w:fill="FFFFFF"/>
        </w:rPr>
        <w:t>Salmo salar</w:t>
      </w:r>
      <w:r>
        <w:rPr>
          <w:rFonts w:ascii="Segoe UI" w:hAnsi="Segoe UI" w:cs="Segoe UI"/>
          <w:color w:val="222222"/>
          <w:shd w:val="clear" w:color="auto" w:fill="FFFFFF"/>
        </w:rPr>
        <w:t>). </w:t>
      </w:r>
      <w:r>
        <w:rPr>
          <w:rFonts w:ascii="Segoe UI" w:hAnsi="Segoe UI" w:cs="Segoe UI"/>
          <w:i/>
          <w:iCs/>
          <w:color w:val="222222"/>
          <w:shd w:val="clear" w:color="auto" w:fill="FFFFFF"/>
        </w:rPr>
        <w:t>Heredity,</w:t>
      </w:r>
      <w:r>
        <w:rPr>
          <w:rFonts w:ascii="Segoe UI" w:hAnsi="Segoe UI" w:cs="Segoe UI"/>
          <w:color w:val="222222"/>
          <w:shd w:val="clear" w:color="auto" w:fill="FFFFFF"/>
        </w:rPr>
        <w:t> </w:t>
      </w:r>
      <w:r>
        <w:rPr>
          <w:rFonts w:ascii="Segoe UI" w:hAnsi="Segoe UI" w:cs="Segoe UI"/>
          <w:b/>
          <w:bCs/>
          <w:color w:val="222222"/>
          <w:shd w:val="clear" w:color="auto" w:fill="FFFFFF"/>
        </w:rPr>
        <w:t>115</w:t>
      </w:r>
      <w:r w:rsidRPr="00A51082">
        <w:rPr>
          <w:rFonts w:ascii="Segoe UI" w:hAnsi="Segoe UI" w:cs="Segoe UI"/>
          <w:bCs/>
          <w:color w:val="222222"/>
          <w:shd w:val="clear" w:color="auto" w:fill="FFFFFF"/>
        </w:rPr>
        <w:t>,</w:t>
      </w:r>
      <w:r>
        <w:rPr>
          <w:rFonts w:ascii="Segoe UI" w:hAnsi="Segoe UI" w:cs="Segoe UI"/>
          <w:b/>
          <w:bCs/>
          <w:color w:val="222222"/>
          <w:shd w:val="clear" w:color="auto" w:fill="FFFFFF"/>
        </w:rPr>
        <w:t> </w:t>
      </w:r>
      <w:r>
        <w:rPr>
          <w:rFonts w:ascii="Segoe UI" w:hAnsi="Segoe UI" w:cs="Segoe UI"/>
          <w:color w:val="222222"/>
          <w:shd w:val="clear" w:color="auto" w:fill="FFFFFF"/>
        </w:rPr>
        <w:t>405–414. https://doi.org/10.1038/hdy.2015.37</w:t>
      </w:r>
    </w:p>
    <w:p w14:paraId="19F890EB" w14:textId="77777777" w:rsidR="00562F64" w:rsidRPr="00AD1153" w:rsidRDefault="00562F64" w:rsidP="00555AD1">
      <w:pPr>
        <w:pStyle w:val="REF"/>
        <w:ind w:left="284"/>
      </w:pPr>
      <w:r w:rsidRPr="00AD1153">
        <w:rPr>
          <w:smallCaps/>
        </w:rPr>
        <w:t>Graham D.A., Cherry K., Wilson C.J. &amp; Rowley H.M</w:t>
      </w:r>
      <w:r w:rsidRPr="00AD1153">
        <w:t>. (2007</w:t>
      </w:r>
      <w:r>
        <w:t>a</w:t>
      </w:r>
      <w:r w:rsidRPr="00AD1153">
        <w:t xml:space="preserve">). Susceptibility of salmonid alphavirus to a range of chemical disinfectants. </w:t>
      </w:r>
      <w:r w:rsidRPr="00AD1153">
        <w:rPr>
          <w:i/>
        </w:rPr>
        <w:t>J. Fish Dis</w:t>
      </w:r>
      <w:r w:rsidRPr="00AD1153">
        <w:t xml:space="preserve">., </w:t>
      </w:r>
      <w:r w:rsidRPr="00AD1153">
        <w:rPr>
          <w:b/>
        </w:rPr>
        <w:t>30</w:t>
      </w:r>
      <w:r w:rsidRPr="00AD1153">
        <w:t>, 269–277.</w:t>
      </w:r>
    </w:p>
    <w:p w14:paraId="6FDC4B54" w14:textId="77777777" w:rsidR="00562F64" w:rsidRPr="00AA1AF1" w:rsidRDefault="00562F64" w:rsidP="00555AD1">
      <w:pPr>
        <w:pStyle w:val="REF"/>
        <w:ind w:left="284"/>
      </w:pPr>
      <w:r w:rsidRPr="00AA1AF1">
        <w:rPr>
          <w:smallCaps/>
        </w:rPr>
        <w:t>Graham D.A., Frost P., McLaughlin K., Rowley H.M., Gabestad I., Gordon A. &amp; McLoughlin M.F.</w:t>
      </w:r>
      <w:r w:rsidRPr="00AA1AF1">
        <w:t xml:space="preserve"> (2011). A comparative study of marine salmonid alphavirus subtypes 1–6 using an experimental cohabitation challenge model. </w:t>
      </w:r>
      <w:r w:rsidRPr="00AA1AF1">
        <w:rPr>
          <w:i/>
        </w:rPr>
        <w:t>J. Fish Dis</w:t>
      </w:r>
      <w:r w:rsidRPr="00AA1AF1">
        <w:t xml:space="preserve">., </w:t>
      </w:r>
      <w:r w:rsidRPr="00AA1AF1">
        <w:rPr>
          <w:b/>
        </w:rPr>
        <w:t>34</w:t>
      </w:r>
      <w:r w:rsidRPr="00AA1AF1">
        <w:t>, 273–286.</w:t>
      </w:r>
    </w:p>
    <w:p w14:paraId="48BA20AC" w14:textId="77777777" w:rsidR="00BE5986" w:rsidRDefault="00BE5986">
      <w:pPr>
        <w:rPr>
          <w:u w:val="single"/>
        </w:rPr>
      </w:pPr>
      <w:r>
        <w:rPr>
          <w:u w:val="single"/>
        </w:rPr>
        <w:br w:type="page"/>
      </w:r>
    </w:p>
    <w:p w14:paraId="1D47F220" w14:textId="6ED050D6" w:rsidR="00555AD1" w:rsidRPr="008A67C2" w:rsidRDefault="00555AD1" w:rsidP="00555AD1">
      <w:pPr>
        <w:spacing w:after="480" w:line="240" w:lineRule="auto"/>
        <w:rPr>
          <w:rFonts w:cs="Times New Roman"/>
          <w:bCs/>
          <w:iCs/>
          <w:szCs w:val="20"/>
        </w:rPr>
      </w:pPr>
      <w:r w:rsidRPr="008A67C2">
        <w:rPr>
          <w:u w:val="single"/>
        </w:rPr>
        <w:lastRenderedPageBreak/>
        <w:t>A</w:t>
      </w:r>
      <w:r w:rsidRPr="008A67C2">
        <w:rPr>
          <w:rFonts w:cs="Times New Roman"/>
          <w:bCs/>
          <w:iCs/>
          <w:szCs w:val="20"/>
          <w:u w:val="single"/>
        </w:rPr>
        <w:t>nnex 1</w:t>
      </w:r>
      <w:r>
        <w:rPr>
          <w:rFonts w:cs="Times New Roman"/>
          <w:bCs/>
          <w:iCs/>
          <w:szCs w:val="20"/>
          <w:u w:val="single"/>
        </w:rPr>
        <w:t>6</w:t>
      </w:r>
      <w:r w:rsidRPr="008A67C2">
        <w:rPr>
          <w:rFonts w:cs="Times New Roman"/>
          <w:bCs/>
          <w:iCs/>
          <w:szCs w:val="20"/>
        </w:rPr>
        <w:t xml:space="preserve"> (contd)</w:t>
      </w:r>
    </w:p>
    <w:p w14:paraId="7142CC0D" w14:textId="77777777" w:rsidR="00562F64" w:rsidRPr="00AA1AF1" w:rsidRDefault="00562F64" w:rsidP="00555AD1">
      <w:pPr>
        <w:pStyle w:val="REF"/>
        <w:ind w:left="284"/>
      </w:pPr>
      <w:r w:rsidRPr="00AA1AF1">
        <w:rPr>
          <w:smallCaps/>
        </w:rPr>
        <w:t xml:space="preserve">Graham D.A., Fringuelli E., Wilson C., Rowley H.M., Brown, A., Rodger H., McLoughlin M.F., McManus C., Casey E., McCarthy L.J. &amp; Ruane N.M. </w:t>
      </w:r>
      <w:r w:rsidRPr="00AA1AF1">
        <w:t xml:space="preserve">(2010). Prospective longitudinal studies of salmonid alphavirus infections on two Atlantic salmon farms in Ireland; evidence for virual persistence. </w:t>
      </w:r>
      <w:r w:rsidRPr="00AA1AF1">
        <w:rPr>
          <w:i/>
        </w:rPr>
        <w:t>J. Fish Dis</w:t>
      </w:r>
      <w:r w:rsidRPr="00AA1AF1">
        <w:t xml:space="preserve">., </w:t>
      </w:r>
      <w:r w:rsidRPr="00AA1AF1">
        <w:rPr>
          <w:b/>
        </w:rPr>
        <w:t>33</w:t>
      </w:r>
      <w:r w:rsidRPr="00AA1AF1">
        <w:t>, 123–135.</w:t>
      </w:r>
    </w:p>
    <w:p w14:paraId="2A9AF65A" w14:textId="77777777" w:rsidR="00562F64" w:rsidRPr="00AA1AF1" w:rsidRDefault="00562F64" w:rsidP="00555AD1">
      <w:pPr>
        <w:pStyle w:val="REF"/>
        <w:ind w:left="284"/>
      </w:pPr>
      <w:r w:rsidRPr="00AA1AF1">
        <w:rPr>
          <w:smallCaps/>
        </w:rPr>
        <w:t>Graham D.A., Jewhurst V.A., Rowley H.M., McLoughlin M.F. &amp; Todd D.</w:t>
      </w:r>
      <w:r w:rsidRPr="00AA1AF1">
        <w:t xml:space="preserve"> (2003). A rapid immunoperoxidase-basd neutralization assay for salmonid alphavirus used for a serological survey in Northern Ireland. </w:t>
      </w:r>
      <w:r w:rsidRPr="00AA1AF1">
        <w:rPr>
          <w:i/>
        </w:rPr>
        <w:t>J. Fish Dis</w:t>
      </w:r>
      <w:r w:rsidRPr="00AA1AF1">
        <w:t xml:space="preserve">., </w:t>
      </w:r>
      <w:r w:rsidRPr="00AA1AF1">
        <w:rPr>
          <w:b/>
        </w:rPr>
        <w:t>26</w:t>
      </w:r>
      <w:r w:rsidRPr="00AA1AF1">
        <w:t>, 407–413.</w:t>
      </w:r>
    </w:p>
    <w:p w14:paraId="15E99644" w14:textId="77777777" w:rsidR="00562F64" w:rsidRPr="00AA1AF1" w:rsidRDefault="00562F64" w:rsidP="00555AD1">
      <w:pPr>
        <w:pStyle w:val="REF"/>
        <w:ind w:left="284"/>
      </w:pPr>
      <w:r w:rsidRPr="00AA1AF1">
        <w:rPr>
          <w:smallCaps/>
        </w:rPr>
        <w:t>Graham D.A., Rowley H.M. &amp; Frost P.</w:t>
      </w:r>
      <w:r w:rsidRPr="00AA1AF1">
        <w:t xml:space="preserve"> (2014). Cross-neutralization studies with salmonid alphavirus subtype 1–6 strains: results with sera from experimental studies and natural infections. </w:t>
      </w:r>
      <w:r w:rsidRPr="00AA1AF1">
        <w:rPr>
          <w:i/>
        </w:rPr>
        <w:t>J. Fish Dis</w:t>
      </w:r>
      <w:r w:rsidRPr="00AA1AF1">
        <w:t>., 37, 683–691.</w:t>
      </w:r>
    </w:p>
    <w:p w14:paraId="3D3671B1" w14:textId="77777777" w:rsidR="00562F64" w:rsidRPr="00AA1AF1" w:rsidRDefault="00562F64" w:rsidP="00555AD1">
      <w:pPr>
        <w:pStyle w:val="REF"/>
        <w:ind w:left="284"/>
      </w:pPr>
      <w:r w:rsidRPr="00AA1AF1">
        <w:rPr>
          <w:smallCaps/>
        </w:rPr>
        <w:t>Graham D.A., Staples V., Wilson C.J., Jewhurst H., Cherry K., Gordon A. &amp; Rowley H.M.</w:t>
      </w:r>
      <w:r w:rsidRPr="00AA1AF1">
        <w:t xml:space="preserve"> (2007</w:t>
      </w:r>
      <w:r>
        <w:t>b</w:t>
      </w:r>
      <w:r w:rsidRPr="00AA1AF1">
        <w:t xml:space="preserve">). Biophysical properties of salmonid alphaviruses: influences of temperature and pH on virus survival. </w:t>
      </w:r>
      <w:r w:rsidRPr="00AA1AF1">
        <w:rPr>
          <w:i/>
        </w:rPr>
        <w:t>J. Fish Dis</w:t>
      </w:r>
      <w:r w:rsidRPr="00AA1AF1">
        <w:t xml:space="preserve">., </w:t>
      </w:r>
      <w:r w:rsidRPr="00AA1AF1">
        <w:rPr>
          <w:b/>
        </w:rPr>
        <w:t>30</w:t>
      </w:r>
      <w:r w:rsidRPr="00AA1AF1">
        <w:t>, 533–543.</w:t>
      </w:r>
    </w:p>
    <w:p w14:paraId="6CB4559C" w14:textId="77777777" w:rsidR="00562F64" w:rsidRDefault="00562F64" w:rsidP="00555AD1">
      <w:pPr>
        <w:pStyle w:val="REF"/>
        <w:ind w:left="284"/>
      </w:pPr>
      <w:r w:rsidRPr="00AA1AF1">
        <w:rPr>
          <w:smallCaps/>
        </w:rPr>
        <w:t>Graham D.A., Wilson C., Jewhurst H. &amp; Rowley H</w:t>
      </w:r>
      <w:r w:rsidRPr="00AA1AF1">
        <w:t xml:space="preserve">. (2008). Cultural characteristics of salmonid alphaviruses – influences of cell line and temperature. </w:t>
      </w:r>
      <w:r w:rsidRPr="00AA1AF1">
        <w:rPr>
          <w:i/>
        </w:rPr>
        <w:t>J. Fish Dis</w:t>
      </w:r>
      <w:r w:rsidRPr="00AA1AF1">
        <w:t xml:space="preserve">., </w:t>
      </w:r>
      <w:r w:rsidRPr="00AA1AF1">
        <w:rPr>
          <w:b/>
        </w:rPr>
        <w:t>31</w:t>
      </w:r>
      <w:r w:rsidRPr="00AA1AF1">
        <w:t>, 859–868.</w:t>
      </w:r>
    </w:p>
    <w:p w14:paraId="5D45385B" w14:textId="77777777" w:rsidR="00562F64" w:rsidRPr="00562F64" w:rsidRDefault="00562F64" w:rsidP="00555AD1">
      <w:pPr>
        <w:pStyle w:val="REF"/>
        <w:ind w:left="284"/>
        <w:rPr>
          <w:rFonts w:cs="Arial"/>
          <w:szCs w:val="18"/>
          <w:lang w:val="en-GB"/>
        </w:rPr>
      </w:pPr>
      <w:r w:rsidRPr="00562F64">
        <w:rPr>
          <w:rFonts w:cs="Arial"/>
          <w:szCs w:val="18"/>
          <w:lang w:val="en-GB"/>
        </w:rPr>
        <w:t xml:space="preserve">Graham </w:t>
      </w:r>
      <w:r w:rsidRPr="00562F64">
        <w:rPr>
          <w:rFonts w:cs="Arial"/>
          <w:i/>
          <w:iCs/>
          <w:szCs w:val="18"/>
          <w:lang w:val="en-GB"/>
        </w:rPr>
        <w:t>et al</w:t>
      </w:r>
      <w:r w:rsidRPr="00562F64">
        <w:rPr>
          <w:rFonts w:cs="Arial"/>
          <w:szCs w:val="18"/>
          <w:lang w:val="en-GB"/>
        </w:rPr>
        <w:t>., 2009</w:t>
      </w:r>
    </w:p>
    <w:p w14:paraId="438FF079" w14:textId="77777777" w:rsidR="00562F64" w:rsidRPr="006D0001" w:rsidRDefault="00562F64" w:rsidP="00555AD1">
      <w:pPr>
        <w:pStyle w:val="REF"/>
        <w:ind w:left="284"/>
        <w:rPr>
          <w:rFonts w:cs="Arial"/>
          <w:noProof/>
          <w:szCs w:val="18"/>
        </w:rPr>
      </w:pPr>
      <w:r w:rsidRPr="00A51082">
        <w:rPr>
          <w:smallCaps/>
        </w:rPr>
        <w:t>Hall, L.M., Munro, L.A., Wallace, I.S., McIntosh, R., MacNeish, K., Murray, A.G.,</w:t>
      </w:r>
      <w:r w:rsidRPr="00A51082">
        <w:rPr>
          <w:rFonts w:cs="Arial"/>
          <w:noProof/>
          <w:szCs w:val="18"/>
        </w:rPr>
        <w:t xml:space="preserve"> </w:t>
      </w:r>
      <w:r>
        <w:rPr>
          <w:rFonts w:cs="Arial"/>
          <w:noProof/>
          <w:szCs w:val="18"/>
        </w:rPr>
        <w:t>(</w:t>
      </w:r>
      <w:r w:rsidRPr="00A51082">
        <w:rPr>
          <w:rFonts w:cs="Arial"/>
          <w:noProof/>
          <w:szCs w:val="18"/>
        </w:rPr>
        <w:t>2014</w:t>
      </w:r>
      <w:r>
        <w:rPr>
          <w:rFonts w:cs="Arial"/>
          <w:noProof/>
          <w:szCs w:val="18"/>
        </w:rPr>
        <w:t>)</w:t>
      </w:r>
      <w:r w:rsidRPr="006D0001">
        <w:rPr>
          <w:rFonts w:cs="Arial"/>
          <w:noProof/>
          <w:szCs w:val="18"/>
        </w:rPr>
        <w:t xml:space="preserve">. An approach to evaluating the reliability of diagnostic tests on pooled groups of infected individuals. Preventive Veterinary Medicine 116, 305–312. </w:t>
      </w:r>
      <w:hyperlink r:id="rId250" w:history="1">
        <w:r w:rsidRPr="006D0001">
          <w:rPr>
            <w:rStyle w:val="Lienhypertexte"/>
            <w:rFonts w:eastAsiaTheme="majorEastAsia" w:cs="Arial"/>
            <w:noProof/>
            <w:szCs w:val="18"/>
          </w:rPr>
          <w:t>https://doi.org/https://doi.org/10.1016/j.prevetmed.2014.01.021</w:t>
        </w:r>
      </w:hyperlink>
    </w:p>
    <w:p w14:paraId="04091DA3" w14:textId="77777777" w:rsidR="00562F64" w:rsidRPr="00AA1AF1" w:rsidRDefault="00562F64" w:rsidP="00555AD1">
      <w:pPr>
        <w:pStyle w:val="REF"/>
        <w:ind w:left="284"/>
      </w:pPr>
      <w:r w:rsidRPr="00AA1AF1">
        <w:rPr>
          <w:smallCaps/>
        </w:rPr>
        <w:t>Herath T., Costa J., Thompson K., Adams A. &amp; Richards R.</w:t>
      </w:r>
      <w:r w:rsidRPr="00AA1AF1">
        <w:t xml:space="preserve"> (2009). Alternative cell line for the isolation of salmonid alphavirus-1. </w:t>
      </w:r>
      <w:r w:rsidRPr="00AA1AF1">
        <w:rPr>
          <w:i/>
        </w:rPr>
        <w:t>Icelandic Agricultural Sci.,</w:t>
      </w:r>
      <w:r w:rsidRPr="00AA1AF1">
        <w:t xml:space="preserve"> </w:t>
      </w:r>
      <w:r w:rsidRPr="00AA1AF1">
        <w:rPr>
          <w:b/>
        </w:rPr>
        <w:t>22</w:t>
      </w:r>
      <w:r w:rsidRPr="00AA1AF1">
        <w:t>, 19–27.</w:t>
      </w:r>
    </w:p>
    <w:p w14:paraId="6CC2BB39" w14:textId="77777777" w:rsidR="00562F64" w:rsidRPr="00AA1AF1" w:rsidRDefault="00562F64" w:rsidP="00555AD1">
      <w:pPr>
        <w:pStyle w:val="REF"/>
        <w:ind w:left="284"/>
        <w:rPr>
          <w:lang w:val="nb-NO"/>
        </w:rPr>
      </w:pPr>
      <w:r w:rsidRPr="00AA1AF1">
        <w:rPr>
          <w:smallCaps/>
        </w:rPr>
        <w:t>Hodneland K. &amp; Endresen C.</w:t>
      </w:r>
      <w:r w:rsidRPr="00AA1AF1">
        <w:t xml:space="preserve"> (2006). Sensitive and specific detection of salmonid alphavirus using real-time PCR (TaqMan). </w:t>
      </w:r>
      <w:r w:rsidRPr="00AA1AF1">
        <w:rPr>
          <w:i/>
          <w:lang w:val="nb-NO"/>
        </w:rPr>
        <w:t>J. Virol. Methods,</w:t>
      </w:r>
      <w:r w:rsidRPr="00AA1AF1">
        <w:rPr>
          <w:lang w:val="nb-NO"/>
        </w:rPr>
        <w:t xml:space="preserve"> </w:t>
      </w:r>
      <w:r w:rsidRPr="00AA1AF1">
        <w:rPr>
          <w:b/>
          <w:lang w:val="nb-NO"/>
        </w:rPr>
        <w:t>131</w:t>
      </w:r>
      <w:r w:rsidRPr="00AA1AF1">
        <w:rPr>
          <w:lang w:val="nb-NO"/>
        </w:rPr>
        <w:t>, 184–192.</w:t>
      </w:r>
    </w:p>
    <w:p w14:paraId="05955EB7" w14:textId="77777777" w:rsidR="00562F64" w:rsidRPr="00AA1AF1" w:rsidRDefault="00562F64" w:rsidP="00555AD1">
      <w:pPr>
        <w:pStyle w:val="REF"/>
        <w:ind w:left="284"/>
      </w:pPr>
      <w:r w:rsidRPr="00AA1AF1">
        <w:rPr>
          <w:smallCaps/>
          <w:lang w:val="nb-NO"/>
        </w:rPr>
        <w:t>Jansen M.D., Bang Jensen B. &amp; Brun E.</w:t>
      </w:r>
      <w:r w:rsidRPr="00AA1AF1">
        <w:rPr>
          <w:lang w:val="nb-NO"/>
        </w:rPr>
        <w:t xml:space="preserve"> (2014). </w:t>
      </w:r>
      <w:r w:rsidRPr="00AA1AF1">
        <w:t xml:space="preserve">Clinical manifestations of pancreas disease (PD) outbreaks in Norwegian marine salmon farming – variations due to salmonid alphavirus (SAV) subtype. </w:t>
      </w:r>
      <w:r w:rsidRPr="00AA1AF1">
        <w:rPr>
          <w:i/>
        </w:rPr>
        <w:t>J. Fish Dis</w:t>
      </w:r>
      <w:r w:rsidRPr="00AA1AF1">
        <w:t>., 24 March, doi: 10.1111/jfd.12238</w:t>
      </w:r>
    </w:p>
    <w:p w14:paraId="4E5F4043" w14:textId="77777777" w:rsidR="00562F64" w:rsidRPr="00402608" w:rsidRDefault="00562F64" w:rsidP="00555AD1">
      <w:pPr>
        <w:autoSpaceDE w:val="0"/>
        <w:autoSpaceDN w:val="0"/>
        <w:adjustRightInd w:val="0"/>
        <w:spacing w:after="240"/>
        <w:ind w:left="284"/>
        <w:rPr>
          <w:rFonts w:ascii="Arial" w:hAnsi="Arial" w:cs="Arial"/>
          <w:sz w:val="18"/>
          <w:szCs w:val="18"/>
          <w:lang w:val="en-US"/>
        </w:rPr>
      </w:pPr>
      <w:r w:rsidRPr="00402608">
        <w:rPr>
          <w:rFonts w:ascii="Arial" w:hAnsi="Arial" w:cs="Arial"/>
          <w:smallCaps/>
          <w:sz w:val="18"/>
          <w:szCs w:val="18"/>
        </w:rPr>
        <w:t>Jansen M.D., Guarracino M., Carson M., Modahl I., Taksdal T., Sindre H., Brun E. &amp; Tavornpanich S. (2019)</w:t>
      </w:r>
      <w:r>
        <w:rPr>
          <w:rFonts w:ascii="Arial" w:hAnsi="Arial" w:cs="Arial"/>
          <w:smallCaps/>
          <w:sz w:val="18"/>
          <w:szCs w:val="18"/>
        </w:rPr>
        <w:t>.</w:t>
      </w:r>
      <w:r w:rsidRPr="00402608">
        <w:rPr>
          <w:rFonts w:ascii="Arial" w:hAnsi="Arial" w:cs="Arial"/>
          <w:smallCaps/>
          <w:sz w:val="18"/>
          <w:szCs w:val="18"/>
        </w:rPr>
        <w:t xml:space="preserve"> </w:t>
      </w:r>
      <w:r w:rsidRPr="00402608">
        <w:rPr>
          <w:rFonts w:ascii="Arial" w:hAnsi="Arial" w:cs="Arial"/>
          <w:sz w:val="18"/>
          <w:szCs w:val="18"/>
          <w:lang w:val="en-US"/>
        </w:rPr>
        <w:t xml:space="preserve">Field evaluation of diagnostic test sensitivity and specificity for </w:t>
      </w:r>
      <w:r w:rsidRPr="00402608">
        <w:rPr>
          <w:rFonts w:ascii="Arial" w:hAnsi="Arial" w:cs="Arial"/>
          <w:i/>
          <w:iCs/>
          <w:sz w:val="18"/>
          <w:szCs w:val="18"/>
          <w:lang w:val="en-US"/>
        </w:rPr>
        <w:t>Salmonid alphavirus</w:t>
      </w:r>
      <w:r w:rsidRPr="00402608">
        <w:rPr>
          <w:rFonts w:ascii="Arial" w:hAnsi="Arial" w:cs="Arial"/>
          <w:sz w:val="18"/>
          <w:szCs w:val="18"/>
          <w:lang w:val="en-US"/>
        </w:rPr>
        <w:t xml:space="preserve"> (SAV) infection and pancreas disease (PD) in farmed Atlantic salmon (</w:t>
      </w:r>
      <w:r w:rsidRPr="00402608">
        <w:rPr>
          <w:rFonts w:ascii="Arial" w:hAnsi="Arial" w:cs="Arial"/>
          <w:i/>
          <w:iCs/>
          <w:sz w:val="18"/>
          <w:szCs w:val="18"/>
          <w:lang w:val="en-US"/>
        </w:rPr>
        <w:t>Salmo salar</w:t>
      </w:r>
      <w:r w:rsidRPr="00402608">
        <w:rPr>
          <w:rFonts w:ascii="Arial" w:hAnsi="Arial" w:cs="Arial"/>
          <w:sz w:val="18"/>
          <w:szCs w:val="18"/>
          <w:lang w:val="en-US"/>
        </w:rPr>
        <w:t xml:space="preserve"> L.) in Norway using Bayesian latent class analysis. </w:t>
      </w:r>
      <w:r w:rsidRPr="00402608">
        <w:rPr>
          <w:rFonts w:ascii="Arial" w:hAnsi="Arial" w:cs="Arial"/>
          <w:i/>
          <w:iCs/>
          <w:sz w:val="18"/>
          <w:szCs w:val="18"/>
          <w:lang w:val="en-US"/>
        </w:rPr>
        <w:t xml:space="preserve">Frontiers Vet. Sci., </w:t>
      </w:r>
      <w:r w:rsidRPr="00402608">
        <w:rPr>
          <w:rFonts w:ascii="Arial" w:hAnsi="Arial" w:cs="Arial"/>
          <w:sz w:val="18"/>
          <w:szCs w:val="18"/>
          <w:lang w:val="en-US"/>
        </w:rPr>
        <w:t>doi: 10.3389/fvets.2019.00419</w:t>
      </w:r>
    </w:p>
    <w:p w14:paraId="37312381" w14:textId="77777777" w:rsidR="00562F64" w:rsidRPr="00AA1AF1" w:rsidRDefault="00562F64" w:rsidP="00555AD1">
      <w:pPr>
        <w:pStyle w:val="REF"/>
        <w:ind w:left="284"/>
      </w:pPr>
      <w:r w:rsidRPr="00AA1AF1">
        <w:rPr>
          <w:smallCaps/>
        </w:rPr>
        <w:t>Jansen M.D., Taksdal T., Wasmuth M.A</w:t>
      </w:r>
      <w:r w:rsidRPr="00AA1AF1">
        <w:rPr>
          <w:i/>
          <w:smallCaps/>
        </w:rPr>
        <w:t>.</w:t>
      </w:r>
      <w:r w:rsidRPr="00AA1AF1">
        <w:rPr>
          <w:smallCaps/>
        </w:rPr>
        <w:t>, Gjerset B., Brun E., Olsen A.B., Breck O. &amp; Sandberg M.</w:t>
      </w:r>
      <w:r w:rsidRPr="00AA1AF1">
        <w:t xml:space="preserve"> (2010a). Salmonid alphavirus (SAV) and pancreas disease (PD) in Atlantic salmon (</w:t>
      </w:r>
      <w:r w:rsidRPr="00AA1AF1">
        <w:rPr>
          <w:i/>
        </w:rPr>
        <w:t xml:space="preserve">Salmo salar </w:t>
      </w:r>
      <w:r w:rsidRPr="00AA1AF1">
        <w:t>L.) in freshwater and seawater sites in Norway from 2006 to 2008.</w:t>
      </w:r>
      <w:r w:rsidRPr="00AA1AF1">
        <w:rPr>
          <w:sz w:val="16"/>
          <w:szCs w:val="16"/>
        </w:rPr>
        <w:t xml:space="preserve"> </w:t>
      </w:r>
      <w:r w:rsidRPr="00AA1AF1">
        <w:rPr>
          <w:i/>
        </w:rPr>
        <w:t>J. Fish Dis</w:t>
      </w:r>
      <w:r w:rsidRPr="00AA1AF1">
        <w:t xml:space="preserve">., </w:t>
      </w:r>
      <w:r w:rsidRPr="00AA1AF1">
        <w:rPr>
          <w:b/>
        </w:rPr>
        <w:t>33</w:t>
      </w:r>
      <w:r w:rsidRPr="00AA1AF1">
        <w:t xml:space="preserve">, 391–402. </w:t>
      </w:r>
    </w:p>
    <w:p w14:paraId="732BEB8B" w14:textId="77777777" w:rsidR="00562F64" w:rsidRPr="00AA1AF1" w:rsidRDefault="00562F64" w:rsidP="00555AD1">
      <w:pPr>
        <w:pStyle w:val="REF"/>
        <w:ind w:left="284"/>
      </w:pPr>
      <w:r w:rsidRPr="00AA1AF1">
        <w:rPr>
          <w:smallCaps/>
        </w:rPr>
        <w:t>Jansen M.D., Waswuth M.A., Olsen A.B., Gjerset B., Modahl I., Breck O., Haldorsen R.N., Hjelmeland R., Taksdal T.</w:t>
      </w:r>
      <w:r w:rsidRPr="00AA1AF1">
        <w:t xml:space="preserve"> (2010b). Pancreas disease (PD) in sea-reared Atlantic salmon, </w:t>
      </w:r>
      <w:r w:rsidRPr="00AA1AF1">
        <w:rPr>
          <w:i/>
        </w:rPr>
        <w:t>Salmon salar</w:t>
      </w:r>
      <w:r w:rsidRPr="00AA1AF1">
        <w:t xml:space="preserve"> L., in Norway; a prospective, longitudinal study of disease development and agreement between diagnostic test results. </w:t>
      </w:r>
      <w:r w:rsidRPr="00AA1AF1">
        <w:rPr>
          <w:i/>
        </w:rPr>
        <w:t>J. Fish Dis</w:t>
      </w:r>
      <w:r w:rsidRPr="00AA1AF1">
        <w:t xml:space="preserve">., </w:t>
      </w:r>
      <w:r w:rsidRPr="00AA1AF1">
        <w:rPr>
          <w:b/>
        </w:rPr>
        <w:t>33</w:t>
      </w:r>
      <w:r w:rsidRPr="00AA1AF1">
        <w:t xml:space="preserve">, 723–736. </w:t>
      </w:r>
    </w:p>
    <w:p w14:paraId="76F831F9" w14:textId="77777777" w:rsidR="00562F64" w:rsidRDefault="00562F64" w:rsidP="00555AD1">
      <w:pPr>
        <w:pStyle w:val="REF"/>
        <w:ind w:left="284"/>
      </w:pPr>
      <w:r w:rsidRPr="00AA1AF1">
        <w:rPr>
          <w:smallCaps/>
        </w:rPr>
        <w:t>Jewhurst V.A., Todd D., Rowley H.M., Walker I.W., Weston J.H. McLoughlin M.F &amp; Graham D.A.</w:t>
      </w:r>
      <w:r w:rsidRPr="00AA1AF1">
        <w:t xml:space="preserve"> (2004). Detection and antigenic characterization of salmonid alphavirus isolates fr</w:t>
      </w:r>
      <w:r>
        <w:t>o</w:t>
      </w:r>
      <w:r w:rsidRPr="00AA1AF1">
        <w:t>m sera obtained from farmed Atlantic salmon</w:t>
      </w:r>
      <w:r w:rsidRPr="00AA1AF1">
        <w:rPr>
          <w:color w:val="000000"/>
        </w:rPr>
        <w:t xml:space="preserve">, </w:t>
      </w:r>
      <w:r w:rsidRPr="00AA1AF1">
        <w:rPr>
          <w:i/>
          <w:color w:val="000000"/>
        </w:rPr>
        <w:t>salmo salar</w:t>
      </w:r>
      <w:r w:rsidRPr="00AA1AF1">
        <w:rPr>
          <w:color w:val="000000"/>
        </w:rPr>
        <w:t xml:space="preserve"> L., and farmed rainbow trout, </w:t>
      </w:r>
      <w:r w:rsidRPr="00AA1AF1">
        <w:rPr>
          <w:i/>
          <w:color w:val="000000"/>
        </w:rPr>
        <w:t>Oncorhynchus mykiss</w:t>
      </w:r>
      <w:r w:rsidRPr="00AA1AF1">
        <w:rPr>
          <w:color w:val="000000"/>
        </w:rPr>
        <w:t xml:space="preserve"> (Walbaum). </w:t>
      </w:r>
      <w:r w:rsidRPr="00AA1AF1">
        <w:rPr>
          <w:i/>
        </w:rPr>
        <w:t>J. Fish Dis</w:t>
      </w:r>
      <w:r w:rsidRPr="00AA1AF1">
        <w:t xml:space="preserve">., </w:t>
      </w:r>
      <w:r w:rsidRPr="00AA1AF1">
        <w:rPr>
          <w:b/>
        </w:rPr>
        <w:t>27</w:t>
      </w:r>
      <w:r w:rsidRPr="00AA1AF1">
        <w:t>, 143–149.</w:t>
      </w:r>
    </w:p>
    <w:p w14:paraId="2AA20EAD" w14:textId="77777777" w:rsidR="00562F64" w:rsidRPr="00C77BF3" w:rsidRDefault="00562F64" w:rsidP="00555AD1">
      <w:pPr>
        <w:pStyle w:val="REF"/>
        <w:ind w:left="284"/>
      </w:pPr>
      <w:r w:rsidRPr="00C77BF3">
        <w:rPr>
          <w:smallCaps/>
        </w:rPr>
        <w:t>Kerbart Boscher S., McLoughlin M., Le Ven A., Cabon J., Baud M. &amp; Castric J.</w:t>
      </w:r>
      <w:r w:rsidRPr="00C77BF3">
        <w:t xml:space="preserve"> (2006). Experimental transmission of sleeping disease in one-year-old rainbow trout </w:t>
      </w:r>
      <w:r w:rsidRPr="00C77BF3">
        <w:rPr>
          <w:i/>
        </w:rPr>
        <w:t>Onchorhynchus mykiss</w:t>
      </w:r>
      <w:r w:rsidRPr="00C77BF3">
        <w:t xml:space="preserve"> (Walbaum), induced by sleeping disease virus. </w:t>
      </w:r>
      <w:r w:rsidRPr="00C77BF3">
        <w:rPr>
          <w:i/>
        </w:rPr>
        <w:t>J. Fish Dis</w:t>
      </w:r>
      <w:r w:rsidRPr="00C77BF3">
        <w:t xml:space="preserve">., </w:t>
      </w:r>
      <w:r w:rsidRPr="00C77BF3">
        <w:rPr>
          <w:b/>
        </w:rPr>
        <w:t>29</w:t>
      </w:r>
      <w:r w:rsidRPr="00C77BF3">
        <w:t>, 263–273.</w:t>
      </w:r>
    </w:p>
    <w:p w14:paraId="2619C802" w14:textId="77777777" w:rsidR="00562F64" w:rsidRPr="00AA1AF1" w:rsidRDefault="00562F64" w:rsidP="00555AD1">
      <w:pPr>
        <w:pStyle w:val="REF"/>
        <w:ind w:left="284"/>
        <w:rPr>
          <w:lang w:val="nb-NO"/>
        </w:rPr>
      </w:pPr>
      <w:r w:rsidRPr="00AA1AF1">
        <w:rPr>
          <w:smallCaps/>
        </w:rPr>
        <w:t>Kongtorp R.T., Stene A., Andreassen P.A., Aspehaug V., Graham D.A., Lyngstad T.M., Olsen A.B., Olsen R.S., Sandberg M., Santi N., Wallace C. &amp; Breck O.</w:t>
      </w:r>
      <w:r w:rsidRPr="00AA1AF1">
        <w:rPr>
          <w:color w:val="000000"/>
        </w:rPr>
        <w:t xml:space="preserve"> (2010). Lack of evidence for vertical transmission of SAV 3 using gametes of Atlantic salmon, </w:t>
      </w:r>
      <w:r w:rsidRPr="00AA1AF1">
        <w:rPr>
          <w:i/>
          <w:color w:val="000000"/>
        </w:rPr>
        <w:t>salmo salar</w:t>
      </w:r>
      <w:r w:rsidRPr="00AA1AF1">
        <w:rPr>
          <w:color w:val="000000"/>
        </w:rPr>
        <w:t xml:space="preserve"> L., exposed by natural and experimental routes. </w:t>
      </w:r>
      <w:r w:rsidRPr="00AA1AF1">
        <w:rPr>
          <w:i/>
          <w:lang w:val="nb-NO"/>
        </w:rPr>
        <w:t>J. Fish Dis</w:t>
      </w:r>
      <w:r w:rsidRPr="00AA1AF1">
        <w:rPr>
          <w:lang w:val="nb-NO"/>
        </w:rPr>
        <w:t xml:space="preserve">., </w:t>
      </w:r>
      <w:r w:rsidRPr="00AA1AF1">
        <w:rPr>
          <w:b/>
          <w:lang w:val="nb-NO"/>
        </w:rPr>
        <w:t>33</w:t>
      </w:r>
      <w:r w:rsidRPr="00AA1AF1">
        <w:rPr>
          <w:lang w:val="nb-NO"/>
        </w:rPr>
        <w:t>, 879–888.</w:t>
      </w:r>
    </w:p>
    <w:p w14:paraId="7B3EA92E" w14:textId="77777777" w:rsidR="00555AD1" w:rsidRPr="00BC5907" w:rsidRDefault="00555AD1" w:rsidP="00555AD1">
      <w:pPr>
        <w:spacing w:after="480" w:line="240" w:lineRule="auto"/>
        <w:jc w:val="right"/>
        <w:rPr>
          <w:rFonts w:cs="Times New Roman"/>
          <w:bCs/>
          <w:iCs/>
          <w:szCs w:val="20"/>
          <w:lang w:val="nb-NO"/>
        </w:rPr>
      </w:pPr>
      <w:r w:rsidRPr="00BC5907">
        <w:rPr>
          <w:u w:val="single"/>
          <w:lang w:val="nb-NO"/>
        </w:rPr>
        <w:lastRenderedPageBreak/>
        <w:t>A</w:t>
      </w:r>
      <w:r w:rsidRPr="00BC5907">
        <w:rPr>
          <w:rFonts w:cs="Times New Roman"/>
          <w:bCs/>
          <w:iCs/>
          <w:szCs w:val="20"/>
          <w:u w:val="single"/>
          <w:lang w:val="nb-NO"/>
        </w:rPr>
        <w:t>nnex 16</w:t>
      </w:r>
      <w:r w:rsidRPr="00BC5907">
        <w:rPr>
          <w:rFonts w:cs="Times New Roman"/>
          <w:bCs/>
          <w:iCs/>
          <w:szCs w:val="20"/>
          <w:lang w:val="nb-NO"/>
        </w:rPr>
        <w:t xml:space="preserve"> (contd)</w:t>
      </w:r>
    </w:p>
    <w:p w14:paraId="461AC14E" w14:textId="77777777" w:rsidR="00562F64" w:rsidRPr="00A51082" w:rsidRDefault="00562F64" w:rsidP="00555AD1">
      <w:pPr>
        <w:pStyle w:val="REF"/>
        <w:ind w:left="284"/>
        <w:rPr>
          <w:lang w:val="en-US"/>
        </w:rPr>
      </w:pPr>
      <w:r w:rsidRPr="00AA1AF1">
        <w:rPr>
          <w:smallCaps/>
          <w:lang w:val="nb-NO"/>
        </w:rPr>
        <w:t>Kristoffersen A.B., Viljugrein H., Kongtorp R.T., Brun E. &amp; Jansen P.A.</w:t>
      </w:r>
      <w:r w:rsidRPr="00AA1AF1">
        <w:rPr>
          <w:lang w:val="nb-NO"/>
        </w:rPr>
        <w:t xml:space="preserve"> (2009). </w:t>
      </w:r>
      <w:r w:rsidRPr="00AA1AF1">
        <w:t xml:space="preserve">Risk factors for pancreas disease (PD) outbreaks in farmed Atlantic salmon and rainbow trout in Norway during 2003–2007. </w:t>
      </w:r>
      <w:r w:rsidRPr="00A51082">
        <w:rPr>
          <w:i/>
          <w:lang w:val="en-US"/>
        </w:rPr>
        <w:t>Prev. Vet. Med.</w:t>
      </w:r>
      <w:r w:rsidRPr="00A51082">
        <w:rPr>
          <w:lang w:val="en-US"/>
        </w:rPr>
        <w:t xml:space="preserve">, </w:t>
      </w:r>
      <w:r w:rsidRPr="00A51082">
        <w:rPr>
          <w:b/>
          <w:lang w:val="en-US"/>
        </w:rPr>
        <w:t>90</w:t>
      </w:r>
      <w:r w:rsidRPr="00A51082">
        <w:rPr>
          <w:lang w:val="en-US"/>
        </w:rPr>
        <w:t>, 127–136.</w:t>
      </w:r>
    </w:p>
    <w:p w14:paraId="0B76993E" w14:textId="77777777" w:rsidR="00562F64" w:rsidRPr="00A51082" w:rsidRDefault="00562F64" w:rsidP="00555AD1">
      <w:pPr>
        <w:pStyle w:val="REF"/>
        <w:ind w:left="284"/>
        <w:rPr>
          <w:rFonts w:cs="Arial"/>
          <w:noProof/>
          <w:szCs w:val="18"/>
        </w:rPr>
      </w:pPr>
      <w:r w:rsidRPr="00A51082">
        <w:rPr>
          <w:rFonts w:cs="Arial"/>
          <w:smallCaps/>
          <w:szCs w:val="18"/>
          <w:lang w:val="en-US"/>
        </w:rPr>
        <w:t>Lewisch, E., Frank, T., Soliman, H., Schachner, O., Friedl, A., El-Matbouli, M., 2018.</w:t>
      </w:r>
      <w:r w:rsidRPr="00A51082">
        <w:rPr>
          <w:rFonts w:cs="Arial"/>
          <w:noProof/>
          <w:szCs w:val="18"/>
        </w:rPr>
        <w:t xml:space="preserve"> First confirmation of salmonid alphavirus infection in Arctic char Salvelinus alpinus and in Austria . Diseases of Aquatic Organisms 130, 71–76.</w:t>
      </w:r>
    </w:p>
    <w:p w14:paraId="5FE19313" w14:textId="77777777" w:rsidR="00562F64" w:rsidRPr="00DC370C" w:rsidRDefault="00562F64" w:rsidP="00555AD1">
      <w:pPr>
        <w:pStyle w:val="REF"/>
        <w:ind w:left="284"/>
        <w:rPr>
          <w:rFonts w:cs="Arial"/>
          <w:szCs w:val="18"/>
        </w:rPr>
      </w:pPr>
      <w:r w:rsidRPr="00DC370C">
        <w:rPr>
          <w:rFonts w:cs="Arial"/>
          <w:smallCaps/>
          <w:szCs w:val="18"/>
        </w:rPr>
        <w:t>McLoughlin M.F. &amp; Graham D.A</w:t>
      </w:r>
      <w:r w:rsidRPr="00DC370C">
        <w:rPr>
          <w:rFonts w:cs="Arial"/>
          <w:szCs w:val="18"/>
        </w:rPr>
        <w:t xml:space="preserve">. (2007). Alphavirus infections in salmonids – a review. </w:t>
      </w:r>
      <w:r w:rsidRPr="00DC370C">
        <w:rPr>
          <w:rFonts w:cs="Arial"/>
          <w:i/>
          <w:szCs w:val="18"/>
        </w:rPr>
        <w:t>J. Fish Dis</w:t>
      </w:r>
      <w:r w:rsidRPr="00DC370C">
        <w:rPr>
          <w:rFonts w:cs="Arial"/>
          <w:szCs w:val="18"/>
        </w:rPr>
        <w:t xml:space="preserve">., </w:t>
      </w:r>
      <w:r w:rsidRPr="00DC370C">
        <w:rPr>
          <w:rFonts w:cs="Arial"/>
          <w:b/>
          <w:bCs/>
          <w:szCs w:val="18"/>
        </w:rPr>
        <w:t>30</w:t>
      </w:r>
      <w:r w:rsidRPr="00DC370C">
        <w:rPr>
          <w:rFonts w:cs="Arial"/>
          <w:szCs w:val="18"/>
        </w:rPr>
        <w:t>, 511–531.</w:t>
      </w:r>
    </w:p>
    <w:p w14:paraId="6BD4188A" w14:textId="77777777" w:rsidR="00562F64" w:rsidRDefault="00562F64" w:rsidP="00555AD1">
      <w:pPr>
        <w:pStyle w:val="REF"/>
        <w:ind w:left="284"/>
        <w:rPr>
          <w:smallCaps/>
          <w:lang w:val="en-US"/>
        </w:rPr>
      </w:pPr>
      <w:r w:rsidRPr="00A51082">
        <w:rPr>
          <w:smallCaps/>
        </w:rPr>
        <w:t>Norris</w:t>
      </w:r>
      <w:r>
        <w:t xml:space="preserve"> A., </w:t>
      </w:r>
      <w:r w:rsidRPr="00A51082">
        <w:rPr>
          <w:smallCaps/>
        </w:rPr>
        <w:t>Foyle</w:t>
      </w:r>
      <w:r>
        <w:t xml:space="preserve"> L., </w:t>
      </w:r>
      <w:r w:rsidRPr="00A51082">
        <w:rPr>
          <w:smallCaps/>
        </w:rPr>
        <w:t>Ratcliff</w:t>
      </w:r>
      <w:r>
        <w:t xml:space="preserve"> J. (2008). Heritability of mortality in response to a natural pancreas disease (SPDV) challenge in Atlantic salmon, </w:t>
      </w:r>
      <w:r w:rsidRPr="00A51082">
        <w:rPr>
          <w:i/>
        </w:rPr>
        <w:t>Salmo salar</w:t>
      </w:r>
      <w:r>
        <w:t xml:space="preserve"> L., post-smolts on a West of Ireland sea site. </w:t>
      </w:r>
      <w:r w:rsidRPr="00A51082">
        <w:rPr>
          <w:i/>
        </w:rPr>
        <w:t>J. Fish Dis.</w:t>
      </w:r>
      <w:r>
        <w:t xml:space="preserve">, </w:t>
      </w:r>
      <w:r w:rsidRPr="00A51082">
        <w:rPr>
          <w:b/>
        </w:rPr>
        <w:t>31</w:t>
      </w:r>
      <w:r>
        <w:t>, 913–920.</w:t>
      </w:r>
    </w:p>
    <w:p w14:paraId="42BE61C4" w14:textId="77777777" w:rsidR="00562F64" w:rsidRPr="00AA1AF1" w:rsidRDefault="00562F64" w:rsidP="00555AD1">
      <w:pPr>
        <w:pStyle w:val="REF"/>
        <w:ind w:left="284"/>
      </w:pPr>
      <w:r w:rsidRPr="00AA1AF1">
        <w:rPr>
          <w:smallCaps/>
          <w:lang w:val="en-US"/>
        </w:rPr>
        <w:t>Petterson E., Sandberg M. &amp; Santi N.</w:t>
      </w:r>
      <w:r w:rsidRPr="00AA1AF1">
        <w:rPr>
          <w:color w:val="000000"/>
          <w:lang w:val="en-US"/>
        </w:rPr>
        <w:t xml:space="preserve"> (2009). </w:t>
      </w:r>
      <w:r w:rsidRPr="00AA1AF1">
        <w:rPr>
          <w:color w:val="000000"/>
        </w:rPr>
        <w:t xml:space="preserve">Salmonid alphavirus associated with </w:t>
      </w:r>
      <w:r w:rsidRPr="00AA1AF1">
        <w:rPr>
          <w:i/>
          <w:color w:val="000000"/>
        </w:rPr>
        <w:t>Lepeoptheirus salmonis</w:t>
      </w:r>
      <w:r w:rsidRPr="00AA1AF1">
        <w:rPr>
          <w:color w:val="000000"/>
        </w:rPr>
        <w:t xml:space="preserve"> (Copepoda: Caligidae) from Atlantic salmon, </w:t>
      </w:r>
      <w:r w:rsidRPr="00AA1AF1">
        <w:rPr>
          <w:i/>
          <w:color w:val="000000"/>
        </w:rPr>
        <w:t>Salmo salar</w:t>
      </w:r>
      <w:r w:rsidRPr="00AA1AF1">
        <w:rPr>
          <w:color w:val="000000"/>
        </w:rPr>
        <w:t xml:space="preserve"> L. </w:t>
      </w:r>
      <w:r w:rsidRPr="00AA1AF1">
        <w:rPr>
          <w:i/>
        </w:rPr>
        <w:t>J. Fish Dis</w:t>
      </w:r>
      <w:r w:rsidRPr="00AA1AF1">
        <w:t xml:space="preserve">., </w:t>
      </w:r>
      <w:r w:rsidRPr="00AA1AF1">
        <w:rPr>
          <w:b/>
          <w:bCs/>
        </w:rPr>
        <w:t>30</w:t>
      </w:r>
      <w:r w:rsidRPr="00AA1AF1">
        <w:t>, 511–531.</w:t>
      </w:r>
    </w:p>
    <w:p w14:paraId="1CB96AF5" w14:textId="77777777" w:rsidR="00562F64" w:rsidRPr="00AA1AF1" w:rsidRDefault="00562F64" w:rsidP="00555AD1">
      <w:pPr>
        <w:pStyle w:val="REF"/>
        <w:ind w:left="284"/>
        <w:rPr>
          <w:color w:val="000000"/>
          <w:lang w:val="en-GB"/>
        </w:rPr>
      </w:pPr>
      <w:r w:rsidRPr="00AA1AF1">
        <w:rPr>
          <w:smallCaps/>
          <w:lang w:val="nb-NO"/>
        </w:rPr>
        <w:t xml:space="preserve">Petterson E., Stormoen, M., Evensen O., Mikalsen A.B. &amp; Haugland O. (2013). </w:t>
      </w:r>
      <w:r w:rsidRPr="00AA1AF1">
        <w:rPr>
          <w:smallCaps/>
          <w:lang w:val="en-GB"/>
        </w:rPr>
        <w:t>N</w:t>
      </w:r>
      <w:r w:rsidRPr="00AA1AF1">
        <w:rPr>
          <w:lang w:val="en-GB"/>
        </w:rPr>
        <w:t>atural infection of Atlantic salmon (</w:t>
      </w:r>
      <w:r w:rsidRPr="00AA1AF1">
        <w:rPr>
          <w:i/>
          <w:lang w:val="en-GB"/>
        </w:rPr>
        <w:t>Salmon salar</w:t>
      </w:r>
      <w:r w:rsidRPr="00AA1AF1">
        <w:rPr>
          <w:lang w:val="en-GB"/>
        </w:rPr>
        <w:t xml:space="preserve">) with salmonid alphavirus 3 generates numerous viral deletion mutants. </w:t>
      </w:r>
      <w:r w:rsidRPr="00AA1AF1">
        <w:rPr>
          <w:i/>
          <w:lang w:val="en-GB"/>
        </w:rPr>
        <w:t>J. Gen. Virol.,</w:t>
      </w:r>
      <w:r w:rsidRPr="00AA1AF1">
        <w:rPr>
          <w:lang w:val="en-GB"/>
        </w:rPr>
        <w:t xml:space="preserve"> </w:t>
      </w:r>
      <w:r w:rsidRPr="00AA1AF1">
        <w:rPr>
          <w:b/>
          <w:lang w:val="en-GB"/>
        </w:rPr>
        <w:t>94</w:t>
      </w:r>
      <w:r w:rsidRPr="00AA1AF1">
        <w:rPr>
          <w:lang w:val="en-GB"/>
        </w:rPr>
        <w:t>, 1945–1954.</w:t>
      </w:r>
    </w:p>
    <w:p w14:paraId="1048E8D0" w14:textId="77777777" w:rsidR="00562F64" w:rsidRPr="00AA1AF1" w:rsidRDefault="00562F64" w:rsidP="00555AD1">
      <w:pPr>
        <w:pStyle w:val="REF"/>
        <w:ind w:left="284"/>
      </w:pPr>
      <w:r w:rsidRPr="00AA1AF1">
        <w:rPr>
          <w:smallCaps/>
        </w:rPr>
        <w:t>Rodger H. &amp; Mitchell S.</w:t>
      </w:r>
      <w:r w:rsidRPr="00AA1AF1">
        <w:rPr>
          <w:color w:val="000000"/>
        </w:rPr>
        <w:t xml:space="preserve"> (2007). Epidemiological observations of pancreas disease of farmed Atlantic salmon, </w:t>
      </w:r>
      <w:r w:rsidRPr="00AA1AF1">
        <w:rPr>
          <w:i/>
          <w:color w:val="000000"/>
        </w:rPr>
        <w:t>Salmo salar</w:t>
      </w:r>
      <w:r w:rsidRPr="00AA1AF1">
        <w:rPr>
          <w:color w:val="000000"/>
        </w:rPr>
        <w:t xml:space="preserve"> L., in Ireland. </w:t>
      </w:r>
      <w:r w:rsidRPr="00AA1AF1">
        <w:rPr>
          <w:i/>
        </w:rPr>
        <w:t>J. Fish Dis</w:t>
      </w:r>
      <w:r w:rsidRPr="00AA1AF1">
        <w:t xml:space="preserve">., </w:t>
      </w:r>
      <w:r w:rsidRPr="00AA1AF1">
        <w:rPr>
          <w:b/>
          <w:bCs/>
        </w:rPr>
        <w:t>32</w:t>
      </w:r>
      <w:r w:rsidRPr="00AA1AF1">
        <w:t>, 477</w:t>
      </w:r>
      <w:r w:rsidRPr="00AA1AF1">
        <w:rPr>
          <w:rFonts w:cs="Arial"/>
          <w:iCs/>
          <w:szCs w:val="18"/>
          <w:lang w:val="en" w:eastAsia="nb-NO"/>
        </w:rPr>
        <w:t>–</w:t>
      </w:r>
      <w:r w:rsidRPr="00AA1AF1">
        <w:t>479.</w:t>
      </w:r>
    </w:p>
    <w:p w14:paraId="581822B1" w14:textId="77777777" w:rsidR="00562F64" w:rsidRPr="00AA1AF1" w:rsidRDefault="00562F64" w:rsidP="00555AD1">
      <w:pPr>
        <w:pStyle w:val="REF"/>
        <w:ind w:left="284"/>
      </w:pPr>
      <w:r w:rsidRPr="00AA1AF1">
        <w:rPr>
          <w:smallCaps/>
          <w:lang w:val="en-US"/>
        </w:rPr>
        <w:t xml:space="preserve">Ruane N., Graham D. &amp; Rodger H. </w:t>
      </w:r>
      <w:r w:rsidRPr="00AA1AF1">
        <w:rPr>
          <w:lang w:val="en-US"/>
        </w:rPr>
        <w:t xml:space="preserve">(2008). </w:t>
      </w:r>
      <w:r w:rsidRPr="00AA1AF1">
        <w:t>Pancreas disease in farmed salmon – health management and investigations at Irish farm sites 2005–2008. Marine Environments and Health Series, No. 34, Marine Institute. Available at http://oar.marine.ie/handle/10793/267</w:t>
      </w:r>
    </w:p>
    <w:p w14:paraId="30F7C3CF" w14:textId="77777777" w:rsidR="00562F64" w:rsidRPr="00AA1AF1" w:rsidRDefault="00562F64" w:rsidP="00555AD1">
      <w:pPr>
        <w:pStyle w:val="REF"/>
        <w:ind w:left="284"/>
        <w:rPr>
          <w:color w:val="000000"/>
          <w:lang w:val="nb-NO"/>
        </w:rPr>
      </w:pPr>
      <w:r w:rsidRPr="00AA1AF1">
        <w:rPr>
          <w:smallCaps/>
        </w:rPr>
        <w:t>Snow M., Black I., McIntosh R., Baretto E., Wallace I.S. &amp; Bruno D.W.</w:t>
      </w:r>
      <w:r w:rsidRPr="00AA1AF1">
        <w:t xml:space="preserve"> (2010). Detection of salmonid alphavirus RNA in wild marine fish: implications for the origin of salmon pancreas disease in aquaculture. </w:t>
      </w:r>
      <w:r w:rsidRPr="00AA1AF1">
        <w:rPr>
          <w:rFonts w:cs="Arial"/>
          <w:i/>
          <w:color w:val="000000"/>
          <w:szCs w:val="18"/>
          <w:lang w:val="nb-NO"/>
        </w:rPr>
        <w:t>Dis. Aquat. Org.</w:t>
      </w:r>
      <w:r w:rsidRPr="00AA1AF1">
        <w:rPr>
          <w:rFonts w:cs="Arial"/>
          <w:color w:val="000000"/>
          <w:szCs w:val="18"/>
          <w:lang w:val="nb-NO"/>
        </w:rPr>
        <w:t xml:space="preserve">, </w:t>
      </w:r>
      <w:r w:rsidRPr="00AA1AF1">
        <w:rPr>
          <w:b/>
          <w:color w:val="000000"/>
          <w:lang w:val="nb-NO"/>
        </w:rPr>
        <w:t>91</w:t>
      </w:r>
      <w:r w:rsidRPr="00AA1AF1">
        <w:rPr>
          <w:color w:val="000000"/>
          <w:lang w:val="nb-NO"/>
        </w:rPr>
        <w:t>, 177</w:t>
      </w:r>
      <w:r w:rsidRPr="00AA1AF1">
        <w:rPr>
          <w:rFonts w:cs="Arial"/>
          <w:iCs/>
          <w:szCs w:val="18"/>
          <w:lang w:val="nb-NO" w:eastAsia="nb-NO"/>
        </w:rPr>
        <w:t>–</w:t>
      </w:r>
      <w:r w:rsidRPr="00AA1AF1">
        <w:rPr>
          <w:color w:val="000000"/>
          <w:lang w:val="nb-NO"/>
        </w:rPr>
        <w:t>188.</w:t>
      </w:r>
    </w:p>
    <w:p w14:paraId="2C1F9812" w14:textId="77777777" w:rsidR="00562F64" w:rsidRPr="00AA1AF1" w:rsidRDefault="00562F64" w:rsidP="00555AD1">
      <w:pPr>
        <w:pStyle w:val="REF"/>
        <w:ind w:left="284"/>
        <w:rPr>
          <w:lang w:val="nb-NO"/>
        </w:rPr>
      </w:pPr>
      <w:r w:rsidRPr="00AA1AF1">
        <w:rPr>
          <w:smallCaps/>
          <w:lang w:val="nb-NO"/>
        </w:rPr>
        <w:t xml:space="preserve">Stene A., Viljugrein H., Yndestad H., Tavornpanich S. &amp; Skjerve E. (2013). </w:t>
      </w:r>
      <w:r w:rsidRPr="00AA1AF1">
        <w:rPr>
          <w:smallCaps/>
          <w:lang w:val="en-US"/>
        </w:rPr>
        <w:t>T</w:t>
      </w:r>
      <w:r w:rsidRPr="00AA1AF1">
        <w:rPr>
          <w:lang w:val="en-US"/>
        </w:rPr>
        <w:t>ransmission</w:t>
      </w:r>
      <w:r w:rsidRPr="00AA1AF1">
        <w:rPr>
          <w:smallCaps/>
          <w:lang w:val="en-US"/>
        </w:rPr>
        <w:t xml:space="preserve"> </w:t>
      </w:r>
      <w:r w:rsidRPr="00AA1AF1">
        <w:rPr>
          <w:lang w:val="en-US"/>
        </w:rPr>
        <w:t xml:space="preserve">dynamics of pancreas disease (PD) in a Norwegian fjord: aspects of water transport, contact networks and infection pressure among salmon farms. </w:t>
      </w:r>
      <w:r w:rsidRPr="00AA1AF1">
        <w:rPr>
          <w:i/>
          <w:lang w:val="nb-NO"/>
        </w:rPr>
        <w:t>J. Fish Dis</w:t>
      </w:r>
      <w:r w:rsidRPr="00AA1AF1">
        <w:rPr>
          <w:lang w:val="nb-NO"/>
        </w:rPr>
        <w:t>.,</w:t>
      </w:r>
      <w:r>
        <w:rPr>
          <w:lang w:val="nb-NO"/>
        </w:rPr>
        <w:t xml:space="preserve"> </w:t>
      </w:r>
      <w:r w:rsidRPr="00AA1AF1">
        <w:rPr>
          <w:b/>
          <w:lang w:val="nb-NO"/>
        </w:rPr>
        <w:t>37</w:t>
      </w:r>
      <w:r w:rsidRPr="00AA1AF1">
        <w:rPr>
          <w:lang w:val="nb-NO"/>
        </w:rPr>
        <w:t>, 123</w:t>
      </w:r>
      <w:r>
        <w:rPr>
          <w:lang w:val="nb-NO"/>
        </w:rPr>
        <w:t>–</w:t>
      </w:r>
      <w:r w:rsidRPr="00AA1AF1">
        <w:rPr>
          <w:lang w:val="nb-NO"/>
        </w:rPr>
        <w:t xml:space="preserve">134. </w:t>
      </w:r>
    </w:p>
    <w:p w14:paraId="5319A309" w14:textId="77777777" w:rsidR="00562F64" w:rsidRPr="00AA1AF1" w:rsidRDefault="00562F64" w:rsidP="00555AD1">
      <w:pPr>
        <w:pStyle w:val="REF"/>
        <w:ind w:left="284"/>
        <w:rPr>
          <w:lang w:val="nb-NO"/>
        </w:rPr>
      </w:pPr>
      <w:r w:rsidRPr="00AA1AF1">
        <w:rPr>
          <w:smallCaps/>
          <w:lang w:val="nb-NO"/>
        </w:rPr>
        <w:t xml:space="preserve">Stene A., Bang Jensen B., Knutsen Ø., Olsen A. &amp; Viljugrein H. </w:t>
      </w:r>
      <w:r w:rsidRPr="00AA1AF1">
        <w:rPr>
          <w:color w:val="000000"/>
          <w:lang w:val="nb-NO"/>
        </w:rPr>
        <w:t xml:space="preserve">(2014). </w:t>
      </w:r>
      <w:r w:rsidRPr="00AA1AF1">
        <w:rPr>
          <w:color w:val="000000"/>
        </w:rPr>
        <w:t xml:space="preserve">Seasonal increase in sea temperature triggers pancreas disease in Norwegian salmon farms. </w:t>
      </w:r>
      <w:r w:rsidRPr="00AA1AF1">
        <w:rPr>
          <w:i/>
          <w:lang w:val="nb-NO"/>
        </w:rPr>
        <w:t>J. Fish Dis</w:t>
      </w:r>
      <w:r w:rsidRPr="00AA1AF1">
        <w:rPr>
          <w:lang w:val="nb-NO"/>
        </w:rPr>
        <w:t>.,</w:t>
      </w:r>
      <w:r w:rsidRPr="00AA1AF1">
        <w:rPr>
          <w:color w:val="000000"/>
          <w:lang w:val="nb-NO"/>
        </w:rPr>
        <w:t xml:space="preserve"> </w:t>
      </w:r>
      <w:r w:rsidRPr="00AA1AF1">
        <w:rPr>
          <w:b/>
          <w:color w:val="000000"/>
          <w:lang w:val="nb-NO"/>
        </w:rPr>
        <w:t>37</w:t>
      </w:r>
      <w:r w:rsidRPr="00AA1AF1">
        <w:rPr>
          <w:color w:val="000000"/>
          <w:lang w:val="nb-NO"/>
        </w:rPr>
        <w:t>, 739–751.</w:t>
      </w:r>
    </w:p>
    <w:p w14:paraId="19906876" w14:textId="77777777" w:rsidR="00562F64" w:rsidRPr="00AA1AF1" w:rsidRDefault="00562F64" w:rsidP="00555AD1">
      <w:pPr>
        <w:pStyle w:val="REF"/>
        <w:ind w:left="284"/>
      </w:pPr>
      <w:r w:rsidRPr="00A51082">
        <w:rPr>
          <w:smallCaps/>
          <w:lang w:val="nb-NO"/>
        </w:rPr>
        <w:t>Stormoen M., Kristoffersen A.B. &amp; Jansen P.A.</w:t>
      </w:r>
      <w:r w:rsidRPr="00A51082">
        <w:rPr>
          <w:color w:val="000000"/>
          <w:lang w:val="nb-NO"/>
        </w:rPr>
        <w:t xml:space="preserve"> (2013). </w:t>
      </w:r>
      <w:r w:rsidRPr="00AA1AF1">
        <w:rPr>
          <w:color w:val="000000"/>
        </w:rPr>
        <w:t xml:space="preserve">Mortality related to pancreas disease in Norwegian farmed salmonid fish, </w:t>
      </w:r>
      <w:r w:rsidRPr="00AA1AF1">
        <w:rPr>
          <w:i/>
          <w:color w:val="000000"/>
        </w:rPr>
        <w:t>Salmo salar</w:t>
      </w:r>
      <w:r w:rsidRPr="00AA1AF1">
        <w:rPr>
          <w:color w:val="000000"/>
        </w:rPr>
        <w:t xml:space="preserve"> L. and </w:t>
      </w:r>
      <w:r w:rsidRPr="00AA1AF1">
        <w:rPr>
          <w:i/>
          <w:color w:val="000000"/>
        </w:rPr>
        <w:t xml:space="preserve">Oncorhynchus mykiss </w:t>
      </w:r>
      <w:r w:rsidRPr="00AA1AF1">
        <w:rPr>
          <w:color w:val="000000"/>
        </w:rPr>
        <w:t xml:space="preserve">(Walbaum). </w:t>
      </w:r>
      <w:r w:rsidRPr="00AA1AF1">
        <w:rPr>
          <w:i/>
        </w:rPr>
        <w:t>J. Fish Dis</w:t>
      </w:r>
      <w:r w:rsidRPr="00AA1AF1">
        <w:t xml:space="preserve">., </w:t>
      </w:r>
      <w:r w:rsidRPr="00AA1AF1">
        <w:rPr>
          <w:b/>
          <w:color w:val="000000"/>
        </w:rPr>
        <w:t>36</w:t>
      </w:r>
      <w:r w:rsidRPr="00AA1AF1">
        <w:rPr>
          <w:color w:val="000000"/>
        </w:rPr>
        <w:t>, 639</w:t>
      </w:r>
      <w:r w:rsidRPr="00AA1AF1">
        <w:rPr>
          <w:rFonts w:cs="Arial"/>
          <w:iCs/>
          <w:szCs w:val="18"/>
          <w:lang w:val="en" w:eastAsia="nb-NO"/>
        </w:rPr>
        <w:t>–</w:t>
      </w:r>
      <w:r w:rsidRPr="00AA1AF1">
        <w:rPr>
          <w:color w:val="000000"/>
        </w:rPr>
        <w:t>645.</w:t>
      </w:r>
    </w:p>
    <w:p w14:paraId="540448B0" w14:textId="77777777" w:rsidR="00562F64" w:rsidRDefault="00562F64" w:rsidP="00555AD1">
      <w:pPr>
        <w:pStyle w:val="REF"/>
        <w:ind w:left="284"/>
        <w:rPr>
          <w:rFonts w:cs="Arial"/>
          <w:szCs w:val="18"/>
        </w:rPr>
      </w:pPr>
      <w:r w:rsidRPr="00AA1AF1">
        <w:rPr>
          <w:smallCaps/>
        </w:rPr>
        <w:t>Taksdal T., Olsen A.B., Bjerkaas I., Hjortaas M.J.</w:t>
      </w:r>
      <w:r>
        <w:rPr>
          <w:smallCaps/>
        </w:rPr>
        <w:t xml:space="preserve">, </w:t>
      </w:r>
      <w:r w:rsidRPr="00AA1AF1">
        <w:rPr>
          <w:smallCaps/>
        </w:rPr>
        <w:t>Dannevig B.H., Graham D.A. &amp; McLoughlin M.F</w:t>
      </w:r>
      <w:r w:rsidRPr="00AA1AF1">
        <w:rPr>
          <w:rFonts w:cs="Arial"/>
          <w:szCs w:val="18"/>
        </w:rPr>
        <w:t xml:space="preserve">. (2007). Pancreas disease in farmed Atlantic salmon, </w:t>
      </w:r>
      <w:r w:rsidRPr="00AA1AF1">
        <w:rPr>
          <w:rFonts w:cs="Arial"/>
          <w:i/>
          <w:szCs w:val="18"/>
        </w:rPr>
        <w:t>Salmo salar</w:t>
      </w:r>
      <w:r w:rsidRPr="00AA1AF1">
        <w:rPr>
          <w:rFonts w:cs="Arial"/>
          <w:szCs w:val="18"/>
        </w:rPr>
        <w:t xml:space="preserve"> L., and rainbow trout, </w:t>
      </w:r>
      <w:r w:rsidRPr="00AA1AF1">
        <w:rPr>
          <w:rFonts w:cs="Arial"/>
          <w:i/>
          <w:szCs w:val="18"/>
        </w:rPr>
        <w:t>Oncorhynchus mykiss</w:t>
      </w:r>
      <w:r w:rsidRPr="00AA1AF1">
        <w:rPr>
          <w:rFonts w:cs="Arial"/>
          <w:szCs w:val="18"/>
        </w:rPr>
        <w:t xml:space="preserve"> (Walbaum), in Norway. </w:t>
      </w:r>
      <w:r w:rsidRPr="00AA1AF1">
        <w:rPr>
          <w:i/>
        </w:rPr>
        <w:t>J. Fish Dis</w:t>
      </w:r>
      <w:r w:rsidRPr="00AA1AF1">
        <w:t xml:space="preserve">., </w:t>
      </w:r>
      <w:r w:rsidRPr="00AA1AF1">
        <w:rPr>
          <w:rFonts w:cs="Arial"/>
          <w:b/>
          <w:bCs/>
          <w:szCs w:val="18"/>
        </w:rPr>
        <w:t>30</w:t>
      </w:r>
      <w:r w:rsidRPr="00AA1AF1">
        <w:rPr>
          <w:rFonts w:cs="Arial"/>
          <w:szCs w:val="18"/>
        </w:rPr>
        <w:t>, 545</w:t>
      </w:r>
      <w:r w:rsidRPr="00AA1AF1">
        <w:rPr>
          <w:rFonts w:cs="Arial"/>
          <w:iCs/>
          <w:szCs w:val="18"/>
          <w:lang w:val="en" w:eastAsia="nb-NO"/>
        </w:rPr>
        <w:t>–</w:t>
      </w:r>
      <w:r w:rsidRPr="00AA1AF1">
        <w:rPr>
          <w:rFonts w:cs="Arial"/>
          <w:szCs w:val="18"/>
        </w:rPr>
        <w:t>558.</w:t>
      </w:r>
    </w:p>
    <w:p w14:paraId="43656F44" w14:textId="77777777" w:rsidR="00562F64" w:rsidRPr="00A51082" w:rsidRDefault="00562F64" w:rsidP="00555AD1">
      <w:pPr>
        <w:widowControl w:val="0"/>
        <w:autoSpaceDE w:val="0"/>
        <w:autoSpaceDN w:val="0"/>
        <w:adjustRightInd w:val="0"/>
        <w:ind w:left="284"/>
        <w:rPr>
          <w:rFonts w:ascii="Arial" w:hAnsi="Arial" w:cs="Arial"/>
          <w:noProof/>
          <w:sz w:val="18"/>
          <w:szCs w:val="18"/>
        </w:rPr>
      </w:pPr>
      <w:r w:rsidRPr="00A51082">
        <w:rPr>
          <w:rFonts w:ascii="Arial" w:hAnsi="Arial"/>
          <w:smallCaps/>
          <w:sz w:val="18"/>
          <w:lang w:bidi="en-US"/>
        </w:rPr>
        <w:t>Taksdal, T.</w:t>
      </w:r>
      <w:r>
        <w:rPr>
          <w:rFonts w:ascii="Arial" w:hAnsi="Arial"/>
          <w:smallCaps/>
          <w:sz w:val="18"/>
          <w:lang w:bidi="en-US"/>
        </w:rPr>
        <w:t xml:space="preserve"> &amp;</w:t>
      </w:r>
      <w:r w:rsidRPr="00A51082">
        <w:rPr>
          <w:rFonts w:ascii="Arial" w:hAnsi="Arial"/>
          <w:smallCaps/>
          <w:sz w:val="18"/>
          <w:lang w:bidi="en-US"/>
        </w:rPr>
        <w:t xml:space="preserve"> Sindre, H.</w:t>
      </w:r>
      <w:r>
        <w:rPr>
          <w:rFonts w:ascii="Arial" w:hAnsi="Arial"/>
          <w:smallCaps/>
          <w:sz w:val="18"/>
          <w:lang w:bidi="en-US"/>
        </w:rPr>
        <w:t xml:space="preserve"> (</w:t>
      </w:r>
      <w:r w:rsidRPr="00A51082">
        <w:rPr>
          <w:rFonts w:ascii="Arial" w:hAnsi="Arial" w:cs="Arial"/>
          <w:noProof/>
          <w:sz w:val="18"/>
          <w:szCs w:val="18"/>
        </w:rPr>
        <w:t>2016</w:t>
      </w:r>
      <w:r>
        <w:rPr>
          <w:rFonts w:ascii="Arial" w:hAnsi="Arial" w:cs="Arial"/>
          <w:noProof/>
          <w:sz w:val="18"/>
          <w:szCs w:val="18"/>
        </w:rPr>
        <w:t>)</w:t>
      </w:r>
      <w:r w:rsidRPr="00A51082">
        <w:rPr>
          <w:rFonts w:ascii="Arial" w:hAnsi="Arial" w:cs="Arial"/>
          <w:noProof/>
          <w:sz w:val="18"/>
          <w:szCs w:val="18"/>
        </w:rPr>
        <w:t>. Chapter 23 - Togaviruses of Fish, in: Kibenge, F.S.B., Godoy, M.G.B.T.-A.V. (Eds.), . Academic Press, San Diego, pp. 357–364. https://doi.org/https://doi.org/10.1016/B978-0-12-801573-5.00023-1</w:t>
      </w:r>
    </w:p>
    <w:p w14:paraId="256A49B0" w14:textId="77777777" w:rsidR="00562F64" w:rsidRPr="00A51082" w:rsidRDefault="00562F64" w:rsidP="00555AD1">
      <w:pPr>
        <w:widowControl w:val="0"/>
        <w:autoSpaceDE w:val="0"/>
        <w:autoSpaceDN w:val="0"/>
        <w:adjustRightInd w:val="0"/>
        <w:ind w:left="284"/>
        <w:rPr>
          <w:rFonts w:ascii="Arial" w:hAnsi="Arial" w:cs="Arial"/>
          <w:noProof/>
          <w:sz w:val="18"/>
          <w:szCs w:val="18"/>
        </w:rPr>
      </w:pPr>
      <w:r w:rsidRPr="00A51082">
        <w:rPr>
          <w:rFonts w:ascii="Arial" w:hAnsi="Arial"/>
          <w:smallCaps/>
          <w:sz w:val="18"/>
          <w:lang w:val="nb-NO" w:bidi="en-US"/>
        </w:rPr>
        <w:t>Taksdal, T., Bang Jensen, B., Böckerman, I., McLoughlin, M.F., Hjortaas, M.J., Ramstad, A., Sindre</w:t>
      </w:r>
      <w:r w:rsidRPr="00A51082">
        <w:rPr>
          <w:rFonts w:ascii="Arial" w:hAnsi="Arial" w:cs="Arial"/>
          <w:noProof/>
          <w:sz w:val="18"/>
          <w:szCs w:val="18"/>
          <w:lang w:val="nb-NO"/>
        </w:rPr>
        <w:t xml:space="preserve">, H., (2015). </w:t>
      </w:r>
      <w:r w:rsidRPr="00A51082">
        <w:rPr>
          <w:rFonts w:ascii="Arial" w:hAnsi="Arial" w:cs="Arial"/>
          <w:noProof/>
          <w:sz w:val="18"/>
          <w:szCs w:val="18"/>
        </w:rPr>
        <w:t>Mortality and weight loss of Atlantic salmon, Salmon salar L., experimentally infected with salmonid alphavirus subtype 2 and subtype 3 isolates from Norway. Journal of Fish Diseases 38, 1047–1061. https://doi.org/10.1111/jfd.12312</w:t>
      </w:r>
    </w:p>
    <w:p w14:paraId="7999B170" w14:textId="77777777" w:rsidR="00562F64" w:rsidRPr="00AA1AF1" w:rsidRDefault="00562F64" w:rsidP="00555AD1">
      <w:pPr>
        <w:pStyle w:val="REF"/>
        <w:spacing w:after="0"/>
        <w:ind w:left="284"/>
        <w:rPr>
          <w:lang w:val="da-DK"/>
        </w:rPr>
      </w:pPr>
      <w:r w:rsidRPr="00002D52">
        <w:rPr>
          <w:smallCaps/>
          <w:lang w:val="da-DK"/>
        </w:rPr>
        <w:t>The Norwegian Scientific Committee for Food Safety (Vitenskapskomiteen for Mattrygghet)</w:t>
      </w:r>
      <w:r w:rsidRPr="00AA1AF1">
        <w:rPr>
          <w:lang w:val="da-DK"/>
        </w:rPr>
        <w:t xml:space="preserve"> (2010). Risikovurdering - stamfiskovervåking og vertikal smitteoverføring. </w:t>
      </w:r>
      <w:r w:rsidRPr="00AA1AF1">
        <w:rPr>
          <w:b/>
          <w:lang w:val="da-DK"/>
        </w:rPr>
        <w:t>01</w:t>
      </w:r>
      <w:r w:rsidRPr="00AA1AF1">
        <w:rPr>
          <w:lang w:val="da-DK"/>
        </w:rPr>
        <w:t>, 1-44. Available at:</w:t>
      </w:r>
    </w:p>
    <w:p w14:paraId="183900FD" w14:textId="77777777" w:rsidR="00562F64" w:rsidRPr="00AA1AF1" w:rsidRDefault="00831075" w:rsidP="00555AD1">
      <w:pPr>
        <w:pStyle w:val="REF"/>
        <w:ind w:left="284"/>
        <w:rPr>
          <w:smallCaps/>
          <w:lang w:val="nb-NO"/>
        </w:rPr>
      </w:pPr>
      <w:hyperlink r:id="rId251" w:history="1">
        <w:r w:rsidR="00562F64" w:rsidRPr="00AA1AF1">
          <w:rPr>
            <w:rStyle w:val="Lienhypertexte"/>
            <w:rFonts w:eastAsiaTheme="majorEastAsia"/>
            <w:smallCaps/>
            <w:lang w:val="nb-NO"/>
          </w:rPr>
          <w:t>https://vkm.no/download/18.a665c1015c865cc85bdfc47/1500464589864/Vurdering%20av%20sannsynlighet%20for%20og%20risiko%20ved%20vertikal%20overf%C3%B8ring%20av%20smitte.pdf</w:t>
        </w:r>
      </w:hyperlink>
    </w:p>
    <w:p w14:paraId="26AE3305" w14:textId="77777777" w:rsidR="00555AD1" w:rsidRPr="00555AD1" w:rsidRDefault="00555AD1" w:rsidP="00555AD1">
      <w:pPr>
        <w:spacing w:after="480" w:line="240" w:lineRule="auto"/>
        <w:rPr>
          <w:rFonts w:cs="Times New Roman"/>
          <w:bCs/>
          <w:iCs/>
          <w:szCs w:val="20"/>
          <w:lang w:val="nb-NO"/>
        </w:rPr>
      </w:pPr>
      <w:r w:rsidRPr="00555AD1">
        <w:rPr>
          <w:u w:val="single"/>
          <w:lang w:val="nb-NO"/>
        </w:rPr>
        <w:lastRenderedPageBreak/>
        <w:t>A</w:t>
      </w:r>
      <w:r w:rsidRPr="00555AD1">
        <w:rPr>
          <w:rFonts w:cs="Times New Roman"/>
          <w:bCs/>
          <w:iCs/>
          <w:szCs w:val="20"/>
          <w:u w:val="single"/>
          <w:lang w:val="nb-NO"/>
        </w:rPr>
        <w:t>nnex 16</w:t>
      </w:r>
      <w:r w:rsidRPr="00555AD1">
        <w:rPr>
          <w:rFonts w:cs="Times New Roman"/>
          <w:bCs/>
          <w:iCs/>
          <w:szCs w:val="20"/>
          <w:lang w:val="nb-NO"/>
        </w:rPr>
        <w:t xml:space="preserve"> (contd)</w:t>
      </w:r>
    </w:p>
    <w:p w14:paraId="5DE7A195" w14:textId="77777777" w:rsidR="00562F64" w:rsidRPr="00AA1AF1" w:rsidRDefault="00562F64" w:rsidP="00555AD1">
      <w:pPr>
        <w:pStyle w:val="REF"/>
        <w:ind w:left="284"/>
        <w:rPr>
          <w:rFonts w:cs="Arial"/>
          <w:color w:val="000000"/>
          <w:szCs w:val="18"/>
          <w:lang w:val="nb-NO"/>
        </w:rPr>
      </w:pPr>
      <w:r w:rsidRPr="00AA1AF1">
        <w:rPr>
          <w:smallCaps/>
          <w:lang w:val="nb-NO"/>
        </w:rPr>
        <w:t>Todd D., Jewhurst V.A., Welsh M.D., Borghmans B.J., Weston J.H., Rowley H.M., Mackie D.P. &amp; McLoughlin M.F.</w:t>
      </w:r>
      <w:r w:rsidRPr="00AA1AF1">
        <w:rPr>
          <w:rFonts w:cs="Arial"/>
          <w:szCs w:val="18"/>
          <w:lang w:val="nb-NO"/>
        </w:rPr>
        <w:t xml:space="preserve"> (2001). </w:t>
      </w:r>
      <w:r w:rsidRPr="00AA1AF1">
        <w:rPr>
          <w:rFonts w:cs="Arial"/>
          <w:szCs w:val="18"/>
        </w:rPr>
        <w:t xml:space="preserve">Production and characterisation of monoclonal antibodies to salmon pancreas disease virus. </w:t>
      </w:r>
      <w:r w:rsidRPr="00AA1AF1">
        <w:rPr>
          <w:rFonts w:cs="Arial"/>
          <w:i/>
          <w:color w:val="000000"/>
          <w:szCs w:val="18"/>
          <w:lang w:val="nb-NO"/>
        </w:rPr>
        <w:t>Dis. Aquat. Org.</w:t>
      </w:r>
      <w:r w:rsidRPr="00AA1AF1">
        <w:rPr>
          <w:rFonts w:cs="Arial"/>
          <w:color w:val="000000"/>
          <w:szCs w:val="18"/>
          <w:lang w:val="nb-NO"/>
        </w:rPr>
        <w:t xml:space="preserve">, </w:t>
      </w:r>
      <w:r w:rsidRPr="00AA1AF1">
        <w:rPr>
          <w:rFonts w:cs="Arial"/>
          <w:b/>
          <w:color w:val="000000"/>
          <w:szCs w:val="18"/>
          <w:lang w:val="nb-NO"/>
        </w:rPr>
        <w:t>46</w:t>
      </w:r>
      <w:r w:rsidRPr="00AA1AF1">
        <w:rPr>
          <w:rFonts w:cs="Arial"/>
          <w:color w:val="000000"/>
          <w:szCs w:val="18"/>
          <w:lang w:val="nb-NO"/>
        </w:rPr>
        <w:t>, 101</w:t>
      </w:r>
      <w:r w:rsidRPr="00AA1AF1">
        <w:rPr>
          <w:rFonts w:cs="Arial"/>
          <w:iCs/>
          <w:szCs w:val="18"/>
          <w:lang w:val="nb-NO" w:eastAsia="nb-NO"/>
        </w:rPr>
        <w:t>–</w:t>
      </w:r>
      <w:r w:rsidRPr="00AA1AF1">
        <w:rPr>
          <w:rFonts w:cs="Arial"/>
          <w:color w:val="000000"/>
          <w:szCs w:val="18"/>
          <w:lang w:val="nb-NO"/>
        </w:rPr>
        <w:t>108.</w:t>
      </w:r>
    </w:p>
    <w:p w14:paraId="1A2EA966" w14:textId="77777777" w:rsidR="00562F64" w:rsidRPr="00AA1AF1" w:rsidRDefault="00562F64" w:rsidP="00555AD1">
      <w:pPr>
        <w:pStyle w:val="REF"/>
        <w:ind w:left="284"/>
        <w:rPr>
          <w:rFonts w:cs="Arial"/>
          <w:color w:val="000000"/>
          <w:szCs w:val="18"/>
          <w:lang w:val="en-GB"/>
        </w:rPr>
      </w:pPr>
      <w:r w:rsidRPr="00AA1AF1">
        <w:rPr>
          <w:smallCaps/>
          <w:lang w:val="nb-NO"/>
        </w:rPr>
        <w:t>Viljugrein H., Staalstrøm A., Molvær J., Urke H.A. &amp; Jansen P.A.</w:t>
      </w:r>
      <w:r w:rsidRPr="00AA1AF1">
        <w:rPr>
          <w:rFonts w:cs="Arial"/>
          <w:szCs w:val="18"/>
          <w:lang w:val="nb-NO"/>
        </w:rPr>
        <w:t xml:space="preserve"> (2009). </w:t>
      </w:r>
      <w:r w:rsidRPr="00AA1AF1">
        <w:rPr>
          <w:rFonts w:cs="Arial"/>
          <w:szCs w:val="18"/>
        </w:rPr>
        <w:t xml:space="preserve">Integration of hydrodynamics into a statistical mode on the spread of pancreas disease (PD) in salmon farming. </w:t>
      </w:r>
      <w:r w:rsidRPr="00AA1AF1">
        <w:rPr>
          <w:rFonts w:cs="Arial"/>
          <w:i/>
          <w:color w:val="000000"/>
          <w:szCs w:val="18"/>
        </w:rPr>
        <w:t>Dis. Aquat. Org.</w:t>
      </w:r>
      <w:r w:rsidRPr="00AA1AF1">
        <w:rPr>
          <w:rFonts w:cs="Arial"/>
          <w:color w:val="000000"/>
          <w:szCs w:val="18"/>
        </w:rPr>
        <w:t xml:space="preserve">, </w:t>
      </w:r>
      <w:r w:rsidRPr="00AA1AF1">
        <w:rPr>
          <w:rFonts w:cs="Arial"/>
          <w:b/>
          <w:color w:val="000000"/>
          <w:szCs w:val="18"/>
          <w:lang w:val="en-GB"/>
        </w:rPr>
        <w:t>88</w:t>
      </w:r>
      <w:r w:rsidRPr="00AA1AF1">
        <w:rPr>
          <w:rFonts w:cs="Arial"/>
          <w:color w:val="000000"/>
          <w:szCs w:val="18"/>
          <w:lang w:val="en-GB"/>
        </w:rPr>
        <w:t>, 35</w:t>
      </w:r>
      <w:r w:rsidRPr="00AA1AF1">
        <w:rPr>
          <w:rFonts w:cs="Arial"/>
          <w:iCs/>
          <w:szCs w:val="18"/>
          <w:lang w:val="en" w:eastAsia="nb-NO"/>
        </w:rPr>
        <w:t>–</w:t>
      </w:r>
      <w:r w:rsidRPr="00AA1AF1">
        <w:rPr>
          <w:rFonts w:cs="Arial"/>
          <w:color w:val="000000"/>
          <w:szCs w:val="18"/>
          <w:lang w:val="en-GB"/>
        </w:rPr>
        <w:t>44.</w:t>
      </w:r>
    </w:p>
    <w:p w14:paraId="0B25607C" w14:textId="77777777" w:rsidR="00562F64" w:rsidRPr="00AA1AF1" w:rsidRDefault="00562F64" w:rsidP="00562F64">
      <w:pPr>
        <w:pStyle w:val="Para10"/>
        <w:jc w:val="center"/>
        <w:rPr>
          <w:rFonts w:ascii="Times New Roman" w:hAnsi="Times New Roman"/>
          <w:sz w:val="20"/>
          <w:szCs w:val="20"/>
        </w:rPr>
      </w:pPr>
      <w:r w:rsidRPr="00AA1AF1">
        <w:rPr>
          <w:rFonts w:ascii="Times New Roman" w:hAnsi="Times New Roman"/>
          <w:sz w:val="20"/>
          <w:szCs w:val="20"/>
        </w:rPr>
        <w:t>*</w:t>
      </w:r>
      <w:r w:rsidRPr="00AA1AF1">
        <w:rPr>
          <w:rFonts w:ascii="Times New Roman" w:hAnsi="Times New Roman"/>
          <w:sz w:val="20"/>
          <w:szCs w:val="20"/>
        </w:rPr>
        <w:br/>
        <w:t>*</w:t>
      </w:r>
      <w:r>
        <w:rPr>
          <w:rFonts w:ascii="Times New Roman" w:hAnsi="Times New Roman"/>
          <w:sz w:val="20"/>
          <w:szCs w:val="20"/>
        </w:rPr>
        <w:t xml:space="preserve">  </w:t>
      </w:r>
      <w:r w:rsidRPr="00AA1AF1">
        <w:rPr>
          <w:rFonts w:ascii="Times New Roman" w:hAnsi="Times New Roman"/>
          <w:sz w:val="20"/>
          <w:szCs w:val="20"/>
        </w:rPr>
        <w:t xml:space="preserve"> *</w:t>
      </w:r>
    </w:p>
    <w:p w14:paraId="33F331E4" w14:textId="77777777" w:rsidR="00562F64" w:rsidRPr="00AA1AF1" w:rsidRDefault="00562F64" w:rsidP="00562F64">
      <w:pPr>
        <w:spacing w:before="120" w:after="240"/>
        <w:jc w:val="center"/>
        <w:rPr>
          <w:rFonts w:ascii="Arial" w:hAnsi="Arial" w:cs="Arial"/>
          <w:sz w:val="18"/>
          <w:szCs w:val="18"/>
        </w:rPr>
      </w:pPr>
      <w:r w:rsidRPr="00AA1AF1">
        <w:rPr>
          <w:rFonts w:ascii="Arial" w:hAnsi="Arial" w:cs="Arial"/>
          <w:b/>
          <w:sz w:val="18"/>
          <w:szCs w:val="18"/>
        </w:rPr>
        <w:t>NB:</w:t>
      </w:r>
      <w:r w:rsidRPr="00AA1AF1">
        <w:rPr>
          <w:rFonts w:ascii="Arial" w:hAnsi="Arial" w:cs="Arial"/>
          <w:sz w:val="18"/>
          <w:szCs w:val="18"/>
        </w:rPr>
        <w:t xml:space="preserve"> There is an OIE Reference Laboratory for </w:t>
      </w:r>
      <w:r w:rsidRPr="00AA1AF1">
        <w:rPr>
          <w:rFonts w:ascii="Arial" w:hAnsi="Arial" w:cs="Arial"/>
          <w:sz w:val="18"/>
          <w:szCs w:val="18"/>
          <w:lang w:val="en-IE"/>
        </w:rPr>
        <w:t>infection with salmonid alphavirus</w:t>
      </w:r>
      <w:r w:rsidRPr="00AA1AF1">
        <w:rPr>
          <w:rFonts w:ascii="Arial" w:hAnsi="Arial" w:cs="Arial"/>
          <w:iCs/>
          <w:sz w:val="18"/>
          <w:szCs w:val="18"/>
        </w:rPr>
        <w:br/>
      </w:r>
      <w:r w:rsidRPr="00AA1AF1">
        <w:rPr>
          <w:rFonts w:ascii="Arial" w:hAnsi="Arial" w:cs="Arial"/>
          <w:sz w:val="18"/>
          <w:szCs w:val="18"/>
        </w:rPr>
        <w:t xml:space="preserve">(see Table at the end of this </w:t>
      </w:r>
      <w:r w:rsidRPr="00AA1AF1">
        <w:rPr>
          <w:rFonts w:ascii="Arial" w:hAnsi="Arial" w:cs="Arial"/>
          <w:i/>
          <w:iCs/>
          <w:sz w:val="18"/>
          <w:szCs w:val="18"/>
        </w:rPr>
        <w:t>Aquatic Manual</w:t>
      </w:r>
      <w:r w:rsidRPr="00AA1AF1">
        <w:rPr>
          <w:rFonts w:ascii="Arial" w:hAnsi="Arial" w:cs="Arial"/>
          <w:sz w:val="18"/>
          <w:szCs w:val="18"/>
        </w:rPr>
        <w:t xml:space="preserve"> or consult the OIE web site for the most up-to-date list: </w:t>
      </w:r>
      <w:r w:rsidRPr="00AA1AF1">
        <w:rPr>
          <w:rFonts w:ascii="Arial" w:hAnsi="Arial" w:cs="Arial"/>
          <w:sz w:val="18"/>
          <w:szCs w:val="18"/>
        </w:rPr>
        <w:br/>
      </w:r>
      <w:hyperlink w:history="1"/>
      <w:r w:rsidRPr="00AA1AF1">
        <w:rPr>
          <w:rFonts w:ascii="Arial" w:hAnsi="Arial" w:cs="Arial"/>
          <w:sz w:val="18"/>
          <w:szCs w:val="18"/>
        </w:rPr>
        <w:t xml:space="preserve"> </w:t>
      </w:r>
      <w:hyperlink r:id="rId252" w:history="1">
        <w:r w:rsidRPr="00AA1AF1">
          <w:rPr>
            <w:rStyle w:val="Lienhypertexte"/>
            <w:rFonts w:ascii="Arial" w:hAnsi="Arial" w:cs="Arial"/>
            <w:sz w:val="18"/>
            <w:szCs w:val="18"/>
          </w:rPr>
          <w:t>http://www.oie.int/en/scientific-expertise/reference-laboratories/list-of-laboratories/</w:t>
        </w:r>
      </w:hyperlink>
      <w:hyperlink r:id="rId253" w:history="1"/>
      <w:r w:rsidRPr="00AA1AF1">
        <w:rPr>
          <w:rStyle w:val="ReflabnoteCar"/>
          <w:rFonts w:eastAsiaTheme="minorHAnsi"/>
        </w:rPr>
        <w:t xml:space="preserve">). </w:t>
      </w:r>
      <w:r w:rsidRPr="00AA1AF1">
        <w:rPr>
          <w:rStyle w:val="ReflabnoteCar"/>
          <w:rFonts w:eastAsiaTheme="minorHAnsi"/>
        </w:rPr>
        <w:br/>
      </w:r>
      <w:r w:rsidRPr="00AA1AF1">
        <w:rPr>
          <w:rFonts w:ascii="Arial" w:hAnsi="Arial" w:cs="Arial"/>
          <w:sz w:val="18"/>
          <w:szCs w:val="18"/>
        </w:rPr>
        <w:t xml:space="preserve">Please contact the OIE Reference Laboratories for any further information on </w:t>
      </w:r>
      <w:r w:rsidRPr="00AA1AF1">
        <w:rPr>
          <w:rFonts w:ascii="Arial" w:hAnsi="Arial" w:cs="Arial"/>
          <w:sz w:val="18"/>
          <w:szCs w:val="18"/>
          <w:lang w:val="en-IE"/>
        </w:rPr>
        <w:t>infection with salmonid alphavirus</w:t>
      </w:r>
    </w:p>
    <w:p w14:paraId="13CDBE30" w14:textId="77777777" w:rsidR="00562F64" w:rsidRPr="00002D52" w:rsidRDefault="00562F64" w:rsidP="00562F64">
      <w:pPr>
        <w:pStyle w:val="Para3"/>
        <w:spacing w:after="480"/>
        <w:ind w:left="0"/>
        <w:jc w:val="center"/>
      </w:pPr>
      <w:r w:rsidRPr="00002D52">
        <w:rPr>
          <w:rFonts w:cs="Arial"/>
          <w:b/>
          <w:smallCaps/>
          <w:szCs w:val="18"/>
        </w:rPr>
        <w:t>NB:</w:t>
      </w:r>
      <w:r w:rsidRPr="00002D52">
        <w:rPr>
          <w:rFonts w:cs="Arial"/>
          <w:smallCaps/>
          <w:szCs w:val="18"/>
        </w:rPr>
        <w:t xml:space="preserve"> First adopted in 2014.</w:t>
      </w:r>
      <w:r>
        <w:rPr>
          <w:rFonts w:cs="Arial"/>
          <w:smallCaps/>
          <w:szCs w:val="18"/>
        </w:rPr>
        <w:t xml:space="preserve"> Most recent updates adopted in 2019</w:t>
      </w:r>
    </w:p>
    <w:p w14:paraId="5706006B" w14:textId="77777777" w:rsidR="00562F64" w:rsidRPr="00C77BF3" w:rsidRDefault="00562F64" w:rsidP="00562F64">
      <w:pPr>
        <w:rPr>
          <w:rFonts w:ascii="Arial" w:hAnsi="Arial" w:cs="Arial"/>
          <w:b/>
          <w:szCs w:val="20"/>
          <w:lang w:val="en-IE"/>
        </w:rPr>
      </w:pPr>
    </w:p>
    <w:p w14:paraId="0AB87101" w14:textId="63986D52" w:rsidR="00E65E42" w:rsidRPr="00E65E42" w:rsidRDefault="00E65E42" w:rsidP="00E65E42">
      <w:pPr>
        <w:pStyle w:val="Titre2"/>
        <w:spacing w:after="480"/>
        <w:rPr>
          <w:rFonts w:ascii="Arial" w:hAnsi="Arial" w:cs="Arial"/>
          <w:sz w:val="18"/>
          <w:szCs w:val="18"/>
          <w:lang w:val="en-IE"/>
        </w:rPr>
      </w:pPr>
    </w:p>
    <w:p w14:paraId="75178E84" w14:textId="77777777" w:rsidR="009D44AE" w:rsidRDefault="009D44AE" w:rsidP="00B62AA5">
      <w:pPr>
        <w:spacing w:after="240" w:line="240" w:lineRule="auto"/>
        <w:rPr>
          <w:rFonts w:cs="Times New Roman"/>
          <w:szCs w:val="20"/>
        </w:rPr>
      </w:pPr>
    </w:p>
    <w:p w14:paraId="159B935F" w14:textId="77777777" w:rsidR="00016309" w:rsidRDefault="00016309" w:rsidP="00B62AA5">
      <w:pPr>
        <w:spacing w:after="240" w:line="240" w:lineRule="auto"/>
        <w:rPr>
          <w:rFonts w:cs="Times New Roman"/>
          <w:szCs w:val="20"/>
        </w:rPr>
        <w:sectPr w:rsidR="00016309">
          <w:pgSz w:w="11906" w:h="16838"/>
          <w:pgMar w:top="1440" w:right="1440" w:bottom="1440" w:left="1440" w:header="708" w:footer="708" w:gutter="0"/>
          <w:cols w:space="708"/>
          <w:docGrid w:linePitch="360"/>
        </w:sectPr>
      </w:pPr>
    </w:p>
    <w:p w14:paraId="192DF924" w14:textId="677BDB5E" w:rsidR="009D44AE" w:rsidRPr="0043431B" w:rsidRDefault="009D44AE" w:rsidP="00B62AA5">
      <w:pPr>
        <w:spacing w:after="240" w:line="240" w:lineRule="auto"/>
        <w:rPr>
          <w:rFonts w:cs="Times New Roman"/>
          <w:szCs w:val="20"/>
        </w:rPr>
      </w:pPr>
    </w:p>
    <w:sectPr w:rsidR="009D44AE" w:rsidRPr="0043431B" w:rsidSect="00016309">
      <w:headerReference w:type="even" r:id="rId254"/>
      <w:footerReference w:type="even" r:id="rId255"/>
      <w:type w:val="evenPage"/>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5BF520" w16cex:dateUtc="2020-05-05T12:22:00Z"/>
  <w16cex:commentExtensible w16cex:durableId="225BF5D4" w16cex:dateUtc="2020-05-05T12:25:00Z"/>
  <w16cex:commentExtensible w16cex:durableId="225BFA89" w16cex:dateUtc="2020-05-05T12:45:00Z"/>
  <w16cex:commentExtensible w16cex:durableId="225BFED1" w16cex:dateUtc="2020-05-05T13:03:00Z"/>
  <w16cex:commentExtensible w16cex:durableId="225C027E" w16cex:dateUtc="2020-05-05T13: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CE6CC2" w16cid:durableId="225BB981"/>
  <w16cid:commentId w16cid:paraId="13EB6FA1" w16cid:durableId="225BC4C8"/>
  <w16cid:commentId w16cid:paraId="3AD4CB10" w16cid:durableId="225C0E9A"/>
  <w16cid:commentId w16cid:paraId="0859BC05" w16cid:durableId="225BD5EB"/>
  <w16cid:commentId w16cid:paraId="4917E2D0" w16cid:durableId="225BD624"/>
  <w16cid:commentId w16cid:paraId="519ABC0A" w16cid:durableId="225BD640"/>
  <w16cid:commentId w16cid:paraId="76EF573D" w16cid:durableId="225BD659"/>
  <w16cid:commentId w16cid:paraId="615BB1FE" w16cid:durableId="225C0F17"/>
  <w16cid:commentId w16cid:paraId="5FCDDAF4" w16cid:durableId="225C0F21"/>
  <w16cid:commentId w16cid:paraId="6CFD18A5" w16cid:durableId="225BD69C"/>
  <w16cid:commentId w16cid:paraId="049933F3" w16cid:durableId="225BFA89"/>
  <w16cid:commentId w16cid:paraId="49A256FE" w16cid:durableId="225C027E"/>
  <w16cid:commentId w16cid:paraId="3167C775" w16cid:durableId="225BB984"/>
  <w16cid:commentId w16cid:paraId="069A6FBD" w16cid:durableId="225BB985"/>
  <w16cid:commentId w16cid:paraId="699F35C4" w16cid:durableId="225BB986"/>
  <w16cid:commentId w16cid:paraId="7ABB358A" w16cid:durableId="225BB987"/>
  <w16cid:commentId w16cid:paraId="27BA3701" w16cid:durableId="225BC71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D3D7AE" w14:textId="77777777" w:rsidR="00FD65D0" w:rsidRDefault="00FD65D0" w:rsidP="00F47555">
      <w:pPr>
        <w:spacing w:after="0" w:line="240" w:lineRule="auto"/>
      </w:pPr>
      <w:r>
        <w:separator/>
      </w:r>
    </w:p>
  </w:endnote>
  <w:endnote w:type="continuationSeparator" w:id="0">
    <w:p w14:paraId="3B5B61CA" w14:textId="77777777" w:rsidR="00FD65D0" w:rsidRDefault="00FD65D0" w:rsidP="00F47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00006FF" w:usb1="0000F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Helvetica Neue">
    <w:altName w:val="Times New Roman"/>
    <w:charset w:val="00"/>
    <w:family w:val="swiss"/>
    <w:pitch w:val="variable"/>
  </w:font>
  <w:font w:name="Ottawa">
    <w:altName w:val="Calibri"/>
    <w:panose1 w:val="020B7200000000000000"/>
    <w:charset w:val="00"/>
    <w:family w:val="swiss"/>
    <w:pitch w:val="variable"/>
    <w:sig w:usb0="00000003" w:usb1="00000000" w:usb2="00000000" w:usb3="00000000" w:csb0="00000001" w:csb1="00000000"/>
  </w:font>
  <w:font w:name="Bassoon">
    <w:altName w:val="Courier New"/>
    <w:charset w:val="00"/>
    <w:family w:val="swiss"/>
    <w:pitch w:val="variable"/>
    <w:sig w:usb0="00000003" w:usb1="00000000" w:usb2="00000000" w:usb3="00000000" w:csb0="00000001" w:csb1="00000000"/>
  </w:font>
  <w:font w:name="TradeGothic">
    <w:panose1 w:val="02000503020000020004"/>
    <w:charset w:val="00"/>
    <w:family w:val="auto"/>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adeGothic Bold">
    <w:panose1 w:val="02000806050000020004"/>
    <w:charset w:val="00"/>
    <w:family w:val="auto"/>
    <w:pitch w:val="variable"/>
    <w:sig w:usb0="80000027"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ヒラギノ角ゴ Pro W3">
    <w:altName w:val="MS Mincho"/>
    <w:charset w:val="80"/>
    <w:family w:val="auto"/>
    <w:pitch w:val="variable"/>
    <w:sig w:usb0="E00002FF" w:usb1="7AC7FFFF" w:usb2="00000012" w:usb3="00000000" w:csb0="0002000D" w:csb1="00000000"/>
  </w:font>
  <w:font w:name="OpenSymbol">
    <w:altName w:val="Arial Unicode MS"/>
    <w:charset w:val="00"/>
    <w:family w:val="auto"/>
    <w:pitch w:val="variable"/>
  </w:font>
  <w:font w:name="Times New Roman Bold">
    <w:altName w:val="Times New Roman"/>
    <w:charset w:val="00"/>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Angsana New">
    <w:panose1 w:val="02020603050405020304"/>
    <w:charset w:val="00"/>
    <w:family w:val="roman"/>
    <w:pitch w:val="variable"/>
    <w:sig w:usb0="81000003" w:usb1="00000000" w:usb2="00000000" w:usb3="00000000" w:csb0="00010001" w:csb1="00000000"/>
  </w:font>
  <w:font w:name="GeoSlab703 XBd BT">
    <w:charset w:val="00"/>
    <w:family w:val="roman"/>
    <w:pitch w:val="variable"/>
    <w:sig w:usb0="00000001" w:usb1="00000000" w:usb2="00000000" w:usb3="00000000" w:csb0="00000011" w:csb1="00000000"/>
  </w:font>
  <w:font w:name="TradeGothic BoldCondTwenty">
    <w:panose1 w:val="02000806020000020004"/>
    <w:charset w:val="00"/>
    <w:family w:val="auto"/>
    <w:pitch w:val="variable"/>
    <w:sig w:usb0="80000027" w:usb1="00000000" w:usb2="00000000" w:usb3="00000000" w:csb0="00000001" w:csb1="00000000"/>
  </w:font>
  <w:font w:name="font323">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Times Udarennyi It">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휴먼명조">
    <w:altName w:val="Batang"/>
    <w:charset w:val="81"/>
    <w:family w:val="auto"/>
    <w:pitch w:val="variable"/>
    <w:sig w:usb0="800002A7" w:usb1="19D77CFB" w:usb2="00000010" w:usb3="00000000" w:csb0="00080000" w:csb1="00000000"/>
  </w:font>
  <w:font w:name="ArialMT">
    <w:altName w:val="MS Gothic"/>
    <w:panose1 w:val="00000000000000000000"/>
    <w:charset w:val="80"/>
    <w:family w:val="auto"/>
    <w:notTrueType/>
    <w:pitch w:val="default"/>
    <w:sig w:usb0="00000000" w:usb1="08070000" w:usb2="00000010" w:usb3="00000000" w:csb0="00020000" w:csb1="00000000"/>
  </w:font>
  <w:font w:name="Futura Lt BT">
    <w:altName w:val="Century Gothic"/>
    <w:charset w:val="00"/>
    <w:family w:val="auto"/>
    <w:pitch w:val="variable"/>
    <w:sig w:usb0="00000000" w:usb1="00000000" w:usb2="00000000" w:usb3="00000000" w:csb0="000001FB"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MS PGothic">
    <w:panose1 w:val="020B0600070205080204"/>
    <w:charset w:val="80"/>
    <w:family w:val="swiss"/>
    <w:pitch w:val="variable"/>
    <w:sig w:usb0="E00002FF" w:usb1="6AC7FDFB" w:usb2="08000012" w:usb3="00000000" w:csb0="0002009F" w:csb1="00000000"/>
  </w:font>
  <w:font w:name="HelveticaLTStd-Roman">
    <w:altName w:val="Microsoft JhengHei"/>
    <w:panose1 w:val="00000000000000000000"/>
    <w:charset w:val="88"/>
    <w:family w:val="swiss"/>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40229" w14:textId="37380A7F" w:rsidR="00FD65D0" w:rsidRPr="00AA520A" w:rsidRDefault="00FD65D0" w:rsidP="00AA520A">
    <w:pPr>
      <w:pStyle w:val="Pieddepage"/>
      <w:jc w:val="right"/>
      <w:rPr>
        <w:rFonts w:ascii="Arial" w:eastAsia="Times New Roman" w:hAnsi="Arial" w:cs="Arial"/>
        <w:i/>
        <w:sz w:val="18"/>
        <w:szCs w:val="18"/>
        <w:lang w:eastAsia="fr-FR"/>
      </w:rPr>
    </w:pPr>
    <w:r w:rsidRPr="00AA520A">
      <w:rPr>
        <w:rFonts w:ascii="Arial" w:eastAsia="Times New Roman" w:hAnsi="Arial" w:cs="Arial"/>
        <w:i/>
        <w:sz w:val="18"/>
        <w:szCs w:val="18"/>
        <w:lang w:eastAsia="fr-FR"/>
      </w:rPr>
      <w:t xml:space="preserve">OIE </w:t>
    </w:r>
    <w:r>
      <w:rPr>
        <w:rFonts w:ascii="Arial" w:eastAsia="Times New Roman" w:hAnsi="Arial" w:cs="Arial"/>
        <w:i/>
        <w:sz w:val="18"/>
        <w:szCs w:val="18"/>
        <w:lang w:eastAsia="fr-FR"/>
      </w:rPr>
      <w:t>Aquatic</w:t>
    </w:r>
    <w:r w:rsidRPr="00AA520A">
      <w:rPr>
        <w:rFonts w:ascii="Arial" w:eastAsia="Times New Roman" w:hAnsi="Arial" w:cs="Arial"/>
        <w:i/>
        <w:sz w:val="18"/>
        <w:szCs w:val="18"/>
        <w:lang w:eastAsia="fr-FR"/>
      </w:rPr>
      <w:t xml:space="preserve"> Animal Health Standards Commission/February 2020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2427133"/>
      <w:docPartObj>
        <w:docPartGallery w:val="Page Numbers (Bottom of Page)"/>
        <w:docPartUnique/>
      </w:docPartObj>
    </w:sdtPr>
    <w:sdtEndPr>
      <w:rPr>
        <w:noProof/>
      </w:rPr>
    </w:sdtEndPr>
    <w:sdtContent>
      <w:p w14:paraId="7D8E9A16" w14:textId="5AF25907" w:rsidR="00FD65D0" w:rsidRDefault="00FD65D0" w:rsidP="00AA520A">
        <w:pPr>
          <w:pStyle w:val="Pieddepage"/>
        </w:pPr>
        <w:r w:rsidRPr="00AA520A">
          <w:rPr>
            <w:rFonts w:ascii="Arial" w:eastAsia="Times New Roman" w:hAnsi="Arial" w:cs="Arial"/>
            <w:i/>
            <w:sz w:val="18"/>
            <w:szCs w:val="18"/>
            <w:lang w:eastAsia="fr-FR"/>
          </w:rPr>
          <w:t xml:space="preserve">OIE </w:t>
        </w:r>
        <w:r>
          <w:rPr>
            <w:rFonts w:ascii="Arial" w:eastAsia="Times New Roman" w:hAnsi="Arial" w:cs="Arial"/>
            <w:i/>
            <w:sz w:val="18"/>
            <w:szCs w:val="18"/>
            <w:lang w:eastAsia="fr-FR"/>
          </w:rPr>
          <w:t>Aquatic</w:t>
        </w:r>
        <w:r w:rsidRPr="00AA520A">
          <w:rPr>
            <w:rFonts w:ascii="Arial" w:eastAsia="Times New Roman" w:hAnsi="Arial" w:cs="Arial"/>
            <w:i/>
            <w:sz w:val="18"/>
            <w:szCs w:val="18"/>
            <w:lang w:eastAsia="fr-FR"/>
          </w:rPr>
          <w:t xml:space="preserve"> Animal Health Standards Commission/February 2020</w:t>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7121C" w14:textId="2DCE70EA" w:rsidR="00FD65D0" w:rsidRPr="008270D6" w:rsidRDefault="00FD65D0" w:rsidP="008270D6">
    <w:pPr>
      <w:tabs>
        <w:tab w:val="center" w:pos="4320"/>
        <w:tab w:val="right" w:pos="8640"/>
      </w:tabs>
      <w:overflowPunct w:val="0"/>
      <w:autoSpaceDE w:val="0"/>
      <w:autoSpaceDN w:val="0"/>
      <w:adjustRightInd w:val="0"/>
      <w:spacing w:after="0" w:line="240" w:lineRule="auto"/>
      <w:jc w:val="center"/>
      <w:rPr>
        <w:rFonts w:eastAsia="Times New Roman" w:cs="Times New Roman"/>
        <w:szCs w:val="18"/>
        <w:lang w:val="fr-FR" w:eastAsia="fr-FR"/>
      </w:rPr>
    </w:pPr>
    <w:r w:rsidRPr="008270D6">
      <w:rPr>
        <w:rFonts w:ascii="Futura Lt BT" w:eastAsia="Times New Roman" w:hAnsi="Futura Lt BT" w:cs="Times New Roman"/>
        <w:szCs w:val="20"/>
        <w:lang w:val="fr-FR" w:eastAsia="fr-FR"/>
      </w:rPr>
      <w:t>OIE •12, rue de Prony • 75017 Paris • France</w:t>
    </w:r>
    <w:r w:rsidRPr="008270D6">
      <w:rPr>
        <w:rFonts w:ascii="Futura Lt BT" w:eastAsia="Times New Roman" w:hAnsi="Futura Lt BT" w:cs="Times New Roman"/>
        <w:szCs w:val="20"/>
        <w:lang w:val="fr-FR" w:eastAsia="fr-FR"/>
      </w:rPr>
      <w:br/>
      <w:t>Tel.: 33 (0)1 44 15 18 88 • Fax: 33 (0)1 42 67 09 87 • www.oie.int • oie@oie.int</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FA95E" w14:textId="23F54065" w:rsidR="00FD65D0" w:rsidRPr="00233054" w:rsidRDefault="00FD65D0" w:rsidP="00233054">
    <w:pPr>
      <w:pStyle w:val="Pieddepage"/>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8578272"/>
      <w:docPartObj>
        <w:docPartGallery w:val="Page Numbers (Bottom of Page)"/>
        <w:docPartUnique/>
      </w:docPartObj>
    </w:sdtPr>
    <w:sdtEndPr>
      <w:rPr>
        <w:noProof/>
      </w:rPr>
    </w:sdtEndPr>
    <w:sdtContent>
      <w:p w14:paraId="7DA74C73" w14:textId="06857D58" w:rsidR="00FD65D0" w:rsidRDefault="00FD65D0" w:rsidP="003E513A">
        <w:pPr>
          <w:pStyle w:val="Pieddepage"/>
        </w:pPr>
        <w:r w:rsidRPr="00AA520A">
          <w:rPr>
            <w:rFonts w:ascii="Arial" w:eastAsia="Times New Roman" w:hAnsi="Arial" w:cs="Arial"/>
            <w:i/>
            <w:sz w:val="18"/>
            <w:szCs w:val="18"/>
            <w:lang w:eastAsia="fr-FR"/>
          </w:rPr>
          <w:t xml:space="preserve">OIE </w:t>
        </w:r>
        <w:r>
          <w:rPr>
            <w:rFonts w:ascii="Arial" w:eastAsia="Times New Roman" w:hAnsi="Arial" w:cs="Arial"/>
            <w:i/>
            <w:sz w:val="18"/>
            <w:szCs w:val="18"/>
            <w:lang w:eastAsia="fr-FR"/>
          </w:rPr>
          <w:t>Aquatic</w:t>
        </w:r>
        <w:r w:rsidRPr="00AA520A">
          <w:rPr>
            <w:rFonts w:ascii="Arial" w:eastAsia="Times New Roman" w:hAnsi="Arial" w:cs="Arial"/>
            <w:i/>
            <w:sz w:val="18"/>
            <w:szCs w:val="18"/>
            <w:lang w:eastAsia="fr-FR"/>
          </w:rPr>
          <w:t xml:space="preserve"> Animal Health Standards Commission/February 2020</w:t>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0616987"/>
      <w:docPartObj>
        <w:docPartGallery w:val="Page Numbers (Bottom of Page)"/>
        <w:docPartUnique/>
      </w:docPartObj>
    </w:sdtPr>
    <w:sdtEndPr>
      <w:rPr>
        <w:noProof/>
      </w:rPr>
    </w:sdtEndPr>
    <w:sdtContent>
      <w:p w14:paraId="12129AAE" w14:textId="418DFA62" w:rsidR="00FD65D0" w:rsidRPr="00796F38" w:rsidRDefault="00796F38" w:rsidP="00796F38">
        <w:pPr>
          <w:pStyle w:val="Pieddepage"/>
          <w:jc w:val="right"/>
        </w:pPr>
        <w:r w:rsidRPr="00AA520A">
          <w:rPr>
            <w:rFonts w:ascii="Arial" w:eastAsia="Times New Roman" w:hAnsi="Arial" w:cs="Arial"/>
            <w:i/>
            <w:sz w:val="18"/>
            <w:szCs w:val="18"/>
            <w:lang w:eastAsia="fr-FR"/>
          </w:rPr>
          <w:t>OIE Terrestrial Animal Health Standards Commission/February 2020</w:t>
        </w:r>
      </w:p>
    </w:sdtContent>
  </w:sdt>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6682572"/>
      <w:docPartObj>
        <w:docPartGallery w:val="Page Numbers (Bottom of Page)"/>
        <w:docPartUnique/>
      </w:docPartObj>
    </w:sdtPr>
    <w:sdtEndPr>
      <w:rPr>
        <w:noProof/>
      </w:rPr>
    </w:sdtEndPr>
    <w:sdtContent>
      <w:p w14:paraId="1FEFB3C3" w14:textId="77777777" w:rsidR="00FD65D0" w:rsidRDefault="00FD65D0" w:rsidP="00AA520A">
        <w:pPr>
          <w:pStyle w:val="Pieddepage"/>
        </w:pPr>
        <w:r w:rsidRPr="00AA520A">
          <w:rPr>
            <w:rFonts w:ascii="Arial" w:eastAsia="Times New Roman" w:hAnsi="Arial" w:cs="Arial"/>
            <w:i/>
            <w:sz w:val="18"/>
            <w:szCs w:val="18"/>
            <w:lang w:eastAsia="fr-FR"/>
          </w:rPr>
          <w:t>OIE Terrestrial Animal Health Standards Commission/February 2020</w:t>
        </w:r>
      </w:p>
    </w:sdtContent>
  </w:sdt>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D6FCD" w14:textId="7B2F9BBC" w:rsidR="00FD65D0" w:rsidRPr="00886D7F" w:rsidRDefault="00831075" w:rsidP="00233054">
    <w:pPr>
      <w:pStyle w:val="Pieddepage"/>
      <w:tabs>
        <w:tab w:val="clear" w:pos="4536"/>
      </w:tabs>
      <w:jc w:val="right"/>
    </w:pPr>
    <w:sdt>
      <w:sdtPr>
        <w:id w:val="-1353559573"/>
        <w:docPartObj>
          <w:docPartGallery w:val="Page Numbers (Bottom of Page)"/>
          <w:docPartUnique/>
        </w:docPartObj>
      </w:sdtPr>
      <w:sdtEndPr>
        <w:rPr>
          <w:noProof/>
        </w:rPr>
      </w:sdtEndPr>
      <w:sdtContent>
        <w:r w:rsidR="00FD65D0" w:rsidRPr="00AA520A">
          <w:rPr>
            <w:rFonts w:ascii="Arial" w:eastAsia="Times New Roman" w:hAnsi="Arial" w:cs="Arial"/>
            <w:i/>
            <w:sz w:val="18"/>
            <w:szCs w:val="18"/>
            <w:lang w:eastAsia="fr-FR"/>
          </w:rPr>
          <w:t xml:space="preserve">OIE </w:t>
        </w:r>
        <w:r w:rsidR="00FD65D0">
          <w:rPr>
            <w:rFonts w:ascii="Arial" w:eastAsia="Times New Roman" w:hAnsi="Arial" w:cs="Arial"/>
            <w:i/>
            <w:sz w:val="18"/>
            <w:szCs w:val="18"/>
            <w:lang w:eastAsia="fr-FR"/>
          </w:rPr>
          <w:t>Aquatic</w:t>
        </w:r>
        <w:r w:rsidR="00FD65D0" w:rsidRPr="00AA520A">
          <w:rPr>
            <w:rFonts w:ascii="Arial" w:eastAsia="Times New Roman" w:hAnsi="Arial" w:cs="Arial"/>
            <w:i/>
            <w:sz w:val="18"/>
            <w:szCs w:val="18"/>
            <w:lang w:eastAsia="fr-FR"/>
          </w:rPr>
          <w:t xml:space="preserve"> Animal Health Standards Commission/February 2020</w:t>
        </w:r>
      </w:sdtContent>
    </w:sdt>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332509"/>
      <w:docPartObj>
        <w:docPartGallery w:val="Page Numbers (Bottom of Page)"/>
        <w:docPartUnique/>
      </w:docPartObj>
    </w:sdtPr>
    <w:sdtEndPr>
      <w:rPr>
        <w:noProof/>
      </w:rPr>
    </w:sdtEndPr>
    <w:sdtContent>
      <w:p w14:paraId="43BE1957" w14:textId="092C843C" w:rsidR="00FD65D0" w:rsidRDefault="00FD65D0" w:rsidP="00AA520A">
        <w:pPr>
          <w:pStyle w:val="Pieddepage"/>
        </w:pPr>
        <w:r w:rsidRPr="00AA520A">
          <w:rPr>
            <w:rFonts w:ascii="Arial" w:eastAsia="Times New Roman" w:hAnsi="Arial" w:cs="Arial"/>
            <w:i/>
            <w:sz w:val="18"/>
            <w:szCs w:val="18"/>
            <w:lang w:eastAsia="fr-FR"/>
          </w:rPr>
          <w:t xml:space="preserve">OIE </w:t>
        </w:r>
        <w:r>
          <w:rPr>
            <w:rFonts w:ascii="Arial" w:eastAsia="Times New Roman" w:hAnsi="Arial" w:cs="Arial"/>
            <w:i/>
            <w:sz w:val="18"/>
            <w:szCs w:val="18"/>
            <w:lang w:eastAsia="fr-FR"/>
          </w:rPr>
          <w:t>Aquatic</w:t>
        </w:r>
        <w:r w:rsidRPr="00AA520A">
          <w:rPr>
            <w:rFonts w:ascii="Arial" w:eastAsia="Times New Roman" w:hAnsi="Arial" w:cs="Arial"/>
            <w:i/>
            <w:sz w:val="18"/>
            <w:szCs w:val="18"/>
            <w:lang w:eastAsia="fr-FR"/>
          </w:rPr>
          <w:t xml:space="preserve"> Animal Health Standards Commission/February 2020</w:t>
        </w:r>
      </w:p>
    </w:sdtContent>
  </w:sdt>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8FEFE" w14:textId="1A9E3FDA" w:rsidR="00FD65D0" w:rsidRPr="00695BD1" w:rsidRDefault="00FD65D0" w:rsidP="00E65E42">
    <w:pPr>
      <w:widowControl w:val="0"/>
      <w:tabs>
        <w:tab w:val="right" w:pos="9356"/>
      </w:tabs>
      <w:spacing w:after="0" w:line="240" w:lineRule="auto"/>
      <w:rPr>
        <w:rFonts w:ascii="Arial" w:eastAsia="Calibri" w:hAnsi="Arial" w:cs="Arial"/>
        <w:lang w:val="en-US"/>
      </w:rPr>
    </w:pPr>
    <w:r>
      <w:rPr>
        <w:rFonts w:ascii="Arial" w:hAnsi="Arial" w:cs="Arial"/>
        <w:sz w:val="18"/>
        <w:szCs w:val="18"/>
      </w:rPr>
      <w:tab/>
    </w: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FD434" w14:textId="04BA983B" w:rsidR="00FD65D0" w:rsidRPr="00695BD1" w:rsidRDefault="00FD65D0" w:rsidP="00E65E42">
    <w:pPr>
      <w:widowControl w:val="0"/>
      <w:tabs>
        <w:tab w:val="right" w:pos="9356"/>
      </w:tabs>
      <w:spacing w:after="0" w:line="240" w:lineRule="auto"/>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843A9" w14:textId="7192ABD3" w:rsidR="00FD65D0" w:rsidRPr="00695BD1" w:rsidRDefault="00FD65D0" w:rsidP="00E65E42">
    <w:pPr>
      <w:widowControl w:val="0"/>
      <w:tabs>
        <w:tab w:val="right" w:pos="9356"/>
      </w:tabs>
      <w:spacing w:after="0" w:line="240" w:lineRule="auto"/>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8DED5" w14:textId="24953FFC" w:rsidR="00FD65D0" w:rsidRPr="00695BD1" w:rsidRDefault="00FD65D0" w:rsidP="00E65E42">
    <w:pPr>
      <w:widowControl w:val="0"/>
      <w:tabs>
        <w:tab w:val="right" w:pos="14175"/>
      </w:tabs>
      <w:spacing w:after="0" w:line="240" w:lineRule="auto"/>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8FA70" w14:textId="7AB3C9C2" w:rsidR="00FD65D0" w:rsidRPr="00754D87" w:rsidRDefault="00FD65D0" w:rsidP="00754D87">
    <w:pPr>
      <w:pStyle w:val="Pieddepage"/>
    </w:pP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7C3B6" w14:textId="77777777" w:rsidR="00FD65D0" w:rsidRPr="005651BC" w:rsidRDefault="00FD65D0" w:rsidP="00E65E42">
    <w:pPr>
      <w:widowControl w:val="0"/>
      <w:tabs>
        <w:tab w:val="right" w:pos="9356"/>
      </w:tabs>
      <w:spacing w:after="0" w:line="240" w:lineRule="auto"/>
      <w:rPr>
        <w:rFonts w:ascii="Arial" w:eastAsia="Calibri" w:hAnsi="Arial" w:cs="Arial"/>
        <w:lang w:val="en-US"/>
      </w:rPr>
    </w:pPr>
    <w:r>
      <w:rPr>
        <w:rFonts w:ascii="Arial" w:hAnsi="Arial" w:cs="Arial"/>
        <w:sz w:val="18"/>
        <w:szCs w:val="18"/>
      </w:rPr>
      <w:tab/>
    </w: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0A129" w14:textId="77777777" w:rsidR="00FD65D0" w:rsidRPr="005651BC" w:rsidRDefault="00FD65D0" w:rsidP="00E65E42">
    <w:pPr>
      <w:widowControl w:val="0"/>
      <w:tabs>
        <w:tab w:val="right" w:pos="9356"/>
      </w:tabs>
      <w:spacing w:after="0" w:line="240" w:lineRule="auto"/>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06D36" w14:textId="2ED27382" w:rsidR="00FD65D0" w:rsidRPr="00F15D96" w:rsidRDefault="00FD65D0" w:rsidP="00E65E42">
    <w:pPr>
      <w:widowControl w:val="0"/>
      <w:tabs>
        <w:tab w:val="right" w:pos="14175"/>
      </w:tabs>
      <w:spacing w:after="0" w:line="240" w:lineRule="auto"/>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1A93F" w14:textId="77777777" w:rsidR="00FD65D0" w:rsidRPr="009F1AE5" w:rsidRDefault="00FD65D0" w:rsidP="00E65E42">
    <w:pPr>
      <w:widowControl w:val="0"/>
      <w:tabs>
        <w:tab w:val="center" w:pos="4536"/>
        <w:tab w:val="right" w:pos="9072"/>
      </w:tabs>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18D1F" w14:textId="3CFDD330" w:rsidR="00FD65D0" w:rsidRPr="00D329D6" w:rsidRDefault="00FD65D0" w:rsidP="00E65E42">
    <w:pPr>
      <w:widowControl w:val="0"/>
      <w:tabs>
        <w:tab w:val="right" w:pos="9356"/>
      </w:tabs>
      <w:spacing w:after="0" w:line="240" w:lineRule="auto"/>
      <w:rPr>
        <w:rFonts w:ascii="Arial" w:eastAsia="Calibri" w:hAnsi="Arial" w:cs="Arial"/>
        <w:lang w:val="en-US"/>
      </w:rPr>
    </w:pPr>
    <w:r>
      <w:rPr>
        <w:rFonts w:ascii="Arial" w:hAnsi="Arial" w:cs="Arial"/>
        <w:sz w:val="18"/>
        <w:szCs w:val="18"/>
      </w:rPr>
      <w:tab/>
    </w: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9CC29" w14:textId="3102F280" w:rsidR="00FD65D0" w:rsidRPr="00D329D6" w:rsidRDefault="00FD65D0" w:rsidP="00E65E42">
    <w:pPr>
      <w:widowControl w:val="0"/>
      <w:tabs>
        <w:tab w:val="right" w:pos="9356"/>
      </w:tabs>
      <w:spacing w:after="0" w:line="240" w:lineRule="auto"/>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D213C" w14:textId="2A01DE92" w:rsidR="00FD65D0" w:rsidRPr="00754D87" w:rsidRDefault="00FD65D0" w:rsidP="00754D87">
    <w:pPr>
      <w:pStyle w:val="Pieddepage"/>
    </w:pP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67029" w14:textId="340AB619" w:rsidR="00FD65D0" w:rsidRPr="00D329D6" w:rsidRDefault="00FD65D0" w:rsidP="00754D87">
    <w:pPr>
      <w:widowControl w:val="0"/>
      <w:tabs>
        <w:tab w:val="right" w:pos="9356"/>
      </w:tabs>
      <w:spacing w:after="0" w:line="240" w:lineRule="auto"/>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93464" w14:textId="470560F1" w:rsidR="00FD65D0" w:rsidRPr="00D329D6" w:rsidRDefault="00FD65D0" w:rsidP="00E65E42">
    <w:pPr>
      <w:widowControl w:val="0"/>
      <w:tabs>
        <w:tab w:val="right" w:pos="14175"/>
      </w:tabs>
      <w:spacing w:after="0" w:line="240" w:lineRule="auto"/>
      <w:rPr>
        <w:rFonts w:ascii="Arial" w:eastAsia="Calibri" w:hAnsi="Arial" w:cs="Arial"/>
        <w:lang w:val="en-US"/>
      </w:rPr>
    </w:pPr>
    <w:r>
      <w:rPr>
        <w:rFonts w:ascii="Arial" w:hAnsi="Arial" w:cs="Arial"/>
        <w:sz w:val="18"/>
        <w:szCs w:val="18"/>
      </w:rPr>
      <w:tab/>
    </w: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F8FD0" w14:textId="3485FD4B" w:rsidR="00FD65D0" w:rsidRPr="00D329D6" w:rsidRDefault="00FD65D0" w:rsidP="00E65E42">
    <w:pPr>
      <w:widowControl w:val="0"/>
      <w:tabs>
        <w:tab w:val="right" w:pos="9356"/>
      </w:tabs>
      <w:spacing w:after="0" w:line="240" w:lineRule="auto"/>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0D4A8" w14:textId="77777777" w:rsidR="00FD65D0" w:rsidRPr="00D329D6" w:rsidRDefault="00FD65D0" w:rsidP="00E65E42">
    <w:pPr>
      <w:widowControl w:val="0"/>
      <w:tabs>
        <w:tab w:val="right" w:pos="9356"/>
      </w:tabs>
      <w:spacing w:after="0" w:line="240" w:lineRule="auto"/>
      <w:rPr>
        <w:rFonts w:ascii="Arial" w:eastAsia="Calibri" w:hAnsi="Arial" w:cs="Arial"/>
        <w:lang w:val="en-US"/>
      </w:rPr>
    </w:pPr>
    <w:r>
      <w:rPr>
        <w:rFonts w:ascii="Arial" w:hAnsi="Arial" w:cs="Arial"/>
        <w:sz w:val="18"/>
        <w:szCs w:val="18"/>
      </w:rPr>
      <w:tab/>
    </w: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20763" w14:textId="7B671F3D" w:rsidR="00FD65D0" w:rsidRPr="009D7607" w:rsidRDefault="00FD65D0" w:rsidP="00E65E42">
    <w:pPr>
      <w:widowControl w:val="0"/>
      <w:tabs>
        <w:tab w:val="right" w:pos="14002"/>
      </w:tabs>
      <w:spacing w:after="0" w:line="240" w:lineRule="auto"/>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7C107" w14:textId="29FCFCC7" w:rsidR="00FD65D0" w:rsidRPr="009D7607" w:rsidRDefault="00FD65D0" w:rsidP="00E65E42">
    <w:pPr>
      <w:widowControl w:val="0"/>
      <w:tabs>
        <w:tab w:val="right" w:pos="9356"/>
      </w:tabs>
      <w:spacing w:after="0" w:line="240" w:lineRule="auto"/>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 2020</w:t>
    </w:r>
  </w:p>
</w:ftr>
</file>

<file path=word/footer2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E8C4A" w14:textId="77777777" w:rsidR="00FD65D0" w:rsidRPr="003F0197" w:rsidRDefault="00FD65D0" w:rsidP="000A62A2">
    <w:pPr>
      <w:widowControl w:val="0"/>
      <w:tabs>
        <w:tab w:val="right" w:pos="9356"/>
      </w:tabs>
      <w:spacing w:after="0" w:line="240" w:lineRule="auto"/>
      <w:jc w:val="right"/>
      <w:rPr>
        <w:rFonts w:ascii="Arial" w:eastAsia="Calibri" w:hAnsi="Arial" w:cs="Arial"/>
      </w:rPr>
    </w:pPr>
    <w:r w:rsidRPr="009E2A9B">
      <w:rPr>
        <w:rFonts w:ascii="Arial" w:eastAsia="Calibri" w:hAnsi="Arial" w:cs="Arial"/>
        <w:i/>
        <w:sz w:val="18"/>
        <w:szCs w:val="18"/>
      </w:rPr>
      <w:t>OIE Aquatic Animal Health Standards Commission/</w:t>
    </w:r>
    <w:r>
      <w:rPr>
        <w:rFonts w:ascii="Arial" w:eastAsia="Malgun Gothic" w:hAnsi="Arial" w:cs="Arial"/>
        <w:i/>
        <w:sz w:val="18"/>
        <w:szCs w:val="18"/>
      </w:rPr>
      <w:t>February 2020</w:t>
    </w:r>
  </w:p>
</w:ftr>
</file>

<file path=word/footer2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4DCB" w14:textId="77777777" w:rsidR="00FD65D0" w:rsidRPr="00953B60" w:rsidRDefault="00FD65D0" w:rsidP="000A62A2">
    <w:pPr>
      <w:widowControl w:val="0"/>
      <w:tabs>
        <w:tab w:val="right" w:pos="9356"/>
      </w:tabs>
      <w:spacing w:after="0" w:line="240" w:lineRule="auto"/>
      <w:rPr>
        <w:rFonts w:ascii="Arial" w:eastAsia="Calibri" w:hAnsi="Arial" w:cs="Arial"/>
      </w:rPr>
    </w:pPr>
    <w:r w:rsidRPr="009E2A9B">
      <w:rPr>
        <w:rFonts w:ascii="Arial" w:eastAsia="Calibri" w:hAnsi="Arial" w:cs="Arial"/>
        <w:i/>
        <w:sz w:val="18"/>
        <w:szCs w:val="18"/>
      </w:rPr>
      <w:t>OIE Aquatic Animal Health Standards Commission/</w:t>
    </w:r>
    <w:r>
      <w:rPr>
        <w:rFonts w:ascii="Arial" w:eastAsia="Malgun Gothic" w:hAnsi="Arial" w:cs="Arial"/>
        <w:i/>
        <w:sz w:val="18"/>
        <w:szCs w:val="18"/>
      </w:rPr>
      <w:t>February 2020</w:t>
    </w:r>
  </w:p>
</w:ftr>
</file>

<file path=word/footer3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BCBF0" w14:textId="77777777" w:rsidR="00FD65D0" w:rsidRPr="003F0197" w:rsidRDefault="00FD65D0" w:rsidP="000A62A2">
    <w:pPr>
      <w:widowControl w:val="0"/>
      <w:tabs>
        <w:tab w:val="right" w:pos="9356"/>
      </w:tabs>
      <w:spacing w:after="0" w:line="240" w:lineRule="auto"/>
      <w:rPr>
        <w:rFonts w:ascii="Arial" w:eastAsia="Calibri" w:hAnsi="Arial" w:cs="Arial"/>
      </w:rPr>
    </w:pPr>
    <w:r w:rsidRPr="009E2A9B">
      <w:rPr>
        <w:rFonts w:ascii="Arial" w:eastAsia="Calibri" w:hAnsi="Arial" w:cs="Arial"/>
        <w:i/>
        <w:sz w:val="18"/>
        <w:szCs w:val="18"/>
      </w:rPr>
      <w:t>OIE Aquatic Animal Health Standards Commission/</w:t>
    </w:r>
    <w:r>
      <w:rPr>
        <w:rFonts w:ascii="Arial" w:eastAsia="Malgun Gothic" w:hAnsi="Arial" w:cs="Arial"/>
        <w:i/>
        <w:sz w:val="18"/>
        <w:szCs w:val="18"/>
      </w:rPr>
      <w:t>February 2020</w:t>
    </w:r>
  </w:p>
</w:ftr>
</file>

<file path=word/footer3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624F7" w14:textId="64C4DCE1" w:rsidR="00FD65D0" w:rsidRPr="00953B60" w:rsidRDefault="00FD65D0" w:rsidP="000A62A2">
    <w:pPr>
      <w:widowControl w:val="0"/>
      <w:tabs>
        <w:tab w:val="right" w:pos="14175"/>
      </w:tabs>
      <w:spacing w:after="0" w:line="240" w:lineRule="auto"/>
      <w:rPr>
        <w:rFonts w:ascii="Arial" w:eastAsia="Calibri" w:hAnsi="Arial" w:cs="Arial"/>
      </w:rPr>
    </w:pPr>
    <w:r w:rsidRPr="009E2A9B">
      <w:rPr>
        <w:rFonts w:ascii="Arial" w:eastAsia="Calibri" w:hAnsi="Arial" w:cs="Arial"/>
        <w:i/>
        <w:sz w:val="18"/>
        <w:szCs w:val="18"/>
      </w:rPr>
      <w:t>OIE Aquatic Animal Health Standards Commission/</w:t>
    </w:r>
    <w:r>
      <w:rPr>
        <w:rFonts w:ascii="Arial" w:eastAsia="Malgun Gothic" w:hAnsi="Arial" w:cs="Arial"/>
        <w:i/>
        <w:sz w:val="18"/>
        <w:szCs w:val="18"/>
      </w:rPr>
      <w:t>February 2020</w:t>
    </w:r>
    <w:r>
      <w:rPr>
        <w:rFonts w:ascii="Arial" w:eastAsia="Malgun Gothic" w:hAnsi="Arial" w:cs="Arial"/>
        <w:i/>
        <w:sz w:val="18"/>
        <w:szCs w:val="18"/>
      </w:rPr>
      <w:tab/>
    </w:r>
    <w:r w:rsidRPr="00BC0328">
      <w:rPr>
        <w:rFonts w:ascii="Arial" w:hAnsi="Arial" w:cs="Arial"/>
        <w:sz w:val="18"/>
        <w:szCs w:val="18"/>
      </w:rPr>
      <w:fldChar w:fldCharType="begin"/>
    </w:r>
    <w:r w:rsidRPr="00BC0328">
      <w:rPr>
        <w:rFonts w:ascii="Arial" w:hAnsi="Arial" w:cs="Arial"/>
        <w:sz w:val="18"/>
        <w:szCs w:val="18"/>
      </w:rPr>
      <w:instrText>PAGE   \* MERGEFORMAT</w:instrText>
    </w:r>
    <w:r w:rsidRPr="00BC0328">
      <w:rPr>
        <w:rFonts w:ascii="Arial" w:hAnsi="Arial" w:cs="Arial"/>
        <w:sz w:val="18"/>
        <w:szCs w:val="18"/>
      </w:rPr>
      <w:fldChar w:fldCharType="separate"/>
    </w:r>
    <w:r w:rsidR="00431AE2">
      <w:rPr>
        <w:rFonts w:ascii="Arial" w:hAnsi="Arial" w:cs="Arial"/>
        <w:noProof/>
        <w:sz w:val="18"/>
        <w:szCs w:val="18"/>
      </w:rPr>
      <w:t>151</w:t>
    </w:r>
    <w:r w:rsidRPr="00BC0328">
      <w:rPr>
        <w:rFonts w:ascii="Arial" w:hAnsi="Arial" w:cs="Arial"/>
        <w:sz w:val="18"/>
        <w:szCs w:val="18"/>
      </w:rPr>
      <w:fldChar w:fldCharType="end"/>
    </w:r>
  </w:p>
</w:ftr>
</file>

<file path=word/footer3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03FA0" w14:textId="278EE07E" w:rsidR="00FD65D0" w:rsidRPr="00747200" w:rsidRDefault="00FD65D0" w:rsidP="00942CAA">
    <w:pPr>
      <w:widowControl w:val="0"/>
      <w:tabs>
        <w:tab w:val="right" w:pos="9356"/>
      </w:tabs>
      <w:rPr>
        <w:rFonts w:ascii="Arial" w:eastAsia="Calibri" w:hAnsi="Arial" w:cs="Arial"/>
      </w:rPr>
    </w:pPr>
    <w:r>
      <w:rPr>
        <w:rFonts w:ascii="Arial" w:hAnsi="Arial" w:cs="Arial"/>
        <w:sz w:val="18"/>
        <w:szCs w:val="18"/>
      </w:rPr>
      <w:tab/>
    </w:r>
    <w:r w:rsidRPr="009E2A9B">
      <w:rPr>
        <w:rFonts w:ascii="Arial" w:eastAsia="Calibri" w:hAnsi="Arial" w:cs="Arial"/>
        <w:i/>
        <w:sz w:val="18"/>
        <w:szCs w:val="18"/>
      </w:rPr>
      <w:t>OIE Aquatic Animal Health Standards Commission/</w:t>
    </w:r>
    <w:r>
      <w:rPr>
        <w:rFonts w:ascii="Arial" w:eastAsia="Malgun Gothic" w:hAnsi="Arial" w:cs="Arial"/>
        <w:i/>
        <w:sz w:val="18"/>
        <w:szCs w:val="18"/>
      </w:rPr>
      <w:t>February 2020</w:t>
    </w:r>
  </w:p>
</w:ftr>
</file>

<file path=word/footer3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C4FA8" w14:textId="01284C1B" w:rsidR="00FD65D0" w:rsidRPr="00747200" w:rsidRDefault="00FD65D0" w:rsidP="00942CAA">
    <w:pPr>
      <w:widowControl w:val="0"/>
      <w:tabs>
        <w:tab w:val="right" w:pos="9356"/>
      </w:tabs>
      <w:rPr>
        <w:rFonts w:ascii="Arial" w:eastAsia="Calibri" w:hAnsi="Arial" w:cs="Arial"/>
      </w:rPr>
    </w:pPr>
    <w:r w:rsidRPr="009E2A9B">
      <w:rPr>
        <w:rFonts w:ascii="Arial" w:eastAsia="Calibri" w:hAnsi="Arial" w:cs="Arial"/>
        <w:i/>
        <w:sz w:val="18"/>
        <w:szCs w:val="18"/>
      </w:rPr>
      <w:t>OIE Aquatic Animal Health Standards Commission/</w:t>
    </w:r>
    <w:r>
      <w:rPr>
        <w:rFonts w:ascii="Arial" w:eastAsia="Malgun Gothic" w:hAnsi="Arial" w:cs="Arial"/>
        <w:i/>
        <w:sz w:val="18"/>
        <w:szCs w:val="18"/>
      </w:rPr>
      <w:t>February 2020</w:t>
    </w:r>
  </w:p>
</w:ftr>
</file>

<file path=word/footer3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C4C64" w14:textId="76360100" w:rsidR="00FD65D0" w:rsidRPr="00D10BBF" w:rsidRDefault="00FD65D0" w:rsidP="00D10BBF">
    <w:pPr>
      <w:pStyle w:val="Pieddepage"/>
    </w:pPr>
  </w:p>
</w:ftr>
</file>

<file path=word/footer3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0C1E7" w14:textId="55BA3350" w:rsidR="00FD65D0" w:rsidRPr="00747200" w:rsidRDefault="00FD65D0" w:rsidP="00942CAA">
    <w:pPr>
      <w:widowControl w:val="0"/>
      <w:tabs>
        <w:tab w:val="right" w:pos="9356"/>
      </w:tabs>
      <w:rPr>
        <w:rFonts w:ascii="Arial" w:eastAsia="Calibri" w:hAnsi="Arial" w:cs="Arial"/>
      </w:rPr>
    </w:pPr>
    <w:r>
      <w:rPr>
        <w:rFonts w:ascii="Arial" w:hAnsi="Arial" w:cs="Arial"/>
        <w:sz w:val="18"/>
        <w:szCs w:val="18"/>
      </w:rPr>
      <w:tab/>
    </w:r>
    <w:r w:rsidRPr="009E2A9B">
      <w:rPr>
        <w:rFonts w:ascii="Arial" w:eastAsia="Calibri" w:hAnsi="Arial" w:cs="Arial"/>
        <w:i/>
        <w:sz w:val="18"/>
        <w:szCs w:val="18"/>
      </w:rPr>
      <w:t>OIE Aquatic Animal Health Standards Commission/</w:t>
    </w:r>
    <w:r>
      <w:rPr>
        <w:rFonts w:ascii="Arial" w:eastAsia="Malgun Gothic" w:hAnsi="Arial" w:cs="Arial"/>
        <w:i/>
        <w:sz w:val="18"/>
        <w:szCs w:val="18"/>
      </w:rPr>
      <w:t>February 2020</w:t>
    </w:r>
  </w:p>
</w:ftr>
</file>

<file path=word/footer3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34F25" w14:textId="6C066516" w:rsidR="00FD65D0" w:rsidRPr="00747200" w:rsidRDefault="00FD65D0" w:rsidP="00942CAA">
    <w:pPr>
      <w:widowControl w:val="0"/>
      <w:tabs>
        <w:tab w:val="right" w:pos="9356"/>
      </w:tabs>
      <w:rPr>
        <w:rFonts w:ascii="Arial" w:eastAsia="Calibri" w:hAnsi="Arial" w:cs="Arial"/>
      </w:rPr>
    </w:pPr>
    <w:r w:rsidRPr="009E2A9B">
      <w:rPr>
        <w:rFonts w:ascii="Arial" w:eastAsia="Calibri" w:hAnsi="Arial" w:cs="Arial"/>
        <w:i/>
        <w:sz w:val="18"/>
        <w:szCs w:val="18"/>
      </w:rPr>
      <w:t>OIE Aquatic Animal Health Standards Commission/</w:t>
    </w:r>
    <w:r>
      <w:rPr>
        <w:rFonts w:ascii="Arial" w:eastAsia="Malgun Gothic" w:hAnsi="Arial" w:cs="Arial"/>
        <w:i/>
        <w:sz w:val="18"/>
        <w:szCs w:val="18"/>
      </w:rPr>
      <w:t>February 2020</w:t>
    </w:r>
  </w:p>
</w:ftr>
</file>

<file path=word/footer3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62D8D" w14:textId="1E8ACEC4" w:rsidR="00FD65D0" w:rsidRPr="00747200" w:rsidRDefault="00FD65D0" w:rsidP="00942CAA">
    <w:pPr>
      <w:widowControl w:val="0"/>
      <w:tabs>
        <w:tab w:val="right" w:pos="14175"/>
      </w:tabs>
      <w:rPr>
        <w:rFonts w:ascii="Arial" w:eastAsia="Calibri" w:hAnsi="Arial" w:cs="Arial"/>
      </w:rPr>
    </w:pPr>
    <w:r>
      <w:rPr>
        <w:rFonts w:ascii="Arial" w:hAnsi="Arial" w:cs="Arial"/>
        <w:sz w:val="18"/>
        <w:szCs w:val="18"/>
      </w:rPr>
      <w:tab/>
    </w:r>
    <w:r w:rsidRPr="009E2A9B">
      <w:rPr>
        <w:rFonts w:ascii="Arial" w:eastAsia="Calibri" w:hAnsi="Arial" w:cs="Arial"/>
        <w:i/>
        <w:sz w:val="18"/>
        <w:szCs w:val="18"/>
      </w:rPr>
      <w:t>OIE Aquatic Animal Health Standards Commission/</w:t>
    </w:r>
    <w:r>
      <w:rPr>
        <w:rFonts w:ascii="Arial" w:eastAsia="Malgun Gothic" w:hAnsi="Arial" w:cs="Arial"/>
        <w:i/>
        <w:sz w:val="18"/>
        <w:szCs w:val="18"/>
      </w:rPr>
      <w:t>February 2020</w:t>
    </w:r>
  </w:p>
</w:ftr>
</file>

<file path=word/footer3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59569" w14:textId="5E00BD59" w:rsidR="00FD65D0" w:rsidRPr="00016309" w:rsidRDefault="00FD65D0" w:rsidP="00016309">
    <w:pPr>
      <w:widowControl w:val="0"/>
      <w:pBdr>
        <w:top w:val="single" w:sz="1" w:space="4" w:color="000000"/>
      </w:pBdr>
      <w:tabs>
        <w:tab w:val="left" w:pos="283"/>
      </w:tabs>
      <w:suppressAutoHyphens/>
      <w:spacing w:before="1" w:after="60" w:line="276" w:lineRule="auto"/>
      <w:ind w:left="283" w:right="1" w:hanging="281"/>
      <w:jc w:val="both"/>
      <w:rPr>
        <w:rFonts w:ascii="Century" w:eastAsia="Calibri" w:hAnsi="Century"/>
        <w:b/>
        <w:color w:val="000000"/>
        <w:spacing w:val="20"/>
        <w:w w:val="120"/>
        <w:sz w:val="16"/>
        <w:lang w:val="en-US" w:eastAsia="ar-SA"/>
      </w:rPr>
    </w:pPr>
    <w:r w:rsidRPr="00016309">
      <w:rPr>
        <w:rFonts w:ascii="Century" w:eastAsia="Calibri" w:hAnsi="Century"/>
        <w:b/>
        <w:color w:val="000000"/>
        <w:spacing w:val="20"/>
        <w:sz w:val="16"/>
        <w:lang w:val="en-US" w:eastAsia="ar-SA"/>
      </w:rPr>
      <w:t>©</w:t>
    </w:r>
    <w:r w:rsidRPr="00016309">
      <w:rPr>
        <w:rFonts w:ascii="Century" w:eastAsia="Calibri" w:hAnsi="Century"/>
        <w:b/>
        <w:color w:val="000000"/>
        <w:spacing w:val="20"/>
        <w:sz w:val="16"/>
        <w:lang w:val="en-US" w:eastAsia="ar-SA"/>
      </w:rPr>
      <w:tab/>
    </w:r>
    <w:r w:rsidRPr="00016309">
      <w:rPr>
        <w:rFonts w:ascii="Century" w:eastAsia="Calibri" w:hAnsi="Century"/>
        <w:b/>
        <w:bCs/>
        <w:spacing w:val="20"/>
        <w:sz w:val="16"/>
        <w:szCs w:val="16"/>
        <w:lang w:val="en-US" w:eastAsia="ar-SA"/>
      </w:rPr>
      <w:t>World Organisation for Animal Health</w:t>
    </w:r>
    <w:r w:rsidRPr="00016309">
      <w:rPr>
        <w:rFonts w:ascii="Century" w:eastAsia="Calibri" w:hAnsi="Century"/>
        <w:b/>
        <w:color w:val="000000"/>
        <w:spacing w:val="20"/>
        <w:w w:val="120"/>
        <w:sz w:val="16"/>
        <w:lang w:val="en-US" w:eastAsia="ar-SA"/>
      </w:rPr>
      <w:t xml:space="preserve"> (OIE), 20</w:t>
    </w:r>
    <w:r>
      <w:rPr>
        <w:rFonts w:ascii="Century" w:eastAsia="Calibri" w:hAnsi="Century"/>
        <w:b/>
        <w:color w:val="000000"/>
        <w:spacing w:val="20"/>
        <w:w w:val="120"/>
        <w:sz w:val="16"/>
        <w:lang w:val="en-US" w:eastAsia="ar-SA"/>
      </w:rPr>
      <w:t>20</w:t>
    </w:r>
  </w:p>
  <w:p w14:paraId="6061CA8A" w14:textId="77777777" w:rsidR="00FD65D0" w:rsidRPr="00016309" w:rsidRDefault="00FD65D0" w:rsidP="00016309">
    <w:pPr>
      <w:widowControl w:val="0"/>
      <w:pBdr>
        <w:top w:val="single" w:sz="1" w:space="4" w:color="000000"/>
      </w:pBdr>
      <w:tabs>
        <w:tab w:val="left" w:pos="283"/>
      </w:tabs>
      <w:suppressAutoHyphens/>
      <w:spacing w:before="1" w:after="60" w:line="276" w:lineRule="auto"/>
      <w:ind w:left="283" w:right="1" w:firstLine="1"/>
      <w:jc w:val="both"/>
      <w:rPr>
        <w:rFonts w:ascii="Century" w:eastAsia="Calibri" w:hAnsi="Century"/>
        <w:spacing w:val="20"/>
        <w:sz w:val="16"/>
        <w:szCs w:val="16"/>
        <w:lang w:val="en-IE" w:eastAsia="ar-SA"/>
      </w:rPr>
    </w:pPr>
    <w:r w:rsidRPr="00016309">
      <w:rPr>
        <w:rFonts w:ascii="Century" w:eastAsia="Calibri" w:hAnsi="Century"/>
        <w:spacing w:val="20"/>
        <w:sz w:val="16"/>
        <w:szCs w:val="16"/>
        <w:lang w:val="en-IE" w:eastAsia="ar-SA"/>
      </w:rPr>
      <w:t xml:space="preserve">This document has been prepared by specialists convened by the </w:t>
    </w:r>
    <w:r w:rsidRPr="00016309">
      <w:rPr>
        <w:rFonts w:ascii="Century" w:eastAsia="Calibri" w:hAnsi="Century"/>
        <w:spacing w:val="20"/>
        <w:sz w:val="16"/>
        <w:szCs w:val="16"/>
        <w:lang w:val="en-US" w:eastAsia="ar-SA"/>
      </w:rPr>
      <w:t>World Organisation for Animal Health</w:t>
    </w:r>
    <w:r w:rsidRPr="00016309">
      <w:rPr>
        <w:rFonts w:ascii="Century" w:eastAsia="Calibri" w:hAnsi="Century"/>
        <w:spacing w:val="20"/>
        <w:sz w:val="16"/>
        <w:szCs w:val="16"/>
        <w:lang w:val="en-IE" w:eastAsia="ar-SA"/>
      </w:rPr>
      <w:t xml:space="preserve"> (OIE). Pending adoption by the World Assembly of Delegates, </w:t>
    </w:r>
    <w:r w:rsidRPr="00016309">
      <w:rPr>
        <w:rFonts w:ascii="Century" w:eastAsia="Calibri" w:hAnsi="Century"/>
        <w:spacing w:val="20"/>
        <w:sz w:val="16"/>
        <w:szCs w:val="16"/>
        <w:lang w:val="en-US" w:eastAsia="ar-SA"/>
      </w:rPr>
      <w:t>the</w:t>
    </w:r>
    <w:r w:rsidRPr="00016309">
      <w:rPr>
        <w:rFonts w:ascii="Century" w:eastAsia="Calibri" w:hAnsi="Century"/>
        <w:spacing w:val="20"/>
        <w:sz w:val="16"/>
        <w:szCs w:val="16"/>
        <w:lang w:val="en-IE" w:eastAsia="ar-SA"/>
      </w:rPr>
      <w:t xml:space="preserve"> views expressed herein can only be construed as those of these specialists.</w:t>
    </w:r>
  </w:p>
  <w:p w14:paraId="22A3F177" w14:textId="77777777" w:rsidR="00FD65D0" w:rsidRPr="00016309" w:rsidRDefault="00FD65D0" w:rsidP="00016309">
    <w:pPr>
      <w:widowControl w:val="0"/>
      <w:suppressAutoHyphens/>
      <w:spacing w:after="60" w:line="276" w:lineRule="auto"/>
      <w:ind w:left="283"/>
      <w:jc w:val="both"/>
      <w:rPr>
        <w:rFonts w:ascii="Century" w:eastAsia="Calibri" w:hAnsi="Century"/>
        <w:spacing w:val="20"/>
        <w:sz w:val="16"/>
        <w:szCs w:val="16"/>
        <w:lang w:val="en-US" w:eastAsia="ar-SA"/>
      </w:rPr>
    </w:pPr>
    <w:r w:rsidRPr="00016309">
      <w:rPr>
        <w:rFonts w:ascii="Century" w:eastAsia="Calibri" w:hAnsi="Century"/>
        <w:spacing w:val="20"/>
        <w:sz w:val="16"/>
        <w:szCs w:val="16"/>
        <w:lang w:val="en-US" w:eastAsia="ar-SA"/>
      </w:rPr>
      <w:t xml:space="preserve">All OIE publications are protected by international copyright law. Extracts may be copied, reproduced, translated, adapted or published in journals, documents, books, electronic media and any other medium destined for the public, for information, educational or commercial purposes, provided prior written permission has been granted by the OIE. </w:t>
    </w:r>
  </w:p>
  <w:p w14:paraId="06733A33" w14:textId="77777777" w:rsidR="00FD65D0" w:rsidRPr="00016309" w:rsidRDefault="00FD65D0" w:rsidP="00016309">
    <w:pPr>
      <w:widowControl w:val="0"/>
      <w:suppressAutoHyphens/>
      <w:spacing w:after="60" w:line="276" w:lineRule="auto"/>
      <w:ind w:left="283"/>
      <w:jc w:val="both"/>
      <w:rPr>
        <w:rFonts w:ascii="Century" w:eastAsia="Calibri" w:hAnsi="Century"/>
        <w:spacing w:val="20"/>
        <w:sz w:val="16"/>
        <w:szCs w:val="16"/>
        <w:lang w:val="en-US" w:eastAsia="ar-SA"/>
      </w:rPr>
    </w:pPr>
    <w:r w:rsidRPr="00016309">
      <w:rPr>
        <w:rFonts w:ascii="Century" w:eastAsia="Calibri" w:hAnsi="Century"/>
        <w:spacing w:val="20"/>
        <w:sz w:val="16"/>
        <w:szCs w:val="16"/>
        <w:lang w:val="en-US" w:eastAsia="ar-SA"/>
      </w:rPr>
      <w:t>The designations and denominations employed and the presentation of the material in this publication do not imply the expression of any opinion whatsoever on the part of the OIE concerning the legal status of any country, territory, city or area or of its authorities, or concerning the delimitation of its frontiers and boundaries.</w:t>
    </w:r>
  </w:p>
  <w:p w14:paraId="0D8C7373" w14:textId="77777777" w:rsidR="00FD65D0" w:rsidRPr="00016309" w:rsidRDefault="00FD65D0" w:rsidP="00016309">
    <w:pPr>
      <w:widowControl w:val="0"/>
      <w:suppressAutoHyphens/>
      <w:spacing w:after="60" w:line="276" w:lineRule="auto"/>
      <w:ind w:left="283"/>
      <w:jc w:val="both"/>
      <w:rPr>
        <w:rFonts w:ascii="Century" w:eastAsia="Calibri" w:hAnsi="Century"/>
        <w:spacing w:val="20"/>
        <w:sz w:val="16"/>
        <w:szCs w:val="16"/>
        <w:lang w:val="en-US" w:eastAsia="ar-SA"/>
      </w:rPr>
    </w:pPr>
    <w:r w:rsidRPr="00016309">
      <w:rPr>
        <w:rFonts w:ascii="Century" w:eastAsia="Calibri" w:hAnsi="Century"/>
        <w:spacing w:val="20"/>
        <w:sz w:val="16"/>
        <w:szCs w:val="16"/>
        <w:lang w:val="en-US" w:eastAsia="ar-SA"/>
      </w:rPr>
      <w:t>The views expressed in signed articles are solely the responsibility of the authors. The mention of specific companies or products of manufacturers, whether or not these have been patented, does not imply that these have been endorsed or recommended by the OIE in preference to others of a similar nature that are not mentioned.</w:t>
    </w:r>
  </w:p>
  <w:p w14:paraId="6035A9BD" w14:textId="77777777" w:rsidR="00FD65D0" w:rsidRPr="00016309" w:rsidRDefault="00FD65D0" w:rsidP="00016309">
    <w:pPr>
      <w:tabs>
        <w:tab w:val="center" w:pos="4513"/>
        <w:tab w:val="right" w:pos="9026"/>
      </w:tabs>
      <w:spacing w:after="0" w:line="240" w:lineRule="auto"/>
      <w:rPr>
        <w:rFonts w:asciiTheme="minorHAnsi" w:hAnsiTheme="minorHAnsi"/>
        <w:sz w:val="22"/>
        <w:lang w:val="en-US"/>
      </w:rPr>
    </w:pPr>
  </w:p>
  <w:p w14:paraId="1B0E30E8" w14:textId="15E9CFA6" w:rsidR="00FD65D0" w:rsidRPr="00016309" w:rsidRDefault="00FD65D0" w:rsidP="00016309">
    <w:pPr>
      <w:pStyle w:val="Pieddepage"/>
      <w:rPr>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B8DDE3" w14:textId="77777777" w:rsidR="00FD65D0" w:rsidRDefault="00FD65D0" w:rsidP="00F47555">
      <w:pPr>
        <w:spacing w:after="0" w:line="240" w:lineRule="auto"/>
      </w:pPr>
      <w:r>
        <w:separator/>
      </w:r>
    </w:p>
  </w:footnote>
  <w:footnote w:type="continuationSeparator" w:id="0">
    <w:p w14:paraId="20B639D4" w14:textId="77777777" w:rsidR="00FD65D0" w:rsidRDefault="00FD65D0" w:rsidP="00F47555">
      <w:pPr>
        <w:spacing w:after="0" w:line="240" w:lineRule="auto"/>
      </w:pPr>
      <w:r>
        <w:continuationSeparator/>
      </w:r>
    </w:p>
  </w:footnote>
  <w:footnote w:id="1">
    <w:p w14:paraId="60D3F54C" w14:textId="77777777" w:rsidR="00FD65D0" w:rsidRPr="00577FF0" w:rsidRDefault="00FD65D0" w:rsidP="00E65E42">
      <w:pPr>
        <w:pStyle w:val="Notedebasdepage"/>
        <w:ind w:left="425" w:hanging="425"/>
        <w:rPr>
          <w:rFonts w:ascii="Arial" w:hAnsi="Arial" w:cs="Arial"/>
          <w:sz w:val="16"/>
          <w:szCs w:val="16"/>
        </w:rPr>
      </w:pPr>
      <w:r w:rsidRPr="00245231">
        <w:rPr>
          <w:rStyle w:val="Appelnotedebasdep"/>
          <w:rFonts w:ascii="Arial" w:hAnsi="Arial" w:cs="Arial"/>
          <w:sz w:val="16"/>
          <w:szCs w:val="16"/>
        </w:rPr>
        <w:footnoteRef/>
      </w:r>
      <w:r w:rsidRPr="00245231">
        <w:rPr>
          <w:rFonts w:ascii="Arial" w:hAnsi="Arial" w:cs="Arial"/>
          <w:sz w:val="16"/>
          <w:szCs w:val="16"/>
        </w:rPr>
        <w:t xml:space="preserve"> </w:t>
      </w:r>
      <w:r w:rsidRPr="00577FF0">
        <w:rPr>
          <w:rFonts w:ascii="Arial" w:hAnsi="Arial" w:cs="Arial"/>
          <w:sz w:val="16"/>
          <w:szCs w:val="16"/>
        </w:rPr>
        <w:tab/>
        <w:t xml:space="preserve">For example transboundary </w:t>
      </w:r>
      <w:r w:rsidRPr="00B82C30">
        <w:rPr>
          <w:rFonts w:ascii="Arial" w:hAnsi="Arial" w:cs="Arial"/>
          <w:i/>
          <w:iCs/>
          <w:sz w:val="16"/>
          <w:szCs w:val="16"/>
        </w:rPr>
        <w:t>commodities</w:t>
      </w:r>
      <w:r w:rsidRPr="00577FF0">
        <w:rPr>
          <w:rFonts w:ascii="Arial" w:hAnsi="Arial" w:cs="Arial"/>
          <w:sz w:val="16"/>
          <w:szCs w:val="16"/>
        </w:rPr>
        <w:t>.</w:t>
      </w:r>
    </w:p>
  </w:footnote>
  <w:footnote w:id="2">
    <w:p w14:paraId="2FC38050" w14:textId="77777777" w:rsidR="00FD65D0" w:rsidRPr="00B13D17" w:rsidRDefault="00FD65D0" w:rsidP="00E65E42">
      <w:pPr>
        <w:pStyle w:val="Notedebasdepage"/>
        <w:ind w:left="425" w:hanging="425"/>
        <w:rPr>
          <w:rFonts w:ascii="Arial" w:hAnsi="Arial" w:cs="Arial"/>
          <w:sz w:val="16"/>
          <w:szCs w:val="16"/>
        </w:rPr>
      </w:pPr>
      <w:r w:rsidRPr="00DF4CC0">
        <w:rPr>
          <w:rStyle w:val="Appelnotedebasdep"/>
          <w:rFonts w:ascii="Arial" w:hAnsi="Arial" w:cs="Arial"/>
          <w:sz w:val="16"/>
          <w:szCs w:val="16"/>
        </w:rPr>
        <w:footnoteRef/>
      </w:r>
      <w:r w:rsidRPr="00DF4CC0">
        <w:rPr>
          <w:rFonts w:ascii="Arial" w:hAnsi="Arial" w:cs="Arial"/>
          <w:sz w:val="16"/>
          <w:szCs w:val="16"/>
        </w:rPr>
        <w:t xml:space="preserve"> </w:t>
      </w:r>
      <w:r w:rsidRPr="00B13D17">
        <w:rPr>
          <w:rFonts w:ascii="Arial" w:hAnsi="Arial" w:cs="Arial"/>
          <w:sz w:val="16"/>
          <w:szCs w:val="16"/>
        </w:rPr>
        <w:tab/>
        <w:t xml:space="preserve">For example transboundary </w:t>
      </w:r>
      <w:r w:rsidRPr="00B82C30">
        <w:rPr>
          <w:rFonts w:ascii="Arial" w:hAnsi="Arial" w:cs="Arial"/>
          <w:i/>
          <w:iCs/>
          <w:sz w:val="16"/>
          <w:szCs w:val="16"/>
        </w:rPr>
        <w:t>commodities</w:t>
      </w:r>
      <w:r w:rsidRPr="00B13D17">
        <w:rPr>
          <w:rFonts w:ascii="Arial" w:hAnsi="Arial" w:cs="Arial"/>
          <w:sz w:val="16"/>
          <w:szCs w:val="16"/>
        </w:rPr>
        <w:t>.</w:t>
      </w:r>
    </w:p>
  </w:footnote>
  <w:footnote w:id="3">
    <w:p w14:paraId="49FD1AD9" w14:textId="77777777" w:rsidR="00FD65D0" w:rsidRPr="00B13D17" w:rsidRDefault="00FD65D0" w:rsidP="00E65E42">
      <w:pPr>
        <w:pStyle w:val="Notedebasdepage"/>
        <w:ind w:left="425" w:hanging="425"/>
        <w:rPr>
          <w:rFonts w:ascii="Arial" w:hAnsi="Arial" w:cs="Arial"/>
          <w:sz w:val="16"/>
          <w:szCs w:val="16"/>
        </w:rPr>
      </w:pPr>
      <w:r w:rsidRPr="006E2307">
        <w:rPr>
          <w:rStyle w:val="Appelnotedebasdep"/>
          <w:rFonts w:ascii="Arial" w:hAnsi="Arial" w:cs="Arial"/>
          <w:sz w:val="16"/>
          <w:szCs w:val="16"/>
        </w:rPr>
        <w:footnoteRef/>
      </w:r>
      <w:r w:rsidRPr="00B13D17">
        <w:rPr>
          <w:rFonts w:ascii="Arial" w:hAnsi="Arial" w:cs="Arial"/>
          <w:sz w:val="16"/>
          <w:szCs w:val="16"/>
        </w:rPr>
        <w:tab/>
        <w:t xml:space="preserve">For example transboundary </w:t>
      </w:r>
      <w:r w:rsidRPr="00B82C30">
        <w:rPr>
          <w:rFonts w:ascii="Arial" w:hAnsi="Arial" w:cs="Arial"/>
          <w:i/>
          <w:iCs/>
          <w:sz w:val="16"/>
          <w:szCs w:val="16"/>
        </w:rPr>
        <w:t>commodities</w:t>
      </w:r>
      <w:r w:rsidRPr="00B13D17">
        <w:rPr>
          <w:rFonts w:ascii="Arial" w:hAnsi="Arial" w:cs="Arial"/>
          <w:sz w:val="16"/>
          <w:szCs w:val="16"/>
        </w:rPr>
        <w:t>.</w:t>
      </w:r>
    </w:p>
  </w:footnote>
  <w:footnote w:id="4">
    <w:p w14:paraId="2FA9FE76" w14:textId="77777777" w:rsidR="00FD65D0" w:rsidRPr="00B13D17" w:rsidRDefault="00FD65D0" w:rsidP="00E65E42">
      <w:pPr>
        <w:pStyle w:val="Notedebasdepage"/>
        <w:ind w:left="425" w:hanging="425"/>
        <w:rPr>
          <w:rFonts w:ascii="Arial" w:hAnsi="Arial" w:cs="Arial"/>
          <w:sz w:val="16"/>
          <w:szCs w:val="16"/>
        </w:rPr>
      </w:pPr>
      <w:r w:rsidRPr="00981717">
        <w:rPr>
          <w:rStyle w:val="Appelnotedebasdep"/>
          <w:rFonts w:ascii="Arial" w:hAnsi="Arial" w:cs="Arial"/>
          <w:sz w:val="16"/>
          <w:szCs w:val="16"/>
        </w:rPr>
        <w:footnoteRef/>
      </w:r>
      <w:r w:rsidRPr="00981717">
        <w:rPr>
          <w:rFonts w:ascii="Arial" w:hAnsi="Arial" w:cs="Arial"/>
          <w:sz w:val="16"/>
          <w:szCs w:val="16"/>
        </w:rPr>
        <w:t xml:space="preserve"> </w:t>
      </w:r>
      <w:r w:rsidRPr="00B13D17">
        <w:rPr>
          <w:rFonts w:ascii="Arial" w:hAnsi="Arial" w:cs="Arial"/>
          <w:sz w:val="16"/>
          <w:szCs w:val="16"/>
        </w:rPr>
        <w:tab/>
        <w:t xml:space="preserve">For example transboundary </w:t>
      </w:r>
      <w:r w:rsidRPr="00B82C30">
        <w:rPr>
          <w:rFonts w:ascii="Arial" w:hAnsi="Arial" w:cs="Arial"/>
          <w:i/>
          <w:iCs/>
          <w:sz w:val="16"/>
          <w:szCs w:val="16"/>
        </w:rPr>
        <w:t>commodities</w:t>
      </w:r>
      <w:r>
        <w:rPr>
          <w:rFonts w:ascii="Arial" w:hAnsi="Arial" w:cs="Arial"/>
          <w:i/>
          <w:iCs/>
          <w:sz w:val="16"/>
          <w:szCs w:val="16"/>
        </w:rPr>
        <w:t>.</w:t>
      </w:r>
    </w:p>
  </w:footnote>
  <w:footnote w:id="5">
    <w:p w14:paraId="70CC6907" w14:textId="77777777" w:rsidR="00FD65D0" w:rsidRPr="007F35B1" w:rsidRDefault="00FD65D0" w:rsidP="000A62A2">
      <w:pPr>
        <w:pStyle w:val="Notedebasdepage"/>
        <w:ind w:left="425" w:hanging="425"/>
        <w:rPr>
          <w:rFonts w:ascii="Arial" w:hAnsi="Arial" w:cs="Arial"/>
          <w:sz w:val="16"/>
          <w:szCs w:val="16"/>
        </w:rPr>
      </w:pPr>
      <w:r w:rsidRPr="007F35B1">
        <w:rPr>
          <w:rStyle w:val="Appelnotedebasdep"/>
          <w:rFonts w:ascii="Arial" w:hAnsi="Arial" w:cs="Arial"/>
          <w:sz w:val="16"/>
          <w:szCs w:val="16"/>
        </w:rPr>
        <w:footnoteRef/>
      </w:r>
      <w:r w:rsidRPr="007F35B1">
        <w:rPr>
          <w:rFonts w:ascii="Arial" w:hAnsi="Arial" w:cs="Arial"/>
          <w:sz w:val="16"/>
          <w:szCs w:val="16"/>
        </w:rPr>
        <w:t xml:space="preserve"> </w:t>
      </w:r>
      <w:r w:rsidRPr="007F35B1">
        <w:rPr>
          <w:rFonts w:ascii="Arial" w:hAnsi="Arial" w:cs="Arial"/>
          <w:sz w:val="16"/>
          <w:szCs w:val="16"/>
        </w:rPr>
        <w:tab/>
        <w:t>For example</w:t>
      </w:r>
      <w:r>
        <w:rPr>
          <w:rFonts w:ascii="Arial" w:hAnsi="Arial" w:cs="Arial"/>
          <w:sz w:val="16"/>
          <w:szCs w:val="16"/>
        </w:rPr>
        <w:t>,</w:t>
      </w:r>
      <w:r w:rsidRPr="007F35B1">
        <w:rPr>
          <w:rFonts w:ascii="Arial" w:hAnsi="Arial" w:cs="Arial"/>
          <w:sz w:val="16"/>
          <w:szCs w:val="16"/>
        </w:rPr>
        <w:t xml:space="preserve"> transboundary commodities.</w:t>
      </w:r>
    </w:p>
  </w:footnote>
  <w:footnote w:id="6">
    <w:p w14:paraId="1C4ADF91" w14:textId="77777777" w:rsidR="00FD65D0" w:rsidRDefault="00FD65D0" w:rsidP="00562F64">
      <w:pPr>
        <w:pStyle w:val="Note"/>
        <w:rPr>
          <w:rFonts w:ascii="Arial" w:hAnsi="Arial"/>
          <w:lang w:val="en-GB"/>
        </w:rPr>
      </w:pPr>
      <w:r w:rsidRPr="004A3DDF">
        <w:rPr>
          <w:rStyle w:val="Appelnotedebasdep"/>
          <w:rFonts w:ascii="Arial" w:eastAsia="Symbol" w:hAnsi="Arial"/>
        </w:rPr>
        <w:footnoteRef/>
      </w:r>
      <w:r w:rsidRPr="004A3DDF">
        <w:rPr>
          <w:rFonts w:ascii="Arial" w:hAnsi="Arial"/>
          <w:lang w:val="en-GB"/>
        </w:rPr>
        <w:t xml:space="preserve"> </w:t>
      </w:r>
      <w:r w:rsidRPr="004A3DDF">
        <w:rPr>
          <w:rFonts w:ascii="Arial" w:hAnsi="Arial"/>
          <w:lang w:val="en-GB"/>
        </w:rPr>
        <w:tab/>
      </w:r>
      <w:r>
        <w:rPr>
          <w:rFonts w:ascii="Arial" w:hAnsi="Arial"/>
          <w:lang w:val="en-GB"/>
        </w:rPr>
        <w:t xml:space="preserve">Reference to specific commercial products as examples does not imply their endorsement by the OIE. This applies to all commercial products referred to in this </w:t>
      </w:r>
      <w:r>
        <w:rPr>
          <w:rFonts w:ascii="Arial" w:hAnsi="Arial"/>
          <w:i/>
          <w:lang w:val="en-GB"/>
        </w:rPr>
        <w:t>Aquatic Manual</w:t>
      </w:r>
      <w:r>
        <w:rPr>
          <w:rFonts w:ascii="Arial" w:hAnsi="Arial"/>
          <w:lang w:val="en-GB"/>
        </w:rPr>
        <w:t>.</w:t>
      </w:r>
    </w:p>
  </w:footnote>
  <w:footnote w:id="7">
    <w:p w14:paraId="7F6F7738" w14:textId="77777777" w:rsidR="00FD65D0" w:rsidRPr="00B13D17" w:rsidRDefault="00FD65D0" w:rsidP="00562F64">
      <w:pPr>
        <w:pStyle w:val="Notedebasdepage"/>
        <w:ind w:left="425" w:hanging="425"/>
        <w:rPr>
          <w:rFonts w:ascii="Arial" w:hAnsi="Arial" w:cs="Arial"/>
          <w:sz w:val="16"/>
          <w:szCs w:val="16"/>
        </w:rPr>
      </w:pPr>
      <w:r w:rsidRPr="006D25BE">
        <w:rPr>
          <w:rStyle w:val="Appelnotedebasdep"/>
          <w:rFonts w:ascii="Arial" w:hAnsi="Arial" w:cs="Arial"/>
          <w:sz w:val="16"/>
          <w:szCs w:val="16"/>
        </w:rPr>
        <w:footnoteRef/>
      </w:r>
      <w:r w:rsidRPr="006D25BE">
        <w:rPr>
          <w:rFonts w:ascii="Arial" w:hAnsi="Arial" w:cs="Arial"/>
          <w:sz w:val="16"/>
          <w:szCs w:val="16"/>
        </w:rPr>
        <w:t xml:space="preserve"> </w:t>
      </w:r>
      <w:r w:rsidRPr="00B13D17">
        <w:rPr>
          <w:rFonts w:ascii="Arial" w:hAnsi="Arial" w:cs="Arial"/>
          <w:sz w:val="16"/>
          <w:szCs w:val="16"/>
        </w:rPr>
        <w:tab/>
        <w:t>For example transboundary commodities.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E3DAC" w14:textId="7DA50571" w:rsidR="00FD65D0" w:rsidRPr="00A135FE" w:rsidRDefault="00831075" w:rsidP="00A135FE">
    <w:pPr>
      <w:tabs>
        <w:tab w:val="center" w:pos="4513"/>
        <w:tab w:val="right" w:pos="9026"/>
      </w:tabs>
      <w:overflowPunct w:val="0"/>
      <w:autoSpaceDE w:val="0"/>
      <w:autoSpaceDN w:val="0"/>
      <w:adjustRightInd w:val="0"/>
      <w:spacing w:after="480" w:line="240" w:lineRule="auto"/>
      <w:rPr>
        <w:rFonts w:ascii="Arial" w:eastAsia="Times New Roman" w:hAnsi="Arial" w:cs="Arial"/>
        <w:sz w:val="18"/>
        <w:szCs w:val="18"/>
        <w:lang w:eastAsia="fr-FR"/>
      </w:rPr>
    </w:pPr>
    <w:r>
      <w:rPr>
        <w:noProof/>
      </w:rPr>
      <w:pict w14:anchorId="1680B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782" o:spid="_x0000_s2050" type="#_x0000_t136" style="position:absolute;margin-left:0;margin-top:0;width:602.7pt;height:60.25pt;rotation:315;z-index:-25165516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eastAsia="Times New Roman" w:hAnsi="Arial" w:cs="Arial"/>
          <w:sz w:val="18"/>
          <w:szCs w:val="18"/>
          <w:lang w:eastAsia="fr-FR"/>
        </w:rPr>
        <w:id w:val="-2095010393"/>
        <w:docPartObj>
          <w:docPartGallery w:val="Page Numbers (Top of Page)"/>
          <w:docPartUnique/>
        </w:docPartObj>
      </w:sdtPr>
      <w:sdtEndPr/>
      <w:sdtContent>
        <w:r w:rsidR="00FD65D0" w:rsidRPr="00A135FE">
          <w:rPr>
            <w:rFonts w:ascii="Arial" w:eastAsia="Times New Roman" w:hAnsi="Arial" w:cs="Arial"/>
            <w:sz w:val="18"/>
            <w:szCs w:val="18"/>
            <w:lang w:eastAsia="fr-FR"/>
          </w:rPr>
          <w:fldChar w:fldCharType="begin"/>
        </w:r>
        <w:r w:rsidR="00FD65D0" w:rsidRPr="00A135FE">
          <w:rPr>
            <w:rFonts w:ascii="Arial" w:eastAsia="Times New Roman" w:hAnsi="Arial" w:cs="Arial"/>
            <w:sz w:val="18"/>
            <w:szCs w:val="18"/>
            <w:lang w:eastAsia="fr-FR"/>
          </w:rPr>
          <w:instrText>PAGE   \* MERGEFORMAT</w:instrText>
        </w:r>
        <w:r w:rsidR="00FD65D0" w:rsidRPr="00A135FE">
          <w:rPr>
            <w:rFonts w:ascii="Arial" w:eastAsia="Times New Roman" w:hAnsi="Arial" w:cs="Arial"/>
            <w:sz w:val="18"/>
            <w:szCs w:val="18"/>
            <w:lang w:eastAsia="fr-FR"/>
          </w:rPr>
          <w:fldChar w:fldCharType="separate"/>
        </w:r>
        <w:r>
          <w:rPr>
            <w:rFonts w:ascii="Arial" w:eastAsia="Times New Roman" w:hAnsi="Arial" w:cs="Arial"/>
            <w:noProof/>
            <w:sz w:val="18"/>
            <w:szCs w:val="18"/>
            <w:lang w:eastAsia="fr-FR"/>
          </w:rPr>
          <w:t>14</w:t>
        </w:r>
        <w:r w:rsidR="00FD65D0" w:rsidRPr="00A135FE">
          <w:rPr>
            <w:rFonts w:ascii="Arial" w:eastAsia="Times New Roman" w:hAnsi="Arial" w:cs="Arial"/>
            <w:sz w:val="18"/>
            <w:szCs w:val="18"/>
            <w:lang w:eastAsia="fr-FR"/>
          </w:rPr>
          <w:fldChar w:fldCharType="end"/>
        </w:r>
      </w:sdtContent>
    </w:sdt>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57341" w14:textId="1D78A65D" w:rsidR="00FD65D0" w:rsidRPr="00A135FE" w:rsidRDefault="00831075" w:rsidP="00A135FE">
    <w:pPr>
      <w:tabs>
        <w:tab w:val="center" w:pos="4513"/>
        <w:tab w:val="right" w:pos="9026"/>
      </w:tabs>
      <w:overflowPunct w:val="0"/>
      <w:autoSpaceDE w:val="0"/>
      <w:autoSpaceDN w:val="0"/>
      <w:adjustRightInd w:val="0"/>
      <w:spacing w:after="480" w:line="240" w:lineRule="auto"/>
      <w:jc w:val="right"/>
      <w:rPr>
        <w:rFonts w:ascii="Arial" w:eastAsia="Times New Roman" w:hAnsi="Arial" w:cs="Arial"/>
        <w:sz w:val="18"/>
        <w:szCs w:val="18"/>
        <w:lang w:eastAsia="fr-FR"/>
      </w:rPr>
    </w:pPr>
    <w:r>
      <w:rPr>
        <w:noProof/>
      </w:rPr>
      <w:pict w14:anchorId="64AA48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783" o:spid="_x0000_s2051" type="#_x0000_t136" style="position:absolute;left:0;text-align:left;margin-left:0;margin-top:0;width:602.7pt;height:60.25pt;rotation:315;z-index:-25165312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eastAsia="Times New Roman" w:hAnsi="Arial" w:cs="Arial"/>
          <w:sz w:val="18"/>
          <w:szCs w:val="18"/>
          <w:lang w:eastAsia="fr-FR"/>
        </w:rPr>
        <w:id w:val="1419988302"/>
        <w:docPartObj>
          <w:docPartGallery w:val="Page Numbers (Top of Page)"/>
          <w:docPartUnique/>
        </w:docPartObj>
      </w:sdtPr>
      <w:sdtEndPr/>
      <w:sdtContent>
        <w:r w:rsidR="00FD65D0" w:rsidRPr="00A135FE">
          <w:rPr>
            <w:rFonts w:ascii="Arial" w:eastAsia="Times New Roman" w:hAnsi="Arial" w:cs="Arial"/>
            <w:sz w:val="18"/>
            <w:szCs w:val="18"/>
            <w:lang w:eastAsia="fr-FR"/>
          </w:rPr>
          <w:fldChar w:fldCharType="begin"/>
        </w:r>
        <w:r w:rsidR="00FD65D0" w:rsidRPr="00A135FE">
          <w:rPr>
            <w:rFonts w:ascii="Arial" w:eastAsia="Times New Roman" w:hAnsi="Arial" w:cs="Arial"/>
            <w:sz w:val="18"/>
            <w:szCs w:val="18"/>
            <w:lang w:eastAsia="fr-FR"/>
          </w:rPr>
          <w:instrText>PAGE   \* MERGEFORMAT</w:instrText>
        </w:r>
        <w:r w:rsidR="00FD65D0" w:rsidRPr="00A135FE">
          <w:rPr>
            <w:rFonts w:ascii="Arial" w:eastAsia="Times New Roman" w:hAnsi="Arial" w:cs="Arial"/>
            <w:sz w:val="18"/>
            <w:szCs w:val="18"/>
            <w:lang w:eastAsia="fr-FR"/>
          </w:rPr>
          <w:fldChar w:fldCharType="separate"/>
        </w:r>
        <w:r>
          <w:rPr>
            <w:rFonts w:ascii="Arial" w:eastAsia="Times New Roman" w:hAnsi="Arial" w:cs="Arial"/>
            <w:noProof/>
            <w:sz w:val="18"/>
            <w:szCs w:val="18"/>
            <w:lang w:eastAsia="fr-FR"/>
          </w:rPr>
          <w:t>15</w:t>
        </w:r>
        <w:r w:rsidR="00FD65D0" w:rsidRPr="00A135FE">
          <w:rPr>
            <w:rFonts w:ascii="Arial" w:eastAsia="Times New Roman" w:hAnsi="Arial" w:cs="Arial"/>
            <w:sz w:val="18"/>
            <w:szCs w:val="18"/>
            <w:lang w:eastAsia="fr-FR"/>
          </w:rPr>
          <w:fldChar w:fldCharType="end"/>
        </w:r>
      </w:sdtContent>
    </w:sdt>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0FDAC" w14:textId="4FD7E434" w:rsidR="00FD65D0" w:rsidRDefault="00831075" w:rsidP="008270D6">
    <w:pPr>
      <w:pStyle w:val="En-tte"/>
      <w:jc w:val="center"/>
    </w:pPr>
    <w:r>
      <w:rPr>
        <w:noProof/>
      </w:rPr>
      <w:pict w14:anchorId="1ADA9D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781" o:spid="_x0000_s2049" type="#_x0000_t136" style="position:absolute;left:0;text-align:left;margin-left:0;margin-top:0;width:602.7pt;height:60.25pt;rotation:315;z-index:-25165721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Pr>
        <w:rFonts w:cs="Calibri"/>
        <w:noProof/>
        <w:lang w:val="fr-FR" w:eastAsia="fr-FR"/>
      </w:rPr>
      <w:drawing>
        <wp:inline distT="0" distB="0" distL="0" distR="0" wp14:anchorId="55039995" wp14:editId="0627DE8C">
          <wp:extent cx="5762625" cy="819150"/>
          <wp:effectExtent l="0" t="0" r="9525"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0C67C" w14:textId="750215E5" w:rsidR="00FD65D0" w:rsidRDefault="00831075">
    <w:pPr>
      <w:pStyle w:val="En-tte"/>
    </w:pPr>
    <w:r>
      <w:rPr>
        <w:noProof/>
      </w:rPr>
      <w:pict w14:anchorId="525DD6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788" o:spid="_x0000_s2056" type="#_x0000_t136" style="position:absolute;margin-left:0;margin-top:0;width:602.7pt;height:60.25pt;rotation:315;z-index:-25164288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05081" w14:textId="74CD9E35" w:rsidR="00FD65D0" w:rsidRPr="00A135FE" w:rsidRDefault="00831075" w:rsidP="00A135FE">
    <w:pPr>
      <w:tabs>
        <w:tab w:val="center" w:pos="4513"/>
        <w:tab w:val="right" w:pos="9026"/>
      </w:tabs>
      <w:overflowPunct w:val="0"/>
      <w:autoSpaceDE w:val="0"/>
      <w:autoSpaceDN w:val="0"/>
      <w:adjustRightInd w:val="0"/>
      <w:spacing w:after="480" w:line="240" w:lineRule="auto"/>
      <w:jc w:val="right"/>
      <w:rPr>
        <w:rFonts w:ascii="Arial" w:eastAsia="Times New Roman" w:hAnsi="Arial" w:cs="Arial"/>
        <w:sz w:val="18"/>
        <w:szCs w:val="18"/>
        <w:lang w:eastAsia="fr-FR"/>
      </w:rPr>
    </w:pPr>
    <w:r>
      <w:rPr>
        <w:noProof/>
      </w:rPr>
      <w:pict w14:anchorId="364E4C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789" o:spid="_x0000_s2057" type="#_x0000_t136" style="position:absolute;left:0;text-align:left;margin-left:0;margin-top:0;width:602.7pt;height:60.25pt;rotation:315;z-index:-25164083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eastAsia="Times New Roman" w:hAnsi="Arial" w:cs="Arial"/>
          <w:sz w:val="18"/>
          <w:szCs w:val="18"/>
          <w:lang w:eastAsia="fr-FR"/>
        </w:rPr>
        <w:id w:val="1389235486"/>
        <w:docPartObj>
          <w:docPartGallery w:val="Page Numbers (Top of Page)"/>
          <w:docPartUnique/>
        </w:docPartObj>
      </w:sdtPr>
      <w:sdtEndPr/>
      <w:sdtContent>
        <w:r w:rsidR="00FD65D0" w:rsidRPr="00A135FE">
          <w:rPr>
            <w:rFonts w:ascii="Arial" w:eastAsia="Times New Roman" w:hAnsi="Arial" w:cs="Arial"/>
            <w:sz w:val="18"/>
            <w:szCs w:val="18"/>
            <w:lang w:eastAsia="fr-FR"/>
          </w:rPr>
          <w:fldChar w:fldCharType="begin"/>
        </w:r>
        <w:r w:rsidR="00FD65D0" w:rsidRPr="00A135FE">
          <w:rPr>
            <w:rFonts w:ascii="Arial" w:eastAsia="Times New Roman" w:hAnsi="Arial" w:cs="Arial"/>
            <w:sz w:val="18"/>
            <w:szCs w:val="18"/>
            <w:lang w:eastAsia="fr-FR"/>
          </w:rPr>
          <w:instrText>PAGE   \* MERGEFORMAT</w:instrText>
        </w:r>
        <w:r w:rsidR="00FD65D0" w:rsidRPr="00A135FE">
          <w:rPr>
            <w:rFonts w:ascii="Arial" w:eastAsia="Times New Roman" w:hAnsi="Arial" w:cs="Arial"/>
            <w:sz w:val="18"/>
            <w:szCs w:val="18"/>
            <w:lang w:eastAsia="fr-FR"/>
          </w:rPr>
          <w:fldChar w:fldCharType="separate"/>
        </w:r>
        <w:r w:rsidR="00FD65D0">
          <w:rPr>
            <w:rFonts w:ascii="Arial" w:eastAsia="Times New Roman" w:hAnsi="Arial" w:cs="Arial"/>
            <w:noProof/>
            <w:sz w:val="18"/>
            <w:szCs w:val="18"/>
            <w:lang w:eastAsia="fr-FR"/>
          </w:rPr>
          <w:t>29</w:t>
        </w:r>
        <w:r w:rsidR="00FD65D0" w:rsidRPr="00A135FE">
          <w:rPr>
            <w:rFonts w:ascii="Arial" w:eastAsia="Times New Roman" w:hAnsi="Arial" w:cs="Arial"/>
            <w:sz w:val="18"/>
            <w:szCs w:val="18"/>
            <w:lang w:eastAsia="fr-FR"/>
          </w:rPr>
          <w:fldChar w:fldCharType="end"/>
        </w:r>
      </w:sdtContent>
    </w:sdt>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17205" w14:textId="548594CF" w:rsidR="00FD65D0" w:rsidRPr="00A135FE" w:rsidRDefault="00831075" w:rsidP="00E356C7">
    <w:pPr>
      <w:tabs>
        <w:tab w:val="center" w:pos="4513"/>
        <w:tab w:val="right" w:pos="9026"/>
      </w:tabs>
      <w:overflowPunct w:val="0"/>
      <w:autoSpaceDE w:val="0"/>
      <w:autoSpaceDN w:val="0"/>
      <w:adjustRightInd w:val="0"/>
      <w:spacing w:after="480" w:line="240" w:lineRule="auto"/>
      <w:jc w:val="right"/>
      <w:rPr>
        <w:rFonts w:ascii="Arial" w:eastAsia="Times New Roman" w:hAnsi="Arial" w:cs="Arial"/>
        <w:sz w:val="18"/>
        <w:szCs w:val="18"/>
        <w:lang w:eastAsia="fr-FR"/>
      </w:rPr>
    </w:pPr>
    <w:r>
      <w:rPr>
        <w:noProof/>
      </w:rPr>
      <w:pict w14:anchorId="0C545E7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60" type="#_x0000_t136" style="position:absolute;left:0;text-align:left;margin-left:0;margin-top:0;width:602.7pt;height:60.25pt;rotation:315;z-index:-25143193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eastAsia="Times New Roman" w:hAnsi="Arial" w:cs="Arial"/>
          <w:sz w:val="18"/>
          <w:szCs w:val="18"/>
          <w:lang w:eastAsia="fr-FR"/>
        </w:rPr>
        <w:id w:val="930315662"/>
        <w:docPartObj>
          <w:docPartGallery w:val="Page Numbers (Top of Page)"/>
          <w:docPartUnique/>
        </w:docPartObj>
      </w:sdtPr>
      <w:sdtEndPr/>
      <w:sdtContent>
        <w:r w:rsidR="00E356C7" w:rsidRPr="00A135FE">
          <w:rPr>
            <w:rFonts w:ascii="Arial" w:eastAsia="Times New Roman" w:hAnsi="Arial" w:cs="Arial"/>
            <w:sz w:val="18"/>
            <w:szCs w:val="18"/>
            <w:lang w:eastAsia="fr-FR"/>
          </w:rPr>
          <w:fldChar w:fldCharType="begin"/>
        </w:r>
        <w:r w:rsidR="00E356C7" w:rsidRPr="00A135FE">
          <w:rPr>
            <w:rFonts w:ascii="Arial" w:eastAsia="Times New Roman" w:hAnsi="Arial" w:cs="Arial"/>
            <w:sz w:val="18"/>
            <w:szCs w:val="18"/>
            <w:lang w:eastAsia="fr-FR"/>
          </w:rPr>
          <w:instrText>PAGE   \* MERGEFORMAT</w:instrText>
        </w:r>
        <w:r w:rsidR="00E356C7" w:rsidRPr="00A135FE">
          <w:rPr>
            <w:rFonts w:ascii="Arial" w:eastAsia="Times New Roman" w:hAnsi="Arial" w:cs="Arial"/>
            <w:sz w:val="18"/>
            <w:szCs w:val="18"/>
            <w:lang w:eastAsia="fr-FR"/>
          </w:rPr>
          <w:fldChar w:fldCharType="separate"/>
        </w:r>
        <w:r>
          <w:rPr>
            <w:rFonts w:ascii="Arial" w:eastAsia="Times New Roman" w:hAnsi="Arial" w:cs="Arial"/>
            <w:noProof/>
            <w:sz w:val="18"/>
            <w:szCs w:val="18"/>
            <w:lang w:eastAsia="fr-FR"/>
          </w:rPr>
          <w:t>25</w:t>
        </w:r>
        <w:r w:rsidR="00E356C7" w:rsidRPr="00A135FE">
          <w:rPr>
            <w:rFonts w:ascii="Arial" w:eastAsia="Times New Roman" w:hAnsi="Arial" w:cs="Arial"/>
            <w:sz w:val="18"/>
            <w:szCs w:val="18"/>
            <w:lang w:eastAsia="fr-FR"/>
          </w:rPr>
          <w:fldChar w:fldCharType="end"/>
        </w:r>
      </w:sdtContent>
    </w:sdt>
    <w:r>
      <w:rPr>
        <w:noProof/>
      </w:rPr>
      <w:pict w14:anchorId="168D63D8">
        <v:shape id="PowerPlusWaterMarkObject423051787" o:spid="_x0000_s2055" type="#_x0000_t136" style="position:absolute;left:0;text-align:left;margin-left:0;margin-top:0;width:602.7pt;height:60.25pt;rotation:315;z-index:-25164492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DF6E8" w14:textId="45B09A81" w:rsidR="00FD65D0" w:rsidRPr="00A135FE" w:rsidRDefault="00831075" w:rsidP="00A135FE">
    <w:pPr>
      <w:tabs>
        <w:tab w:val="center" w:pos="4513"/>
        <w:tab w:val="right" w:pos="9026"/>
      </w:tabs>
      <w:overflowPunct w:val="0"/>
      <w:autoSpaceDE w:val="0"/>
      <w:autoSpaceDN w:val="0"/>
      <w:adjustRightInd w:val="0"/>
      <w:spacing w:after="480" w:line="240" w:lineRule="auto"/>
      <w:rPr>
        <w:rFonts w:ascii="Arial" w:eastAsia="Times New Roman" w:hAnsi="Arial" w:cs="Arial"/>
        <w:sz w:val="18"/>
        <w:szCs w:val="18"/>
        <w:lang w:eastAsia="fr-FR"/>
      </w:rPr>
    </w:pPr>
    <w:r>
      <w:rPr>
        <w:noProof/>
      </w:rPr>
      <w:pict w14:anchorId="6450DF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791" o:spid="_x0000_s2059" type="#_x0000_t136" style="position:absolute;margin-left:0;margin-top:0;width:602.7pt;height:60.25pt;rotation:315;z-index:-25163673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eastAsia="Times New Roman" w:hAnsi="Arial" w:cs="Arial"/>
          <w:sz w:val="18"/>
          <w:szCs w:val="18"/>
          <w:lang w:eastAsia="fr-FR"/>
        </w:rPr>
        <w:id w:val="2138918140"/>
        <w:docPartObj>
          <w:docPartGallery w:val="Page Numbers (Top of Page)"/>
          <w:docPartUnique/>
        </w:docPartObj>
      </w:sdtPr>
      <w:sdtEndPr/>
      <w:sdtContent>
        <w:r w:rsidR="00FD65D0" w:rsidRPr="00A135FE">
          <w:rPr>
            <w:rFonts w:ascii="Arial" w:eastAsia="Times New Roman" w:hAnsi="Arial" w:cs="Arial"/>
            <w:sz w:val="18"/>
            <w:szCs w:val="18"/>
            <w:lang w:eastAsia="fr-FR"/>
          </w:rPr>
          <w:fldChar w:fldCharType="begin"/>
        </w:r>
        <w:r w:rsidR="00FD65D0" w:rsidRPr="00A135FE">
          <w:rPr>
            <w:rFonts w:ascii="Arial" w:eastAsia="Times New Roman" w:hAnsi="Arial" w:cs="Arial"/>
            <w:sz w:val="18"/>
            <w:szCs w:val="18"/>
            <w:lang w:eastAsia="fr-FR"/>
          </w:rPr>
          <w:instrText>PAGE   \* MERGEFORMAT</w:instrText>
        </w:r>
        <w:r w:rsidR="00FD65D0" w:rsidRPr="00A135FE">
          <w:rPr>
            <w:rFonts w:ascii="Arial" w:eastAsia="Times New Roman" w:hAnsi="Arial" w:cs="Arial"/>
            <w:sz w:val="18"/>
            <w:szCs w:val="18"/>
            <w:lang w:eastAsia="fr-FR"/>
          </w:rPr>
          <w:fldChar w:fldCharType="separate"/>
        </w:r>
        <w:r>
          <w:rPr>
            <w:rFonts w:ascii="Arial" w:eastAsia="Times New Roman" w:hAnsi="Arial" w:cs="Arial"/>
            <w:noProof/>
            <w:sz w:val="18"/>
            <w:szCs w:val="18"/>
            <w:lang w:eastAsia="fr-FR"/>
          </w:rPr>
          <w:t>38</w:t>
        </w:r>
        <w:r w:rsidR="00FD65D0" w:rsidRPr="00A135FE">
          <w:rPr>
            <w:rFonts w:ascii="Arial" w:eastAsia="Times New Roman" w:hAnsi="Arial" w:cs="Arial"/>
            <w:sz w:val="18"/>
            <w:szCs w:val="18"/>
            <w:lang w:eastAsia="fr-FR"/>
          </w:rPr>
          <w:fldChar w:fldCharType="end"/>
        </w:r>
      </w:sdtContent>
    </w:sdt>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58EDF" w14:textId="03CFB1CB" w:rsidR="00FD65D0" w:rsidRPr="001D5EB7" w:rsidRDefault="00831075" w:rsidP="001D5EB7">
    <w:pPr>
      <w:tabs>
        <w:tab w:val="center" w:pos="4513"/>
        <w:tab w:val="right" w:pos="9026"/>
      </w:tabs>
      <w:overflowPunct w:val="0"/>
      <w:autoSpaceDE w:val="0"/>
      <w:autoSpaceDN w:val="0"/>
      <w:adjustRightInd w:val="0"/>
      <w:spacing w:after="480" w:line="240" w:lineRule="auto"/>
      <w:jc w:val="right"/>
      <w:rPr>
        <w:rFonts w:ascii="Arial" w:eastAsia="Times New Roman" w:hAnsi="Arial" w:cs="Arial"/>
        <w:sz w:val="18"/>
        <w:szCs w:val="18"/>
        <w:lang w:eastAsia="fr-FR"/>
      </w:rPr>
    </w:pPr>
    <w:sdt>
      <w:sdtPr>
        <w:rPr>
          <w:rFonts w:ascii="Arial" w:eastAsia="Times New Roman" w:hAnsi="Arial" w:cs="Arial"/>
          <w:sz w:val="18"/>
          <w:szCs w:val="18"/>
          <w:lang w:eastAsia="fr-FR"/>
        </w:rPr>
        <w:id w:val="1408492464"/>
        <w:docPartObj>
          <w:docPartGallery w:val="Page Numbers (Top of Page)"/>
          <w:docPartUnique/>
        </w:docPartObj>
      </w:sdtPr>
      <w:sdtEndPr/>
      <w:sdtContent>
        <w:r w:rsidR="00FD65D0" w:rsidRPr="00A135FE">
          <w:rPr>
            <w:rFonts w:ascii="Arial" w:eastAsia="Times New Roman" w:hAnsi="Arial" w:cs="Arial"/>
            <w:sz w:val="18"/>
            <w:szCs w:val="18"/>
            <w:lang w:eastAsia="fr-FR"/>
          </w:rPr>
          <w:fldChar w:fldCharType="begin"/>
        </w:r>
        <w:r w:rsidR="00FD65D0" w:rsidRPr="00A135FE">
          <w:rPr>
            <w:rFonts w:ascii="Arial" w:eastAsia="Times New Roman" w:hAnsi="Arial" w:cs="Arial"/>
            <w:sz w:val="18"/>
            <w:szCs w:val="18"/>
            <w:lang w:eastAsia="fr-FR"/>
          </w:rPr>
          <w:instrText>PAGE   \* MERGEFORMAT</w:instrText>
        </w:r>
        <w:r w:rsidR="00FD65D0" w:rsidRPr="00A135FE">
          <w:rPr>
            <w:rFonts w:ascii="Arial" w:eastAsia="Times New Roman" w:hAnsi="Arial" w:cs="Arial"/>
            <w:sz w:val="18"/>
            <w:szCs w:val="18"/>
            <w:lang w:eastAsia="fr-FR"/>
          </w:rPr>
          <w:fldChar w:fldCharType="separate"/>
        </w:r>
        <w:r>
          <w:rPr>
            <w:rFonts w:ascii="Arial" w:eastAsia="Times New Roman" w:hAnsi="Arial" w:cs="Arial"/>
            <w:noProof/>
            <w:sz w:val="18"/>
            <w:szCs w:val="18"/>
            <w:lang w:eastAsia="fr-FR"/>
          </w:rPr>
          <w:t>37</w:t>
        </w:r>
        <w:r w:rsidR="00FD65D0" w:rsidRPr="00A135FE">
          <w:rPr>
            <w:rFonts w:ascii="Arial" w:eastAsia="Times New Roman" w:hAnsi="Arial" w:cs="Arial"/>
            <w:sz w:val="18"/>
            <w:szCs w:val="18"/>
            <w:lang w:eastAsia="fr-FR"/>
          </w:rPr>
          <w:fldChar w:fldCharType="end"/>
        </w:r>
      </w:sdtContent>
    </w:sdt>
    <w:r>
      <w:rPr>
        <w:noProof/>
      </w:rPr>
      <w:pict w14:anchorId="393489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792" o:spid="_x0000_s2060" type="#_x0000_t136" style="position:absolute;left:0;text-align:left;margin-left:0;margin-top:0;width:602.7pt;height:60.25pt;rotation:315;z-index:-25163468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FF1BC" w14:textId="6423A977" w:rsidR="00FD65D0" w:rsidRPr="00A135FE" w:rsidRDefault="00831075" w:rsidP="00A135FE">
    <w:pPr>
      <w:tabs>
        <w:tab w:val="center" w:pos="4513"/>
        <w:tab w:val="right" w:pos="9026"/>
      </w:tabs>
      <w:overflowPunct w:val="0"/>
      <w:autoSpaceDE w:val="0"/>
      <w:autoSpaceDN w:val="0"/>
      <w:adjustRightInd w:val="0"/>
      <w:spacing w:after="480" w:line="240" w:lineRule="auto"/>
      <w:jc w:val="right"/>
      <w:rPr>
        <w:rFonts w:ascii="Arial" w:eastAsia="Times New Roman" w:hAnsi="Arial" w:cs="Arial"/>
        <w:sz w:val="18"/>
        <w:szCs w:val="18"/>
        <w:lang w:eastAsia="fr-FR"/>
      </w:rPr>
    </w:pPr>
    <w:r>
      <w:rPr>
        <w:noProof/>
      </w:rPr>
      <w:pict w14:anchorId="2431C05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790" o:spid="_x0000_s2058" type="#_x0000_t136" style="position:absolute;left:0;text-align:left;margin-left:0;margin-top:0;width:602.7pt;height:60.25pt;rotation:315;z-index:-251638784;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eastAsia="Times New Roman" w:hAnsi="Arial" w:cs="Arial"/>
          <w:sz w:val="18"/>
          <w:szCs w:val="18"/>
          <w:lang w:eastAsia="fr-FR"/>
        </w:rPr>
        <w:id w:val="-1524321023"/>
        <w:docPartObj>
          <w:docPartGallery w:val="Page Numbers (Top of Page)"/>
          <w:docPartUnique/>
        </w:docPartObj>
      </w:sdtPr>
      <w:sdtEndPr/>
      <w:sdtContent>
        <w:r w:rsidR="00FD65D0" w:rsidRPr="00A135FE">
          <w:rPr>
            <w:rFonts w:ascii="Arial" w:eastAsia="Times New Roman" w:hAnsi="Arial" w:cs="Arial"/>
            <w:sz w:val="18"/>
            <w:szCs w:val="18"/>
            <w:lang w:eastAsia="fr-FR"/>
          </w:rPr>
          <w:fldChar w:fldCharType="begin"/>
        </w:r>
        <w:r w:rsidR="00FD65D0" w:rsidRPr="00A135FE">
          <w:rPr>
            <w:rFonts w:ascii="Arial" w:eastAsia="Times New Roman" w:hAnsi="Arial" w:cs="Arial"/>
            <w:sz w:val="18"/>
            <w:szCs w:val="18"/>
            <w:lang w:eastAsia="fr-FR"/>
          </w:rPr>
          <w:instrText>PAGE   \* MERGEFORMAT</w:instrText>
        </w:r>
        <w:r w:rsidR="00FD65D0" w:rsidRPr="00A135FE">
          <w:rPr>
            <w:rFonts w:ascii="Arial" w:eastAsia="Times New Roman" w:hAnsi="Arial" w:cs="Arial"/>
            <w:sz w:val="18"/>
            <w:szCs w:val="18"/>
            <w:lang w:eastAsia="fr-FR"/>
          </w:rPr>
          <w:fldChar w:fldCharType="separate"/>
        </w:r>
        <w:r>
          <w:rPr>
            <w:rFonts w:ascii="Arial" w:eastAsia="Times New Roman" w:hAnsi="Arial" w:cs="Arial"/>
            <w:noProof/>
            <w:sz w:val="18"/>
            <w:szCs w:val="18"/>
            <w:lang w:eastAsia="fr-FR"/>
          </w:rPr>
          <w:t>26</w:t>
        </w:r>
        <w:r w:rsidR="00FD65D0" w:rsidRPr="00A135FE">
          <w:rPr>
            <w:rFonts w:ascii="Arial" w:eastAsia="Times New Roman" w:hAnsi="Arial" w:cs="Arial"/>
            <w:sz w:val="18"/>
            <w:szCs w:val="18"/>
            <w:lang w:eastAsia="fr-FR"/>
          </w:rPr>
          <w:fldChar w:fldCharType="end"/>
        </w:r>
      </w:sdtContent>
    </w:sdt>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210B9" w14:textId="2A9EAA4D" w:rsidR="00FD65D0" w:rsidRPr="00796F38" w:rsidRDefault="00831075" w:rsidP="00796F38">
    <w:pPr>
      <w:tabs>
        <w:tab w:val="center" w:pos="4513"/>
        <w:tab w:val="right" w:pos="9026"/>
      </w:tabs>
      <w:overflowPunct w:val="0"/>
      <w:autoSpaceDE w:val="0"/>
      <w:autoSpaceDN w:val="0"/>
      <w:adjustRightInd w:val="0"/>
      <w:spacing w:after="480" w:line="240" w:lineRule="auto"/>
      <w:jc w:val="right"/>
      <w:rPr>
        <w:rFonts w:ascii="Arial" w:eastAsia="Times New Roman" w:hAnsi="Arial" w:cs="Arial"/>
        <w:sz w:val="18"/>
        <w:szCs w:val="18"/>
        <w:lang w:eastAsia="fr-FR"/>
      </w:rPr>
    </w:pPr>
    <w:sdt>
      <w:sdtPr>
        <w:rPr>
          <w:rFonts w:ascii="Arial" w:eastAsia="Times New Roman" w:hAnsi="Arial" w:cs="Arial"/>
          <w:sz w:val="18"/>
          <w:szCs w:val="18"/>
          <w:lang w:eastAsia="fr-FR"/>
        </w:rPr>
        <w:id w:val="-1054775880"/>
        <w:docPartObj>
          <w:docPartGallery w:val="Page Numbers (Top of Page)"/>
          <w:docPartUnique/>
        </w:docPartObj>
      </w:sdtPr>
      <w:sdtEndPr/>
      <w:sdtContent>
        <w:r w:rsidR="00796F38" w:rsidRPr="00A135FE">
          <w:rPr>
            <w:rFonts w:ascii="Arial" w:eastAsia="Times New Roman" w:hAnsi="Arial" w:cs="Arial"/>
            <w:sz w:val="18"/>
            <w:szCs w:val="18"/>
            <w:lang w:eastAsia="fr-FR"/>
          </w:rPr>
          <w:fldChar w:fldCharType="begin"/>
        </w:r>
        <w:r w:rsidR="00796F38" w:rsidRPr="00A135FE">
          <w:rPr>
            <w:rFonts w:ascii="Arial" w:eastAsia="Times New Roman" w:hAnsi="Arial" w:cs="Arial"/>
            <w:sz w:val="18"/>
            <w:szCs w:val="18"/>
            <w:lang w:eastAsia="fr-FR"/>
          </w:rPr>
          <w:instrText>PAGE   \* MERGEFORMAT</w:instrText>
        </w:r>
        <w:r w:rsidR="00796F38" w:rsidRPr="00A135FE">
          <w:rPr>
            <w:rFonts w:ascii="Arial" w:eastAsia="Times New Roman" w:hAnsi="Arial" w:cs="Arial"/>
            <w:sz w:val="18"/>
            <w:szCs w:val="18"/>
            <w:lang w:eastAsia="fr-FR"/>
          </w:rPr>
          <w:fldChar w:fldCharType="separate"/>
        </w:r>
        <w:r>
          <w:rPr>
            <w:rFonts w:ascii="Arial" w:eastAsia="Times New Roman" w:hAnsi="Arial" w:cs="Arial"/>
            <w:noProof/>
            <w:sz w:val="18"/>
            <w:szCs w:val="18"/>
            <w:lang w:eastAsia="fr-FR"/>
          </w:rPr>
          <w:t>42</w:t>
        </w:r>
        <w:r w:rsidR="00796F38" w:rsidRPr="00A135FE">
          <w:rPr>
            <w:rFonts w:ascii="Arial" w:eastAsia="Times New Roman" w:hAnsi="Arial" w:cs="Arial"/>
            <w:sz w:val="18"/>
            <w:szCs w:val="18"/>
            <w:lang w:eastAsia="fr-FR"/>
          </w:rPr>
          <w:fldChar w:fldCharType="end"/>
        </w:r>
      </w:sdtContent>
    </w:sdt>
    <w:r>
      <w:rPr>
        <w:noProof/>
      </w:rPr>
      <w:pict w14:anchorId="5D0695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16" o:spid="_x0000_s2163" type="#_x0000_t136" style="position:absolute;left:0;text-align:left;margin-left:0;margin-top:0;width:602.7pt;height:60.25pt;rotation:315;z-index:-25142579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Pr>
        <w:noProof/>
      </w:rPr>
      <w:pict w14:anchorId="5EC23627">
        <v:shape id="PowerPlusWaterMarkObject423051818" o:spid="_x0000_s2086" type="#_x0000_t136" style="position:absolute;left:0;text-align:left;margin-left:0;margin-top:0;width:602.7pt;height:60.25pt;rotation:315;z-index:-25158144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0EFF" w14:textId="14016A70" w:rsidR="00FD65D0" w:rsidRPr="00A135FE" w:rsidRDefault="00831075" w:rsidP="00886D7F">
    <w:pPr>
      <w:tabs>
        <w:tab w:val="center" w:pos="4513"/>
        <w:tab w:val="right" w:pos="9026"/>
      </w:tabs>
      <w:overflowPunct w:val="0"/>
      <w:autoSpaceDE w:val="0"/>
      <w:autoSpaceDN w:val="0"/>
      <w:adjustRightInd w:val="0"/>
      <w:spacing w:after="480" w:line="240" w:lineRule="auto"/>
      <w:jc w:val="right"/>
      <w:rPr>
        <w:rFonts w:ascii="Arial" w:eastAsia="Times New Roman" w:hAnsi="Arial" w:cs="Arial"/>
        <w:sz w:val="18"/>
        <w:szCs w:val="18"/>
        <w:lang w:eastAsia="fr-FR"/>
      </w:rPr>
    </w:pPr>
    <w:r>
      <w:rPr>
        <w:noProof/>
      </w:rPr>
      <w:pict w14:anchorId="3C0747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19" o:spid="_x0000_s2087" type="#_x0000_t136" style="position:absolute;left:0;text-align:left;margin-left:0;margin-top:0;width:602.7pt;height:60.25pt;rotation:315;z-index:-25157939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eastAsia="Times New Roman" w:hAnsi="Arial" w:cs="Arial"/>
          <w:sz w:val="18"/>
          <w:szCs w:val="18"/>
          <w:lang w:eastAsia="fr-FR"/>
        </w:rPr>
        <w:id w:val="1355992605"/>
        <w:docPartObj>
          <w:docPartGallery w:val="Page Numbers (Top of Page)"/>
          <w:docPartUnique/>
        </w:docPartObj>
      </w:sdtPr>
      <w:sdtEndPr/>
      <w:sdtContent>
        <w:r w:rsidR="00FD65D0" w:rsidRPr="00A135FE">
          <w:rPr>
            <w:rFonts w:ascii="Arial" w:eastAsia="Times New Roman" w:hAnsi="Arial" w:cs="Arial"/>
            <w:sz w:val="18"/>
            <w:szCs w:val="18"/>
            <w:lang w:eastAsia="fr-FR"/>
          </w:rPr>
          <w:fldChar w:fldCharType="begin"/>
        </w:r>
        <w:r w:rsidR="00FD65D0" w:rsidRPr="00A135FE">
          <w:rPr>
            <w:rFonts w:ascii="Arial" w:eastAsia="Times New Roman" w:hAnsi="Arial" w:cs="Arial"/>
            <w:sz w:val="18"/>
            <w:szCs w:val="18"/>
            <w:lang w:eastAsia="fr-FR"/>
          </w:rPr>
          <w:instrText>PAGE   \* MERGEFORMAT</w:instrText>
        </w:r>
        <w:r w:rsidR="00FD65D0" w:rsidRPr="00A135FE">
          <w:rPr>
            <w:rFonts w:ascii="Arial" w:eastAsia="Times New Roman" w:hAnsi="Arial" w:cs="Arial"/>
            <w:sz w:val="18"/>
            <w:szCs w:val="18"/>
            <w:lang w:eastAsia="fr-FR"/>
          </w:rPr>
          <w:fldChar w:fldCharType="separate"/>
        </w:r>
        <w:r>
          <w:rPr>
            <w:rFonts w:ascii="Arial" w:eastAsia="Times New Roman" w:hAnsi="Arial" w:cs="Arial"/>
            <w:noProof/>
            <w:sz w:val="18"/>
            <w:szCs w:val="18"/>
            <w:lang w:eastAsia="fr-FR"/>
          </w:rPr>
          <w:t>49</w:t>
        </w:r>
        <w:r w:rsidR="00FD65D0" w:rsidRPr="00A135FE">
          <w:rPr>
            <w:rFonts w:ascii="Arial" w:eastAsia="Times New Roman" w:hAnsi="Arial" w:cs="Arial"/>
            <w:sz w:val="18"/>
            <w:szCs w:val="18"/>
            <w:lang w:eastAsia="fr-FR"/>
          </w:rPr>
          <w:fldChar w:fldCharType="end"/>
        </w:r>
      </w:sdtContent>
    </w:sdt>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23893" w14:textId="1D3E38DF" w:rsidR="00FD65D0" w:rsidRDefault="00831075">
    <w:pPr>
      <w:pStyle w:val="En-tte"/>
    </w:pPr>
    <w:r>
      <w:rPr>
        <w:noProof/>
      </w:rPr>
      <w:pict w14:anchorId="38F154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17" o:spid="_x0000_s2085" type="#_x0000_t136" style="position:absolute;margin-left:0;margin-top:0;width:602.7pt;height:60.25pt;rotation:315;z-index:-25158348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DDFC3" w14:textId="54957FE7" w:rsidR="00796F38" w:rsidRPr="00796F38" w:rsidRDefault="00831075" w:rsidP="00796F38">
    <w:pPr>
      <w:tabs>
        <w:tab w:val="center" w:pos="4513"/>
        <w:tab w:val="right" w:pos="9026"/>
      </w:tabs>
      <w:overflowPunct w:val="0"/>
      <w:autoSpaceDE w:val="0"/>
      <w:autoSpaceDN w:val="0"/>
      <w:adjustRightInd w:val="0"/>
      <w:spacing w:after="480" w:line="240" w:lineRule="auto"/>
      <w:rPr>
        <w:rFonts w:ascii="Arial" w:eastAsia="Times New Roman" w:hAnsi="Arial" w:cs="Arial"/>
        <w:sz w:val="18"/>
        <w:szCs w:val="18"/>
        <w:lang w:eastAsia="fr-FR"/>
      </w:rPr>
    </w:pPr>
    <w:sdt>
      <w:sdtPr>
        <w:rPr>
          <w:rFonts w:ascii="Arial" w:eastAsia="Times New Roman" w:hAnsi="Arial" w:cs="Arial"/>
          <w:sz w:val="18"/>
          <w:szCs w:val="18"/>
          <w:lang w:eastAsia="fr-FR"/>
        </w:rPr>
        <w:id w:val="1385063016"/>
        <w:docPartObj>
          <w:docPartGallery w:val="Page Numbers (Top of Page)"/>
          <w:docPartUnique/>
        </w:docPartObj>
      </w:sdtPr>
      <w:sdtEndPr/>
      <w:sdtContent>
        <w:r w:rsidR="00796F38" w:rsidRPr="00A135FE">
          <w:rPr>
            <w:rFonts w:ascii="Arial" w:eastAsia="Times New Roman" w:hAnsi="Arial" w:cs="Arial"/>
            <w:sz w:val="18"/>
            <w:szCs w:val="18"/>
            <w:lang w:eastAsia="fr-FR"/>
          </w:rPr>
          <w:fldChar w:fldCharType="begin"/>
        </w:r>
        <w:r w:rsidR="00796F38" w:rsidRPr="00A135FE">
          <w:rPr>
            <w:rFonts w:ascii="Arial" w:eastAsia="Times New Roman" w:hAnsi="Arial" w:cs="Arial"/>
            <w:sz w:val="18"/>
            <w:szCs w:val="18"/>
            <w:lang w:eastAsia="fr-FR"/>
          </w:rPr>
          <w:instrText>PAGE   \* MERGEFORMAT</w:instrText>
        </w:r>
        <w:r w:rsidR="00796F38" w:rsidRPr="00A135FE">
          <w:rPr>
            <w:rFonts w:ascii="Arial" w:eastAsia="Times New Roman" w:hAnsi="Arial" w:cs="Arial"/>
            <w:sz w:val="18"/>
            <w:szCs w:val="18"/>
            <w:lang w:eastAsia="fr-FR"/>
          </w:rPr>
          <w:fldChar w:fldCharType="separate"/>
        </w:r>
        <w:r>
          <w:rPr>
            <w:rFonts w:ascii="Arial" w:eastAsia="Times New Roman" w:hAnsi="Arial" w:cs="Arial"/>
            <w:noProof/>
            <w:sz w:val="18"/>
            <w:szCs w:val="18"/>
            <w:lang w:eastAsia="fr-FR"/>
          </w:rPr>
          <w:t>48</w:t>
        </w:r>
        <w:r w:rsidR="00796F38" w:rsidRPr="00A135FE">
          <w:rPr>
            <w:rFonts w:ascii="Arial" w:eastAsia="Times New Roman" w:hAnsi="Arial" w:cs="Arial"/>
            <w:sz w:val="18"/>
            <w:szCs w:val="18"/>
            <w:lang w:eastAsia="fr-FR"/>
          </w:rPr>
          <w:fldChar w:fldCharType="end"/>
        </w:r>
      </w:sdtContent>
    </w:sdt>
    <w:r>
      <w:rPr>
        <w:noProof/>
      </w:rPr>
      <w:pict w14:anchorId="28D1AA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65" type="#_x0000_t136" style="position:absolute;margin-left:0;margin-top:0;width:602.7pt;height:60.25pt;rotation:315;z-index:-25142272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Pr>
        <w:noProof/>
      </w:rPr>
      <w:pict w14:anchorId="0E929ABF">
        <v:shape id="_x0000_s2164" type="#_x0000_t136" style="position:absolute;margin-left:0;margin-top:0;width:602.7pt;height:60.25pt;rotation:315;z-index:-251423744;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66482" w14:textId="6AB29A6A" w:rsidR="00FD65D0" w:rsidRPr="000760A9" w:rsidRDefault="00831075" w:rsidP="000760A9">
    <w:pPr>
      <w:tabs>
        <w:tab w:val="center" w:pos="4513"/>
        <w:tab w:val="right" w:pos="9026"/>
      </w:tabs>
      <w:overflowPunct w:val="0"/>
      <w:autoSpaceDE w:val="0"/>
      <w:autoSpaceDN w:val="0"/>
      <w:adjustRightInd w:val="0"/>
      <w:spacing w:after="480" w:line="240" w:lineRule="auto"/>
      <w:rPr>
        <w:rFonts w:ascii="Arial" w:eastAsia="Times New Roman" w:hAnsi="Arial" w:cs="Arial"/>
        <w:sz w:val="18"/>
        <w:szCs w:val="18"/>
        <w:lang w:eastAsia="fr-FR"/>
      </w:rPr>
    </w:pPr>
    <w:r>
      <w:rPr>
        <w:noProof/>
      </w:rPr>
      <w:pict w14:anchorId="39754F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21" o:spid="_x0000_s2089" type="#_x0000_t136" style="position:absolute;margin-left:0;margin-top:0;width:602.7pt;height:60.25pt;rotation:315;z-index:-25157529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eastAsia="Times New Roman" w:hAnsi="Arial" w:cs="Arial"/>
          <w:sz w:val="18"/>
          <w:szCs w:val="18"/>
          <w:lang w:eastAsia="fr-FR"/>
        </w:rPr>
        <w:id w:val="-1325655217"/>
        <w:docPartObj>
          <w:docPartGallery w:val="Page Numbers (Top of Page)"/>
          <w:docPartUnique/>
        </w:docPartObj>
      </w:sdtPr>
      <w:sdtEndPr/>
      <w:sdtContent>
        <w:r w:rsidR="00FD65D0" w:rsidRPr="00A135FE">
          <w:rPr>
            <w:rFonts w:ascii="Arial" w:eastAsia="Times New Roman" w:hAnsi="Arial" w:cs="Arial"/>
            <w:sz w:val="18"/>
            <w:szCs w:val="18"/>
            <w:lang w:eastAsia="fr-FR"/>
          </w:rPr>
          <w:fldChar w:fldCharType="begin"/>
        </w:r>
        <w:r w:rsidR="00FD65D0" w:rsidRPr="00A135FE">
          <w:rPr>
            <w:rFonts w:ascii="Arial" w:eastAsia="Times New Roman" w:hAnsi="Arial" w:cs="Arial"/>
            <w:sz w:val="18"/>
            <w:szCs w:val="18"/>
            <w:lang w:eastAsia="fr-FR"/>
          </w:rPr>
          <w:instrText>PAGE   \* MERGEFORMAT</w:instrText>
        </w:r>
        <w:r w:rsidR="00FD65D0" w:rsidRPr="00A135FE">
          <w:rPr>
            <w:rFonts w:ascii="Arial" w:eastAsia="Times New Roman" w:hAnsi="Arial" w:cs="Arial"/>
            <w:sz w:val="18"/>
            <w:szCs w:val="18"/>
            <w:lang w:eastAsia="fr-FR"/>
          </w:rPr>
          <w:fldChar w:fldCharType="separate"/>
        </w:r>
        <w:r>
          <w:rPr>
            <w:rFonts w:ascii="Arial" w:eastAsia="Times New Roman" w:hAnsi="Arial" w:cs="Arial"/>
            <w:noProof/>
            <w:sz w:val="18"/>
            <w:szCs w:val="18"/>
            <w:lang w:eastAsia="fr-FR"/>
          </w:rPr>
          <w:t>54</w:t>
        </w:r>
        <w:r w:rsidR="00FD65D0" w:rsidRPr="00A135FE">
          <w:rPr>
            <w:rFonts w:ascii="Arial" w:eastAsia="Times New Roman" w:hAnsi="Arial" w:cs="Arial"/>
            <w:sz w:val="18"/>
            <w:szCs w:val="18"/>
            <w:lang w:eastAsia="fr-FR"/>
          </w:rPr>
          <w:fldChar w:fldCharType="end"/>
        </w:r>
      </w:sdtContent>
    </w:sdt>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53CB5" w14:textId="0143E31C" w:rsidR="00FD65D0" w:rsidRPr="00A135FE" w:rsidRDefault="00831075" w:rsidP="00886D7F">
    <w:pPr>
      <w:tabs>
        <w:tab w:val="center" w:pos="4513"/>
        <w:tab w:val="right" w:pos="9026"/>
      </w:tabs>
      <w:overflowPunct w:val="0"/>
      <w:autoSpaceDE w:val="0"/>
      <w:autoSpaceDN w:val="0"/>
      <w:adjustRightInd w:val="0"/>
      <w:spacing w:after="480" w:line="240" w:lineRule="auto"/>
      <w:jc w:val="right"/>
      <w:rPr>
        <w:rFonts w:ascii="Arial" w:eastAsia="Times New Roman" w:hAnsi="Arial" w:cs="Arial"/>
        <w:sz w:val="18"/>
        <w:szCs w:val="18"/>
        <w:lang w:eastAsia="fr-FR"/>
      </w:rPr>
    </w:pPr>
    <w:r>
      <w:rPr>
        <w:noProof/>
      </w:rPr>
      <w:pict w14:anchorId="1A0E1C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22" o:spid="_x0000_s2090" type="#_x0000_t136" style="position:absolute;left:0;text-align:left;margin-left:0;margin-top:0;width:602.7pt;height:60.25pt;rotation:315;z-index:-25157324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eastAsia="Times New Roman" w:hAnsi="Arial" w:cs="Arial"/>
          <w:sz w:val="18"/>
          <w:szCs w:val="18"/>
          <w:lang w:eastAsia="fr-FR"/>
        </w:rPr>
        <w:id w:val="651944309"/>
        <w:docPartObj>
          <w:docPartGallery w:val="Page Numbers (Top of Page)"/>
          <w:docPartUnique/>
        </w:docPartObj>
      </w:sdtPr>
      <w:sdtEndPr/>
      <w:sdtContent>
        <w:r w:rsidR="00FD65D0" w:rsidRPr="00A135FE">
          <w:rPr>
            <w:rFonts w:ascii="Arial" w:eastAsia="Times New Roman" w:hAnsi="Arial" w:cs="Arial"/>
            <w:sz w:val="18"/>
            <w:szCs w:val="18"/>
            <w:lang w:eastAsia="fr-FR"/>
          </w:rPr>
          <w:fldChar w:fldCharType="begin"/>
        </w:r>
        <w:r w:rsidR="00FD65D0" w:rsidRPr="00A135FE">
          <w:rPr>
            <w:rFonts w:ascii="Arial" w:eastAsia="Times New Roman" w:hAnsi="Arial" w:cs="Arial"/>
            <w:sz w:val="18"/>
            <w:szCs w:val="18"/>
            <w:lang w:eastAsia="fr-FR"/>
          </w:rPr>
          <w:instrText>PAGE   \* MERGEFORMAT</w:instrText>
        </w:r>
        <w:r w:rsidR="00FD65D0" w:rsidRPr="00A135FE">
          <w:rPr>
            <w:rFonts w:ascii="Arial" w:eastAsia="Times New Roman" w:hAnsi="Arial" w:cs="Arial"/>
            <w:sz w:val="18"/>
            <w:szCs w:val="18"/>
            <w:lang w:eastAsia="fr-FR"/>
          </w:rPr>
          <w:fldChar w:fldCharType="separate"/>
        </w:r>
        <w:r>
          <w:rPr>
            <w:rFonts w:ascii="Arial" w:eastAsia="Times New Roman" w:hAnsi="Arial" w:cs="Arial"/>
            <w:noProof/>
            <w:sz w:val="18"/>
            <w:szCs w:val="18"/>
            <w:lang w:eastAsia="fr-FR"/>
          </w:rPr>
          <w:t>53</w:t>
        </w:r>
        <w:r w:rsidR="00FD65D0" w:rsidRPr="00A135FE">
          <w:rPr>
            <w:rFonts w:ascii="Arial" w:eastAsia="Times New Roman" w:hAnsi="Arial" w:cs="Arial"/>
            <w:sz w:val="18"/>
            <w:szCs w:val="18"/>
            <w:lang w:eastAsia="fr-FR"/>
          </w:rPr>
          <w:fldChar w:fldCharType="end"/>
        </w:r>
      </w:sdtContent>
    </w:sdt>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57558" w14:textId="0C9A6029" w:rsidR="00FD65D0" w:rsidRDefault="00831075">
    <w:pPr>
      <w:pStyle w:val="En-tte"/>
    </w:pPr>
    <w:r>
      <w:rPr>
        <w:noProof/>
      </w:rPr>
      <w:pict w14:anchorId="5D61D0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20" o:spid="_x0000_s2088" type="#_x0000_t136" style="position:absolute;margin-left:0;margin-top:0;width:602.7pt;height:60.25pt;rotation:315;z-index:-251577344;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65ED1" w14:textId="5CA710A8" w:rsidR="00FD65D0" w:rsidRPr="00DB0A8D" w:rsidRDefault="00831075" w:rsidP="00DB0A8D">
    <w:pPr>
      <w:tabs>
        <w:tab w:val="center" w:pos="4513"/>
        <w:tab w:val="right" w:pos="9026"/>
      </w:tabs>
      <w:overflowPunct w:val="0"/>
      <w:autoSpaceDE w:val="0"/>
      <w:autoSpaceDN w:val="0"/>
      <w:adjustRightInd w:val="0"/>
      <w:spacing w:after="480" w:line="240" w:lineRule="auto"/>
      <w:rPr>
        <w:rFonts w:ascii="Arial" w:eastAsia="Times New Roman" w:hAnsi="Arial" w:cs="Arial"/>
        <w:sz w:val="18"/>
        <w:szCs w:val="18"/>
        <w:lang w:eastAsia="fr-FR"/>
      </w:rPr>
    </w:pPr>
    <w:r>
      <w:rPr>
        <w:noProof/>
      </w:rPr>
      <w:pict w14:anchorId="13B185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24" o:spid="_x0000_s2092" type="#_x0000_t136" style="position:absolute;margin-left:0;margin-top:0;width:602.7pt;height:60.25pt;rotation:315;z-index:-25156915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eastAsia="Times New Roman" w:hAnsi="Arial" w:cs="Arial"/>
          <w:sz w:val="18"/>
          <w:szCs w:val="18"/>
          <w:lang w:eastAsia="fr-FR"/>
        </w:rPr>
        <w:id w:val="-1196540647"/>
        <w:docPartObj>
          <w:docPartGallery w:val="Page Numbers (Top of Page)"/>
          <w:docPartUnique/>
        </w:docPartObj>
      </w:sdtPr>
      <w:sdtEndPr/>
      <w:sdtContent>
        <w:r w:rsidR="00FD65D0" w:rsidRPr="00A135FE">
          <w:rPr>
            <w:rFonts w:ascii="Arial" w:eastAsia="Times New Roman" w:hAnsi="Arial" w:cs="Arial"/>
            <w:sz w:val="18"/>
            <w:szCs w:val="18"/>
            <w:lang w:eastAsia="fr-FR"/>
          </w:rPr>
          <w:fldChar w:fldCharType="begin"/>
        </w:r>
        <w:r w:rsidR="00FD65D0" w:rsidRPr="00A135FE">
          <w:rPr>
            <w:rFonts w:ascii="Arial" w:eastAsia="Times New Roman" w:hAnsi="Arial" w:cs="Arial"/>
            <w:sz w:val="18"/>
            <w:szCs w:val="18"/>
            <w:lang w:eastAsia="fr-FR"/>
          </w:rPr>
          <w:instrText>PAGE   \* MERGEFORMAT</w:instrText>
        </w:r>
        <w:r w:rsidR="00FD65D0" w:rsidRPr="00A135FE">
          <w:rPr>
            <w:rFonts w:ascii="Arial" w:eastAsia="Times New Roman" w:hAnsi="Arial" w:cs="Arial"/>
            <w:sz w:val="18"/>
            <w:szCs w:val="18"/>
            <w:lang w:eastAsia="fr-FR"/>
          </w:rPr>
          <w:fldChar w:fldCharType="separate"/>
        </w:r>
        <w:r>
          <w:rPr>
            <w:rFonts w:ascii="Arial" w:eastAsia="Times New Roman" w:hAnsi="Arial" w:cs="Arial"/>
            <w:noProof/>
            <w:sz w:val="18"/>
            <w:szCs w:val="18"/>
            <w:lang w:eastAsia="fr-FR"/>
          </w:rPr>
          <w:t>60</w:t>
        </w:r>
        <w:r w:rsidR="00FD65D0" w:rsidRPr="00A135FE">
          <w:rPr>
            <w:rFonts w:ascii="Arial" w:eastAsia="Times New Roman" w:hAnsi="Arial" w:cs="Arial"/>
            <w:sz w:val="18"/>
            <w:szCs w:val="18"/>
            <w:lang w:eastAsia="fr-FR"/>
          </w:rPr>
          <w:fldChar w:fldCharType="end"/>
        </w:r>
      </w:sdtContent>
    </w:sdt>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62CF0" w14:textId="24004DA0" w:rsidR="00FD65D0" w:rsidRPr="00DB0A8D" w:rsidRDefault="00831075" w:rsidP="00DB0A8D">
    <w:pPr>
      <w:tabs>
        <w:tab w:val="center" w:pos="4513"/>
        <w:tab w:val="right" w:pos="9026"/>
      </w:tabs>
      <w:overflowPunct w:val="0"/>
      <w:autoSpaceDE w:val="0"/>
      <w:autoSpaceDN w:val="0"/>
      <w:adjustRightInd w:val="0"/>
      <w:spacing w:after="480" w:line="240" w:lineRule="auto"/>
      <w:jc w:val="right"/>
      <w:rPr>
        <w:rFonts w:ascii="Arial" w:eastAsia="Times New Roman" w:hAnsi="Arial" w:cs="Arial"/>
        <w:sz w:val="18"/>
        <w:szCs w:val="18"/>
        <w:lang w:eastAsia="fr-FR"/>
      </w:rPr>
    </w:pPr>
    <w:r>
      <w:rPr>
        <w:noProof/>
      </w:rPr>
      <w:pict w14:anchorId="424AB63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25" o:spid="_x0000_s2093" type="#_x0000_t136" style="position:absolute;left:0;text-align:left;margin-left:0;margin-top:0;width:602.7pt;height:60.25pt;rotation:315;z-index:-251567104;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eastAsia="Times New Roman" w:hAnsi="Arial" w:cs="Arial"/>
          <w:sz w:val="18"/>
          <w:szCs w:val="18"/>
          <w:lang w:eastAsia="fr-FR"/>
        </w:rPr>
        <w:id w:val="980509995"/>
        <w:docPartObj>
          <w:docPartGallery w:val="Page Numbers (Top of Page)"/>
          <w:docPartUnique/>
        </w:docPartObj>
      </w:sdtPr>
      <w:sdtEndPr/>
      <w:sdtContent>
        <w:r w:rsidR="00FD65D0" w:rsidRPr="00A135FE">
          <w:rPr>
            <w:rFonts w:ascii="Arial" w:eastAsia="Times New Roman" w:hAnsi="Arial" w:cs="Arial"/>
            <w:sz w:val="18"/>
            <w:szCs w:val="18"/>
            <w:lang w:eastAsia="fr-FR"/>
          </w:rPr>
          <w:fldChar w:fldCharType="begin"/>
        </w:r>
        <w:r w:rsidR="00FD65D0" w:rsidRPr="00A135FE">
          <w:rPr>
            <w:rFonts w:ascii="Arial" w:eastAsia="Times New Roman" w:hAnsi="Arial" w:cs="Arial"/>
            <w:sz w:val="18"/>
            <w:szCs w:val="18"/>
            <w:lang w:eastAsia="fr-FR"/>
          </w:rPr>
          <w:instrText>PAGE   \* MERGEFORMAT</w:instrText>
        </w:r>
        <w:r w:rsidR="00FD65D0" w:rsidRPr="00A135FE">
          <w:rPr>
            <w:rFonts w:ascii="Arial" w:eastAsia="Times New Roman" w:hAnsi="Arial" w:cs="Arial"/>
            <w:sz w:val="18"/>
            <w:szCs w:val="18"/>
            <w:lang w:eastAsia="fr-FR"/>
          </w:rPr>
          <w:fldChar w:fldCharType="separate"/>
        </w:r>
        <w:r>
          <w:rPr>
            <w:rFonts w:ascii="Arial" w:eastAsia="Times New Roman" w:hAnsi="Arial" w:cs="Arial"/>
            <w:noProof/>
            <w:sz w:val="18"/>
            <w:szCs w:val="18"/>
            <w:lang w:eastAsia="fr-FR"/>
          </w:rPr>
          <w:t>61</w:t>
        </w:r>
        <w:r w:rsidR="00FD65D0" w:rsidRPr="00A135FE">
          <w:rPr>
            <w:rFonts w:ascii="Arial" w:eastAsia="Times New Roman" w:hAnsi="Arial" w:cs="Arial"/>
            <w:sz w:val="18"/>
            <w:szCs w:val="18"/>
            <w:lang w:eastAsia="fr-FR"/>
          </w:rPr>
          <w:fldChar w:fldCharType="end"/>
        </w:r>
      </w:sdtContent>
    </w:sdt>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7DB69" w14:textId="5D8E312E" w:rsidR="00FD65D0" w:rsidRPr="001D5EB7" w:rsidRDefault="00831075" w:rsidP="001D5EB7">
    <w:pPr>
      <w:tabs>
        <w:tab w:val="center" w:pos="4513"/>
        <w:tab w:val="right" w:pos="9026"/>
      </w:tabs>
      <w:overflowPunct w:val="0"/>
      <w:autoSpaceDE w:val="0"/>
      <w:autoSpaceDN w:val="0"/>
      <w:adjustRightInd w:val="0"/>
      <w:spacing w:after="480" w:line="240" w:lineRule="auto"/>
      <w:jc w:val="right"/>
      <w:rPr>
        <w:rFonts w:ascii="Arial" w:eastAsia="Times New Roman" w:hAnsi="Arial" w:cs="Arial"/>
        <w:sz w:val="18"/>
        <w:szCs w:val="18"/>
        <w:lang w:eastAsia="fr-FR"/>
      </w:rPr>
    </w:pPr>
    <w:r>
      <w:rPr>
        <w:noProof/>
      </w:rPr>
      <w:pict w14:anchorId="32C638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23" o:spid="_x0000_s2091" type="#_x0000_t136" style="position:absolute;left:0;text-align:left;margin-left:0;margin-top:0;width:602.7pt;height:60.25pt;rotation:315;z-index:-25157120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eastAsia="Times New Roman" w:hAnsi="Arial" w:cs="Arial"/>
          <w:sz w:val="18"/>
          <w:szCs w:val="18"/>
          <w:lang w:eastAsia="fr-FR"/>
        </w:rPr>
        <w:id w:val="2006713853"/>
        <w:docPartObj>
          <w:docPartGallery w:val="Page Numbers (Top of Page)"/>
          <w:docPartUnique/>
        </w:docPartObj>
      </w:sdtPr>
      <w:sdtEndPr/>
      <w:sdtContent>
        <w:r w:rsidR="00FD65D0" w:rsidRPr="00A135FE">
          <w:rPr>
            <w:rFonts w:ascii="Arial" w:eastAsia="Times New Roman" w:hAnsi="Arial" w:cs="Arial"/>
            <w:sz w:val="18"/>
            <w:szCs w:val="18"/>
            <w:lang w:eastAsia="fr-FR"/>
          </w:rPr>
          <w:fldChar w:fldCharType="begin"/>
        </w:r>
        <w:r w:rsidR="00FD65D0" w:rsidRPr="00A135FE">
          <w:rPr>
            <w:rFonts w:ascii="Arial" w:eastAsia="Times New Roman" w:hAnsi="Arial" w:cs="Arial"/>
            <w:sz w:val="18"/>
            <w:szCs w:val="18"/>
            <w:lang w:eastAsia="fr-FR"/>
          </w:rPr>
          <w:instrText>PAGE   \* MERGEFORMAT</w:instrText>
        </w:r>
        <w:r w:rsidR="00FD65D0" w:rsidRPr="00A135FE">
          <w:rPr>
            <w:rFonts w:ascii="Arial" w:eastAsia="Times New Roman" w:hAnsi="Arial" w:cs="Arial"/>
            <w:sz w:val="18"/>
            <w:szCs w:val="18"/>
            <w:lang w:eastAsia="fr-FR"/>
          </w:rPr>
          <w:fldChar w:fldCharType="separate"/>
        </w:r>
        <w:r>
          <w:rPr>
            <w:rFonts w:ascii="Arial" w:eastAsia="Times New Roman" w:hAnsi="Arial" w:cs="Arial"/>
            <w:noProof/>
            <w:sz w:val="18"/>
            <w:szCs w:val="18"/>
            <w:lang w:eastAsia="fr-FR"/>
          </w:rPr>
          <w:t>59</w:t>
        </w:r>
        <w:r w:rsidR="00FD65D0" w:rsidRPr="00A135FE">
          <w:rPr>
            <w:rFonts w:ascii="Arial" w:eastAsia="Times New Roman" w:hAnsi="Arial" w:cs="Arial"/>
            <w:sz w:val="18"/>
            <w:szCs w:val="18"/>
            <w:lang w:eastAsia="fr-FR"/>
          </w:rPr>
          <w:fldChar w:fldCharType="end"/>
        </w:r>
      </w:sdtContent>
    </w:sdt>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54D3D" w14:textId="3DB83E67" w:rsidR="00FD65D0" w:rsidRPr="00754D87" w:rsidRDefault="00831075" w:rsidP="00754D87">
    <w:pPr>
      <w:pStyle w:val="En-tte"/>
    </w:pPr>
    <w:r>
      <w:rPr>
        <w:noProof/>
      </w:rPr>
      <w:pict w14:anchorId="1D46BC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27" o:spid="_x0000_s2095" type="#_x0000_t136" style="position:absolute;margin-left:0;margin-top:0;width:602.7pt;height:60.25pt;rotation:315;z-index:-25156300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17F6D" w14:textId="28C073AF" w:rsidR="00FD65D0" w:rsidRPr="00E65E42" w:rsidRDefault="00831075" w:rsidP="00800B4D">
    <w:pPr>
      <w:pStyle w:val="En-tte"/>
      <w:tabs>
        <w:tab w:val="clear" w:pos="4536"/>
        <w:tab w:val="clear" w:pos="9072"/>
        <w:tab w:val="left" w:pos="6311"/>
      </w:tabs>
      <w:jc w:val="right"/>
    </w:pPr>
    <w:r>
      <w:rPr>
        <w:noProof/>
      </w:rPr>
      <w:pict w14:anchorId="1E6877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28" o:spid="_x0000_s2096" type="#_x0000_t136" style="position:absolute;left:0;text-align:left;margin-left:0;margin-top:0;width:602.7pt;height:60.25pt;rotation:315;z-index:-25156096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tab/>
      <w:t>Annex 11 (contd)</w:t>
    </w: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8D9B3" w14:textId="3A8D2083" w:rsidR="00FD65D0" w:rsidRPr="004108B6" w:rsidRDefault="00831075" w:rsidP="004108B6">
    <w:pPr>
      <w:tabs>
        <w:tab w:val="center" w:pos="4513"/>
        <w:tab w:val="right" w:pos="9026"/>
      </w:tabs>
      <w:overflowPunct w:val="0"/>
      <w:autoSpaceDE w:val="0"/>
      <w:autoSpaceDN w:val="0"/>
      <w:adjustRightInd w:val="0"/>
      <w:spacing w:after="480" w:line="240" w:lineRule="auto"/>
      <w:jc w:val="right"/>
      <w:rPr>
        <w:rFonts w:ascii="Arial" w:eastAsia="Times New Roman" w:hAnsi="Arial" w:cs="Arial"/>
        <w:sz w:val="18"/>
        <w:szCs w:val="18"/>
        <w:lang w:eastAsia="fr-FR"/>
      </w:rPr>
    </w:pPr>
    <w:r>
      <w:rPr>
        <w:noProof/>
      </w:rPr>
      <w:pict w14:anchorId="0E8993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26" o:spid="_x0000_s2094" type="#_x0000_t136" style="position:absolute;left:0;text-align:left;margin-left:0;margin-top:0;width:602.7pt;height:60.25pt;rotation:315;z-index:-25156505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eastAsia="Times New Roman" w:hAnsi="Arial" w:cs="Arial"/>
          <w:sz w:val="18"/>
          <w:szCs w:val="18"/>
          <w:lang w:eastAsia="fr-FR"/>
        </w:rPr>
        <w:id w:val="26303298"/>
        <w:docPartObj>
          <w:docPartGallery w:val="Page Numbers (Top of Page)"/>
          <w:docPartUnique/>
        </w:docPartObj>
      </w:sdtPr>
      <w:sdtEndPr/>
      <w:sdtContent>
        <w:r w:rsidR="00FD65D0" w:rsidRPr="00A135FE">
          <w:rPr>
            <w:rFonts w:ascii="Arial" w:eastAsia="Times New Roman" w:hAnsi="Arial" w:cs="Arial"/>
            <w:sz w:val="18"/>
            <w:szCs w:val="18"/>
            <w:lang w:eastAsia="fr-FR"/>
          </w:rPr>
          <w:fldChar w:fldCharType="begin"/>
        </w:r>
        <w:r w:rsidR="00FD65D0" w:rsidRPr="00A135FE">
          <w:rPr>
            <w:rFonts w:ascii="Arial" w:eastAsia="Times New Roman" w:hAnsi="Arial" w:cs="Arial"/>
            <w:sz w:val="18"/>
            <w:szCs w:val="18"/>
            <w:lang w:eastAsia="fr-FR"/>
          </w:rPr>
          <w:instrText>PAGE   \* MERGEFORMAT</w:instrText>
        </w:r>
        <w:r w:rsidR="00FD65D0" w:rsidRPr="00A135FE">
          <w:rPr>
            <w:rFonts w:ascii="Arial" w:eastAsia="Times New Roman" w:hAnsi="Arial" w:cs="Arial"/>
            <w:sz w:val="18"/>
            <w:szCs w:val="18"/>
            <w:lang w:eastAsia="fr-FR"/>
          </w:rPr>
          <w:fldChar w:fldCharType="separate"/>
        </w:r>
        <w:r w:rsidR="00431AE2">
          <w:rPr>
            <w:rFonts w:ascii="Arial" w:eastAsia="Times New Roman" w:hAnsi="Arial" w:cs="Arial"/>
            <w:noProof/>
            <w:sz w:val="18"/>
            <w:szCs w:val="18"/>
            <w:lang w:eastAsia="fr-FR"/>
          </w:rPr>
          <w:t>71</w:t>
        </w:r>
        <w:r w:rsidR="00FD65D0" w:rsidRPr="00A135FE">
          <w:rPr>
            <w:rFonts w:ascii="Arial" w:eastAsia="Times New Roman" w:hAnsi="Arial" w:cs="Arial"/>
            <w:sz w:val="18"/>
            <w:szCs w:val="18"/>
            <w:lang w:eastAsia="fr-FR"/>
          </w:rPr>
          <w:fldChar w:fldCharType="end"/>
        </w:r>
      </w:sdtContent>
    </w:sdt>
  </w:p>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AC318" w14:textId="4C907EFA" w:rsidR="00FD65D0" w:rsidRPr="00B8567F" w:rsidRDefault="00831075" w:rsidP="00E65E42">
    <w:pPr>
      <w:pStyle w:val="En-tte"/>
      <w:spacing w:after="480"/>
      <w:rPr>
        <w:rFonts w:ascii="Arial" w:hAnsi="Arial" w:cs="Arial"/>
        <w:sz w:val="18"/>
        <w:szCs w:val="18"/>
      </w:rPr>
    </w:pPr>
    <w:r>
      <w:rPr>
        <w:noProof/>
      </w:rPr>
      <w:pict w14:anchorId="52F984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33" o:spid="_x0000_s2101" type="#_x0000_t136" style="position:absolute;margin-left:0;margin-top:0;width:602.7pt;height:60.25pt;rotation:315;z-index:-25155072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AD147D">
      <w:rPr>
        <w:rFonts w:ascii="Arial" w:hAnsi="Arial" w:cs="Arial"/>
        <w:sz w:val="18"/>
        <w:szCs w:val="18"/>
      </w:rPr>
      <w:fldChar w:fldCharType="begin"/>
    </w:r>
    <w:r w:rsidR="00FD65D0" w:rsidRPr="00AD147D">
      <w:rPr>
        <w:rFonts w:ascii="Arial" w:hAnsi="Arial" w:cs="Arial"/>
        <w:sz w:val="18"/>
        <w:szCs w:val="18"/>
      </w:rPr>
      <w:instrText>PAGE   \* MERGEFORMAT</w:instrText>
    </w:r>
    <w:r w:rsidR="00FD65D0" w:rsidRPr="00AD147D">
      <w:rPr>
        <w:rFonts w:ascii="Arial" w:hAnsi="Arial" w:cs="Arial"/>
        <w:sz w:val="18"/>
        <w:szCs w:val="18"/>
      </w:rPr>
      <w:fldChar w:fldCharType="separate"/>
    </w:r>
    <w:r w:rsidR="00431AE2">
      <w:rPr>
        <w:rFonts w:ascii="Arial" w:hAnsi="Arial" w:cs="Arial"/>
        <w:noProof/>
        <w:sz w:val="18"/>
        <w:szCs w:val="18"/>
      </w:rPr>
      <w:t>82</w:t>
    </w:r>
    <w:r w:rsidR="00FD65D0" w:rsidRPr="00AD147D">
      <w:rPr>
        <w:rFonts w:ascii="Arial" w:hAnsi="Arial" w:cs="Arial"/>
        <w:sz w:val="18"/>
        <w:szCs w:val="18"/>
      </w:rPr>
      <w:fldChar w:fldCharType="end"/>
    </w:r>
  </w:p>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1A384" w14:textId="5E870BEB" w:rsidR="00FD65D0" w:rsidRPr="00B8567F" w:rsidRDefault="00831075" w:rsidP="00796F38">
    <w:pPr>
      <w:pStyle w:val="En-tte"/>
      <w:spacing w:after="480"/>
      <w:jc w:val="right"/>
      <w:rPr>
        <w:rFonts w:ascii="Arial" w:hAnsi="Arial" w:cs="Arial"/>
        <w:sz w:val="18"/>
        <w:szCs w:val="18"/>
      </w:rPr>
    </w:pPr>
    <w:r>
      <w:rPr>
        <w:noProof/>
      </w:rPr>
      <w:pict w14:anchorId="6FC587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34" o:spid="_x0000_s2102" type="#_x0000_t136" style="position:absolute;left:0;text-align:left;margin-left:0;margin-top:0;width:602.7pt;height:60.25pt;rotation:315;z-index:-25154867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AD147D">
      <w:rPr>
        <w:rFonts w:ascii="Arial" w:hAnsi="Arial" w:cs="Arial"/>
        <w:sz w:val="18"/>
        <w:szCs w:val="18"/>
      </w:rPr>
      <w:fldChar w:fldCharType="begin"/>
    </w:r>
    <w:r w:rsidR="00FD65D0" w:rsidRPr="00AD147D">
      <w:rPr>
        <w:rFonts w:ascii="Arial" w:hAnsi="Arial" w:cs="Arial"/>
        <w:sz w:val="18"/>
        <w:szCs w:val="18"/>
      </w:rPr>
      <w:instrText>PAGE   \* MERGEFORMAT</w:instrText>
    </w:r>
    <w:r w:rsidR="00FD65D0" w:rsidRPr="00AD147D">
      <w:rPr>
        <w:rFonts w:ascii="Arial" w:hAnsi="Arial" w:cs="Arial"/>
        <w:sz w:val="18"/>
        <w:szCs w:val="18"/>
      </w:rPr>
      <w:fldChar w:fldCharType="separate"/>
    </w:r>
    <w:r w:rsidR="00431AE2">
      <w:rPr>
        <w:rFonts w:ascii="Arial" w:hAnsi="Arial" w:cs="Arial"/>
        <w:noProof/>
        <w:sz w:val="18"/>
        <w:szCs w:val="18"/>
      </w:rPr>
      <w:t>83</w:t>
    </w:r>
    <w:r w:rsidR="00FD65D0" w:rsidRPr="00AD147D">
      <w:rPr>
        <w:rFonts w:ascii="Arial" w:hAnsi="Arial" w:cs="Arial"/>
        <w:sz w:val="18"/>
        <w:szCs w:val="18"/>
      </w:rPr>
      <w:fldChar w:fldCharType="end"/>
    </w:r>
  </w:p>
</w:hdr>
</file>

<file path=word/header2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A974D" w14:textId="4F5B367F" w:rsidR="00FD65D0" w:rsidRPr="00B6151C" w:rsidRDefault="00831075" w:rsidP="00B6151C">
    <w:pPr>
      <w:pStyle w:val="En-tte"/>
      <w:spacing w:after="480"/>
      <w:rPr>
        <w:rFonts w:ascii="Arial" w:hAnsi="Arial" w:cs="Arial"/>
        <w:sz w:val="18"/>
        <w:szCs w:val="18"/>
      </w:rPr>
    </w:pPr>
    <w:r>
      <w:rPr>
        <w:noProof/>
      </w:rPr>
      <w:pict w14:anchorId="0E3112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66" type="#_x0000_t136" style="position:absolute;margin-left:0;margin-top:0;width:602.7pt;height:60.25pt;rotation:315;z-index:-25142067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B6151C" w:rsidRPr="00AD147D">
      <w:rPr>
        <w:rFonts w:ascii="Arial" w:hAnsi="Arial" w:cs="Arial"/>
        <w:sz w:val="18"/>
        <w:szCs w:val="18"/>
      </w:rPr>
      <w:fldChar w:fldCharType="begin"/>
    </w:r>
    <w:r w:rsidR="00B6151C" w:rsidRPr="00AD147D">
      <w:rPr>
        <w:rFonts w:ascii="Arial" w:hAnsi="Arial" w:cs="Arial"/>
        <w:sz w:val="18"/>
        <w:szCs w:val="18"/>
      </w:rPr>
      <w:instrText>PAGE   \* MERGEFORMAT</w:instrText>
    </w:r>
    <w:r w:rsidR="00B6151C" w:rsidRPr="00AD147D">
      <w:rPr>
        <w:rFonts w:ascii="Arial" w:hAnsi="Arial" w:cs="Arial"/>
        <w:sz w:val="18"/>
        <w:szCs w:val="18"/>
      </w:rPr>
      <w:fldChar w:fldCharType="separate"/>
    </w:r>
    <w:r w:rsidR="00431AE2">
      <w:rPr>
        <w:rFonts w:ascii="Arial" w:hAnsi="Arial" w:cs="Arial"/>
        <w:noProof/>
        <w:sz w:val="18"/>
        <w:szCs w:val="18"/>
      </w:rPr>
      <w:t>72</w:t>
    </w:r>
    <w:r w:rsidR="00B6151C" w:rsidRPr="00AD147D">
      <w:rPr>
        <w:rFonts w:ascii="Arial" w:hAnsi="Arial" w:cs="Arial"/>
        <w:sz w:val="18"/>
        <w:szCs w:val="18"/>
      </w:rPr>
      <w:fldChar w:fldCharType="end"/>
    </w:r>
    <w:r>
      <w:rPr>
        <w:noProof/>
      </w:rPr>
      <w:pict w14:anchorId="140FEF0B">
        <v:shape id="PowerPlusWaterMarkObject423051832" o:spid="_x0000_s2100" type="#_x0000_t136" style="position:absolute;margin-left:0;margin-top:0;width:602.7pt;height:60.25pt;rotation:315;z-index:-25155276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2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9485B" w14:textId="0342EB95" w:rsidR="00FD65D0" w:rsidRPr="00B8567F" w:rsidRDefault="00831075" w:rsidP="00E65E42">
    <w:pPr>
      <w:pStyle w:val="En-tte"/>
      <w:spacing w:after="480"/>
      <w:rPr>
        <w:rFonts w:ascii="Arial" w:hAnsi="Arial" w:cs="Arial"/>
        <w:sz w:val="18"/>
        <w:szCs w:val="18"/>
      </w:rPr>
    </w:pPr>
    <w:r>
      <w:rPr>
        <w:noProof/>
      </w:rPr>
      <w:pict w14:anchorId="2B521D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36" o:spid="_x0000_s2104" type="#_x0000_t136" style="position:absolute;margin-left:0;margin-top:0;width:602.7pt;height:60.25pt;rotation:315;z-index:-25154457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AD147D">
      <w:rPr>
        <w:rFonts w:ascii="Arial" w:hAnsi="Arial" w:cs="Arial"/>
        <w:sz w:val="18"/>
        <w:szCs w:val="18"/>
      </w:rPr>
      <w:fldChar w:fldCharType="begin"/>
    </w:r>
    <w:r w:rsidR="00FD65D0" w:rsidRPr="00AD147D">
      <w:rPr>
        <w:rFonts w:ascii="Arial" w:hAnsi="Arial" w:cs="Arial"/>
        <w:sz w:val="18"/>
        <w:szCs w:val="18"/>
      </w:rPr>
      <w:instrText>PAGE   \* MERGEFORMAT</w:instrText>
    </w:r>
    <w:r w:rsidR="00FD65D0" w:rsidRPr="00AD147D">
      <w:rPr>
        <w:rFonts w:ascii="Arial" w:hAnsi="Arial" w:cs="Arial"/>
        <w:sz w:val="18"/>
        <w:szCs w:val="18"/>
      </w:rPr>
      <w:fldChar w:fldCharType="separate"/>
    </w:r>
    <w:r w:rsidR="00431AE2">
      <w:rPr>
        <w:rFonts w:ascii="Arial" w:hAnsi="Arial" w:cs="Arial"/>
        <w:noProof/>
        <w:sz w:val="18"/>
        <w:szCs w:val="18"/>
      </w:rPr>
      <w:t>90</w:t>
    </w:r>
    <w:r w:rsidR="00FD65D0" w:rsidRPr="00AD147D">
      <w:rPr>
        <w:rFonts w:ascii="Arial" w:hAnsi="Arial" w:cs="Arial"/>
        <w:sz w:val="18"/>
        <w:szCs w:val="18"/>
      </w:rPr>
      <w:fldChar w:fldCharType="end"/>
    </w:r>
  </w:p>
</w:hdr>
</file>

<file path=word/header2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1A7BF" w14:textId="74B34935" w:rsidR="00FD65D0" w:rsidRPr="00B8567F" w:rsidRDefault="00831075" w:rsidP="00754D87">
    <w:pPr>
      <w:pStyle w:val="En-tte"/>
      <w:spacing w:after="480"/>
      <w:jc w:val="right"/>
      <w:rPr>
        <w:rFonts w:ascii="Arial" w:hAnsi="Arial" w:cs="Arial"/>
        <w:sz w:val="18"/>
        <w:szCs w:val="18"/>
      </w:rPr>
    </w:pPr>
    <w:r>
      <w:rPr>
        <w:noProof/>
      </w:rPr>
      <w:pict w14:anchorId="6868E9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37" o:spid="_x0000_s2105" type="#_x0000_t136" style="position:absolute;left:0;text-align:left;margin-left:0;margin-top:0;width:602.7pt;height:60.25pt;rotation:315;z-index:-25154252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AD147D">
      <w:rPr>
        <w:rFonts w:ascii="Arial" w:hAnsi="Arial" w:cs="Arial"/>
        <w:sz w:val="18"/>
        <w:szCs w:val="18"/>
      </w:rPr>
      <w:fldChar w:fldCharType="begin"/>
    </w:r>
    <w:r w:rsidR="00FD65D0" w:rsidRPr="00AD147D">
      <w:rPr>
        <w:rFonts w:ascii="Arial" w:hAnsi="Arial" w:cs="Arial"/>
        <w:sz w:val="18"/>
        <w:szCs w:val="18"/>
      </w:rPr>
      <w:instrText>PAGE   \* MERGEFORMAT</w:instrText>
    </w:r>
    <w:r w:rsidR="00FD65D0" w:rsidRPr="00AD147D">
      <w:rPr>
        <w:rFonts w:ascii="Arial" w:hAnsi="Arial" w:cs="Arial"/>
        <w:sz w:val="18"/>
        <w:szCs w:val="18"/>
      </w:rPr>
      <w:fldChar w:fldCharType="separate"/>
    </w:r>
    <w:r w:rsidR="00431AE2">
      <w:rPr>
        <w:rFonts w:ascii="Arial" w:hAnsi="Arial" w:cs="Arial"/>
        <w:noProof/>
        <w:sz w:val="18"/>
        <w:szCs w:val="18"/>
      </w:rPr>
      <w:t>89</w:t>
    </w:r>
    <w:r w:rsidR="00FD65D0" w:rsidRPr="00AD147D">
      <w:rPr>
        <w:rFonts w:ascii="Arial" w:hAnsi="Arial" w:cs="Arial"/>
        <w:sz w:val="18"/>
        <w:szCs w:val="18"/>
      </w:rPr>
      <w:fldChar w:fldCharType="end"/>
    </w:r>
  </w:p>
</w:hdr>
</file>

<file path=word/header2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7F73E" w14:textId="2A06D7F9" w:rsidR="00FD65D0" w:rsidRPr="00754D87" w:rsidRDefault="00831075" w:rsidP="00754D87">
    <w:pPr>
      <w:pStyle w:val="En-tte"/>
      <w:spacing w:after="480"/>
      <w:jc w:val="right"/>
    </w:pPr>
    <w:r>
      <w:rPr>
        <w:noProof/>
      </w:rPr>
      <w:pict w14:anchorId="0B8D603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35" o:spid="_x0000_s2103" type="#_x0000_t136" style="position:absolute;left:0;text-align:left;margin-left:0;margin-top:0;width:602.7pt;height:60.25pt;rotation:315;z-index:-251546624;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AD147D">
      <w:rPr>
        <w:rFonts w:ascii="Arial" w:hAnsi="Arial" w:cs="Arial"/>
        <w:sz w:val="18"/>
        <w:szCs w:val="18"/>
      </w:rPr>
      <w:fldChar w:fldCharType="begin"/>
    </w:r>
    <w:r w:rsidR="00FD65D0" w:rsidRPr="00AD147D">
      <w:rPr>
        <w:rFonts w:ascii="Arial" w:hAnsi="Arial" w:cs="Arial"/>
        <w:sz w:val="18"/>
        <w:szCs w:val="18"/>
      </w:rPr>
      <w:instrText>PAGE   \* MERGEFORMAT</w:instrText>
    </w:r>
    <w:r w:rsidR="00FD65D0" w:rsidRPr="00AD147D">
      <w:rPr>
        <w:rFonts w:ascii="Arial" w:hAnsi="Arial" w:cs="Arial"/>
        <w:sz w:val="18"/>
        <w:szCs w:val="18"/>
      </w:rPr>
      <w:fldChar w:fldCharType="separate"/>
    </w:r>
    <w:r w:rsidR="00431AE2">
      <w:rPr>
        <w:rFonts w:ascii="Arial" w:hAnsi="Arial" w:cs="Arial"/>
        <w:noProof/>
        <w:sz w:val="18"/>
        <w:szCs w:val="18"/>
      </w:rPr>
      <w:t>85</w:t>
    </w:r>
    <w:r w:rsidR="00FD65D0" w:rsidRPr="00AD147D">
      <w:rPr>
        <w:rFonts w:ascii="Arial" w:hAnsi="Arial" w:cs="Arial"/>
        <w:sz w:val="18"/>
        <w:szCs w:val="18"/>
      </w:rPr>
      <w:fldChar w:fldCharType="end"/>
    </w:r>
  </w:p>
</w:hdr>
</file>

<file path=word/header2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30344" w14:textId="41AE37B5" w:rsidR="00FD65D0" w:rsidRPr="00754D87" w:rsidRDefault="00831075" w:rsidP="00754D87">
    <w:pPr>
      <w:pStyle w:val="En-tte"/>
    </w:pPr>
    <w:r>
      <w:rPr>
        <w:noProof/>
      </w:rPr>
      <w:pict w14:anchorId="367500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39" o:spid="_x0000_s2107" type="#_x0000_t136" style="position:absolute;margin-left:0;margin-top:0;width:602.7pt;height:60.25pt;rotation:315;z-index:-25153843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3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EABA7" w14:textId="73E311A6" w:rsidR="00FD65D0" w:rsidRPr="004108B6" w:rsidRDefault="00831075" w:rsidP="004108B6">
    <w:pPr>
      <w:pStyle w:val="En-tte"/>
      <w:spacing w:after="480"/>
      <w:jc w:val="right"/>
      <w:rPr>
        <w:rFonts w:ascii="Arial" w:hAnsi="Arial" w:cs="Arial"/>
        <w:sz w:val="18"/>
        <w:szCs w:val="18"/>
      </w:rPr>
    </w:pPr>
    <w:r>
      <w:rPr>
        <w:noProof/>
      </w:rPr>
      <w:pict w14:anchorId="769DC58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40" o:spid="_x0000_s2108" type="#_x0000_t136" style="position:absolute;left:0;text-align:left;margin-left:0;margin-top:0;width:602.7pt;height:60.25pt;rotation:315;z-index:-251536384;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AD147D">
      <w:rPr>
        <w:rFonts w:ascii="Arial" w:hAnsi="Arial" w:cs="Arial"/>
        <w:sz w:val="18"/>
        <w:szCs w:val="18"/>
      </w:rPr>
      <w:fldChar w:fldCharType="begin"/>
    </w:r>
    <w:r w:rsidR="00FD65D0" w:rsidRPr="00AD147D">
      <w:rPr>
        <w:rFonts w:ascii="Arial" w:hAnsi="Arial" w:cs="Arial"/>
        <w:sz w:val="18"/>
        <w:szCs w:val="18"/>
      </w:rPr>
      <w:instrText>PAGE   \* MERGEFORMAT</w:instrText>
    </w:r>
    <w:r w:rsidR="00FD65D0" w:rsidRPr="00AD147D">
      <w:rPr>
        <w:rFonts w:ascii="Arial" w:hAnsi="Arial" w:cs="Arial"/>
        <w:sz w:val="18"/>
        <w:szCs w:val="18"/>
      </w:rPr>
      <w:fldChar w:fldCharType="separate"/>
    </w:r>
    <w:r w:rsidR="00431AE2">
      <w:rPr>
        <w:rFonts w:ascii="Arial" w:hAnsi="Arial" w:cs="Arial"/>
        <w:noProof/>
        <w:sz w:val="18"/>
        <w:szCs w:val="18"/>
      </w:rPr>
      <w:t>91</w:t>
    </w:r>
    <w:r w:rsidR="00FD65D0" w:rsidRPr="00AD147D">
      <w:rPr>
        <w:rFonts w:ascii="Arial" w:hAnsi="Arial" w:cs="Arial"/>
        <w:sz w:val="18"/>
        <w:szCs w:val="18"/>
      </w:rPr>
      <w:fldChar w:fldCharType="end"/>
    </w:r>
  </w:p>
</w:hdr>
</file>

<file path=word/header3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58413" w14:textId="75DAE90D" w:rsidR="00FD65D0" w:rsidRPr="008125E8" w:rsidRDefault="00831075" w:rsidP="00E65E42">
    <w:pPr>
      <w:pStyle w:val="En-tte"/>
      <w:spacing w:after="480"/>
      <w:rPr>
        <w:rFonts w:ascii="Arial" w:hAnsi="Arial" w:cs="Arial"/>
        <w:sz w:val="18"/>
        <w:szCs w:val="18"/>
      </w:rPr>
    </w:pPr>
    <w:r>
      <w:rPr>
        <w:noProof/>
      </w:rPr>
      <w:pict w14:anchorId="39FB39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38" o:spid="_x0000_s2106" type="#_x0000_t136" style="position:absolute;margin-left:0;margin-top:0;width:602.7pt;height:60.25pt;rotation:315;z-index:-25154048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AD147D">
      <w:rPr>
        <w:rFonts w:ascii="Arial" w:hAnsi="Arial" w:cs="Arial"/>
        <w:sz w:val="18"/>
        <w:szCs w:val="18"/>
      </w:rPr>
      <w:fldChar w:fldCharType="begin"/>
    </w:r>
    <w:r w:rsidR="00FD65D0" w:rsidRPr="00AD147D">
      <w:rPr>
        <w:rFonts w:ascii="Arial" w:hAnsi="Arial" w:cs="Arial"/>
        <w:sz w:val="18"/>
        <w:szCs w:val="18"/>
      </w:rPr>
      <w:instrText>PAGE   \* MERGEFORMAT</w:instrText>
    </w:r>
    <w:r w:rsidR="00FD65D0" w:rsidRPr="00AD147D">
      <w:rPr>
        <w:rFonts w:ascii="Arial" w:hAnsi="Arial" w:cs="Arial"/>
        <w:sz w:val="18"/>
        <w:szCs w:val="18"/>
      </w:rPr>
      <w:fldChar w:fldCharType="separate"/>
    </w:r>
    <w:r w:rsidR="00FD65D0">
      <w:rPr>
        <w:rFonts w:ascii="Arial" w:hAnsi="Arial" w:cs="Arial"/>
        <w:noProof/>
        <w:sz w:val="18"/>
        <w:szCs w:val="18"/>
      </w:rPr>
      <w:t>132</w:t>
    </w:r>
    <w:r w:rsidR="00FD65D0" w:rsidRPr="00AD147D">
      <w:rPr>
        <w:rFonts w:ascii="Arial" w:hAnsi="Arial" w:cs="Arial"/>
        <w:sz w:val="18"/>
        <w:szCs w:val="18"/>
      </w:rPr>
      <w:fldChar w:fldCharType="end"/>
    </w:r>
  </w:p>
</w:hdr>
</file>

<file path=word/header3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BC2AA" w14:textId="3A7E2FB1" w:rsidR="00FD65D0" w:rsidRPr="00754D87" w:rsidRDefault="00831075" w:rsidP="00754D87">
    <w:pPr>
      <w:pStyle w:val="En-tte"/>
      <w:spacing w:after="480"/>
      <w:rPr>
        <w:rFonts w:ascii="Arial" w:hAnsi="Arial" w:cs="Arial"/>
        <w:sz w:val="18"/>
        <w:szCs w:val="18"/>
      </w:rPr>
    </w:pPr>
    <w:r>
      <w:rPr>
        <w:noProof/>
      </w:rPr>
      <w:pict w14:anchorId="6E931D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45" o:spid="_x0000_s2113" type="#_x0000_t136" style="position:absolute;margin-left:0;margin-top:0;width:602.7pt;height:60.25pt;rotation:315;z-index:-251526144;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AD147D">
      <w:rPr>
        <w:rFonts w:ascii="Arial" w:hAnsi="Arial" w:cs="Arial"/>
        <w:sz w:val="18"/>
        <w:szCs w:val="18"/>
      </w:rPr>
      <w:fldChar w:fldCharType="begin"/>
    </w:r>
    <w:r w:rsidR="00FD65D0" w:rsidRPr="00AD147D">
      <w:rPr>
        <w:rFonts w:ascii="Arial" w:hAnsi="Arial" w:cs="Arial"/>
        <w:sz w:val="18"/>
        <w:szCs w:val="18"/>
      </w:rPr>
      <w:instrText>PAGE   \* MERGEFORMAT</w:instrText>
    </w:r>
    <w:r w:rsidR="00FD65D0" w:rsidRPr="00AD147D">
      <w:rPr>
        <w:rFonts w:ascii="Arial" w:hAnsi="Arial" w:cs="Arial"/>
        <w:sz w:val="18"/>
        <w:szCs w:val="18"/>
      </w:rPr>
      <w:fldChar w:fldCharType="separate"/>
    </w:r>
    <w:r w:rsidR="00431AE2">
      <w:rPr>
        <w:rFonts w:ascii="Arial" w:hAnsi="Arial" w:cs="Arial"/>
        <w:noProof/>
        <w:sz w:val="18"/>
        <w:szCs w:val="18"/>
      </w:rPr>
      <w:t>96</w:t>
    </w:r>
    <w:r w:rsidR="00FD65D0" w:rsidRPr="00AD147D">
      <w:rPr>
        <w:rFonts w:ascii="Arial" w:hAnsi="Arial" w:cs="Arial"/>
        <w:sz w:val="18"/>
        <w:szCs w:val="18"/>
      </w:rPr>
      <w:fldChar w:fldCharType="end"/>
    </w:r>
  </w:p>
</w:hdr>
</file>

<file path=word/header3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07044" w14:textId="759172D4" w:rsidR="00FD65D0" w:rsidRPr="00754D87" w:rsidRDefault="00831075" w:rsidP="00754D87">
    <w:pPr>
      <w:pStyle w:val="En-tte"/>
      <w:spacing w:after="480"/>
      <w:jc w:val="right"/>
      <w:rPr>
        <w:rFonts w:ascii="Arial" w:hAnsi="Arial" w:cs="Arial"/>
        <w:sz w:val="18"/>
        <w:szCs w:val="18"/>
      </w:rPr>
    </w:pPr>
    <w:r>
      <w:rPr>
        <w:noProof/>
      </w:rPr>
      <w:pict w14:anchorId="60DEFA0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46" o:spid="_x0000_s2114" type="#_x0000_t136" style="position:absolute;left:0;text-align:left;margin-left:0;margin-top:0;width:602.7pt;height:60.25pt;rotation:315;z-index:-25152409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AD147D">
      <w:rPr>
        <w:rFonts w:ascii="Arial" w:hAnsi="Arial" w:cs="Arial"/>
        <w:sz w:val="18"/>
        <w:szCs w:val="18"/>
      </w:rPr>
      <w:fldChar w:fldCharType="begin"/>
    </w:r>
    <w:r w:rsidR="00FD65D0" w:rsidRPr="00AD147D">
      <w:rPr>
        <w:rFonts w:ascii="Arial" w:hAnsi="Arial" w:cs="Arial"/>
        <w:sz w:val="18"/>
        <w:szCs w:val="18"/>
      </w:rPr>
      <w:instrText>PAGE   \* MERGEFORMAT</w:instrText>
    </w:r>
    <w:r w:rsidR="00FD65D0" w:rsidRPr="00AD147D">
      <w:rPr>
        <w:rFonts w:ascii="Arial" w:hAnsi="Arial" w:cs="Arial"/>
        <w:sz w:val="18"/>
        <w:szCs w:val="18"/>
      </w:rPr>
      <w:fldChar w:fldCharType="separate"/>
    </w:r>
    <w:r w:rsidR="00431AE2">
      <w:rPr>
        <w:rFonts w:ascii="Arial" w:hAnsi="Arial" w:cs="Arial"/>
        <w:noProof/>
        <w:sz w:val="18"/>
        <w:szCs w:val="18"/>
      </w:rPr>
      <w:t>97</w:t>
    </w:r>
    <w:r w:rsidR="00FD65D0" w:rsidRPr="00AD147D">
      <w:rPr>
        <w:rFonts w:ascii="Arial" w:hAnsi="Arial" w:cs="Arial"/>
        <w:sz w:val="18"/>
        <w:szCs w:val="18"/>
      </w:rPr>
      <w:fldChar w:fldCharType="end"/>
    </w:r>
  </w:p>
</w:hdr>
</file>

<file path=word/header3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A4467" w14:textId="2547711E" w:rsidR="00FD65D0" w:rsidRPr="00754D87" w:rsidRDefault="00831075" w:rsidP="00754D87">
    <w:pPr>
      <w:pStyle w:val="En-tte"/>
    </w:pPr>
    <w:r>
      <w:rPr>
        <w:noProof/>
      </w:rPr>
      <w:pict w14:anchorId="18879A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44" o:spid="_x0000_s2112" type="#_x0000_t136" style="position:absolute;margin-left:0;margin-top:0;width:602.7pt;height:60.25pt;rotation:315;z-index:-25152819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3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BDEF7" w14:textId="0B25FF30" w:rsidR="00FD65D0" w:rsidRPr="003D3A86" w:rsidRDefault="00831075" w:rsidP="003D3A86">
    <w:pPr>
      <w:pStyle w:val="En-tte"/>
      <w:spacing w:after="480"/>
      <w:rPr>
        <w:rFonts w:ascii="Arial" w:hAnsi="Arial" w:cs="Arial"/>
        <w:sz w:val="18"/>
        <w:szCs w:val="18"/>
      </w:rPr>
    </w:pPr>
    <w:r>
      <w:rPr>
        <w:noProof/>
      </w:rPr>
      <w:pict w14:anchorId="2803F0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57" type="#_x0000_t136" style="position:absolute;margin-left:0;margin-top:0;width:602.7pt;height:60.25pt;rotation:315;z-index:-25143808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AD147D">
      <w:rPr>
        <w:rFonts w:ascii="Arial" w:hAnsi="Arial" w:cs="Arial"/>
        <w:sz w:val="18"/>
        <w:szCs w:val="18"/>
      </w:rPr>
      <w:fldChar w:fldCharType="begin"/>
    </w:r>
    <w:r w:rsidR="00FD65D0" w:rsidRPr="00AD147D">
      <w:rPr>
        <w:rFonts w:ascii="Arial" w:hAnsi="Arial" w:cs="Arial"/>
        <w:sz w:val="18"/>
        <w:szCs w:val="18"/>
      </w:rPr>
      <w:instrText>PAGE   \* MERGEFORMAT</w:instrText>
    </w:r>
    <w:r w:rsidR="00FD65D0" w:rsidRPr="00AD147D">
      <w:rPr>
        <w:rFonts w:ascii="Arial" w:hAnsi="Arial" w:cs="Arial"/>
        <w:sz w:val="18"/>
        <w:szCs w:val="18"/>
      </w:rPr>
      <w:fldChar w:fldCharType="separate"/>
    </w:r>
    <w:r w:rsidR="00431AE2">
      <w:rPr>
        <w:rFonts w:ascii="Arial" w:hAnsi="Arial" w:cs="Arial"/>
        <w:noProof/>
        <w:sz w:val="18"/>
        <w:szCs w:val="18"/>
      </w:rPr>
      <w:t>104</w:t>
    </w:r>
    <w:r w:rsidR="00FD65D0" w:rsidRPr="00AD147D">
      <w:rPr>
        <w:rFonts w:ascii="Arial" w:hAnsi="Arial" w:cs="Arial"/>
        <w:sz w:val="18"/>
        <w:szCs w:val="18"/>
      </w:rPr>
      <w:fldChar w:fldCharType="end"/>
    </w:r>
    <w:r>
      <w:rPr>
        <w:noProof/>
      </w:rPr>
      <w:pict w14:anchorId="2447D921">
        <v:shape id="PowerPlusWaterMarkObject423051848" o:spid="_x0000_s2116" type="#_x0000_t136" style="position:absolute;margin-left:0;margin-top:0;width:602.7pt;height:60.25pt;rotation:315;z-index:-25152000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3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520C1" w14:textId="76623645" w:rsidR="00FD65D0" w:rsidRPr="003D3A86" w:rsidRDefault="00831075" w:rsidP="003D3A86">
    <w:pPr>
      <w:pStyle w:val="En-tte"/>
      <w:spacing w:after="480"/>
      <w:jc w:val="right"/>
      <w:rPr>
        <w:rFonts w:ascii="Arial" w:hAnsi="Arial" w:cs="Arial"/>
        <w:sz w:val="18"/>
        <w:szCs w:val="18"/>
      </w:rPr>
    </w:pPr>
    <w:r>
      <w:rPr>
        <w:noProof/>
      </w:rPr>
      <w:pict w14:anchorId="40F8B5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58" type="#_x0000_t136" style="position:absolute;left:0;text-align:left;margin-left:0;margin-top:0;width:602.7pt;height:60.25pt;rotation:315;z-index:-25143603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AD147D">
      <w:rPr>
        <w:rFonts w:ascii="Arial" w:hAnsi="Arial" w:cs="Arial"/>
        <w:sz w:val="18"/>
        <w:szCs w:val="18"/>
      </w:rPr>
      <w:fldChar w:fldCharType="begin"/>
    </w:r>
    <w:r w:rsidR="00FD65D0" w:rsidRPr="00AD147D">
      <w:rPr>
        <w:rFonts w:ascii="Arial" w:hAnsi="Arial" w:cs="Arial"/>
        <w:sz w:val="18"/>
        <w:szCs w:val="18"/>
      </w:rPr>
      <w:instrText>PAGE   \* MERGEFORMAT</w:instrText>
    </w:r>
    <w:r w:rsidR="00FD65D0" w:rsidRPr="00AD147D">
      <w:rPr>
        <w:rFonts w:ascii="Arial" w:hAnsi="Arial" w:cs="Arial"/>
        <w:sz w:val="18"/>
        <w:szCs w:val="18"/>
      </w:rPr>
      <w:fldChar w:fldCharType="separate"/>
    </w:r>
    <w:r w:rsidR="00431AE2">
      <w:rPr>
        <w:rFonts w:ascii="Arial" w:hAnsi="Arial" w:cs="Arial"/>
        <w:noProof/>
        <w:sz w:val="18"/>
        <w:szCs w:val="18"/>
      </w:rPr>
      <w:t>105</w:t>
    </w:r>
    <w:r w:rsidR="00FD65D0" w:rsidRPr="00AD147D">
      <w:rPr>
        <w:rFonts w:ascii="Arial" w:hAnsi="Arial" w:cs="Arial"/>
        <w:sz w:val="18"/>
        <w:szCs w:val="18"/>
      </w:rPr>
      <w:fldChar w:fldCharType="end"/>
    </w:r>
    <w:r>
      <w:rPr>
        <w:noProof/>
      </w:rPr>
      <w:pict w14:anchorId="5A25D96F">
        <v:shape id="PowerPlusWaterMarkObject423051849" o:spid="_x0000_s2117" type="#_x0000_t136" style="position:absolute;left:0;text-align:left;margin-left:0;margin-top:0;width:602.7pt;height:60.25pt;rotation:315;z-index:-25151795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3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234E5" w14:textId="52D5375D" w:rsidR="00FD65D0" w:rsidRPr="00754D87" w:rsidRDefault="00831075" w:rsidP="00754D87">
    <w:pPr>
      <w:pStyle w:val="En-tte"/>
      <w:spacing w:after="480"/>
      <w:jc w:val="right"/>
      <w:rPr>
        <w:rFonts w:ascii="Arial" w:hAnsi="Arial" w:cs="Arial"/>
        <w:sz w:val="18"/>
        <w:szCs w:val="18"/>
      </w:rPr>
    </w:pPr>
    <w:r>
      <w:rPr>
        <w:noProof/>
      </w:rPr>
      <w:pict w14:anchorId="2368B8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47" o:spid="_x0000_s2115" type="#_x0000_t136" style="position:absolute;left:0;text-align:left;margin-left:0;margin-top:0;width:602.7pt;height:60.25pt;rotation:315;z-index:-25152204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AD147D">
      <w:rPr>
        <w:rFonts w:ascii="Arial" w:hAnsi="Arial" w:cs="Arial"/>
        <w:sz w:val="18"/>
        <w:szCs w:val="18"/>
      </w:rPr>
      <w:fldChar w:fldCharType="begin"/>
    </w:r>
    <w:r w:rsidR="00FD65D0" w:rsidRPr="00AD147D">
      <w:rPr>
        <w:rFonts w:ascii="Arial" w:hAnsi="Arial" w:cs="Arial"/>
        <w:sz w:val="18"/>
        <w:szCs w:val="18"/>
      </w:rPr>
      <w:instrText>PAGE   \* MERGEFORMAT</w:instrText>
    </w:r>
    <w:r w:rsidR="00FD65D0" w:rsidRPr="00AD147D">
      <w:rPr>
        <w:rFonts w:ascii="Arial" w:hAnsi="Arial" w:cs="Arial"/>
        <w:sz w:val="18"/>
        <w:szCs w:val="18"/>
      </w:rPr>
      <w:fldChar w:fldCharType="separate"/>
    </w:r>
    <w:r w:rsidR="00431AE2">
      <w:rPr>
        <w:rFonts w:ascii="Arial" w:hAnsi="Arial" w:cs="Arial"/>
        <w:noProof/>
        <w:sz w:val="18"/>
        <w:szCs w:val="18"/>
      </w:rPr>
      <w:t>99</w:t>
    </w:r>
    <w:r w:rsidR="00FD65D0" w:rsidRPr="00AD147D">
      <w:rPr>
        <w:rFonts w:ascii="Arial" w:hAnsi="Arial" w:cs="Arial"/>
        <w:sz w:val="18"/>
        <w:szCs w:val="18"/>
      </w:rPr>
      <w:fldChar w:fldCharType="end"/>
    </w:r>
  </w:p>
</w:hdr>
</file>

<file path=word/header3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379D6" w14:textId="712677F3" w:rsidR="00FD65D0" w:rsidRDefault="00831075">
    <w:pPr>
      <w:pStyle w:val="En-tte"/>
    </w:pPr>
    <w:r>
      <w:rPr>
        <w:noProof/>
      </w:rPr>
      <w:pict w14:anchorId="409A0E6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51" o:spid="_x0000_s2119" type="#_x0000_t136" style="position:absolute;margin-left:0;margin-top:0;width:602.7pt;height:60.25pt;rotation:315;z-index:-25151385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3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7A8FB" w14:textId="67635618" w:rsidR="00FD65D0" w:rsidRDefault="00831075">
    <w:pPr>
      <w:pStyle w:val="En-tte"/>
    </w:pPr>
    <w:r>
      <w:rPr>
        <w:noProof/>
      </w:rPr>
      <w:pict w14:anchorId="289140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52" o:spid="_x0000_s2120" type="#_x0000_t136" style="position:absolute;margin-left:0;margin-top:0;width:602.7pt;height:60.25pt;rotation:315;z-index:-25151180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4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8CF5C" w14:textId="25D86806" w:rsidR="00FD65D0" w:rsidRPr="004F1CC2" w:rsidRDefault="00831075" w:rsidP="005D2EAA">
    <w:pPr>
      <w:pStyle w:val="En-tte"/>
      <w:spacing w:after="480"/>
    </w:pPr>
    <w:r>
      <w:rPr>
        <w:noProof/>
      </w:rPr>
      <w:pict w14:anchorId="53EA269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50" o:spid="_x0000_s2118" type="#_x0000_t136" style="position:absolute;margin-left:0;margin-top:0;width:602.7pt;height:60.25pt;rotation:315;z-index:-251515904;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106</w:t>
    </w:r>
    <w:r w:rsidR="00FD65D0" w:rsidRPr="00BC0328">
      <w:rPr>
        <w:rFonts w:ascii="Arial" w:hAnsi="Arial" w:cs="Arial"/>
        <w:sz w:val="18"/>
        <w:szCs w:val="18"/>
      </w:rPr>
      <w:fldChar w:fldCharType="end"/>
    </w:r>
  </w:p>
</w:hdr>
</file>

<file path=word/header4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1D98C" w14:textId="47263D6A" w:rsidR="00FD65D0" w:rsidRPr="004F1CC2" w:rsidRDefault="00831075" w:rsidP="005D2EAA">
    <w:pPr>
      <w:pStyle w:val="En-tte"/>
      <w:spacing w:after="480"/>
    </w:pPr>
    <w:r>
      <w:rPr>
        <w:noProof/>
      </w:rPr>
      <w:pict w14:anchorId="502DFE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54" o:spid="_x0000_s2122" type="#_x0000_t136" style="position:absolute;margin-left:0;margin-top:0;width:602.7pt;height:60.25pt;rotation:315;z-index:-25150771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118</w:t>
    </w:r>
    <w:r w:rsidR="00FD65D0" w:rsidRPr="00BC0328">
      <w:rPr>
        <w:rFonts w:ascii="Arial" w:hAnsi="Arial" w:cs="Arial"/>
        <w:sz w:val="18"/>
        <w:szCs w:val="18"/>
      </w:rPr>
      <w:fldChar w:fldCharType="end"/>
    </w:r>
  </w:p>
</w:hdr>
</file>

<file path=word/header4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33F9E" w14:textId="3F6CFD3F" w:rsidR="00FD65D0" w:rsidRPr="00E65E42" w:rsidRDefault="00831075" w:rsidP="005D2EAA">
    <w:pPr>
      <w:pStyle w:val="En-tte"/>
      <w:spacing w:after="480"/>
      <w:jc w:val="right"/>
    </w:pPr>
    <w:r>
      <w:rPr>
        <w:noProof/>
      </w:rPr>
      <w:pict w14:anchorId="3D2792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55" o:spid="_x0000_s2123" type="#_x0000_t136" style="position:absolute;left:0;text-align:left;margin-left:0;margin-top:0;width:602.7pt;height:60.25pt;rotation:315;z-index:-251505664;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117</w:t>
    </w:r>
    <w:r w:rsidR="00FD65D0" w:rsidRPr="00BC0328">
      <w:rPr>
        <w:rFonts w:ascii="Arial" w:hAnsi="Arial" w:cs="Arial"/>
        <w:sz w:val="18"/>
        <w:szCs w:val="18"/>
      </w:rPr>
      <w:fldChar w:fldCharType="end"/>
    </w:r>
  </w:p>
</w:hdr>
</file>

<file path=word/header4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17F8B" w14:textId="133292C3" w:rsidR="00FD65D0" w:rsidRDefault="00831075">
    <w:pPr>
      <w:pStyle w:val="En-tte"/>
    </w:pPr>
    <w:r>
      <w:rPr>
        <w:noProof/>
      </w:rPr>
      <w:pict w14:anchorId="710621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53" o:spid="_x0000_s2121" type="#_x0000_t136" style="position:absolute;margin-left:0;margin-top:0;width:602.7pt;height:60.25pt;rotation:315;z-index:-25150976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4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502C6" w14:textId="0FAFFBC1" w:rsidR="00FD65D0" w:rsidRPr="008A67C2" w:rsidRDefault="00831075" w:rsidP="005D2EAA">
    <w:pPr>
      <w:pStyle w:val="En-tte"/>
      <w:spacing w:after="480"/>
    </w:pPr>
    <w:r>
      <w:rPr>
        <w:noProof/>
      </w:rPr>
      <w:pict w14:anchorId="795407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57" o:spid="_x0000_s2125" type="#_x0000_t136" style="position:absolute;margin-left:0;margin-top:0;width:602.7pt;height:60.25pt;rotation:315;z-index:-25150156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128</w:t>
    </w:r>
    <w:r w:rsidR="00FD65D0" w:rsidRPr="00BC0328">
      <w:rPr>
        <w:rFonts w:ascii="Arial" w:hAnsi="Arial" w:cs="Arial"/>
        <w:sz w:val="18"/>
        <w:szCs w:val="18"/>
      </w:rPr>
      <w:fldChar w:fldCharType="end"/>
    </w:r>
  </w:p>
</w:hdr>
</file>

<file path=word/header4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F3619" w14:textId="46102CDC" w:rsidR="00FD65D0" w:rsidRPr="008A67C2" w:rsidRDefault="00831075" w:rsidP="008A67C2">
    <w:pPr>
      <w:pStyle w:val="En-tte"/>
      <w:jc w:val="right"/>
    </w:pPr>
    <w:r>
      <w:rPr>
        <w:noProof/>
      </w:rPr>
      <w:pict w14:anchorId="709C94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58" o:spid="_x0000_s2126" type="#_x0000_t136" style="position:absolute;left:0;text-align:left;margin-left:0;margin-top:0;width:602.7pt;height:60.25pt;rotation:315;z-index:-25149952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127</w:t>
    </w:r>
    <w:r w:rsidR="00FD65D0" w:rsidRPr="00BC0328">
      <w:rPr>
        <w:rFonts w:ascii="Arial" w:hAnsi="Arial" w:cs="Arial"/>
        <w:sz w:val="18"/>
        <w:szCs w:val="18"/>
      </w:rPr>
      <w:fldChar w:fldCharType="end"/>
    </w:r>
  </w:p>
</w:hdr>
</file>

<file path=word/header4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168EF" w14:textId="5525061F" w:rsidR="00FD65D0" w:rsidRPr="008A67C2" w:rsidRDefault="00831075" w:rsidP="005D2EAA">
    <w:pPr>
      <w:pStyle w:val="En-tte"/>
      <w:spacing w:after="480"/>
      <w:jc w:val="right"/>
    </w:pPr>
    <w:r>
      <w:rPr>
        <w:noProof/>
      </w:rPr>
      <w:pict w14:anchorId="0C28D3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56" o:spid="_x0000_s2124" type="#_x0000_t136" style="position:absolute;left:0;text-align:left;margin-left:0;margin-top:0;width:602.7pt;height:60.25pt;rotation:315;z-index:-25150361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119</w:t>
    </w:r>
    <w:r w:rsidR="00FD65D0" w:rsidRPr="00BC0328">
      <w:rPr>
        <w:rFonts w:ascii="Arial" w:hAnsi="Arial" w:cs="Arial"/>
        <w:sz w:val="18"/>
        <w:szCs w:val="18"/>
      </w:rPr>
      <w:fldChar w:fldCharType="end"/>
    </w:r>
  </w:p>
</w:hdr>
</file>

<file path=word/header4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690EC" w14:textId="03F3A253" w:rsidR="00FD65D0" w:rsidRPr="00E65E42" w:rsidRDefault="00831075" w:rsidP="00E65E42">
    <w:pPr>
      <w:pStyle w:val="En-tte"/>
    </w:pPr>
    <w:r>
      <w:rPr>
        <w:noProof/>
      </w:rPr>
      <w:pict w14:anchorId="56AB47F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60" o:spid="_x0000_s2128" type="#_x0000_t136" style="position:absolute;margin-left:0;margin-top:0;width:602.7pt;height:60.25pt;rotation:315;z-index:-251495424;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FD65D0">
      <w:rPr>
        <w:rFonts w:ascii="Arial" w:hAnsi="Arial" w:cs="Arial"/>
        <w:noProof/>
        <w:sz w:val="18"/>
        <w:szCs w:val="18"/>
      </w:rPr>
      <w:t>128</w:t>
    </w:r>
    <w:r w:rsidR="00FD65D0" w:rsidRPr="00BC0328">
      <w:rPr>
        <w:rFonts w:ascii="Arial" w:hAnsi="Arial" w:cs="Arial"/>
        <w:sz w:val="18"/>
        <w:szCs w:val="18"/>
      </w:rPr>
      <w:fldChar w:fldCharType="end"/>
    </w:r>
  </w:p>
</w:hdr>
</file>

<file path=word/header4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20960" w14:textId="2C7C2451" w:rsidR="00FD65D0" w:rsidRPr="00EE0A09" w:rsidRDefault="00831075" w:rsidP="005D2EAA">
    <w:pPr>
      <w:pStyle w:val="En-tte"/>
      <w:spacing w:after="480"/>
      <w:jc w:val="right"/>
    </w:pPr>
    <w:r>
      <w:rPr>
        <w:noProof/>
      </w:rPr>
      <w:pict w14:anchorId="1DB6E0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61" o:spid="_x0000_s2129" type="#_x0000_t136" style="position:absolute;left:0;text-align:left;margin-left:0;margin-top:0;width:602.7pt;height:60.25pt;rotation:315;z-index:-25149337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129</w:t>
    </w:r>
    <w:r w:rsidR="00FD65D0" w:rsidRPr="00BC0328">
      <w:rPr>
        <w:rFonts w:ascii="Arial" w:hAnsi="Arial" w:cs="Arial"/>
        <w:sz w:val="18"/>
        <w:szCs w:val="18"/>
      </w:rPr>
      <w:fldChar w:fldCharType="end"/>
    </w:r>
  </w:p>
</w:hdr>
</file>

<file path=word/header4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90522" w14:textId="01A5F63B" w:rsidR="00FD65D0" w:rsidRPr="00C4589D" w:rsidRDefault="00831075">
    <w:pPr>
      <w:pStyle w:val="En-tte"/>
      <w:rPr>
        <w:rFonts w:ascii="Arial" w:hAnsi="Arial"/>
        <w:sz w:val="18"/>
      </w:rPr>
    </w:pPr>
    <w:r>
      <w:rPr>
        <w:noProof/>
      </w:rPr>
      <w:pict w14:anchorId="459F0C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59" o:spid="_x0000_s2127" type="#_x0000_t136" style="position:absolute;margin-left:0;margin-top:0;width:602.7pt;height:60.25pt;rotation:315;z-index:-25149747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5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4CFE2" w14:textId="593B639D" w:rsidR="00FD65D0" w:rsidRPr="00E65E42" w:rsidRDefault="00831075" w:rsidP="005D2EAA">
    <w:pPr>
      <w:pStyle w:val="En-tte"/>
      <w:spacing w:after="480"/>
    </w:pPr>
    <w:r>
      <w:rPr>
        <w:noProof/>
      </w:rPr>
      <w:pict w14:anchorId="6500C4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63" o:spid="_x0000_s2131" type="#_x0000_t136" style="position:absolute;margin-left:0;margin-top:0;width:602.7pt;height:60.25pt;rotation:315;z-index:-25148928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144</w:t>
    </w:r>
    <w:r w:rsidR="00FD65D0" w:rsidRPr="00BC0328">
      <w:rPr>
        <w:rFonts w:ascii="Arial" w:hAnsi="Arial" w:cs="Arial"/>
        <w:sz w:val="18"/>
        <w:szCs w:val="18"/>
      </w:rPr>
      <w:fldChar w:fldCharType="end"/>
    </w:r>
  </w:p>
</w:hdr>
</file>

<file path=word/header5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884E2" w14:textId="1B7B2808" w:rsidR="00FD65D0" w:rsidRPr="003D3A86" w:rsidRDefault="00831075" w:rsidP="003D3A86">
    <w:pPr>
      <w:pStyle w:val="En-tte"/>
      <w:spacing w:after="480"/>
      <w:jc w:val="right"/>
      <w:rPr>
        <w:rFonts w:ascii="Arial" w:hAnsi="Arial" w:cs="Arial"/>
        <w:sz w:val="18"/>
        <w:szCs w:val="18"/>
      </w:rPr>
    </w:pPr>
    <w:r>
      <w:rPr>
        <w:noProof/>
      </w:rPr>
      <w:pict w14:anchorId="755A65C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59" type="#_x0000_t136" style="position:absolute;left:0;text-align:left;margin-left:0;margin-top:0;width:602.7pt;height:60.25pt;rotation:315;z-index:-251433984;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AD147D">
      <w:rPr>
        <w:rFonts w:ascii="Arial" w:hAnsi="Arial" w:cs="Arial"/>
        <w:sz w:val="18"/>
        <w:szCs w:val="18"/>
      </w:rPr>
      <w:fldChar w:fldCharType="begin"/>
    </w:r>
    <w:r w:rsidR="00FD65D0" w:rsidRPr="00AD147D">
      <w:rPr>
        <w:rFonts w:ascii="Arial" w:hAnsi="Arial" w:cs="Arial"/>
        <w:sz w:val="18"/>
        <w:szCs w:val="18"/>
      </w:rPr>
      <w:instrText>PAGE   \* MERGEFORMAT</w:instrText>
    </w:r>
    <w:r w:rsidR="00FD65D0" w:rsidRPr="00AD147D">
      <w:rPr>
        <w:rFonts w:ascii="Arial" w:hAnsi="Arial" w:cs="Arial"/>
        <w:sz w:val="18"/>
        <w:szCs w:val="18"/>
      </w:rPr>
      <w:fldChar w:fldCharType="separate"/>
    </w:r>
    <w:r w:rsidR="00431AE2">
      <w:rPr>
        <w:rFonts w:ascii="Arial" w:hAnsi="Arial" w:cs="Arial"/>
        <w:noProof/>
        <w:sz w:val="18"/>
        <w:szCs w:val="18"/>
      </w:rPr>
      <w:t>143</w:t>
    </w:r>
    <w:r w:rsidR="00FD65D0" w:rsidRPr="00AD147D">
      <w:rPr>
        <w:rFonts w:ascii="Arial" w:hAnsi="Arial" w:cs="Arial"/>
        <w:sz w:val="18"/>
        <w:szCs w:val="18"/>
      </w:rPr>
      <w:fldChar w:fldCharType="end"/>
    </w:r>
    <w:r>
      <w:rPr>
        <w:noProof/>
      </w:rPr>
      <w:pict w14:anchorId="6786F02A">
        <v:shape id="PowerPlusWaterMarkObject423051864" o:spid="_x0000_s2132" type="#_x0000_t136" style="position:absolute;left:0;text-align:left;margin-left:0;margin-top:0;width:602.7pt;height:60.25pt;rotation:315;z-index:-25148723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5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2AE67" w14:textId="5928EA2F" w:rsidR="00FD65D0" w:rsidRDefault="00831075">
    <w:pPr>
      <w:pStyle w:val="En-tte"/>
    </w:pPr>
    <w:r>
      <w:rPr>
        <w:noProof/>
      </w:rPr>
      <w:pict w14:anchorId="7F396D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62" o:spid="_x0000_s2130" type="#_x0000_t136" style="position:absolute;margin-left:0;margin-top:0;width:602.7pt;height:60.25pt;rotation:315;z-index:-25149132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5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78581" w14:textId="3FC40CA0" w:rsidR="00FD65D0" w:rsidRPr="00C4038B" w:rsidRDefault="00831075" w:rsidP="000A62A2">
    <w:pPr>
      <w:pStyle w:val="En-tte"/>
      <w:spacing w:after="480"/>
      <w:rPr>
        <w:rFonts w:ascii="Arial" w:hAnsi="Arial" w:cs="Arial"/>
        <w:noProof/>
        <w:szCs w:val="18"/>
      </w:rPr>
    </w:pPr>
    <w:r>
      <w:rPr>
        <w:rFonts w:ascii="Arial" w:hAnsi="Arial" w:cs="Arial"/>
        <w:noProof/>
        <w:szCs w:val="18"/>
      </w:rPr>
      <w:pict w14:anchorId="6CE637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66" o:spid="_x0000_s2151" type="#_x0000_t136" style="position:absolute;margin-left:0;margin-top:0;width:602.7pt;height:60.25pt;rotation:315;z-index:-25144832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C4038B">
      <w:rPr>
        <w:rFonts w:ascii="Arial" w:hAnsi="Arial" w:cs="Arial"/>
        <w:noProof/>
        <w:sz w:val="18"/>
        <w:szCs w:val="18"/>
      </w:rPr>
      <w:fldChar w:fldCharType="begin"/>
    </w:r>
    <w:r w:rsidR="00FD65D0" w:rsidRPr="00C4038B">
      <w:rPr>
        <w:rFonts w:ascii="Arial" w:hAnsi="Arial" w:cs="Arial"/>
        <w:noProof/>
        <w:sz w:val="18"/>
        <w:szCs w:val="18"/>
      </w:rPr>
      <w:instrText>PAGE   \* MERGEFORMAT</w:instrText>
    </w:r>
    <w:r w:rsidR="00FD65D0" w:rsidRPr="00C4038B">
      <w:rPr>
        <w:rFonts w:ascii="Arial" w:hAnsi="Arial" w:cs="Arial"/>
        <w:noProof/>
        <w:sz w:val="18"/>
        <w:szCs w:val="18"/>
      </w:rPr>
      <w:fldChar w:fldCharType="separate"/>
    </w:r>
    <w:r w:rsidR="00431AE2" w:rsidRPr="00431AE2">
      <w:rPr>
        <w:rFonts w:ascii="Arial" w:hAnsi="Arial" w:cs="Arial"/>
        <w:noProof/>
        <w:szCs w:val="18"/>
      </w:rPr>
      <w:t>150</w:t>
    </w:r>
    <w:r w:rsidR="00FD65D0" w:rsidRPr="00C4038B">
      <w:rPr>
        <w:rFonts w:ascii="Arial" w:hAnsi="Arial" w:cs="Arial"/>
        <w:noProof/>
        <w:sz w:val="18"/>
        <w:szCs w:val="18"/>
      </w:rPr>
      <w:fldChar w:fldCharType="end"/>
    </w:r>
  </w:p>
</w:hdr>
</file>

<file path=word/header5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B4B4B" w14:textId="72CF813A" w:rsidR="00FD65D0" w:rsidRPr="00C4038B" w:rsidRDefault="00831075" w:rsidP="000A62A2">
    <w:pPr>
      <w:pStyle w:val="En-tte"/>
      <w:spacing w:after="480"/>
      <w:jc w:val="right"/>
      <w:rPr>
        <w:rFonts w:ascii="Arial" w:hAnsi="Arial" w:cs="Arial"/>
        <w:noProof/>
        <w:szCs w:val="18"/>
      </w:rPr>
    </w:pPr>
    <w:r>
      <w:rPr>
        <w:rFonts w:ascii="Arial" w:hAnsi="Arial" w:cs="Arial"/>
        <w:noProof/>
        <w:szCs w:val="18"/>
      </w:rPr>
      <w:pict w14:anchorId="56E9B44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53" type="#_x0000_t136" style="position:absolute;left:0;text-align:left;margin-left:0;margin-top:0;width:602.7pt;height:60.25pt;rotation:315;z-index:-25144627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C4038B">
      <w:rPr>
        <w:rFonts w:ascii="Arial" w:hAnsi="Arial" w:cs="Arial"/>
        <w:noProof/>
        <w:sz w:val="18"/>
        <w:szCs w:val="18"/>
      </w:rPr>
      <w:fldChar w:fldCharType="begin"/>
    </w:r>
    <w:r w:rsidR="00FD65D0" w:rsidRPr="00C4038B">
      <w:rPr>
        <w:rFonts w:ascii="Arial" w:hAnsi="Arial" w:cs="Arial"/>
        <w:noProof/>
        <w:sz w:val="18"/>
        <w:szCs w:val="18"/>
      </w:rPr>
      <w:instrText>PAGE   \* MERGEFORMAT</w:instrText>
    </w:r>
    <w:r w:rsidR="00FD65D0" w:rsidRPr="00C4038B">
      <w:rPr>
        <w:rFonts w:ascii="Arial" w:hAnsi="Arial" w:cs="Arial"/>
        <w:noProof/>
        <w:sz w:val="18"/>
        <w:szCs w:val="18"/>
      </w:rPr>
      <w:fldChar w:fldCharType="separate"/>
    </w:r>
    <w:r w:rsidR="00431AE2" w:rsidRPr="00431AE2">
      <w:rPr>
        <w:rFonts w:ascii="Arial" w:hAnsi="Arial" w:cs="Arial"/>
        <w:noProof/>
        <w:szCs w:val="18"/>
      </w:rPr>
      <w:t>149</w:t>
    </w:r>
    <w:r w:rsidR="00FD65D0" w:rsidRPr="00C4038B">
      <w:rPr>
        <w:rFonts w:ascii="Arial" w:hAnsi="Arial" w:cs="Arial"/>
        <w:noProof/>
        <w:sz w:val="18"/>
        <w:szCs w:val="18"/>
      </w:rPr>
      <w:fldChar w:fldCharType="end"/>
    </w:r>
  </w:p>
</w:hdr>
</file>

<file path=word/header5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98A8C" w14:textId="2DA8AB31" w:rsidR="00FD65D0" w:rsidRPr="00C4038B" w:rsidRDefault="00831075" w:rsidP="000A62A2">
    <w:pPr>
      <w:pStyle w:val="En-tte"/>
      <w:spacing w:after="480"/>
      <w:jc w:val="right"/>
      <w:rPr>
        <w:rFonts w:ascii="Arial" w:hAnsi="Arial" w:cs="Arial"/>
        <w:noProof/>
        <w:szCs w:val="18"/>
      </w:rPr>
    </w:pPr>
    <w:r>
      <w:rPr>
        <w:rFonts w:ascii="Arial" w:hAnsi="Arial" w:cs="Arial"/>
        <w:noProof/>
        <w:szCs w:val="18"/>
      </w:rPr>
      <w:pict w14:anchorId="5EB6EE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52" type="#_x0000_t136" style="position:absolute;left:0;text-align:left;margin-left:0;margin-top:0;width:602.7pt;height:60.25pt;rotation:315;z-index:-25144729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C4038B">
      <w:rPr>
        <w:rFonts w:ascii="Arial" w:hAnsi="Arial" w:cs="Arial"/>
        <w:noProof/>
        <w:sz w:val="18"/>
        <w:szCs w:val="18"/>
      </w:rPr>
      <w:fldChar w:fldCharType="begin"/>
    </w:r>
    <w:r w:rsidR="00FD65D0" w:rsidRPr="00C4038B">
      <w:rPr>
        <w:rFonts w:ascii="Arial" w:hAnsi="Arial" w:cs="Arial"/>
        <w:noProof/>
        <w:sz w:val="18"/>
        <w:szCs w:val="18"/>
      </w:rPr>
      <w:instrText>PAGE   \* MERGEFORMAT</w:instrText>
    </w:r>
    <w:r w:rsidR="00FD65D0" w:rsidRPr="00C4038B">
      <w:rPr>
        <w:rFonts w:ascii="Arial" w:hAnsi="Arial" w:cs="Arial"/>
        <w:noProof/>
        <w:sz w:val="18"/>
        <w:szCs w:val="18"/>
      </w:rPr>
      <w:fldChar w:fldCharType="separate"/>
    </w:r>
    <w:r w:rsidR="00431AE2" w:rsidRPr="00431AE2">
      <w:rPr>
        <w:rFonts w:ascii="Arial" w:hAnsi="Arial" w:cs="Arial"/>
        <w:noProof/>
        <w:szCs w:val="18"/>
      </w:rPr>
      <w:t>151</w:t>
    </w:r>
    <w:r w:rsidR="00FD65D0" w:rsidRPr="00C4038B">
      <w:rPr>
        <w:rFonts w:ascii="Arial" w:hAnsi="Arial" w:cs="Arial"/>
        <w:noProof/>
        <w:sz w:val="18"/>
        <w:szCs w:val="18"/>
      </w:rPr>
      <w:fldChar w:fldCharType="end"/>
    </w:r>
  </w:p>
</w:hdr>
</file>

<file path=word/header5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D8C5D" w14:textId="514CC315" w:rsidR="00FD65D0" w:rsidRPr="00CA456F" w:rsidRDefault="00831075" w:rsidP="00CA456F">
    <w:pPr>
      <w:pStyle w:val="En-tte"/>
      <w:spacing w:after="480"/>
      <w:rPr>
        <w:rFonts w:ascii="Arial" w:hAnsi="Arial" w:cs="Arial"/>
        <w:noProof/>
        <w:szCs w:val="18"/>
      </w:rPr>
    </w:pPr>
    <w:r>
      <w:rPr>
        <w:rFonts w:ascii="Arial" w:hAnsi="Arial" w:cs="Arial"/>
        <w:noProof/>
        <w:szCs w:val="18"/>
      </w:rPr>
      <w:pict w14:anchorId="2E13E4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55" type="#_x0000_t136" style="position:absolute;margin-left:0;margin-top:0;width:602.7pt;height:60.25pt;rotation:315;z-index:-25144217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C4038B">
      <w:rPr>
        <w:rFonts w:ascii="Arial" w:hAnsi="Arial" w:cs="Arial"/>
        <w:noProof/>
        <w:sz w:val="18"/>
        <w:szCs w:val="18"/>
      </w:rPr>
      <w:fldChar w:fldCharType="begin"/>
    </w:r>
    <w:r w:rsidR="00FD65D0" w:rsidRPr="00C4038B">
      <w:rPr>
        <w:rFonts w:ascii="Arial" w:hAnsi="Arial" w:cs="Arial"/>
        <w:noProof/>
        <w:sz w:val="18"/>
        <w:szCs w:val="18"/>
      </w:rPr>
      <w:instrText>PAGE   \* MERGEFORMAT</w:instrText>
    </w:r>
    <w:r w:rsidR="00FD65D0" w:rsidRPr="00C4038B">
      <w:rPr>
        <w:rFonts w:ascii="Arial" w:hAnsi="Arial" w:cs="Arial"/>
        <w:noProof/>
        <w:sz w:val="18"/>
        <w:szCs w:val="18"/>
      </w:rPr>
      <w:fldChar w:fldCharType="separate"/>
    </w:r>
    <w:r w:rsidR="00431AE2" w:rsidRPr="00431AE2">
      <w:rPr>
        <w:rFonts w:ascii="Arial" w:hAnsi="Arial" w:cs="Arial"/>
        <w:noProof/>
        <w:szCs w:val="18"/>
      </w:rPr>
      <w:t>158</w:t>
    </w:r>
    <w:r w:rsidR="00FD65D0" w:rsidRPr="00C4038B">
      <w:rPr>
        <w:rFonts w:ascii="Arial" w:hAnsi="Arial" w:cs="Arial"/>
        <w:noProof/>
        <w:sz w:val="18"/>
        <w:szCs w:val="18"/>
      </w:rPr>
      <w:fldChar w:fldCharType="end"/>
    </w:r>
    <w:r>
      <w:rPr>
        <w:noProof/>
      </w:rPr>
      <w:pict w14:anchorId="02EBBF00">
        <v:shape id="PowerPlusWaterMarkObject423051875" o:spid="_x0000_s2143" type="#_x0000_t136" style="position:absolute;margin-left:0;margin-top:0;width:602.7pt;height:60.25pt;rotation:315;z-index:-251464704;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5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E29BC" w14:textId="731DBB05" w:rsidR="00FD65D0" w:rsidRPr="007757F5" w:rsidRDefault="00831075" w:rsidP="00F373BA">
    <w:pPr>
      <w:pStyle w:val="En-tte"/>
      <w:jc w:val="right"/>
    </w:pPr>
    <w:r>
      <w:rPr>
        <w:noProof/>
      </w:rPr>
      <w:pict w14:anchorId="229842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76" o:spid="_x0000_s2144" type="#_x0000_t136" style="position:absolute;left:0;text-align:left;margin-left:0;margin-top:0;width:602.7pt;height:60.25pt;rotation:315;z-index:-25146265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157</w:t>
    </w:r>
    <w:r w:rsidR="00FD65D0" w:rsidRPr="00BC0328">
      <w:rPr>
        <w:rFonts w:ascii="Arial" w:hAnsi="Arial" w:cs="Arial"/>
        <w:sz w:val="18"/>
        <w:szCs w:val="18"/>
      </w:rPr>
      <w:fldChar w:fldCharType="end"/>
    </w:r>
  </w:p>
</w:hdr>
</file>

<file path=word/header5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4F34F" w14:textId="7F7072D6" w:rsidR="00FD65D0" w:rsidRPr="00CA456F" w:rsidRDefault="00831075" w:rsidP="00CA456F">
    <w:pPr>
      <w:pStyle w:val="En-tte"/>
      <w:spacing w:after="480"/>
      <w:rPr>
        <w:rFonts w:ascii="Arial" w:hAnsi="Arial" w:cs="Arial"/>
        <w:noProof/>
        <w:sz w:val="18"/>
        <w:szCs w:val="18"/>
      </w:rPr>
    </w:pPr>
    <w:r>
      <w:rPr>
        <w:rFonts w:ascii="Arial" w:hAnsi="Arial" w:cs="Arial"/>
        <w:noProof/>
        <w:sz w:val="18"/>
        <w:szCs w:val="18"/>
      </w:rPr>
      <w:pict w14:anchorId="126FEE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54" type="#_x0000_t136" style="position:absolute;margin-left:0;margin-top:0;width:602.7pt;height:60.25pt;rotation:315;z-index:-251444224;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CA456F">
      <w:rPr>
        <w:rFonts w:ascii="Arial" w:hAnsi="Arial" w:cs="Arial"/>
        <w:noProof/>
        <w:sz w:val="18"/>
        <w:szCs w:val="18"/>
      </w:rPr>
      <w:fldChar w:fldCharType="begin"/>
    </w:r>
    <w:r w:rsidR="00FD65D0" w:rsidRPr="00CA456F">
      <w:rPr>
        <w:rFonts w:ascii="Arial" w:hAnsi="Arial" w:cs="Arial"/>
        <w:noProof/>
        <w:sz w:val="18"/>
        <w:szCs w:val="18"/>
      </w:rPr>
      <w:instrText>PAGE   \* MERGEFORMAT</w:instrText>
    </w:r>
    <w:r w:rsidR="00FD65D0" w:rsidRPr="00CA456F">
      <w:rPr>
        <w:rFonts w:ascii="Arial" w:hAnsi="Arial" w:cs="Arial"/>
        <w:noProof/>
        <w:sz w:val="18"/>
        <w:szCs w:val="18"/>
      </w:rPr>
      <w:fldChar w:fldCharType="separate"/>
    </w:r>
    <w:r w:rsidR="00431AE2">
      <w:rPr>
        <w:rFonts w:ascii="Arial" w:hAnsi="Arial" w:cs="Arial"/>
        <w:noProof/>
        <w:sz w:val="18"/>
        <w:szCs w:val="18"/>
      </w:rPr>
      <w:t>152</w:t>
    </w:r>
    <w:r w:rsidR="00FD65D0" w:rsidRPr="00CA456F">
      <w:rPr>
        <w:rFonts w:ascii="Arial" w:hAnsi="Arial" w:cs="Arial"/>
        <w:noProof/>
        <w:sz w:val="18"/>
        <w:szCs w:val="18"/>
      </w:rPr>
      <w:fldChar w:fldCharType="end"/>
    </w:r>
    <w:r>
      <w:rPr>
        <w:noProof/>
        <w:sz w:val="18"/>
        <w:szCs w:val="18"/>
      </w:rPr>
      <w:pict w14:anchorId="1B568077">
        <v:shape id="PowerPlusWaterMarkObject423051874" o:spid="_x0000_s2142" type="#_x0000_t136" style="position:absolute;margin-left:0;margin-top:0;width:602.7pt;height:60.25pt;rotation:315;z-index:-25146675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p>
</w:hdr>
</file>

<file path=word/header5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29577" w14:textId="086A40C5" w:rsidR="00FD65D0" w:rsidRPr="007757F5" w:rsidRDefault="00831075" w:rsidP="005D2EAA">
    <w:pPr>
      <w:pStyle w:val="En-tte"/>
      <w:spacing w:after="480"/>
    </w:pPr>
    <w:r>
      <w:rPr>
        <w:noProof/>
      </w:rPr>
      <w:pict w14:anchorId="1FFB75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78" o:spid="_x0000_s2146" type="#_x0000_t136" style="position:absolute;margin-left:0;margin-top:0;width:602.7pt;height:60.25pt;rotation:315;z-index:-25145856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164</w:t>
    </w:r>
    <w:r w:rsidR="00FD65D0" w:rsidRPr="00BC0328">
      <w:rPr>
        <w:rFonts w:ascii="Arial" w:hAnsi="Arial" w:cs="Arial"/>
        <w:sz w:val="18"/>
        <w:szCs w:val="18"/>
      </w:rPr>
      <w:fldChar w:fldCharType="end"/>
    </w:r>
  </w:p>
</w:hdr>
</file>

<file path=word/header6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47E24" w14:textId="0C6A56F2" w:rsidR="00FD65D0" w:rsidRPr="007757F5" w:rsidRDefault="00831075" w:rsidP="005D2EAA">
    <w:pPr>
      <w:pStyle w:val="En-tte"/>
      <w:spacing w:after="480"/>
      <w:jc w:val="right"/>
    </w:pPr>
    <w:r>
      <w:rPr>
        <w:noProof/>
      </w:rPr>
      <w:pict w14:anchorId="0F0414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79" o:spid="_x0000_s2147" type="#_x0000_t136" style="position:absolute;left:0;text-align:left;margin-left:0;margin-top:0;width:602.7pt;height:60.25pt;rotation:315;z-index:-251456512;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165</w:t>
    </w:r>
    <w:r w:rsidR="00FD65D0" w:rsidRPr="00BC0328">
      <w:rPr>
        <w:rFonts w:ascii="Arial" w:hAnsi="Arial" w:cs="Arial"/>
        <w:sz w:val="18"/>
        <w:szCs w:val="18"/>
      </w:rPr>
      <w:fldChar w:fldCharType="end"/>
    </w:r>
  </w:p>
</w:hdr>
</file>

<file path=word/header6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EAC3E" w14:textId="510408BC" w:rsidR="00FD65D0" w:rsidRPr="007757F5" w:rsidRDefault="00831075" w:rsidP="00B6151C">
    <w:pPr>
      <w:pStyle w:val="En-tte"/>
      <w:spacing w:after="480"/>
      <w:jc w:val="right"/>
    </w:pPr>
    <w:r>
      <w:rPr>
        <w:noProof/>
      </w:rPr>
      <w:pict w14:anchorId="06AF44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77" o:spid="_x0000_s2145" type="#_x0000_t136" style="position:absolute;left:0;text-align:left;margin-left:0;margin-top:0;width:602.7pt;height:60.25pt;rotation:315;z-index:-25146060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159</w:t>
    </w:r>
    <w:r w:rsidR="00FD65D0" w:rsidRPr="00BC0328">
      <w:rPr>
        <w:rFonts w:ascii="Arial" w:hAnsi="Arial" w:cs="Arial"/>
        <w:sz w:val="18"/>
        <w:szCs w:val="18"/>
      </w:rPr>
      <w:fldChar w:fldCharType="end"/>
    </w:r>
  </w:p>
</w:hdr>
</file>

<file path=word/header6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D11CF" w14:textId="2D71F29C" w:rsidR="00FD65D0" w:rsidRPr="007757F5" w:rsidRDefault="00831075" w:rsidP="00555AD1">
    <w:pPr>
      <w:pStyle w:val="En-tte"/>
      <w:spacing w:after="480"/>
    </w:pPr>
    <w:r>
      <w:rPr>
        <w:noProof/>
      </w:rPr>
      <w:pict w14:anchorId="00FCD0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81" o:spid="_x0000_s2149" type="#_x0000_t136" style="position:absolute;margin-left:0;margin-top:0;width:602.7pt;height:60.25pt;rotation:315;z-index:-25145241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176</w:t>
    </w:r>
    <w:r w:rsidR="00FD65D0" w:rsidRPr="00BC0328">
      <w:rPr>
        <w:rFonts w:ascii="Arial" w:hAnsi="Arial" w:cs="Arial"/>
        <w:sz w:val="18"/>
        <w:szCs w:val="18"/>
      </w:rPr>
      <w:fldChar w:fldCharType="end"/>
    </w:r>
  </w:p>
</w:hdr>
</file>

<file path=word/header6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F2CF9" w14:textId="31014A0D" w:rsidR="00FD65D0" w:rsidRPr="007757F5" w:rsidRDefault="00831075" w:rsidP="00555AD1">
    <w:pPr>
      <w:pStyle w:val="En-tte"/>
      <w:spacing w:after="480"/>
      <w:jc w:val="right"/>
    </w:pPr>
    <w:r>
      <w:rPr>
        <w:noProof/>
      </w:rPr>
      <w:pict w14:anchorId="0012BB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82" o:spid="_x0000_s2150" type="#_x0000_t136" style="position:absolute;left:0;text-align:left;margin-left:0;margin-top:0;width:602.7pt;height:60.25pt;rotation:315;z-index:-25145036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177</w:t>
    </w:r>
    <w:r w:rsidR="00FD65D0" w:rsidRPr="00BC0328">
      <w:rPr>
        <w:rFonts w:ascii="Arial" w:hAnsi="Arial" w:cs="Arial"/>
        <w:sz w:val="18"/>
        <w:szCs w:val="18"/>
      </w:rPr>
      <w:fldChar w:fldCharType="end"/>
    </w:r>
  </w:p>
</w:hdr>
</file>

<file path=word/header6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EFA7B" w14:textId="74299CFD" w:rsidR="00FD65D0" w:rsidRPr="007757F5" w:rsidRDefault="00831075" w:rsidP="00555AD1">
    <w:pPr>
      <w:pStyle w:val="En-tte"/>
      <w:spacing w:after="480"/>
    </w:pPr>
    <w:r>
      <w:rPr>
        <w:noProof/>
      </w:rPr>
      <w:pict w14:anchorId="34C3B5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051880" o:spid="_x0000_s2148" type="#_x0000_t136" style="position:absolute;margin-left:0;margin-top:0;width:602.7pt;height:60.25pt;rotation:315;z-index:-251454464;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FD65D0" w:rsidRPr="00BC0328">
      <w:rPr>
        <w:rFonts w:ascii="Arial" w:hAnsi="Arial" w:cs="Arial"/>
        <w:sz w:val="18"/>
        <w:szCs w:val="18"/>
      </w:rPr>
      <w:fldChar w:fldCharType="begin"/>
    </w:r>
    <w:r w:rsidR="00FD65D0" w:rsidRPr="00BC0328">
      <w:rPr>
        <w:rFonts w:ascii="Arial" w:hAnsi="Arial" w:cs="Arial"/>
        <w:sz w:val="18"/>
        <w:szCs w:val="18"/>
      </w:rPr>
      <w:instrText>PAGE   \* MERGEFORMAT</w:instrText>
    </w:r>
    <w:r w:rsidR="00FD65D0" w:rsidRPr="00BC0328">
      <w:rPr>
        <w:rFonts w:ascii="Arial" w:hAnsi="Arial" w:cs="Arial"/>
        <w:sz w:val="18"/>
        <w:szCs w:val="18"/>
      </w:rPr>
      <w:fldChar w:fldCharType="separate"/>
    </w:r>
    <w:r w:rsidR="00431AE2">
      <w:rPr>
        <w:rFonts w:ascii="Arial" w:hAnsi="Arial" w:cs="Arial"/>
        <w:noProof/>
        <w:sz w:val="18"/>
        <w:szCs w:val="18"/>
      </w:rPr>
      <w:t>166</w:t>
    </w:r>
    <w:r w:rsidR="00FD65D0" w:rsidRPr="00BC0328">
      <w:rPr>
        <w:rFonts w:ascii="Arial" w:hAnsi="Arial" w:cs="Arial"/>
        <w:sz w:val="18"/>
        <w:szCs w:val="18"/>
      </w:rPr>
      <w:fldChar w:fldCharType="end"/>
    </w:r>
  </w:p>
  <w:p w14:paraId="55D89E39" w14:textId="330C4451" w:rsidR="00FD65D0" w:rsidRPr="00555AD1" w:rsidRDefault="00FD65D0" w:rsidP="00555AD1">
    <w:pPr>
      <w:pStyle w:val="En-tte"/>
    </w:pPr>
  </w:p>
</w:hdr>
</file>

<file path=word/header6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00DB0" w14:textId="3B7E5B1F" w:rsidR="00FD65D0" w:rsidRPr="00016309" w:rsidRDefault="00FD65D0" w:rsidP="00016309">
    <w:pPr>
      <w:pStyle w:val="En-tt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8AC8AF94"/>
    <w:lvl w:ilvl="0">
      <w:start w:val="1"/>
      <w:numFmt w:val="bullet"/>
      <w:pStyle w:val="Listepuces4"/>
      <w:lvlText w:val=""/>
      <w:lvlJc w:val="left"/>
      <w:pPr>
        <w:tabs>
          <w:tab w:val="num" w:pos="1209"/>
        </w:tabs>
        <w:ind w:left="1209" w:hanging="360"/>
      </w:pPr>
      <w:rPr>
        <w:rFonts w:ascii="Symbol" w:hAnsi="Symbol" w:hint="default"/>
      </w:rPr>
    </w:lvl>
  </w:abstractNum>
  <w:abstractNum w:abstractNumId="1" w15:restartNumberingAfterBreak="0">
    <w:nsid w:val="03B73D0C"/>
    <w:multiLevelType w:val="hybridMultilevel"/>
    <w:tmpl w:val="1F66D95E"/>
    <w:styleLink w:val="List01"/>
    <w:lvl w:ilvl="0" w:tplc="6F78D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F2E5F"/>
    <w:multiLevelType w:val="hybridMultilevel"/>
    <w:tmpl w:val="EBFCA624"/>
    <w:lvl w:ilvl="0" w:tplc="08090017">
      <w:start w:val="3"/>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367103"/>
    <w:multiLevelType w:val="multilevel"/>
    <w:tmpl w:val="0C090023"/>
    <w:styleLink w:val="ArticleSection"/>
    <w:lvl w:ilvl="0">
      <w:start w:val="1"/>
      <w:numFmt w:val="upperRoman"/>
      <w:lvlText w:val="Article %1."/>
      <w:lvlJc w:val="left"/>
      <w:pPr>
        <w:tabs>
          <w:tab w:val="num" w:pos="1440"/>
        </w:tabs>
      </w:pPr>
    </w:lvl>
    <w:lvl w:ilvl="1">
      <w:start w:val="1"/>
      <w:numFmt w:val="decimalZero"/>
      <w:isLgl/>
      <w:lvlText w:val="Section %1.%2"/>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0EF74432"/>
    <w:multiLevelType w:val="hybridMultilevel"/>
    <w:tmpl w:val="3C9A50C8"/>
    <w:lvl w:ilvl="0" w:tplc="094645DA">
      <w:start w:val="6"/>
      <w:numFmt w:val="decimal"/>
      <w:lvlText w:val="%1."/>
      <w:lvlJc w:val="left"/>
      <w:pPr>
        <w:ind w:left="720" w:hanging="360"/>
      </w:pPr>
      <w:rPr>
        <w:rFonts w:hint="default"/>
        <w:u w:val="singl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E64CBD"/>
    <w:multiLevelType w:val="hybridMultilevel"/>
    <w:tmpl w:val="A7DC4B2A"/>
    <w:styleLink w:val="ImportedStyle12"/>
    <w:lvl w:ilvl="0" w:tplc="7D6ADFFE">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6" w15:restartNumberingAfterBreak="0">
    <w:nsid w:val="16835C00"/>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7" w15:restartNumberingAfterBreak="0">
    <w:nsid w:val="1F8E4C26"/>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2A774386"/>
    <w:multiLevelType w:val="hybridMultilevel"/>
    <w:tmpl w:val="8B0A602A"/>
    <w:styleLink w:val="ImportedStyle42"/>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DA0264"/>
    <w:multiLevelType w:val="hybridMultilevel"/>
    <w:tmpl w:val="C22CCEB8"/>
    <w:lvl w:ilvl="0" w:tplc="10A4B20E">
      <w:start w:val="1"/>
      <w:numFmt w:val="decimal"/>
      <w:lvlText w:val="%1)"/>
      <w:lvlJc w:val="left"/>
      <w:pPr>
        <w:ind w:left="532" w:hanging="426"/>
      </w:pPr>
      <w:rPr>
        <w:rFonts w:ascii="Arial" w:eastAsia="Arial" w:hAnsi="Arial" w:cs="Arial" w:hint="default"/>
        <w:spacing w:val="-1"/>
        <w:w w:val="99"/>
        <w:sz w:val="18"/>
        <w:szCs w:val="18"/>
        <w:lang w:val="en-US" w:eastAsia="en-US" w:bidi="en-US"/>
      </w:rPr>
    </w:lvl>
    <w:lvl w:ilvl="1" w:tplc="51C43364">
      <w:numFmt w:val="bullet"/>
      <w:lvlText w:val="•"/>
      <w:lvlJc w:val="left"/>
      <w:pPr>
        <w:ind w:left="1450" w:hanging="426"/>
      </w:pPr>
      <w:rPr>
        <w:rFonts w:hint="default"/>
        <w:lang w:val="en-US" w:eastAsia="en-US" w:bidi="en-US"/>
      </w:rPr>
    </w:lvl>
    <w:lvl w:ilvl="2" w:tplc="D9EE1B74">
      <w:numFmt w:val="bullet"/>
      <w:lvlText w:val="•"/>
      <w:lvlJc w:val="left"/>
      <w:pPr>
        <w:ind w:left="2360" w:hanging="426"/>
      </w:pPr>
      <w:rPr>
        <w:rFonts w:hint="default"/>
        <w:lang w:val="en-US" w:eastAsia="en-US" w:bidi="en-US"/>
      </w:rPr>
    </w:lvl>
    <w:lvl w:ilvl="3" w:tplc="75128FB8">
      <w:numFmt w:val="bullet"/>
      <w:lvlText w:val="•"/>
      <w:lvlJc w:val="left"/>
      <w:pPr>
        <w:ind w:left="3270" w:hanging="426"/>
      </w:pPr>
      <w:rPr>
        <w:rFonts w:hint="default"/>
        <w:lang w:val="en-US" w:eastAsia="en-US" w:bidi="en-US"/>
      </w:rPr>
    </w:lvl>
    <w:lvl w:ilvl="4" w:tplc="1B6A3B28">
      <w:numFmt w:val="bullet"/>
      <w:lvlText w:val="•"/>
      <w:lvlJc w:val="left"/>
      <w:pPr>
        <w:ind w:left="4180" w:hanging="426"/>
      </w:pPr>
      <w:rPr>
        <w:rFonts w:hint="default"/>
        <w:lang w:val="en-US" w:eastAsia="en-US" w:bidi="en-US"/>
      </w:rPr>
    </w:lvl>
    <w:lvl w:ilvl="5" w:tplc="BC3A8AAC">
      <w:numFmt w:val="bullet"/>
      <w:lvlText w:val="•"/>
      <w:lvlJc w:val="left"/>
      <w:pPr>
        <w:ind w:left="5090" w:hanging="426"/>
      </w:pPr>
      <w:rPr>
        <w:rFonts w:hint="default"/>
        <w:lang w:val="en-US" w:eastAsia="en-US" w:bidi="en-US"/>
      </w:rPr>
    </w:lvl>
    <w:lvl w:ilvl="6" w:tplc="7B806052">
      <w:numFmt w:val="bullet"/>
      <w:lvlText w:val="•"/>
      <w:lvlJc w:val="left"/>
      <w:pPr>
        <w:ind w:left="6000" w:hanging="426"/>
      </w:pPr>
      <w:rPr>
        <w:rFonts w:hint="default"/>
        <w:lang w:val="en-US" w:eastAsia="en-US" w:bidi="en-US"/>
      </w:rPr>
    </w:lvl>
    <w:lvl w:ilvl="7" w:tplc="C958D1FC">
      <w:numFmt w:val="bullet"/>
      <w:lvlText w:val="•"/>
      <w:lvlJc w:val="left"/>
      <w:pPr>
        <w:ind w:left="6910" w:hanging="426"/>
      </w:pPr>
      <w:rPr>
        <w:rFonts w:hint="default"/>
        <w:lang w:val="en-US" w:eastAsia="en-US" w:bidi="en-US"/>
      </w:rPr>
    </w:lvl>
    <w:lvl w:ilvl="8" w:tplc="4B5ED308">
      <w:numFmt w:val="bullet"/>
      <w:lvlText w:val="•"/>
      <w:lvlJc w:val="left"/>
      <w:pPr>
        <w:ind w:left="7820" w:hanging="426"/>
      </w:pPr>
      <w:rPr>
        <w:rFonts w:hint="default"/>
        <w:lang w:val="en-US" w:eastAsia="en-US" w:bidi="en-US"/>
      </w:rPr>
    </w:lvl>
  </w:abstractNum>
  <w:abstractNum w:abstractNumId="10" w15:restartNumberingAfterBreak="0">
    <w:nsid w:val="31A245B5"/>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11" w15:restartNumberingAfterBreak="0">
    <w:nsid w:val="340F5178"/>
    <w:multiLevelType w:val="hybridMultilevel"/>
    <w:tmpl w:val="971ED046"/>
    <w:lvl w:ilvl="0" w:tplc="A4C8104C">
      <w:start w:val="4"/>
      <w:numFmt w:val="bullet"/>
      <w:lvlText w:val="-"/>
      <w:lvlJc w:val="left"/>
      <w:pPr>
        <w:ind w:left="467" w:hanging="360"/>
      </w:pPr>
      <w:rPr>
        <w:rFonts w:ascii="Times New Roman" w:eastAsia="Arial" w:hAnsi="Times New Roman" w:cs="Times New Roman"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12" w15:restartNumberingAfterBreak="0">
    <w:nsid w:val="3B893474"/>
    <w:multiLevelType w:val="multilevel"/>
    <w:tmpl w:val="1F6AA610"/>
    <w:styleLink w:val="List1"/>
    <w:lvl w:ilvl="0">
      <w:numFmt w:val="bullet"/>
      <w:lvlText w:val="-"/>
      <w:lvlJc w:val="left"/>
      <w:pPr>
        <w:tabs>
          <w:tab w:val="num" w:pos="720"/>
        </w:tabs>
        <w:ind w:left="720" w:hanging="360"/>
      </w:pPr>
      <w:rPr>
        <w:position w:val="0"/>
        <w:sz w:val="24"/>
        <w:szCs w:val="24"/>
        <w:rtl w:val="0"/>
        <w:lang w:val="en-US"/>
      </w:rPr>
    </w:lvl>
    <w:lvl w:ilvl="1">
      <w:start w:val="1"/>
      <w:numFmt w:val="bullet"/>
      <w:lvlText w:val="o"/>
      <w:lvlJc w:val="left"/>
      <w:pPr>
        <w:tabs>
          <w:tab w:val="num" w:pos="1330"/>
        </w:tabs>
        <w:ind w:left="1330" w:hanging="250"/>
      </w:pPr>
      <w:rPr>
        <w:position w:val="0"/>
        <w:sz w:val="20"/>
        <w:szCs w:val="20"/>
        <w:rtl w:val="0"/>
        <w:lang w:val="en-US"/>
      </w:rPr>
    </w:lvl>
    <w:lvl w:ilvl="2">
      <w:start w:val="1"/>
      <w:numFmt w:val="bullet"/>
      <w:lvlText w:val="▪"/>
      <w:lvlJc w:val="left"/>
      <w:pPr>
        <w:tabs>
          <w:tab w:val="num" w:pos="2050"/>
        </w:tabs>
        <w:ind w:left="2050" w:hanging="250"/>
      </w:pPr>
      <w:rPr>
        <w:position w:val="0"/>
        <w:sz w:val="20"/>
        <w:szCs w:val="20"/>
        <w:rtl w:val="0"/>
        <w:lang w:val="en-US"/>
      </w:rPr>
    </w:lvl>
    <w:lvl w:ilvl="3">
      <w:start w:val="1"/>
      <w:numFmt w:val="bullet"/>
      <w:lvlText w:val="•"/>
      <w:lvlJc w:val="left"/>
      <w:pPr>
        <w:tabs>
          <w:tab w:val="num" w:pos="2770"/>
        </w:tabs>
        <w:ind w:left="2770" w:hanging="250"/>
      </w:pPr>
      <w:rPr>
        <w:position w:val="0"/>
        <w:sz w:val="20"/>
        <w:szCs w:val="20"/>
        <w:rtl w:val="0"/>
        <w:lang w:val="en-US"/>
      </w:rPr>
    </w:lvl>
    <w:lvl w:ilvl="4">
      <w:start w:val="1"/>
      <w:numFmt w:val="bullet"/>
      <w:lvlText w:val="o"/>
      <w:lvlJc w:val="left"/>
      <w:pPr>
        <w:tabs>
          <w:tab w:val="num" w:pos="3490"/>
        </w:tabs>
        <w:ind w:left="3490" w:hanging="250"/>
      </w:pPr>
      <w:rPr>
        <w:position w:val="0"/>
        <w:sz w:val="20"/>
        <w:szCs w:val="20"/>
        <w:rtl w:val="0"/>
        <w:lang w:val="en-US"/>
      </w:rPr>
    </w:lvl>
    <w:lvl w:ilvl="5">
      <w:start w:val="1"/>
      <w:numFmt w:val="bullet"/>
      <w:lvlText w:val="▪"/>
      <w:lvlJc w:val="left"/>
      <w:pPr>
        <w:tabs>
          <w:tab w:val="num" w:pos="4210"/>
        </w:tabs>
        <w:ind w:left="4210" w:hanging="250"/>
      </w:pPr>
      <w:rPr>
        <w:position w:val="0"/>
        <w:sz w:val="20"/>
        <w:szCs w:val="20"/>
        <w:rtl w:val="0"/>
        <w:lang w:val="en-US"/>
      </w:rPr>
    </w:lvl>
    <w:lvl w:ilvl="6">
      <w:start w:val="1"/>
      <w:numFmt w:val="bullet"/>
      <w:lvlText w:val="•"/>
      <w:lvlJc w:val="left"/>
      <w:pPr>
        <w:tabs>
          <w:tab w:val="num" w:pos="4930"/>
        </w:tabs>
        <w:ind w:left="4930" w:hanging="250"/>
      </w:pPr>
      <w:rPr>
        <w:position w:val="0"/>
        <w:sz w:val="20"/>
        <w:szCs w:val="20"/>
        <w:rtl w:val="0"/>
        <w:lang w:val="en-US"/>
      </w:rPr>
    </w:lvl>
    <w:lvl w:ilvl="7">
      <w:start w:val="1"/>
      <w:numFmt w:val="bullet"/>
      <w:lvlText w:val="o"/>
      <w:lvlJc w:val="left"/>
      <w:pPr>
        <w:tabs>
          <w:tab w:val="num" w:pos="5650"/>
        </w:tabs>
        <w:ind w:left="5650" w:hanging="250"/>
      </w:pPr>
      <w:rPr>
        <w:position w:val="0"/>
        <w:sz w:val="20"/>
        <w:szCs w:val="20"/>
        <w:rtl w:val="0"/>
        <w:lang w:val="en-US"/>
      </w:rPr>
    </w:lvl>
    <w:lvl w:ilvl="8">
      <w:start w:val="1"/>
      <w:numFmt w:val="bullet"/>
      <w:lvlText w:val="▪"/>
      <w:lvlJc w:val="left"/>
      <w:pPr>
        <w:tabs>
          <w:tab w:val="num" w:pos="6370"/>
        </w:tabs>
        <w:ind w:left="6370" w:hanging="250"/>
      </w:pPr>
      <w:rPr>
        <w:position w:val="0"/>
        <w:sz w:val="20"/>
        <w:szCs w:val="20"/>
        <w:rtl w:val="0"/>
        <w:lang w:val="en-US"/>
      </w:rPr>
    </w:lvl>
  </w:abstractNum>
  <w:abstractNum w:abstractNumId="13" w15:restartNumberingAfterBreak="0">
    <w:nsid w:val="420323E6"/>
    <w:multiLevelType w:val="multilevel"/>
    <w:tmpl w:val="D6507216"/>
    <w:styleLink w:val="List0"/>
    <w:lvl w:ilvl="0">
      <w:numFmt w:val="bullet"/>
      <w:lvlText w:val="-"/>
      <w:lvlJc w:val="left"/>
      <w:pPr>
        <w:tabs>
          <w:tab w:val="num" w:pos="720"/>
        </w:tabs>
        <w:ind w:left="720" w:hanging="360"/>
      </w:pPr>
      <w:rPr>
        <w:position w:val="0"/>
        <w:sz w:val="24"/>
        <w:szCs w:val="24"/>
        <w:rtl w:val="0"/>
        <w:lang w:val="en-US"/>
      </w:rPr>
    </w:lvl>
    <w:lvl w:ilvl="1">
      <w:start w:val="1"/>
      <w:numFmt w:val="bullet"/>
      <w:lvlText w:val="o"/>
      <w:lvlJc w:val="left"/>
      <w:pPr>
        <w:tabs>
          <w:tab w:val="num" w:pos="1330"/>
        </w:tabs>
        <w:ind w:left="1330" w:hanging="250"/>
      </w:pPr>
      <w:rPr>
        <w:position w:val="0"/>
        <w:sz w:val="20"/>
        <w:szCs w:val="20"/>
        <w:rtl w:val="0"/>
        <w:lang w:val="en-US"/>
      </w:rPr>
    </w:lvl>
    <w:lvl w:ilvl="2">
      <w:start w:val="1"/>
      <w:numFmt w:val="bullet"/>
      <w:lvlText w:val="▪"/>
      <w:lvlJc w:val="left"/>
      <w:pPr>
        <w:tabs>
          <w:tab w:val="num" w:pos="2050"/>
        </w:tabs>
        <w:ind w:left="2050" w:hanging="250"/>
      </w:pPr>
      <w:rPr>
        <w:position w:val="0"/>
        <w:sz w:val="20"/>
        <w:szCs w:val="20"/>
        <w:rtl w:val="0"/>
        <w:lang w:val="en-US"/>
      </w:rPr>
    </w:lvl>
    <w:lvl w:ilvl="3">
      <w:start w:val="1"/>
      <w:numFmt w:val="bullet"/>
      <w:lvlText w:val="•"/>
      <w:lvlJc w:val="left"/>
      <w:pPr>
        <w:tabs>
          <w:tab w:val="num" w:pos="2770"/>
        </w:tabs>
        <w:ind w:left="2770" w:hanging="250"/>
      </w:pPr>
      <w:rPr>
        <w:position w:val="0"/>
        <w:sz w:val="20"/>
        <w:szCs w:val="20"/>
        <w:rtl w:val="0"/>
        <w:lang w:val="en-US"/>
      </w:rPr>
    </w:lvl>
    <w:lvl w:ilvl="4">
      <w:start w:val="1"/>
      <w:numFmt w:val="bullet"/>
      <w:lvlText w:val="o"/>
      <w:lvlJc w:val="left"/>
      <w:pPr>
        <w:tabs>
          <w:tab w:val="num" w:pos="3490"/>
        </w:tabs>
        <w:ind w:left="3490" w:hanging="250"/>
      </w:pPr>
      <w:rPr>
        <w:position w:val="0"/>
        <w:sz w:val="20"/>
        <w:szCs w:val="20"/>
        <w:rtl w:val="0"/>
        <w:lang w:val="en-US"/>
      </w:rPr>
    </w:lvl>
    <w:lvl w:ilvl="5">
      <w:start w:val="1"/>
      <w:numFmt w:val="bullet"/>
      <w:lvlText w:val="▪"/>
      <w:lvlJc w:val="left"/>
      <w:pPr>
        <w:tabs>
          <w:tab w:val="num" w:pos="4210"/>
        </w:tabs>
        <w:ind w:left="4210" w:hanging="250"/>
      </w:pPr>
      <w:rPr>
        <w:position w:val="0"/>
        <w:sz w:val="20"/>
        <w:szCs w:val="20"/>
        <w:rtl w:val="0"/>
        <w:lang w:val="en-US"/>
      </w:rPr>
    </w:lvl>
    <w:lvl w:ilvl="6">
      <w:start w:val="1"/>
      <w:numFmt w:val="bullet"/>
      <w:lvlText w:val="•"/>
      <w:lvlJc w:val="left"/>
      <w:pPr>
        <w:tabs>
          <w:tab w:val="num" w:pos="4930"/>
        </w:tabs>
        <w:ind w:left="4930" w:hanging="250"/>
      </w:pPr>
      <w:rPr>
        <w:position w:val="0"/>
        <w:sz w:val="20"/>
        <w:szCs w:val="20"/>
        <w:rtl w:val="0"/>
        <w:lang w:val="en-US"/>
      </w:rPr>
    </w:lvl>
    <w:lvl w:ilvl="7">
      <w:start w:val="1"/>
      <w:numFmt w:val="bullet"/>
      <w:lvlText w:val="o"/>
      <w:lvlJc w:val="left"/>
      <w:pPr>
        <w:tabs>
          <w:tab w:val="num" w:pos="5650"/>
        </w:tabs>
        <w:ind w:left="5650" w:hanging="250"/>
      </w:pPr>
      <w:rPr>
        <w:position w:val="0"/>
        <w:sz w:val="20"/>
        <w:szCs w:val="20"/>
        <w:rtl w:val="0"/>
        <w:lang w:val="en-US"/>
      </w:rPr>
    </w:lvl>
    <w:lvl w:ilvl="8">
      <w:start w:val="1"/>
      <w:numFmt w:val="bullet"/>
      <w:lvlText w:val="▪"/>
      <w:lvlJc w:val="left"/>
      <w:pPr>
        <w:tabs>
          <w:tab w:val="num" w:pos="6370"/>
        </w:tabs>
        <w:ind w:left="6370" w:hanging="250"/>
      </w:pPr>
      <w:rPr>
        <w:position w:val="0"/>
        <w:sz w:val="20"/>
        <w:szCs w:val="20"/>
        <w:rtl w:val="0"/>
        <w:lang w:val="en-US"/>
      </w:rPr>
    </w:lvl>
  </w:abstractNum>
  <w:abstractNum w:abstractNumId="14" w15:restartNumberingAfterBreak="0">
    <w:nsid w:val="43E14926"/>
    <w:multiLevelType w:val="hybridMultilevel"/>
    <w:tmpl w:val="14B6F27E"/>
    <w:styleLink w:val="1ai2"/>
    <w:lvl w:ilvl="0" w:tplc="08090001">
      <w:start w:val="1"/>
      <w:numFmt w:val="bullet"/>
      <w:lvlText w:val=""/>
      <w:lvlJc w:val="left"/>
      <w:pPr>
        <w:ind w:left="1152" w:hanging="360"/>
      </w:pPr>
      <w:rPr>
        <w:rFonts w:ascii="Symbol" w:hAnsi="Symbol" w:hint="default"/>
      </w:rPr>
    </w:lvl>
    <w:lvl w:ilvl="1" w:tplc="08090003">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5" w15:restartNumberingAfterBreak="0">
    <w:nsid w:val="46445226"/>
    <w:multiLevelType w:val="hybridMultilevel"/>
    <w:tmpl w:val="0234E2E2"/>
    <w:styleLink w:val="List11"/>
    <w:lvl w:ilvl="0" w:tplc="E022F4C0">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B77749"/>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17" w15:restartNumberingAfterBreak="0">
    <w:nsid w:val="4D0E6273"/>
    <w:multiLevelType w:val="hybridMultilevel"/>
    <w:tmpl w:val="6234C35C"/>
    <w:lvl w:ilvl="0" w:tplc="3EAA7D00">
      <w:start w:val="1"/>
      <w:numFmt w:val="decimal"/>
      <w:lvlText w:val="%1."/>
      <w:lvlJc w:val="left"/>
      <w:pPr>
        <w:ind w:left="532" w:hanging="426"/>
      </w:pPr>
      <w:rPr>
        <w:rFonts w:ascii="Times New Roman" w:eastAsia="Arial" w:hAnsi="Times New Roman" w:cs="Times New Roman" w:hint="default"/>
        <w:spacing w:val="-1"/>
        <w:w w:val="95"/>
        <w:sz w:val="18"/>
        <w:szCs w:val="18"/>
        <w:lang w:val="en-US" w:eastAsia="en-US" w:bidi="en-US"/>
      </w:rPr>
    </w:lvl>
    <w:lvl w:ilvl="1" w:tplc="F24E37AA">
      <w:start w:val="1"/>
      <w:numFmt w:val="lowerLetter"/>
      <w:lvlText w:val="%2)"/>
      <w:lvlJc w:val="left"/>
      <w:pPr>
        <w:ind w:left="957" w:hanging="426"/>
      </w:pPr>
      <w:rPr>
        <w:rFonts w:ascii="Arial" w:eastAsia="Arial" w:hAnsi="Arial" w:cs="Arial" w:hint="default"/>
        <w:i/>
        <w:w w:val="99"/>
        <w:sz w:val="18"/>
        <w:szCs w:val="18"/>
        <w:lang w:val="en-US" w:eastAsia="en-US" w:bidi="en-US"/>
      </w:rPr>
    </w:lvl>
    <w:lvl w:ilvl="2" w:tplc="C6869220">
      <w:numFmt w:val="bullet"/>
      <w:lvlText w:val="•"/>
      <w:lvlJc w:val="left"/>
      <w:pPr>
        <w:ind w:left="1924" w:hanging="426"/>
      </w:pPr>
      <w:rPr>
        <w:rFonts w:hint="default"/>
        <w:lang w:val="en-US" w:eastAsia="en-US" w:bidi="en-US"/>
      </w:rPr>
    </w:lvl>
    <w:lvl w:ilvl="3" w:tplc="60621A2A">
      <w:numFmt w:val="bullet"/>
      <w:lvlText w:val="•"/>
      <w:lvlJc w:val="left"/>
      <w:pPr>
        <w:ind w:left="2888" w:hanging="426"/>
      </w:pPr>
      <w:rPr>
        <w:rFonts w:hint="default"/>
        <w:lang w:val="en-US" w:eastAsia="en-US" w:bidi="en-US"/>
      </w:rPr>
    </w:lvl>
    <w:lvl w:ilvl="4" w:tplc="32D810FE">
      <w:numFmt w:val="bullet"/>
      <w:lvlText w:val="•"/>
      <w:lvlJc w:val="left"/>
      <w:pPr>
        <w:ind w:left="3853" w:hanging="426"/>
      </w:pPr>
      <w:rPr>
        <w:rFonts w:hint="default"/>
        <w:lang w:val="en-US" w:eastAsia="en-US" w:bidi="en-US"/>
      </w:rPr>
    </w:lvl>
    <w:lvl w:ilvl="5" w:tplc="1BCE1320">
      <w:numFmt w:val="bullet"/>
      <w:lvlText w:val="•"/>
      <w:lvlJc w:val="left"/>
      <w:pPr>
        <w:ind w:left="4817" w:hanging="426"/>
      </w:pPr>
      <w:rPr>
        <w:rFonts w:hint="default"/>
        <w:lang w:val="en-US" w:eastAsia="en-US" w:bidi="en-US"/>
      </w:rPr>
    </w:lvl>
    <w:lvl w:ilvl="6" w:tplc="0DE6AAEC">
      <w:numFmt w:val="bullet"/>
      <w:lvlText w:val="•"/>
      <w:lvlJc w:val="left"/>
      <w:pPr>
        <w:ind w:left="5782" w:hanging="426"/>
      </w:pPr>
      <w:rPr>
        <w:rFonts w:hint="default"/>
        <w:lang w:val="en-US" w:eastAsia="en-US" w:bidi="en-US"/>
      </w:rPr>
    </w:lvl>
    <w:lvl w:ilvl="7" w:tplc="A5BA4F0E">
      <w:numFmt w:val="bullet"/>
      <w:lvlText w:val="•"/>
      <w:lvlJc w:val="left"/>
      <w:pPr>
        <w:ind w:left="6746" w:hanging="426"/>
      </w:pPr>
      <w:rPr>
        <w:rFonts w:hint="default"/>
        <w:lang w:val="en-US" w:eastAsia="en-US" w:bidi="en-US"/>
      </w:rPr>
    </w:lvl>
    <w:lvl w:ilvl="8" w:tplc="4B8E1BE0">
      <w:numFmt w:val="bullet"/>
      <w:lvlText w:val="•"/>
      <w:lvlJc w:val="left"/>
      <w:pPr>
        <w:ind w:left="7711" w:hanging="426"/>
      </w:pPr>
      <w:rPr>
        <w:rFonts w:hint="default"/>
        <w:lang w:val="en-US" w:eastAsia="en-US" w:bidi="en-US"/>
      </w:rPr>
    </w:lvl>
  </w:abstractNum>
  <w:abstractNum w:abstractNumId="18" w15:restartNumberingAfterBreak="0">
    <w:nsid w:val="4FD616D5"/>
    <w:multiLevelType w:val="multilevel"/>
    <w:tmpl w:val="3B662D98"/>
    <w:styleLink w:val="List21"/>
    <w:lvl w:ilvl="0">
      <w:numFmt w:val="bullet"/>
      <w:lvlText w:val="-"/>
      <w:lvlJc w:val="left"/>
      <w:pPr>
        <w:tabs>
          <w:tab w:val="num" w:pos="720"/>
        </w:tabs>
        <w:ind w:left="720" w:hanging="360"/>
      </w:pPr>
      <w:rPr>
        <w:position w:val="0"/>
        <w:sz w:val="24"/>
        <w:szCs w:val="24"/>
        <w:rtl w:val="0"/>
        <w:lang w:val="en-US"/>
      </w:rPr>
    </w:lvl>
    <w:lvl w:ilvl="1">
      <w:start w:val="1"/>
      <w:numFmt w:val="bullet"/>
      <w:lvlText w:val="o"/>
      <w:lvlJc w:val="left"/>
      <w:pPr>
        <w:tabs>
          <w:tab w:val="num" w:pos="1330"/>
        </w:tabs>
        <w:ind w:left="1330" w:hanging="250"/>
      </w:pPr>
      <w:rPr>
        <w:position w:val="0"/>
        <w:sz w:val="20"/>
        <w:szCs w:val="20"/>
        <w:rtl w:val="0"/>
        <w:lang w:val="en-US"/>
      </w:rPr>
    </w:lvl>
    <w:lvl w:ilvl="2">
      <w:start w:val="1"/>
      <w:numFmt w:val="bullet"/>
      <w:lvlText w:val="▪"/>
      <w:lvlJc w:val="left"/>
      <w:pPr>
        <w:tabs>
          <w:tab w:val="num" w:pos="2050"/>
        </w:tabs>
        <w:ind w:left="2050" w:hanging="250"/>
      </w:pPr>
      <w:rPr>
        <w:position w:val="0"/>
        <w:sz w:val="20"/>
        <w:szCs w:val="20"/>
        <w:rtl w:val="0"/>
        <w:lang w:val="en-US"/>
      </w:rPr>
    </w:lvl>
    <w:lvl w:ilvl="3">
      <w:start w:val="1"/>
      <w:numFmt w:val="bullet"/>
      <w:lvlText w:val="•"/>
      <w:lvlJc w:val="left"/>
      <w:pPr>
        <w:tabs>
          <w:tab w:val="num" w:pos="2770"/>
        </w:tabs>
        <w:ind w:left="2770" w:hanging="250"/>
      </w:pPr>
      <w:rPr>
        <w:position w:val="0"/>
        <w:sz w:val="20"/>
        <w:szCs w:val="20"/>
        <w:rtl w:val="0"/>
        <w:lang w:val="en-US"/>
      </w:rPr>
    </w:lvl>
    <w:lvl w:ilvl="4">
      <w:start w:val="1"/>
      <w:numFmt w:val="bullet"/>
      <w:lvlText w:val="o"/>
      <w:lvlJc w:val="left"/>
      <w:pPr>
        <w:tabs>
          <w:tab w:val="num" w:pos="3490"/>
        </w:tabs>
        <w:ind w:left="3490" w:hanging="250"/>
      </w:pPr>
      <w:rPr>
        <w:position w:val="0"/>
        <w:sz w:val="20"/>
        <w:szCs w:val="20"/>
        <w:rtl w:val="0"/>
        <w:lang w:val="en-US"/>
      </w:rPr>
    </w:lvl>
    <w:lvl w:ilvl="5">
      <w:start w:val="1"/>
      <w:numFmt w:val="bullet"/>
      <w:lvlText w:val="▪"/>
      <w:lvlJc w:val="left"/>
      <w:pPr>
        <w:tabs>
          <w:tab w:val="num" w:pos="4210"/>
        </w:tabs>
        <w:ind w:left="4210" w:hanging="250"/>
      </w:pPr>
      <w:rPr>
        <w:position w:val="0"/>
        <w:sz w:val="20"/>
        <w:szCs w:val="20"/>
        <w:rtl w:val="0"/>
        <w:lang w:val="en-US"/>
      </w:rPr>
    </w:lvl>
    <w:lvl w:ilvl="6">
      <w:start w:val="1"/>
      <w:numFmt w:val="bullet"/>
      <w:lvlText w:val="•"/>
      <w:lvlJc w:val="left"/>
      <w:pPr>
        <w:tabs>
          <w:tab w:val="num" w:pos="4930"/>
        </w:tabs>
        <w:ind w:left="4930" w:hanging="250"/>
      </w:pPr>
      <w:rPr>
        <w:position w:val="0"/>
        <w:sz w:val="20"/>
        <w:szCs w:val="20"/>
        <w:rtl w:val="0"/>
        <w:lang w:val="en-US"/>
      </w:rPr>
    </w:lvl>
    <w:lvl w:ilvl="7">
      <w:start w:val="1"/>
      <w:numFmt w:val="bullet"/>
      <w:lvlText w:val="o"/>
      <w:lvlJc w:val="left"/>
      <w:pPr>
        <w:tabs>
          <w:tab w:val="num" w:pos="5650"/>
        </w:tabs>
        <w:ind w:left="5650" w:hanging="250"/>
      </w:pPr>
      <w:rPr>
        <w:position w:val="0"/>
        <w:sz w:val="20"/>
        <w:szCs w:val="20"/>
        <w:rtl w:val="0"/>
        <w:lang w:val="en-US"/>
      </w:rPr>
    </w:lvl>
    <w:lvl w:ilvl="8">
      <w:start w:val="1"/>
      <w:numFmt w:val="bullet"/>
      <w:lvlText w:val="▪"/>
      <w:lvlJc w:val="left"/>
      <w:pPr>
        <w:tabs>
          <w:tab w:val="num" w:pos="6370"/>
        </w:tabs>
        <w:ind w:left="6370" w:hanging="250"/>
      </w:pPr>
      <w:rPr>
        <w:position w:val="0"/>
        <w:sz w:val="20"/>
        <w:szCs w:val="20"/>
        <w:rtl w:val="0"/>
        <w:lang w:val="en-US"/>
      </w:rPr>
    </w:lvl>
  </w:abstractNum>
  <w:abstractNum w:abstractNumId="19" w15:restartNumberingAfterBreak="0">
    <w:nsid w:val="5A907EF3"/>
    <w:multiLevelType w:val="hybridMultilevel"/>
    <w:tmpl w:val="193C517C"/>
    <w:lvl w:ilvl="0" w:tplc="55A050F8">
      <w:start w:val="1"/>
      <w:numFmt w:val="decimal"/>
      <w:lvlText w:val="%1."/>
      <w:lvlJc w:val="left"/>
      <w:pPr>
        <w:ind w:left="532" w:hanging="426"/>
      </w:pPr>
      <w:rPr>
        <w:rFonts w:ascii="Arial" w:eastAsia="Arial" w:hAnsi="Arial" w:cs="Arial" w:hint="default"/>
        <w:spacing w:val="-1"/>
        <w:w w:val="95"/>
        <w:sz w:val="19"/>
        <w:szCs w:val="19"/>
        <w:lang w:val="en-US" w:eastAsia="en-US" w:bidi="en-US"/>
      </w:rPr>
    </w:lvl>
    <w:lvl w:ilvl="1" w:tplc="8CDA0F90">
      <w:start w:val="1"/>
      <w:numFmt w:val="lowerLetter"/>
      <w:lvlText w:val="%2)"/>
      <w:lvlJc w:val="left"/>
      <w:pPr>
        <w:ind w:left="957" w:hanging="426"/>
      </w:pPr>
      <w:rPr>
        <w:rFonts w:ascii="Arial" w:eastAsia="Arial" w:hAnsi="Arial" w:cs="Arial" w:hint="default"/>
        <w:i/>
        <w:w w:val="99"/>
        <w:sz w:val="18"/>
        <w:szCs w:val="18"/>
        <w:lang w:val="en-US" w:eastAsia="en-US" w:bidi="en-US"/>
      </w:rPr>
    </w:lvl>
    <w:lvl w:ilvl="2" w:tplc="853E45F2">
      <w:numFmt w:val="bullet"/>
      <w:lvlText w:val="•"/>
      <w:lvlJc w:val="left"/>
      <w:pPr>
        <w:ind w:left="1924" w:hanging="426"/>
      </w:pPr>
      <w:rPr>
        <w:rFonts w:hint="default"/>
        <w:lang w:val="en-US" w:eastAsia="en-US" w:bidi="en-US"/>
      </w:rPr>
    </w:lvl>
    <w:lvl w:ilvl="3" w:tplc="DD1C1E58">
      <w:numFmt w:val="bullet"/>
      <w:lvlText w:val="•"/>
      <w:lvlJc w:val="left"/>
      <w:pPr>
        <w:ind w:left="2888" w:hanging="426"/>
      </w:pPr>
      <w:rPr>
        <w:rFonts w:hint="default"/>
        <w:lang w:val="en-US" w:eastAsia="en-US" w:bidi="en-US"/>
      </w:rPr>
    </w:lvl>
    <w:lvl w:ilvl="4" w:tplc="9ABC9F08">
      <w:numFmt w:val="bullet"/>
      <w:lvlText w:val="•"/>
      <w:lvlJc w:val="left"/>
      <w:pPr>
        <w:ind w:left="3853" w:hanging="426"/>
      </w:pPr>
      <w:rPr>
        <w:rFonts w:hint="default"/>
        <w:lang w:val="en-US" w:eastAsia="en-US" w:bidi="en-US"/>
      </w:rPr>
    </w:lvl>
    <w:lvl w:ilvl="5" w:tplc="833C1EB2">
      <w:numFmt w:val="bullet"/>
      <w:lvlText w:val="•"/>
      <w:lvlJc w:val="left"/>
      <w:pPr>
        <w:ind w:left="4817" w:hanging="426"/>
      </w:pPr>
      <w:rPr>
        <w:rFonts w:hint="default"/>
        <w:lang w:val="en-US" w:eastAsia="en-US" w:bidi="en-US"/>
      </w:rPr>
    </w:lvl>
    <w:lvl w:ilvl="6" w:tplc="14B83392">
      <w:numFmt w:val="bullet"/>
      <w:lvlText w:val="•"/>
      <w:lvlJc w:val="left"/>
      <w:pPr>
        <w:ind w:left="5782" w:hanging="426"/>
      </w:pPr>
      <w:rPr>
        <w:rFonts w:hint="default"/>
        <w:lang w:val="en-US" w:eastAsia="en-US" w:bidi="en-US"/>
      </w:rPr>
    </w:lvl>
    <w:lvl w:ilvl="7" w:tplc="BA54ADDA">
      <w:numFmt w:val="bullet"/>
      <w:lvlText w:val="•"/>
      <w:lvlJc w:val="left"/>
      <w:pPr>
        <w:ind w:left="6746" w:hanging="426"/>
      </w:pPr>
      <w:rPr>
        <w:rFonts w:hint="default"/>
        <w:lang w:val="en-US" w:eastAsia="en-US" w:bidi="en-US"/>
      </w:rPr>
    </w:lvl>
    <w:lvl w:ilvl="8" w:tplc="025CBF10">
      <w:numFmt w:val="bullet"/>
      <w:lvlText w:val="•"/>
      <w:lvlJc w:val="left"/>
      <w:pPr>
        <w:ind w:left="7711" w:hanging="426"/>
      </w:pPr>
      <w:rPr>
        <w:rFonts w:hint="default"/>
        <w:lang w:val="en-US" w:eastAsia="en-US" w:bidi="en-US"/>
      </w:rPr>
    </w:lvl>
  </w:abstractNum>
  <w:abstractNum w:abstractNumId="20" w15:restartNumberingAfterBreak="0">
    <w:nsid w:val="5ADC0466"/>
    <w:multiLevelType w:val="hybridMultilevel"/>
    <w:tmpl w:val="9782D2DE"/>
    <w:lvl w:ilvl="0" w:tplc="4BE871EA">
      <w:start w:val="1"/>
      <w:numFmt w:val="lowerLetter"/>
      <w:lvlText w:val="%1)"/>
      <w:lvlJc w:val="left"/>
      <w:pPr>
        <w:ind w:left="861" w:hanging="435"/>
      </w:pPr>
      <w:rPr>
        <w:rFonts w:hint="default"/>
        <w:i/>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1" w15:restartNumberingAfterBreak="0">
    <w:nsid w:val="5AF41E13"/>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22" w15:restartNumberingAfterBreak="0">
    <w:nsid w:val="61E54EC9"/>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23" w15:restartNumberingAfterBreak="0">
    <w:nsid w:val="63870E0E"/>
    <w:multiLevelType w:val="hybridMultilevel"/>
    <w:tmpl w:val="B7A82264"/>
    <w:styleLink w:val="ArticleSection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432A39"/>
    <w:multiLevelType w:val="hybridMultilevel"/>
    <w:tmpl w:val="8092C594"/>
    <w:lvl w:ilvl="0" w:tplc="46BC3048">
      <w:start w:val="4"/>
      <w:numFmt w:val="lowerLetter"/>
      <w:lvlText w:val="%1)"/>
      <w:lvlJc w:val="left"/>
      <w:pPr>
        <w:ind w:left="892" w:hanging="360"/>
      </w:pPr>
      <w:rPr>
        <w:rFonts w:hint="default"/>
      </w:rPr>
    </w:lvl>
    <w:lvl w:ilvl="1" w:tplc="08090019" w:tentative="1">
      <w:start w:val="1"/>
      <w:numFmt w:val="lowerLetter"/>
      <w:lvlText w:val="%2."/>
      <w:lvlJc w:val="left"/>
      <w:pPr>
        <w:ind w:left="1612" w:hanging="360"/>
      </w:pPr>
    </w:lvl>
    <w:lvl w:ilvl="2" w:tplc="0809001B" w:tentative="1">
      <w:start w:val="1"/>
      <w:numFmt w:val="lowerRoman"/>
      <w:lvlText w:val="%3."/>
      <w:lvlJc w:val="right"/>
      <w:pPr>
        <w:ind w:left="2332" w:hanging="180"/>
      </w:pPr>
    </w:lvl>
    <w:lvl w:ilvl="3" w:tplc="0809000F" w:tentative="1">
      <w:start w:val="1"/>
      <w:numFmt w:val="decimal"/>
      <w:lvlText w:val="%4."/>
      <w:lvlJc w:val="left"/>
      <w:pPr>
        <w:ind w:left="3052" w:hanging="360"/>
      </w:pPr>
    </w:lvl>
    <w:lvl w:ilvl="4" w:tplc="08090019" w:tentative="1">
      <w:start w:val="1"/>
      <w:numFmt w:val="lowerLetter"/>
      <w:lvlText w:val="%5."/>
      <w:lvlJc w:val="left"/>
      <w:pPr>
        <w:ind w:left="3772" w:hanging="360"/>
      </w:pPr>
    </w:lvl>
    <w:lvl w:ilvl="5" w:tplc="0809001B" w:tentative="1">
      <w:start w:val="1"/>
      <w:numFmt w:val="lowerRoman"/>
      <w:lvlText w:val="%6."/>
      <w:lvlJc w:val="right"/>
      <w:pPr>
        <w:ind w:left="4492" w:hanging="180"/>
      </w:pPr>
    </w:lvl>
    <w:lvl w:ilvl="6" w:tplc="0809000F" w:tentative="1">
      <w:start w:val="1"/>
      <w:numFmt w:val="decimal"/>
      <w:lvlText w:val="%7."/>
      <w:lvlJc w:val="left"/>
      <w:pPr>
        <w:ind w:left="5212" w:hanging="360"/>
      </w:pPr>
    </w:lvl>
    <w:lvl w:ilvl="7" w:tplc="08090019" w:tentative="1">
      <w:start w:val="1"/>
      <w:numFmt w:val="lowerLetter"/>
      <w:lvlText w:val="%8."/>
      <w:lvlJc w:val="left"/>
      <w:pPr>
        <w:ind w:left="5932" w:hanging="360"/>
      </w:pPr>
    </w:lvl>
    <w:lvl w:ilvl="8" w:tplc="0809001B" w:tentative="1">
      <w:start w:val="1"/>
      <w:numFmt w:val="lowerRoman"/>
      <w:lvlText w:val="%9."/>
      <w:lvlJc w:val="right"/>
      <w:pPr>
        <w:ind w:left="6652" w:hanging="180"/>
      </w:pPr>
    </w:lvl>
  </w:abstractNum>
  <w:abstractNum w:abstractNumId="25" w15:restartNumberingAfterBreak="0">
    <w:nsid w:val="699B340F"/>
    <w:multiLevelType w:val="hybridMultilevel"/>
    <w:tmpl w:val="5BA07CB6"/>
    <w:lvl w:ilvl="0" w:tplc="AEF8EF06">
      <w:start w:val="1"/>
      <w:numFmt w:val="decimal"/>
      <w:pStyle w:val="TitreIntercalaire"/>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15:restartNumberingAfterBreak="0">
    <w:nsid w:val="6A3A13D2"/>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AC00F97"/>
    <w:multiLevelType w:val="hybridMultilevel"/>
    <w:tmpl w:val="8B76B654"/>
    <w:styleLink w:val="ImportedStyle4"/>
    <w:lvl w:ilvl="0" w:tplc="426A47F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5E0486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2CAC39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ECCE9D6">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4EC2370">
      <w:start w:val="1"/>
      <w:numFmt w:val="bullet"/>
      <w:pStyle w:val="Titre5"/>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6F6E6B8">
      <w:start w:val="1"/>
      <w:numFmt w:val="bullet"/>
      <w:pStyle w:val="Titre6"/>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E4C037A">
      <w:start w:val="1"/>
      <w:numFmt w:val="bullet"/>
      <w:pStyle w:val="Titre7"/>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628D274">
      <w:start w:val="1"/>
      <w:numFmt w:val="bullet"/>
      <w:pStyle w:val="Titre8"/>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DB01634">
      <w:start w:val="1"/>
      <w:numFmt w:val="bullet"/>
      <w:pStyle w:val="Titre9"/>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8" w15:restartNumberingAfterBreak="0">
    <w:nsid w:val="6B8639F7"/>
    <w:multiLevelType w:val="hybridMultilevel"/>
    <w:tmpl w:val="908A732C"/>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0B2345"/>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30" w15:restartNumberingAfterBreak="0">
    <w:nsid w:val="6D274FFB"/>
    <w:multiLevelType w:val="hybridMultilevel"/>
    <w:tmpl w:val="EB96A136"/>
    <w:lvl w:ilvl="0" w:tplc="08090017">
      <w:start w:val="2"/>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E13162"/>
    <w:multiLevelType w:val="hybridMultilevel"/>
    <w:tmpl w:val="68003808"/>
    <w:styleLink w:val="List211"/>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71C969EB"/>
    <w:multiLevelType w:val="hybridMultilevel"/>
    <w:tmpl w:val="1ECCF414"/>
    <w:lvl w:ilvl="0" w:tplc="B890E050">
      <w:start w:val="1"/>
      <w:numFmt w:val="lowerRoman"/>
      <w:lvlText w:val="%1)"/>
      <w:lvlJc w:val="left"/>
      <w:pPr>
        <w:ind w:left="1570" w:hanging="720"/>
      </w:pPr>
      <w:rPr>
        <w:rFonts w:hint="default"/>
      </w:rPr>
    </w:lvl>
    <w:lvl w:ilvl="1" w:tplc="18090019" w:tentative="1">
      <w:start w:val="1"/>
      <w:numFmt w:val="lowerLetter"/>
      <w:lvlText w:val="%2."/>
      <w:lvlJc w:val="left"/>
      <w:pPr>
        <w:ind w:left="1930" w:hanging="360"/>
      </w:pPr>
    </w:lvl>
    <w:lvl w:ilvl="2" w:tplc="1809001B" w:tentative="1">
      <w:start w:val="1"/>
      <w:numFmt w:val="lowerRoman"/>
      <w:lvlText w:val="%3."/>
      <w:lvlJc w:val="right"/>
      <w:pPr>
        <w:ind w:left="2650" w:hanging="180"/>
      </w:pPr>
    </w:lvl>
    <w:lvl w:ilvl="3" w:tplc="1809000F" w:tentative="1">
      <w:start w:val="1"/>
      <w:numFmt w:val="decimal"/>
      <w:lvlText w:val="%4."/>
      <w:lvlJc w:val="left"/>
      <w:pPr>
        <w:ind w:left="3370" w:hanging="360"/>
      </w:pPr>
    </w:lvl>
    <w:lvl w:ilvl="4" w:tplc="18090019" w:tentative="1">
      <w:start w:val="1"/>
      <w:numFmt w:val="lowerLetter"/>
      <w:lvlText w:val="%5."/>
      <w:lvlJc w:val="left"/>
      <w:pPr>
        <w:ind w:left="4090" w:hanging="360"/>
      </w:pPr>
    </w:lvl>
    <w:lvl w:ilvl="5" w:tplc="1809001B" w:tentative="1">
      <w:start w:val="1"/>
      <w:numFmt w:val="lowerRoman"/>
      <w:lvlText w:val="%6."/>
      <w:lvlJc w:val="right"/>
      <w:pPr>
        <w:ind w:left="4810" w:hanging="180"/>
      </w:pPr>
    </w:lvl>
    <w:lvl w:ilvl="6" w:tplc="1809000F" w:tentative="1">
      <w:start w:val="1"/>
      <w:numFmt w:val="decimal"/>
      <w:lvlText w:val="%7."/>
      <w:lvlJc w:val="left"/>
      <w:pPr>
        <w:ind w:left="5530" w:hanging="360"/>
      </w:pPr>
    </w:lvl>
    <w:lvl w:ilvl="7" w:tplc="18090019" w:tentative="1">
      <w:start w:val="1"/>
      <w:numFmt w:val="lowerLetter"/>
      <w:lvlText w:val="%8."/>
      <w:lvlJc w:val="left"/>
      <w:pPr>
        <w:ind w:left="6250" w:hanging="360"/>
      </w:pPr>
    </w:lvl>
    <w:lvl w:ilvl="8" w:tplc="1809001B" w:tentative="1">
      <w:start w:val="1"/>
      <w:numFmt w:val="lowerRoman"/>
      <w:lvlText w:val="%9."/>
      <w:lvlJc w:val="right"/>
      <w:pPr>
        <w:ind w:left="6970" w:hanging="180"/>
      </w:pPr>
    </w:lvl>
  </w:abstractNum>
  <w:abstractNum w:abstractNumId="33" w15:restartNumberingAfterBreak="0">
    <w:nsid w:val="743B5B9A"/>
    <w:multiLevelType w:val="hybridMultilevel"/>
    <w:tmpl w:val="F1E8ED00"/>
    <w:styleLink w:val="11111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65C7C47"/>
    <w:multiLevelType w:val="hybridMultilevel"/>
    <w:tmpl w:val="4F6A23C4"/>
    <w:styleLink w:val="ImportedStyle52"/>
    <w:lvl w:ilvl="0" w:tplc="F8A21A04">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35" w15:restartNumberingAfterBreak="0">
    <w:nsid w:val="788B3738"/>
    <w:multiLevelType w:val="hybridMultilevel"/>
    <w:tmpl w:val="2BF6E828"/>
    <w:styleLink w:val="ImportedStyle1"/>
    <w:lvl w:ilvl="0" w:tplc="C3AE74A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7E8F3BA">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2" w:tplc="BD5E7454">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3" w:tplc="4F6AED66">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4" w:tplc="F816FBE8">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5" w:tplc="8C6A61DA">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6" w:tplc="3FFACA6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7" w:tplc="466040A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8" w:tplc="786E86C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abstractNum>
  <w:abstractNum w:abstractNumId="36" w15:restartNumberingAfterBreak="0">
    <w:nsid w:val="7BFE1FD9"/>
    <w:multiLevelType w:val="hybridMultilevel"/>
    <w:tmpl w:val="0C124F82"/>
    <w:styleLink w:val="ImportedStyle5"/>
    <w:lvl w:ilvl="0" w:tplc="9528917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23A4EAC">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2" w:tplc="89C849E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3" w:tplc="66E606CC">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4" w:tplc="F84C3D2C">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5" w:tplc="27CAC532">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6" w:tplc="BD7CCC0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7" w:tplc="7FDA5A80">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8" w:tplc="3684E024">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abstractNum>
  <w:abstractNum w:abstractNumId="37" w15:restartNumberingAfterBreak="0">
    <w:nsid w:val="7C2612A3"/>
    <w:multiLevelType w:val="hybridMultilevel"/>
    <w:tmpl w:val="876E0BA2"/>
    <w:lvl w:ilvl="0" w:tplc="08090017">
      <w:start w:val="2"/>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510FC4"/>
    <w:multiLevelType w:val="hybridMultilevel"/>
    <w:tmpl w:val="9D9A849C"/>
    <w:lvl w:ilvl="0" w:tplc="1F3818EC">
      <w:start w:val="2"/>
      <w:numFmt w:val="bullet"/>
      <w:lvlText w:val="-"/>
      <w:lvlJc w:val="left"/>
      <w:pPr>
        <w:ind w:left="468" w:hanging="360"/>
      </w:pPr>
      <w:rPr>
        <w:rFonts w:ascii="Times New Roman" w:eastAsiaTheme="minorHAnsi" w:hAnsi="Times New Roman" w:cs="Times New Roman" w:hint="default"/>
        <w:i/>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num w:numId="1">
    <w:abstractNumId w:val="8"/>
  </w:num>
  <w:num w:numId="2">
    <w:abstractNumId w:val="34"/>
  </w:num>
  <w:num w:numId="3">
    <w:abstractNumId w:val="5"/>
  </w:num>
  <w:num w:numId="4">
    <w:abstractNumId w:val="33"/>
  </w:num>
  <w:num w:numId="5">
    <w:abstractNumId w:val="14"/>
  </w:num>
  <w:num w:numId="6">
    <w:abstractNumId w:val="23"/>
  </w:num>
  <w:num w:numId="7">
    <w:abstractNumId w:val="1"/>
  </w:num>
  <w:num w:numId="8">
    <w:abstractNumId w:val="15"/>
  </w:num>
  <w:num w:numId="9">
    <w:abstractNumId w:val="31"/>
  </w:num>
  <w:num w:numId="10">
    <w:abstractNumId w:val="27"/>
  </w:num>
  <w:num w:numId="11">
    <w:abstractNumId w:val="36"/>
  </w:num>
  <w:num w:numId="12">
    <w:abstractNumId w:val="35"/>
  </w:num>
  <w:num w:numId="13">
    <w:abstractNumId w:val="0"/>
  </w:num>
  <w:num w:numId="14">
    <w:abstractNumId w:val="26"/>
  </w:num>
  <w:num w:numId="15">
    <w:abstractNumId w:val="7"/>
  </w:num>
  <w:num w:numId="16">
    <w:abstractNumId w:val="3"/>
  </w:num>
  <w:num w:numId="17">
    <w:abstractNumId w:val="13"/>
  </w:num>
  <w:num w:numId="18">
    <w:abstractNumId w:val="12"/>
  </w:num>
  <w:num w:numId="19">
    <w:abstractNumId w:val="18"/>
  </w:num>
  <w:num w:numId="20">
    <w:abstractNumId w:val="25"/>
  </w:num>
  <w:num w:numId="21">
    <w:abstractNumId w:val="16"/>
  </w:num>
  <w:num w:numId="22">
    <w:abstractNumId w:val="10"/>
  </w:num>
  <w:num w:numId="23">
    <w:abstractNumId w:val="29"/>
  </w:num>
  <w:num w:numId="24">
    <w:abstractNumId w:val="20"/>
  </w:num>
  <w:num w:numId="25">
    <w:abstractNumId w:val="9"/>
  </w:num>
  <w:num w:numId="26">
    <w:abstractNumId w:val="19"/>
  </w:num>
  <w:num w:numId="27">
    <w:abstractNumId w:val="24"/>
  </w:num>
  <w:num w:numId="28">
    <w:abstractNumId w:val="2"/>
  </w:num>
  <w:num w:numId="29">
    <w:abstractNumId w:val="17"/>
  </w:num>
  <w:num w:numId="30">
    <w:abstractNumId w:val="4"/>
  </w:num>
  <w:num w:numId="31">
    <w:abstractNumId w:val="30"/>
  </w:num>
  <w:num w:numId="32">
    <w:abstractNumId w:val="37"/>
  </w:num>
  <w:num w:numId="33">
    <w:abstractNumId w:val="28"/>
  </w:num>
  <w:num w:numId="34">
    <w:abstractNumId w:val="11"/>
  </w:num>
  <w:num w:numId="35">
    <w:abstractNumId w:val="32"/>
  </w:num>
  <w:num w:numId="36">
    <w:abstractNumId w:val="6"/>
  </w:num>
  <w:num w:numId="37">
    <w:abstractNumId w:val="21"/>
  </w:num>
  <w:num w:numId="38">
    <w:abstractNumId w:val="38"/>
  </w:num>
  <w:num w:numId="39">
    <w:abstractNumId w:val="2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evenAndOddHeaders/>
  <w:characterSpacingControl w:val="doNotCompress"/>
  <w:hdrShapeDefaults>
    <o:shapedefaults v:ext="edit" spidmax="216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091"/>
    <w:rsid w:val="00015606"/>
    <w:rsid w:val="00016309"/>
    <w:rsid w:val="00022158"/>
    <w:rsid w:val="000232E4"/>
    <w:rsid w:val="00023AC5"/>
    <w:rsid w:val="00025D4D"/>
    <w:rsid w:val="00053BBB"/>
    <w:rsid w:val="000555E1"/>
    <w:rsid w:val="00060F5F"/>
    <w:rsid w:val="000709C8"/>
    <w:rsid w:val="000733EE"/>
    <w:rsid w:val="000760A9"/>
    <w:rsid w:val="0009032B"/>
    <w:rsid w:val="000A4E1E"/>
    <w:rsid w:val="000A62A2"/>
    <w:rsid w:val="000B248E"/>
    <w:rsid w:val="000B2A1C"/>
    <w:rsid w:val="000B3751"/>
    <w:rsid w:val="000D32A5"/>
    <w:rsid w:val="000D7670"/>
    <w:rsid w:val="000F45B2"/>
    <w:rsid w:val="000F4F50"/>
    <w:rsid w:val="00114132"/>
    <w:rsid w:val="00114EE7"/>
    <w:rsid w:val="00116CF3"/>
    <w:rsid w:val="00121DCD"/>
    <w:rsid w:val="00130658"/>
    <w:rsid w:val="00134312"/>
    <w:rsid w:val="001446FF"/>
    <w:rsid w:val="001472E3"/>
    <w:rsid w:val="001479C5"/>
    <w:rsid w:val="00160C98"/>
    <w:rsid w:val="0016179E"/>
    <w:rsid w:val="00162E7F"/>
    <w:rsid w:val="001650EB"/>
    <w:rsid w:val="00165908"/>
    <w:rsid w:val="0016654A"/>
    <w:rsid w:val="00166DEA"/>
    <w:rsid w:val="00166FB4"/>
    <w:rsid w:val="001674DA"/>
    <w:rsid w:val="001677E0"/>
    <w:rsid w:val="00167972"/>
    <w:rsid w:val="00171324"/>
    <w:rsid w:val="00181E56"/>
    <w:rsid w:val="00192F3E"/>
    <w:rsid w:val="0019616F"/>
    <w:rsid w:val="001A30A5"/>
    <w:rsid w:val="001A3C31"/>
    <w:rsid w:val="001C6A78"/>
    <w:rsid w:val="001D5EB7"/>
    <w:rsid w:val="001D6181"/>
    <w:rsid w:val="001E2B5C"/>
    <w:rsid w:val="001E34B0"/>
    <w:rsid w:val="001F630C"/>
    <w:rsid w:val="0020409C"/>
    <w:rsid w:val="0021303D"/>
    <w:rsid w:val="002144E5"/>
    <w:rsid w:val="00223026"/>
    <w:rsid w:val="00223500"/>
    <w:rsid w:val="00233054"/>
    <w:rsid w:val="00233C4D"/>
    <w:rsid w:val="002404CE"/>
    <w:rsid w:val="00246B69"/>
    <w:rsid w:val="00247579"/>
    <w:rsid w:val="0025175D"/>
    <w:rsid w:val="002533C9"/>
    <w:rsid w:val="00263423"/>
    <w:rsid w:val="002701A7"/>
    <w:rsid w:val="00277227"/>
    <w:rsid w:val="0027771F"/>
    <w:rsid w:val="002815FE"/>
    <w:rsid w:val="00287E1E"/>
    <w:rsid w:val="00292496"/>
    <w:rsid w:val="002A507E"/>
    <w:rsid w:val="002B278E"/>
    <w:rsid w:val="002B3629"/>
    <w:rsid w:val="002B6ED5"/>
    <w:rsid w:val="002C1F3F"/>
    <w:rsid w:val="002C2AAE"/>
    <w:rsid w:val="002D2E46"/>
    <w:rsid w:val="002D7E39"/>
    <w:rsid w:val="002E07D9"/>
    <w:rsid w:val="002E2D1E"/>
    <w:rsid w:val="002E4934"/>
    <w:rsid w:val="002E572B"/>
    <w:rsid w:val="002E74BC"/>
    <w:rsid w:val="002F7239"/>
    <w:rsid w:val="003178CC"/>
    <w:rsid w:val="00322FFA"/>
    <w:rsid w:val="003336AC"/>
    <w:rsid w:val="00333A98"/>
    <w:rsid w:val="00334341"/>
    <w:rsid w:val="00336000"/>
    <w:rsid w:val="003361EB"/>
    <w:rsid w:val="00337444"/>
    <w:rsid w:val="003447A3"/>
    <w:rsid w:val="003516E1"/>
    <w:rsid w:val="00355110"/>
    <w:rsid w:val="003641FA"/>
    <w:rsid w:val="00365A65"/>
    <w:rsid w:val="003669EF"/>
    <w:rsid w:val="00366F70"/>
    <w:rsid w:val="00374CBA"/>
    <w:rsid w:val="003800EB"/>
    <w:rsid w:val="0038416E"/>
    <w:rsid w:val="00387F6D"/>
    <w:rsid w:val="003A5FE1"/>
    <w:rsid w:val="003A6626"/>
    <w:rsid w:val="003A7CD0"/>
    <w:rsid w:val="003B26C3"/>
    <w:rsid w:val="003B38E9"/>
    <w:rsid w:val="003C15F7"/>
    <w:rsid w:val="003D10AC"/>
    <w:rsid w:val="003D3A86"/>
    <w:rsid w:val="003D3F5A"/>
    <w:rsid w:val="003E36E2"/>
    <w:rsid w:val="003E3BF8"/>
    <w:rsid w:val="003E513A"/>
    <w:rsid w:val="003E6AFD"/>
    <w:rsid w:val="004108B6"/>
    <w:rsid w:val="00411697"/>
    <w:rsid w:val="00415D4B"/>
    <w:rsid w:val="0042021B"/>
    <w:rsid w:val="004213B1"/>
    <w:rsid w:val="00423939"/>
    <w:rsid w:val="0042548C"/>
    <w:rsid w:val="004269A5"/>
    <w:rsid w:val="0043054A"/>
    <w:rsid w:val="00431AD1"/>
    <w:rsid w:val="00431AE2"/>
    <w:rsid w:val="0043431B"/>
    <w:rsid w:val="00453D2B"/>
    <w:rsid w:val="00454A86"/>
    <w:rsid w:val="00454CB8"/>
    <w:rsid w:val="004553A8"/>
    <w:rsid w:val="00457C4E"/>
    <w:rsid w:val="004628D5"/>
    <w:rsid w:val="00465FF3"/>
    <w:rsid w:val="004729FD"/>
    <w:rsid w:val="004822D7"/>
    <w:rsid w:val="00482379"/>
    <w:rsid w:val="0049050F"/>
    <w:rsid w:val="00490F00"/>
    <w:rsid w:val="00493E8B"/>
    <w:rsid w:val="004A0444"/>
    <w:rsid w:val="004A24C1"/>
    <w:rsid w:val="004A677C"/>
    <w:rsid w:val="004B1DBD"/>
    <w:rsid w:val="004B6D68"/>
    <w:rsid w:val="004B6EE4"/>
    <w:rsid w:val="004C1925"/>
    <w:rsid w:val="004C19EE"/>
    <w:rsid w:val="004D0D0A"/>
    <w:rsid w:val="004D1B9B"/>
    <w:rsid w:val="004D2358"/>
    <w:rsid w:val="004E09FE"/>
    <w:rsid w:val="004E17B2"/>
    <w:rsid w:val="004E2F97"/>
    <w:rsid w:val="004F1CC2"/>
    <w:rsid w:val="004F798A"/>
    <w:rsid w:val="00502174"/>
    <w:rsid w:val="005066E5"/>
    <w:rsid w:val="00507643"/>
    <w:rsid w:val="00513C7D"/>
    <w:rsid w:val="00514849"/>
    <w:rsid w:val="00523676"/>
    <w:rsid w:val="0052688F"/>
    <w:rsid w:val="00534C99"/>
    <w:rsid w:val="00544C82"/>
    <w:rsid w:val="00553E2A"/>
    <w:rsid w:val="00555AD1"/>
    <w:rsid w:val="00557B45"/>
    <w:rsid w:val="00562F64"/>
    <w:rsid w:val="00564673"/>
    <w:rsid w:val="005756FA"/>
    <w:rsid w:val="005774B5"/>
    <w:rsid w:val="005834F9"/>
    <w:rsid w:val="00596091"/>
    <w:rsid w:val="00597C56"/>
    <w:rsid w:val="005B42EC"/>
    <w:rsid w:val="005C57E5"/>
    <w:rsid w:val="005D2A06"/>
    <w:rsid w:val="005D2EAA"/>
    <w:rsid w:val="005D6CE3"/>
    <w:rsid w:val="005D6D2E"/>
    <w:rsid w:val="005D7252"/>
    <w:rsid w:val="005E0333"/>
    <w:rsid w:val="005E6131"/>
    <w:rsid w:val="005F1D66"/>
    <w:rsid w:val="005F5AE0"/>
    <w:rsid w:val="006152D5"/>
    <w:rsid w:val="00615BC5"/>
    <w:rsid w:val="0062639E"/>
    <w:rsid w:val="00636FF3"/>
    <w:rsid w:val="006401EB"/>
    <w:rsid w:val="0064696C"/>
    <w:rsid w:val="006476E8"/>
    <w:rsid w:val="006515B3"/>
    <w:rsid w:val="00663D21"/>
    <w:rsid w:val="00667405"/>
    <w:rsid w:val="00670DC6"/>
    <w:rsid w:val="006718E6"/>
    <w:rsid w:val="006801B0"/>
    <w:rsid w:val="0068207D"/>
    <w:rsid w:val="00685B5C"/>
    <w:rsid w:val="00691F4A"/>
    <w:rsid w:val="006A2D15"/>
    <w:rsid w:val="006A3D11"/>
    <w:rsid w:val="006B071F"/>
    <w:rsid w:val="006B1133"/>
    <w:rsid w:val="006B1E5E"/>
    <w:rsid w:val="006C709A"/>
    <w:rsid w:val="006E1B7E"/>
    <w:rsid w:val="006E57F4"/>
    <w:rsid w:val="006E6A85"/>
    <w:rsid w:val="006E6B08"/>
    <w:rsid w:val="006F247B"/>
    <w:rsid w:val="006F2E76"/>
    <w:rsid w:val="006F3FDB"/>
    <w:rsid w:val="006F6108"/>
    <w:rsid w:val="006F72FC"/>
    <w:rsid w:val="00712A50"/>
    <w:rsid w:val="0071667A"/>
    <w:rsid w:val="0071717C"/>
    <w:rsid w:val="00743C4E"/>
    <w:rsid w:val="00750BF3"/>
    <w:rsid w:val="00750C92"/>
    <w:rsid w:val="00754D87"/>
    <w:rsid w:val="00764E91"/>
    <w:rsid w:val="00771B5B"/>
    <w:rsid w:val="007757F5"/>
    <w:rsid w:val="00785EEB"/>
    <w:rsid w:val="00790765"/>
    <w:rsid w:val="007933E3"/>
    <w:rsid w:val="00793CE7"/>
    <w:rsid w:val="00796F38"/>
    <w:rsid w:val="007A2C72"/>
    <w:rsid w:val="007A31D9"/>
    <w:rsid w:val="007A5DAA"/>
    <w:rsid w:val="007A6EC1"/>
    <w:rsid w:val="007B27C4"/>
    <w:rsid w:val="007B6947"/>
    <w:rsid w:val="007C5CFD"/>
    <w:rsid w:val="007D03EB"/>
    <w:rsid w:val="007D1A32"/>
    <w:rsid w:val="007D25A6"/>
    <w:rsid w:val="007D3356"/>
    <w:rsid w:val="007D4DD1"/>
    <w:rsid w:val="007E2E99"/>
    <w:rsid w:val="007F1A6A"/>
    <w:rsid w:val="007F1B38"/>
    <w:rsid w:val="00800B4D"/>
    <w:rsid w:val="008047BE"/>
    <w:rsid w:val="008229BF"/>
    <w:rsid w:val="0082506C"/>
    <w:rsid w:val="008270D6"/>
    <w:rsid w:val="00831075"/>
    <w:rsid w:val="00832573"/>
    <w:rsid w:val="00832EE6"/>
    <w:rsid w:val="00835F63"/>
    <w:rsid w:val="008522DD"/>
    <w:rsid w:val="00853670"/>
    <w:rsid w:val="00861C35"/>
    <w:rsid w:val="008627D7"/>
    <w:rsid w:val="00864B6B"/>
    <w:rsid w:val="00871F8D"/>
    <w:rsid w:val="00874DD4"/>
    <w:rsid w:val="00886D7F"/>
    <w:rsid w:val="0089637C"/>
    <w:rsid w:val="008A1F78"/>
    <w:rsid w:val="008A2735"/>
    <w:rsid w:val="008A67C2"/>
    <w:rsid w:val="008C0137"/>
    <w:rsid w:val="008C2912"/>
    <w:rsid w:val="008D2321"/>
    <w:rsid w:val="008D48DF"/>
    <w:rsid w:val="008D4BA9"/>
    <w:rsid w:val="008E4666"/>
    <w:rsid w:val="008E5D8B"/>
    <w:rsid w:val="008F75D3"/>
    <w:rsid w:val="009049BC"/>
    <w:rsid w:val="00905CD8"/>
    <w:rsid w:val="00905FC1"/>
    <w:rsid w:val="00924891"/>
    <w:rsid w:val="00924E7F"/>
    <w:rsid w:val="0094086E"/>
    <w:rsid w:val="00942CAA"/>
    <w:rsid w:val="0094714A"/>
    <w:rsid w:val="0098172D"/>
    <w:rsid w:val="00982229"/>
    <w:rsid w:val="009871A7"/>
    <w:rsid w:val="009910BA"/>
    <w:rsid w:val="00996660"/>
    <w:rsid w:val="009A00F5"/>
    <w:rsid w:val="009A6C66"/>
    <w:rsid w:val="009A7DDA"/>
    <w:rsid w:val="009B0518"/>
    <w:rsid w:val="009B05E1"/>
    <w:rsid w:val="009B281E"/>
    <w:rsid w:val="009C0C29"/>
    <w:rsid w:val="009C5DEE"/>
    <w:rsid w:val="009C606E"/>
    <w:rsid w:val="009D133F"/>
    <w:rsid w:val="009D1556"/>
    <w:rsid w:val="009D1D7D"/>
    <w:rsid w:val="009D44AE"/>
    <w:rsid w:val="009F122C"/>
    <w:rsid w:val="00A06AB5"/>
    <w:rsid w:val="00A1216D"/>
    <w:rsid w:val="00A135FE"/>
    <w:rsid w:val="00A175F0"/>
    <w:rsid w:val="00A1771D"/>
    <w:rsid w:val="00A24DB0"/>
    <w:rsid w:val="00A34E32"/>
    <w:rsid w:val="00A351EB"/>
    <w:rsid w:val="00A400ED"/>
    <w:rsid w:val="00A532F9"/>
    <w:rsid w:val="00A53BAF"/>
    <w:rsid w:val="00A53E80"/>
    <w:rsid w:val="00A54CF0"/>
    <w:rsid w:val="00A5604D"/>
    <w:rsid w:val="00A6217D"/>
    <w:rsid w:val="00A7077C"/>
    <w:rsid w:val="00A72B94"/>
    <w:rsid w:val="00A8697A"/>
    <w:rsid w:val="00A932FB"/>
    <w:rsid w:val="00A97B65"/>
    <w:rsid w:val="00A97F96"/>
    <w:rsid w:val="00AA520A"/>
    <w:rsid w:val="00AA5298"/>
    <w:rsid w:val="00AB583D"/>
    <w:rsid w:val="00AB599D"/>
    <w:rsid w:val="00AB6B7F"/>
    <w:rsid w:val="00AC7D35"/>
    <w:rsid w:val="00AF17A2"/>
    <w:rsid w:val="00B022A4"/>
    <w:rsid w:val="00B04DDB"/>
    <w:rsid w:val="00B13C0A"/>
    <w:rsid w:val="00B14887"/>
    <w:rsid w:val="00B23893"/>
    <w:rsid w:val="00B24531"/>
    <w:rsid w:val="00B2613F"/>
    <w:rsid w:val="00B3131F"/>
    <w:rsid w:val="00B32CFF"/>
    <w:rsid w:val="00B4304C"/>
    <w:rsid w:val="00B53FEA"/>
    <w:rsid w:val="00B6151C"/>
    <w:rsid w:val="00B62AA5"/>
    <w:rsid w:val="00B657D1"/>
    <w:rsid w:val="00B672A7"/>
    <w:rsid w:val="00B87460"/>
    <w:rsid w:val="00B91BEB"/>
    <w:rsid w:val="00B91E49"/>
    <w:rsid w:val="00B93E16"/>
    <w:rsid w:val="00B94642"/>
    <w:rsid w:val="00BA04CF"/>
    <w:rsid w:val="00BA1601"/>
    <w:rsid w:val="00BB0FFD"/>
    <w:rsid w:val="00BB2D7F"/>
    <w:rsid w:val="00BC2523"/>
    <w:rsid w:val="00BC5907"/>
    <w:rsid w:val="00BE37E8"/>
    <w:rsid w:val="00BE5986"/>
    <w:rsid w:val="00C06EFE"/>
    <w:rsid w:val="00C107F4"/>
    <w:rsid w:val="00C24874"/>
    <w:rsid w:val="00C30894"/>
    <w:rsid w:val="00C368A2"/>
    <w:rsid w:val="00C37438"/>
    <w:rsid w:val="00C42E55"/>
    <w:rsid w:val="00C44ADB"/>
    <w:rsid w:val="00C50E58"/>
    <w:rsid w:val="00C50EA5"/>
    <w:rsid w:val="00C553F7"/>
    <w:rsid w:val="00C72E6B"/>
    <w:rsid w:val="00C74BE3"/>
    <w:rsid w:val="00C769FD"/>
    <w:rsid w:val="00C82C3A"/>
    <w:rsid w:val="00C90E10"/>
    <w:rsid w:val="00C94228"/>
    <w:rsid w:val="00CA3459"/>
    <w:rsid w:val="00CA3D4D"/>
    <w:rsid w:val="00CA456F"/>
    <w:rsid w:val="00CB0171"/>
    <w:rsid w:val="00CC0085"/>
    <w:rsid w:val="00CC18A6"/>
    <w:rsid w:val="00CC2019"/>
    <w:rsid w:val="00CC3948"/>
    <w:rsid w:val="00CC4FCF"/>
    <w:rsid w:val="00CC6CE3"/>
    <w:rsid w:val="00CF3724"/>
    <w:rsid w:val="00CF60E5"/>
    <w:rsid w:val="00D011E3"/>
    <w:rsid w:val="00D02337"/>
    <w:rsid w:val="00D06249"/>
    <w:rsid w:val="00D10BBF"/>
    <w:rsid w:val="00D13C27"/>
    <w:rsid w:val="00D161DA"/>
    <w:rsid w:val="00D173BA"/>
    <w:rsid w:val="00D222FF"/>
    <w:rsid w:val="00D2313B"/>
    <w:rsid w:val="00D26699"/>
    <w:rsid w:val="00D3180A"/>
    <w:rsid w:val="00D31BA5"/>
    <w:rsid w:val="00D34446"/>
    <w:rsid w:val="00D4382C"/>
    <w:rsid w:val="00D561E5"/>
    <w:rsid w:val="00D60AB7"/>
    <w:rsid w:val="00D656D6"/>
    <w:rsid w:val="00D73705"/>
    <w:rsid w:val="00D8588A"/>
    <w:rsid w:val="00D87349"/>
    <w:rsid w:val="00D93FD2"/>
    <w:rsid w:val="00DA331F"/>
    <w:rsid w:val="00DA487C"/>
    <w:rsid w:val="00DA56FD"/>
    <w:rsid w:val="00DB0A8D"/>
    <w:rsid w:val="00DB4D42"/>
    <w:rsid w:val="00DD3C17"/>
    <w:rsid w:val="00DD3E91"/>
    <w:rsid w:val="00DD4A56"/>
    <w:rsid w:val="00DD4B13"/>
    <w:rsid w:val="00DE5308"/>
    <w:rsid w:val="00DE698E"/>
    <w:rsid w:val="00DF0345"/>
    <w:rsid w:val="00DF21EC"/>
    <w:rsid w:val="00E00991"/>
    <w:rsid w:val="00E04A2D"/>
    <w:rsid w:val="00E07307"/>
    <w:rsid w:val="00E216B0"/>
    <w:rsid w:val="00E272B6"/>
    <w:rsid w:val="00E27870"/>
    <w:rsid w:val="00E27C41"/>
    <w:rsid w:val="00E30B90"/>
    <w:rsid w:val="00E31F0C"/>
    <w:rsid w:val="00E356C7"/>
    <w:rsid w:val="00E404BD"/>
    <w:rsid w:val="00E43502"/>
    <w:rsid w:val="00E51BAB"/>
    <w:rsid w:val="00E5714B"/>
    <w:rsid w:val="00E63FB0"/>
    <w:rsid w:val="00E65E42"/>
    <w:rsid w:val="00E678F4"/>
    <w:rsid w:val="00E72D4D"/>
    <w:rsid w:val="00E76EC5"/>
    <w:rsid w:val="00E80F29"/>
    <w:rsid w:val="00E81526"/>
    <w:rsid w:val="00E8414E"/>
    <w:rsid w:val="00E84586"/>
    <w:rsid w:val="00E84976"/>
    <w:rsid w:val="00E916C9"/>
    <w:rsid w:val="00EA0167"/>
    <w:rsid w:val="00EB748E"/>
    <w:rsid w:val="00ED34DD"/>
    <w:rsid w:val="00ED35A8"/>
    <w:rsid w:val="00EE0A09"/>
    <w:rsid w:val="00EE0CC6"/>
    <w:rsid w:val="00EF3F8A"/>
    <w:rsid w:val="00EF4C26"/>
    <w:rsid w:val="00F0543C"/>
    <w:rsid w:val="00F208ED"/>
    <w:rsid w:val="00F21B19"/>
    <w:rsid w:val="00F32A34"/>
    <w:rsid w:val="00F35D45"/>
    <w:rsid w:val="00F373BA"/>
    <w:rsid w:val="00F422BE"/>
    <w:rsid w:val="00F42518"/>
    <w:rsid w:val="00F47555"/>
    <w:rsid w:val="00F5355A"/>
    <w:rsid w:val="00F5452A"/>
    <w:rsid w:val="00F5753D"/>
    <w:rsid w:val="00F57CA8"/>
    <w:rsid w:val="00F6008E"/>
    <w:rsid w:val="00F668CD"/>
    <w:rsid w:val="00F74C6F"/>
    <w:rsid w:val="00F80F5A"/>
    <w:rsid w:val="00F80FD8"/>
    <w:rsid w:val="00F97268"/>
    <w:rsid w:val="00F97A0D"/>
    <w:rsid w:val="00FA45E1"/>
    <w:rsid w:val="00FA46E2"/>
    <w:rsid w:val="00FA6BA0"/>
    <w:rsid w:val="00FC61E4"/>
    <w:rsid w:val="00FC6CE0"/>
    <w:rsid w:val="00FC7CE9"/>
    <w:rsid w:val="00FD0D28"/>
    <w:rsid w:val="00FD1120"/>
    <w:rsid w:val="00FD586B"/>
    <w:rsid w:val="00FD65D0"/>
    <w:rsid w:val="00FD7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contacts" w:name="Sn"/>
  <w:shapeDefaults>
    <o:shapedefaults v:ext="edit" spidmax="2167"/>
    <o:shapelayout v:ext="edit">
      <o:idmap v:ext="edit" data="1"/>
    </o:shapelayout>
  </w:shapeDefaults>
  <w:decimalSymbol w:val=","/>
  <w:listSeparator w:val=";"/>
  <w14:docId w14:val="0560608E"/>
  <w15:chartTrackingRefBased/>
  <w15:docId w15:val="{93D38809-580B-4973-B529-73F3C2BA4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765"/>
    <w:rPr>
      <w:rFonts w:ascii="Times New Roman" w:hAnsi="Times New Roman"/>
      <w:sz w:val="20"/>
      <w:lang w:val="en-GB"/>
    </w:rPr>
  </w:style>
  <w:style w:type="paragraph" w:styleId="Titre1">
    <w:name w:val="heading 1"/>
    <w:basedOn w:val="Normal"/>
    <w:next w:val="Normal"/>
    <w:link w:val="Titre1Car"/>
    <w:qFormat/>
    <w:rsid w:val="00374C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nhideWhenUsed/>
    <w:qFormat/>
    <w:rsid w:val="00FD586B"/>
    <w:pPr>
      <w:keepNext/>
      <w:keepLines/>
      <w:spacing w:before="40" w:after="0"/>
      <w:outlineLvl w:val="1"/>
    </w:pPr>
    <w:rPr>
      <w:rFonts w:eastAsiaTheme="majorEastAsia" w:cstheme="majorBidi"/>
      <w:szCs w:val="26"/>
    </w:rPr>
  </w:style>
  <w:style w:type="paragraph" w:styleId="Titre3">
    <w:name w:val="heading 3"/>
    <w:basedOn w:val="Normal"/>
    <w:next w:val="Normal"/>
    <w:link w:val="Titre3Car"/>
    <w:unhideWhenUsed/>
    <w:qFormat/>
    <w:rsid w:val="00ED35A8"/>
    <w:pPr>
      <w:keepNext/>
      <w:keepLines/>
      <w:spacing w:before="40" w:after="0"/>
      <w:outlineLvl w:val="2"/>
    </w:pPr>
    <w:rPr>
      <w:rFonts w:eastAsiaTheme="majorEastAsia" w:cstheme="majorBidi"/>
      <w:i/>
      <w:szCs w:val="24"/>
    </w:rPr>
  </w:style>
  <w:style w:type="paragraph" w:styleId="Titre4">
    <w:name w:val="heading 4"/>
    <w:basedOn w:val="Normal"/>
    <w:next w:val="Normal"/>
    <w:link w:val="Titre4Car"/>
    <w:unhideWhenUsed/>
    <w:qFormat/>
    <w:rsid w:val="0094086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itre5">
    <w:name w:val="heading 5"/>
    <w:basedOn w:val="Normal"/>
    <w:next w:val="Normal"/>
    <w:link w:val="Titre5Car"/>
    <w:unhideWhenUsed/>
    <w:qFormat/>
    <w:rsid w:val="0094086E"/>
    <w:pPr>
      <w:keepNext/>
      <w:keepLines/>
      <w:numPr>
        <w:ilvl w:val="4"/>
        <w:numId w:val="10"/>
      </w:numPr>
      <w:spacing w:before="40" w:after="0"/>
      <w:ind w:left="1008" w:hanging="432"/>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qFormat/>
    <w:rsid w:val="0094086E"/>
    <w:pPr>
      <w:keepNext/>
      <w:keepLines/>
      <w:numPr>
        <w:ilvl w:val="5"/>
        <w:numId w:val="10"/>
      </w:numPr>
      <w:spacing w:before="40" w:after="0"/>
      <w:ind w:left="1152" w:hanging="432"/>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qFormat/>
    <w:rsid w:val="0094086E"/>
    <w:pPr>
      <w:keepNext/>
      <w:keepLines/>
      <w:numPr>
        <w:ilvl w:val="6"/>
        <w:numId w:val="10"/>
      </w:numPr>
      <w:spacing w:before="40" w:after="0"/>
      <w:ind w:left="1296" w:hanging="288"/>
      <w:outlineLvl w:val="6"/>
    </w:pPr>
    <w:rPr>
      <w:rFonts w:asciiTheme="majorHAnsi" w:eastAsiaTheme="majorEastAsia" w:hAnsiTheme="majorHAnsi" w:cstheme="majorBidi"/>
      <w:i/>
      <w:iCs/>
      <w:color w:val="1F3763" w:themeColor="accent1" w:themeShade="7F"/>
    </w:rPr>
  </w:style>
  <w:style w:type="paragraph" w:styleId="Titre8">
    <w:name w:val="heading 8"/>
    <w:aliases w:val="figure"/>
    <w:basedOn w:val="Normal"/>
    <w:next w:val="Normal"/>
    <w:link w:val="Titre8Car"/>
    <w:qFormat/>
    <w:rsid w:val="0094086E"/>
    <w:pPr>
      <w:keepNext/>
      <w:keepLines/>
      <w:numPr>
        <w:ilvl w:val="7"/>
        <w:numId w:val="10"/>
      </w:numPr>
      <w:spacing w:before="40" w:after="0"/>
      <w:ind w:left="1440" w:hanging="432"/>
      <w:outlineLvl w:val="7"/>
    </w:pPr>
    <w:rPr>
      <w:rFonts w:asciiTheme="majorHAnsi" w:eastAsiaTheme="majorEastAsia" w:hAnsiTheme="majorHAnsi" w:cstheme="majorBidi"/>
      <w:color w:val="272727" w:themeColor="text1" w:themeTint="D8"/>
      <w:sz w:val="21"/>
      <w:szCs w:val="21"/>
    </w:rPr>
  </w:style>
  <w:style w:type="paragraph" w:styleId="Titre9">
    <w:name w:val="heading 9"/>
    <w:aliases w:val="table"/>
    <w:basedOn w:val="Normal"/>
    <w:next w:val="Normal"/>
    <w:link w:val="Titre9Car"/>
    <w:qFormat/>
    <w:rsid w:val="0094086E"/>
    <w:pPr>
      <w:keepNext/>
      <w:keepLines/>
      <w:numPr>
        <w:ilvl w:val="8"/>
        <w:numId w:val="10"/>
      </w:numPr>
      <w:spacing w:before="40" w:after="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596091"/>
    <w:rPr>
      <w:color w:val="0563C1" w:themeColor="hyperlink"/>
      <w:u w:val="single"/>
    </w:rPr>
  </w:style>
  <w:style w:type="paragraph" w:styleId="Paragraphedeliste">
    <w:name w:val="List Paragraph"/>
    <w:basedOn w:val="Normal"/>
    <w:link w:val="ParagraphedelisteCar"/>
    <w:uiPriority w:val="34"/>
    <w:qFormat/>
    <w:rsid w:val="00596091"/>
    <w:pPr>
      <w:ind w:left="720"/>
      <w:contextualSpacing/>
    </w:pPr>
  </w:style>
  <w:style w:type="character" w:customStyle="1" w:styleId="ParagraphedelisteCar">
    <w:name w:val="Paragraphe de liste Car"/>
    <w:basedOn w:val="Policepardfaut"/>
    <w:link w:val="Paragraphedeliste"/>
    <w:uiPriority w:val="34"/>
    <w:rsid w:val="00596091"/>
    <w:rPr>
      <w:lang w:val="en-GB"/>
    </w:rPr>
  </w:style>
  <w:style w:type="character" w:customStyle="1" w:styleId="Titre2Car">
    <w:name w:val="Titre 2 Car"/>
    <w:basedOn w:val="Policepardfaut"/>
    <w:link w:val="Titre2"/>
    <w:rsid w:val="00FD586B"/>
    <w:rPr>
      <w:rFonts w:ascii="Times New Roman" w:eastAsiaTheme="majorEastAsia" w:hAnsi="Times New Roman" w:cstheme="majorBidi"/>
      <w:sz w:val="20"/>
      <w:szCs w:val="26"/>
      <w:lang w:val="en-GB"/>
    </w:rPr>
  </w:style>
  <w:style w:type="character" w:customStyle="1" w:styleId="Titre1Car">
    <w:name w:val="Titre 1 Car"/>
    <w:basedOn w:val="Policepardfaut"/>
    <w:link w:val="Titre1"/>
    <w:rsid w:val="00374CBA"/>
    <w:rPr>
      <w:rFonts w:asciiTheme="majorHAnsi" w:eastAsiaTheme="majorEastAsia" w:hAnsiTheme="majorHAnsi" w:cstheme="majorBidi"/>
      <w:color w:val="2F5496" w:themeColor="accent1" w:themeShade="BF"/>
      <w:sz w:val="32"/>
      <w:szCs w:val="32"/>
      <w:lang w:val="en-GB"/>
    </w:rPr>
  </w:style>
  <w:style w:type="paragraph" w:styleId="En-ttedetabledesmatires">
    <w:name w:val="TOC Heading"/>
    <w:basedOn w:val="Titre1"/>
    <w:next w:val="Normal"/>
    <w:uiPriority w:val="39"/>
    <w:unhideWhenUsed/>
    <w:qFormat/>
    <w:rsid w:val="00374CBA"/>
    <w:pPr>
      <w:outlineLvl w:val="9"/>
    </w:pPr>
    <w:rPr>
      <w:lang w:val="en-US"/>
    </w:rPr>
  </w:style>
  <w:style w:type="paragraph" w:styleId="TM2">
    <w:name w:val="toc 2"/>
    <w:basedOn w:val="Normal"/>
    <w:next w:val="Normal"/>
    <w:autoRedefine/>
    <w:uiPriority w:val="39"/>
    <w:unhideWhenUsed/>
    <w:qFormat/>
    <w:rsid w:val="00A135FE"/>
    <w:pPr>
      <w:tabs>
        <w:tab w:val="right" w:leader="dot" w:pos="9350"/>
      </w:tabs>
      <w:spacing w:after="240" w:line="240" w:lineRule="auto"/>
      <w:ind w:left="1134" w:hanging="708"/>
    </w:pPr>
    <w:rPr>
      <w:rFonts w:eastAsiaTheme="minorEastAsia" w:cs="Times New Roman"/>
      <w:b/>
      <w:bCs/>
      <w:noProof/>
      <w:lang w:val="en-US"/>
    </w:rPr>
  </w:style>
  <w:style w:type="paragraph" w:styleId="TM1">
    <w:name w:val="toc 1"/>
    <w:basedOn w:val="Normal"/>
    <w:next w:val="Normal"/>
    <w:autoRedefine/>
    <w:uiPriority w:val="39"/>
    <w:unhideWhenUsed/>
    <w:qFormat/>
    <w:rsid w:val="00A135FE"/>
    <w:pPr>
      <w:tabs>
        <w:tab w:val="right" w:leader="dot" w:pos="9394"/>
      </w:tabs>
      <w:spacing w:after="100"/>
      <w:ind w:left="426" w:hanging="426"/>
    </w:pPr>
    <w:rPr>
      <w:rFonts w:eastAsiaTheme="minorEastAsia" w:cs="Times New Roman"/>
      <w:lang w:val="en-US"/>
    </w:rPr>
  </w:style>
  <w:style w:type="paragraph" w:styleId="TM3">
    <w:name w:val="toc 3"/>
    <w:basedOn w:val="Normal"/>
    <w:next w:val="Normal"/>
    <w:autoRedefine/>
    <w:uiPriority w:val="39"/>
    <w:unhideWhenUsed/>
    <w:qFormat/>
    <w:rsid w:val="00D31BA5"/>
    <w:pPr>
      <w:tabs>
        <w:tab w:val="right" w:leader="dot" w:pos="9394"/>
      </w:tabs>
      <w:spacing w:after="100"/>
      <w:ind w:left="1701" w:hanging="567"/>
    </w:pPr>
    <w:rPr>
      <w:rFonts w:eastAsiaTheme="minorEastAsia" w:cs="Times New Roman"/>
      <w:b/>
      <w:noProof/>
      <w:lang w:val="en-US"/>
    </w:rPr>
  </w:style>
  <w:style w:type="character" w:customStyle="1" w:styleId="Titre3Car">
    <w:name w:val="Titre 3 Car"/>
    <w:basedOn w:val="Policepardfaut"/>
    <w:link w:val="Titre3"/>
    <w:rsid w:val="00ED35A8"/>
    <w:rPr>
      <w:rFonts w:ascii="Times New Roman" w:eastAsiaTheme="majorEastAsia" w:hAnsi="Times New Roman" w:cstheme="majorBidi"/>
      <w:i/>
      <w:sz w:val="20"/>
      <w:szCs w:val="24"/>
      <w:lang w:val="en-GB"/>
    </w:rPr>
  </w:style>
  <w:style w:type="paragraph" w:customStyle="1" w:styleId="paragraph">
    <w:name w:val="paragraph"/>
    <w:basedOn w:val="Normal"/>
    <w:rsid w:val="006E57F4"/>
    <w:pPr>
      <w:spacing w:before="100" w:beforeAutospacing="1" w:after="100" w:afterAutospacing="1" w:line="240" w:lineRule="auto"/>
    </w:pPr>
    <w:rPr>
      <w:rFonts w:eastAsia="Times New Roman" w:cs="Times New Roman"/>
      <w:sz w:val="24"/>
      <w:szCs w:val="24"/>
      <w:lang w:eastAsia="en-GB"/>
    </w:rPr>
  </w:style>
  <w:style w:type="character" w:customStyle="1" w:styleId="normaltextrun">
    <w:name w:val="normaltextrun"/>
    <w:basedOn w:val="Policepardfaut"/>
    <w:rsid w:val="006E57F4"/>
  </w:style>
  <w:style w:type="character" w:customStyle="1" w:styleId="eop">
    <w:name w:val="eop"/>
    <w:basedOn w:val="Policepardfaut"/>
    <w:rsid w:val="006E57F4"/>
  </w:style>
  <w:style w:type="paragraph" w:customStyle="1" w:styleId="para2">
    <w:name w:val="para 2."/>
    <w:link w:val="para2Car"/>
    <w:qFormat/>
    <w:rsid w:val="00A932FB"/>
    <w:pPr>
      <w:pBdr>
        <w:top w:val="nil"/>
        <w:left w:val="nil"/>
        <w:bottom w:val="nil"/>
        <w:right w:val="nil"/>
        <w:between w:val="nil"/>
        <w:bar w:val="nil"/>
      </w:pBdr>
      <w:spacing w:after="240" w:line="240" w:lineRule="auto"/>
      <w:ind w:left="992" w:hanging="567"/>
      <w:jc w:val="both"/>
    </w:pPr>
    <w:rPr>
      <w:rFonts w:ascii="Arial" w:eastAsia="Arial Unicode MS" w:hAnsi="Arial Unicode MS" w:cs="Arial Unicode MS"/>
      <w:b/>
      <w:bCs/>
      <w:color w:val="000000"/>
      <w:sz w:val="18"/>
      <w:szCs w:val="18"/>
      <w:u w:color="000000"/>
      <w:bdr w:val="nil"/>
      <w:lang w:eastAsia="en-GB"/>
    </w:rPr>
  </w:style>
  <w:style w:type="character" w:customStyle="1" w:styleId="para2Car">
    <w:name w:val="para 2. Car"/>
    <w:link w:val="para2"/>
    <w:rsid w:val="00A932FB"/>
    <w:rPr>
      <w:rFonts w:ascii="Arial" w:eastAsia="Arial Unicode MS" w:hAnsi="Arial Unicode MS" w:cs="Arial Unicode MS"/>
      <w:b/>
      <w:bCs/>
      <w:color w:val="000000"/>
      <w:sz w:val="18"/>
      <w:szCs w:val="18"/>
      <w:u w:color="000000"/>
      <w:bdr w:val="nil"/>
      <w:lang w:eastAsia="en-GB"/>
    </w:rPr>
  </w:style>
  <w:style w:type="paragraph" w:styleId="En-tte">
    <w:name w:val="header"/>
    <w:aliases w:val="Header Char1 Char,Header Char Char Char, Car Char Char Char, Car Car Char Char Char, Car Car Car Char Char Char, Car Car Car Car Car Char Char Char Car,Heading 1 Char Car1, Car Char17 Car1,Car Char Char Char,Car Char17 Car1, C, Car,En-tête1"/>
    <w:basedOn w:val="Normal"/>
    <w:link w:val="En-tteCar"/>
    <w:uiPriority w:val="99"/>
    <w:unhideWhenUsed/>
    <w:rsid w:val="00F47555"/>
    <w:pPr>
      <w:tabs>
        <w:tab w:val="center" w:pos="4536"/>
        <w:tab w:val="right" w:pos="9072"/>
      </w:tabs>
      <w:spacing w:after="0" w:line="240" w:lineRule="auto"/>
    </w:pPr>
  </w:style>
  <w:style w:type="character" w:customStyle="1" w:styleId="En-tteCar">
    <w:name w:val="En-tête Car"/>
    <w:aliases w:val="Header Char1 Char Car,Header Char Char Char Car, Car Char Char Char Car, Car Car Char Char Char Car, Car Car Car Char Char Char Car, Car Car Car Car Car Char Char Char Car Car,Heading 1 Char Car1 Car, Car Char17 Car1 Car,Car Char17 Car1 Car"/>
    <w:basedOn w:val="Policepardfaut"/>
    <w:link w:val="En-tte"/>
    <w:uiPriority w:val="99"/>
    <w:rsid w:val="00F47555"/>
    <w:rPr>
      <w:lang w:val="en-GB"/>
    </w:rPr>
  </w:style>
  <w:style w:type="paragraph" w:styleId="Pieddepage">
    <w:name w:val="footer"/>
    <w:aliases w:val=" Car Car Car Car Car, Car Car Car Car,Car Car Car Car Car,Car Car Car Car"/>
    <w:basedOn w:val="Normal"/>
    <w:link w:val="PieddepageCar"/>
    <w:unhideWhenUsed/>
    <w:rsid w:val="00F47555"/>
    <w:pPr>
      <w:tabs>
        <w:tab w:val="center" w:pos="4536"/>
        <w:tab w:val="right" w:pos="9072"/>
      </w:tabs>
      <w:spacing w:after="0" w:line="240" w:lineRule="auto"/>
    </w:pPr>
  </w:style>
  <w:style w:type="character" w:customStyle="1" w:styleId="PieddepageCar">
    <w:name w:val="Pied de page Car"/>
    <w:aliases w:val=" Car Car Car Car Car Car, Car Car Car Car Car1,Car Car Car Car Car Car,Car Car Car Car Car1"/>
    <w:basedOn w:val="Policepardfaut"/>
    <w:link w:val="Pieddepage"/>
    <w:uiPriority w:val="99"/>
    <w:rsid w:val="00F47555"/>
    <w:rPr>
      <w:lang w:val="en-GB"/>
    </w:rPr>
  </w:style>
  <w:style w:type="character" w:customStyle="1" w:styleId="UnresolvedMention1">
    <w:name w:val="Unresolved Mention1"/>
    <w:basedOn w:val="Policepardfaut"/>
    <w:uiPriority w:val="99"/>
    <w:semiHidden/>
    <w:unhideWhenUsed/>
    <w:rsid w:val="0009032B"/>
    <w:rPr>
      <w:color w:val="605E5C"/>
      <w:shd w:val="clear" w:color="auto" w:fill="E1DFDD"/>
    </w:rPr>
  </w:style>
  <w:style w:type="paragraph" w:styleId="Textedebulles">
    <w:name w:val="Balloon Text"/>
    <w:basedOn w:val="Normal"/>
    <w:link w:val="TextedebullesCar"/>
    <w:unhideWhenUsed/>
    <w:rsid w:val="005E033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rsid w:val="005E0333"/>
    <w:rPr>
      <w:rFonts w:ascii="Segoe UI" w:hAnsi="Segoe UI" w:cs="Segoe UI"/>
      <w:sz w:val="18"/>
      <w:szCs w:val="18"/>
      <w:lang w:val="en-GB"/>
    </w:rPr>
  </w:style>
  <w:style w:type="character" w:styleId="Marquedecommentaire">
    <w:name w:val="annotation reference"/>
    <w:basedOn w:val="Policepardfaut"/>
    <w:unhideWhenUsed/>
    <w:rsid w:val="00D60AB7"/>
    <w:rPr>
      <w:sz w:val="16"/>
      <w:szCs w:val="16"/>
    </w:rPr>
  </w:style>
  <w:style w:type="paragraph" w:styleId="Commentaire">
    <w:name w:val="annotation text"/>
    <w:basedOn w:val="Normal"/>
    <w:link w:val="CommentaireCar"/>
    <w:unhideWhenUsed/>
    <w:rsid w:val="00D60AB7"/>
    <w:pPr>
      <w:spacing w:line="240" w:lineRule="auto"/>
    </w:pPr>
    <w:rPr>
      <w:szCs w:val="20"/>
    </w:rPr>
  </w:style>
  <w:style w:type="character" w:customStyle="1" w:styleId="CommentaireCar">
    <w:name w:val="Commentaire Car"/>
    <w:basedOn w:val="Policepardfaut"/>
    <w:link w:val="Commentaire"/>
    <w:rsid w:val="00D60AB7"/>
    <w:rPr>
      <w:sz w:val="20"/>
      <w:szCs w:val="20"/>
      <w:lang w:val="en-GB"/>
    </w:rPr>
  </w:style>
  <w:style w:type="paragraph" w:styleId="Objetducommentaire">
    <w:name w:val="annotation subject"/>
    <w:basedOn w:val="Commentaire"/>
    <w:next w:val="Commentaire"/>
    <w:link w:val="ObjetducommentaireCar"/>
    <w:unhideWhenUsed/>
    <w:rsid w:val="00D60AB7"/>
    <w:rPr>
      <w:b/>
      <w:bCs/>
    </w:rPr>
  </w:style>
  <w:style w:type="character" w:customStyle="1" w:styleId="ObjetducommentaireCar">
    <w:name w:val="Objet du commentaire Car"/>
    <w:basedOn w:val="CommentaireCar"/>
    <w:link w:val="Objetducommentaire"/>
    <w:rsid w:val="00D60AB7"/>
    <w:rPr>
      <w:b/>
      <w:bCs/>
      <w:sz w:val="20"/>
      <w:szCs w:val="20"/>
      <w:lang w:val="en-GB"/>
    </w:rPr>
  </w:style>
  <w:style w:type="character" w:styleId="Lienhypertextesuivivisit">
    <w:name w:val="FollowedHyperlink"/>
    <w:basedOn w:val="Policepardfaut"/>
    <w:uiPriority w:val="99"/>
    <w:unhideWhenUsed/>
    <w:rsid w:val="004A0444"/>
    <w:rPr>
      <w:color w:val="954F72" w:themeColor="followedHyperlink"/>
      <w:u w:val="single"/>
    </w:rPr>
  </w:style>
  <w:style w:type="paragraph" w:styleId="Rvision">
    <w:name w:val="Revision"/>
    <w:hidden/>
    <w:uiPriority w:val="99"/>
    <w:semiHidden/>
    <w:rsid w:val="001479C5"/>
    <w:pPr>
      <w:spacing w:after="0" w:line="240" w:lineRule="auto"/>
    </w:pPr>
    <w:rPr>
      <w:lang w:val="en-GB"/>
    </w:rPr>
  </w:style>
  <w:style w:type="character" w:customStyle="1" w:styleId="Titre4Car">
    <w:name w:val="Titre 4 Car"/>
    <w:basedOn w:val="Policepardfaut"/>
    <w:link w:val="Titre4"/>
    <w:rsid w:val="0094086E"/>
    <w:rPr>
      <w:rFonts w:asciiTheme="majorHAnsi" w:eastAsiaTheme="majorEastAsia" w:hAnsiTheme="majorHAnsi" w:cstheme="majorBidi"/>
      <w:i/>
      <w:iCs/>
      <w:color w:val="2F5496" w:themeColor="accent1" w:themeShade="BF"/>
      <w:lang w:val="en-GB"/>
    </w:rPr>
  </w:style>
  <w:style w:type="character" w:customStyle="1" w:styleId="Titre5Car">
    <w:name w:val="Titre 5 Car"/>
    <w:basedOn w:val="Policepardfaut"/>
    <w:link w:val="Titre5"/>
    <w:rsid w:val="0094086E"/>
    <w:rPr>
      <w:rFonts w:asciiTheme="majorHAnsi" w:eastAsiaTheme="majorEastAsia" w:hAnsiTheme="majorHAnsi" w:cstheme="majorBidi"/>
      <w:color w:val="2F5496" w:themeColor="accent1" w:themeShade="BF"/>
      <w:sz w:val="20"/>
      <w:lang w:val="en-GB"/>
    </w:rPr>
  </w:style>
  <w:style w:type="character" w:customStyle="1" w:styleId="Titre6Car">
    <w:name w:val="Titre 6 Car"/>
    <w:basedOn w:val="Policepardfaut"/>
    <w:link w:val="Titre6"/>
    <w:rsid w:val="0094086E"/>
    <w:rPr>
      <w:rFonts w:asciiTheme="majorHAnsi" w:eastAsiaTheme="majorEastAsia" w:hAnsiTheme="majorHAnsi" w:cstheme="majorBidi"/>
      <w:color w:val="1F3763" w:themeColor="accent1" w:themeShade="7F"/>
      <w:sz w:val="20"/>
      <w:lang w:val="en-GB"/>
    </w:rPr>
  </w:style>
  <w:style w:type="character" w:customStyle="1" w:styleId="Titre7Car">
    <w:name w:val="Titre 7 Car"/>
    <w:basedOn w:val="Policepardfaut"/>
    <w:link w:val="Titre7"/>
    <w:rsid w:val="0094086E"/>
    <w:rPr>
      <w:rFonts w:asciiTheme="majorHAnsi" w:eastAsiaTheme="majorEastAsia" w:hAnsiTheme="majorHAnsi" w:cstheme="majorBidi"/>
      <w:i/>
      <w:iCs/>
      <w:color w:val="1F3763" w:themeColor="accent1" w:themeShade="7F"/>
      <w:sz w:val="20"/>
      <w:lang w:val="en-GB"/>
    </w:rPr>
  </w:style>
  <w:style w:type="character" w:customStyle="1" w:styleId="Titre8Car">
    <w:name w:val="Titre 8 Car"/>
    <w:aliases w:val="figure Car"/>
    <w:basedOn w:val="Policepardfaut"/>
    <w:link w:val="Titre8"/>
    <w:rsid w:val="0094086E"/>
    <w:rPr>
      <w:rFonts w:asciiTheme="majorHAnsi" w:eastAsiaTheme="majorEastAsia" w:hAnsiTheme="majorHAnsi" w:cstheme="majorBidi"/>
      <w:color w:val="272727" w:themeColor="text1" w:themeTint="D8"/>
      <w:sz w:val="21"/>
      <w:szCs w:val="21"/>
      <w:lang w:val="en-GB"/>
    </w:rPr>
  </w:style>
  <w:style w:type="character" w:customStyle="1" w:styleId="Titre9Car">
    <w:name w:val="Titre 9 Car"/>
    <w:aliases w:val="table Car"/>
    <w:basedOn w:val="Policepardfaut"/>
    <w:link w:val="Titre9"/>
    <w:rsid w:val="0094086E"/>
    <w:rPr>
      <w:rFonts w:asciiTheme="majorHAnsi" w:eastAsiaTheme="majorEastAsia" w:hAnsiTheme="majorHAnsi" w:cstheme="majorBidi"/>
      <w:i/>
      <w:iCs/>
      <w:color w:val="272727" w:themeColor="text1" w:themeTint="D8"/>
      <w:sz w:val="21"/>
      <w:szCs w:val="21"/>
      <w:lang w:val="en-GB"/>
    </w:rPr>
  </w:style>
  <w:style w:type="character" w:styleId="Emphaseintense">
    <w:name w:val="Intense Emphasis"/>
    <w:uiPriority w:val="21"/>
    <w:qFormat/>
    <w:rsid w:val="0094086E"/>
    <w:rPr>
      <w:i/>
      <w:iCs/>
      <w:color w:val="auto"/>
      <w:sz w:val="24"/>
      <w:u w:val="single"/>
    </w:rPr>
  </w:style>
  <w:style w:type="character" w:customStyle="1" w:styleId="HeaderChar3">
    <w:name w:val="Header Char3"/>
    <w:aliases w:val="Header Char1 Char Char2,Header Char Char Char Char2, Car Char Char Char Char2, Car Car Char Char Char Char2, Car Car Car Char Char Char Char2, Car Car Car Car Car Char Char Char Car Char2,Heading 1 Char Car1 Char2, Car Char17 Car1 Char2"/>
    <w:basedOn w:val="Policepardfaut"/>
    <w:uiPriority w:val="99"/>
    <w:rsid w:val="0094086E"/>
  </w:style>
  <w:style w:type="paragraph" w:styleId="NormalWeb">
    <w:name w:val="Normal (Web)"/>
    <w:aliases w:val=" webb,webb"/>
    <w:basedOn w:val="Normal"/>
    <w:uiPriority w:val="99"/>
    <w:unhideWhenUsed/>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pBase">
    <w:name w:val="p_Base"/>
    <w:next w:val="Normal"/>
    <w:rsid w:val="0094086E"/>
    <w:pPr>
      <w:pBdr>
        <w:top w:val="nil"/>
        <w:left w:val="nil"/>
        <w:bottom w:val="nil"/>
        <w:right w:val="nil"/>
        <w:between w:val="nil"/>
        <w:bar w:val="nil"/>
      </w:pBdr>
      <w:spacing w:after="240" w:line="200" w:lineRule="atLeast"/>
      <w:ind w:left="425" w:hanging="425"/>
      <w:jc w:val="both"/>
    </w:pPr>
    <w:rPr>
      <w:rFonts w:ascii="Arial" w:eastAsia="Arial Unicode MS" w:hAnsi="Arial Unicode MS" w:cs="Arial Unicode MS"/>
      <w:b/>
      <w:bCs/>
      <w:color w:val="000000"/>
      <w:sz w:val="20"/>
      <w:szCs w:val="20"/>
      <w:u w:color="000000"/>
      <w:bdr w:val="nil"/>
      <w:lang w:eastAsia="en-GB"/>
    </w:rPr>
  </w:style>
  <w:style w:type="paragraph" w:customStyle="1" w:styleId="Default">
    <w:name w:val="Default"/>
    <w:rsid w:val="0094086E"/>
    <w:pPr>
      <w:autoSpaceDE w:val="0"/>
      <w:autoSpaceDN w:val="0"/>
      <w:adjustRightInd w:val="0"/>
      <w:spacing w:after="0" w:line="240" w:lineRule="auto"/>
    </w:pPr>
    <w:rPr>
      <w:rFonts w:ascii="Arial" w:eastAsia="Calibri" w:hAnsi="Arial" w:cs="Arial"/>
      <w:color w:val="000000"/>
      <w:sz w:val="24"/>
      <w:szCs w:val="24"/>
      <w:lang w:val="en-AU"/>
    </w:rPr>
  </w:style>
  <w:style w:type="paragraph" w:customStyle="1" w:styleId="para11">
    <w:name w:val="para 1.1."/>
    <w:basedOn w:val="Normal"/>
    <w:link w:val="para11Car"/>
    <w:uiPriority w:val="99"/>
    <w:rsid w:val="0094086E"/>
    <w:pPr>
      <w:spacing w:after="240" w:line="240" w:lineRule="auto"/>
      <w:ind w:left="709"/>
      <w:jc w:val="both"/>
    </w:pPr>
    <w:rPr>
      <w:rFonts w:eastAsia="MS Mincho" w:cs="Times New Roman"/>
      <w:szCs w:val="20"/>
      <w:lang w:eastAsia="da-DK"/>
    </w:rPr>
  </w:style>
  <w:style w:type="character" w:customStyle="1" w:styleId="para11Car">
    <w:name w:val="para 1.1. Car"/>
    <w:link w:val="para11"/>
    <w:uiPriority w:val="99"/>
    <w:locked/>
    <w:rsid w:val="0094086E"/>
    <w:rPr>
      <w:rFonts w:ascii="Times New Roman" w:eastAsia="MS Mincho" w:hAnsi="Times New Roman" w:cs="Times New Roman"/>
      <w:sz w:val="20"/>
      <w:szCs w:val="20"/>
      <w:lang w:val="en-GB" w:eastAsia="da-DK"/>
    </w:rPr>
  </w:style>
  <w:style w:type="table" w:customStyle="1" w:styleId="GridTable4-Accent11">
    <w:name w:val="Grid Table 4 - Accent 11"/>
    <w:basedOn w:val="TableauNormal"/>
    <w:uiPriority w:val="49"/>
    <w:rsid w:val="009408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bodytext">
    <w:name w:val="bodytext"/>
    <w:basedOn w:val="Normal"/>
    <w:rsid w:val="0094086E"/>
    <w:pPr>
      <w:spacing w:before="100" w:beforeAutospacing="1" w:after="100" w:afterAutospacing="1" w:line="240" w:lineRule="auto"/>
    </w:pPr>
    <w:rPr>
      <w:rFonts w:eastAsia="Times New Roman" w:cs="Times New Roman"/>
      <w:sz w:val="24"/>
      <w:szCs w:val="24"/>
      <w:lang w:val="es-ES_tradnl" w:eastAsia="es-ES_tradnl"/>
    </w:rPr>
  </w:style>
  <w:style w:type="table" w:styleId="Grilledutableau">
    <w:name w:val="Table Grid"/>
    <w:basedOn w:val="TableauNormal"/>
    <w:uiPriority w:val="59"/>
    <w:rsid w:val="0094086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heading">
    <w:name w:val="Style2 heading"/>
    <w:basedOn w:val="Normal"/>
    <w:link w:val="Style2headingChar"/>
    <w:qFormat/>
    <w:rsid w:val="0094086E"/>
    <w:pPr>
      <w:tabs>
        <w:tab w:val="left" w:pos="567"/>
      </w:tabs>
      <w:spacing w:after="240" w:line="240" w:lineRule="auto"/>
      <w:ind w:left="720"/>
    </w:pPr>
    <w:rPr>
      <w:rFonts w:eastAsia="Times New Roman" w:cs="Times New Roman"/>
      <w:b/>
      <w:szCs w:val="20"/>
      <w:lang w:val="x-none" w:eastAsia="fr-FR"/>
    </w:rPr>
  </w:style>
  <w:style w:type="character" w:customStyle="1" w:styleId="Style2headingChar">
    <w:name w:val="Style2 heading Char"/>
    <w:link w:val="Style2heading"/>
    <w:rsid w:val="0094086E"/>
    <w:rPr>
      <w:rFonts w:ascii="Times New Roman" w:eastAsia="Times New Roman" w:hAnsi="Times New Roman" w:cs="Times New Roman"/>
      <w:b/>
      <w:sz w:val="20"/>
      <w:szCs w:val="20"/>
      <w:lang w:val="x-none" w:eastAsia="fr-FR"/>
    </w:rPr>
  </w:style>
  <w:style w:type="character" w:customStyle="1" w:styleId="UnresolvedMention2">
    <w:name w:val="Unresolved Mention2"/>
    <w:basedOn w:val="Policepardfaut"/>
    <w:uiPriority w:val="99"/>
    <w:semiHidden/>
    <w:unhideWhenUsed/>
    <w:rsid w:val="0094086E"/>
    <w:rPr>
      <w:color w:val="605E5C"/>
      <w:shd w:val="clear" w:color="auto" w:fill="E1DFDD"/>
    </w:rPr>
  </w:style>
  <w:style w:type="character" w:customStyle="1" w:styleId="UnresolvedMention3">
    <w:name w:val="Unresolved Mention3"/>
    <w:basedOn w:val="Policepardfaut"/>
    <w:uiPriority w:val="99"/>
    <w:semiHidden/>
    <w:unhideWhenUsed/>
    <w:rsid w:val="0094086E"/>
    <w:rPr>
      <w:color w:val="605E5C"/>
      <w:shd w:val="clear" w:color="auto" w:fill="E1DFDD"/>
    </w:rPr>
  </w:style>
  <w:style w:type="paragraph" w:customStyle="1" w:styleId="para110">
    <w:name w:val="para1.1."/>
    <w:basedOn w:val="Normal"/>
    <w:rsid w:val="0094086E"/>
    <w:pPr>
      <w:spacing w:after="240" w:line="240" w:lineRule="auto"/>
      <w:ind w:left="851"/>
      <w:jc w:val="both"/>
    </w:pPr>
    <w:rPr>
      <w:rFonts w:eastAsia="Times New Roman" w:cs="Times New Roman"/>
      <w:bCs/>
      <w:szCs w:val="20"/>
      <w:lang w:val="en-US" w:eastAsia="fr-FR"/>
    </w:rPr>
  </w:style>
  <w:style w:type="paragraph" w:customStyle="1" w:styleId="11">
    <w:name w:val="1.1."/>
    <w:basedOn w:val="Normal"/>
    <w:rsid w:val="0094086E"/>
    <w:pPr>
      <w:spacing w:after="240" w:line="240" w:lineRule="auto"/>
      <w:ind w:left="709" w:hanging="425"/>
      <w:jc w:val="both"/>
    </w:pPr>
    <w:rPr>
      <w:rFonts w:eastAsia="MS Mincho" w:cs="Times New Roman"/>
      <w:b/>
      <w:szCs w:val="20"/>
      <w:lang w:val="da-DK" w:eastAsia="da-DK"/>
    </w:rPr>
  </w:style>
  <w:style w:type="paragraph" w:styleId="Notedebasdepage">
    <w:name w:val="footnote text"/>
    <w:basedOn w:val="Normal"/>
    <w:link w:val="NotedebasdepageCar"/>
    <w:uiPriority w:val="99"/>
    <w:unhideWhenUsed/>
    <w:rsid w:val="0094086E"/>
    <w:pPr>
      <w:spacing w:after="0" w:line="240" w:lineRule="auto"/>
    </w:pPr>
    <w:rPr>
      <w:rFonts w:eastAsia="Times New Roman" w:cs="Times New Roman"/>
      <w:szCs w:val="20"/>
    </w:rPr>
  </w:style>
  <w:style w:type="character" w:customStyle="1" w:styleId="NotedebasdepageCar">
    <w:name w:val="Note de bas de page Car"/>
    <w:basedOn w:val="Policepardfaut"/>
    <w:link w:val="Notedebasdepage"/>
    <w:uiPriority w:val="99"/>
    <w:rsid w:val="0094086E"/>
    <w:rPr>
      <w:rFonts w:ascii="Times New Roman" w:eastAsia="Times New Roman" w:hAnsi="Times New Roman" w:cs="Times New Roman"/>
      <w:sz w:val="20"/>
      <w:szCs w:val="20"/>
      <w:lang w:val="en-GB"/>
    </w:rPr>
  </w:style>
  <w:style w:type="character" w:styleId="Appelnotedebasdep">
    <w:name w:val="footnote reference"/>
    <w:basedOn w:val="Policepardfaut"/>
    <w:uiPriority w:val="99"/>
    <w:unhideWhenUsed/>
    <w:rsid w:val="0094086E"/>
    <w:rPr>
      <w:vertAlign w:val="superscript"/>
    </w:rPr>
  </w:style>
  <w:style w:type="character" w:styleId="lev">
    <w:name w:val="Strong"/>
    <w:uiPriority w:val="22"/>
    <w:qFormat/>
    <w:rsid w:val="0094086E"/>
    <w:rPr>
      <w:b/>
      <w:bCs/>
    </w:rPr>
  </w:style>
  <w:style w:type="paragraph" w:customStyle="1" w:styleId="BodyA">
    <w:name w:val="Body A"/>
    <w:rsid w:val="0094086E"/>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n-GB"/>
    </w:rPr>
  </w:style>
  <w:style w:type="paragraph" w:styleId="Textebrut">
    <w:name w:val="Plain Text"/>
    <w:basedOn w:val="Normal"/>
    <w:link w:val="TextebrutCar"/>
    <w:uiPriority w:val="99"/>
    <w:unhideWhenUsed/>
    <w:rsid w:val="0094086E"/>
    <w:pPr>
      <w:spacing w:after="0" w:line="240" w:lineRule="auto"/>
    </w:pPr>
    <w:rPr>
      <w:rFonts w:ascii="Calibri" w:eastAsia="Calibri" w:hAnsi="Calibri" w:cs="Consolas"/>
      <w:szCs w:val="21"/>
      <w:lang w:val="en-US"/>
    </w:rPr>
  </w:style>
  <w:style w:type="character" w:customStyle="1" w:styleId="PlainTextChar">
    <w:name w:val="Plain Text Char"/>
    <w:basedOn w:val="Policepardfaut"/>
    <w:uiPriority w:val="99"/>
    <w:rsid w:val="0094086E"/>
    <w:rPr>
      <w:rFonts w:ascii="Consolas" w:hAnsi="Consolas" w:cs="Consolas"/>
      <w:sz w:val="21"/>
      <w:szCs w:val="21"/>
      <w:lang w:val="en-GB"/>
    </w:rPr>
  </w:style>
  <w:style w:type="character" w:customStyle="1" w:styleId="TextebrutCar">
    <w:name w:val="Texte brut Car"/>
    <w:basedOn w:val="Policepardfaut"/>
    <w:link w:val="Textebrut"/>
    <w:uiPriority w:val="99"/>
    <w:rsid w:val="0094086E"/>
    <w:rPr>
      <w:rFonts w:ascii="Calibri" w:eastAsia="Calibri" w:hAnsi="Calibri" w:cs="Consolas"/>
      <w:szCs w:val="21"/>
    </w:rPr>
  </w:style>
  <w:style w:type="paragraph" w:customStyle="1" w:styleId="Paranumro">
    <w:name w:val="Paranuméro"/>
    <w:basedOn w:val="Normal"/>
    <w:link w:val="ParanumroCar1"/>
    <w:rsid w:val="0094086E"/>
    <w:pPr>
      <w:spacing w:after="240" w:line="240" w:lineRule="atLeast"/>
      <w:ind w:left="567"/>
      <w:jc w:val="both"/>
    </w:pPr>
    <w:rPr>
      <w:rFonts w:ascii="Century Schoolbook" w:eastAsia="Times New Roman" w:hAnsi="Century Schoolbook" w:cs="Times New Roman"/>
      <w:szCs w:val="20"/>
    </w:rPr>
  </w:style>
  <w:style w:type="character" w:customStyle="1" w:styleId="ParanumroCar1">
    <w:name w:val="Paranuméro Car1"/>
    <w:link w:val="Paranumro"/>
    <w:rsid w:val="0094086E"/>
    <w:rPr>
      <w:rFonts w:ascii="Century Schoolbook" w:eastAsia="Times New Roman" w:hAnsi="Century Schoolbook" w:cs="Times New Roman"/>
      <w:sz w:val="20"/>
      <w:szCs w:val="20"/>
      <w:lang w:val="en-GB"/>
    </w:rPr>
  </w:style>
  <w:style w:type="paragraph" w:customStyle="1" w:styleId="style-standard-ouvrage">
    <w:name w:val="style-standard-ouvrage"/>
    <w:basedOn w:val="Normal"/>
    <w:rsid w:val="0094086E"/>
    <w:pPr>
      <w:spacing w:before="100" w:beforeAutospacing="1" w:after="100" w:afterAutospacing="1" w:line="240" w:lineRule="auto"/>
    </w:pPr>
    <w:rPr>
      <w:rFonts w:eastAsia="Times New Roman" w:cs="Times New Roman"/>
      <w:sz w:val="24"/>
      <w:szCs w:val="24"/>
      <w:lang w:val="en-US"/>
    </w:rPr>
  </w:style>
  <w:style w:type="paragraph" w:customStyle="1" w:styleId="1">
    <w:name w:val="1"/>
    <w:basedOn w:val="Normal"/>
    <w:link w:val="1Car"/>
    <w:qFormat/>
    <w:rsid w:val="0094086E"/>
    <w:pPr>
      <w:widowControl w:val="0"/>
      <w:spacing w:after="240" w:line="240" w:lineRule="auto"/>
      <w:ind w:left="425" w:right="-6" w:hanging="425"/>
      <w:jc w:val="both"/>
    </w:pPr>
    <w:rPr>
      <w:rFonts w:ascii="Arial" w:eastAsia="Arial" w:hAnsi="Arial" w:cs="Arial"/>
      <w:sz w:val="18"/>
      <w:szCs w:val="18"/>
      <w:lang w:val="en-US"/>
    </w:rPr>
  </w:style>
  <w:style w:type="character" w:customStyle="1" w:styleId="1Car">
    <w:name w:val="1 Car"/>
    <w:link w:val="1"/>
    <w:rsid w:val="0094086E"/>
    <w:rPr>
      <w:rFonts w:ascii="Arial" w:eastAsia="Arial" w:hAnsi="Arial" w:cs="Arial"/>
      <w:sz w:val="18"/>
      <w:szCs w:val="18"/>
    </w:rPr>
  </w:style>
  <w:style w:type="paragraph" w:customStyle="1" w:styleId="Corpstexte">
    <w:name w:val="Corps texte"/>
    <w:basedOn w:val="Normal"/>
    <w:rsid w:val="0094086E"/>
    <w:pPr>
      <w:spacing w:before="240" w:after="0" w:line="240" w:lineRule="auto"/>
      <w:ind w:firstLine="567"/>
      <w:jc w:val="both"/>
    </w:pPr>
    <w:rPr>
      <w:rFonts w:eastAsia="Times New Roman" w:cs="Times New Roman"/>
      <w:sz w:val="24"/>
      <w:szCs w:val="24"/>
      <w:lang w:val="fr-FR" w:eastAsia="fr-FR"/>
    </w:rPr>
  </w:style>
  <w:style w:type="paragraph" w:customStyle="1" w:styleId="10">
    <w:name w:val="1."/>
    <w:basedOn w:val="Normal"/>
    <w:link w:val="1Car0"/>
    <w:rsid w:val="0094086E"/>
    <w:pPr>
      <w:spacing w:after="240" w:line="240" w:lineRule="auto"/>
      <w:ind w:left="284" w:hanging="284"/>
      <w:jc w:val="both"/>
    </w:pPr>
    <w:rPr>
      <w:rFonts w:eastAsia="MS Mincho" w:cs="Arial"/>
      <w:b/>
      <w:bCs/>
      <w:szCs w:val="20"/>
      <w:lang w:eastAsia="fr-FR"/>
    </w:rPr>
  </w:style>
  <w:style w:type="character" w:customStyle="1" w:styleId="1Car0">
    <w:name w:val="1. Car"/>
    <w:link w:val="10"/>
    <w:locked/>
    <w:rsid w:val="0094086E"/>
    <w:rPr>
      <w:rFonts w:ascii="Times New Roman" w:eastAsia="MS Mincho" w:hAnsi="Times New Roman" w:cs="Arial"/>
      <w:b/>
      <w:bCs/>
      <w:sz w:val="20"/>
      <w:szCs w:val="20"/>
      <w:lang w:val="en-GB" w:eastAsia="fr-FR"/>
    </w:rPr>
  </w:style>
  <w:style w:type="paragraph" w:styleId="Notedefin">
    <w:name w:val="endnote text"/>
    <w:basedOn w:val="Normal"/>
    <w:link w:val="NotedefinCar"/>
    <w:uiPriority w:val="99"/>
    <w:semiHidden/>
    <w:unhideWhenUsed/>
    <w:rsid w:val="0094086E"/>
    <w:pPr>
      <w:spacing w:after="0" w:line="240" w:lineRule="auto"/>
    </w:pPr>
    <w:rPr>
      <w:rFonts w:eastAsia="Times New Roman" w:cs="Times New Roman"/>
      <w:szCs w:val="20"/>
    </w:rPr>
  </w:style>
  <w:style w:type="character" w:customStyle="1" w:styleId="NotedefinCar">
    <w:name w:val="Note de fin Car"/>
    <w:basedOn w:val="Policepardfaut"/>
    <w:link w:val="Notedefin"/>
    <w:uiPriority w:val="99"/>
    <w:semiHidden/>
    <w:rsid w:val="0094086E"/>
    <w:rPr>
      <w:rFonts w:ascii="Times New Roman" w:eastAsia="Times New Roman" w:hAnsi="Times New Roman" w:cs="Times New Roman"/>
      <w:sz w:val="20"/>
      <w:szCs w:val="20"/>
      <w:lang w:val="en-GB"/>
    </w:rPr>
  </w:style>
  <w:style w:type="character" w:styleId="Appeldenotedefin">
    <w:name w:val="endnote reference"/>
    <w:uiPriority w:val="99"/>
    <w:unhideWhenUsed/>
    <w:rsid w:val="0094086E"/>
    <w:rPr>
      <w:vertAlign w:val="superscript"/>
    </w:rPr>
  </w:style>
  <w:style w:type="character" w:styleId="Textedelespacerserv">
    <w:name w:val="Placeholder Text"/>
    <w:uiPriority w:val="99"/>
    <w:semiHidden/>
    <w:rsid w:val="0094086E"/>
    <w:rPr>
      <w:color w:val="808080"/>
    </w:rPr>
  </w:style>
  <w:style w:type="paragraph" w:customStyle="1" w:styleId="a">
    <w:name w:val="a"/>
    <w:basedOn w:val="Normal"/>
    <w:link w:val="aCar"/>
    <w:qFormat/>
    <w:rsid w:val="0094086E"/>
    <w:pPr>
      <w:widowControl w:val="0"/>
      <w:spacing w:after="240" w:line="254" w:lineRule="auto"/>
      <w:ind w:left="850" w:right="-6" w:hanging="425"/>
      <w:jc w:val="both"/>
    </w:pPr>
    <w:rPr>
      <w:rFonts w:ascii="Arial" w:eastAsia="Arial" w:hAnsi="Arial" w:cs="Arial"/>
      <w:sz w:val="18"/>
      <w:szCs w:val="18"/>
      <w:lang w:val="en-US"/>
    </w:rPr>
  </w:style>
  <w:style w:type="character" w:customStyle="1" w:styleId="aCar">
    <w:name w:val="a Car"/>
    <w:link w:val="a"/>
    <w:rsid w:val="0094086E"/>
    <w:rPr>
      <w:rFonts w:ascii="Arial" w:eastAsia="Arial" w:hAnsi="Arial" w:cs="Arial"/>
      <w:sz w:val="18"/>
      <w:szCs w:val="18"/>
    </w:rPr>
  </w:style>
  <w:style w:type="paragraph" w:customStyle="1" w:styleId="i">
    <w:name w:val="i"/>
    <w:basedOn w:val="Normal"/>
    <w:link w:val="iCar"/>
    <w:autoRedefine/>
    <w:qFormat/>
    <w:rsid w:val="0094086E"/>
    <w:pPr>
      <w:widowControl w:val="0"/>
      <w:tabs>
        <w:tab w:val="left" w:pos="1400"/>
      </w:tabs>
      <w:spacing w:after="180" w:line="240" w:lineRule="auto"/>
      <w:ind w:left="1276" w:hanging="425"/>
      <w:jc w:val="both"/>
    </w:pPr>
    <w:rPr>
      <w:rFonts w:ascii="Arial" w:eastAsia="Arial" w:hAnsi="Arial" w:cs="Arial"/>
      <w:sz w:val="18"/>
      <w:szCs w:val="18"/>
      <w:lang w:val="en-US"/>
    </w:rPr>
  </w:style>
  <w:style w:type="character" w:customStyle="1" w:styleId="iCar">
    <w:name w:val="i Car"/>
    <w:link w:val="i"/>
    <w:rsid w:val="0094086E"/>
    <w:rPr>
      <w:rFonts w:ascii="Arial" w:eastAsia="Arial" w:hAnsi="Arial" w:cs="Arial"/>
      <w:sz w:val="18"/>
      <w:szCs w:val="18"/>
    </w:rPr>
  </w:style>
  <w:style w:type="paragraph" w:customStyle="1" w:styleId="dictionnaire-intitule-terme">
    <w:name w:val="dictionnaire-intitule-terme"/>
    <w:basedOn w:val="Normal"/>
    <w:rsid w:val="0094086E"/>
    <w:pPr>
      <w:spacing w:before="100" w:beforeAutospacing="1" w:after="100" w:afterAutospacing="1" w:line="240" w:lineRule="auto"/>
    </w:pPr>
    <w:rPr>
      <w:rFonts w:eastAsia="Times New Roman" w:cs="Times New Roman"/>
      <w:sz w:val="24"/>
      <w:szCs w:val="24"/>
      <w:lang w:eastAsia="fr-FR"/>
    </w:rPr>
  </w:style>
  <w:style w:type="paragraph" w:customStyle="1" w:styleId="Paramarge">
    <w:name w:val="Para marge"/>
    <w:basedOn w:val="Normal"/>
    <w:rsid w:val="0094086E"/>
    <w:pPr>
      <w:spacing w:after="240" w:line="240" w:lineRule="auto"/>
      <w:jc w:val="both"/>
    </w:pPr>
    <w:rPr>
      <w:rFonts w:eastAsia="Times New Roman" w:cs="Times New Roman"/>
      <w:color w:val="000000"/>
      <w:szCs w:val="24"/>
      <w:lang w:eastAsia="fr-FR"/>
    </w:rPr>
  </w:style>
  <w:style w:type="paragraph" w:customStyle="1" w:styleId="Body">
    <w:name w:val="Body"/>
    <w:rsid w:val="0094086E"/>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rPr>
  </w:style>
  <w:style w:type="numbering" w:customStyle="1" w:styleId="ImportedStyle4">
    <w:name w:val="Imported Style 4"/>
    <w:rsid w:val="0094086E"/>
    <w:pPr>
      <w:numPr>
        <w:numId w:val="10"/>
      </w:numPr>
    </w:pPr>
  </w:style>
  <w:style w:type="numbering" w:customStyle="1" w:styleId="ImportedStyle5">
    <w:name w:val="Imported Style 5"/>
    <w:rsid w:val="0094086E"/>
    <w:pPr>
      <w:numPr>
        <w:numId w:val="11"/>
      </w:numPr>
    </w:pPr>
  </w:style>
  <w:style w:type="numbering" w:customStyle="1" w:styleId="ImportedStyle1">
    <w:name w:val="Imported Style 1"/>
    <w:rsid w:val="0094086E"/>
    <w:pPr>
      <w:numPr>
        <w:numId w:val="12"/>
      </w:numPr>
    </w:pPr>
  </w:style>
  <w:style w:type="paragraph" w:styleId="Corpsdetexte">
    <w:name w:val="Body Text"/>
    <w:basedOn w:val="Normal"/>
    <w:link w:val="CorpsdetexteCar"/>
    <w:uiPriority w:val="1"/>
    <w:qFormat/>
    <w:rsid w:val="0094086E"/>
    <w:pPr>
      <w:widowControl w:val="0"/>
      <w:autoSpaceDE w:val="0"/>
      <w:autoSpaceDN w:val="0"/>
      <w:spacing w:after="0" w:line="240" w:lineRule="auto"/>
    </w:pPr>
    <w:rPr>
      <w:rFonts w:ascii="Arial" w:eastAsia="Arial" w:hAnsi="Arial" w:cs="Arial"/>
      <w:sz w:val="18"/>
      <w:szCs w:val="18"/>
      <w:lang w:val="en-US"/>
    </w:rPr>
  </w:style>
  <w:style w:type="character" w:customStyle="1" w:styleId="CorpsdetexteCar">
    <w:name w:val="Corps de texte Car"/>
    <w:basedOn w:val="Policepardfaut"/>
    <w:link w:val="Corpsdetexte"/>
    <w:rsid w:val="0094086E"/>
    <w:rPr>
      <w:rFonts w:ascii="Arial" w:eastAsia="Arial" w:hAnsi="Arial" w:cs="Arial"/>
      <w:sz w:val="18"/>
      <w:szCs w:val="18"/>
    </w:rPr>
  </w:style>
  <w:style w:type="paragraph" w:customStyle="1" w:styleId="para1">
    <w:name w:val="para 1."/>
    <w:basedOn w:val="10"/>
    <w:link w:val="para1Car"/>
    <w:rsid w:val="0094086E"/>
  </w:style>
  <w:style w:type="paragraph" w:customStyle="1" w:styleId="CarCarCar">
    <w:name w:val="Car Car Car"/>
    <w:basedOn w:val="Normal"/>
    <w:rsid w:val="0094086E"/>
    <w:pPr>
      <w:spacing w:after="0" w:line="240" w:lineRule="auto"/>
    </w:pPr>
    <w:rPr>
      <w:rFonts w:ascii="Arial" w:eastAsia="Times New Roman" w:hAnsi="Arial" w:cs="Times New Roman"/>
      <w:szCs w:val="20"/>
      <w:lang w:val="en-AU"/>
    </w:rPr>
  </w:style>
  <w:style w:type="character" w:customStyle="1" w:styleId="Hyperlink1">
    <w:name w:val="Hyperlink1"/>
    <w:rsid w:val="0094086E"/>
    <w:rPr>
      <w:color w:val="000000"/>
      <w:sz w:val="20"/>
      <w:u w:val="single"/>
    </w:rPr>
  </w:style>
  <w:style w:type="paragraph" w:customStyle="1" w:styleId="document-chapitre-libelle">
    <w:name w:val="document-chapitre-libelle"/>
    <w:basedOn w:val="Normal"/>
    <w:rsid w:val="0094086E"/>
    <w:pPr>
      <w:spacing w:before="100" w:beforeAutospacing="1" w:after="100" w:afterAutospacing="1" w:line="240" w:lineRule="auto"/>
    </w:pPr>
    <w:rPr>
      <w:rFonts w:eastAsia="Times New Roman" w:cs="Times New Roman"/>
      <w:sz w:val="24"/>
      <w:szCs w:val="24"/>
      <w:lang w:eastAsia="fr-FR"/>
    </w:rPr>
  </w:style>
  <w:style w:type="paragraph" w:customStyle="1" w:styleId="document-chapitre-intitule">
    <w:name w:val="document-chapitre-intitule"/>
    <w:basedOn w:val="Normal"/>
    <w:rsid w:val="0094086E"/>
    <w:pPr>
      <w:spacing w:before="100" w:beforeAutospacing="1" w:after="100" w:afterAutospacing="1" w:line="240" w:lineRule="auto"/>
    </w:pPr>
    <w:rPr>
      <w:rFonts w:eastAsia="Times New Roman" w:cs="Times New Roman"/>
      <w:sz w:val="24"/>
      <w:szCs w:val="24"/>
      <w:lang w:eastAsia="fr-FR"/>
    </w:rPr>
  </w:style>
  <w:style w:type="paragraph" w:customStyle="1" w:styleId="document-article-libelle">
    <w:name w:val="document-article-libelle"/>
    <w:basedOn w:val="Normal"/>
    <w:rsid w:val="0094086E"/>
    <w:pPr>
      <w:spacing w:before="100" w:beforeAutospacing="1" w:after="100" w:afterAutospacing="1" w:line="240" w:lineRule="auto"/>
    </w:pPr>
    <w:rPr>
      <w:rFonts w:eastAsia="Times New Roman" w:cs="Times New Roman"/>
      <w:sz w:val="24"/>
      <w:szCs w:val="24"/>
      <w:lang w:eastAsia="fr-FR"/>
    </w:rPr>
  </w:style>
  <w:style w:type="paragraph" w:customStyle="1" w:styleId="document-article-intitule">
    <w:name w:val="document-article-intitule"/>
    <w:basedOn w:val="Normal"/>
    <w:rsid w:val="0094086E"/>
    <w:pPr>
      <w:spacing w:before="100" w:beforeAutospacing="1" w:after="100" w:afterAutospacing="1" w:line="240" w:lineRule="auto"/>
    </w:pPr>
    <w:rPr>
      <w:rFonts w:eastAsia="Times New Roman" w:cs="Times New Roman"/>
      <w:sz w:val="24"/>
      <w:szCs w:val="24"/>
      <w:lang w:eastAsia="fr-FR"/>
    </w:rPr>
  </w:style>
  <w:style w:type="paragraph" w:customStyle="1" w:styleId="intitule-section">
    <w:name w:val="intitule-section"/>
    <w:basedOn w:val="Normal"/>
    <w:rsid w:val="0094086E"/>
    <w:pPr>
      <w:spacing w:before="100" w:beforeAutospacing="1" w:after="100" w:afterAutospacing="1" w:line="240" w:lineRule="auto"/>
    </w:pPr>
    <w:rPr>
      <w:rFonts w:eastAsia="Times New Roman" w:cs="Times New Roman"/>
      <w:sz w:val="24"/>
      <w:szCs w:val="24"/>
      <w:lang w:eastAsia="fr-FR"/>
    </w:rPr>
  </w:style>
  <w:style w:type="character" w:customStyle="1" w:styleId="auteurs">
    <w:name w:val="auteurs"/>
    <w:basedOn w:val="Policepardfaut"/>
    <w:rsid w:val="0094086E"/>
  </w:style>
  <w:style w:type="character" w:customStyle="1" w:styleId="nom-revue">
    <w:name w:val="nom-revue"/>
    <w:basedOn w:val="Policepardfaut"/>
    <w:rsid w:val="0094086E"/>
  </w:style>
  <w:style w:type="character" w:customStyle="1" w:styleId="num-revue">
    <w:name w:val="num-revue"/>
    <w:basedOn w:val="Policepardfaut"/>
    <w:rsid w:val="0094086E"/>
  </w:style>
  <w:style w:type="table" w:styleId="Listeclaire-Accent1">
    <w:name w:val="Light List Accent 1"/>
    <w:basedOn w:val="TableauNormal"/>
    <w:uiPriority w:val="61"/>
    <w:rsid w:val="0094086E"/>
    <w:pPr>
      <w:spacing w:after="0" w:line="240" w:lineRule="auto"/>
    </w:pPr>
    <w:rPr>
      <w:rFonts w:ascii="Calibri" w:eastAsia="Calibri" w:hAnsi="Calibri" w:cs="Times New Roman"/>
      <w:sz w:val="20"/>
      <w:szCs w:val="20"/>
      <w:lang w:val="fr-FR"/>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paragraph" w:customStyle="1" w:styleId="xgmail-msolistparagraph">
    <w:name w:val="x_gmail-msolistparagraph"/>
    <w:basedOn w:val="Normal"/>
    <w:rsid w:val="0094086E"/>
    <w:pPr>
      <w:spacing w:before="100" w:beforeAutospacing="1" w:after="100" w:afterAutospacing="1" w:line="240" w:lineRule="auto"/>
    </w:pPr>
    <w:rPr>
      <w:rFonts w:eastAsia="Times New Roman" w:cs="Times New Roman"/>
      <w:sz w:val="24"/>
      <w:szCs w:val="24"/>
      <w:lang w:val="en-US"/>
    </w:rPr>
  </w:style>
  <w:style w:type="paragraph" w:customStyle="1" w:styleId="xmsonormal">
    <w:name w:val="x_msonormal"/>
    <w:basedOn w:val="Normal"/>
    <w:rsid w:val="0094086E"/>
    <w:pPr>
      <w:spacing w:before="100" w:beforeAutospacing="1" w:after="100" w:afterAutospacing="1" w:line="240" w:lineRule="auto"/>
    </w:pPr>
    <w:rPr>
      <w:rFonts w:eastAsia="Times New Roman" w:cs="Times New Roman"/>
      <w:sz w:val="24"/>
      <w:szCs w:val="24"/>
      <w:lang w:val="en-US"/>
    </w:rPr>
  </w:style>
  <w:style w:type="paragraph" w:customStyle="1" w:styleId="style-titre-liste">
    <w:name w:val="style-titre-liste"/>
    <w:basedOn w:val="Normal"/>
    <w:rsid w:val="0094086E"/>
    <w:pPr>
      <w:spacing w:before="100" w:beforeAutospacing="1" w:after="100" w:afterAutospacing="1" w:line="240" w:lineRule="auto"/>
    </w:pPr>
    <w:rPr>
      <w:rFonts w:eastAsia="Times New Roman" w:cs="Times New Roman"/>
      <w:sz w:val="24"/>
      <w:szCs w:val="24"/>
      <w:lang w:val="en-AU" w:eastAsia="en-AU"/>
    </w:rPr>
  </w:style>
  <w:style w:type="paragraph" w:customStyle="1" w:styleId="Para10">
    <w:name w:val="Para 1"/>
    <w:basedOn w:val="Normal"/>
    <w:link w:val="Para1Car0"/>
    <w:rsid w:val="0094086E"/>
    <w:pPr>
      <w:spacing w:after="240" w:line="240" w:lineRule="auto"/>
      <w:jc w:val="both"/>
    </w:pPr>
    <w:rPr>
      <w:rFonts w:ascii="Arial" w:eastAsia="Times New Roman" w:hAnsi="Arial" w:cs="Times New Roman"/>
      <w:sz w:val="18"/>
      <w:lang w:val="en-IE" w:bidi="en-US"/>
    </w:rPr>
  </w:style>
  <w:style w:type="character" w:customStyle="1" w:styleId="Para1Car0">
    <w:name w:val="Para 1 Car"/>
    <w:link w:val="Para10"/>
    <w:rsid w:val="0094086E"/>
    <w:rPr>
      <w:rFonts w:ascii="Arial" w:eastAsia="Times New Roman" w:hAnsi="Arial" w:cs="Times New Roman"/>
      <w:sz w:val="18"/>
      <w:lang w:val="en-IE" w:bidi="en-US"/>
    </w:rPr>
  </w:style>
  <w:style w:type="paragraph" w:customStyle="1" w:styleId="Chaptertitle">
    <w:name w:val="Chapter title"/>
    <w:basedOn w:val="Normal"/>
    <w:link w:val="ChaptertitleCar"/>
    <w:rsid w:val="0094086E"/>
    <w:pPr>
      <w:pBdr>
        <w:bottom w:val="single" w:sz="6" w:space="6" w:color="auto"/>
      </w:pBdr>
      <w:spacing w:after="480" w:line="240" w:lineRule="auto"/>
      <w:jc w:val="center"/>
    </w:pPr>
    <w:rPr>
      <w:rFonts w:ascii="Ottawa" w:eastAsia="Times New Roman" w:hAnsi="Ottawa" w:cs="Times New Roman"/>
      <w:bCs/>
      <w:iCs/>
      <w:caps/>
      <w:spacing w:val="40"/>
      <w:sz w:val="24"/>
      <w:szCs w:val="24"/>
      <w:lang w:val="en-US" w:bidi="en-US"/>
    </w:rPr>
  </w:style>
  <w:style w:type="paragraph" w:customStyle="1" w:styleId="Para3">
    <w:name w:val="Para 3"/>
    <w:basedOn w:val="Normal"/>
    <w:link w:val="Para3Car"/>
    <w:rsid w:val="0094086E"/>
    <w:pPr>
      <w:spacing w:after="240" w:line="240" w:lineRule="auto"/>
      <w:ind w:left="851"/>
      <w:jc w:val="both"/>
    </w:pPr>
    <w:rPr>
      <w:rFonts w:ascii="Arial" w:eastAsia="Times New Roman" w:hAnsi="Arial" w:cs="Times New Roman"/>
      <w:bCs/>
      <w:sz w:val="18"/>
      <w:lang w:val="en-IE"/>
    </w:rPr>
  </w:style>
  <w:style w:type="character" w:customStyle="1" w:styleId="Para3Car">
    <w:name w:val="Para 3 Car"/>
    <w:link w:val="Para3"/>
    <w:rsid w:val="0094086E"/>
    <w:rPr>
      <w:rFonts w:ascii="Arial" w:eastAsia="Times New Roman" w:hAnsi="Arial" w:cs="Times New Roman"/>
      <w:bCs/>
      <w:sz w:val="18"/>
      <w:lang w:val="en-IE"/>
    </w:rPr>
  </w:style>
  <w:style w:type="character" w:customStyle="1" w:styleId="ChaptertitleCar">
    <w:name w:val="Chapter title Car"/>
    <w:link w:val="Chaptertitle"/>
    <w:rsid w:val="0094086E"/>
    <w:rPr>
      <w:rFonts w:ascii="Ottawa" w:eastAsia="Times New Roman" w:hAnsi="Ottawa" w:cs="Times New Roman"/>
      <w:bCs/>
      <w:iCs/>
      <w:caps/>
      <w:spacing w:val="40"/>
      <w:sz w:val="24"/>
      <w:szCs w:val="24"/>
      <w:lang w:bidi="en-US"/>
    </w:rPr>
  </w:style>
  <w:style w:type="paragraph" w:customStyle="1" w:styleId="dictionnaire-definition-terme">
    <w:name w:val="dictionnaire-definition-terme"/>
    <w:basedOn w:val="Normal"/>
    <w:rsid w:val="0094086E"/>
    <w:pPr>
      <w:spacing w:before="100" w:beforeAutospacing="1" w:after="100" w:afterAutospacing="1" w:line="240" w:lineRule="auto"/>
    </w:pPr>
    <w:rPr>
      <w:rFonts w:eastAsia="Times New Roman" w:cs="Times New Roman"/>
      <w:sz w:val="24"/>
      <w:szCs w:val="24"/>
      <w:lang w:val="en-US"/>
    </w:rPr>
  </w:style>
  <w:style w:type="paragraph" w:customStyle="1" w:styleId="xdictionnaire-intitule-terme">
    <w:name w:val="x_dictionnaire-intitule-terme"/>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xdictionnaire-definition-terme">
    <w:name w:val="x_dictionnaire-definition-terme"/>
    <w:basedOn w:val="Normal"/>
    <w:rsid w:val="0094086E"/>
    <w:pPr>
      <w:spacing w:before="100" w:beforeAutospacing="1" w:after="100" w:afterAutospacing="1" w:line="240" w:lineRule="auto"/>
    </w:pPr>
    <w:rPr>
      <w:rFonts w:eastAsia="Times New Roman" w:cs="Times New Roman"/>
      <w:sz w:val="24"/>
      <w:szCs w:val="24"/>
      <w:lang w:val="fr-FR" w:eastAsia="fr-FR"/>
    </w:rPr>
  </w:style>
  <w:style w:type="character" w:customStyle="1" w:styleId="HeaderChar1">
    <w:name w:val="Header Char1"/>
    <w:aliases w:val="Header Char1 Char Char,Header Char Char Char Char, Car Char Char Char Char, Car Car Char Char Char Char, Car Car Car Char Char Char Char, Car Car Car Car Car Char Char Char Car Char,Heading 1 Char Car1 Char, Car Char17 Car1 Char, C Char"/>
    <w:uiPriority w:val="99"/>
    <w:rsid w:val="0094086E"/>
    <w:rPr>
      <w:rFonts w:ascii="Times New Roman" w:eastAsia="Times New Roman" w:hAnsi="Times New Roman" w:cs="Times New Roman"/>
      <w:sz w:val="24"/>
      <w:szCs w:val="24"/>
      <w:lang w:val="en-GB"/>
    </w:rPr>
  </w:style>
  <w:style w:type="table" w:customStyle="1" w:styleId="TableGrid">
    <w:name w:val="TableGrid"/>
    <w:rsid w:val="0094086E"/>
    <w:pPr>
      <w:spacing w:after="0" w:line="240" w:lineRule="auto"/>
    </w:pPr>
    <w:rPr>
      <w:rFonts w:ascii="Calibri" w:eastAsia="Times New Roman" w:hAnsi="Calibri" w:cs="Times New Roman"/>
      <w:lang w:val="en-NZ" w:eastAsia="en-NZ"/>
    </w:rPr>
    <w:tblPr>
      <w:tblCellMar>
        <w:top w:w="0" w:type="dxa"/>
        <w:left w:w="0" w:type="dxa"/>
        <w:bottom w:w="0" w:type="dxa"/>
        <w:right w:w="0" w:type="dxa"/>
      </w:tblCellMar>
    </w:tblPr>
  </w:style>
  <w:style w:type="character" w:customStyle="1" w:styleId="BalloonTextChar1">
    <w:name w:val="Balloon Text Char1"/>
    <w:uiPriority w:val="99"/>
    <w:semiHidden/>
    <w:rsid w:val="0094086E"/>
    <w:rPr>
      <w:rFonts w:ascii="Segoe UI" w:eastAsia="Times New Roman" w:hAnsi="Segoe UI" w:cs="Segoe UI"/>
      <w:sz w:val="18"/>
      <w:szCs w:val="18"/>
      <w:lang w:val="en-GB"/>
    </w:rPr>
  </w:style>
  <w:style w:type="character" w:customStyle="1" w:styleId="CommentSubjectChar1">
    <w:name w:val="Comment Subject Char1"/>
    <w:uiPriority w:val="99"/>
    <w:semiHidden/>
    <w:rsid w:val="0094086E"/>
    <w:rPr>
      <w:rFonts w:ascii="Times New Roman" w:eastAsia="Times New Roman" w:hAnsi="Times New Roman" w:cs="Times New Roman"/>
      <w:b/>
      <w:bCs/>
      <w:sz w:val="20"/>
      <w:szCs w:val="20"/>
      <w:lang w:val="en-GB"/>
    </w:rPr>
  </w:style>
  <w:style w:type="character" w:customStyle="1" w:styleId="EndnoteTextChar1">
    <w:name w:val="Endnote Text Char1"/>
    <w:uiPriority w:val="99"/>
    <w:semiHidden/>
    <w:rsid w:val="0094086E"/>
    <w:rPr>
      <w:rFonts w:ascii="Times New Roman" w:eastAsia="Times New Roman" w:hAnsi="Times New Roman" w:cs="Times New Roman"/>
      <w:sz w:val="20"/>
      <w:szCs w:val="20"/>
      <w:lang w:val="en-GB"/>
    </w:rPr>
  </w:style>
  <w:style w:type="numbering" w:customStyle="1" w:styleId="Aucuneliste1">
    <w:name w:val="Aucune liste1"/>
    <w:next w:val="Aucuneliste"/>
    <w:uiPriority w:val="99"/>
    <w:semiHidden/>
    <w:unhideWhenUsed/>
    <w:rsid w:val="0094086E"/>
  </w:style>
  <w:style w:type="paragraph" w:customStyle="1" w:styleId="para12">
    <w:name w:val="para 1"/>
    <w:basedOn w:val="Normal"/>
    <w:rsid w:val="0094086E"/>
    <w:pPr>
      <w:widowControl w:val="0"/>
      <w:suppressAutoHyphens/>
      <w:spacing w:after="240" w:line="240" w:lineRule="auto"/>
      <w:ind w:left="425"/>
      <w:jc w:val="both"/>
    </w:pPr>
    <w:rPr>
      <w:rFonts w:ascii="Bassoon" w:eastAsia="MS Mincho" w:hAnsi="Bassoon" w:cs="Times New Roman"/>
      <w:kern w:val="1"/>
      <w:sz w:val="24"/>
      <w:szCs w:val="20"/>
      <w:lang w:eastAsia="ar-SA"/>
    </w:rPr>
  </w:style>
  <w:style w:type="numbering" w:customStyle="1" w:styleId="Aucuneliste2">
    <w:name w:val="Aucune liste2"/>
    <w:next w:val="Aucuneliste"/>
    <w:uiPriority w:val="99"/>
    <w:semiHidden/>
    <w:unhideWhenUsed/>
    <w:rsid w:val="0094086E"/>
  </w:style>
  <w:style w:type="table" w:customStyle="1" w:styleId="Grilledutableau1">
    <w:name w:val="Grille du tableau1"/>
    <w:basedOn w:val="TableauNormal"/>
    <w:next w:val="Grilledutableau"/>
    <w:rsid w:val="0094086E"/>
    <w:pPr>
      <w:spacing w:after="0" w:line="240" w:lineRule="auto"/>
    </w:pPr>
    <w:rPr>
      <w:rFonts w:ascii="Calibri" w:eastAsia="Calibri" w:hAnsi="Calibri"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sc-textpic-caption">
    <w:name w:val="csc-textpic-caption"/>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csc-textpic-image">
    <w:name w:val="csc-textpic-image"/>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csc-textpic-firstcol">
    <w:name w:val="csc-textpic-firstcol"/>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csc-textpic-lastcol">
    <w:name w:val="csc-textpic-lastcol"/>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csc-textpic-caption1">
    <w:name w:val="csc-textpic-caption1"/>
    <w:basedOn w:val="Normal"/>
    <w:rsid w:val="0094086E"/>
    <w:pPr>
      <w:spacing w:before="100" w:beforeAutospacing="1" w:after="100" w:afterAutospacing="1" w:line="240" w:lineRule="auto"/>
      <w:jc w:val="center"/>
    </w:pPr>
    <w:rPr>
      <w:rFonts w:eastAsia="Times New Roman" w:cs="Times New Roman"/>
      <w:sz w:val="24"/>
      <w:szCs w:val="24"/>
      <w:lang w:val="fr-FR" w:eastAsia="fr-FR"/>
    </w:rPr>
  </w:style>
  <w:style w:type="paragraph" w:customStyle="1" w:styleId="csc-textpic-caption2">
    <w:name w:val="csc-textpic-caption2"/>
    <w:basedOn w:val="Normal"/>
    <w:rsid w:val="0094086E"/>
    <w:pPr>
      <w:spacing w:before="100" w:beforeAutospacing="1" w:after="100" w:afterAutospacing="1" w:line="240" w:lineRule="auto"/>
      <w:jc w:val="right"/>
    </w:pPr>
    <w:rPr>
      <w:rFonts w:eastAsia="Times New Roman" w:cs="Times New Roman"/>
      <w:sz w:val="24"/>
      <w:szCs w:val="24"/>
      <w:lang w:val="fr-FR" w:eastAsia="fr-FR"/>
    </w:rPr>
  </w:style>
  <w:style w:type="paragraph" w:customStyle="1" w:styleId="csc-textpic-caption3">
    <w:name w:val="csc-textpic-caption3"/>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csc-textpic-image1">
    <w:name w:val="csc-textpic-image1"/>
    <w:basedOn w:val="Normal"/>
    <w:rsid w:val="0094086E"/>
    <w:pPr>
      <w:spacing w:before="100" w:beforeAutospacing="1" w:after="100" w:afterAutospacing="1" w:line="240" w:lineRule="auto"/>
      <w:ind w:right="150"/>
    </w:pPr>
    <w:rPr>
      <w:rFonts w:eastAsia="Times New Roman" w:cs="Times New Roman"/>
      <w:sz w:val="24"/>
      <w:szCs w:val="24"/>
      <w:lang w:val="fr-FR" w:eastAsia="fr-FR"/>
    </w:rPr>
  </w:style>
  <w:style w:type="paragraph" w:customStyle="1" w:styleId="csc-textpic-image2">
    <w:name w:val="csc-textpic-image2"/>
    <w:basedOn w:val="Normal"/>
    <w:rsid w:val="0094086E"/>
    <w:pPr>
      <w:spacing w:before="100" w:beforeAutospacing="1" w:after="100" w:afterAutospacing="1" w:line="240" w:lineRule="auto"/>
      <w:ind w:right="150"/>
    </w:pPr>
    <w:rPr>
      <w:rFonts w:eastAsia="Times New Roman" w:cs="Times New Roman"/>
      <w:sz w:val="24"/>
      <w:szCs w:val="24"/>
      <w:lang w:val="fr-FR" w:eastAsia="fr-FR"/>
    </w:rPr>
  </w:style>
  <w:style w:type="paragraph" w:customStyle="1" w:styleId="csc-textpic-image3">
    <w:name w:val="csc-textpic-image3"/>
    <w:basedOn w:val="Normal"/>
    <w:rsid w:val="0094086E"/>
    <w:pPr>
      <w:spacing w:before="100" w:beforeAutospacing="1" w:after="100" w:afterAutospacing="1" w:line="240" w:lineRule="auto"/>
      <w:ind w:right="150"/>
    </w:pPr>
    <w:rPr>
      <w:rFonts w:eastAsia="Times New Roman" w:cs="Times New Roman"/>
      <w:sz w:val="24"/>
      <w:szCs w:val="24"/>
      <w:lang w:val="fr-FR" w:eastAsia="fr-FR"/>
    </w:rPr>
  </w:style>
  <w:style w:type="paragraph" w:customStyle="1" w:styleId="csc-textpic-image4">
    <w:name w:val="csc-textpic-image4"/>
    <w:basedOn w:val="Normal"/>
    <w:rsid w:val="0094086E"/>
    <w:pPr>
      <w:spacing w:before="100" w:beforeAutospacing="1" w:after="100" w:afterAutospacing="1" w:line="240" w:lineRule="auto"/>
      <w:ind w:left="150"/>
    </w:pPr>
    <w:rPr>
      <w:rFonts w:eastAsia="Times New Roman" w:cs="Times New Roman"/>
      <w:sz w:val="24"/>
      <w:szCs w:val="24"/>
      <w:lang w:val="fr-FR" w:eastAsia="fr-FR"/>
    </w:rPr>
  </w:style>
  <w:style w:type="paragraph" w:customStyle="1" w:styleId="csc-textpic-image5">
    <w:name w:val="csc-textpic-image5"/>
    <w:basedOn w:val="Normal"/>
    <w:rsid w:val="0094086E"/>
    <w:pPr>
      <w:spacing w:before="100" w:beforeAutospacing="1" w:after="100" w:afterAutospacing="1" w:line="240" w:lineRule="auto"/>
      <w:ind w:left="150"/>
    </w:pPr>
    <w:rPr>
      <w:rFonts w:eastAsia="Times New Roman" w:cs="Times New Roman"/>
      <w:sz w:val="24"/>
      <w:szCs w:val="24"/>
      <w:lang w:val="fr-FR" w:eastAsia="fr-FR"/>
    </w:rPr>
  </w:style>
  <w:style w:type="paragraph" w:customStyle="1" w:styleId="csc-textpic-image6">
    <w:name w:val="csc-textpic-image6"/>
    <w:basedOn w:val="Normal"/>
    <w:rsid w:val="0094086E"/>
    <w:pPr>
      <w:spacing w:before="100" w:beforeAutospacing="1" w:after="100" w:afterAutospacing="1" w:line="240" w:lineRule="auto"/>
      <w:ind w:left="150"/>
    </w:pPr>
    <w:rPr>
      <w:rFonts w:eastAsia="Times New Roman" w:cs="Times New Roman"/>
      <w:sz w:val="24"/>
      <w:szCs w:val="24"/>
      <w:lang w:val="fr-FR" w:eastAsia="fr-FR"/>
    </w:rPr>
  </w:style>
  <w:style w:type="paragraph" w:customStyle="1" w:styleId="csc-textpic-image7">
    <w:name w:val="csc-textpic-image7"/>
    <w:basedOn w:val="Normal"/>
    <w:rsid w:val="0094086E"/>
    <w:pPr>
      <w:spacing w:before="100" w:beforeAutospacing="1" w:after="100" w:afterAutospacing="1" w:line="240" w:lineRule="auto"/>
      <w:ind w:left="150"/>
    </w:pPr>
    <w:rPr>
      <w:rFonts w:eastAsia="Times New Roman" w:cs="Times New Roman"/>
      <w:sz w:val="24"/>
      <w:szCs w:val="24"/>
      <w:lang w:val="fr-FR" w:eastAsia="fr-FR"/>
    </w:rPr>
  </w:style>
  <w:style w:type="paragraph" w:customStyle="1" w:styleId="csc-textpic-caption4">
    <w:name w:val="csc-textpic-caption4"/>
    <w:basedOn w:val="Normal"/>
    <w:rsid w:val="0094086E"/>
    <w:pPr>
      <w:spacing w:after="0" w:line="240" w:lineRule="auto"/>
    </w:pPr>
    <w:rPr>
      <w:rFonts w:eastAsia="Times New Roman" w:cs="Times New Roman"/>
      <w:sz w:val="24"/>
      <w:szCs w:val="24"/>
      <w:lang w:val="fr-FR" w:eastAsia="fr-FR"/>
    </w:rPr>
  </w:style>
  <w:style w:type="paragraph" w:customStyle="1" w:styleId="csc-textpic-image8">
    <w:name w:val="csc-textpic-image8"/>
    <w:basedOn w:val="Normal"/>
    <w:rsid w:val="0094086E"/>
    <w:pPr>
      <w:spacing w:before="100" w:beforeAutospacing="1" w:after="75" w:line="240" w:lineRule="auto"/>
    </w:pPr>
    <w:rPr>
      <w:rFonts w:eastAsia="Times New Roman" w:cs="Times New Roman"/>
      <w:sz w:val="24"/>
      <w:szCs w:val="24"/>
      <w:lang w:val="fr-FR" w:eastAsia="fr-FR"/>
    </w:rPr>
  </w:style>
  <w:style w:type="paragraph" w:customStyle="1" w:styleId="csc-textpic-firstcol1">
    <w:name w:val="csc-textpic-firstcol1"/>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csc-textpic-lastcol1">
    <w:name w:val="csc-textpic-lastcol1"/>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update-note">
    <w:name w:val="update-note"/>
    <w:basedOn w:val="Normal"/>
    <w:rsid w:val="0094086E"/>
    <w:pPr>
      <w:spacing w:before="100" w:beforeAutospacing="1" w:after="100" w:afterAutospacing="1" w:line="240" w:lineRule="auto"/>
    </w:pPr>
    <w:rPr>
      <w:rFonts w:eastAsia="Times New Roman" w:cs="Times New Roman"/>
      <w:sz w:val="24"/>
      <w:szCs w:val="24"/>
      <w:lang w:val="fr-FR" w:eastAsia="fr-FR"/>
    </w:rPr>
  </w:style>
  <w:style w:type="character" w:customStyle="1" w:styleId="twelve1">
    <w:name w:val="twelve1"/>
    <w:rsid w:val="0094086E"/>
    <w:rPr>
      <w:rFonts w:ascii="Arial" w:hAnsi="Arial" w:cs="Arial" w:hint="default"/>
      <w:sz w:val="18"/>
      <w:szCs w:val="18"/>
    </w:rPr>
  </w:style>
  <w:style w:type="paragraph" w:customStyle="1" w:styleId="Para20">
    <w:name w:val="Para 2"/>
    <w:basedOn w:val="Normal"/>
    <w:link w:val="Para2Car0"/>
    <w:rsid w:val="0094086E"/>
    <w:pPr>
      <w:spacing w:after="240" w:line="240" w:lineRule="auto"/>
      <w:ind w:left="425"/>
      <w:jc w:val="both"/>
    </w:pPr>
    <w:rPr>
      <w:rFonts w:ascii="Arial" w:eastAsia="Times New Roman" w:hAnsi="Arial" w:cs="Times New Roman"/>
      <w:sz w:val="18"/>
      <w:lang w:val="en-IE"/>
    </w:rPr>
  </w:style>
  <w:style w:type="character" w:customStyle="1" w:styleId="Para2Car0">
    <w:name w:val="Para 2 Car"/>
    <w:link w:val="Para20"/>
    <w:rsid w:val="0094086E"/>
    <w:rPr>
      <w:rFonts w:ascii="Arial" w:eastAsia="Times New Roman" w:hAnsi="Arial" w:cs="Times New Roman"/>
      <w:sz w:val="18"/>
      <w:lang w:val="en-IE"/>
    </w:rPr>
  </w:style>
  <w:style w:type="paragraph" w:customStyle="1" w:styleId="Parai2">
    <w:name w:val="Para i.2"/>
    <w:basedOn w:val="Normal"/>
    <w:link w:val="Parai2Car"/>
    <w:rsid w:val="0094086E"/>
    <w:pPr>
      <w:spacing w:after="240" w:line="240" w:lineRule="auto"/>
      <w:ind w:left="850" w:hanging="425"/>
      <w:jc w:val="both"/>
    </w:pPr>
    <w:rPr>
      <w:rFonts w:ascii="Arial" w:eastAsia="Times New Roman" w:hAnsi="Arial" w:cs="Times New Roman"/>
      <w:sz w:val="18"/>
      <w:lang w:val="en-IE"/>
    </w:rPr>
  </w:style>
  <w:style w:type="paragraph" w:customStyle="1" w:styleId="Parai1">
    <w:name w:val="Para i1"/>
    <w:basedOn w:val="Para10"/>
    <w:rsid w:val="0094086E"/>
    <w:pPr>
      <w:ind w:left="425" w:hanging="425"/>
    </w:pPr>
    <w:rPr>
      <w:lang w:eastAsia="es-ES"/>
    </w:rPr>
  </w:style>
  <w:style w:type="paragraph" w:styleId="Corpsdetexte3">
    <w:name w:val="Body Text 3"/>
    <w:basedOn w:val="Normal"/>
    <w:link w:val="Corpsdetexte3Car"/>
    <w:unhideWhenUsed/>
    <w:rsid w:val="0094086E"/>
    <w:pPr>
      <w:spacing w:after="120" w:line="276" w:lineRule="auto"/>
    </w:pPr>
    <w:rPr>
      <w:rFonts w:ascii="Calibri" w:eastAsia="Calibri" w:hAnsi="Calibri" w:cs="Times New Roman"/>
      <w:sz w:val="16"/>
      <w:szCs w:val="16"/>
      <w:lang w:val="x-none"/>
    </w:rPr>
  </w:style>
  <w:style w:type="character" w:customStyle="1" w:styleId="Corpsdetexte3Car">
    <w:name w:val="Corps de texte 3 Car"/>
    <w:basedOn w:val="Policepardfaut"/>
    <w:link w:val="Corpsdetexte3"/>
    <w:rsid w:val="0094086E"/>
    <w:rPr>
      <w:rFonts w:ascii="Calibri" w:eastAsia="Calibri" w:hAnsi="Calibri" w:cs="Times New Roman"/>
      <w:sz w:val="16"/>
      <w:szCs w:val="16"/>
      <w:lang w:val="x-none"/>
    </w:rPr>
  </w:style>
  <w:style w:type="paragraph" w:customStyle="1" w:styleId="REF">
    <w:name w:val="REF"/>
    <w:basedOn w:val="Para10"/>
    <w:link w:val="REFTegn"/>
    <w:rsid w:val="0094086E"/>
  </w:style>
  <w:style w:type="paragraph" w:customStyle="1" w:styleId="Note">
    <w:name w:val="Note"/>
    <w:basedOn w:val="Notedebasdepage"/>
    <w:rsid w:val="0094086E"/>
    <w:pPr>
      <w:widowControl w:val="0"/>
      <w:ind w:left="425" w:hanging="425"/>
      <w:jc w:val="both"/>
    </w:pPr>
    <w:rPr>
      <w:rFonts w:ascii="TradeGothic" w:hAnsi="TradeGothic" w:cs="Arial"/>
      <w:sz w:val="16"/>
      <w:szCs w:val="16"/>
      <w:lang w:val="fr-FR" w:eastAsia="fr-FR"/>
    </w:rPr>
  </w:style>
  <w:style w:type="paragraph" w:customStyle="1" w:styleId="Para4">
    <w:name w:val="Para 4"/>
    <w:basedOn w:val="Normal"/>
    <w:link w:val="Para4Car"/>
    <w:rsid w:val="0094086E"/>
    <w:pPr>
      <w:spacing w:after="240" w:line="240" w:lineRule="auto"/>
      <w:ind w:left="992"/>
      <w:jc w:val="both"/>
    </w:pPr>
    <w:rPr>
      <w:rFonts w:ascii="Arial" w:eastAsia="Times New Roman" w:hAnsi="Arial" w:cs="Times New Roman"/>
      <w:bCs/>
      <w:sz w:val="18"/>
      <w:lang w:val="en-IE" w:eastAsia="fr-FR"/>
    </w:rPr>
  </w:style>
  <w:style w:type="paragraph" w:customStyle="1" w:styleId="Para5">
    <w:name w:val="Para 5"/>
    <w:basedOn w:val="Normal"/>
    <w:rsid w:val="0094086E"/>
    <w:pPr>
      <w:spacing w:after="240" w:line="240" w:lineRule="auto"/>
      <w:ind w:left="1134"/>
      <w:jc w:val="both"/>
    </w:pPr>
    <w:rPr>
      <w:rFonts w:ascii="Arial" w:eastAsia="Times New Roman" w:hAnsi="Arial" w:cs="Times New Roman"/>
      <w:bCs/>
      <w:sz w:val="18"/>
      <w:lang w:val="en-IE" w:bidi="en-US"/>
    </w:rPr>
  </w:style>
  <w:style w:type="paragraph" w:customStyle="1" w:styleId="Parai5">
    <w:name w:val="Para i.5"/>
    <w:basedOn w:val="Para5"/>
    <w:link w:val="Parai5Car"/>
    <w:rsid w:val="0094086E"/>
    <w:pPr>
      <w:spacing w:after="120"/>
      <w:ind w:left="1559" w:hanging="425"/>
    </w:pPr>
  </w:style>
  <w:style w:type="paragraph" w:customStyle="1" w:styleId="Para6">
    <w:name w:val="Para 6"/>
    <w:basedOn w:val="Parai5"/>
    <w:rsid w:val="0094086E"/>
    <w:pPr>
      <w:ind w:firstLine="0"/>
    </w:pPr>
  </w:style>
  <w:style w:type="paragraph" w:customStyle="1" w:styleId="Parai35">
    <w:name w:val="Para i.3.5"/>
    <w:basedOn w:val="Parai5"/>
    <w:rsid w:val="0094086E"/>
    <w:pPr>
      <w:tabs>
        <w:tab w:val="left" w:pos="2835"/>
        <w:tab w:val="left" w:pos="4536"/>
      </w:tabs>
      <w:ind w:firstLine="0"/>
    </w:pPr>
  </w:style>
  <w:style w:type="paragraph" w:customStyle="1" w:styleId="paraii35">
    <w:name w:val="para ii.3.5"/>
    <w:basedOn w:val="Parai35"/>
    <w:rsid w:val="0094086E"/>
    <w:pPr>
      <w:tabs>
        <w:tab w:val="clear" w:pos="2835"/>
        <w:tab w:val="clear" w:pos="4536"/>
      </w:tabs>
      <w:ind w:left="1984" w:hanging="425"/>
    </w:pPr>
  </w:style>
  <w:style w:type="paragraph" w:customStyle="1" w:styleId="Tablefn">
    <w:name w:val="Table fn"/>
    <w:basedOn w:val="Para10"/>
    <w:rsid w:val="0094086E"/>
    <w:pPr>
      <w:spacing w:before="240"/>
      <w:jc w:val="center"/>
    </w:pPr>
    <w:rPr>
      <w:sz w:val="16"/>
    </w:rPr>
  </w:style>
  <w:style w:type="paragraph" w:customStyle="1" w:styleId="TableHead">
    <w:name w:val="Table Head"/>
    <w:basedOn w:val="Para5"/>
    <w:link w:val="TableHeadCar"/>
    <w:rsid w:val="0094086E"/>
    <w:pPr>
      <w:spacing w:before="120" w:after="120"/>
      <w:ind w:left="0"/>
      <w:jc w:val="center"/>
    </w:pPr>
    <w:rPr>
      <w:rFonts w:ascii="Ottawa" w:hAnsi="Ottawa"/>
      <w:b/>
    </w:rPr>
  </w:style>
  <w:style w:type="paragraph" w:customStyle="1" w:styleId="Tabletext">
    <w:name w:val="Table text"/>
    <w:basedOn w:val="Para5"/>
    <w:rsid w:val="0094086E"/>
    <w:pPr>
      <w:spacing w:before="120" w:after="120"/>
      <w:ind w:left="0"/>
      <w:jc w:val="center"/>
    </w:pPr>
    <w:rPr>
      <w:rFonts w:cs="Arial"/>
    </w:rPr>
  </w:style>
  <w:style w:type="paragraph" w:customStyle="1" w:styleId="Tabletitle">
    <w:name w:val="Table title"/>
    <w:basedOn w:val="Para5"/>
    <w:link w:val="TabletitleCar"/>
    <w:autoRedefine/>
    <w:rsid w:val="0094086E"/>
    <w:pPr>
      <w:ind w:left="0"/>
      <w:jc w:val="center"/>
    </w:pPr>
    <w:rPr>
      <w:rFonts w:ascii="Ottawa" w:hAnsi="Ottawa"/>
      <w:b/>
      <w:i/>
    </w:rPr>
  </w:style>
  <w:style w:type="paragraph" w:customStyle="1" w:styleId="Title5a">
    <w:name w:val="Title 5a"/>
    <w:basedOn w:val="Para5"/>
    <w:link w:val="Title5aCar"/>
    <w:rsid w:val="0094086E"/>
    <w:pPr>
      <w:spacing w:before="240" w:after="120"/>
    </w:pPr>
    <w:rPr>
      <w:rFonts w:ascii="Ottawa" w:hAnsi="Ottawa"/>
      <w:i/>
    </w:rPr>
  </w:style>
  <w:style w:type="paragraph" w:customStyle="1" w:styleId="Title6">
    <w:name w:val="Title 6"/>
    <w:basedOn w:val="Para5"/>
    <w:rsid w:val="0094086E"/>
    <w:pPr>
      <w:spacing w:after="120"/>
      <w:ind w:left="1559"/>
    </w:pPr>
    <w:rPr>
      <w:rFonts w:ascii="Ottawa" w:hAnsi="Ottawa"/>
      <w:i/>
    </w:rPr>
  </w:style>
  <w:style w:type="paragraph" w:customStyle="1" w:styleId="Buffertext">
    <w:name w:val="Buffer text"/>
    <w:basedOn w:val="Para5"/>
    <w:link w:val="BuffertextCar"/>
    <w:rsid w:val="0094086E"/>
    <w:pPr>
      <w:tabs>
        <w:tab w:val="left" w:pos="5670"/>
      </w:tabs>
      <w:spacing w:after="0"/>
    </w:pPr>
    <w:rPr>
      <w:rFonts w:cs="Arial"/>
      <w:lang w:val="pt-BR"/>
    </w:rPr>
  </w:style>
  <w:style w:type="paragraph" w:customStyle="1" w:styleId="buffertextlast">
    <w:name w:val="buffer text last"/>
    <w:basedOn w:val="Buffertext"/>
    <w:link w:val="buffertextlastCar"/>
    <w:rsid w:val="0094086E"/>
    <w:pPr>
      <w:spacing w:after="240"/>
    </w:pPr>
    <w:rPr>
      <w:szCs w:val="18"/>
    </w:rPr>
  </w:style>
  <w:style w:type="paragraph" w:customStyle="1" w:styleId="ien-tte">
    <w:name w:val="i en-tête"/>
    <w:basedOn w:val="En-tte"/>
    <w:rsid w:val="0094086E"/>
    <w:pPr>
      <w:spacing w:after="240"/>
    </w:pPr>
    <w:rPr>
      <w:rFonts w:ascii="Ottawa" w:eastAsia="Times New Roman" w:hAnsi="Ottawa" w:cs="Times New Roman"/>
      <w:sz w:val="18"/>
      <w:lang w:val="en-US" w:bidi="en-US"/>
    </w:rPr>
  </w:style>
  <w:style w:type="character" w:styleId="Numrodeligne">
    <w:name w:val="line number"/>
    <w:rsid w:val="0094086E"/>
    <w:rPr>
      <w:rFonts w:ascii="Arial" w:hAnsi="Arial"/>
      <w:sz w:val="16"/>
    </w:rPr>
  </w:style>
  <w:style w:type="character" w:styleId="Accentuation">
    <w:name w:val="Emphasis"/>
    <w:uiPriority w:val="20"/>
    <w:qFormat/>
    <w:rsid w:val="0094086E"/>
    <w:rPr>
      <w:i/>
      <w:iCs/>
    </w:rPr>
  </w:style>
  <w:style w:type="paragraph" w:customStyle="1" w:styleId="solutionstext">
    <w:name w:val="solutions text"/>
    <w:basedOn w:val="Para5"/>
    <w:rsid w:val="0094086E"/>
    <w:pPr>
      <w:tabs>
        <w:tab w:val="left" w:pos="5670"/>
      </w:tabs>
      <w:spacing w:after="0"/>
      <w:ind w:left="0"/>
    </w:pPr>
    <w:rPr>
      <w:rFonts w:cs="Arial"/>
      <w:lang w:val="pt-BR"/>
    </w:rPr>
  </w:style>
  <w:style w:type="paragraph" w:customStyle="1" w:styleId="Parai6">
    <w:name w:val="Para i.6"/>
    <w:basedOn w:val="Parai5"/>
    <w:qFormat/>
    <w:rsid w:val="0094086E"/>
    <w:pPr>
      <w:ind w:left="1984"/>
    </w:pPr>
  </w:style>
  <w:style w:type="paragraph" w:customStyle="1" w:styleId="Para7">
    <w:name w:val="Para 7"/>
    <w:basedOn w:val="Para6"/>
    <w:qFormat/>
    <w:rsid w:val="0094086E"/>
    <w:pPr>
      <w:ind w:left="1701"/>
    </w:pPr>
  </w:style>
  <w:style w:type="paragraph" w:customStyle="1" w:styleId="Para7i">
    <w:name w:val="Para 7i"/>
    <w:basedOn w:val="Title6"/>
    <w:qFormat/>
    <w:rsid w:val="0094086E"/>
    <w:pPr>
      <w:ind w:left="2126" w:hanging="425"/>
    </w:pPr>
    <w:rPr>
      <w:rFonts w:ascii="Arial" w:hAnsi="Arial" w:cs="Arial"/>
      <w:i w:val="0"/>
      <w:szCs w:val="18"/>
    </w:rPr>
  </w:style>
  <w:style w:type="paragraph" w:customStyle="1" w:styleId="Para5a">
    <w:name w:val="Para 5a"/>
    <w:basedOn w:val="Para5"/>
    <w:qFormat/>
    <w:rsid w:val="0094086E"/>
    <w:pPr>
      <w:ind w:left="1418"/>
    </w:pPr>
    <w:rPr>
      <w:lang w:bidi="ar-SA"/>
    </w:rPr>
  </w:style>
  <w:style w:type="paragraph" w:styleId="PrformatHTML">
    <w:name w:val="HTML Preformatted"/>
    <w:basedOn w:val="Normal"/>
    <w:link w:val="PrformatHTMLCar"/>
    <w:rsid w:val="009408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ahoma" w:eastAsia="Times New Roman" w:hAnsi="Tahoma" w:cs="Tahoma"/>
      <w:szCs w:val="20"/>
      <w:lang w:val="en-US" w:bidi="th-TH"/>
    </w:rPr>
  </w:style>
  <w:style w:type="character" w:customStyle="1" w:styleId="PrformatHTMLCar">
    <w:name w:val="Préformaté HTML Car"/>
    <w:basedOn w:val="Policepardfaut"/>
    <w:link w:val="PrformatHTML"/>
    <w:rsid w:val="0094086E"/>
    <w:rPr>
      <w:rFonts w:ascii="Tahoma" w:eastAsia="Times New Roman" w:hAnsi="Tahoma" w:cs="Tahoma"/>
      <w:sz w:val="20"/>
      <w:szCs w:val="20"/>
      <w:lang w:bidi="th-TH"/>
    </w:rPr>
  </w:style>
  <w:style w:type="character" w:customStyle="1" w:styleId="CarCar5">
    <w:name w:val="Car Car5"/>
    <w:rsid w:val="0094086E"/>
    <w:rPr>
      <w:rFonts w:ascii="Ottawa" w:hAnsi="Ottawa"/>
      <w:b/>
      <w:spacing w:val="-10"/>
      <w:kern w:val="28"/>
      <w:position w:val="6"/>
      <w:sz w:val="22"/>
      <w:szCs w:val="22"/>
      <w:lang w:val="en-US" w:eastAsia="en-US" w:bidi="en-US"/>
    </w:rPr>
  </w:style>
  <w:style w:type="character" w:customStyle="1" w:styleId="CarCar4">
    <w:name w:val="Car Car4"/>
    <w:rsid w:val="0094086E"/>
    <w:rPr>
      <w:rFonts w:ascii="TradeGothic Bold" w:hAnsi="TradeGothic Bold"/>
      <w:spacing w:val="-10"/>
      <w:kern w:val="28"/>
      <w:position w:val="6"/>
      <w:sz w:val="21"/>
      <w:szCs w:val="22"/>
      <w:lang w:val="en-US" w:eastAsia="fr-FR" w:bidi="en-US"/>
    </w:rPr>
  </w:style>
  <w:style w:type="character" w:customStyle="1" w:styleId="CarCar3">
    <w:name w:val="Car Car3"/>
    <w:rsid w:val="0094086E"/>
    <w:rPr>
      <w:rFonts w:ascii="Ottawa" w:hAnsi="Ottawa"/>
      <w:b/>
      <w:spacing w:val="-4"/>
      <w:kern w:val="28"/>
      <w:sz w:val="19"/>
      <w:szCs w:val="22"/>
      <w:lang w:val="en-US" w:eastAsia="fr-FR" w:bidi="en-US"/>
    </w:rPr>
  </w:style>
  <w:style w:type="character" w:customStyle="1" w:styleId="CarCar2">
    <w:name w:val="Car Car2"/>
    <w:rsid w:val="0094086E"/>
    <w:rPr>
      <w:rFonts w:ascii="Ottawa" w:hAnsi="Ottawa"/>
      <w:b/>
      <w:spacing w:val="-4"/>
      <w:kern w:val="28"/>
      <w:sz w:val="18"/>
      <w:szCs w:val="22"/>
      <w:lang w:val="en-US" w:eastAsia="fr-FR" w:bidi="en-US"/>
    </w:rPr>
  </w:style>
  <w:style w:type="character" w:customStyle="1" w:styleId="CarCar1">
    <w:name w:val="Car Car1"/>
    <w:rsid w:val="0094086E"/>
    <w:rPr>
      <w:rFonts w:ascii="Ottawa" w:hAnsi="Ottawa"/>
      <w:i/>
      <w:spacing w:val="-4"/>
      <w:kern w:val="28"/>
      <w:sz w:val="18"/>
      <w:lang w:val="en-US" w:eastAsia="en-US" w:bidi="en-US"/>
    </w:rPr>
  </w:style>
  <w:style w:type="paragraph" w:styleId="Titre">
    <w:name w:val="Title"/>
    <w:basedOn w:val="Normal"/>
    <w:next w:val="Normal"/>
    <w:link w:val="TitreCar"/>
    <w:qFormat/>
    <w:rsid w:val="0094086E"/>
    <w:pPr>
      <w:spacing w:before="240" w:after="240" w:line="240" w:lineRule="auto"/>
      <w:ind w:left="357"/>
      <w:jc w:val="center"/>
    </w:pPr>
    <w:rPr>
      <w:rFonts w:ascii="Rockwell" w:eastAsia="Times New Roman" w:hAnsi="Rockwell" w:cs="Times New Roman"/>
      <w:bCs/>
      <w:iCs/>
      <w:spacing w:val="20"/>
      <w:szCs w:val="60"/>
      <w:lang w:val="en-US" w:bidi="en-US"/>
    </w:rPr>
  </w:style>
  <w:style w:type="character" w:customStyle="1" w:styleId="TitreCar">
    <w:name w:val="Titre Car"/>
    <w:basedOn w:val="Policepardfaut"/>
    <w:link w:val="Titre"/>
    <w:rsid w:val="0094086E"/>
    <w:rPr>
      <w:rFonts w:ascii="Rockwell" w:eastAsia="Times New Roman" w:hAnsi="Rockwell" w:cs="Times New Roman"/>
      <w:bCs/>
      <w:iCs/>
      <w:spacing w:val="20"/>
      <w:sz w:val="20"/>
      <w:szCs w:val="60"/>
      <w:lang w:bidi="en-US"/>
    </w:rPr>
  </w:style>
  <w:style w:type="character" w:customStyle="1" w:styleId="CarCar">
    <w:name w:val="Car Car"/>
    <w:rsid w:val="0094086E"/>
    <w:rPr>
      <w:rFonts w:ascii="Rockwell" w:hAnsi="Rockwell"/>
      <w:bCs/>
      <w:iCs/>
      <w:spacing w:val="20"/>
      <w:szCs w:val="60"/>
      <w:lang w:val="en-US" w:eastAsia="en-US" w:bidi="en-US"/>
    </w:rPr>
  </w:style>
  <w:style w:type="character" w:customStyle="1" w:styleId="Text4">
    <w:name w:val="Text 4"/>
    <w:rsid w:val="0094086E"/>
    <w:rPr>
      <w:rFonts w:ascii="TradeGothic" w:hAnsi="TradeGothic"/>
      <w:b/>
      <w:bCs/>
      <w:sz w:val="20"/>
      <w:szCs w:val="22"/>
      <w:lang w:val="en-IE" w:eastAsia="fr-FR" w:bidi="ar-SA"/>
    </w:rPr>
  </w:style>
  <w:style w:type="paragraph" w:customStyle="1" w:styleId="Text1">
    <w:name w:val="Text 1"/>
    <w:basedOn w:val="Normal"/>
    <w:rsid w:val="0094086E"/>
    <w:pPr>
      <w:spacing w:after="240" w:line="240" w:lineRule="auto"/>
      <w:ind w:left="284"/>
      <w:jc w:val="both"/>
    </w:pPr>
    <w:rPr>
      <w:rFonts w:ascii="Garamond" w:eastAsia="Times New Roman" w:hAnsi="Garamond" w:cs="Times New Roman"/>
      <w:szCs w:val="20"/>
      <w:lang w:val="en-IE" w:eastAsia="fr-FR"/>
    </w:rPr>
  </w:style>
  <w:style w:type="character" w:customStyle="1" w:styleId="StyleText1111bulletNonGrasCar">
    <w:name w:val="Style Text 1.1.1.1 bullet + Non Gras Car"/>
    <w:rsid w:val="0094086E"/>
    <w:rPr>
      <w:rFonts w:ascii="Garamond" w:hAnsi="Garamond"/>
      <w:bCs/>
      <w:sz w:val="22"/>
      <w:szCs w:val="22"/>
      <w:lang w:val="en-IE" w:eastAsia="fr-FR" w:bidi="ar-SA"/>
    </w:rPr>
  </w:style>
  <w:style w:type="character" w:customStyle="1" w:styleId="Text1111bulletCar">
    <w:name w:val="Text 1.1.1.1 bullet Car"/>
    <w:rsid w:val="0094086E"/>
    <w:rPr>
      <w:rFonts w:ascii="Garamond" w:hAnsi="Garamond"/>
      <w:sz w:val="22"/>
      <w:szCs w:val="22"/>
      <w:lang w:val="en-IE" w:eastAsia="fr-FR" w:bidi="ar-SA"/>
    </w:rPr>
  </w:style>
  <w:style w:type="paragraph" w:customStyle="1" w:styleId="Level1">
    <w:name w:val="Level 1"/>
    <w:basedOn w:val="Normal"/>
    <w:rsid w:val="0094086E"/>
    <w:pPr>
      <w:widowControl w:val="0"/>
      <w:autoSpaceDE w:val="0"/>
      <w:autoSpaceDN w:val="0"/>
      <w:adjustRightInd w:val="0"/>
      <w:spacing w:after="0" w:line="240" w:lineRule="auto"/>
      <w:ind w:left="720" w:hanging="360"/>
    </w:pPr>
    <w:rPr>
      <w:rFonts w:eastAsia="Times New Roman" w:cs="Times New Roman"/>
      <w:sz w:val="24"/>
      <w:szCs w:val="24"/>
      <w:lang w:val="en-US" w:eastAsia="fr-FR"/>
    </w:rPr>
  </w:style>
  <w:style w:type="character" w:customStyle="1" w:styleId="StyleText1111bulletLatin9ptLatinGrasCar">
    <w:name w:val="Style Text 1.1.1.1 bullet + (Latin) 9 pt (Latin) Gras Car"/>
    <w:link w:val="StyleText1111bulletLatin9ptLatinGras"/>
    <w:rsid w:val="0094086E"/>
    <w:rPr>
      <w:rFonts w:ascii="Garamond" w:hAnsi="Garamond"/>
      <w:b/>
      <w:sz w:val="18"/>
      <w:lang w:val="en-IE" w:eastAsia="fr-FR"/>
    </w:rPr>
  </w:style>
  <w:style w:type="paragraph" w:customStyle="1" w:styleId="111">
    <w:name w:val="1.1.1."/>
    <w:basedOn w:val="Normal"/>
    <w:rsid w:val="0094086E"/>
    <w:pPr>
      <w:spacing w:after="120" w:line="240" w:lineRule="auto"/>
      <w:ind w:left="851" w:hanging="567"/>
      <w:jc w:val="both"/>
    </w:pPr>
    <w:rPr>
      <w:rFonts w:ascii="Ottawa" w:eastAsia="Times New Roman" w:hAnsi="Ottawa" w:cs="Times New Roman"/>
      <w:b/>
      <w:bCs/>
      <w:lang w:eastAsia="fr-FR"/>
    </w:rPr>
  </w:style>
  <w:style w:type="paragraph" w:customStyle="1" w:styleId="i0">
    <w:name w:val="i)"/>
    <w:basedOn w:val="Normal"/>
    <w:link w:val="iTegn"/>
    <w:rsid w:val="0094086E"/>
    <w:pPr>
      <w:spacing w:after="120" w:line="240" w:lineRule="auto"/>
      <w:ind w:left="1417" w:hanging="425"/>
      <w:jc w:val="both"/>
    </w:pPr>
    <w:rPr>
      <w:rFonts w:ascii="Garamond" w:eastAsia="Times New Roman" w:hAnsi="Garamond" w:cs="Times New Roman"/>
      <w:lang w:eastAsia="fr-FR"/>
    </w:rPr>
  </w:style>
  <w:style w:type="paragraph" w:customStyle="1" w:styleId="solutionstextlast">
    <w:name w:val="solutions text last"/>
    <w:basedOn w:val="solutionstext"/>
    <w:rsid w:val="0094086E"/>
    <w:pPr>
      <w:spacing w:after="120"/>
    </w:pPr>
    <w:rPr>
      <w:lang w:val="en-GB"/>
    </w:rPr>
  </w:style>
  <w:style w:type="character" w:customStyle="1" w:styleId="Para5Car">
    <w:name w:val="Para 5 Car"/>
    <w:rsid w:val="0094086E"/>
    <w:rPr>
      <w:rFonts w:ascii="Arial" w:hAnsi="Arial"/>
      <w:bCs/>
      <w:sz w:val="18"/>
      <w:szCs w:val="22"/>
      <w:lang w:val="en-IE" w:eastAsia="en-US" w:bidi="en-US"/>
    </w:rPr>
  </w:style>
  <w:style w:type="character" w:customStyle="1" w:styleId="solutionstextCar">
    <w:name w:val="solutions text Car"/>
    <w:rsid w:val="0094086E"/>
    <w:rPr>
      <w:rFonts w:ascii="Arial" w:hAnsi="Arial" w:cs="Arial"/>
      <w:bCs/>
      <w:sz w:val="18"/>
      <w:szCs w:val="22"/>
      <w:lang w:val="pt-BR" w:eastAsia="en-US" w:bidi="en-US"/>
    </w:rPr>
  </w:style>
  <w:style w:type="character" w:customStyle="1" w:styleId="solutionstextlastCar">
    <w:name w:val="solutions text last Car"/>
    <w:rsid w:val="0094086E"/>
    <w:rPr>
      <w:rFonts w:ascii="Arial" w:hAnsi="Arial" w:cs="Arial"/>
      <w:bCs/>
      <w:sz w:val="18"/>
      <w:szCs w:val="22"/>
      <w:lang w:val="en-GB" w:eastAsia="en-US" w:bidi="en-US"/>
    </w:rPr>
  </w:style>
  <w:style w:type="paragraph" w:customStyle="1" w:styleId="StylePara2Aprs10pt">
    <w:name w:val="Style Para 2 + Après : 10 pt"/>
    <w:basedOn w:val="Para20"/>
    <w:rsid w:val="0094086E"/>
    <w:pPr>
      <w:spacing w:after="200"/>
    </w:pPr>
    <w:rPr>
      <w:szCs w:val="20"/>
    </w:rPr>
  </w:style>
  <w:style w:type="paragraph" w:customStyle="1" w:styleId="CarCar1Car">
    <w:name w:val="Car Car1 Car"/>
    <w:basedOn w:val="Normal"/>
    <w:rsid w:val="0094086E"/>
    <w:pPr>
      <w:spacing w:after="0" w:line="240" w:lineRule="auto"/>
    </w:pPr>
    <w:rPr>
      <w:rFonts w:eastAsia="Times New Roman" w:cs="Times New Roman"/>
      <w:sz w:val="24"/>
      <w:szCs w:val="24"/>
      <w:lang w:val="pl-PL" w:eastAsia="pl-PL"/>
    </w:rPr>
  </w:style>
  <w:style w:type="paragraph" w:customStyle="1" w:styleId="Reflabnote">
    <w:name w:val="Ref_lab_note"/>
    <w:basedOn w:val="Normal"/>
    <w:link w:val="ReflabnoteCar"/>
    <w:rsid w:val="0094086E"/>
    <w:pPr>
      <w:spacing w:before="120" w:after="120" w:line="240" w:lineRule="auto"/>
      <w:jc w:val="center"/>
    </w:pPr>
    <w:rPr>
      <w:rFonts w:ascii="Arial" w:eastAsia="Times New Roman" w:hAnsi="Arial" w:cs="Arial"/>
      <w:sz w:val="18"/>
      <w:szCs w:val="18"/>
      <w:lang w:eastAsia="fr-FR"/>
    </w:rPr>
  </w:style>
  <w:style w:type="character" w:customStyle="1" w:styleId="ReflabnoteCar">
    <w:name w:val="Ref_lab_note Car"/>
    <w:link w:val="Reflabnote"/>
    <w:rsid w:val="0094086E"/>
    <w:rPr>
      <w:rFonts w:ascii="Arial" w:eastAsia="Times New Roman" w:hAnsi="Arial" w:cs="Arial"/>
      <w:sz w:val="18"/>
      <w:szCs w:val="18"/>
      <w:lang w:val="en-GB" w:eastAsia="fr-FR"/>
    </w:rPr>
  </w:style>
  <w:style w:type="character" w:customStyle="1" w:styleId="jrnl">
    <w:name w:val="jrnl"/>
    <w:basedOn w:val="Policepardfaut"/>
    <w:rsid w:val="0094086E"/>
  </w:style>
  <w:style w:type="paragraph" w:customStyle="1" w:styleId="Base1">
    <w:name w:val="Base1"/>
    <w:rsid w:val="0094086E"/>
    <w:pPr>
      <w:spacing w:after="240" w:line="200" w:lineRule="atLeast"/>
      <w:ind w:left="425"/>
      <w:jc w:val="both"/>
    </w:pPr>
    <w:rPr>
      <w:rFonts w:ascii="Arial" w:eastAsia="Times New Roman" w:hAnsi="Arial" w:cs="Times New Roman"/>
      <w:color w:val="000000"/>
      <w:sz w:val="19"/>
      <w:szCs w:val="20"/>
      <w:lang w:val="fr-FR" w:eastAsia="en-GB"/>
    </w:rPr>
  </w:style>
  <w:style w:type="character" w:customStyle="1" w:styleId="st1">
    <w:name w:val="st1"/>
    <w:rsid w:val="0094086E"/>
  </w:style>
  <w:style w:type="character" w:customStyle="1" w:styleId="apple-converted-space">
    <w:name w:val="apple-converted-space"/>
    <w:basedOn w:val="Policepardfaut"/>
    <w:rsid w:val="0094086E"/>
  </w:style>
  <w:style w:type="character" w:customStyle="1" w:styleId="Para1Char">
    <w:name w:val="Para 1 Char"/>
    <w:rsid w:val="0094086E"/>
    <w:rPr>
      <w:rFonts w:ascii="Arial" w:hAnsi="Arial"/>
      <w:sz w:val="18"/>
      <w:szCs w:val="22"/>
      <w:lang w:val="en-IE" w:eastAsia="en-US" w:bidi="en-US"/>
    </w:rPr>
  </w:style>
  <w:style w:type="character" w:customStyle="1" w:styleId="Para3Char">
    <w:name w:val="Para 3 Char"/>
    <w:rsid w:val="0094086E"/>
    <w:rPr>
      <w:rFonts w:ascii="Arial" w:hAnsi="Arial"/>
      <w:bCs/>
      <w:sz w:val="18"/>
      <w:szCs w:val="22"/>
      <w:lang w:val="en-IE" w:eastAsia="en-US" w:bidi="ar-SA"/>
    </w:rPr>
  </w:style>
  <w:style w:type="paragraph" w:customStyle="1" w:styleId="Title2">
    <w:name w:val="Title 2"/>
    <w:basedOn w:val="Normal"/>
    <w:qFormat/>
    <w:rsid w:val="0094086E"/>
    <w:pPr>
      <w:spacing w:before="240" w:after="240" w:line="240" w:lineRule="auto"/>
      <w:ind w:left="357"/>
      <w:jc w:val="center"/>
    </w:pPr>
    <w:rPr>
      <w:rFonts w:ascii="Arial" w:eastAsia="Times New Roman" w:hAnsi="Arial" w:cs="Times New Roman"/>
      <w:b/>
      <w:bCs/>
      <w:iCs/>
      <w:spacing w:val="20"/>
      <w:szCs w:val="60"/>
      <w:lang w:val="en-US" w:bidi="en-US"/>
    </w:rPr>
  </w:style>
  <w:style w:type="paragraph" w:customStyle="1" w:styleId="StylesolutionstextTradeGothicBoldCentrAvant6ptApr">
    <w:name w:val="Style solutions text + TradeGothic Bold Centré Avant : 6 pt Aprè..."/>
    <w:basedOn w:val="solutionstext"/>
    <w:rsid w:val="0094086E"/>
    <w:pPr>
      <w:spacing w:before="120" w:after="120"/>
      <w:jc w:val="center"/>
    </w:pPr>
    <w:rPr>
      <w:rFonts w:ascii="Ottawa" w:hAnsi="Ottawa" w:cs="Times New Roman"/>
      <w:b/>
      <w:bCs w:val="0"/>
      <w:szCs w:val="20"/>
    </w:rPr>
  </w:style>
  <w:style w:type="paragraph" w:customStyle="1" w:styleId="StylesolutionstextTradeGothicBoldCentr">
    <w:name w:val="Style solutions text + TradeGothic Bold Centré"/>
    <w:basedOn w:val="solutionstext"/>
    <w:rsid w:val="0094086E"/>
    <w:pPr>
      <w:jc w:val="center"/>
    </w:pPr>
    <w:rPr>
      <w:rFonts w:ascii="Ottawa" w:hAnsi="Ottawa" w:cs="Times New Roman"/>
      <w:bCs w:val="0"/>
      <w:szCs w:val="20"/>
    </w:rPr>
  </w:style>
  <w:style w:type="character" w:customStyle="1" w:styleId="Hyperlink0">
    <w:name w:val="Hyperlink.0"/>
    <w:rsid w:val="0094086E"/>
    <w:rPr>
      <w:color w:val="0000FF"/>
      <w:sz w:val="24"/>
      <w:szCs w:val="24"/>
      <w:u w:val="single" w:color="0000FF"/>
      <w:lang w:val="en-US"/>
    </w:rPr>
  </w:style>
  <w:style w:type="character" w:customStyle="1" w:styleId="highlight">
    <w:name w:val="highlight"/>
    <w:basedOn w:val="Policepardfaut"/>
    <w:rsid w:val="0094086E"/>
  </w:style>
  <w:style w:type="character" w:customStyle="1" w:styleId="hps">
    <w:name w:val="hps"/>
    <w:basedOn w:val="Policepardfaut"/>
    <w:rsid w:val="0094086E"/>
  </w:style>
  <w:style w:type="character" w:customStyle="1" w:styleId="longtext1">
    <w:name w:val="long_text1"/>
    <w:rsid w:val="0094086E"/>
    <w:rPr>
      <w:sz w:val="20"/>
      <w:szCs w:val="20"/>
    </w:rPr>
  </w:style>
  <w:style w:type="paragraph" w:styleId="Normalcentr">
    <w:name w:val="Block Text"/>
    <w:basedOn w:val="Normal"/>
    <w:rsid w:val="0094086E"/>
    <w:pPr>
      <w:spacing w:before="160" w:after="120" w:line="240" w:lineRule="auto"/>
      <w:ind w:left="1440" w:right="1440"/>
    </w:pPr>
    <w:rPr>
      <w:rFonts w:eastAsia="SimSun" w:cs="Times New Roman"/>
      <w:szCs w:val="20"/>
      <w:lang w:val="en-AU" w:eastAsia="zh-CN"/>
    </w:rPr>
  </w:style>
  <w:style w:type="paragraph" w:styleId="Corpsdetexte2">
    <w:name w:val="Body Text 2"/>
    <w:basedOn w:val="Normal"/>
    <w:link w:val="Corpsdetexte2Car"/>
    <w:rsid w:val="0094086E"/>
    <w:pPr>
      <w:spacing w:before="160" w:after="120" w:line="480" w:lineRule="auto"/>
    </w:pPr>
    <w:rPr>
      <w:rFonts w:eastAsia="SimSun" w:cs="Times New Roman"/>
      <w:szCs w:val="20"/>
      <w:lang w:val="en-AU" w:eastAsia="zh-CN"/>
    </w:rPr>
  </w:style>
  <w:style w:type="character" w:customStyle="1" w:styleId="Corpsdetexte2Car">
    <w:name w:val="Corps de texte 2 Car"/>
    <w:basedOn w:val="Policepardfaut"/>
    <w:link w:val="Corpsdetexte2"/>
    <w:rsid w:val="0094086E"/>
    <w:rPr>
      <w:rFonts w:ascii="Times New Roman" w:eastAsia="SimSun" w:hAnsi="Times New Roman" w:cs="Times New Roman"/>
      <w:sz w:val="20"/>
      <w:szCs w:val="20"/>
      <w:lang w:val="en-AU" w:eastAsia="zh-CN"/>
    </w:rPr>
  </w:style>
  <w:style w:type="paragraph" w:styleId="Retrait1religne">
    <w:name w:val="Body Text First Indent"/>
    <w:basedOn w:val="Corpsdetexte"/>
    <w:link w:val="Retrait1religneCar"/>
    <w:rsid w:val="0094086E"/>
    <w:pPr>
      <w:widowControl/>
      <w:autoSpaceDE/>
      <w:autoSpaceDN/>
      <w:spacing w:before="160" w:after="120"/>
      <w:ind w:firstLine="210"/>
    </w:pPr>
    <w:rPr>
      <w:rFonts w:ascii="Times New Roman" w:eastAsia="SimSun" w:hAnsi="Times New Roman" w:cs="Times New Roman"/>
      <w:sz w:val="20"/>
      <w:szCs w:val="20"/>
      <w:lang w:val="en-AU" w:eastAsia="zh-CN"/>
    </w:rPr>
  </w:style>
  <w:style w:type="character" w:customStyle="1" w:styleId="Retrait1religneCar">
    <w:name w:val="Retrait 1re ligne Car"/>
    <w:basedOn w:val="CorpsdetexteCar"/>
    <w:link w:val="Retrait1religne"/>
    <w:rsid w:val="0094086E"/>
    <w:rPr>
      <w:rFonts w:ascii="Times New Roman" w:eastAsia="SimSun" w:hAnsi="Times New Roman" w:cs="Times New Roman"/>
      <w:sz w:val="20"/>
      <w:szCs w:val="20"/>
      <w:lang w:val="en-AU" w:eastAsia="zh-CN"/>
    </w:rPr>
  </w:style>
  <w:style w:type="paragraph" w:styleId="Retraitcorpsdetexte">
    <w:name w:val="Body Text Indent"/>
    <w:basedOn w:val="Normal"/>
    <w:link w:val="RetraitcorpsdetexteCar"/>
    <w:rsid w:val="0094086E"/>
    <w:pPr>
      <w:spacing w:before="160" w:after="120" w:line="240" w:lineRule="auto"/>
      <w:ind w:left="283"/>
    </w:pPr>
    <w:rPr>
      <w:rFonts w:eastAsia="SimSun" w:cs="Times New Roman"/>
      <w:szCs w:val="20"/>
      <w:lang w:val="en-AU" w:eastAsia="zh-CN"/>
    </w:rPr>
  </w:style>
  <w:style w:type="character" w:customStyle="1" w:styleId="RetraitcorpsdetexteCar">
    <w:name w:val="Retrait corps de texte Car"/>
    <w:basedOn w:val="Policepardfaut"/>
    <w:link w:val="Retraitcorpsdetexte"/>
    <w:rsid w:val="0094086E"/>
    <w:rPr>
      <w:rFonts w:ascii="Times New Roman" w:eastAsia="SimSun" w:hAnsi="Times New Roman" w:cs="Times New Roman"/>
      <w:sz w:val="20"/>
      <w:szCs w:val="20"/>
      <w:lang w:val="en-AU" w:eastAsia="zh-CN"/>
    </w:rPr>
  </w:style>
  <w:style w:type="paragraph" w:styleId="Retraitcorpset1relig">
    <w:name w:val="Body Text First Indent 2"/>
    <w:basedOn w:val="Retraitcorpsdetexte"/>
    <w:link w:val="Retraitcorpset1religCar"/>
    <w:uiPriority w:val="99"/>
    <w:rsid w:val="0094086E"/>
    <w:pPr>
      <w:ind w:firstLine="210"/>
    </w:pPr>
  </w:style>
  <w:style w:type="character" w:customStyle="1" w:styleId="Retraitcorpset1religCar">
    <w:name w:val="Retrait corps et 1re lig. Car"/>
    <w:basedOn w:val="RetraitcorpsdetexteCar"/>
    <w:link w:val="Retraitcorpset1relig"/>
    <w:uiPriority w:val="99"/>
    <w:rsid w:val="0094086E"/>
    <w:rPr>
      <w:rFonts w:ascii="Times New Roman" w:eastAsia="SimSun" w:hAnsi="Times New Roman" w:cs="Times New Roman"/>
      <w:sz w:val="20"/>
      <w:szCs w:val="20"/>
      <w:lang w:val="en-AU" w:eastAsia="zh-CN"/>
    </w:rPr>
  </w:style>
  <w:style w:type="paragraph" w:styleId="Retraitcorpsdetexte2">
    <w:name w:val="Body Text Indent 2"/>
    <w:basedOn w:val="Normal"/>
    <w:link w:val="Retraitcorpsdetexte2Car"/>
    <w:rsid w:val="0094086E"/>
    <w:pPr>
      <w:spacing w:before="160" w:after="120" w:line="480" w:lineRule="auto"/>
      <w:ind w:left="283"/>
    </w:pPr>
    <w:rPr>
      <w:rFonts w:eastAsia="SimSun" w:cs="Times New Roman"/>
      <w:szCs w:val="20"/>
      <w:lang w:val="en-AU" w:eastAsia="zh-CN"/>
    </w:rPr>
  </w:style>
  <w:style w:type="character" w:customStyle="1" w:styleId="Retraitcorpsdetexte2Car">
    <w:name w:val="Retrait corps de texte 2 Car"/>
    <w:basedOn w:val="Policepardfaut"/>
    <w:link w:val="Retraitcorpsdetexte2"/>
    <w:rsid w:val="0094086E"/>
    <w:rPr>
      <w:rFonts w:ascii="Times New Roman" w:eastAsia="SimSun" w:hAnsi="Times New Roman" w:cs="Times New Roman"/>
      <w:sz w:val="20"/>
      <w:szCs w:val="20"/>
      <w:lang w:val="en-AU" w:eastAsia="zh-CN"/>
    </w:rPr>
  </w:style>
  <w:style w:type="paragraph" w:styleId="Retraitcorpsdetexte3">
    <w:name w:val="Body Text Indent 3"/>
    <w:basedOn w:val="Normal"/>
    <w:link w:val="Retraitcorpsdetexte3Car"/>
    <w:rsid w:val="0094086E"/>
    <w:pPr>
      <w:spacing w:before="160" w:after="120" w:line="240" w:lineRule="auto"/>
      <w:ind w:left="283"/>
    </w:pPr>
    <w:rPr>
      <w:rFonts w:eastAsia="SimSun" w:cs="Times New Roman"/>
      <w:sz w:val="16"/>
      <w:szCs w:val="16"/>
      <w:lang w:val="en-AU" w:eastAsia="zh-CN"/>
    </w:rPr>
  </w:style>
  <w:style w:type="character" w:customStyle="1" w:styleId="Retraitcorpsdetexte3Car">
    <w:name w:val="Retrait corps de texte 3 Car"/>
    <w:basedOn w:val="Policepardfaut"/>
    <w:link w:val="Retraitcorpsdetexte3"/>
    <w:rsid w:val="0094086E"/>
    <w:rPr>
      <w:rFonts w:ascii="Times New Roman" w:eastAsia="SimSun" w:hAnsi="Times New Roman" w:cs="Times New Roman"/>
      <w:sz w:val="16"/>
      <w:szCs w:val="16"/>
      <w:lang w:val="en-AU" w:eastAsia="zh-CN"/>
    </w:rPr>
  </w:style>
  <w:style w:type="paragraph" w:styleId="Formuledepolitesse">
    <w:name w:val="Closing"/>
    <w:basedOn w:val="Normal"/>
    <w:link w:val="FormuledepolitesseCar"/>
    <w:rsid w:val="0094086E"/>
    <w:pPr>
      <w:spacing w:before="160" w:after="0" w:line="240" w:lineRule="auto"/>
      <w:ind w:left="4252"/>
    </w:pPr>
    <w:rPr>
      <w:rFonts w:eastAsia="SimSun" w:cs="Times New Roman"/>
      <w:szCs w:val="20"/>
      <w:lang w:val="en-AU" w:eastAsia="zh-CN"/>
    </w:rPr>
  </w:style>
  <w:style w:type="character" w:customStyle="1" w:styleId="FormuledepolitesseCar">
    <w:name w:val="Formule de politesse Car"/>
    <w:basedOn w:val="Policepardfaut"/>
    <w:link w:val="Formuledepolitesse"/>
    <w:rsid w:val="0094086E"/>
    <w:rPr>
      <w:rFonts w:ascii="Times New Roman" w:eastAsia="SimSun" w:hAnsi="Times New Roman" w:cs="Times New Roman"/>
      <w:sz w:val="20"/>
      <w:szCs w:val="20"/>
      <w:lang w:val="en-AU" w:eastAsia="zh-CN"/>
    </w:rPr>
  </w:style>
  <w:style w:type="paragraph" w:styleId="Date">
    <w:name w:val="Date"/>
    <w:basedOn w:val="Normal"/>
    <w:next w:val="Normal"/>
    <w:link w:val="DateCar"/>
    <w:rsid w:val="0094086E"/>
    <w:pPr>
      <w:spacing w:before="160" w:after="0" w:line="240" w:lineRule="auto"/>
    </w:pPr>
    <w:rPr>
      <w:rFonts w:eastAsia="SimSun" w:cs="Times New Roman"/>
      <w:szCs w:val="20"/>
      <w:lang w:val="en-AU" w:eastAsia="zh-CN"/>
    </w:rPr>
  </w:style>
  <w:style w:type="character" w:customStyle="1" w:styleId="DateCar">
    <w:name w:val="Date Car"/>
    <w:basedOn w:val="Policepardfaut"/>
    <w:link w:val="Date"/>
    <w:rsid w:val="0094086E"/>
    <w:rPr>
      <w:rFonts w:ascii="Times New Roman" w:eastAsia="SimSun" w:hAnsi="Times New Roman" w:cs="Times New Roman"/>
      <w:sz w:val="20"/>
      <w:szCs w:val="20"/>
      <w:lang w:val="en-AU" w:eastAsia="zh-CN"/>
    </w:rPr>
  </w:style>
  <w:style w:type="paragraph" w:styleId="Signaturelectronique">
    <w:name w:val="E-mail Signature"/>
    <w:basedOn w:val="Normal"/>
    <w:link w:val="SignaturelectroniqueCar"/>
    <w:rsid w:val="0094086E"/>
    <w:pPr>
      <w:spacing w:before="160" w:after="0" w:line="240" w:lineRule="auto"/>
    </w:pPr>
    <w:rPr>
      <w:rFonts w:eastAsia="SimSun" w:cs="Times New Roman"/>
      <w:szCs w:val="20"/>
      <w:lang w:val="en-AU" w:eastAsia="zh-CN"/>
    </w:rPr>
  </w:style>
  <w:style w:type="character" w:customStyle="1" w:styleId="SignaturelectroniqueCar">
    <w:name w:val="Signature électronique Car"/>
    <w:basedOn w:val="Policepardfaut"/>
    <w:link w:val="Signaturelectronique"/>
    <w:rsid w:val="0094086E"/>
    <w:rPr>
      <w:rFonts w:ascii="Times New Roman" w:eastAsia="SimSun" w:hAnsi="Times New Roman" w:cs="Times New Roman"/>
      <w:sz w:val="20"/>
      <w:szCs w:val="20"/>
      <w:lang w:val="en-AU" w:eastAsia="zh-CN"/>
    </w:rPr>
  </w:style>
  <w:style w:type="paragraph" w:styleId="Adressedestinataire">
    <w:name w:val="envelope address"/>
    <w:basedOn w:val="Normal"/>
    <w:rsid w:val="0094086E"/>
    <w:pPr>
      <w:framePr w:w="7920" w:h="1980" w:hRule="exact" w:hSpace="180" w:wrap="auto" w:hAnchor="page" w:xAlign="center" w:yAlign="bottom"/>
      <w:spacing w:before="160" w:after="0" w:line="240" w:lineRule="auto"/>
      <w:ind w:left="2880"/>
    </w:pPr>
    <w:rPr>
      <w:rFonts w:ascii="Arial" w:eastAsia="SimSun" w:hAnsi="Arial" w:cs="Arial"/>
      <w:szCs w:val="20"/>
      <w:lang w:val="en-AU" w:eastAsia="zh-CN"/>
    </w:rPr>
  </w:style>
  <w:style w:type="paragraph" w:styleId="Adresseexpditeur">
    <w:name w:val="envelope return"/>
    <w:basedOn w:val="Normal"/>
    <w:rsid w:val="0094086E"/>
    <w:pPr>
      <w:spacing w:before="160" w:after="0" w:line="240" w:lineRule="auto"/>
    </w:pPr>
    <w:rPr>
      <w:rFonts w:ascii="Arial" w:eastAsia="SimSun" w:hAnsi="Arial" w:cs="Arial"/>
      <w:szCs w:val="20"/>
      <w:lang w:val="en-AU" w:eastAsia="zh-CN"/>
    </w:rPr>
  </w:style>
  <w:style w:type="character" w:styleId="AcronymeHTML">
    <w:name w:val="HTML Acronym"/>
    <w:rsid w:val="0094086E"/>
  </w:style>
  <w:style w:type="paragraph" w:styleId="AdresseHTML">
    <w:name w:val="HTML Address"/>
    <w:basedOn w:val="Normal"/>
    <w:link w:val="AdresseHTMLCar"/>
    <w:rsid w:val="0094086E"/>
    <w:pPr>
      <w:spacing w:before="160" w:after="0" w:line="240" w:lineRule="auto"/>
    </w:pPr>
    <w:rPr>
      <w:rFonts w:eastAsia="SimSun" w:cs="Times New Roman"/>
      <w:i/>
      <w:iCs/>
      <w:szCs w:val="20"/>
      <w:lang w:val="en-AU" w:eastAsia="zh-CN"/>
    </w:rPr>
  </w:style>
  <w:style w:type="character" w:customStyle="1" w:styleId="AdresseHTMLCar">
    <w:name w:val="Adresse HTML Car"/>
    <w:basedOn w:val="Policepardfaut"/>
    <w:link w:val="AdresseHTML"/>
    <w:rsid w:val="0094086E"/>
    <w:rPr>
      <w:rFonts w:ascii="Times New Roman" w:eastAsia="SimSun" w:hAnsi="Times New Roman" w:cs="Times New Roman"/>
      <w:i/>
      <w:iCs/>
      <w:sz w:val="20"/>
      <w:szCs w:val="20"/>
      <w:lang w:val="en-AU" w:eastAsia="zh-CN"/>
    </w:rPr>
  </w:style>
  <w:style w:type="character" w:styleId="CitationHTML">
    <w:name w:val="HTML Cite"/>
    <w:rsid w:val="0094086E"/>
    <w:rPr>
      <w:i/>
      <w:iCs/>
    </w:rPr>
  </w:style>
  <w:style w:type="character" w:styleId="CodeHTML">
    <w:name w:val="HTML Code"/>
    <w:rsid w:val="0094086E"/>
    <w:rPr>
      <w:rFonts w:ascii="Courier New" w:hAnsi="Courier New" w:cs="Courier New"/>
      <w:sz w:val="20"/>
      <w:szCs w:val="20"/>
    </w:rPr>
  </w:style>
  <w:style w:type="character" w:styleId="DfinitionHTML">
    <w:name w:val="HTML Definition"/>
    <w:rsid w:val="0094086E"/>
    <w:rPr>
      <w:i/>
      <w:iCs/>
    </w:rPr>
  </w:style>
  <w:style w:type="character" w:styleId="ClavierHTML">
    <w:name w:val="HTML Keyboard"/>
    <w:rsid w:val="0094086E"/>
    <w:rPr>
      <w:rFonts w:ascii="Courier New" w:hAnsi="Courier New" w:cs="Courier New"/>
      <w:sz w:val="20"/>
      <w:szCs w:val="20"/>
    </w:rPr>
  </w:style>
  <w:style w:type="character" w:styleId="ExempleHTML">
    <w:name w:val="HTML Sample"/>
    <w:rsid w:val="0094086E"/>
    <w:rPr>
      <w:rFonts w:ascii="Courier New" w:hAnsi="Courier New" w:cs="Courier New"/>
    </w:rPr>
  </w:style>
  <w:style w:type="character" w:styleId="MachinecrireHTML">
    <w:name w:val="HTML Typewriter"/>
    <w:rsid w:val="0094086E"/>
    <w:rPr>
      <w:rFonts w:ascii="Courier New" w:hAnsi="Courier New" w:cs="Courier New"/>
      <w:sz w:val="20"/>
      <w:szCs w:val="20"/>
    </w:rPr>
  </w:style>
  <w:style w:type="character" w:styleId="VariableHTML">
    <w:name w:val="HTML Variable"/>
    <w:rsid w:val="0094086E"/>
    <w:rPr>
      <w:i/>
      <w:iCs/>
    </w:rPr>
  </w:style>
  <w:style w:type="paragraph" w:styleId="Liste">
    <w:name w:val="List"/>
    <w:basedOn w:val="Normal"/>
    <w:rsid w:val="0094086E"/>
    <w:pPr>
      <w:spacing w:before="160" w:after="0" w:line="240" w:lineRule="auto"/>
      <w:ind w:left="283" w:hanging="283"/>
    </w:pPr>
    <w:rPr>
      <w:rFonts w:eastAsia="SimSun" w:cs="Times New Roman"/>
      <w:szCs w:val="20"/>
      <w:lang w:val="en-AU" w:eastAsia="zh-CN"/>
    </w:rPr>
  </w:style>
  <w:style w:type="paragraph" w:styleId="Liste2">
    <w:name w:val="List 2"/>
    <w:basedOn w:val="Normal"/>
    <w:rsid w:val="0094086E"/>
    <w:pPr>
      <w:spacing w:before="160" w:after="0" w:line="240" w:lineRule="auto"/>
      <w:ind w:left="566" w:hanging="283"/>
    </w:pPr>
    <w:rPr>
      <w:rFonts w:eastAsia="SimSun" w:cs="Times New Roman"/>
      <w:szCs w:val="20"/>
      <w:lang w:val="en-AU" w:eastAsia="zh-CN"/>
    </w:rPr>
  </w:style>
  <w:style w:type="paragraph" w:styleId="Liste3">
    <w:name w:val="List 3"/>
    <w:basedOn w:val="Normal"/>
    <w:rsid w:val="0094086E"/>
    <w:pPr>
      <w:spacing w:before="160" w:after="0" w:line="240" w:lineRule="auto"/>
      <w:ind w:left="849" w:hanging="283"/>
    </w:pPr>
    <w:rPr>
      <w:rFonts w:eastAsia="SimSun" w:cs="Times New Roman"/>
      <w:szCs w:val="20"/>
      <w:lang w:val="en-AU" w:eastAsia="zh-CN"/>
    </w:rPr>
  </w:style>
  <w:style w:type="paragraph" w:styleId="Liste4">
    <w:name w:val="List 4"/>
    <w:basedOn w:val="Normal"/>
    <w:rsid w:val="0094086E"/>
    <w:pPr>
      <w:spacing w:before="160" w:after="0" w:line="240" w:lineRule="auto"/>
      <w:ind w:left="1132" w:hanging="283"/>
    </w:pPr>
    <w:rPr>
      <w:rFonts w:eastAsia="SimSun" w:cs="Times New Roman"/>
      <w:szCs w:val="20"/>
      <w:lang w:val="en-AU" w:eastAsia="zh-CN"/>
    </w:rPr>
  </w:style>
  <w:style w:type="paragraph" w:styleId="Liste5">
    <w:name w:val="List 5"/>
    <w:basedOn w:val="Normal"/>
    <w:rsid w:val="0094086E"/>
    <w:pPr>
      <w:spacing w:before="160" w:after="0" w:line="240" w:lineRule="auto"/>
      <w:ind w:left="1415" w:hanging="283"/>
    </w:pPr>
    <w:rPr>
      <w:rFonts w:eastAsia="SimSun" w:cs="Times New Roman"/>
      <w:szCs w:val="20"/>
      <w:lang w:val="en-AU" w:eastAsia="zh-CN"/>
    </w:rPr>
  </w:style>
  <w:style w:type="paragraph" w:styleId="Listepuces2">
    <w:name w:val="List Bullet 2"/>
    <w:basedOn w:val="Normal"/>
    <w:rsid w:val="0094086E"/>
    <w:pPr>
      <w:tabs>
        <w:tab w:val="num" w:pos="1440"/>
        <w:tab w:val="num" w:pos="1492"/>
      </w:tabs>
      <w:spacing w:before="160" w:after="0" w:line="240" w:lineRule="auto"/>
      <w:ind w:left="1440" w:hanging="360"/>
    </w:pPr>
    <w:rPr>
      <w:rFonts w:eastAsia="SimSun" w:cs="Times New Roman"/>
      <w:szCs w:val="20"/>
      <w:lang w:val="en-AU" w:eastAsia="zh-CN"/>
    </w:rPr>
  </w:style>
  <w:style w:type="paragraph" w:styleId="Listepuces3">
    <w:name w:val="List Bullet 3"/>
    <w:basedOn w:val="Normal"/>
    <w:rsid w:val="0094086E"/>
    <w:pPr>
      <w:tabs>
        <w:tab w:val="num" w:pos="432"/>
        <w:tab w:val="num" w:pos="643"/>
      </w:tabs>
      <w:spacing w:before="160" w:after="0" w:line="240" w:lineRule="auto"/>
      <w:ind w:left="432" w:hanging="432"/>
    </w:pPr>
    <w:rPr>
      <w:rFonts w:eastAsia="SimSun" w:cs="Times New Roman"/>
      <w:szCs w:val="20"/>
      <w:lang w:val="en-AU" w:eastAsia="zh-CN"/>
    </w:rPr>
  </w:style>
  <w:style w:type="paragraph" w:styleId="Listepuces4">
    <w:name w:val="List Bullet 4"/>
    <w:basedOn w:val="Normal"/>
    <w:rsid w:val="0094086E"/>
    <w:pPr>
      <w:numPr>
        <w:numId w:val="13"/>
      </w:numPr>
      <w:tabs>
        <w:tab w:val="num" w:pos="926"/>
      </w:tabs>
      <w:spacing w:before="160" w:after="0" w:line="240" w:lineRule="auto"/>
    </w:pPr>
    <w:rPr>
      <w:rFonts w:eastAsia="SimSun" w:cs="Times New Roman"/>
      <w:szCs w:val="20"/>
      <w:lang w:val="en-AU" w:eastAsia="zh-CN"/>
    </w:rPr>
  </w:style>
  <w:style w:type="paragraph" w:styleId="Listepuces5">
    <w:name w:val="List Bullet 5"/>
    <w:basedOn w:val="Normal"/>
    <w:rsid w:val="0094086E"/>
    <w:pPr>
      <w:tabs>
        <w:tab w:val="num" w:pos="450"/>
        <w:tab w:val="num" w:pos="1209"/>
      </w:tabs>
      <w:spacing w:before="160" w:after="0" w:line="240" w:lineRule="auto"/>
      <w:ind w:left="450" w:hanging="450"/>
    </w:pPr>
    <w:rPr>
      <w:rFonts w:eastAsia="SimSun" w:cs="Times New Roman"/>
      <w:szCs w:val="20"/>
      <w:lang w:val="en-AU" w:eastAsia="zh-CN"/>
    </w:rPr>
  </w:style>
  <w:style w:type="paragraph" w:styleId="Listecontinue">
    <w:name w:val="List Continue"/>
    <w:basedOn w:val="Normal"/>
    <w:rsid w:val="0094086E"/>
    <w:pPr>
      <w:spacing w:before="160" w:after="120" w:line="240" w:lineRule="auto"/>
      <w:ind w:left="283"/>
    </w:pPr>
    <w:rPr>
      <w:rFonts w:eastAsia="SimSun" w:cs="Times New Roman"/>
      <w:szCs w:val="20"/>
      <w:lang w:val="en-AU" w:eastAsia="zh-CN"/>
    </w:rPr>
  </w:style>
  <w:style w:type="paragraph" w:styleId="Listecontinue2">
    <w:name w:val="List Continue 2"/>
    <w:basedOn w:val="Normal"/>
    <w:rsid w:val="0094086E"/>
    <w:pPr>
      <w:spacing w:before="160" w:after="120" w:line="240" w:lineRule="auto"/>
      <w:ind w:left="566"/>
    </w:pPr>
    <w:rPr>
      <w:rFonts w:eastAsia="SimSun" w:cs="Times New Roman"/>
      <w:szCs w:val="20"/>
      <w:lang w:val="en-AU" w:eastAsia="zh-CN"/>
    </w:rPr>
  </w:style>
  <w:style w:type="paragraph" w:styleId="Listecontinue3">
    <w:name w:val="List Continue 3"/>
    <w:basedOn w:val="Normal"/>
    <w:rsid w:val="0094086E"/>
    <w:pPr>
      <w:spacing w:before="160" w:after="120" w:line="240" w:lineRule="auto"/>
      <w:ind w:left="849"/>
    </w:pPr>
    <w:rPr>
      <w:rFonts w:eastAsia="SimSun" w:cs="Times New Roman"/>
      <w:szCs w:val="20"/>
      <w:lang w:val="en-AU" w:eastAsia="zh-CN"/>
    </w:rPr>
  </w:style>
  <w:style w:type="paragraph" w:styleId="Listecontinue4">
    <w:name w:val="List Continue 4"/>
    <w:basedOn w:val="Normal"/>
    <w:rsid w:val="0094086E"/>
    <w:pPr>
      <w:spacing w:before="160" w:after="120" w:line="240" w:lineRule="auto"/>
      <w:ind w:left="1132"/>
    </w:pPr>
    <w:rPr>
      <w:rFonts w:eastAsia="SimSun" w:cs="Times New Roman"/>
      <w:szCs w:val="20"/>
      <w:lang w:val="en-AU" w:eastAsia="zh-CN"/>
    </w:rPr>
  </w:style>
  <w:style w:type="paragraph" w:styleId="Listecontinue5">
    <w:name w:val="List Continue 5"/>
    <w:basedOn w:val="Normal"/>
    <w:rsid w:val="0094086E"/>
    <w:pPr>
      <w:spacing w:before="160" w:after="120" w:line="240" w:lineRule="auto"/>
      <w:ind w:left="1415"/>
    </w:pPr>
    <w:rPr>
      <w:rFonts w:eastAsia="SimSun" w:cs="Times New Roman"/>
      <w:szCs w:val="20"/>
      <w:lang w:val="en-AU" w:eastAsia="zh-CN"/>
    </w:rPr>
  </w:style>
  <w:style w:type="paragraph" w:styleId="Listenumros2">
    <w:name w:val="List Number 2"/>
    <w:basedOn w:val="Normal"/>
    <w:rsid w:val="0094086E"/>
    <w:pPr>
      <w:tabs>
        <w:tab w:val="num" w:pos="570"/>
        <w:tab w:val="num" w:pos="1492"/>
      </w:tabs>
      <w:spacing w:before="160" w:after="0" w:line="240" w:lineRule="auto"/>
      <w:ind w:left="570" w:hanging="570"/>
    </w:pPr>
    <w:rPr>
      <w:rFonts w:eastAsia="SimSun" w:cs="Times New Roman"/>
      <w:szCs w:val="20"/>
      <w:lang w:val="en-AU" w:eastAsia="zh-CN"/>
    </w:rPr>
  </w:style>
  <w:style w:type="paragraph" w:styleId="Listenumros3">
    <w:name w:val="List Number 3"/>
    <w:basedOn w:val="Normal"/>
    <w:rsid w:val="0094086E"/>
    <w:pPr>
      <w:tabs>
        <w:tab w:val="num" w:pos="432"/>
      </w:tabs>
      <w:spacing w:before="160" w:after="0" w:line="240" w:lineRule="auto"/>
      <w:ind w:left="432" w:hanging="432"/>
    </w:pPr>
    <w:rPr>
      <w:rFonts w:eastAsia="SimSun" w:cs="Times New Roman"/>
      <w:szCs w:val="20"/>
      <w:lang w:val="en-AU" w:eastAsia="zh-CN"/>
    </w:rPr>
  </w:style>
  <w:style w:type="paragraph" w:styleId="Listenumros4">
    <w:name w:val="List Number 4"/>
    <w:basedOn w:val="Normal"/>
    <w:rsid w:val="0094086E"/>
    <w:pPr>
      <w:tabs>
        <w:tab w:val="num" w:pos="432"/>
        <w:tab w:val="num" w:pos="643"/>
      </w:tabs>
      <w:spacing w:before="160" w:after="0" w:line="240" w:lineRule="auto"/>
      <w:ind w:left="432" w:hanging="432"/>
    </w:pPr>
    <w:rPr>
      <w:rFonts w:eastAsia="SimSun" w:cs="Times New Roman"/>
      <w:szCs w:val="20"/>
      <w:lang w:val="en-AU" w:eastAsia="zh-CN"/>
    </w:rPr>
  </w:style>
  <w:style w:type="paragraph" w:styleId="Listenumros5">
    <w:name w:val="List Number 5"/>
    <w:basedOn w:val="Normal"/>
    <w:rsid w:val="0094086E"/>
    <w:pPr>
      <w:tabs>
        <w:tab w:val="num" w:pos="432"/>
        <w:tab w:val="num" w:pos="926"/>
      </w:tabs>
      <w:spacing w:before="160" w:after="0" w:line="240" w:lineRule="auto"/>
      <w:ind w:left="432" w:hanging="432"/>
    </w:pPr>
    <w:rPr>
      <w:rFonts w:eastAsia="SimSun" w:cs="Times New Roman"/>
      <w:szCs w:val="20"/>
      <w:lang w:val="en-AU" w:eastAsia="zh-CN"/>
    </w:rPr>
  </w:style>
  <w:style w:type="paragraph" w:styleId="En-ttedemessage">
    <w:name w:val="Message Header"/>
    <w:basedOn w:val="Normal"/>
    <w:link w:val="En-ttedemessageCar"/>
    <w:rsid w:val="0094086E"/>
    <w:pPr>
      <w:pBdr>
        <w:top w:val="single" w:sz="6" w:space="1" w:color="auto"/>
        <w:left w:val="single" w:sz="6" w:space="1" w:color="auto"/>
        <w:bottom w:val="single" w:sz="6" w:space="1" w:color="auto"/>
        <w:right w:val="single" w:sz="6" w:space="1" w:color="auto"/>
      </w:pBdr>
      <w:shd w:val="pct20" w:color="auto" w:fill="auto"/>
      <w:spacing w:before="160" w:after="0" w:line="240" w:lineRule="auto"/>
      <w:ind w:left="1134" w:hanging="1134"/>
    </w:pPr>
    <w:rPr>
      <w:rFonts w:ascii="Arial" w:eastAsia="SimSun" w:hAnsi="Arial" w:cs="Times New Roman"/>
      <w:szCs w:val="20"/>
      <w:lang w:val="en-AU" w:eastAsia="zh-CN"/>
    </w:rPr>
  </w:style>
  <w:style w:type="character" w:customStyle="1" w:styleId="En-ttedemessageCar">
    <w:name w:val="En-tête de message Car"/>
    <w:basedOn w:val="Policepardfaut"/>
    <w:link w:val="En-ttedemessage"/>
    <w:rsid w:val="0094086E"/>
    <w:rPr>
      <w:rFonts w:ascii="Arial" w:eastAsia="SimSun" w:hAnsi="Arial" w:cs="Times New Roman"/>
      <w:sz w:val="20"/>
      <w:szCs w:val="20"/>
      <w:shd w:val="pct20" w:color="auto" w:fill="auto"/>
      <w:lang w:val="en-AU" w:eastAsia="zh-CN"/>
    </w:rPr>
  </w:style>
  <w:style w:type="paragraph" w:styleId="Retraitnormal">
    <w:name w:val="Normal Indent"/>
    <w:basedOn w:val="Normal"/>
    <w:rsid w:val="0094086E"/>
    <w:pPr>
      <w:spacing w:before="160" w:after="0" w:line="240" w:lineRule="auto"/>
      <w:ind w:left="720"/>
    </w:pPr>
    <w:rPr>
      <w:rFonts w:eastAsia="SimSun" w:cs="Times New Roman"/>
      <w:szCs w:val="20"/>
      <w:lang w:val="en-AU" w:eastAsia="zh-CN"/>
    </w:rPr>
  </w:style>
  <w:style w:type="paragraph" w:styleId="Titredenote">
    <w:name w:val="Note Heading"/>
    <w:basedOn w:val="Normal"/>
    <w:next w:val="Normal"/>
    <w:link w:val="TitredenoteCar"/>
    <w:rsid w:val="0094086E"/>
    <w:pPr>
      <w:spacing w:before="160" w:after="0" w:line="240" w:lineRule="auto"/>
    </w:pPr>
    <w:rPr>
      <w:rFonts w:eastAsia="SimSun" w:cs="Times New Roman"/>
      <w:szCs w:val="20"/>
      <w:lang w:val="en-AU" w:eastAsia="zh-CN"/>
    </w:rPr>
  </w:style>
  <w:style w:type="character" w:customStyle="1" w:styleId="TitredenoteCar">
    <w:name w:val="Titre de note Car"/>
    <w:basedOn w:val="Policepardfaut"/>
    <w:link w:val="Titredenote"/>
    <w:rsid w:val="0094086E"/>
    <w:rPr>
      <w:rFonts w:ascii="Times New Roman" w:eastAsia="SimSun" w:hAnsi="Times New Roman" w:cs="Times New Roman"/>
      <w:sz w:val="20"/>
      <w:szCs w:val="20"/>
      <w:lang w:val="en-AU" w:eastAsia="zh-CN"/>
    </w:rPr>
  </w:style>
  <w:style w:type="character" w:styleId="Numrodepage">
    <w:name w:val="page number"/>
    <w:rsid w:val="0094086E"/>
  </w:style>
  <w:style w:type="paragraph" w:styleId="Salutations">
    <w:name w:val="Salutation"/>
    <w:basedOn w:val="Normal"/>
    <w:next w:val="Normal"/>
    <w:link w:val="SalutationsCar"/>
    <w:rsid w:val="0094086E"/>
    <w:pPr>
      <w:spacing w:before="160" w:after="0" w:line="240" w:lineRule="auto"/>
    </w:pPr>
    <w:rPr>
      <w:rFonts w:eastAsia="SimSun" w:cs="Times New Roman"/>
      <w:szCs w:val="20"/>
      <w:lang w:val="en-AU" w:eastAsia="zh-CN"/>
    </w:rPr>
  </w:style>
  <w:style w:type="character" w:customStyle="1" w:styleId="SalutationsCar">
    <w:name w:val="Salutations Car"/>
    <w:basedOn w:val="Policepardfaut"/>
    <w:link w:val="Salutations"/>
    <w:rsid w:val="0094086E"/>
    <w:rPr>
      <w:rFonts w:ascii="Times New Roman" w:eastAsia="SimSun" w:hAnsi="Times New Roman" w:cs="Times New Roman"/>
      <w:sz w:val="20"/>
      <w:szCs w:val="20"/>
      <w:lang w:val="en-AU" w:eastAsia="zh-CN"/>
    </w:rPr>
  </w:style>
  <w:style w:type="paragraph" w:styleId="Signature">
    <w:name w:val="Signature"/>
    <w:basedOn w:val="Normal"/>
    <w:link w:val="SignatureCar"/>
    <w:rsid w:val="0094086E"/>
    <w:pPr>
      <w:spacing w:before="160" w:after="0" w:line="240" w:lineRule="auto"/>
      <w:ind w:left="4252"/>
    </w:pPr>
    <w:rPr>
      <w:rFonts w:eastAsia="SimSun" w:cs="Times New Roman"/>
      <w:szCs w:val="20"/>
      <w:lang w:val="en-AU" w:eastAsia="zh-CN"/>
    </w:rPr>
  </w:style>
  <w:style w:type="character" w:customStyle="1" w:styleId="SignatureCar">
    <w:name w:val="Signature Car"/>
    <w:basedOn w:val="Policepardfaut"/>
    <w:link w:val="Signature"/>
    <w:rsid w:val="0094086E"/>
    <w:rPr>
      <w:rFonts w:ascii="Times New Roman" w:eastAsia="SimSun" w:hAnsi="Times New Roman" w:cs="Times New Roman"/>
      <w:sz w:val="20"/>
      <w:szCs w:val="20"/>
      <w:lang w:val="en-AU" w:eastAsia="zh-CN"/>
    </w:rPr>
  </w:style>
  <w:style w:type="paragraph" w:styleId="Sous-titre">
    <w:name w:val="Subtitle"/>
    <w:basedOn w:val="Normal"/>
    <w:link w:val="Sous-titreCar"/>
    <w:qFormat/>
    <w:rsid w:val="0094086E"/>
    <w:pPr>
      <w:spacing w:before="160" w:after="60" w:line="240" w:lineRule="auto"/>
      <w:jc w:val="center"/>
      <w:outlineLvl w:val="1"/>
    </w:pPr>
    <w:rPr>
      <w:rFonts w:ascii="Arial" w:eastAsia="SimSun" w:hAnsi="Arial" w:cs="Times New Roman"/>
      <w:szCs w:val="20"/>
      <w:lang w:val="en-AU" w:eastAsia="zh-CN"/>
    </w:rPr>
  </w:style>
  <w:style w:type="character" w:customStyle="1" w:styleId="Sous-titreCar">
    <w:name w:val="Sous-titre Car"/>
    <w:basedOn w:val="Policepardfaut"/>
    <w:link w:val="Sous-titre"/>
    <w:rsid w:val="0094086E"/>
    <w:rPr>
      <w:rFonts w:ascii="Arial" w:eastAsia="SimSun" w:hAnsi="Arial" w:cs="Times New Roman"/>
      <w:sz w:val="20"/>
      <w:szCs w:val="20"/>
      <w:lang w:val="en-AU" w:eastAsia="zh-CN"/>
    </w:rPr>
  </w:style>
  <w:style w:type="table" w:styleId="Effetsdetableau3D1">
    <w:name w:val="Table 3D effects 1"/>
    <w:basedOn w:val="TableauNormal"/>
    <w:rsid w:val="0094086E"/>
    <w:pPr>
      <w:spacing w:after="0" w:line="240" w:lineRule="auto"/>
    </w:pPr>
    <w:rPr>
      <w:rFonts w:ascii="Times New Roman" w:eastAsia="SimSu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94086E"/>
    <w:pPr>
      <w:spacing w:after="0" w:line="240" w:lineRule="auto"/>
    </w:pPr>
    <w:rPr>
      <w:rFonts w:ascii="Times New Roman" w:eastAsia="SimSu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rsid w:val="0094086E"/>
    <w:pPr>
      <w:spacing w:after="0" w:line="240" w:lineRule="auto"/>
    </w:pPr>
    <w:rPr>
      <w:rFonts w:ascii="Times New Roman" w:eastAsia="SimSu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94086E"/>
    <w:pPr>
      <w:spacing w:after="0" w:line="240" w:lineRule="auto"/>
    </w:pPr>
    <w:rPr>
      <w:rFonts w:ascii="Times New Roman" w:eastAsia="SimSu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rsid w:val="0094086E"/>
    <w:pPr>
      <w:spacing w:after="0" w:line="240" w:lineRule="auto"/>
    </w:pPr>
    <w:rPr>
      <w:rFonts w:ascii="Times New Roman" w:eastAsia="SimSu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94086E"/>
    <w:pPr>
      <w:spacing w:after="0" w:line="240" w:lineRule="auto"/>
    </w:pPr>
    <w:rPr>
      <w:rFonts w:ascii="Times New Roman" w:eastAsia="SimSu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94086E"/>
    <w:pPr>
      <w:spacing w:after="0" w:line="240" w:lineRule="auto"/>
    </w:pPr>
    <w:rPr>
      <w:rFonts w:ascii="Times New Roman" w:eastAsia="SimSu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94086E"/>
    <w:pPr>
      <w:spacing w:after="0" w:line="240" w:lineRule="auto"/>
    </w:pPr>
    <w:rPr>
      <w:rFonts w:ascii="Times New Roman" w:eastAsia="SimSu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94086E"/>
    <w:pPr>
      <w:spacing w:after="0" w:line="240" w:lineRule="auto"/>
    </w:pPr>
    <w:rPr>
      <w:rFonts w:ascii="Times New Roman" w:eastAsia="SimSu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rsid w:val="0094086E"/>
    <w:pPr>
      <w:spacing w:after="0" w:line="240" w:lineRule="auto"/>
    </w:pPr>
    <w:rPr>
      <w:rFonts w:ascii="Times New Roman" w:eastAsia="SimSu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94086E"/>
    <w:pPr>
      <w:spacing w:after="0" w:line="240" w:lineRule="auto"/>
    </w:pPr>
    <w:rPr>
      <w:rFonts w:ascii="Times New Roman" w:eastAsia="SimSun" w:hAnsi="Times New Roman" w:cs="Times New Roman"/>
      <w:sz w:val="20"/>
      <w:szCs w:val="20"/>
      <w:lang w:val="en-GB" w:eastAsia="en-GB"/>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94086E"/>
    <w:pPr>
      <w:spacing w:after="0" w:line="240" w:lineRule="auto"/>
    </w:pPr>
    <w:rPr>
      <w:rFonts w:ascii="Times New Roman" w:eastAsia="SimSu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94086E"/>
    <w:pPr>
      <w:spacing w:after="0" w:line="240" w:lineRule="auto"/>
    </w:pPr>
    <w:rPr>
      <w:rFonts w:ascii="Times New Roman" w:eastAsia="SimSu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94086E"/>
    <w:pPr>
      <w:spacing w:after="0" w:line="240" w:lineRule="auto"/>
    </w:pPr>
    <w:rPr>
      <w:rFonts w:ascii="Times New Roman" w:eastAsia="SimSu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94086E"/>
    <w:pPr>
      <w:spacing w:after="0" w:line="240" w:lineRule="auto"/>
    </w:pPr>
    <w:rPr>
      <w:rFonts w:ascii="Times New Roman" w:eastAsia="SimSu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94086E"/>
    <w:pPr>
      <w:spacing w:after="0" w:line="240" w:lineRule="auto"/>
    </w:pPr>
    <w:rPr>
      <w:rFonts w:ascii="Times New Roman" w:eastAsia="SimSu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94086E"/>
    <w:pPr>
      <w:spacing w:after="0" w:line="240" w:lineRule="auto"/>
    </w:pPr>
    <w:rPr>
      <w:rFonts w:ascii="Times New Roman" w:eastAsia="SimSu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rsid w:val="0094086E"/>
    <w:pPr>
      <w:spacing w:after="0" w:line="240" w:lineRule="auto"/>
    </w:pPr>
    <w:rPr>
      <w:rFonts w:ascii="Times New Roman" w:eastAsia="SimSu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rsid w:val="0094086E"/>
    <w:pPr>
      <w:spacing w:after="0" w:line="240" w:lineRule="auto"/>
    </w:pPr>
    <w:rPr>
      <w:rFonts w:ascii="Times New Roman" w:eastAsia="SimSu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94086E"/>
    <w:pPr>
      <w:spacing w:after="0" w:line="240" w:lineRule="auto"/>
    </w:pPr>
    <w:rPr>
      <w:rFonts w:ascii="Times New Roman" w:eastAsia="SimSu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94086E"/>
    <w:pPr>
      <w:spacing w:after="0" w:line="240" w:lineRule="auto"/>
    </w:pPr>
    <w:rPr>
      <w:rFonts w:ascii="Times New Roman" w:eastAsia="SimSu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Listepuces">
    <w:name w:val="List Bullet"/>
    <w:basedOn w:val="Normal"/>
    <w:link w:val="ListepucesCar"/>
    <w:rsid w:val="0094086E"/>
    <w:pPr>
      <w:tabs>
        <w:tab w:val="num" w:pos="567"/>
        <w:tab w:val="num" w:pos="926"/>
      </w:tabs>
      <w:spacing w:before="160" w:after="0" w:line="240" w:lineRule="auto"/>
      <w:ind w:left="567" w:hanging="357"/>
    </w:pPr>
    <w:rPr>
      <w:rFonts w:eastAsia="SimSun" w:cs="Times New Roman"/>
      <w:szCs w:val="20"/>
      <w:lang w:val="en-AU" w:eastAsia="zh-CN"/>
    </w:rPr>
  </w:style>
  <w:style w:type="character" w:customStyle="1" w:styleId="ListepucesCar">
    <w:name w:val="Liste à puces Car"/>
    <w:link w:val="Listepuces"/>
    <w:locked/>
    <w:rsid w:val="0094086E"/>
    <w:rPr>
      <w:rFonts w:ascii="Times New Roman" w:eastAsia="SimSun" w:hAnsi="Times New Roman" w:cs="Times New Roman"/>
      <w:sz w:val="20"/>
      <w:szCs w:val="20"/>
      <w:lang w:val="en-AU" w:eastAsia="zh-CN"/>
    </w:rPr>
  </w:style>
  <w:style w:type="numbering" w:styleId="ArticleSection">
    <w:name w:val="Outline List 3"/>
    <w:basedOn w:val="Aucuneliste"/>
    <w:rsid w:val="0094086E"/>
    <w:pPr>
      <w:numPr>
        <w:numId w:val="16"/>
      </w:numPr>
    </w:pPr>
  </w:style>
  <w:style w:type="numbering" w:styleId="1ai">
    <w:name w:val="Outline List 1"/>
    <w:basedOn w:val="Aucuneliste"/>
    <w:rsid w:val="0094086E"/>
    <w:pPr>
      <w:numPr>
        <w:numId w:val="15"/>
      </w:numPr>
    </w:pPr>
  </w:style>
  <w:style w:type="numbering" w:styleId="111111">
    <w:name w:val="Outline List 2"/>
    <w:basedOn w:val="Aucuneliste"/>
    <w:rsid w:val="0094086E"/>
    <w:pPr>
      <w:numPr>
        <w:numId w:val="14"/>
      </w:numPr>
    </w:pPr>
  </w:style>
  <w:style w:type="paragraph" w:customStyle="1" w:styleId="StyleText1111bulletNonGras">
    <w:name w:val="Style Text 1.1.1.1 bullet + Non Gras"/>
    <w:basedOn w:val="Normal"/>
    <w:rsid w:val="0094086E"/>
    <w:pPr>
      <w:spacing w:after="240" w:line="240" w:lineRule="auto"/>
      <w:ind w:left="1560" w:hanging="284"/>
      <w:jc w:val="both"/>
    </w:pPr>
    <w:rPr>
      <w:rFonts w:ascii="Garamond" w:eastAsia="Times New Roman" w:hAnsi="Garamond" w:cs="Times New Roman"/>
      <w:bCs/>
      <w:lang w:val="en-IE" w:eastAsia="fr-FR"/>
    </w:rPr>
  </w:style>
  <w:style w:type="paragraph" w:customStyle="1" w:styleId="Level2">
    <w:name w:val="Level 2"/>
    <w:basedOn w:val="Normal"/>
    <w:rsid w:val="0094086E"/>
    <w:pPr>
      <w:widowControl w:val="0"/>
      <w:autoSpaceDE w:val="0"/>
      <w:autoSpaceDN w:val="0"/>
      <w:adjustRightInd w:val="0"/>
      <w:spacing w:after="0" w:line="240" w:lineRule="auto"/>
      <w:ind w:left="1440" w:hanging="360"/>
    </w:pPr>
    <w:rPr>
      <w:rFonts w:eastAsia="Times New Roman" w:cs="Times New Roman"/>
      <w:sz w:val="24"/>
      <w:szCs w:val="24"/>
      <w:lang w:val="en-US" w:eastAsia="fr-FR"/>
    </w:rPr>
  </w:style>
  <w:style w:type="paragraph" w:customStyle="1" w:styleId="StyleTablefn9pt">
    <w:name w:val="Style Table fn + 9 pt"/>
    <w:basedOn w:val="Tablefn"/>
    <w:rsid w:val="0094086E"/>
  </w:style>
  <w:style w:type="paragraph" w:customStyle="1" w:styleId="parai60">
    <w:name w:val="para i6"/>
    <w:basedOn w:val="Parai35"/>
    <w:rsid w:val="0094086E"/>
    <w:pPr>
      <w:ind w:left="1984" w:hanging="425"/>
    </w:pPr>
  </w:style>
  <w:style w:type="paragraph" w:customStyle="1" w:styleId="Titre10">
    <w:name w:val="Titre1"/>
    <w:basedOn w:val="Normal"/>
    <w:rsid w:val="0094086E"/>
    <w:pPr>
      <w:spacing w:before="100" w:beforeAutospacing="1" w:after="100" w:afterAutospacing="1" w:line="240" w:lineRule="auto"/>
    </w:pPr>
    <w:rPr>
      <w:rFonts w:eastAsia="Times New Roman" w:cs="Times New Roman"/>
      <w:sz w:val="24"/>
      <w:szCs w:val="24"/>
      <w:lang w:eastAsia="en-GB"/>
    </w:rPr>
  </w:style>
  <w:style w:type="paragraph" w:customStyle="1" w:styleId="desc">
    <w:name w:val="desc"/>
    <w:basedOn w:val="Normal"/>
    <w:rsid w:val="0094086E"/>
    <w:pPr>
      <w:spacing w:before="100" w:beforeAutospacing="1" w:after="100" w:afterAutospacing="1" w:line="240" w:lineRule="auto"/>
    </w:pPr>
    <w:rPr>
      <w:rFonts w:eastAsia="Times New Roman" w:cs="Times New Roman"/>
      <w:sz w:val="24"/>
      <w:szCs w:val="24"/>
      <w:lang w:eastAsia="en-GB"/>
    </w:rPr>
  </w:style>
  <w:style w:type="paragraph" w:customStyle="1" w:styleId="details">
    <w:name w:val="details"/>
    <w:basedOn w:val="Normal"/>
    <w:rsid w:val="0094086E"/>
    <w:pPr>
      <w:spacing w:before="100" w:beforeAutospacing="1" w:after="100" w:afterAutospacing="1" w:line="240" w:lineRule="auto"/>
    </w:pPr>
    <w:rPr>
      <w:rFonts w:eastAsia="Times New Roman" w:cs="Times New Roman"/>
      <w:sz w:val="24"/>
      <w:szCs w:val="24"/>
      <w:lang w:eastAsia="en-GB"/>
    </w:rPr>
  </w:style>
  <w:style w:type="paragraph" w:customStyle="1" w:styleId="text11">
    <w:name w:val="text1.1."/>
    <w:basedOn w:val="Normal"/>
    <w:rsid w:val="0094086E"/>
    <w:pPr>
      <w:spacing w:after="240" w:line="240" w:lineRule="auto"/>
      <w:ind w:left="709"/>
      <w:jc w:val="both"/>
    </w:pPr>
    <w:rPr>
      <w:rFonts w:ascii="Garamond" w:eastAsia="Times New Roman" w:hAnsi="Garamond" w:cs="Times New Roman"/>
      <w:szCs w:val="20"/>
      <w:lang w:val="fr-FR" w:eastAsia="fr-FR"/>
    </w:rPr>
  </w:style>
  <w:style w:type="paragraph" w:customStyle="1" w:styleId="StyleTitre5TradeGothicObliqueNonItalique">
    <w:name w:val="Style Titre 5 + TradeGothic Oblique Non Italique"/>
    <w:basedOn w:val="Titre5"/>
    <w:rsid w:val="0094086E"/>
    <w:pPr>
      <w:keepNext w:val="0"/>
      <w:keepLines w:val="0"/>
      <w:numPr>
        <w:ilvl w:val="0"/>
        <w:numId w:val="0"/>
      </w:numPr>
      <w:spacing w:before="0" w:after="120" w:line="240" w:lineRule="auto"/>
      <w:ind w:left="992"/>
    </w:pPr>
    <w:rPr>
      <w:rFonts w:ascii="Ottawa" w:eastAsia="Times New Roman" w:hAnsi="Ottawa" w:cs="Times New Roman"/>
      <w:i/>
      <w:color w:val="auto"/>
      <w:sz w:val="18"/>
      <w:szCs w:val="20"/>
      <w:lang w:val="en-US" w:bidi="en-US"/>
    </w:rPr>
  </w:style>
  <w:style w:type="paragraph" w:customStyle="1" w:styleId="StyleTitle5aTradeGothicOblique">
    <w:name w:val="Style Title 5a + TradeGothic Oblique"/>
    <w:basedOn w:val="Title5a"/>
    <w:link w:val="StyleTitle5aTradeGothicObliqueCar"/>
    <w:rsid w:val="0094086E"/>
  </w:style>
  <w:style w:type="character" w:customStyle="1" w:styleId="Title5aCar">
    <w:name w:val="Title 5a Car"/>
    <w:link w:val="Title5a"/>
    <w:rsid w:val="0094086E"/>
    <w:rPr>
      <w:rFonts w:ascii="Ottawa" w:eastAsia="Times New Roman" w:hAnsi="Ottawa" w:cs="Times New Roman"/>
      <w:bCs/>
      <w:i/>
      <w:sz w:val="18"/>
      <w:lang w:val="en-IE" w:bidi="en-US"/>
    </w:rPr>
  </w:style>
  <w:style w:type="character" w:customStyle="1" w:styleId="StyleTitle5aTradeGothicObliqueCar">
    <w:name w:val="Style Title 5a + TradeGothic Oblique Car"/>
    <w:link w:val="StyleTitle5aTradeGothicOblique"/>
    <w:rsid w:val="0094086E"/>
    <w:rPr>
      <w:rFonts w:ascii="Ottawa" w:eastAsia="Times New Roman" w:hAnsi="Ottawa" w:cs="Times New Roman"/>
      <w:bCs/>
      <w:i/>
      <w:sz w:val="18"/>
      <w:lang w:val="en-IE" w:bidi="en-US"/>
    </w:rPr>
  </w:style>
  <w:style w:type="character" w:customStyle="1" w:styleId="CharChar7">
    <w:name w:val="Char Char7"/>
    <w:semiHidden/>
    <w:rsid w:val="0094086E"/>
    <w:rPr>
      <w:rFonts w:ascii="Cambria" w:eastAsia="Times New Roman" w:hAnsi="Cambria" w:cs="Times New Roman"/>
      <w:b/>
      <w:bCs/>
      <w:i/>
      <w:iCs/>
      <w:sz w:val="20"/>
      <w:szCs w:val="20"/>
    </w:rPr>
  </w:style>
  <w:style w:type="paragraph" w:customStyle="1" w:styleId="Retraitcorpsdetexte21">
    <w:name w:val="Retrait corps de texte 21"/>
    <w:basedOn w:val="Normal"/>
    <w:qFormat/>
    <w:rsid w:val="0094086E"/>
    <w:pPr>
      <w:spacing w:before="240" w:after="120" w:line="360" w:lineRule="auto"/>
      <w:ind w:left="1134"/>
      <w:jc w:val="both"/>
    </w:pPr>
    <w:rPr>
      <w:rFonts w:ascii="Garamond" w:eastAsia="Times New Roman" w:hAnsi="Garamond" w:cs="Times New Roman"/>
      <w:lang w:val="en-US" w:bidi="en-US"/>
    </w:rPr>
  </w:style>
  <w:style w:type="paragraph" w:customStyle="1" w:styleId="rtoiles">
    <w:name w:val="r_étoiles"/>
    <w:basedOn w:val="Normal"/>
    <w:next w:val="Normal"/>
    <w:rsid w:val="0094086E"/>
    <w:pPr>
      <w:keepLines/>
      <w:spacing w:before="240" w:after="240" w:line="240" w:lineRule="atLeast"/>
      <w:ind w:left="357" w:hanging="357"/>
      <w:jc w:val="center"/>
    </w:pPr>
    <w:rPr>
      <w:rFonts w:ascii="Calibri" w:eastAsia="Times New Roman" w:hAnsi="Calibri" w:cs="Times New Roman"/>
      <w:szCs w:val="20"/>
      <w:lang w:val="fr-FR" w:eastAsia="fr-FR" w:bidi="en-US"/>
    </w:rPr>
  </w:style>
  <w:style w:type="paragraph" w:customStyle="1" w:styleId="rfrences">
    <w:name w:val="références"/>
    <w:basedOn w:val="Normal"/>
    <w:link w:val="rfrencesChar"/>
    <w:rsid w:val="0094086E"/>
    <w:pPr>
      <w:spacing w:after="240" w:line="240" w:lineRule="auto"/>
      <w:ind w:left="426" w:hanging="426"/>
      <w:jc w:val="both"/>
    </w:pPr>
    <w:rPr>
      <w:rFonts w:ascii="Garamond" w:eastAsia="Times New Roman" w:hAnsi="Garamond" w:cs="Times New Roman"/>
      <w:lang w:val="fr-FR" w:eastAsia="fr-FR" w:bidi="en-US"/>
    </w:rPr>
  </w:style>
  <w:style w:type="character" w:customStyle="1" w:styleId="None">
    <w:name w:val="None"/>
    <w:rsid w:val="0094086E"/>
  </w:style>
  <w:style w:type="paragraph" w:customStyle="1" w:styleId="paramarge0">
    <w:name w:val="para marge"/>
    <w:rsid w:val="0094086E"/>
    <w:pPr>
      <w:pBdr>
        <w:top w:val="nil"/>
        <w:left w:val="nil"/>
        <w:bottom w:val="nil"/>
        <w:right w:val="nil"/>
        <w:between w:val="nil"/>
        <w:bar w:val="nil"/>
      </w:pBdr>
      <w:spacing w:after="240" w:line="240" w:lineRule="auto"/>
      <w:jc w:val="both"/>
    </w:pPr>
    <w:rPr>
      <w:rFonts w:ascii="Arial Unicode MS" w:eastAsia="Arial Unicode MS" w:hAnsi="Arial Unicode MS" w:cs="Arial Unicode MS" w:hint="eastAsia"/>
      <w:color w:val="000000"/>
      <w:sz w:val="20"/>
      <w:szCs w:val="20"/>
      <w:u w:color="000000"/>
      <w:bdr w:val="nil"/>
      <w:lang w:val="fr-FR" w:eastAsia="en-GB"/>
    </w:rPr>
  </w:style>
  <w:style w:type="paragraph" w:customStyle="1" w:styleId="Timesbase1">
    <w:name w:val="Times_base 1"/>
    <w:uiPriority w:val="99"/>
    <w:qFormat/>
    <w:rsid w:val="0094086E"/>
    <w:pPr>
      <w:pBdr>
        <w:top w:val="nil"/>
        <w:left w:val="nil"/>
        <w:bottom w:val="nil"/>
        <w:right w:val="nil"/>
        <w:between w:val="nil"/>
        <w:bar w:val="nil"/>
      </w:pBdr>
      <w:spacing w:after="240" w:line="276" w:lineRule="auto"/>
      <w:ind w:left="425"/>
      <w:jc w:val="both"/>
    </w:pPr>
    <w:rPr>
      <w:rFonts w:ascii="Calibri" w:eastAsia="Calibri" w:hAnsi="Calibri" w:cs="Calibri"/>
      <w:color w:val="000000"/>
      <w:sz w:val="20"/>
      <w:szCs w:val="20"/>
      <w:u w:color="000000"/>
      <w:bdr w:val="nil"/>
      <w:lang w:val="fr-FR" w:eastAsia="en-GB"/>
    </w:rPr>
  </w:style>
  <w:style w:type="character" w:customStyle="1" w:styleId="Hyperlink10">
    <w:name w:val="Hyperlink.1"/>
    <w:rsid w:val="0094086E"/>
    <w:rPr>
      <w:i/>
      <w:iCs/>
      <w:strike/>
      <w:dstrike w:val="0"/>
      <w:sz w:val="20"/>
      <w:szCs w:val="20"/>
      <w:lang w:val="en-US"/>
    </w:rPr>
  </w:style>
  <w:style w:type="numbering" w:customStyle="1" w:styleId="List0">
    <w:name w:val="List 0"/>
    <w:basedOn w:val="ImportedStyle1"/>
    <w:rsid w:val="0094086E"/>
    <w:pPr>
      <w:numPr>
        <w:numId w:val="17"/>
      </w:numPr>
    </w:pPr>
  </w:style>
  <w:style w:type="numbering" w:customStyle="1" w:styleId="List1">
    <w:name w:val="List 1"/>
    <w:basedOn w:val="ImportedStyle2"/>
    <w:rsid w:val="0094086E"/>
    <w:pPr>
      <w:numPr>
        <w:numId w:val="18"/>
      </w:numPr>
    </w:pPr>
  </w:style>
  <w:style w:type="numbering" w:customStyle="1" w:styleId="ImportedStyle2">
    <w:name w:val="Imported Style 2"/>
    <w:rsid w:val="0094086E"/>
  </w:style>
  <w:style w:type="numbering" w:customStyle="1" w:styleId="List21">
    <w:name w:val="List 21"/>
    <w:basedOn w:val="ImportedStyle3"/>
    <w:rsid w:val="0094086E"/>
    <w:pPr>
      <w:numPr>
        <w:numId w:val="19"/>
      </w:numPr>
    </w:pPr>
  </w:style>
  <w:style w:type="numbering" w:customStyle="1" w:styleId="ImportedStyle3">
    <w:name w:val="Imported Style 3"/>
    <w:rsid w:val="0094086E"/>
  </w:style>
  <w:style w:type="character" w:customStyle="1" w:styleId="CommentTextChar2">
    <w:name w:val="Comment Text Char2"/>
    <w:uiPriority w:val="99"/>
    <w:rsid w:val="0094086E"/>
    <w:rPr>
      <w:rFonts w:ascii="Times New Roman" w:eastAsia="Arial Unicode MS" w:hAnsi="Times New Roman" w:cs="Times New Roman"/>
      <w:sz w:val="20"/>
      <w:szCs w:val="20"/>
      <w:bdr w:val="nil"/>
      <w:lang w:val="en-US"/>
    </w:rPr>
  </w:style>
  <w:style w:type="paragraph" w:customStyle="1" w:styleId="WW-Retraitcorpsdetexte2">
    <w:name w:val="WW-Retrait corps de texte 2"/>
    <w:basedOn w:val="Normal"/>
    <w:rsid w:val="0094086E"/>
    <w:pPr>
      <w:suppressAutoHyphens/>
      <w:spacing w:after="240" w:line="240" w:lineRule="auto"/>
      <w:ind w:left="1701" w:hanging="708"/>
      <w:jc w:val="both"/>
    </w:pPr>
    <w:rPr>
      <w:rFonts w:eastAsia="Times New Roman" w:cs="Times New Roman"/>
      <w:szCs w:val="20"/>
      <w:lang w:eastAsia="ar-SA"/>
    </w:rPr>
  </w:style>
  <w:style w:type="paragraph" w:customStyle="1" w:styleId="Heading">
    <w:name w:val="Heading"/>
    <w:next w:val="Body"/>
    <w:rsid w:val="0094086E"/>
    <w:pPr>
      <w:keepNext/>
      <w:keepLines/>
      <w:pBdr>
        <w:top w:val="nil"/>
        <w:left w:val="nil"/>
        <w:bottom w:val="nil"/>
        <w:right w:val="nil"/>
        <w:between w:val="nil"/>
        <w:bar w:val="nil"/>
      </w:pBdr>
      <w:spacing w:before="240" w:after="0"/>
      <w:outlineLvl w:val="0"/>
    </w:pPr>
    <w:rPr>
      <w:rFonts w:ascii="Calibri Light" w:eastAsia="Calibri Light" w:hAnsi="Calibri Light" w:cs="Calibri Light"/>
      <w:color w:val="2E74B5"/>
      <w:sz w:val="32"/>
      <w:szCs w:val="32"/>
      <w:u w:color="2E74B5"/>
      <w:bdr w:val="nil"/>
      <w:lang w:eastAsia="zh-CN"/>
    </w:rPr>
  </w:style>
  <w:style w:type="paragraph" w:customStyle="1" w:styleId="CharCarCharCarCharCar">
    <w:name w:val="Char Car Char Car Char Car"/>
    <w:basedOn w:val="Normal"/>
    <w:rsid w:val="0094086E"/>
    <w:pPr>
      <w:spacing w:line="240" w:lineRule="exact"/>
    </w:pPr>
    <w:rPr>
      <w:rFonts w:ascii="Tahoma" w:eastAsia="Times New Roman" w:hAnsi="Tahoma" w:cs="Times New Roman"/>
      <w:szCs w:val="20"/>
      <w:lang w:val="en-US"/>
    </w:rPr>
  </w:style>
  <w:style w:type="paragraph" w:customStyle="1" w:styleId="pBase1">
    <w:name w:val="p_Base1"/>
    <w:next w:val="Normal"/>
    <w:rsid w:val="0094086E"/>
    <w:pPr>
      <w:spacing w:after="240" w:line="240" w:lineRule="auto"/>
      <w:ind w:left="850" w:hanging="425"/>
      <w:jc w:val="both"/>
    </w:pPr>
    <w:rPr>
      <w:rFonts w:ascii="Arial" w:eastAsia="Times New Roman" w:hAnsi="Arial" w:cs="Times New Roman"/>
      <w:color w:val="000000"/>
      <w:sz w:val="19"/>
      <w:szCs w:val="20"/>
      <w:lang w:val="fr-FR" w:eastAsia="en-GB"/>
    </w:rPr>
  </w:style>
  <w:style w:type="paragraph" w:customStyle="1" w:styleId="paramarge2p">
    <w:name w:val="paramarge 2 p"/>
    <w:basedOn w:val="Normal"/>
    <w:qFormat/>
    <w:rsid w:val="0094086E"/>
    <w:pPr>
      <w:spacing w:after="240" w:line="240" w:lineRule="auto"/>
      <w:ind w:left="425" w:hanging="425"/>
      <w:jc w:val="both"/>
    </w:pPr>
    <w:rPr>
      <w:rFonts w:ascii="Arial" w:eastAsia="Calibri" w:hAnsi="Arial" w:cs="Times New Roman"/>
      <w:sz w:val="18"/>
      <w:lang w:eastAsia="en-GB"/>
    </w:rPr>
  </w:style>
  <w:style w:type="character" w:customStyle="1" w:styleId="para1Car">
    <w:name w:val="para 1. Car"/>
    <w:link w:val="para1"/>
    <w:locked/>
    <w:rsid w:val="0094086E"/>
    <w:rPr>
      <w:rFonts w:ascii="Times New Roman" w:eastAsia="MS Mincho" w:hAnsi="Times New Roman" w:cs="Arial"/>
      <w:b/>
      <w:bCs/>
      <w:sz w:val="20"/>
      <w:szCs w:val="20"/>
      <w:lang w:val="en-GB" w:eastAsia="fr-FR"/>
    </w:rPr>
  </w:style>
  <w:style w:type="paragraph" w:customStyle="1" w:styleId="Times">
    <w:name w:val="Times"/>
    <w:uiPriority w:val="99"/>
    <w:qFormat/>
    <w:rsid w:val="0094086E"/>
    <w:pPr>
      <w:spacing w:after="240" w:line="240" w:lineRule="auto"/>
      <w:jc w:val="both"/>
    </w:pPr>
    <w:rPr>
      <w:rFonts w:ascii="Times New Roman" w:eastAsia="ヒラギノ角ゴ Pro W3" w:hAnsi="Times New Roman" w:cs="Times New Roman"/>
      <w:color w:val="000000"/>
      <w:sz w:val="20"/>
      <w:szCs w:val="20"/>
      <w:lang w:eastAsia="en-GB"/>
    </w:rPr>
  </w:style>
  <w:style w:type="paragraph" w:customStyle="1" w:styleId="sommaire-intitule-chapitre">
    <w:name w:val="sommaire-intitule-chapitre"/>
    <w:basedOn w:val="Normal"/>
    <w:rsid w:val="0094086E"/>
    <w:pPr>
      <w:spacing w:before="100" w:beforeAutospacing="1" w:after="100" w:afterAutospacing="1" w:line="240" w:lineRule="auto"/>
    </w:pPr>
    <w:rPr>
      <w:rFonts w:eastAsia="Times New Roman" w:cs="Times New Roman"/>
      <w:sz w:val="24"/>
      <w:szCs w:val="24"/>
      <w:lang w:val="fr-FR" w:eastAsia="fr-FR"/>
    </w:rPr>
  </w:style>
  <w:style w:type="character" w:customStyle="1" w:styleId="st">
    <w:name w:val="st"/>
    <w:uiPriority w:val="99"/>
    <w:rsid w:val="0094086E"/>
  </w:style>
  <w:style w:type="character" w:customStyle="1" w:styleId="HeaderChar2">
    <w:name w:val="Header Char2"/>
    <w:aliases w:val="Header Char1 Char Char1,Header Char Char Char Char1, Car Char Char Char Char1, Car Car Char Char Char Char1, Car Car Car Char Char Char Char1, Car Car Car Car Car Char Char Char Car Char1,Heading 1 Char Car1 Char1, Car Char17 Car1 Char1"/>
    <w:uiPriority w:val="99"/>
    <w:rsid w:val="0094086E"/>
    <w:rPr>
      <w:rFonts w:ascii="Times New Roman" w:eastAsia="Times New Roman" w:hAnsi="Times New Roman" w:cs="Times New Roman"/>
      <w:sz w:val="24"/>
      <w:szCs w:val="24"/>
      <w:lang w:val="en-GB"/>
    </w:rPr>
  </w:style>
  <w:style w:type="paragraph" w:customStyle="1" w:styleId="Article">
    <w:name w:val="Article"/>
    <w:basedOn w:val="Normal"/>
    <w:uiPriority w:val="99"/>
    <w:qFormat/>
    <w:rsid w:val="0094086E"/>
    <w:pPr>
      <w:widowControl w:val="0"/>
      <w:autoSpaceDE w:val="0"/>
      <w:autoSpaceDN w:val="0"/>
      <w:adjustRightInd w:val="0"/>
      <w:spacing w:after="240" w:line="240" w:lineRule="auto"/>
      <w:jc w:val="center"/>
    </w:pPr>
    <w:rPr>
      <w:rFonts w:ascii="Ottawa" w:eastAsia="Times New Roman" w:hAnsi="Ottawa" w:cs="Ottawa"/>
      <w:spacing w:val="4"/>
      <w:sz w:val="19"/>
      <w:szCs w:val="19"/>
      <w:lang w:val="en-US" w:eastAsia="fr-FR"/>
    </w:rPr>
  </w:style>
  <w:style w:type="paragraph" w:customStyle="1" w:styleId="Base">
    <w:name w:val="Base"/>
    <w:link w:val="BaseCar"/>
    <w:rsid w:val="0094086E"/>
    <w:pPr>
      <w:spacing w:after="200" w:line="200" w:lineRule="atLeast"/>
      <w:jc w:val="both"/>
    </w:pPr>
    <w:rPr>
      <w:rFonts w:ascii="Arial" w:eastAsia="Times New Roman" w:hAnsi="Arial" w:cs="Times New Roman"/>
      <w:color w:val="000000"/>
      <w:sz w:val="19"/>
      <w:szCs w:val="20"/>
      <w:lang w:val="fr-FR" w:eastAsia="en-GB"/>
    </w:rPr>
  </w:style>
  <w:style w:type="character" w:customStyle="1" w:styleId="BaseCar">
    <w:name w:val="Base Car"/>
    <w:link w:val="Base"/>
    <w:locked/>
    <w:rsid w:val="0094086E"/>
    <w:rPr>
      <w:rFonts w:ascii="Arial" w:eastAsia="Times New Roman" w:hAnsi="Arial" w:cs="Times New Roman"/>
      <w:color w:val="000000"/>
      <w:sz w:val="19"/>
      <w:szCs w:val="20"/>
      <w:lang w:val="fr-FR" w:eastAsia="en-GB"/>
    </w:rPr>
  </w:style>
  <w:style w:type="paragraph" w:customStyle="1" w:styleId="Basegras">
    <w:name w:val="Base gras"/>
    <w:rsid w:val="0094086E"/>
    <w:pPr>
      <w:spacing w:after="200" w:line="200" w:lineRule="atLeast"/>
      <w:jc w:val="both"/>
    </w:pPr>
    <w:rPr>
      <w:rFonts w:ascii="Ottawa" w:eastAsia="Times New Roman" w:hAnsi="Ottawa" w:cs="Times New Roman"/>
      <w:b/>
      <w:color w:val="000000"/>
      <w:sz w:val="19"/>
      <w:szCs w:val="20"/>
      <w:lang w:val="fr-FR" w:eastAsia="en-GB"/>
    </w:rPr>
  </w:style>
  <w:style w:type="paragraph" w:customStyle="1" w:styleId="pBase1souligne">
    <w:name w:val="p_Base 1 souligne"/>
    <w:uiPriority w:val="99"/>
    <w:rsid w:val="0094086E"/>
    <w:pPr>
      <w:spacing w:after="240" w:line="200" w:lineRule="atLeast"/>
      <w:ind w:left="425" w:hanging="425"/>
      <w:jc w:val="both"/>
    </w:pPr>
    <w:rPr>
      <w:rFonts w:ascii="Arial" w:eastAsia="Times New Roman" w:hAnsi="Arial" w:cs="Times New Roman"/>
      <w:color w:val="000000"/>
      <w:sz w:val="19"/>
      <w:szCs w:val="20"/>
      <w:u w:val="single"/>
      <w:lang w:val="en-GB" w:eastAsia="en-GB"/>
    </w:rPr>
  </w:style>
  <w:style w:type="paragraph" w:customStyle="1" w:styleId="pbase2">
    <w:name w:val="p_base 2"/>
    <w:basedOn w:val="Normal"/>
    <w:qFormat/>
    <w:rsid w:val="0094086E"/>
    <w:pPr>
      <w:spacing w:after="240" w:line="240" w:lineRule="auto"/>
      <w:ind w:left="1276" w:hanging="425"/>
      <w:jc w:val="both"/>
    </w:pPr>
    <w:rPr>
      <w:rFonts w:ascii="Arial" w:eastAsia="Times New Roman" w:hAnsi="Arial" w:cs="Arial"/>
      <w:color w:val="000000"/>
      <w:sz w:val="19"/>
      <w:szCs w:val="18"/>
      <w:lang w:val="en" w:eastAsia="fr-FR"/>
    </w:rPr>
  </w:style>
  <w:style w:type="character" w:customStyle="1" w:styleId="CommentaireCar1">
    <w:name w:val="Commentaire Car1"/>
    <w:uiPriority w:val="99"/>
    <w:rsid w:val="0094086E"/>
    <w:rPr>
      <w:rFonts w:ascii="Calibri" w:eastAsia="Calibri" w:hAnsi="Calibri" w:cs="Times New Roman"/>
      <w:sz w:val="20"/>
      <w:szCs w:val="20"/>
      <w:lang w:val="en-GB"/>
    </w:rPr>
  </w:style>
  <w:style w:type="paragraph" w:customStyle="1" w:styleId="para2base">
    <w:name w:val="para 2. base"/>
    <w:basedOn w:val="Normal"/>
    <w:qFormat/>
    <w:rsid w:val="0094086E"/>
    <w:pPr>
      <w:spacing w:after="240" w:line="240" w:lineRule="auto"/>
      <w:ind w:left="992"/>
      <w:jc w:val="both"/>
    </w:pPr>
    <w:rPr>
      <w:rFonts w:eastAsia="Times New Roman" w:cs="Times New Roman"/>
      <w:b/>
      <w:bCs/>
      <w:szCs w:val="24"/>
    </w:rPr>
  </w:style>
  <w:style w:type="paragraph" w:customStyle="1" w:styleId="titre30">
    <w:name w:val="titre3"/>
    <w:basedOn w:val="Normal"/>
    <w:rsid w:val="0094086E"/>
    <w:pPr>
      <w:spacing w:before="100" w:beforeAutospacing="1" w:after="100" w:afterAutospacing="1" w:line="240" w:lineRule="auto"/>
    </w:pPr>
    <w:rPr>
      <w:rFonts w:ascii="Arial" w:eastAsia="Times New Roman" w:hAnsi="Arial" w:cs="Arial"/>
      <w:b/>
      <w:bCs/>
      <w:i/>
      <w:iCs/>
      <w:color w:val="333333"/>
      <w:lang w:val="fr-FR" w:eastAsia="fr-FR"/>
    </w:rPr>
  </w:style>
  <w:style w:type="paragraph" w:customStyle="1" w:styleId="parai61">
    <w:name w:val="para i.6"/>
    <w:basedOn w:val="Parai35"/>
    <w:rsid w:val="0094086E"/>
    <w:pPr>
      <w:tabs>
        <w:tab w:val="clear" w:pos="2835"/>
        <w:tab w:val="clear" w:pos="4536"/>
      </w:tabs>
      <w:ind w:left="1984" w:hanging="425"/>
    </w:pPr>
  </w:style>
  <w:style w:type="character" w:customStyle="1" w:styleId="Policepardfaut1">
    <w:name w:val="Police par défaut1"/>
    <w:rsid w:val="0094086E"/>
  </w:style>
  <w:style w:type="character" w:customStyle="1" w:styleId="Car4">
    <w:name w:val="Car4"/>
    <w:rsid w:val="0094086E"/>
    <w:rPr>
      <w:rFonts w:ascii="Ottawa" w:hAnsi="Ottawa"/>
      <w:b/>
      <w:sz w:val="22"/>
      <w:szCs w:val="22"/>
      <w:lang w:val="en-US" w:eastAsia="en-US" w:bidi="en-US"/>
    </w:rPr>
  </w:style>
  <w:style w:type="character" w:customStyle="1" w:styleId="Car3">
    <w:name w:val="Car3"/>
    <w:rsid w:val="0094086E"/>
    <w:rPr>
      <w:rFonts w:ascii="Ottawa" w:hAnsi="Ottawa"/>
      <w:b/>
      <w:sz w:val="21"/>
      <w:szCs w:val="21"/>
      <w:lang w:val="en-US" w:eastAsia="en-US" w:bidi="en-US"/>
    </w:rPr>
  </w:style>
  <w:style w:type="character" w:customStyle="1" w:styleId="Car2">
    <w:name w:val="Car2"/>
    <w:rsid w:val="0094086E"/>
    <w:rPr>
      <w:rFonts w:ascii="Ottawa" w:hAnsi="Ottawa"/>
      <w:b/>
      <w:lang w:val="en-US" w:eastAsia="en-US" w:bidi="en-US"/>
    </w:rPr>
  </w:style>
  <w:style w:type="character" w:customStyle="1" w:styleId="Car1">
    <w:name w:val="Car1"/>
    <w:rsid w:val="0094086E"/>
    <w:rPr>
      <w:rFonts w:ascii="Ottawa" w:hAnsi="Ottawa"/>
      <w:b/>
      <w:spacing w:val="-4"/>
      <w:kern w:val="1"/>
      <w:sz w:val="18"/>
      <w:szCs w:val="22"/>
      <w:lang w:val="en-US" w:eastAsia="en-US" w:bidi="en-US"/>
    </w:rPr>
  </w:style>
  <w:style w:type="character" w:customStyle="1" w:styleId="Car">
    <w:name w:val="Car"/>
    <w:rsid w:val="0094086E"/>
    <w:rPr>
      <w:rFonts w:ascii="Ottawa" w:hAnsi="Ottawa"/>
      <w:i/>
      <w:spacing w:val="-4"/>
      <w:kern w:val="1"/>
      <w:sz w:val="18"/>
      <w:lang w:val="en-US" w:eastAsia="en-US" w:bidi="en-US"/>
    </w:rPr>
  </w:style>
  <w:style w:type="character" w:customStyle="1" w:styleId="Numrodeligne1">
    <w:name w:val="Numéro de ligne1"/>
    <w:rsid w:val="0094086E"/>
    <w:rPr>
      <w:rFonts w:ascii="Arial" w:hAnsi="Arial"/>
      <w:sz w:val="16"/>
    </w:rPr>
  </w:style>
  <w:style w:type="character" w:customStyle="1" w:styleId="Marquedecommentaire1">
    <w:name w:val="Marque de commentaire1"/>
    <w:rsid w:val="0094086E"/>
    <w:rPr>
      <w:sz w:val="16"/>
      <w:szCs w:val="16"/>
    </w:rPr>
  </w:style>
  <w:style w:type="character" w:customStyle="1" w:styleId="mathfont">
    <w:name w:val="mathfont"/>
    <w:rsid w:val="0094086E"/>
  </w:style>
  <w:style w:type="character" w:customStyle="1" w:styleId="StylePara5TradeGothicObliqueCar">
    <w:name w:val="Style Para 5 + TradeGothic Oblique Car"/>
    <w:rsid w:val="0094086E"/>
    <w:rPr>
      <w:rFonts w:ascii="Ottawa" w:hAnsi="Ottawa"/>
      <w:bCs/>
      <w:i/>
      <w:sz w:val="18"/>
      <w:szCs w:val="22"/>
      <w:lang w:val="en-IE" w:eastAsia="en-US" w:bidi="en-US"/>
    </w:rPr>
  </w:style>
  <w:style w:type="character" w:customStyle="1" w:styleId="StyleTitle5aTradeGothicObliqueNonItaliqueCar">
    <w:name w:val="Style Title 5a + TradeGothic Oblique Non Italique Car"/>
    <w:rsid w:val="0094086E"/>
    <w:rPr>
      <w:rFonts w:ascii="Ottawa" w:hAnsi="Ottawa"/>
      <w:bCs/>
      <w:i/>
      <w:sz w:val="18"/>
      <w:szCs w:val="22"/>
      <w:lang w:val="en-IE" w:eastAsia="en-US" w:bidi="en-US"/>
    </w:rPr>
  </w:style>
  <w:style w:type="character" w:customStyle="1" w:styleId="Appelnotedebasdep1">
    <w:name w:val="Appel note de bas de p.1"/>
    <w:rsid w:val="0094086E"/>
    <w:rPr>
      <w:vertAlign w:val="superscript"/>
    </w:rPr>
  </w:style>
  <w:style w:type="character" w:customStyle="1" w:styleId="Car6">
    <w:name w:val="Car6"/>
    <w:rsid w:val="0094086E"/>
    <w:rPr>
      <w:rFonts w:ascii="Calibri" w:hAnsi="Calibri"/>
      <w:sz w:val="22"/>
      <w:szCs w:val="22"/>
      <w:lang w:val="en-US" w:eastAsia="en-US" w:bidi="en-US"/>
    </w:rPr>
  </w:style>
  <w:style w:type="character" w:customStyle="1" w:styleId="Car7">
    <w:name w:val="Car7"/>
    <w:rsid w:val="0094086E"/>
    <w:rPr>
      <w:lang w:eastAsia="en-US" w:bidi="en-US"/>
    </w:rPr>
  </w:style>
  <w:style w:type="character" w:customStyle="1" w:styleId="Car5">
    <w:name w:val="Car5"/>
    <w:rsid w:val="0094086E"/>
    <w:rPr>
      <w:rFonts w:ascii="Calibri" w:hAnsi="Calibri"/>
      <w:b/>
      <w:bCs/>
      <w:lang w:val="en-US" w:eastAsia="en-US" w:bidi="en-US"/>
    </w:rPr>
  </w:style>
  <w:style w:type="character" w:customStyle="1" w:styleId="nbapihighlight">
    <w:name w:val="nbapihighlight"/>
    <w:rsid w:val="0094086E"/>
  </w:style>
  <w:style w:type="character" w:customStyle="1" w:styleId="Puces">
    <w:name w:val="Puces"/>
    <w:rsid w:val="0094086E"/>
    <w:rPr>
      <w:rFonts w:ascii="OpenSymbol" w:eastAsia="OpenSymbol" w:hAnsi="OpenSymbol" w:cs="OpenSymbol"/>
    </w:rPr>
  </w:style>
  <w:style w:type="character" w:customStyle="1" w:styleId="Lienhypertextesuivivisit1">
    <w:name w:val="Lien hypertexte suivi visité1"/>
    <w:rsid w:val="0094086E"/>
    <w:rPr>
      <w:color w:val="800080"/>
      <w:u w:val="single"/>
    </w:rPr>
  </w:style>
  <w:style w:type="character" w:customStyle="1" w:styleId="Marquedecommentaire2">
    <w:name w:val="Marque de commentaire2"/>
    <w:rsid w:val="0094086E"/>
    <w:rPr>
      <w:sz w:val="16"/>
      <w:szCs w:val="16"/>
    </w:rPr>
  </w:style>
  <w:style w:type="character" w:customStyle="1" w:styleId="Numrodeligne2">
    <w:name w:val="Numéro de ligne2"/>
    <w:rsid w:val="0094086E"/>
  </w:style>
  <w:style w:type="character" w:customStyle="1" w:styleId="ListLabel1">
    <w:name w:val="ListLabel 1"/>
    <w:rsid w:val="0094086E"/>
    <w:rPr>
      <w:rFonts w:cs="Times New Roman"/>
      <w:sz w:val="22"/>
    </w:rPr>
  </w:style>
  <w:style w:type="paragraph" w:styleId="Lgende">
    <w:name w:val="caption"/>
    <w:basedOn w:val="Normal"/>
    <w:qFormat/>
    <w:rsid w:val="0094086E"/>
    <w:pPr>
      <w:suppressLineNumbers/>
      <w:suppressAutoHyphens/>
      <w:spacing w:before="120" w:after="120" w:line="360" w:lineRule="auto"/>
      <w:ind w:left="357" w:hanging="357"/>
    </w:pPr>
    <w:rPr>
      <w:rFonts w:ascii="Calibri" w:eastAsia="Times New Roman" w:hAnsi="Calibri" w:cs="Tahoma"/>
      <w:i/>
      <w:iCs/>
      <w:kern w:val="1"/>
      <w:sz w:val="24"/>
      <w:szCs w:val="24"/>
      <w:lang w:val="en-US" w:bidi="en-US"/>
    </w:rPr>
  </w:style>
  <w:style w:type="paragraph" w:customStyle="1" w:styleId="Index">
    <w:name w:val="Index"/>
    <w:basedOn w:val="Normal"/>
    <w:rsid w:val="0094086E"/>
    <w:pPr>
      <w:suppressLineNumbers/>
      <w:suppressAutoHyphens/>
      <w:spacing w:before="240" w:after="240" w:line="360" w:lineRule="auto"/>
      <w:ind w:left="357" w:hanging="357"/>
    </w:pPr>
    <w:rPr>
      <w:rFonts w:ascii="Calibri" w:eastAsia="Times New Roman" w:hAnsi="Calibri" w:cs="Tahoma"/>
      <w:kern w:val="1"/>
      <w:lang w:val="en-US" w:bidi="en-US"/>
    </w:rPr>
  </w:style>
  <w:style w:type="paragraph" w:customStyle="1" w:styleId="Lgende1">
    <w:name w:val="Légende1"/>
    <w:basedOn w:val="Normal"/>
    <w:rsid w:val="0094086E"/>
    <w:pPr>
      <w:suppressLineNumbers/>
      <w:suppressAutoHyphens/>
      <w:spacing w:before="120" w:after="120" w:line="360" w:lineRule="auto"/>
      <w:ind w:left="357" w:hanging="357"/>
    </w:pPr>
    <w:rPr>
      <w:rFonts w:ascii="Calibri" w:eastAsia="Times New Roman" w:hAnsi="Calibri" w:cs="Tahoma"/>
      <w:i/>
      <w:iCs/>
      <w:kern w:val="1"/>
      <w:sz w:val="24"/>
      <w:szCs w:val="24"/>
      <w:lang w:val="en-US" w:bidi="en-US"/>
    </w:rPr>
  </w:style>
  <w:style w:type="paragraph" w:customStyle="1" w:styleId="Textedebulles1">
    <w:name w:val="Texte de bulles1"/>
    <w:basedOn w:val="Normal"/>
    <w:rsid w:val="0094086E"/>
    <w:pPr>
      <w:suppressAutoHyphens/>
      <w:spacing w:before="240" w:after="240" w:line="360" w:lineRule="auto"/>
      <w:ind w:left="357" w:hanging="357"/>
    </w:pPr>
    <w:rPr>
      <w:rFonts w:ascii="Tahoma" w:eastAsia="Times New Roman" w:hAnsi="Tahoma" w:cs="Tahoma"/>
      <w:kern w:val="1"/>
      <w:sz w:val="16"/>
      <w:szCs w:val="16"/>
      <w:lang w:val="en-US" w:bidi="en-US"/>
    </w:rPr>
  </w:style>
  <w:style w:type="paragraph" w:customStyle="1" w:styleId="Notedebasdepage1">
    <w:name w:val="Note de bas de page1"/>
    <w:basedOn w:val="Normal"/>
    <w:rsid w:val="0094086E"/>
    <w:pPr>
      <w:suppressAutoHyphens/>
      <w:spacing w:before="240" w:after="240" w:line="360" w:lineRule="auto"/>
      <w:ind w:left="357" w:hanging="357"/>
    </w:pPr>
    <w:rPr>
      <w:rFonts w:ascii="Calibri" w:eastAsia="Times New Roman" w:hAnsi="Calibri" w:cs="Times New Roman"/>
      <w:kern w:val="1"/>
      <w:szCs w:val="20"/>
      <w:lang w:val="en-US" w:bidi="en-US"/>
    </w:rPr>
  </w:style>
  <w:style w:type="paragraph" w:customStyle="1" w:styleId="EFSAAppendixTitles">
    <w:name w:val="EFSA_Appendix_Titles"/>
    <w:rsid w:val="0094086E"/>
    <w:pPr>
      <w:tabs>
        <w:tab w:val="left" w:pos="357"/>
      </w:tabs>
      <w:suppressAutoHyphens/>
      <w:spacing w:after="220" w:line="240" w:lineRule="auto"/>
    </w:pPr>
    <w:rPr>
      <w:rFonts w:ascii="Times New Roman Bold" w:eastAsia="Times New Roman" w:hAnsi="Times New Roman Bold" w:cs="Times New Roman"/>
      <w:kern w:val="1"/>
      <w:sz w:val="20"/>
      <w:szCs w:val="20"/>
      <w:lang w:val="en-GB" w:eastAsia="ar-SA"/>
    </w:rPr>
  </w:style>
  <w:style w:type="paragraph" w:customStyle="1" w:styleId="EFSAStyleTitle2">
    <w:name w:val="EFSA_StyleTitle2"/>
    <w:basedOn w:val="Normal"/>
    <w:rsid w:val="0094086E"/>
    <w:pPr>
      <w:suppressAutoHyphens/>
      <w:spacing w:before="240" w:after="120" w:line="100" w:lineRule="atLeast"/>
      <w:jc w:val="both"/>
    </w:pPr>
    <w:rPr>
      <w:rFonts w:eastAsia="Times New Roman" w:cs="Times New Roman"/>
      <w:b/>
      <w:smallCaps/>
      <w:kern w:val="1"/>
      <w:lang w:bidi="en-US"/>
    </w:rPr>
  </w:style>
  <w:style w:type="paragraph" w:customStyle="1" w:styleId="EFSABodytext">
    <w:name w:val="EFSA_Body text"/>
    <w:basedOn w:val="Normal"/>
    <w:rsid w:val="0094086E"/>
    <w:pPr>
      <w:suppressAutoHyphens/>
      <w:spacing w:after="220" w:line="100" w:lineRule="atLeast"/>
      <w:jc w:val="both"/>
    </w:pPr>
    <w:rPr>
      <w:rFonts w:eastAsia="Times New Roman" w:cs="Times New Roman"/>
      <w:kern w:val="1"/>
      <w:szCs w:val="20"/>
      <w:lang w:bidi="en-US"/>
    </w:rPr>
  </w:style>
  <w:style w:type="paragraph" w:customStyle="1" w:styleId="EFSAFigureTitles">
    <w:name w:val="EFSA_Figure Titles"/>
    <w:basedOn w:val="Normal"/>
    <w:rsid w:val="0094086E"/>
    <w:pPr>
      <w:tabs>
        <w:tab w:val="left" w:pos="1080"/>
      </w:tabs>
      <w:suppressAutoHyphens/>
      <w:spacing w:before="240" w:after="220" w:line="100" w:lineRule="atLeast"/>
      <w:ind w:left="357" w:hanging="357"/>
      <w:jc w:val="both"/>
    </w:pPr>
    <w:rPr>
      <w:rFonts w:eastAsia="Times New Roman" w:cs="Times New Roman"/>
      <w:kern w:val="1"/>
      <w:lang w:bidi="en-US"/>
    </w:rPr>
  </w:style>
  <w:style w:type="paragraph" w:customStyle="1" w:styleId="EFSADocsprovided">
    <w:name w:val="EFSA_Docs provided"/>
    <w:rsid w:val="0094086E"/>
    <w:pPr>
      <w:suppressAutoHyphens/>
      <w:spacing w:after="240" w:line="240" w:lineRule="auto"/>
      <w:ind w:left="360" w:hanging="360"/>
    </w:pPr>
    <w:rPr>
      <w:rFonts w:ascii="Times New Roman" w:eastAsia="Times New Roman" w:hAnsi="Times New Roman" w:cs="Times New Roman"/>
      <w:kern w:val="1"/>
      <w:sz w:val="20"/>
      <w:lang w:val="en-GB" w:eastAsia="ar-SA"/>
    </w:rPr>
  </w:style>
  <w:style w:type="paragraph" w:customStyle="1" w:styleId="EFSATableTitles">
    <w:name w:val="EFSA_TableTitles"/>
    <w:rsid w:val="0094086E"/>
    <w:pPr>
      <w:tabs>
        <w:tab w:val="left" w:pos="1080"/>
      </w:tabs>
      <w:suppressAutoHyphens/>
      <w:spacing w:before="240" w:after="240" w:line="240" w:lineRule="auto"/>
    </w:pPr>
    <w:rPr>
      <w:rFonts w:ascii="Times New Roman" w:eastAsia="Times New Roman" w:hAnsi="Times New Roman" w:cs="Times New Roman"/>
      <w:kern w:val="1"/>
      <w:sz w:val="20"/>
      <w:lang w:val="en-GB" w:eastAsia="ar-SA"/>
    </w:rPr>
  </w:style>
  <w:style w:type="paragraph" w:customStyle="1" w:styleId="Retraitcorpsdetexte31">
    <w:name w:val="Retrait corps de texte 31"/>
    <w:basedOn w:val="Normal"/>
    <w:rsid w:val="0094086E"/>
    <w:pPr>
      <w:suppressAutoHyphens/>
      <w:spacing w:before="240" w:after="120" w:line="360" w:lineRule="auto"/>
      <w:ind w:left="1378" w:hanging="357"/>
    </w:pPr>
    <w:rPr>
      <w:rFonts w:ascii="Garamond" w:eastAsia="MS Mincho" w:hAnsi="Garamond" w:cs="Times New Roman"/>
      <w:szCs w:val="16"/>
      <w:lang w:val="en-US"/>
    </w:rPr>
  </w:style>
  <w:style w:type="paragraph" w:customStyle="1" w:styleId="EFSAReferences">
    <w:name w:val="EFSA_References"/>
    <w:basedOn w:val="Normal"/>
    <w:rsid w:val="0094086E"/>
    <w:pPr>
      <w:tabs>
        <w:tab w:val="left" w:pos="284"/>
      </w:tabs>
      <w:suppressAutoHyphens/>
      <w:spacing w:after="120" w:line="100" w:lineRule="atLeast"/>
      <w:ind w:left="284" w:hanging="284"/>
      <w:jc w:val="both"/>
    </w:pPr>
    <w:rPr>
      <w:rFonts w:eastAsia="Times New Roman" w:cs="Times New Roman"/>
      <w:color w:val="000000"/>
      <w:kern w:val="1"/>
      <w:lang w:bidi="en-US"/>
    </w:rPr>
  </w:style>
  <w:style w:type="paragraph" w:customStyle="1" w:styleId="abstract">
    <w:name w:val="abstract"/>
    <w:basedOn w:val="Normal"/>
    <w:rsid w:val="0094086E"/>
    <w:pPr>
      <w:suppressAutoHyphens/>
      <w:spacing w:after="0" w:line="100" w:lineRule="atLeast"/>
    </w:pPr>
    <w:rPr>
      <w:rFonts w:ascii="Arial Unicode MS" w:eastAsia="Arial Unicode MS" w:hAnsi="Arial Unicode MS" w:cs="Arial Unicode MS"/>
      <w:color w:val="000000"/>
      <w:kern w:val="1"/>
      <w:sz w:val="24"/>
      <w:szCs w:val="24"/>
      <w:lang w:val="it-IT" w:bidi="en-US"/>
    </w:rPr>
  </w:style>
  <w:style w:type="paragraph" w:customStyle="1" w:styleId="Commentaire1">
    <w:name w:val="Commentaire1"/>
    <w:basedOn w:val="Normal"/>
    <w:rsid w:val="0094086E"/>
    <w:pPr>
      <w:suppressAutoHyphens/>
      <w:spacing w:after="0" w:line="100" w:lineRule="atLeast"/>
      <w:jc w:val="both"/>
    </w:pPr>
    <w:rPr>
      <w:rFonts w:eastAsia="Times New Roman" w:cs="Times New Roman"/>
      <w:kern w:val="1"/>
      <w:szCs w:val="20"/>
      <w:lang w:bidi="en-US"/>
    </w:rPr>
  </w:style>
  <w:style w:type="paragraph" w:customStyle="1" w:styleId="WW-BodyText2">
    <w:name w:val="WW-Body Text 2"/>
    <w:basedOn w:val="Normal"/>
    <w:rsid w:val="0094086E"/>
    <w:pPr>
      <w:suppressAutoHyphens/>
      <w:spacing w:after="0" w:line="480" w:lineRule="auto"/>
      <w:jc w:val="both"/>
    </w:pPr>
    <w:rPr>
      <w:rFonts w:eastAsia="Times New Roman" w:cs="Times New Roman"/>
      <w:kern w:val="1"/>
      <w:sz w:val="24"/>
      <w:szCs w:val="20"/>
      <w:lang w:bidi="en-US"/>
    </w:rPr>
  </w:style>
  <w:style w:type="paragraph" w:customStyle="1" w:styleId="Corpsdetexte21">
    <w:name w:val="Corps de texte 21"/>
    <w:basedOn w:val="Normal"/>
    <w:rsid w:val="0094086E"/>
    <w:pPr>
      <w:suppressAutoHyphens/>
      <w:spacing w:after="120" w:line="480" w:lineRule="auto"/>
      <w:jc w:val="both"/>
    </w:pPr>
    <w:rPr>
      <w:rFonts w:eastAsia="Times New Roman" w:cs="Times New Roman"/>
      <w:kern w:val="1"/>
      <w:sz w:val="24"/>
      <w:szCs w:val="24"/>
      <w:lang w:val="fr-FR" w:bidi="en-US"/>
    </w:rPr>
  </w:style>
  <w:style w:type="paragraph" w:customStyle="1" w:styleId="Retraitcorpsdetexte32">
    <w:name w:val="Retrait corps de texte 32"/>
    <w:basedOn w:val="Normal"/>
    <w:rsid w:val="0094086E"/>
    <w:pPr>
      <w:suppressAutoHyphens/>
      <w:spacing w:after="240" w:line="100" w:lineRule="atLeast"/>
      <w:ind w:left="629" w:firstLine="363"/>
      <w:jc w:val="both"/>
    </w:pPr>
    <w:rPr>
      <w:rFonts w:ascii="Arial" w:eastAsia="Times New Roman" w:hAnsi="Arial" w:cs="Arial"/>
      <w:kern w:val="1"/>
      <w:sz w:val="18"/>
      <w:lang w:val="en-US" w:bidi="en-US"/>
    </w:rPr>
  </w:style>
  <w:style w:type="paragraph" w:customStyle="1" w:styleId="StyleTitle5aTradeGothicObliqueNonItalique">
    <w:name w:val="Style Title 5a + TradeGothic Oblique Non Italique"/>
    <w:rsid w:val="0094086E"/>
    <w:pPr>
      <w:suppressAutoHyphens/>
      <w:spacing w:after="0" w:line="240" w:lineRule="auto"/>
    </w:pPr>
    <w:rPr>
      <w:rFonts w:ascii="Times New Roman" w:eastAsia="Times New Roman" w:hAnsi="Times New Roman" w:cs="Times New Roman"/>
      <w:bCs/>
      <w:kern w:val="1"/>
      <w:sz w:val="20"/>
      <w:szCs w:val="20"/>
      <w:lang w:val="en-GB" w:eastAsia="ar-SA"/>
    </w:rPr>
  </w:style>
  <w:style w:type="paragraph" w:customStyle="1" w:styleId="Objetducommentaire1">
    <w:name w:val="Objet du commentaire1"/>
    <w:rsid w:val="0094086E"/>
    <w:pPr>
      <w:suppressAutoHyphens/>
      <w:spacing w:before="240" w:after="240" w:line="360" w:lineRule="auto"/>
      <w:ind w:left="357" w:hanging="357"/>
    </w:pPr>
    <w:rPr>
      <w:rFonts w:ascii="Calibri" w:eastAsia="Times New Roman" w:hAnsi="Calibri" w:cs="Times New Roman"/>
      <w:b/>
      <w:bCs/>
      <w:kern w:val="1"/>
      <w:sz w:val="20"/>
      <w:szCs w:val="20"/>
      <w:lang w:eastAsia="ar-SA"/>
    </w:rPr>
  </w:style>
  <w:style w:type="paragraph" w:customStyle="1" w:styleId="Rvision1">
    <w:name w:val="Révision1"/>
    <w:rsid w:val="0094086E"/>
    <w:pPr>
      <w:suppressAutoHyphens/>
      <w:spacing w:after="0" w:line="240" w:lineRule="auto"/>
    </w:pPr>
    <w:rPr>
      <w:rFonts w:ascii="Calibri" w:eastAsia="Times New Roman" w:hAnsi="Calibri" w:cs="Times New Roman"/>
      <w:kern w:val="1"/>
      <w:lang w:bidi="en-US"/>
    </w:rPr>
  </w:style>
  <w:style w:type="paragraph" w:customStyle="1" w:styleId="Contenudetableau">
    <w:name w:val="Contenu de tableau"/>
    <w:basedOn w:val="Normal"/>
    <w:rsid w:val="0094086E"/>
    <w:pPr>
      <w:suppressLineNumbers/>
      <w:suppressAutoHyphens/>
      <w:spacing w:before="240" w:after="240" w:line="360" w:lineRule="auto"/>
      <w:ind w:left="357" w:hanging="357"/>
    </w:pPr>
    <w:rPr>
      <w:rFonts w:ascii="Calibri" w:eastAsia="Times New Roman" w:hAnsi="Calibri" w:cs="Times New Roman"/>
      <w:kern w:val="1"/>
      <w:lang w:val="en-US" w:bidi="en-US"/>
    </w:rPr>
  </w:style>
  <w:style w:type="paragraph" w:customStyle="1" w:styleId="Titre100">
    <w:name w:val="Titre 10"/>
    <w:basedOn w:val="Titre"/>
    <w:next w:val="Corpsdetexte"/>
    <w:rsid w:val="0094086E"/>
    <w:pPr>
      <w:keepNext/>
      <w:tabs>
        <w:tab w:val="num" w:pos="1584"/>
      </w:tabs>
      <w:suppressAutoHyphens/>
      <w:spacing w:after="120" w:line="360" w:lineRule="auto"/>
      <w:ind w:left="1584" w:hanging="1584"/>
      <w:outlineLvl w:val="8"/>
    </w:pPr>
    <w:rPr>
      <w:rFonts w:ascii="Arial" w:eastAsia="MS Mincho" w:hAnsi="Arial" w:cs="Tahoma"/>
      <w:b/>
      <w:iCs w:val="0"/>
      <w:spacing w:val="0"/>
      <w:kern w:val="1"/>
      <w:sz w:val="21"/>
      <w:szCs w:val="21"/>
    </w:rPr>
  </w:style>
  <w:style w:type="paragraph" w:customStyle="1" w:styleId="NormalWeb1">
    <w:name w:val="Normal (Web)+1"/>
    <w:basedOn w:val="Default"/>
    <w:rsid w:val="0094086E"/>
    <w:pPr>
      <w:suppressAutoHyphens/>
      <w:autoSpaceDE/>
      <w:autoSpaceDN/>
      <w:adjustRightInd/>
    </w:pPr>
    <w:rPr>
      <w:rFonts w:ascii="Times New Roman" w:eastAsia="Times New Roman" w:hAnsi="Times New Roman" w:cs="Times New Roman"/>
      <w:color w:val="00000A"/>
      <w:kern w:val="1"/>
      <w:sz w:val="20"/>
      <w:szCs w:val="20"/>
      <w:u w:color="000000"/>
      <w:lang w:val="fr-FR" w:eastAsia="ar-SA"/>
    </w:rPr>
  </w:style>
  <w:style w:type="paragraph" w:customStyle="1" w:styleId="Textedebulles2">
    <w:name w:val="Texte de bulles2"/>
    <w:basedOn w:val="Normal"/>
    <w:rsid w:val="0094086E"/>
    <w:pPr>
      <w:suppressAutoHyphens/>
      <w:spacing w:before="240" w:after="240" w:line="360" w:lineRule="auto"/>
      <w:ind w:left="357" w:hanging="357"/>
    </w:pPr>
    <w:rPr>
      <w:rFonts w:ascii="Tahoma" w:eastAsia="Times New Roman" w:hAnsi="Tahoma" w:cs="Tahoma"/>
      <w:kern w:val="1"/>
      <w:sz w:val="16"/>
      <w:szCs w:val="16"/>
      <w:lang w:val="en-US" w:bidi="en-US"/>
    </w:rPr>
  </w:style>
  <w:style w:type="paragraph" w:customStyle="1" w:styleId="Commentaire2">
    <w:name w:val="Commentaire2"/>
    <w:basedOn w:val="Normal"/>
    <w:rsid w:val="0094086E"/>
    <w:pPr>
      <w:suppressAutoHyphens/>
      <w:spacing w:before="240" w:after="240" w:line="100" w:lineRule="atLeast"/>
      <w:ind w:left="357" w:hanging="357"/>
    </w:pPr>
    <w:rPr>
      <w:rFonts w:ascii="Calibri" w:eastAsia="Times New Roman" w:hAnsi="Calibri" w:cs="Times New Roman"/>
      <w:kern w:val="1"/>
      <w:szCs w:val="20"/>
      <w:lang w:val="en-US" w:bidi="en-US"/>
    </w:rPr>
  </w:style>
  <w:style w:type="paragraph" w:customStyle="1" w:styleId="Textebrut1">
    <w:name w:val="Texte brut1"/>
    <w:basedOn w:val="Normal"/>
    <w:rsid w:val="0094086E"/>
    <w:pPr>
      <w:suppressAutoHyphens/>
      <w:spacing w:after="0" w:line="100" w:lineRule="atLeast"/>
    </w:pPr>
    <w:rPr>
      <w:rFonts w:ascii="Calibri" w:eastAsia="Times New Roman" w:hAnsi="Calibri" w:cs="Times New Roman"/>
      <w:kern w:val="1"/>
      <w:szCs w:val="21"/>
      <w:lang w:eastAsia="ar-SA"/>
    </w:rPr>
  </w:style>
  <w:style w:type="character" w:customStyle="1" w:styleId="CommentTextChar1">
    <w:name w:val="Comment Text Char1"/>
    <w:semiHidden/>
    <w:rsid w:val="0094086E"/>
    <w:rPr>
      <w:rFonts w:ascii="Calibri" w:hAnsi="Calibri"/>
      <w:kern w:val="1"/>
      <w:lang w:val="en-US" w:eastAsia="en-US" w:bidi="en-US"/>
    </w:rPr>
  </w:style>
  <w:style w:type="paragraph" w:customStyle="1" w:styleId="A0">
    <w:name w:val="A"/>
    <w:basedOn w:val="Normal"/>
    <w:rsid w:val="0094086E"/>
    <w:pPr>
      <w:spacing w:before="120" w:after="240" w:line="240" w:lineRule="auto"/>
      <w:jc w:val="center"/>
    </w:pPr>
    <w:rPr>
      <w:rFonts w:ascii="Ottawa" w:eastAsia="Times New Roman" w:hAnsi="Ottawa" w:cs="Times New Roman"/>
      <w:b/>
      <w:bCs/>
      <w:caps/>
      <w:szCs w:val="20"/>
      <w:lang w:eastAsia="fr-FR"/>
    </w:rPr>
  </w:style>
  <w:style w:type="numbering" w:customStyle="1" w:styleId="Aucuneliste11">
    <w:name w:val="Aucune liste11"/>
    <w:next w:val="Aucuneliste"/>
    <w:uiPriority w:val="99"/>
    <w:semiHidden/>
    <w:unhideWhenUsed/>
    <w:rsid w:val="0094086E"/>
  </w:style>
  <w:style w:type="paragraph" w:customStyle="1" w:styleId="CM1">
    <w:name w:val="CM1"/>
    <w:basedOn w:val="Normal"/>
    <w:next w:val="Normal"/>
    <w:rsid w:val="0094086E"/>
    <w:pPr>
      <w:widowControl w:val="0"/>
      <w:autoSpaceDE w:val="0"/>
      <w:autoSpaceDN w:val="0"/>
      <w:adjustRightInd w:val="0"/>
      <w:spacing w:after="0" w:line="240" w:lineRule="auto"/>
    </w:pPr>
    <w:rPr>
      <w:rFonts w:ascii="Ottawa" w:eastAsia="Times New Roman" w:hAnsi="Ottawa" w:cs="Times New Roman"/>
      <w:sz w:val="24"/>
      <w:szCs w:val="24"/>
      <w:lang w:val="fr-FR" w:eastAsia="fr-FR"/>
    </w:rPr>
  </w:style>
  <w:style w:type="paragraph" w:customStyle="1" w:styleId="CM11">
    <w:name w:val="CM11"/>
    <w:basedOn w:val="Default"/>
    <w:next w:val="Default"/>
    <w:rsid w:val="0094086E"/>
    <w:pPr>
      <w:widowControl w:val="0"/>
    </w:pPr>
    <w:rPr>
      <w:rFonts w:ascii="Ottawa" w:eastAsia="Times New Roman" w:hAnsi="Ottawa" w:cs="Times New Roman"/>
      <w:color w:val="auto"/>
      <w:u w:color="000000"/>
      <w:lang w:val="fr-FR" w:eastAsia="fr-FR"/>
    </w:rPr>
  </w:style>
  <w:style w:type="paragraph" w:customStyle="1" w:styleId="CM8">
    <w:name w:val="CM8"/>
    <w:basedOn w:val="Normal"/>
    <w:next w:val="Normal"/>
    <w:rsid w:val="0094086E"/>
    <w:pPr>
      <w:widowControl w:val="0"/>
      <w:autoSpaceDE w:val="0"/>
      <w:autoSpaceDN w:val="0"/>
      <w:adjustRightInd w:val="0"/>
      <w:spacing w:after="0" w:line="240" w:lineRule="auto"/>
    </w:pPr>
    <w:rPr>
      <w:rFonts w:ascii="Ottawa" w:eastAsia="Times New Roman" w:hAnsi="Ottawa" w:cs="Times New Roman"/>
      <w:sz w:val="24"/>
      <w:szCs w:val="24"/>
      <w:lang w:val="fr-FR" w:eastAsia="fr-FR"/>
    </w:rPr>
  </w:style>
  <w:style w:type="paragraph" w:customStyle="1" w:styleId="CM9">
    <w:name w:val="CM9"/>
    <w:basedOn w:val="Default"/>
    <w:next w:val="Default"/>
    <w:rsid w:val="0094086E"/>
    <w:pPr>
      <w:widowControl w:val="0"/>
      <w:spacing w:after="145"/>
    </w:pPr>
    <w:rPr>
      <w:rFonts w:ascii="Ottawa" w:eastAsia="PMingLiU" w:hAnsi="Ottawa" w:cs="Times New Roman"/>
      <w:color w:val="auto"/>
      <w:u w:color="000000"/>
      <w:lang w:val="fr-FR" w:eastAsia="fr-FR"/>
    </w:rPr>
  </w:style>
  <w:style w:type="paragraph" w:customStyle="1" w:styleId="Footer1">
    <w:name w:val="Footer1"/>
    <w:uiPriority w:val="99"/>
    <w:rsid w:val="0094086E"/>
    <w:pPr>
      <w:tabs>
        <w:tab w:val="right" w:pos="9639"/>
      </w:tabs>
      <w:spacing w:after="0" w:line="240" w:lineRule="auto"/>
    </w:pPr>
    <w:rPr>
      <w:rFonts w:ascii="Times New Roman" w:eastAsia="Calibri" w:hAnsi="Times New Roman" w:cs="Times New Roman"/>
      <w:color w:val="000000"/>
      <w:sz w:val="24"/>
      <w:szCs w:val="20"/>
      <w:lang w:val="fr-FR" w:eastAsia="en-GB"/>
    </w:rPr>
  </w:style>
  <w:style w:type="paragraph" w:customStyle="1" w:styleId="FreeForm">
    <w:name w:val="Free Form"/>
    <w:uiPriority w:val="99"/>
    <w:rsid w:val="0094086E"/>
    <w:pPr>
      <w:spacing w:after="0" w:line="240" w:lineRule="auto"/>
    </w:pPr>
    <w:rPr>
      <w:rFonts w:ascii="Times New Roman" w:eastAsia="Calibri" w:hAnsi="Times New Roman" w:cs="Times New Roman"/>
      <w:color w:val="000000"/>
      <w:sz w:val="20"/>
      <w:szCs w:val="20"/>
      <w:lang w:val="en-GB" w:eastAsia="en-GB"/>
    </w:rPr>
  </w:style>
  <w:style w:type="character" w:customStyle="1" w:styleId="hpsatn">
    <w:name w:val="hps atn"/>
    <w:uiPriority w:val="99"/>
    <w:rsid w:val="0094086E"/>
  </w:style>
  <w:style w:type="character" w:customStyle="1" w:styleId="iTegn">
    <w:name w:val="i) Tegn"/>
    <w:link w:val="i0"/>
    <w:rsid w:val="0094086E"/>
    <w:rPr>
      <w:rFonts w:ascii="Garamond" w:eastAsia="Times New Roman" w:hAnsi="Garamond" w:cs="Times New Roman"/>
      <w:lang w:val="en-GB" w:eastAsia="fr-FR"/>
    </w:rPr>
  </w:style>
  <w:style w:type="character" w:customStyle="1" w:styleId="journalname">
    <w:name w:val="journalname"/>
    <w:rsid w:val="0094086E"/>
  </w:style>
  <w:style w:type="numbering" w:customStyle="1" w:styleId="NoList1">
    <w:name w:val="No List1"/>
    <w:next w:val="Aucuneliste"/>
    <w:uiPriority w:val="99"/>
    <w:semiHidden/>
    <w:unhideWhenUsed/>
    <w:rsid w:val="0094086E"/>
  </w:style>
  <w:style w:type="paragraph" w:customStyle="1" w:styleId="pBase20">
    <w:name w:val="p_Base2"/>
    <w:next w:val="Normal"/>
    <w:autoRedefine/>
    <w:rsid w:val="0094086E"/>
    <w:pPr>
      <w:overflowPunct w:val="0"/>
      <w:autoSpaceDE w:val="0"/>
      <w:autoSpaceDN w:val="0"/>
      <w:adjustRightInd w:val="0"/>
      <w:spacing w:after="120" w:line="200" w:lineRule="atLeast"/>
      <w:ind w:left="1276" w:hanging="425"/>
      <w:jc w:val="both"/>
      <w:textAlignment w:val="baseline"/>
    </w:pPr>
    <w:rPr>
      <w:rFonts w:ascii="Garamond" w:eastAsia="Times New Roman" w:hAnsi="Garamond" w:cs="Times New Roman"/>
      <w:noProof/>
      <w:szCs w:val="20"/>
      <w:lang w:val="fr-FR" w:eastAsia="ja-JP"/>
    </w:rPr>
  </w:style>
  <w:style w:type="paragraph" w:customStyle="1" w:styleId="Para3i">
    <w:name w:val="Para 3i"/>
    <w:basedOn w:val="Para3"/>
    <w:qFormat/>
    <w:rsid w:val="0094086E"/>
    <w:pPr>
      <w:ind w:left="1418" w:hanging="567"/>
    </w:pPr>
    <w:rPr>
      <w:rFonts w:ascii="Times New Roman" w:eastAsia="MS Mincho" w:hAnsi="Times New Roman" w:cs="Arial"/>
      <w:bCs w:val="0"/>
      <w:sz w:val="20"/>
      <w:szCs w:val="18"/>
    </w:rPr>
  </w:style>
  <w:style w:type="paragraph" w:customStyle="1" w:styleId="Para6i">
    <w:name w:val="Para 6i"/>
    <w:basedOn w:val="Para6"/>
    <w:uiPriority w:val="99"/>
    <w:rsid w:val="0094086E"/>
    <w:pPr>
      <w:spacing w:after="240"/>
      <w:ind w:left="1418"/>
    </w:pPr>
    <w:rPr>
      <w:rFonts w:ascii="Times New Roman" w:eastAsia="MS Mincho" w:hAnsi="Times New Roman"/>
      <w:sz w:val="20"/>
      <w:lang w:bidi="ar-SA"/>
    </w:rPr>
  </w:style>
  <w:style w:type="paragraph" w:customStyle="1" w:styleId="parai2a">
    <w:name w:val="para i.2.a"/>
    <w:basedOn w:val="Parai2"/>
    <w:rsid w:val="0094086E"/>
    <w:pPr>
      <w:spacing w:after="120"/>
      <w:ind w:left="4678" w:hanging="4253"/>
    </w:pPr>
    <w:rPr>
      <w:sz w:val="20"/>
    </w:rPr>
  </w:style>
  <w:style w:type="paragraph" w:customStyle="1" w:styleId="parai3">
    <w:name w:val="para i.3"/>
    <w:basedOn w:val="Parai5"/>
    <w:rsid w:val="0094086E"/>
    <w:pPr>
      <w:ind w:left="1276"/>
    </w:pPr>
  </w:style>
  <w:style w:type="paragraph" w:customStyle="1" w:styleId="Parai4">
    <w:name w:val="Para i.4"/>
    <w:basedOn w:val="Parai5"/>
    <w:rsid w:val="0094086E"/>
    <w:pPr>
      <w:ind w:left="1417"/>
    </w:pPr>
    <w:rPr>
      <w:rFonts w:cs="Angsana New"/>
    </w:rPr>
  </w:style>
  <w:style w:type="paragraph" w:customStyle="1" w:styleId="Paragraphedeliste1">
    <w:name w:val="Paragraphe de liste1"/>
    <w:basedOn w:val="Normal"/>
    <w:qFormat/>
    <w:rsid w:val="0094086E"/>
    <w:pPr>
      <w:spacing w:after="200" w:line="276" w:lineRule="auto"/>
      <w:ind w:left="720"/>
      <w:contextualSpacing/>
    </w:pPr>
    <w:rPr>
      <w:rFonts w:ascii="Calibri" w:eastAsia="Calibri" w:hAnsi="Calibri" w:cs="Times New Roman"/>
      <w:lang w:val="en-US"/>
    </w:rPr>
  </w:style>
  <w:style w:type="paragraph" w:customStyle="1" w:styleId="paramarge2">
    <w:name w:val="paramarge 2"/>
    <w:basedOn w:val="Normal"/>
    <w:qFormat/>
    <w:rsid w:val="0094086E"/>
    <w:pPr>
      <w:spacing w:after="240" w:line="240" w:lineRule="auto"/>
      <w:ind w:left="425"/>
      <w:jc w:val="both"/>
    </w:pPr>
    <w:rPr>
      <w:rFonts w:eastAsia="Calibri" w:cs="Times New Roman"/>
    </w:rPr>
  </w:style>
  <w:style w:type="character" w:customStyle="1" w:styleId="REFTegn">
    <w:name w:val="REF Tegn"/>
    <w:link w:val="REF"/>
    <w:rsid w:val="0094086E"/>
    <w:rPr>
      <w:rFonts w:ascii="Arial" w:eastAsia="Times New Roman" w:hAnsi="Arial" w:cs="Times New Roman"/>
      <w:sz w:val="18"/>
      <w:lang w:val="en-IE" w:bidi="en-US"/>
    </w:rPr>
  </w:style>
  <w:style w:type="paragraph" w:styleId="Sansinterligne">
    <w:name w:val="No Spacing"/>
    <w:uiPriority w:val="1"/>
    <w:qFormat/>
    <w:rsid w:val="0094086E"/>
    <w:pPr>
      <w:spacing w:after="0" w:line="240" w:lineRule="auto"/>
    </w:pPr>
    <w:rPr>
      <w:rFonts w:ascii="Times New Roman" w:eastAsia="Times New Roman" w:hAnsi="Times New Roman" w:cs="Times New Roman"/>
      <w:sz w:val="24"/>
      <w:szCs w:val="24"/>
    </w:rPr>
  </w:style>
  <w:style w:type="character" w:customStyle="1" w:styleId="sciname">
    <w:name w:val="sciname"/>
    <w:uiPriority w:val="99"/>
    <w:rsid w:val="0094086E"/>
  </w:style>
  <w:style w:type="character" w:customStyle="1" w:styleId="sheader2">
    <w:name w:val="sheader2"/>
    <w:uiPriority w:val="99"/>
    <w:rsid w:val="0094086E"/>
  </w:style>
  <w:style w:type="character" w:customStyle="1" w:styleId="sheader21">
    <w:name w:val="sheader21"/>
    <w:rsid w:val="0094086E"/>
    <w:rPr>
      <w:rFonts w:ascii="Times New Roman" w:hAnsi="Times New Roman" w:cs="Times New Roman" w:hint="default"/>
      <w:sz w:val="34"/>
      <w:szCs w:val="34"/>
    </w:rPr>
  </w:style>
  <w:style w:type="character" w:customStyle="1" w:styleId="shorttext">
    <w:name w:val="short_text"/>
    <w:uiPriority w:val="99"/>
    <w:rsid w:val="0094086E"/>
  </w:style>
  <w:style w:type="character" w:customStyle="1" w:styleId="slabel1">
    <w:name w:val="slabel1"/>
    <w:uiPriority w:val="99"/>
    <w:rsid w:val="0094086E"/>
  </w:style>
  <w:style w:type="paragraph" w:customStyle="1" w:styleId="StyleChaptertitleNonToutenmajuscule">
    <w:name w:val="Style Chapter title + Non Tout en majuscule"/>
    <w:basedOn w:val="Normal"/>
    <w:link w:val="StyleChaptertitleNonToutenmajusculeCar"/>
    <w:rsid w:val="0094086E"/>
    <w:pPr>
      <w:pBdr>
        <w:bottom w:val="single" w:sz="6" w:space="6" w:color="auto"/>
      </w:pBdr>
      <w:spacing w:after="480" w:line="240" w:lineRule="auto"/>
      <w:jc w:val="center"/>
    </w:pPr>
    <w:rPr>
      <w:rFonts w:ascii="Ottawa" w:eastAsia="MS Mincho" w:hAnsi="Ottawa" w:cs="Times New Roman"/>
      <w:b/>
      <w:spacing w:val="40"/>
      <w:sz w:val="32"/>
      <w:szCs w:val="20"/>
      <w:lang w:val="en-US"/>
    </w:rPr>
  </w:style>
  <w:style w:type="character" w:customStyle="1" w:styleId="StyleChaptertitleNonToutenmajusculeCar">
    <w:name w:val="Style Chapter title + Non Tout en majuscule Car"/>
    <w:link w:val="StyleChaptertitleNonToutenmajuscule"/>
    <w:locked/>
    <w:rsid w:val="0094086E"/>
    <w:rPr>
      <w:rFonts w:ascii="Ottawa" w:eastAsia="MS Mincho" w:hAnsi="Ottawa" w:cs="Times New Roman"/>
      <w:b/>
      <w:spacing w:val="40"/>
      <w:sz w:val="32"/>
      <w:szCs w:val="20"/>
    </w:rPr>
  </w:style>
  <w:style w:type="paragraph" w:customStyle="1" w:styleId="StyleText1111bulletLatin9ptLatinGras">
    <w:name w:val="Style Text 1.1.1.1 bullet + (Latin) 9 pt (Latin) Gras"/>
    <w:basedOn w:val="Normal"/>
    <w:link w:val="StyleText1111bulletLatin9ptLatinGrasCar"/>
    <w:rsid w:val="0094086E"/>
    <w:pPr>
      <w:spacing w:after="240" w:line="240" w:lineRule="auto"/>
      <w:ind w:left="1560" w:hanging="284"/>
      <w:jc w:val="both"/>
    </w:pPr>
    <w:rPr>
      <w:rFonts w:ascii="Garamond" w:hAnsi="Garamond"/>
      <w:b/>
      <w:sz w:val="18"/>
      <w:lang w:val="en-IE" w:eastAsia="fr-FR"/>
    </w:rPr>
  </w:style>
  <w:style w:type="paragraph" w:customStyle="1" w:styleId="StyleTitle5aTradeGothicItalique">
    <w:name w:val="Style Title 5a + TradeGothic Italique"/>
    <w:basedOn w:val="Title5a"/>
    <w:rsid w:val="0094086E"/>
    <w:rPr>
      <w:rFonts w:ascii="TradeGothic" w:hAnsi="TradeGothic"/>
      <w:bCs w:val="0"/>
      <w:i w:val="0"/>
      <w:iCs/>
      <w:szCs w:val="20"/>
    </w:rPr>
  </w:style>
  <w:style w:type="paragraph" w:customStyle="1" w:styleId="StyleTitre2Aprs10pt">
    <w:name w:val="Style Titre 2 + Après : 10 pt"/>
    <w:basedOn w:val="Titre2"/>
    <w:rsid w:val="0094086E"/>
    <w:pPr>
      <w:keepNext w:val="0"/>
      <w:keepLines w:val="0"/>
      <w:tabs>
        <w:tab w:val="num" w:pos="360"/>
      </w:tabs>
      <w:spacing w:before="0" w:after="200" w:line="240" w:lineRule="auto"/>
      <w:ind w:left="850" w:hanging="425"/>
      <w:contextualSpacing/>
    </w:pPr>
    <w:rPr>
      <w:rFonts w:ascii="Ottawa" w:eastAsia="Times New Roman" w:hAnsi="Ottawa" w:cs="Times New Roman"/>
      <w:b/>
      <w:bCs/>
      <w:szCs w:val="20"/>
      <w:lang w:val="en-US" w:eastAsia="fr-FR" w:bidi="en-US"/>
    </w:rPr>
  </w:style>
  <w:style w:type="paragraph" w:customStyle="1" w:styleId="StyleTitre5Arial">
    <w:name w:val="Style Titre 5 + Arial"/>
    <w:basedOn w:val="Titre5"/>
    <w:uiPriority w:val="99"/>
    <w:rsid w:val="0094086E"/>
    <w:pPr>
      <w:keepNext w:val="0"/>
      <w:keepLines w:val="0"/>
      <w:numPr>
        <w:ilvl w:val="0"/>
        <w:numId w:val="0"/>
      </w:numPr>
      <w:tabs>
        <w:tab w:val="num" w:pos="360"/>
      </w:tabs>
      <w:spacing w:before="0" w:after="120" w:line="240" w:lineRule="auto"/>
      <w:ind w:left="360" w:hanging="360"/>
    </w:pPr>
    <w:rPr>
      <w:rFonts w:ascii="Ottawa" w:eastAsia="MS Mincho" w:hAnsi="Ottawa" w:cs="Times New Roman"/>
      <w:i/>
      <w:iCs/>
      <w:color w:val="auto"/>
      <w:sz w:val="18"/>
      <w:szCs w:val="18"/>
      <w:lang w:val="en-US"/>
    </w:rPr>
  </w:style>
  <w:style w:type="paragraph" w:customStyle="1" w:styleId="StyleTitreOTTAWACentr">
    <w:name w:val="Style Titre OTTAWA + Centré"/>
    <w:uiPriority w:val="99"/>
    <w:rsid w:val="0094086E"/>
    <w:pPr>
      <w:spacing w:after="480" w:line="240" w:lineRule="auto"/>
      <w:jc w:val="center"/>
      <w:outlineLvl w:val="3"/>
    </w:pPr>
    <w:rPr>
      <w:rFonts w:ascii="Helvetica Neue" w:eastAsia="Calibri" w:hAnsi="Helvetica Neue" w:cs="Times New Roman"/>
      <w:b/>
      <w:color w:val="444444"/>
      <w:sz w:val="28"/>
      <w:szCs w:val="20"/>
      <w:lang w:val="fr-FR" w:eastAsia="en-GB"/>
    </w:rPr>
  </w:style>
  <w:style w:type="character" w:customStyle="1" w:styleId="style2">
    <w:name w:val="style2"/>
    <w:basedOn w:val="Policepardfaut"/>
    <w:rsid w:val="0094086E"/>
  </w:style>
  <w:style w:type="paragraph" w:customStyle="1" w:styleId="style4">
    <w:name w:val="style4"/>
    <w:basedOn w:val="Normal"/>
    <w:rsid w:val="0094086E"/>
    <w:pPr>
      <w:spacing w:before="100" w:beforeAutospacing="1" w:after="100" w:afterAutospacing="1" w:line="240" w:lineRule="auto"/>
    </w:pPr>
    <w:rPr>
      <w:rFonts w:eastAsia="Times New Roman" w:cs="Times New Roman"/>
      <w:sz w:val="24"/>
      <w:szCs w:val="24"/>
      <w:lang w:eastAsia="en-GB"/>
    </w:rPr>
  </w:style>
  <w:style w:type="paragraph" w:customStyle="1" w:styleId="style-liste-0">
    <w:name w:val="style-liste-0"/>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style-liste-1">
    <w:name w:val="style-liste-1"/>
    <w:basedOn w:val="Normal"/>
    <w:rsid w:val="0094086E"/>
    <w:pPr>
      <w:spacing w:before="100" w:beforeAutospacing="1" w:after="100" w:afterAutospacing="1" w:line="240" w:lineRule="auto"/>
    </w:pPr>
    <w:rPr>
      <w:rFonts w:eastAsia="Times New Roman" w:cs="Times New Roman"/>
      <w:sz w:val="24"/>
      <w:szCs w:val="24"/>
      <w:lang w:val="fr-FR" w:eastAsia="fr-FR"/>
    </w:rPr>
  </w:style>
  <w:style w:type="table" w:customStyle="1" w:styleId="TableGrid1">
    <w:name w:val="Table Grid1"/>
    <w:basedOn w:val="TableauNormal"/>
    <w:next w:val="Grilledutableau"/>
    <w:uiPriority w:val="39"/>
    <w:rsid w:val="0094086E"/>
    <w:pPr>
      <w:widowControl w:val="0"/>
      <w:spacing w:after="240" w:line="240" w:lineRule="auto"/>
      <w:jc w:val="both"/>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a">
    <w:name w:val="texta)"/>
    <w:basedOn w:val="Normal"/>
    <w:uiPriority w:val="99"/>
    <w:rsid w:val="0094086E"/>
    <w:pPr>
      <w:spacing w:after="240" w:line="240" w:lineRule="auto"/>
      <w:ind w:left="993"/>
      <w:jc w:val="both"/>
    </w:pPr>
    <w:rPr>
      <w:rFonts w:ascii="Garamond" w:eastAsia="MS Mincho" w:hAnsi="Garamond" w:cs="Times New Roman"/>
      <w:lang w:val="fr-FR" w:eastAsia="fr-FR"/>
    </w:rPr>
  </w:style>
  <w:style w:type="character" w:customStyle="1" w:styleId="PlainTextChar1">
    <w:name w:val="Plain Text Char1"/>
    <w:uiPriority w:val="99"/>
    <w:rsid w:val="0094086E"/>
    <w:rPr>
      <w:rFonts w:ascii="Consolas" w:eastAsia="Times New Roman" w:hAnsi="Consolas" w:cs="Consolas"/>
      <w:sz w:val="21"/>
      <w:szCs w:val="21"/>
      <w:lang w:val="en-GB"/>
    </w:rPr>
  </w:style>
  <w:style w:type="paragraph" w:customStyle="1" w:styleId="Timespbasegras">
    <w:name w:val="Times p_base gras"/>
    <w:basedOn w:val="Normal"/>
    <w:qFormat/>
    <w:rsid w:val="0094086E"/>
    <w:pPr>
      <w:widowControl w:val="0"/>
      <w:tabs>
        <w:tab w:val="left" w:pos="426"/>
      </w:tabs>
      <w:suppressAutoHyphens/>
      <w:spacing w:after="240" w:line="276" w:lineRule="auto"/>
      <w:ind w:left="425" w:hanging="425"/>
      <w:jc w:val="both"/>
    </w:pPr>
    <w:rPr>
      <w:rFonts w:ascii="Calibri" w:eastAsia="Calibri" w:hAnsi="Calibri" w:cs="Times New Roman"/>
      <w:b/>
      <w:lang w:val="fr-FR"/>
    </w:rPr>
  </w:style>
  <w:style w:type="paragraph" w:customStyle="1" w:styleId="paramargebold">
    <w:name w:val="paramarge bold"/>
    <w:basedOn w:val="Normal"/>
    <w:uiPriority w:val="99"/>
    <w:rsid w:val="0094086E"/>
    <w:pPr>
      <w:spacing w:after="240" w:line="240" w:lineRule="auto"/>
      <w:jc w:val="both"/>
    </w:pPr>
    <w:rPr>
      <w:rFonts w:eastAsia="Times New Roman" w:cs="Calibri"/>
      <w:b/>
    </w:rPr>
  </w:style>
  <w:style w:type="paragraph" w:customStyle="1" w:styleId="paramarge20">
    <w:name w:val="paramarge2"/>
    <w:basedOn w:val="para2"/>
    <w:link w:val="paramarge2Car"/>
    <w:qFormat/>
    <w:rsid w:val="0094086E"/>
    <w:pPr>
      <w:pBdr>
        <w:top w:val="none" w:sz="0" w:space="0" w:color="auto"/>
        <w:left w:val="none" w:sz="0" w:space="0" w:color="auto"/>
        <w:bottom w:val="none" w:sz="0" w:space="0" w:color="auto"/>
        <w:right w:val="none" w:sz="0" w:space="0" w:color="auto"/>
        <w:between w:val="none" w:sz="0" w:space="0" w:color="auto"/>
        <w:bar w:val="none" w:sz="0" w:color="auto"/>
      </w:pBdr>
      <w:ind w:left="425" w:firstLine="0"/>
    </w:pPr>
    <w:rPr>
      <w:rFonts w:ascii="Times New Roman" w:eastAsia="MS Mincho" w:hAnsi="Times New Roman" w:cs="Times New Roman"/>
      <w:b w:val="0"/>
      <w:bCs w:val="0"/>
      <w:color w:val="auto"/>
      <w:sz w:val="20"/>
      <w:szCs w:val="20"/>
      <w:bdr w:val="none" w:sz="0" w:space="0" w:color="auto"/>
      <w:lang w:val="en-GB" w:eastAsia="fr-FR"/>
    </w:rPr>
  </w:style>
  <w:style w:type="character" w:customStyle="1" w:styleId="paramarge2Car">
    <w:name w:val="paramarge2 Car"/>
    <w:link w:val="paramarge20"/>
    <w:rsid w:val="0094086E"/>
    <w:rPr>
      <w:rFonts w:ascii="Times New Roman" w:eastAsia="MS Mincho" w:hAnsi="Times New Roman" w:cs="Times New Roman"/>
      <w:sz w:val="20"/>
      <w:szCs w:val="20"/>
      <w:u w:color="000000"/>
      <w:lang w:val="en-GB" w:eastAsia="fr-FR"/>
    </w:rPr>
  </w:style>
  <w:style w:type="paragraph" w:customStyle="1" w:styleId="paramarge3">
    <w:name w:val="paramarge3"/>
    <w:basedOn w:val="paramarge2"/>
    <w:qFormat/>
    <w:rsid w:val="0094086E"/>
    <w:pPr>
      <w:ind w:left="992"/>
    </w:pPr>
  </w:style>
  <w:style w:type="paragraph" w:customStyle="1" w:styleId="CarCar2Char">
    <w:name w:val="Car Car2 Char"/>
    <w:basedOn w:val="Normal"/>
    <w:rsid w:val="0094086E"/>
    <w:pPr>
      <w:spacing w:line="240" w:lineRule="exact"/>
    </w:pPr>
    <w:rPr>
      <w:rFonts w:ascii="Tahoma" w:eastAsia="Times New Roman" w:hAnsi="Tahoma" w:cs="Times New Roman"/>
      <w:szCs w:val="20"/>
      <w:lang w:val="en-US"/>
    </w:rPr>
  </w:style>
  <w:style w:type="paragraph" w:customStyle="1" w:styleId="nom">
    <w:name w:val="nom"/>
    <w:basedOn w:val="Normal"/>
    <w:rsid w:val="0094086E"/>
    <w:pPr>
      <w:keepNext/>
      <w:widowControl w:val="0"/>
      <w:suppressAutoHyphens/>
      <w:overflowPunct w:val="0"/>
      <w:autoSpaceDE w:val="0"/>
      <w:spacing w:after="0" w:line="240" w:lineRule="auto"/>
    </w:pPr>
    <w:rPr>
      <w:rFonts w:ascii="GeoSlab703 XBd BT" w:eastAsia="MS Mincho" w:hAnsi="GeoSlab703 XBd BT" w:cs="Times New Roman"/>
      <w:b/>
      <w:szCs w:val="20"/>
      <w:lang w:eastAsia="ar-SA"/>
    </w:rPr>
  </w:style>
  <w:style w:type="paragraph" w:customStyle="1" w:styleId="CarCar1CharCarCar">
    <w:name w:val="Car Car1 Char Car Car"/>
    <w:basedOn w:val="Normal"/>
    <w:rsid w:val="0094086E"/>
    <w:pPr>
      <w:spacing w:line="240" w:lineRule="exact"/>
    </w:pPr>
    <w:rPr>
      <w:rFonts w:ascii="Tahoma" w:eastAsia="Times New Roman" w:hAnsi="Tahoma" w:cs="Times New Roman"/>
      <w:szCs w:val="20"/>
      <w:lang w:val="en-US"/>
    </w:rPr>
  </w:style>
  <w:style w:type="character" w:customStyle="1" w:styleId="Absatz-Standardschriftart">
    <w:name w:val="Absatz-Standardschriftart"/>
    <w:rsid w:val="0094086E"/>
  </w:style>
  <w:style w:type="character" w:customStyle="1" w:styleId="WW-Absatz-Standardschriftart">
    <w:name w:val="WW-Absatz-Standardschriftart"/>
    <w:rsid w:val="0094086E"/>
  </w:style>
  <w:style w:type="character" w:customStyle="1" w:styleId="WW-Absatz-Standardschriftart1">
    <w:name w:val="WW-Absatz-Standardschriftart1"/>
    <w:rsid w:val="0094086E"/>
  </w:style>
  <w:style w:type="character" w:customStyle="1" w:styleId="WW-Absatz-Standardschriftart11">
    <w:name w:val="WW-Absatz-Standardschriftart11"/>
    <w:rsid w:val="0094086E"/>
  </w:style>
  <w:style w:type="character" w:customStyle="1" w:styleId="WW-Absatz-Standardschriftart111">
    <w:name w:val="WW-Absatz-Standardschriftart111"/>
    <w:rsid w:val="0094086E"/>
  </w:style>
  <w:style w:type="character" w:customStyle="1" w:styleId="WW-Absatz-Standardschriftart1111">
    <w:name w:val="WW-Absatz-Standardschriftart1111"/>
    <w:rsid w:val="0094086E"/>
  </w:style>
  <w:style w:type="character" w:customStyle="1" w:styleId="WW-Absatz-Standardschriftart11111">
    <w:name w:val="WW-Absatz-Standardschriftart11111"/>
    <w:rsid w:val="0094086E"/>
  </w:style>
  <w:style w:type="character" w:customStyle="1" w:styleId="FootnoteCharacters">
    <w:name w:val="Footnote Characters"/>
    <w:rsid w:val="0094086E"/>
    <w:rPr>
      <w:vertAlign w:val="superscript"/>
    </w:rPr>
  </w:style>
  <w:style w:type="paragraph" w:customStyle="1" w:styleId="CarCar1CharCarCarCharCharCarCarCharCarCar">
    <w:name w:val="Car Car1 Char Car Car Char Char Car Car Char Car Car"/>
    <w:basedOn w:val="Normal"/>
    <w:rsid w:val="0094086E"/>
    <w:pPr>
      <w:suppressAutoHyphens/>
      <w:spacing w:line="240" w:lineRule="exact"/>
    </w:pPr>
    <w:rPr>
      <w:rFonts w:ascii="Tahoma" w:eastAsia="Times New Roman" w:hAnsi="Tahoma" w:cs="Times New Roman"/>
      <w:szCs w:val="20"/>
      <w:lang w:val="en-US" w:eastAsia="ar-SA"/>
    </w:rPr>
  </w:style>
  <w:style w:type="paragraph" w:customStyle="1" w:styleId="TableContents">
    <w:name w:val="Table Contents"/>
    <w:basedOn w:val="Normal"/>
    <w:rsid w:val="0094086E"/>
    <w:pPr>
      <w:suppressLineNumbers/>
      <w:suppressAutoHyphens/>
      <w:spacing w:after="0" w:line="240" w:lineRule="auto"/>
    </w:pPr>
    <w:rPr>
      <w:rFonts w:eastAsia="MS Mincho" w:cs="Times New Roman"/>
      <w:sz w:val="24"/>
      <w:szCs w:val="24"/>
      <w:lang w:val="en-US" w:eastAsia="ar-SA"/>
    </w:rPr>
  </w:style>
  <w:style w:type="paragraph" w:customStyle="1" w:styleId="TableHeading">
    <w:name w:val="Table Heading"/>
    <w:basedOn w:val="TableContents"/>
    <w:rsid w:val="0094086E"/>
    <w:pPr>
      <w:jc w:val="center"/>
    </w:pPr>
    <w:rPr>
      <w:b/>
      <w:bCs/>
    </w:rPr>
  </w:style>
  <w:style w:type="paragraph" w:customStyle="1" w:styleId="CharChar1">
    <w:name w:val="Char Char1"/>
    <w:basedOn w:val="Normal"/>
    <w:rsid w:val="0094086E"/>
    <w:pPr>
      <w:spacing w:line="240" w:lineRule="exact"/>
    </w:pPr>
    <w:rPr>
      <w:rFonts w:ascii="Tahoma" w:eastAsia="Times New Roman" w:hAnsi="Tahoma" w:cs="Times New Roman"/>
      <w:szCs w:val="20"/>
      <w:lang w:val="en-US"/>
    </w:rPr>
  </w:style>
  <w:style w:type="paragraph" w:customStyle="1" w:styleId="CharCharCarCarCharChar1">
    <w:name w:val="Char Char Car Car Char Char1"/>
    <w:basedOn w:val="Normal"/>
    <w:rsid w:val="0094086E"/>
    <w:pPr>
      <w:spacing w:after="0" w:line="240" w:lineRule="auto"/>
    </w:pPr>
    <w:rPr>
      <w:rFonts w:ascii="Arial" w:eastAsia="Times New Roman" w:hAnsi="Arial" w:cs="Times New Roman"/>
      <w:szCs w:val="20"/>
      <w:lang w:val="en-AU"/>
    </w:rPr>
  </w:style>
  <w:style w:type="paragraph" w:customStyle="1" w:styleId="CharChar">
    <w:name w:val="Char Char"/>
    <w:basedOn w:val="Normal"/>
    <w:rsid w:val="0094086E"/>
    <w:pPr>
      <w:spacing w:line="240" w:lineRule="exact"/>
    </w:pPr>
    <w:rPr>
      <w:rFonts w:ascii="Tahoma" w:eastAsia="Times New Roman" w:hAnsi="Tahoma" w:cs="Times New Roman"/>
      <w:szCs w:val="20"/>
      <w:lang w:val="en-US"/>
    </w:rPr>
  </w:style>
  <w:style w:type="paragraph" w:customStyle="1" w:styleId="CarCarCharCarCar1Char">
    <w:name w:val="Car Car Char Car Car1 Char"/>
    <w:basedOn w:val="Normal"/>
    <w:rsid w:val="0094086E"/>
    <w:pPr>
      <w:spacing w:line="240" w:lineRule="exact"/>
    </w:pPr>
    <w:rPr>
      <w:rFonts w:ascii="Tahoma" w:eastAsia="Times New Roman" w:hAnsi="Tahoma" w:cs="Times New Roman"/>
      <w:szCs w:val="20"/>
      <w:lang w:val="en-US"/>
    </w:rPr>
  </w:style>
  <w:style w:type="paragraph" w:customStyle="1" w:styleId="Heading2">
    <w:name w:val="Heading2"/>
    <w:basedOn w:val="Normal"/>
    <w:link w:val="Heading2Char"/>
    <w:qFormat/>
    <w:rsid w:val="0094086E"/>
    <w:pPr>
      <w:spacing w:before="120" w:after="120" w:line="240" w:lineRule="auto"/>
      <w:ind w:left="425"/>
      <w:jc w:val="both"/>
    </w:pPr>
    <w:rPr>
      <w:rFonts w:eastAsia="Times New Roman" w:cs="Times New Roman"/>
      <w:b/>
      <w:szCs w:val="20"/>
      <w:lang w:val="x-none"/>
    </w:rPr>
  </w:style>
  <w:style w:type="character" w:customStyle="1" w:styleId="Heading2Char">
    <w:name w:val="Heading2 Char"/>
    <w:link w:val="Heading2"/>
    <w:rsid w:val="0094086E"/>
    <w:rPr>
      <w:rFonts w:ascii="Times New Roman" w:eastAsia="Times New Roman" w:hAnsi="Times New Roman" w:cs="Times New Roman"/>
      <w:b/>
      <w:sz w:val="20"/>
      <w:szCs w:val="20"/>
      <w:lang w:val="x-none"/>
    </w:rPr>
  </w:style>
  <w:style w:type="character" w:customStyle="1" w:styleId="degree">
    <w:name w:val="degree"/>
    <w:basedOn w:val="Policepardfaut"/>
    <w:rsid w:val="0094086E"/>
  </w:style>
  <w:style w:type="paragraph" w:customStyle="1" w:styleId="a1">
    <w:name w:val="a)"/>
    <w:basedOn w:val="Normal"/>
    <w:rsid w:val="0094086E"/>
    <w:pPr>
      <w:spacing w:before="120" w:after="120" w:line="240" w:lineRule="auto"/>
      <w:ind w:left="1134" w:hanging="283"/>
      <w:jc w:val="both"/>
    </w:pPr>
    <w:rPr>
      <w:rFonts w:eastAsia="Times New Roman" w:cs="Times New Roman"/>
      <w:b/>
      <w:szCs w:val="20"/>
    </w:rPr>
  </w:style>
  <w:style w:type="paragraph" w:customStyle="1" w:styleId="article0">
    <w:name w:val="article"/>
    <w:basedOn w:val="Normal"/>
    <w:autoRedefine/>
    <w:rsid w:val="0094086E"/>
    <w:pPr>
      <w:overflowPunct w:val="0"/>
      <w:autoSpaceDE w:val="0"/>
      <w:autoSpaceDN w:val="0"/>
      <w:adjustRightInd w:val="0"/>
      <w:spacing w:before="120" w:after="240" w:line="240" w:lineRule="atLeast"/>
      <w:ind w:left="425"/>
      <w:jc w:val="center"/>
      <w:textAlignment w:val="baseline"/>
    </w:pPr>
    <w:rPr>
      <w:rFonts w:ascii="Ottawa" w:eastAsia="Times New Roman" w:hAnsi="Ottawa" w:cs="Times New Roman"/>
      <w:sz w:val="18"/>
      <w:szCs w:val="20"/>
    </w:rPr>
  </w:style>
  <w:style w:type="paragraph" w:customStyle="1" w:styleId="BaseSoulignement">
    <w:name w:val="Base + Soulignement"/>
    <w:basedOn w:val="Base"/>
    <w:rsid w:val="0094086E"/>
    <w:pPr>
      <w:overflowPunct w:val="0"/>
      <w:autoSpaceDE w:val="0"/>
      <w:autoSpaceDN w:val="0"/>
      <w:adjustRightInd w:val="0"/>
      <w:textAlignment w:val="baseline"/>
    </w:pPr>
    <w:rPr>
      <w:rFonts w:ascii="Garamond" w:hAnsi="Garamond"/>
      <w:noProof/>
      <w:color w:val="auto"/>
      <w:sz w:val="22"/>
      <w:u w:val="single"/>
      <w:lang w:eastAsia="ja-JP"/>
    </w:rPr>
  </w:style>
  <w:style w:type="paragraph" w:customStyle="1" w:styleId="BasegrasSoulignement">
    <w:name w:val="Base gras + Soulignement"/>
    <w:basedOn w:val="Basegras"/>
    <w:rsid w:val="0094086E"/>
    <w:pPr>
      <w:overflowPunct w:val="0"/>
      <w:autoSpaceDE w:val="0"/>
      <w:autoSpaceDN w:val="0"/>
      <w:adjustRightInd w:val="0"/>
      <w:textAlignment w:val="baseline"/>
    </w:pPr>
    <w:rPr>
      <w:rFonts w:ascii="Garamond" w:hAnsi="Garamond"/>
      <w:b w:val="0"/>
      <w:noProof/>
      <w:color w:val="auto"/>
      <w:sz w:val="22"/>
      <w:u w:val="single"/>
      <w:lang w:eastAsia="ja-JP"/>
    </w:rPr>
  </w:style>
  <w:style w:type="paragraph" w:customStyle="1" w:styleId="Base2">
    <w:name w:val="Base2"/>
    <w:autoRedefine/>
    <w:rsid w:val="0094086E"/>
    <w:pPr>
      <w:overflowPunct w:val="0"/>
      <w:autoSpaceDE w:val="0"/>
      <w:autoSpaceDN w:val="0"/>
      <w:adjustRightInd w:val="0"/>
      <w:spacing w:after="200" w:line="200" w:lineRule="atLeast"/>
      <w:ind w:left="851"/>
      <w:jc w:val="both"/>
      <w:textAlignment w:val="baseline"/>
    </w:pPr>
    <w:rPr>
      <w:rFonts w:ascii="Garamond" w:eastAsia="Times New Roman" w:hAnsi="Garamond" w:cs="Times New Roman"/>
      <w:noProof/>
      <w:szCs w:val="20"/>
      <w:lang w:val="fr-FR" w:eastAsia="ja-JP"/>
    </w:rPr>
  </w:style>
  <w:style w:type="paragraph" w:customStyle="1" w:styleId="Base3">
    <w:name w:val="Base3"/>
    <w:autoRedefine/>
    <w:rsid w:val="0094086E"/>
    <w:pPr>
      <w:overflowPunct w:val="0"/>
      <w:autoSpaceDE w:val="0"/>
      <w:autoSpaceDN w:val="0"/>
      <w:adjustRightInd w:val="0"/>
      <w:spacing w:after="200" w:line="200" w:lineRule="atLeast"/>
      <w:ind w:left="1276"/>
      <w:jc w:val="both"/>
      <w:textAlignment w:val="baseline"/>
    </w:pPr>
    <w:rPr>
      <w:rFonts w:ascii="Garamond" w:eastAsia="Times New Roman" w:hAnsi="Garamond" w:cs="Times New Roman"/>
      <w:noProof/>
      <w:szCs w:val="20"/>
      <w:lang w:val="fr-FR" w:eastAsia="ja-JP"/>
    </w:rPr>
  </w:style>
  <w:style w:type="paragraph" w:customStyle="1" w:styleId="Base4">
    <w:name w:val="Base4"/>
    <w:autoRedefine/>
    <w:rsid w:val="0094086E"/>
    <w:pPr>
      <w:overflowPunct w:val="0"/>
      <w:autoSpaceDE w:val="0"/>
      <w:autoSpaceDN w:val="0"/>
      <w:adjustRightInd w:val="0"/>
      <w:spacing w:after="200" w:line="200" w:lineRule="atLeast"/>
      <w:ind w:left="1701"/>
      <w:jc w:val="both"/>
      <w:textAlignment w:val="baseline"/>
    </w:pPr>
    <w:rPr>
      <w:rFonts w:ascii="Garamond" w:eastAsia="Times New Roman" w:hAnsi="Garamond" w:cs="Times New Roman"/>
      <w:noProof/>
      <w:szCs w:val="20"/>
      <w:lang w:val="fr-FR" w:eastAsia="ja-JP"/>
    </w:rPr>
  </w:style>
  <w:style w:type="paragraph" w:customStyle="1" w:styleId="Base5">
    <w:name w:val="Base5"/>
    <w:autoRedefine/>
    <w:rsid w:val="0094086E"/>
    <w:pPr>
      <w:overflowPunct w:val="0"/>
      <w:autoSpaceDE w:val="0"/>
      <w:autoSpaceDN w:val="0"/>
      <w:adjustRightInd w:val="0"/>
      <w:spacing w:after="200" w:line="200" w:lineRule="atLeast"/>
      <w:ind w:left="2126"/>
      <w:jc w:val="both"/>
      <w:textAlignment w:val="baseline"/>
    </w:pPr>
    <w:rPr>
      <w:rFonts w:ascii="Garamond" w:eastAsia="Times New Roman" w:hAnsi="Garamond" w:cs="Times New Roman"/>
      <w:noProof/>
      <w:szCs w:val="20"/>
      <w:lang w:val="fr-FR" w:eastAsia="ja-JP"/>
    </w:rPr>
  </w:style>
  <w:style w:type="paragraph" w:customStyle="1" w:styleId="basic">
    <w:name w:val="basic"/>
    <w:basedOn w:val="Normal"/>
    <w:autoRedefine/>
    <w:rsid w:val="0094086E"/>
    <w:pPr>
      <w:widowControl w:val="0"/>
      <w:suppressAutoHyphens/>
      <w:spacing w:before="120" w:after="240" w:line="240" w:lineRule="auto"/>
      <w:ind w:left="425"/>
      <w:jc w:val="both"/>
    </w:pPr>
    <w:rPr>
      <w:rFonts w:ascii="Arial" w:eastAsia="Times New Roman" w:hAnsi="Arial" w:cs="Arial"/>
      <w:szCs w:val="20"/>
      <w:lang w:eastAsia="ar-SA"/>
    </w:rPr>
  </w:style>
  <w:style w:type="character" w:customStyle="1" w:styleId="NumberingSymbols">
    <w:name w:val="Numbering Symbols"/>
    <w:rsid w:val="0094086E"/>
  </w:style>
  <w:style w:type="paragraph" w:customStyle="1" w:styleId="citation">
    <w:name w:val="citation"/>
    <w:basedOn w:val="Normal"/>
    <w:rsid w:val="0094086E"/>
    <w:pPr>
      <w:spacing w:before="100" w:beforeAutospacing="1" w:after="100" w:afterAutospacing="1" w:line="240" w:lineRule="auto"/>
      <w:ind w:left="425"/>
    </w:pPr>
    <w:rPr>
      <w:rFonts w:eastAsia="Calibri" w:cs="Times New Roman"/>
      <w:sz w:val="24"/>
      <w:szCs w:val="24"/>
      <w:lang w:val="en-US"/>
    </w:rPr>
  </w:style>
  <w:style w:type="paragraph" w:customStyle="1" w:styleId="authlist">
    <w:name w:val="auth_list"/>
    <w:basedOn w:val="Normal"/>
    <w:rsid w:val="0094086E"/>
    <w:pPr>
      <w:spacing w:before="100" w:beforeAutospacing="1" w:after="100" w:afterAutospacing="1" w:line="240" w:lineRule="auto"/>
      <w:ind w:left="425"/>
    </w:pPr>
    <w:rPr>
      <w:rFonts w:eastAsia="Calibri" w:cs="Times New Roman"/>
      <w:sz w:val="24"/>
      <w:szCs w:val="24"/>
      <w:lang w:val="en-US"/>
    </w:rPr>
  </w:style>
  <w:style w:type="paragraph" w:customStyle="1" w:styleId="pBase3">
    <w:name w:val="p_Base3"/>
    <w:next w:val="Normal"/>
    <w:autoRedefine/>
    <w:rsid w:val="0094086E"/>
    <w:pPr>
      <w:overflowPunct w:val="0"/>
      <w:autoSpaceDE w:val="0"/>
      <w:autoSpaceDN w:val="0"/>
      <w:adjustRightInd w:val="0"/>
      <w:spacing w:after="200" w:line="200" w:lineRule="atLeast"/>
      <w:ind w:left="1701" w:hanging="425"/>
      <w:jc w:val="both"/>
      <w:textAlignment w:val="baseline"/>
    </w:pPr>
    <w:rPr>
      <w:rFonts w:ascii="Garamond" w:eastAsia="Times New Roman" w:hAnsi="Garamond" w:cs="Times New Roman"/>
      <w:noProof/>
      <w:szCs w:val="20"/>
      <w:lang w:val="fr-FR" w:eastAsia="ja-JP"/>
    </w:rPr>
  </w:style>
  <w:style w:type="paragraph" w:customStyle="1" w:styleId="pBase4">
    <w:name w:val="p_Base4"/>
    <w:next w:val="Normal"/>
    <w:autoRedefine/>
    <w:rsid w:val="0094086E"/>
    <w:pPr>
      <w:overflowPunct w:val="0"/>
      <w:autoSpaceDE w:val="0"/>
      <w:autoSpaceDN w:val="0"/>
      <w:adjustRightInd w:val="0"/>
      <w:spacing w:after="200" w:line="200" w:lineRule="atLeast"/>
      <w:ind w:left="2126" w:hanging="425"/>
      <w:jc w:val="both"/>
      <w:textAlignment w:val="baseline"/>
    </w:pPr>
    <w:rPr>
      <w:rFonts w:ascii="Garamond" w:eastAsia="Times New Roman" w:hAnsi="Garamond" w:cs="Times New Roman"/>
      <w:noProof/>
      <w:szCs w:val="20"/>
      <w:lang w:val="fr-FR" w:eastAsia="ja-JP"/>
    </w:rPr>
  </w:style>
  <w:style w:type="paragraph" w:customStyle="1" w:styleId="pBase5">
    <w:name w:val="p_Base5"/>
    <w:autoRedefine/>
    <w:rsid w:val="0094086E"/>
    <w:pPr>
      <w:overflowPunct w:val="0"/>
      <w:autoSpaceDE w:val="0"/>
      <w:autoSpaceDN w:val="0"/>
      <w:adjustRightInd w:val="0"/>
      <w:spacing w:after="200" w:line="200" w:lineRule="atLeast"/>
      <w:ind w:left="2551" w:hanging="425"/>
      <w:textAlignment w:val="baseline"/>
    </w:pPr>
    <w:rPr>
      <w:rFonts w:ascii="Garamond" w:eastAsia="Times New Roman" w:hAnsi="Garamond" w:cs="Times New Roman"/>
      <w:noProof/>
      <w:szCs w:val="20"/>
      <w:lang w:val="fr-FR" w:eastAsia="ja-JP"/>
    </w:rPr>
  </w:style>
  <w:style w:type="paragraph" w:customStyle="1" w:styleId="Partie">
    <w:name w:val="Partie"/>
    <w:next w:val="Normal"/>
    <w:rsid w:val="0094086E"/>
    <w:pPr>
      <w:overflowPunct w:val="0"/>
      <w:autoSpaceDE w:val="0"/>
      <w:autoSpaceDN w:val="0"/>
      <w:adjustRightInd w:val="0"/>
      <w:spacing w:before="720" w:after="480" w:line="240" w:lineRule="atLeast"/>
      <w:jc w:val="center"/>
      <w:textAlignment w:val="baseline"/>
    </w:pPr>
    <w:rPr>
      <w:rFonts w:ascii="Ottawa" w:eastAsia="Times New Roman" w:hAnsi="Ottawa" w:cs="Times New Roman"/>
      <w:b/>
      <w:noProof/>
      <w:spacing w:val="50"/>
      <w:sz w:val="28"/>
      <w:szCs w:val="20"/>
      <w:lang w:val="fr-FR" w:eastAsia="ja-JP"/>
    </w:rPr>
  </w:style>
  <w:style w:type="paragraph" w:customStyle="1" w:styleId="StyleBaseSoulignement">
    <w:name w:val="Style Base + Soulignement"/>
    <w:basedOn w:val="Base"/>
    <w:rsid w:val="0094086E"/>
    <w:pPr>
      <w:overflowPunct w:val="0"/>
      <w:autoSpaceDE w:val="0"/>
      <w:autoSpaceDN w:val="0"/>
      <w:adjustRightInd w:val="0"/>
      <w:textAlignment w:val="baseline"/>
    </w:pPr>
    <w:rPr>
      <w:rFonts w:ascii="Garamond" w:hAnsi="Garamond"/>
      <w:noProof/>
      <w:color w:val="auto"/>
      <w:sz w:val="22"/>
      <w:u w:val="single"/>
      <w:lang w:eastAsia="ja-JP"/>
    </w:rPr>
  </w:style>
  <w:style w:type="paragraph" w:customStyle="1" w:styleId="StyleBasegrasSoulignement">
    <w:name w:val="Style Base gras + Soulignement"/>
    <w:basedOn w:val="Basegras"/>
    <w:rsid w:val="0094086E"/>
    <w:pPr>
      <w:overflowPunct w:val="0"/>
      <w:autoSpaceDE w:val="0"/>
      <w:autoSpaceDN w:val="0"/>
      <w:adjustRightInd w:val="0"/>
      <w:textAlignment w:val="baseline"/>
    </w:pPr>
    <w:rPr>
      <w:rFonts w:ascii="Garamond" w:hAnsi="Garamond"/>
      <w:b w:val="0"/>
      <w:noProof/>
      <w:color w:val="auto"/>
      <w:sz w:val="22"/>
      <w:u w:val="single"/>
      <w:lang w:eastAsia="ja-JP"/>
    </w:rPr>
  </w:style>
  <w:style w:type="paragraph" w:customStyle="1" w:styleId="Style1">
    <w:name w:val="Style1"/>
    <w:basedOn w:val="pBase"/>
    <w:qFormat/>
    <w:rsid w:val="0094086E"/>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851"/>
      <w:textAlignment w:val="baseline"/>
    </w:pPr>
    <w:rPr>
      <w:rFonts w:ascii="Garamond" w:eastAsia="Times New Roman" w:hAnsi="Garamond" w:cs="Times New Roman"/>
      <w:b w:val="0"/>
      <w:bCs w:val="0"/>
      <w:noProof/>
      <w:color w:val="auto"/>
      <w:sz w:val="22"/>
      <w:bdr w:val="none" w:sz="0" w:space="0" w:color="auto"/>
      <w:lang w:val="fr-FR" w:eastAsia="ja-JP"/>
    </w:rPr>
  </w:style>
  <w:style w:type="paragraph" w:customStyle="1" w:styleId="TitreSectionI-I">
    <w:name w:val="Titre Section I-I"/>
    <w:basedOn w:val="pBase"/>
    <w:autoRedefine/>
    <w:rsid w:val="0094086E"/>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after="120"/>
      <w:ind w:left="1701" w:hanging="1701"/>
      <w:textAlignment w:val="baseline"/>
    </w:pPr>
    <w:rPr>
      <w:rFonts w:ascii="Garamond" w:eastAsia="Times New Roman" w:hAnsi="Garamond" w:cs="Arial"/>
      <w:b w:val="0"/>
      <w:bCs w:val="0"/>
      <w:noProof/>
      <w:color w:val="auto"/>
      <w:sz w:val="22"/>
      <w:szCs w:val="22"/>
      <w:bdr w:val="none" w:sz="0" w:space="0" w:color="auto"/>
      <w:lang w:val="en-GB" w:eastAsia="ja-JP"/>
    </w:rPr>
  </w:style>
  <w:style w:type="paragraph" w:customStyle="1" w:styleId="Titresection">
    <w:name w:val="Titre section"/>
    <w:aliases w:val="item"/>
    <w:basedOn w:val="Normal"/>
    <w:autoRedefine/>
    <w:rsid w:val="0094086E"/>
    <w:pPr>
      <w:suppressAutoHyphens/>
      <w:autoSpaceDE w:val="0"/>
      <w:spacing w:before="120" w:after="120" w:line="240" w:lineRule="auto"/>
      <w:ind w:left="1701" w:hanging="1701"/>
      <w:jc w:val="both"/>
    </w:pPr>
    <w:rPr>
      <w:rFonts w:ascii="Arial" w:eastAsia="Times New Roman" w:hAnsi="Arial" w:cs="Arial"/>
      <w:lang w:eastAsia="ar-SA"/>
    </w:rPr>
  </w:style>
  <w:style w:type="paragraph" w:customStyle="1" w:styleId="TitreIntercalaire">
    <w:name w:val="Titre_Intercalaire"/>
    <w:autoRedefine/>
    <w:rsid w:val="0094086E"/>
    <w:pPr>
      <w:numPr>
        <w:numId w:val="20"/>
      </w:numPr>
      <w:spacing w:after="240" w:line="240" w:lineRule="auto"/>
      <w:jc w:val="center"/>
    </w:pPr>
    <w:rPr>
      <w:rFonts w:ascii="TradeGothic BoldCondTwenty" w:eastAsia="Times New Roman" w:hAnsi="TradeGothic BoldCondTwenty" w:cs="Times New Roman"/>
      <w:bCs/>
      <w:color w:val="000000"/>
      <w:sz w:val="48"/>
      <w:szCs w:val="48"/>
      <w:lang w:val="en-GB"/>
    </w:rPr>
  </w:style>
  <w:style w:type="paragraph" w:customStyle="1" w:styleId="Timespbase1gras">
    <w:name w:val="Times p_base1 gras"/>
    <w:basedOn w:val="Paragraphedeliste"/>
    <w:qFormat/>
    <w:rsid w:val="0094086E"/>
    <w:pPr>
      <w:spacing w:before="120" w:after="240" w:line="240" w:lineRule="auto"/>
      <w:ind w:left="850" w:hanging="425"/>
      <w:jc w:val="both"/>
    </w:pPr>
    <w:rPr>
      <w:rFonts w:eastAsia="Times New Roman" w:cs="Times New Roman"/>
      <w:b/>
      <w:szCs w:val="20"/>
    </w:rPr>
  </w:style>
  <w:style w:type="paragraph" w:customStyle="1" w:styleId="Startlist">
    <w:name w:val="Start list"/>
    <w:basedOn w:val="Normal"/>
    <w:link w:val="StartlistChar"/>
    <w:qFormat/>
    <w:rsid w:val="0094086E"/>
    <w:pPr>
      <w:spacing w:before="60" w:after="60" w:line="240" w:lineRule="auto"/>
      <w:jc w:val="both"/>
    </w:pPr>
    <w:rPr>
      <w:rFonts w:eastAsia="Times New Roman" w:cs="Times New Roman"/>
      <w:szCs w:val="20"/>
      <w:lang w:val="x-none"/>
    </w:rPr>
  </w:style>
  <w:style w:type="paragraph" w:customStyle="1" w:styleId="Table">
    <w:name w:val="Table"/>
    <w:basedOn w:val="Normal"/>
    <w:qFormat/>
    <w:rsid w:val="0094086E"/>
    <w:pPr>
      <w:spacing w:before="60" w:after="60" w:line="240" w:lineRule="auto"/>
      <w:ind w:left="142"/>
      <w:jc w:val="both"/>
    </w:pPr>
    <w:rPr>
      <w:rFonts w:ascii="Arial" w:eastAsia="Times New Roman" w:hAnsi="Arial" w:cs="Arial"/>
      <w:i/>
      <w:sz w:val="18"/>
      <w:szCs w:val="18"/>
    </w:rPr>
  </w:style>
  <w:style w:type="character" w:customStyle="1" w:styleId="StartlistChar">
    <w:name w:val="Start list Char"/>
    <w:link w:val="Startlist"/>
    <w:rsid w:val="0094086E"/>
    <w:rPr>
      <w:rFonts w:ascii="Times New Roman" w:eastAsia="Times New Roman" w:hAnsi="Times New Roman" w:cs="Times New Roman"/>
      <w:sz w:val="20"/>
      <w:szCs w:val="20"/>
      <w:lang w:val="x-none"/>
    </w:rPr>
  </w:style>
  <w:style w:type="paragraph" w:customStyle="1" w:styleId="Style20">
    <w:name w:val="Style2"/>
    <w:basedOn w:val="Normal"/>
    <w:link w:val="Style2Char"/>
    <w:qFormat/>
    <w:rsid w:val="0094086E"/>
    <w:pPr>
      <w:spacing w:before="60" w:after="60" w:line="240" w:lineRule="auto"/>
      <w:ind w:left="142"/>
      <w:jc w:val="both"/>
    </w:pPr>
    <w:rPr>
      <w:rFonts w:ascii="Arial" w:eastAsia="Times New Roman" w:hAnsi="Arial" w:cs="Times New Roman"/>
      <w:sz w:val="18"/>
      <w:szCs w:val="18"/>
      <w:lang w:val="x-none"/>
    </w:rPr>
  </w:style>
  <w:style w:type="character" w:customStyle="1" w:styleId="Style2Char">
    <w:name w:val="Style2 Char"/>
    <w:link w:val="Style20"/>
    <w:rsid w:val="0094086E"/>
    <w:rPr>
      <w:rFonts w:ascii="Arial" w:eastAsia="Times New Roman" w:hAnsi="Arial" w:cs="Times New Roman"/>
      <w:sz w:val="18"/>
      <w:szCs w:val="18"/>
      <w:lang w:val="x-none"/>
    </w:rPr>
  </w:style>
  <w:style w:type="character" w:customStyle="1" w:styleId="Marquedecommentaire3">
    <w:name w:val="Marque de commentaire3"/>
    <w:rsid w:val="0094086E"/>
    <w:rPr>
      <w:sz w:val="16"/>
      <w:szCs w:val="16"/>
    </w:rPr>
  </w:style>
  <w:style w:type="character" w:customStyle="1" w:styleId="Lienhypertextesuivivisit2">
    <w:name w:val="Lien hypertexte suivi visité2"/>
    <w:rsid w:val="0094086E"/>
    <w:rPr>
      <w:color w:val="800080"/>
      <w:u w:val="single"/>
    </w:rPr>
  </w:style>
  <w:style w:type="paragraph" w:customStyle="1" w:styleId="Commentaire3">
    <w:name w:val="Commentaire3"/>
    <w:basedOn w:val="Normal"/>
    <w:rsid w:val="0094086E"/>
    <w:pPr>
      <w:suppressAutoHyphens/>
      <w:spacing w:before="240" w:after="240" w:line="360" w:lineRule="auto"/>
      <w:ind w:left="357" w:hanging="357"/>
    </w:pPr>
    <w:rPr>
      <w:rFonts w:ascii="Arial" w:eastAsia="Arial Unicode MS" w:hAnsi="Arial" w:cs="font323"/>
      <w:kern w:val="1"/>
      <w:szCs w:val="20"/>
      <w:lang w:val="en-US" w:bidi="en-US"/>
    </w:rPr>
  </w:style>
  <w:style w:type="paragraph" w:customStyle="1" w:styleId="Textedebulles3">
    <w:name w:val="Texte de bulles3"/>
    <w:basedOn w:val="Normal"/>
    <w:rsid w:val="0094086E"/>
    <w:pPr>
      <w:suppressAutoHyphens/>
      <w:spacing w:before="240" w:after="240" w:line="360" w:lineRule="auto"/>
      <w:ind w:left="357" w:hanging="357"/>
    </w:pPr>
    <w:rPr>
      <w:rFonts w:ascii="Tahoma" w:eastAsia="Arial Unicode MS" w:hAnsi="Tahoma" w:cs="Tahoma"/>
      <w:kern w:val="1"/>
      <w:sz w:val="16"/>
      <w:szCs w:val="16"/>
      <w:lang w:val="en-US" w:bidi="en-US"/>
    </w:rPr>
  </w:style>
  <w:style w:type="paragraph" w:customStyle="1" w:styleId="Rvision2">
    <w:name w:val="Révision2"/>
    <w:rsid w:val="0094086E"/>
    <w:pPr>
      <w:suppressAutoHyphens/>
      <w:spacing w:after="0" w:line="240" w:lineRule="auto"/>
    </w:pPr>
    <w:rPr>
      <w:rFonts w:ascii="Calibri" w:eastAsia="Arial Unicode MS" w:hAnsi="Calibri" w:cs="font323"/>
      <w:kern w:val="1"/>
      <w:lang w:bidi="en-US"/>
    </w:rPr>
  </w:style>
  <w:style w:type="paragraph" w:customStyle="1" w:styleId="Objetducommentaire2">
    <w:name w:val="Objet du commentaire2"/>
    <w:rsid w:val="0094086E"/>
    <w:pPr>
      <w:widowControl w:val="0"/>
      <w:suppressAutoHyphens/>
      <w:spacing w:after="0" w:line="100" w:lineRule="atLeast"/>
    </w:pPr>
    <w:rPr>
      <w:rFonts w:ascii="Times New Roman" w:eastAsia="Arial Unicode MS" w:hAnsi="Times New Roman" w:cs="font323"/>
      <w:b/>
      <w:bCs/>
      <w:kern w:val="1"/>
      <w:sz w:val="20"/>
      <w:szCs w:val="20"/>
      <w:lang w:val="en-GB" w:eastAsia="ar-SA"/>
    </w:rPr>
  </w:style>
  <w:style w:type="paragraph" w:styleId="Bibliographie">
    <w:name w:val="Bibliography"/>
    <w:basedOn w:val="Normal"/>
    <w:next w:val="Normal"/>
    <w:unhideWhenUsed/>
    <w:rsid w:val="0094086E"/>
    <w:pPr>
      <w:spacing w:after="200" w:line="276" w:lineRule="auto"/>
    </w:pPr>
    <w:rPr>
      <w:rFonts w:ascii="Arial" w:eastAsia="Times New Roman" w:hAnsi="Arial" w:cs="Times New Roman"/>
      <w:sz w:val="16"/>
      <w:lang w:val="fr-FR"/>
    </w:rPr>
  </w:style>
  <w:style w:type="character" w:customStyle="1" w:styleId="s36">
    <w:name w:val="s36"/>
    <w:basedOn w:val="Policepardfaut"/>
    <w:rsid w:val="0094086E"/>
  </w:style>
  <w:style w:type="character" w:customStyle="1" w:styleId="s8">
    <w:name w:val="s8"/>
    <w:basedOn w:val="Policepardfaut"/>
    <w:rsid w:val="0094086E"/>
  </w:style>
  <w:style w:type="character" w:customStyle="1" w:styleId="WW8Num5z0">
    <w:name w:val="WW8Num5z0"/>
    <w:rsid w:val="0094086E"/>
    <w:rPr>
      <w:rFonts w:ascii="Times New Roman" w:hAnsi="Times New Roman" w:cs="Times New Roman"/>
      <w:sz w:val="20"/>
    </w:rPr>
  </w:style>
  <w:style w:type="character" w:customStyle="1" w:styleId="WW8Num7z0">
    <w:name w:val="WW8Num7z0"/>
    <w:rsid w:val="0094086E"/>
    <w:rPr>
      <w:rFonts w:ascii="Symbol" w:hAnsi="Symbol" w:cs="Symbol"/>
    </w:rPr>
  </w:style>
  <w:style w:type="character" w:customStyle="1" w:styleId="WW8Num7z1">
    <w:name w:val="WW8Num7z1"/>
    <w:rsid w:val="0094086E"/>
    <w:rPr>
      <w:rFonts w:ascii="Courier New" w:hAnsi="Courier New" w:cs="Courier New"/>
    </w:rPr>
  </w:style>
  <w:style w:type="character" w:customStyle="1" w:styleId="Carpredefinitoparagrafo">
    <w:name w:val="Car. predefinito paragrafo"/>
    <w:rsid w:val="0094086E"/>
  </w:style>
  <w:style w:type="character" w:customStyle="1" w:styleId="DefaultParagraphFont1">
    <w:name w:val="Default Paragraph Font1"/>
    <w:rsid w:val="0094086E"/>
  </w:style>
  <w:style w:type="character" w:customStyle="1" w:styleId="WW8Num8z0">
    <w:name w:val="WW8Num8z0"/>
    <w:rsid w:val="0094086E"/>
    <w:rPr>
      <w:rFonts w:ascii="Symbol" w:hAnsi="Symbol" w:cs="Symbol"/>
    </w:rPr>
  </w:style>
  <w:style w:type="character" w:customStyle="1" w:styleId="WW8Num8z1">
    <w:name w:val="WW8Num8z1"/>
    <w:rsid w:val="0094086E"/>
    <w:rPr>
      <w:rFonts w:ascii="Courier New" w:hAnsi="Courier New" w:cs="Courier New"/>
    </w:rPr>
  </w:style>
  <w:style w:type="character" w:customStyle="1" w:styleId="WW8Num8z2">
    <w:name w:val="WW8Num8z2"/>
    <w:rsid w:val="0094086E"/>
    <w:rPr>
      <w:rFonts w:ascii="Wingdings" w:hAnsi="Wingdings" w:cs="Wingdings"/>
    </w:rPr>
  </w:style>
  <w:style w:type="character" w:customStyle="1" w:styleId="WW8Num1z0">
    <w:name w:val="WW8Num1z0"/>
    <w:rsid w:val="0094086E"/>
    <w:rPr>
      <w:rFonts w:ascii="Symbol" w:hAnsi="Symbol" w:cs="Symbol"/>
    </w:rPr>
  </w:style>
  <w:style w:type="character" w:customStyle="1" w:styleId="WW8Num2z0">
    <w:name w:val="WW8Num2z0"/>
    <w:rsid w:val="0094086E"/>
    <w:rPr>
      <w:rFonts w:ascii="Symbol" w:hAnsi="Symbol" w:cs="Symbol"/>
    </w:rPr>
  </w:style>
  <w:style w:type="character" w:customStyle="1" w:styleId="WW8Num3z0">
    <w:name w:val="WW8Num3z0"/>
    <w:rsid w:val="0094086E"/>
    <w:rPr>
      <w:rFonts w:ascii="Times New Roman" w:hAnsi="Times New Roman" w:cs="Times New Roman"/>
      <w:sz w:val="24"/>
    </w:rPr>
  </w:style>
  <w:style w:type="character" w:customStyle="1" w:styleId="WW8Num4z1">
    <w:name w:val="WW8Num4z1"/>
    <w:rsid w:val="0094086E"/>
    <w:rPr>
      <w:rFonts w:ascii="Courier New" w:hAnsi="Courier New" w:cs="Courier New"/>
      <w:sz w:val="20"/>
    </w:rPr>
  </w:style>
  <w:style w:type="character" w:customStyle="1" w:styleId="WW8Num6z0">
    <w:name w:val="WW8Num6z0"/>
    <w:rsid w:val="0094086E"/>
    <w:rPr>
      <w:rFonts w:ascii="Symbol" w:hAnsi="Symbol" w:cs="Symbol"/>
    </w:rPr>
  </w:style>
  <w:style w:type="character" w:customStyle="1" w:styleId="WW8Num6z1">
    <w:name w:val="WW8Num6z1"/>
    <w:rsid w:val="0094086E"/>
    <w:rPr>
      <w:rFonts w:ascii="Courier New" w:hAnsi="Courier New" w:cs="Courier New"/>
    </w:rPr>
  </w:style>
  <w:style w:type="character" w:customStyle="1" w:styleId="WW8Num6z2">
    <w:name w:val="WW8Num6z2"/>
    <w:rsid w:val="0094086E"/>
    <w:rPr>
      <w:rFonts w:ascii="Wingdings" w:hAnsi="Wingdings" w:cs="Wingdings"/>
    </w:rPr>
  </w:style>
  <w:style w:type="character" w:customStyle="1" w:styleId="WW8Num7z2">
    <w:name w:val="WW8Num7z2"/>
    <w:rsid w:val="0094086E"/>
    <w:rPr>
      <w:rFonts w:ascii="Wingdings" w:hAnsi="Wingdings" w:cs="Wingdings"/>
    </w:rPr>
  </w:style>
  <w:style w:type="character" w:customStyle="1" w:styleId="WW8Num14z0">
    <w:name w:val="WW8Num14z0"/>
    <w:rsid w:val="0094086E"/>
    <w:rPr>
      <w:rFonts w:ascii="Symbol" w:hAnsi="Symbol" w:cs="Symbol"/>
    </w:rPr>
  </w:style>
  <w:style w:type="character" w:customStyle="1" w:styleId="WW8Num14z1">
    <w:name w:val="WW8Num14z1"/>
    <w:rsid w:val="0094086E"/>
    <w:rPr>
      <w:rFonts w:ascii="Courier New" w:hAnsi="Courier New" w:cs="Courier New"/>
    </w:rPr>
  </w:style>
  <w:style w:type="character" w:customStyle="1" w:styleId="WW8Num14z2">
    <w:name w:val="WW8Num14z2"/>
    <w:rsid w:val="0094086E"/>
    <w:rPr>
      <w:rFonts w:ascii="Wingdings" w:hAnsi="Wingdings" w:cs="Wingdings"/>
    </w:rPr>
  </w:style>
  <w:style w:type="character" w:customStyle="1" w:styleId="WW8Num16z0">
    <w:name w:val="WW8Num16z0"/>
    <w:rsid w:val="0094086E"/>
    <w:rPr>
      <w:rFonts w:ascii="Symbol" w:hAnsi="Symbol" w:cs="Symbol"/>
      <w:color w:val="auto"/>
    </w:rPr>
  </w:style>
  <w:style w:type="character" w:customStyle="1" w:styleId="FootnoteReference1">
    <w:name w:val="Footnote Reference1"/>
    <w:rsid w:val="0094086E"/>
    <w:rPr>
      <w:vertAlign w:val="superscript"/>
    </w:rPr>
  </w:style>
  <w:style w:type="character" w:customStyle="1" w:styleId="EndnoteCharacters">
    <w:name w:val="Endnote Characters"/>
    <w:rsid w:val="0094086E"/>
    <w:rPr>
      <w:vertAlign w:val="superscript"/>
    </w:rPr>
  </w:style>
  <w:style w:type="character" w:customStyle="1" w:styleId="WW-EndnoteCharacters">
    <w:name w:val="WW-Endnote Characters"/>
    <w:rsid w:val="0094086E"/>
  </w:style>
  <w:style w:type="character" w:customStyle="1" w:styleId="Bullets">
    <w:name w:val="Bullets"/>
    <w:rsid w:val="0094086E"/>
    <w:rPr>
      <w:rFonts w:ascii="OpenSymbol" w:eastAsia="OpenSymbol" w:hAnsi="OpenSymbol" w:cs="OpenSymbol"/>
    </w:rPr>
  </w:style>
  <w:style w:type="character" w:customStyle="1" w:styleId="EndnoteReference1">
    <w:name w:val="Endnote Reference1"/>
    <w:rsid w:val="0094086E"/>
    <w:rPr>
      <w:vertAlign w:val="superscript"/>
    </w:rPr>
  </w:style>
  <w:style w:type="character" w:customStyle="1" w:styleId="CommentReference1">
    <w:name w:val="Comment Reference1"/>
    <w:rsid w:val="0094086E"/>
    <w:rPr>
      <w:sz w:val="16"/>
      <w:szCs w:val="16"/>
    </w:rPr>
  </w:style>
  <w:style w:type="character" w:customStyle="1" w:styleId="Caratteredellanota">
    <w:name w:val="Carattere della nota"/>
    <w:rsid w:val="0094086E"/>
    <w:rPr>
      <w:vertAlign w:val="superscript"/>
    </w:rPr>
  </w:style>
  <w:style w:type="character" w:customStyle="1" w:styleId="Caratterenotadichiusura">
    <w:name w:val="Carattere nota di chiusura"/>
    <w:rsid w:val="0094086E"/>
    <w:rPr>
      <w:vertAlign w:val="superscript"/>
    </w:rPr>
  </w:style>
  <w:style w:type="character" w:customStyle="1" w:styleId="Rimandonotaapidipagina">
    <w:name w:val="Rimando nota a piè di pagina"/>
    <w:rsid w:val="0094086E"/>
    <w:rPr>
      <w:vertAlign w:val="superscript"/>
    </w:rPr>
  </w:style>
  <w:style w:type="character" w:customStyle="1" w:styleId="Rimandonotadichiusura">
    <w:name w:val="Rimando nota di chiusura"/>
    <w:rsid w:val="0094086E"/>
    <w:rPr>
      <w:vertAlign w:val="superscript"/>
    </w:rPr>
  </w:style>
  <w:style w:type="character" w:customStyle="1" w:styleId="TestofumettoCarattere">
    <w:name w:val="Testo fumetto Carattere"/>
    <w:rsid w:val="0094086E"/>
    <w:rPr>
      <w:rFonts w:ascii="Tahoma" w:eastAsia="MS Mincho" w:hAnsi="Tahoma" w:cs="Tahoma"/>
      <w:sz w:val="16"/>
      <w:szCs w:val="16"/>
      <w:lang w:val="en-AU"/>
    </w:rPr>
  </w:style>
  <w:style w:type="character" w:customStyle="1" w:styleId="Rimandocommento">
    <w:name w:val="Rimando commento"/>
    <w:rsid w:val="0094086E"/>
    <w:rPr>
      <w:sz w:val="16"/>
      <w:szCs w:val="16"/>
    </w:rPr>
  </w:style>
  <w:style w:type="character" w:customStyle="1" w:styleId="TestocommentoCarattere">
    <w:name w:val="Testo commento Carattere"/>
    <w:rsid w:val="0094086E"/>
    <w:rPr>
      <w:rFonts w:eastAsia="MS Mincho"/>
      <w:lang w:val="en-AU"/>
    </w:rPr>
  </w:style>
  <w:style w:type="character" w:customStyle="1" w:styleId="SoggettocommentoCarattere">
    <w:name w:val="Soggetto commento Carattere"/>
    <w:rsid w:val="0094086E"/>
    <w:rPr>
      <w:rFonts w:eastAsia="MS Mincho"/>
      <w:b/>
      <w:bCs/>
      <w:lang w:val="en-AU"/>
    </w:rPr>
  </w:style>
  <w:style w:type="character" w:customStyle="1" w:styleId="WW8Num9z0">
    <w:name w:val="WW8Num9z0"/>
    <w:rsid w:val="0094086E"/>
    <w:rPr>
      <w:rFonts w:ascii="Symbol" w:hAnsi="Symbol" w:cs="OpenSymbol"/>
    </w:rPr>
  </w:style>
  <w:style w:type="character" w:customStyle="1" w:styleId="WW8Num9z1">
    <w:name w:val="WW8Num9z1"/>
    <w:rsid w:val="0094086E"/>
    <w:rPr>
      <w:rFonts w:ascii="OpenSymbol" w:hAnsi="OpenSymbol" w:cs="OpenSymbol"/>
    </w:rPr>
  </w:style>
  <w:style w:type="character" w:customStyle="1" w:styleId="WW8Num10z0">
    <w:name w:val="WW8Num10z0"/>
    <w:rsid w:val="0094086E"/>
    <w:rPr>
      <w:rFonts w:ascii="Symbol" w:hAnsi="Symbol" w:cs="OpenSymbol"/>
    </w:rPr>
  </w:style>
  <w:style w:type="character" w:customStyle="1" w:styleId="WW8Num10z1">
    <w:name w:val="WW8Num10z1"/>
    <w:rsid w:val="0094086E"/>
    <w:rPr>
      <w:rFonts w:ascii="OpenSymbol" w:hAnsi="OpenSymbol" w:cs="OpenSymbol"/>
    </w:rPr>
  </w:style>
  <w:style w:type="character" w:customStyle="1" w:styleId="WW8Num11z0">
    <w:name w:val="WW8Num11z0"/>
    <w:rsid w:val="0094086E"/>
    <w:rPr>
      <w:rFonts w:ascii="Symbol" w:hAnsi="Symbol" w:cs="OpenSymbol"/>
    </w:rPr>
  </w:style>
  <w:style w:type="character" w:customStyle="1" w:styleId="WW8Num11z1">
    <w:name w:val="WW8Num11z1"/>
    <w:rsid w:val="0094086E"/>
    <w:rPr>
      <w:rFonts w:ascii="OpenSymbol" w:hAnsi="OpenSymbol" w:cs="OpenSymbol"/>
    </w:rPr>
  </w:style>
  <w:style w:type="paragraph" w:customStyle="1" w:styleId="Caption2">
    <w:name w:val="Caption2"/>
    <w:basedOn w:val="Normal"/>
    <w:rsid w:val="0094086E"/>
    <w:pPr>
      <w:widowControl w:val="0"/>
      <w:suppressLineNumbers/>
      <w:suppressAutoHyphens/>
      <w:overflowPunct w:val="0"/>
      <w:autoSpaceDE w:val="0"/>
      <w:spacing w:before="120" w:after="120" w:line="240" w:lineRule="auto"/>
      <w:textAlignment w:val="baseline"/>
    </w:pPr>
    <w:rPr>
      <w:rFonts w:eastAsia="MS Mincho" w:cs="Tahoma"/>
      <w:i/>
      <w:iCs/>
      <w:sz w:val="24"/>
      <w:szCs w:val="24"/>
      <w:lang w:val="en-AU" w:eastAsia="ar-SA"/>
    </w:rPr>
  </w:style>
  <w:style w:type="paragraph" w:customStyle="1" w:styleId="Intestazione1">
    <w:name w:val="Intestazione1"/>
    <w:basedOn w:val="Normal"/>
    <w:next w:val="Corpsdetexte"/>
    <w:rsid w:val="0094086E"/>
    <w:pPr>
      <w:keepNext/>
      <w:widowControl w:val="0"/>
      <w:suppressAutoHyphens/>
      <w:overflowPunct w:val="0"/>
      <w:autoSpaceDE w:val="0"/>
      <w:spacing w:before="240" w:after="120" w:line="240" w:lineRule="auto"/>
      <w:textAlignment w:val="baseline"/>
    </w:pPr>
    <w:rPr>
      <w:rFonts w:ascii="Arial" w:eastAsia="Microsoft YaHei" w:hAnsi="Arial" w:cs="Mangal"/>
      <w:sz w:val="28"/>
      <w:szCs w:val="28"/>
      <w:lang w:val="en-AU" w:eastAsia="ar-SA"/>
    </w:rPr>
  </w:style>
  <w:style w:type="paragraph" w:customStyle="1" w:styleId="Didascalia1">
    <w:name w:val="Didascalia1"/>
    <w:basedOn w:val="Normal"/>
    <w:rsid w:val="0094086E"/>
    <w:pPr>
      <w:widowControl w:val="0"/>
      <w:suppressLineNumbers/>
      <w:suppressAutoHyphens/>
      <w:overflowPunct w:val="0"/>
      <w:autoSpaceDE w:val="0"/>
      <w:spacing w:before="120" w:after="120" w:line="240" w:lineRule="auto"/>
      <w:textAlignment w:val="baseline"/>
    </w:pPr>
    <w:rPr>
      <w:rFonts w:eastAsia="MS Mincho" w:cs="Mangal"/>
      <w:i/>
      <w:iCs/>
      <w:sz w:val="24"/>
      <w:szCs w:val="24"/>
      <w:lang w:val="en-AU" w:eastAsia="ar-SA"/>
    </w:rPr>
  </w:style>
  <w:style w:type="paragraph" w:customStyle="1" w:styleId="Indice">
    <w:name w:val="Indice"/>
    <w:basedOn w:val="Normal"/>
    <w:rsid w:val="0094086E"/>
    <w:pPr>
      <w:widowControl w:val="0"/>
      <w:suppressLineNumbers/>
      <w:suppressAutoHyphens/>
      <w:overflowPunct w:val="0"/>
      <w:autoSpaceDE w:val="0"/>
      <w:spacing w:after="0" w:line="240" w:lineRule="auto"/>
      <w:textAlignment w:val="baseline"/>
    </w:pPr>
    <w:rPr>
      <w:rFonts w:eastAsia="MS Mincho" w:cs="Mangal"/>
      <w:szCs w:val="20"/>
      <w:lang w:val="en-AU" w:eastAsia="ar-SA"/>
    </w:rPr>
  </w:style>
  <w:style w:type="paragraph" w:customStyle="1" w:styleId="Caption1">
    <w:name w:val="Caption1"/>
    <w:basedOn w:val="Normal"/>
    <w:rsid w:val="0094086E"/>
    <w:pPr>
      <w:widowControl w:val="0"/>
      <w:suppressLineNumbers/>
      <w:suppressAutoHyphens/>
      <w:overflowPunct w:val="0"/>
      <w:autoSpaceDE w:val="0"/>
      <w:spacing w:before="120" w:after="120" w:line="240" w:lineRule="auto"/>
      <w:textAlignment w:val="baseline"/>
    </w:pPr>
    <w:rPr>
      <w:rFonts w:eastAsia="MS Mincho" w:cs="Tahoma"/>
      <w:i/>
      <w:iCs/>
      <w:sz w:val="24"/>
      <w:szCs w:val="24"/>
      <w:lang w:val="en-AU" w:eastAsia="ar-SA"/>
    </w:rPr>
  </w:style>
  <w:style w:type="paragraph" w:customStyle="1" w:styleId="Retraitnormal1">
    <w:name w:val="Retrait normal1"/>
    <w:basedOn w:val="Normal"/>
    <w:rsid w:val="0094086E"/>
    <w:pPr>
      <w:widowControl w:val="0"/>
      <w:suppressAutoHyphens/>
      <w:overflowPunct w:val="0"/>
      <w:autoSpaceDE w:val="0"/>
      <w:spacing w:after="0" w:line="240" w:lineRule="auto"/>
      <w:ind w:left="720"/>
      <w:textAlignment w:val="baseline"/>
    </w:pPr>
    <w:rPr>
      <w:rFonts w:eastAsia="MS Mincho" w:cs="Times New Roman"/>
      <w:szCs w:val="20"/>
      <w:lang w:val="en-AU" w:eastAsia="ar-SA"/>
    </w:rPr>
  </w:style>
  <w:style w:type="paragraph" w:customStyle="1" w:styleId="Annexe">
    <w:name w:val="Annexe"/>
    <w:next w:val="Normal"/>
    <w:rsid w:val="0094086E"/>
    <w:pPr>
      <w:widowControl w:val="0"/>
      <w:suppressAutoHyphens/>
      <w:overflowPunct w:val="0"/>
      <w:autoSpaceDE w:val="0"/>
      <w:spacing w:before="360" w:after="240" w:line="240" w:lineRule="atLeast"/>
      <w:jc w:val="center"/>
      <w:textAlignment w:val="baseline"/>
    </w:pPr>
    <w:rPr>
      <w:rFonts w:ascii="Times New Roman" w:eastAsia="MS Mincho" w:hAnsi="Times New Roman" w:cs="Times New Roman"/>
      <w:b/>
      <w:sz w:val="20"/>
      <w:szCs w:val="20"/>
      <w:lang w:eastAsia="ar-SA"/>
    </w:rPr>
  </w:style>
  <w:style w:type="paragraph" w:customStyle="1" w:styleId="Para111">
    <w:name w:val="Para 1.1."/>
    <w:basedOn w:val="11"/>
    <w:rsid w:val="0094086E"/>
    <w:pPr>
      <w:widowControl w:val="0"/>
      <w:suppressAutoHyphens/>
      <w:overflowPunct w:val="0"/>
      <w:autoSpaceDE w:val="0"/>
      <w:ind w:left="851" w:firstLine="0"/>
      <w:textAlignment w:val="baseline"/>
    </w:pPr>
    <w:rPr>
      <w:rFonts w:ascii="Ottawa" w:eastAsia="Times New Roman" w:hAnsi="Ottawa"/>
      <w:b w:val="0"/>
      <w:sz w:val="21"/>
      <w:lang w:val="fr-FR" w:eastAsia="ar-SA"/>
    </w:rPr>
  </w:style>
  <w:style w:type="paragraph" w:customStyle="1" w:styleId="paraa">
    <w:name w:val="para a)"/>
    <w:basedOn w:val="Normal"/>
    <w:rsid w:val="0094086E"/>
    <w:pPr>
      <w:widowControl w:val="0"/>
      <w:suppressAutoHyphens/>
      <w:overflowPunct w:val="0"/>
      <w:autoSpaceDE w:val="0"/>
      <w:spacing w:after="240" w:line="240" w:lineRule="auto"/>
      <w:ind w:left="1134"/>
      <w:jc w:val="both"/>
      <w:textAlignment w:val="baseline"/>
    </w:pPr>
    <w:rPr>
      <w:rFonts w:eastAsia="Times New Roman" w:cs="Times New Roman"/>
      <w:szCs w:val="20"/>
      <w:lang w:val="fr-FR" w:eastAsia="ar-SA"/>
    </w:rPr>
  </w:style>
  <w:style w:type="paragraph" w:customStyle="1" w:styleId="Annexetitreacte">
    <w:name w:val="Annexe titre (acte)"/>
    <w:basedOn w:val="Normal"/>
    <w:next w:val="Normal"/>
    <w:rsid w:val="0094086E"/>
    <w:pPr>
      <w:widowControl w:val="0"/>
      <w:suppressAutoHyphens/>
      <w:overflowPunct w:val="0"/>
      <w:autoSpaceDE w:val="0"/>
      <w:spacing w:before="120" w:after="120" w:line="240" w:lineRule="auto"/>
      <w:jc w:val="center"/>
      <w:textAlignment w:val="baseline"/>
    </w:pPr>
    <w:rPr>
      <w:rFonts w:eastAsia="MS Mincho" w:cs="Times New Roman"/>
      <w:b/>
      <w:sz w:val="24"/>
      <w:szCs w:val="20"/>
      <w:u w:val="single"/>
      <w:lang w:eastAsia="ar-SA"/>
    </w:rPr>
  </w:style>
  <w:style w:type="paragraph" w:customStyle="1" w:styleId="Enclosures">
    <w:name w:val="Enclosures"/>
    <w:basedOn w:val="Normal"/>
    <w:next w:val="Normal"/>
    <w:rsid w:val="0094086E"/>
    <w:pPr>
      <w:keepNext/>
      <w:keepLines/>
      <w:widowControl w:val="0"/>
      <w:tabs>
        <w:tab w:val="left" w:pos="5642"/>
      </w:tabs>
      <w:suppressAutoHyphens/>
      <w:overflowPunct w:val="0"/>
      <w:autoSpaceDE w:val="0"/>
      <w:spacing w:before="480" w:after="0" w:line="240" w:lineRule="auto"/>
      <w:ind w:left="1792" w:hanging="1792"/>
      <w:textAlignment w:val="baseline"/>
    </w:pPr>
    <w:rPr>
      <w:rFonts w:eastAsia="MS Mincho" w:cs="Times New Roman"/>
      <w:sz w:val="24"/>
      <w:szCs w:val="20"/>
      <w:lang w:val="en-AU" w:eastAsia="ar-SA"/>
    </w:rPr>
  </w:style>
  <w:style w:type="paragraph" w:customStyle="1" w:styleId="adressesbiblio">
    <w:name w:val="adresses+biblio"/>
    <w:basedOn w:val="Normal"/>
    <w:rsid w:val="0094086E"/>
    <w:pPr>
      <w:widowControl w:val="0"/>
      <w:tabs>
        <w:tab w:val="left" w:pos="426"/>
        <w:tab w:val="left" w:pos="567"/>
        <w:tab w:val="left" w:pos="4820"/>
      </w:tabs>
      <w:suppressAutoHyphens/>
      <w:overflowPunct w:val="0"/>
      <w:autoSpaceDE w:val="0"/>
      <w:spacing w:before="240" w:after="0" w:line="360" w:lineRule="atLeast"/>
      <w:jc w:val="both"/>
      <w:textAlignment w:val="baseline"/>
    </w:pPr>
    <w:rPr>
      <w:rFonts w:eastAsia="MS Mincho" w:cs="Times New Roman"/>
      <w:sz w:val="24"/>
      <w:szCs w:val="20"/>
      <w:lang w:eastAsia="ar-SA"/>
    </w:rPr>
  </w:style>
  <w:style w:type="paragraph" w:customStyle="1" w:styleId="Numdoc">
    <w:name w:val="Numdoc"/>
    <w:basedOn w:val="Normal"/>
    <w:rsid w:val="0094086E"/>
    <w:pPr>
      <w:keepLines/>
      <w:widowControl w:val="0"/>
      <w:tabs>
        <w:tab w:val="left" w:pos="288"/>
      </w:tabs>
      <w:suppressAutoHyphens/>
      <w:overflowPunct w:val="0"/>
      <w:autoSpaceDE w:val="0"/>
      <w:spacing w:after="0" w:line="240" w:lineRule="atLeast"/>
      <w:jc w:val="center"/>
      <w:textAlignment w:val="baseline"/>
    </w:pPr>
    <w:rPr>
      <w:rFonts w:ascii="Arial" w:eastAsia="MS Mincho" w:hAnsi="Arial" w:cs="Arial"/>
      <w:sz w:val="28"/>
      <w:szCs w:val="20"/>
      <w:lang w:val="en-AU" w:eastAsia="ar-SA"/>
    </w:rPr>
  </w:style>
  <w:style w:type="paragraph" w:customStyle="1" w:styleId="paratiret">
    <w:name w:val="paratiret"/>
    <w:basedOn w:val="Normal"/>
    <w:rsid w:val="0094086E"/>
    <w:pPr>
      <w:suppressAutoHyphens/>
      <w:overflowPunct w:val="0"/>
      <w:autoSpaceDE w:val="0"/>
      <w:spacing w:after="200" w:line="360" w:lineRule="auto"/>
      <w:ind w:left="851"/>
      <w:jc w:val="both"/>
      <w:textAlignment w:val="baseline"/>
    </w:pPr>
    <w:rPr>
      <w:rFonts w:eastAsia="MS Mincho" w:cs="Times New Roman"/>
      <w:b/>
      <w:sz w:val="24"/>
      <w:szCs w:val="20"/>
      <w:lang w:val="en-IE" w:eastAsia="ar-SA"/>
    </w:rPr>
  </w:style>
  <w:style w:type="paragraph" w:customStyle="1" w:styleId="point">
    <w:name w:val="point"/>
    <w:basedOn w:val="Normal"/>
    <w:rsid w:val="0094086E"/>
    <w:pPr>
      <w:widowControl w:val="0"/>
      <w:tabs>
        <w:tab w:val="left" w:pos="709"/>
      </w:tabs>
      <w:suppressAutoHyphens/>
      <w:overflowPunct w:val="0"/>
      <w:autoSpaceDE w:val="0"/>
      <w:spacing w:after="240" w:line="240" w:lineRule="auto"/>
      <w:ind w:left="709" w:hanging="283"/>
      <w:jc w:val="both"/>
      <w:textAlignment w:val="baseline"/>
    </w:pPr>
    <w:rPr>
      <w:rFonts w:eastAsia="MS Mincho" w:cs="Times New Roman"/>
      <w:szCs w:val="20"/>
      <w:lang w:val="en-US" w:eastAsia="ar-SA"/>
    </w:rPr>
  </w:style>
  <w:style w:type="paragraph" w:customStyle="1" w:styleId="doc">
    <w:name w:val="doc"/>
    <w:basedOn w:val="Normal"/>
    <w:rsid w:val="0094086E"/>
    <w:pPr>
      <w:suppressAutoHyphens/>
      <w:overflowPunct w:val="0"/>
      <w:autoSpaceDE w:val="0"/>
      <w:spacing w:after="240" w:line="240" w:lineRule="auto"/>
      <w:jc w:val="center"/>
      <w:textAlignment w:val="baseline"/>
    </w:pPr>
    <w:rPr>
      <w:rFonts w:ascii="Century" w:eastAsia="MS Mincho" w:hAnsi="Century" w:cs="Century"/>
      <w:szCs w:val="20"/>
      <w:lang w:eastAsia="ar-SA"/>
    </w:rPr>
  </w:style>
  <w:style w:type="paragraph" w:customStyle="1" w:styleId="tiret">
    <w:name w:val="tiret"/>
    <w:basedOn w:val="Normal"/>
    <w:rsid w:val="0094086E"/>
    <w:pPr>
      <w:widowControl w:val="0"/>
      <w:suppressAutoHyphens/>
      <w:overflowPunct w:val="0"/>
      <w:autoSpaceDE w:val="0"/>
      <w:spacing w:after="240" w:line="240" w:lineRule="auto"/>
      <w:ind w:left="851" w:hanging="284"/>
      <w:jc w:val="both"/>
      <w:textAlignment w:val="baseline"/>
    </w:pPr>
    <w:rPr>
      <w:rFonts w:ascii="Century" w:eastAsia="MS Mincho" w:hAnsi="Century" w:cs="Century"/>
      <w:szCs w:val="20"/>
      <w:lang w:eastAsia="ar-SA"/>
    </w:rPr>
  </w:style>
  <w:style w:type="paragraph" w:customStyle="1" w:styleId="puce">
    <w:name w:val="puce"/>
    <w:basedOn w:val="Normal"/>
    <w:rsid w:val="0094086E"/>
    <w:pPr>
      <w:widowControl w:val="0"/>
      <w:tabs>
        <w:tab w:val="left" w:pos="425"/>
      </w:tabs>
      <w:suppressAutoHyphens/>
      <w:overflowPunct w:val="0"/>
      <w:autoSpaceDE w:val="0"/>
      <w:spacing w:after="240" w:line="240" w:lineRule="auto"/>
      <w:ind w:left="425" w:hanging="425"/>
      <w:jc w:val="both"/>
      <w:textAlignment w:val="baseline"/>
    </w:pPr>
    <w:rPr>
      <w:rFonts w:eastAsia="MS Mincho" w:cs="Times New Roman"/>
      <w:szCs w:val="20"/>
      <w:lang w:eastAsia="ar-SA"/>
    </w:rPr>
  </w:style>
  <w:style w:type="paragraph" w:customStyle="1" w:styleId="point1">
    <w:name w:val="point1."/>
    <w:basedOn w:val="Normal"/>
    <w:rsid w:val="0094086E"/>
    <w:pPr>
      <w:widowControl w:val="0"/>
      <w:tabs>
        <w:tab w:val="left" w:pos="1135"/>
      </w:tabs>
      <w:suppressAutoHyphens/>
      <w:overflowPunct w:val="0"/>
      <w:autoSpaceDE w:val="0"/>
      <w:spacing w:after="240" w:line="360" w:lineRule="auto"/>
      <w:ind w:left="1135" w:hanging="284"/>
      <w:jc w:val="both"/>
      <w:textAlignment w:val="baseline"/>
    </w:pPr>
    <w:rPr>
      <w:rFonts w:eastAsia="MS Mincho" w:cs="Times New Roman"/>
      <w:szCs w:val="20"/>
      <w:lang w:val="en-IE" w:eastAsia="ar-SA"/>
    </w:rPr>
  </w:style>
  <w:style w:type="paragraph" w:customStyle="1" w:styleId="tiret1">
    <w:name w:val="tiret 1"/>
    <w:basedOn w:val="para1"/>
    <w:rsid w:val="0094086E"/>
    <w:pPr>
      <w:widowControl w:val="0"/>
      <w:suppressAutoHyphens/>
      <w:overflowPunct w:val="0"/>
      <w:autoSpaceDE w:val="0"/>
      <w:ind w:left="426" w:firstLine="0"/>
      <w:textAlignment w:val="baseline"/>
    </w:pPr>
    <w:rPr>
      <w:rFonts w:eastAsia="Times New Roman" w:cs="Times New Roman"/>
      <w:b w:val="0"/>
      <w:bCs w:val="0"/>
      <w:sz w:val="22"/>
      <w:u w:color="000000"/>
      <w:lang w:val="fr-FR" w:eastAsia="ar-SA"/>
    </w:rPr>
  </w:style>
  <w:style w:type="paragraph" w:customStyle="1" w:styleId="puceM">
    <w:name w:val="puceM"/>
    <w:basedOn w:val="Normal"/>
    <w:rsid w:val="0094086E"/>
    <w:pPr>
      <w:suppressAutoHyphens/>
      <w:spacing w:after="120" w:line="240" w:lineRule="auto"/>
      <w:ind w:left="714" w:hanging="357"/>
      <w:jc w:val="both"/>
    </w:pPr>
    <w:rPr>
      <w:rFonts w:eastAsia="MS Mincho" w:cs="Times New Roman"/>
      <w:szCs w:val="20"/>
      <w:lang w:val="en-AU" w:eastAsia="ar-SA"/>
    </w:rPr>
  </w:style>
  <w:style w:type="paragraph" w:customStyle="1" w:styleId="puceMfin">
    <w:name w:val="puceM fin"/>
    <w:basedOn w:val="Normal"/>
    <w:rsid w:val="0094086E"/>
    <w:pPr>
      <w:suppressAutoHyphens/>
      <w:spacing w:after="240" w:line="240" w:lineRule="auto"/>
      <w:ind w:left="714" w:hanging="357"/>
      <w:jc w:val="both"/>
    </w:pPr>
    <w:rPr>
      <w:rFonts w:eastAsia="MS Mincho" w:cs="Times New Roman"/>
      <w:szCs w:val="20"/>
      <w:lang w:val="en-AU" w:eastAsia="ar-SA"/>
    </w:rPr>
  </w:style>
  <w:style w:type="paragraph" w:customStyle="1" w:styleId="Original">
    <w:name w:val="Original"/>
    <w:basedOn w:val="Normal"/>
    <w:rsid w:val="0094086E"/>
    <w:pPr>
      <w:suppressAutoHyphens/>
      <w:spacing w:after="0" w:line="240" w:lineRule="auto"/>
      <w:jc w:val="right"/>
    </w:pPr>
    <w:rPr>
      <w:rFonts w:eastAsia="Times New Roman" w:cs="Times New Roman"/>
      <w:szCs w:val="24"/>
      <w:lang w:eastAsia="ar-SA"/>
    </w:rPr>
  </w:style>
  <w:style w:type="paragraph" w:customStyle="1" w:styleId="datedroite">
    <w:name w:val="date droite"/>
    <w:basedOn w:val="Normal"/>
    <w:rsid w:val="0094086E"/>
    <w:pPr>
      <w:suppressAutoHyphens/>
      <w:spacing w:after="840" w:line="240" w:lineRule="auto"/>
      <w:jc w:val="right"/>
    </w:pPr>
    <w:rPr>
      <w:rFonts w:eastAsia="Times New Roman" w:cs="Times New Roman"/>
      <w:szCs w:val="24"/>
      <w:lang w:eastAsia="ar-SA"/>
    </w:rPr>
  </w:style>
  <w:style w:type="paragraph" w:customStyle="1" w:styleId="BalloonText1">
    <w:name w:val="Balloon Text1"/>
    <w:basedOn w:val="Normal"/>
    <w:rsid w:val="0094086E"/>
    <w:pPr>
      <w:widowControl w:val="0"/>
      <w:suppressAutoHyphens/>
      <w:overflowPunct w:val="0"/>
      <w:autoSpaceDE w:val="0"/>
      <w:spacing w:after="0" w:line="240" w:lineRule="auto"/>
      <w:textAlignment w:val="baseline"/>
    </w:pPr>
    <w:rPr>
      <w:rFonts w:ascii="Tahoma" w:eastAsia="MS Mincho" w:hAnsi="Tahoma" w:cs="Tahoma"/>
      <w:sz w:val="16"/>
      <w:szCs w:val="16"/>
      <w:lang w:val="en-AU" w:eastAsia="ar-SA"/>
    </w:rPr>
  </w:style>
  <w:style w:type="paragraph" w:customStyle="1" w:styleId="CommentSubject1">
    <w:name w:val="Comment Subject1"/>
    <w:basedOn w:val="Commentaire1"/>
    <w:next w:val="Commentaire1"/>
    <w:rsid w:val="0094086E"/>
    <w:pPr>
      <w:widowControl w:val="0"/>
      <w:overflowPunct w:val="0"/>
      <w:autoSpaceDE w:val="0"/>
      <w:spacing w:line="240" w:lineRule="auto"/>
      <w:jc w:val="left"/>
      <w:textAlignment w:val="baseline"/>
    </w:pPr>
    <w:rPr>
      <w:rFonts w:eastAsia="MS Mincho"/>
      <w:b/>
      <w:bCs/>
      <w:kern w:val="0"/>
      <w:lang w:val="en-AU" w:eastAsia="ar-SA" w:bidi="ar-SA"/>
    </w:rPr>
  </w:style>
  <w:style w:type="paragraph" w:customStyle="1" w:styleId="Heading51">
    <w:name w:val="Heading 51"/>
    <w:basedOn w:val="Normal"/>
    <w:rsid w:val="0094086E"/>
    <w:pPr>
      <w:widowControl w:val="0"/>
      <w:suppressAutoHyphens/>
      <w:spacing w:after="240" w:line="240" w:lineRule="auto"/>
      <w:jc w:val="center"/>
    </w:pPr>
    <w:rPr>
      <w:rFonts w:ascii="Times Udarennyi It" w:eastAsia="Times New Roman" w:hAnsi="Times Udarennyi It" w:cs="Arial"/>
      <w:b/>
      <w:bCs/>
      <w:szCs w:val="24"/>
      <w:lang w:val="en-US" w:eastAsia="ar-SA"/>
    </w:rPr>
  </w:style>
  <w:style w:type="paragraph" w:customStyle="1" w:styleId="ListParagraph1">
    <w:name w:val="List Paragraph1"/>
    <w:basedOn w:val="Normal"/>
    <w:rsid w:val="0094086E"/>
    <w:pPr>
      <w:widowControl w:val="0"/>
      <w:suppressAutoHyphens/>
      <w:overflowPunct w:val="0"/>
      <w:autoSpaceDE w:val="0"/>
      <w:spacing w:after="0" w:line="240" w:lineRule="auto"/>
      <w:textAlignment w:val="baseline"/>
    </w:pPr>
    <w:rPr>
      <w:rFonts w:eastAsia="MS Mincho" w:cs="Times New Roman"/>
      <w:szCs w:val="20"/>
      <w:lang w:val="en-AU" w:eastAsia="ar-SA"/>
    </w:rPr>
  </w:style>
  <w:style w:type="paragraph" w:customStyle="1" w:styleId="CommentText1">
    <w:name w:val="Comment Text1"/>
    <w:basedOn w:val="Normal"/>
    <w:rsid w:val="0094086E"/>
    <w:pPr>
      <w:widowControl w:val="0"/>
      <w:suppressAutoHyphens/>
      <w:overflowPunct w:val="0"/>
      <w:autoSpaceDE w:val="0"/>
      <w:spacing w:after="0" w:line="240" w:lineRule="auto"/>
      <w:textAlignment w:val="baseline"/>
    </w:pPr>
    <w:rPr>
      <w:rFonts w:eastAsia="MS Mincho" w:cs="Times New Roman"/>
      <w:szCs w:val="20"/>
      <w:lang w:val="en-AU" w:eastAsia="ar-SA"/>
    </w:rPr>
  </w:style>
  <w:style w:type="paragraph" w:customStyle="1" w:styleId="ListParagraph2">
    <w:name w:val="List Paragraph2"/>
    <w:basedOn w:val="Normal"/>
    <w:rsid w:val="0094086E"/>
    <w:pPr>
      <w:widowControl w:val="0"/>
      <w:suppressAutoHyphens/>
      <w:overflowPunct w:val="0"/>
      <w:autoSpaceDE w:val="0"/>
      <w:spacing w:after="0" w:line="240" w:lineRule="auto"/>
      <w:textAlignment w:val="baseline"/>
    </w:pPr>
    <w:rPr>
      <w:rFonts w:eastAsia="MS Mincho" w:cs="Times New Roman"/>
      <w:szCs w:val="20"/>
      <w:lang w:val="en-AU" w:eastAsia="ar-SA"/>
    </w:rPr>
  </w:style>
  <w:style w:type="paragraph" w:customStyle="1" w:styleId="Contenutotabella">
    <w:name w:val="Contenuto tabella"/>
    <w:basedOn w:val="Normal"/>
    <w:rsid w:val="0094086E"/>
    <w:pPr>
      <w:widowControl w:val="0"/>
      <w:suppressLineNumbers/>
      <w:suppressAutoHyphens/>
      <w:overflowPunct w:val="0"/>
      <w:autoSpaceDE w:val="0"/>
      <w:spacing w:after="0" w:line="240" w:lineRule="auto"/>
      <w:textAlignment w:val="baseline"/>
    </w:pPr>
    <w:rPr>
      <w:rFonts w:eastAsia="MS Mincho" w:cs="Times New Roman"/>
      <w:szCs w:val="20"/>
      <w:lang w:val="en-AU" w:eastAsia="ar-SA"/>
    </w:rPr>
  </w:style>
  <w:style w:type="paragraph" w:customStyle="1" w:styleId="Intestazionetabella">
    <w:name w:val="Intestazione tabella"/>
    <w:basedOn w:val="Contenutotabella"/>
    <w:rsid w:val="0094086E"/>
    <w:pPr>
      <w:jc w:val="center"/>
    </w:pPr>
    <w:rPr>
      <w:b/>
      <w:bCs/>
    </w:rPr>
  </w:style>
  <w:style w:type="paragraph" w:customStyle="1" w:styleId="Testofumetto">
    <w:name w:val="Testo fumetto"/>
    <w:basedOn w:val="Normal"/>
    <w:rsid w:val="0094086E"/>
    <w:pPr>
      <w:widowControl w:val="0"/>
      <w:suppressAutoHyphens/>
      <w:overflowPunct w:val="0"/>
      <w:autoSpaceDE w:val="0"/>
      <w:spacing w:after="0" w:line="240" w:lineRule="auto"/>
      <w:textAlignment w:val="baseline"/>
    </w:pPr>
    <w:rPr>
      <w:rFonts w:ascii="Tahoma" w:eastAsia="MS Mincho" w:hAnsi="Tahoma" w:cs="Tahoma"/>
      <w:sz w:val="16"/>
      <w:szCs w:val="16"/>
      <w:lang w:val="en-AU" w:eastAsia="ar-SA"/>
    </w:rPr>
  </w:style>
  <w:style w:type="paragraph" w:customStyle="1" w:styleId="Testocommento">
    <w:name w:val="Testo commento"/>
    <w:basedOn w:val="Normal"/>
    <w:rsid w:val="0094086E"/>
    <w:pPr>
      <w:widowControl w:val="0"/>
      <w:suppressAutoHyphens/>
      <w:overflowPunct w:val="0"/>
      <w:autoSpaceDE w:val="0"/>
      <w:spacing w:after="0" w:line="240" w:lineRule="auto"/>
      <w:textAlignment w:val="baseline"/>
    </w:pPr>
    <w:rPr>
      <w:rFonts w:eastAsia="MS Mincho" w:cs="Times New Roman"/>
      <w:szCs w:val="20"/>
      <w:lang w:val="en-AU" w:eastAsia="ar-SA"/>
    </w:rPr>
  </w:style>
  <w:style w:type="paragraph" w:customStyle="1" w:styleId="Soggettocommento">
    <w:name w:val="Soggetto commento"/>
    <w:basedOn w:val="Testocommento"/>
    <w:next w:val="Testocommento"/>
    <w:rsid w:val="0094086E"/>
    <w:rPr>
      <w:b/>
      <w:bCs/>
    </w:rPr>
  </w:style>
  <w:style w:type="paragraph" w:customStyle="1" w:styleId="DefaultLTGliederung1">
    <w:name w:val="Default~LT~Gliederung 1"/>
    <w:rsid w:val="0094086E"/>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after="0" w:line="240" w:lineRule="auto"/>
    </w:pPr>
    <w:rPr>
      <w:rFonts w:ascii="Arial" w:eastAsia="Arial" w:hAnsi="Arial" w:cs="Arial"/>
      <w:color w:val="000000"/>
      <w:sz w:val="64"/>
      <w:szCs w:val="64"/>
      <w:lang w:val="it-IT" w:eastAsia="hi-IN" w:bidi="hi-IN"/>
    </w:rPr>
  </w:style>
  <w:style w:type="character" w:customStyle="1" w:styleId="TextedebullesCar1">
    <w:name w:val="Texte de bulles Car1"/>
    <w:uiPriority w:val="99"/>
    <w:semiHidden/>
    <w:rsid w:val="0094086E"/>
    <w:rPr>
      <w:rFonts w:ascii="Tahoma" w:eastAsia="MS Mincho" w:hAnsi="Tahoma" w:cs="Tahoma"/>
      <w:sz w:val="16"/>
      <w:szCs w:val="16"/>
      <w:lang w:val="en-AU" w:eastAsia="ar-SA"/>
    </w:rPr>
  </w:style>
  <w:style w:type="character" w:customStyle="1" w:styleId="ObjetducommentaireCar1">
    <w:name w:val="Objet du commentaire Car1"/>
    <w:uiPriority w:val="99"/>
    <w:semiHidden/>
    <w:rsid w:val="0094086E"/>
    <w:rPr>
      <w:rFonts w:eastAsia="MS Mincho"/>
      <w:b/>
      <w:bCs/>
      <w:lang w:val="en-AU" w:eastAsia="ar-SA"/>
    </w:rPr>
  </w:style>
  <w:style w:type="character" w:customStyle="1" w:styleId="Corpsdetexte2Car1">
    <w:name w:val="Corps de texte 2 Car1"/>
    <w:uiPriority w:val="99"/>
    <w:semiHidden/>
    <w:rsid w:val="0094086E"/>
    <w:rPr>
      <w:rFonts w:eastAsia="MS Mincho"/>
      <w:lang w:val="en-AU" w:eastAsia="ar-SA"/>
    </w:rPr>
  </w:style>
  <w:style w:type="paragraph" w:customStyle="1" w:styleId="xl64">
    <w:name w:val="xl64"/>
    <w:basedOn w:val="Normal"/>
    <w:rsid w:val="0094086E"/>
    <w:pP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65">
    <w:name w:val="xl65"/>
    <w:basedOn w:val="Normal"/>
    <w:rsid w:val="0094086E"/>
    <w:pP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66">
    <w:name w:val="xl66"/>
    <w:basedOn w:val="Normal"/>
    <w:rsid w:val="0094086E"/>
    <w:pP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67">
    <w:name w:val="xl67"/>
    <w:basedOn w:val="Normal"/>
    <w:rsid w:val="0094086E"/>
    <w:pPr>
      <w:spacing w:before="100" w:beforeAutospacing="1" w:after="100" w:afterAutospacing="1" w:line="240" w:lineRule="auto"/>
    </w:pPr>
    <w:rPr>
      <w:rFonts w:eastAsia="Times New Roman" w:cs="Times New Roman"/>
      <w:sz w:val="16"/>
      <w:szCs w:val="16"/>
      <w:lang w:val="fr-FR" w:eastAsia="fr-FR"/>
    </w:rPr>
  </w:style>
  <w:style w:type="paragraph" w:customStyle="1" w:styleId="xl68">
    <w:name w:val="xl68"/>
    <w:basedOn w:val="Normal"/>
    <w:rsid w:val="0094086E"/>
    <w:pPr>
      <w:spacing w:before="100" w:beforeAutospacing="1" w:after="100" w:afterAutospacing="1" w:line="240" w:lineRule="auto"/>
      <w:jc w:val="center"/>
    </w:pPr>
    <w:rPr>
      <w:rFonts w:eastAsia="Times New Roman" w:cs="Times New Roman"/>
      <w:color w:val="000000"/>
      <w:sz w:val="16"/>
      <w:szCs w:val="16"/>
      <w:lang w:val="fr-FR" w:eastAsia="fr-FR"/>
    </w:rPr>
  </w:style>
  <w:style w:type="paragraph" w:customStyle="1" w:styleId="xl69">
    <w:name w:val="xl69"/>
    <w:basedOn w:val="Normal"/>
    <w:rsid w:val="0094086E"/>
    <w:pPr>
      <w:pBdr>
        <w:left w:val="single" w:sz="4" w:space="0" w:color="auto"/>
        <w:bottom w:val="single" w:sz="4" w:space="0" w:color="auto"/>
      </w:pBd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70">
    <w:name w:val="xl70"/>
    <w:basedOn w:val="Normal"/>
    <w:rsid w:val="0094086E"/>
    <w:pPr>
      <w:pBdr>
        <w:bottom w:val="single" w:sz="4" w:space="0" w:color="auto"/>
      </w:pBd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71">
    <w:name w:val="xl71"/>
    <w:basedOn w:val="Normal"/>
    <w:rsid w:val="0094086E"/>
    <w:pPr>
      <w:pBdr>
        <w:bottom w:val="single" w:sz="4" w:space="0" w:color="auto"/>
      </w:pBd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72">
    <w:name w:val="xl72"/>
    <w:basedOn w:val="Normal"/>
    <w:rsid w:val="0094086E"/>
    <w:pPr>
      <w:pBdr>
        <w:bottom w:val="single" w:sz="4" w:space="0" w:color="auto"/>
      </w:pBdr>
      <w:spacing w:before="100" w:beforeAutospacing="1" w:after="100" w:afterAutospacing="1" w:line="240" w:lineRule="auto"/>
      <w:jc w:val="center"/>
    </w:pPr>
    <w:rPr>
      <w:rFonts w:eastAsia="Times New Roman" w:cs="Times New Roman"/>
      <w:color w:val="000000"/>
      <w:sz w:val="16"/>
      <w:szCs w:val="16"/>
      <w:lang w:val="fr-FR" w:eastAsia="fr-FR"/>
    </w:rPr>
  </w:style>
  <w:style w:type="paragraph" w:customStyle="1" w:styleId="xl73">
    <w:name w:val="xl73"/>
    <w:basedOn w:val="Normal"/>
    <w:rsid w:val="0094086E"/>
    <w:pPr>
      <w:pBdr>
        <w:bottom w:val="single" w:sz="4" w:space="0" w:color="auto"/>
        <w:right w:val="single" w:sz="4" w:space="0" w:color="auto"/>
      </w:pBd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74">
    <w:name w:val="xl74"/>
    <w:basedOn w:val="Normal"/>
    <w:rsid w:val="0094086E"/>
    <w:pPr>
      <w:pBdr>
        <w:top w:val="single" w:sz="4" w:space="0" w:color="auto"/>
      </w:pBd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75">
    <w:name w:val="xl75"/>
    <w:basedOn w:val="Normal"/>
    <w:rsid w:val="0094086E"/>
    <w:pP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76">
    <w:name w:val="xl76"/>
    <w:basedOn w:val="Normal"/>
    <w:rsid w:val="0094086E"/>
    <w:pPr>
      <w:pBdr>
        <w:bottom w:val="single" w:sz="4" w:space="0" w:color="auto"/>
      </w:pBdr>
      <w:shd w:val="clear" w:color="000000" w:fill="D9D9D9"/>
      <w:spacing w:before="100" w:beforeAutospacing="1" w:after="100" w:afterAutospacing="1" w:line="240" w:lineRule="auto"/>
      <w:jc w:val="center"/>
    </w:pPr>
    <w:rPr>
      <w:rFonts w:eastAsia="Times New Roman" w:cs="Times New Roman"/>
      <w:color w:val="000000"/>
      <w:sz w:val="16"/>
      <w:szCs w:val="16"/>
      <w:lang w:val="fr-FR" w:eastAsia="fr-FR"/>
    </w:rPr>
  </w:style>
  <w:style w:type="paragraph" w:customStyle="1" w:styleId="xl77">
    <w:name w:val="xl77"/>
    <w:basedOn w:val="Normal"/>
    <w:rsid w:val="0094086E"/>
    <w:pPr>
      <w:pBdr>
        <w:top w:val="single" w:sz="4" w:space="0" w:color="auto"/>
        <w:left w:val="single" w:sz="4" w:space="0" w:color="auto"/>
      </w:pBd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78">
    <w:name w:val="xl78"/>
    <w:basedOn w:val="Normal"/>
    <w:rsid w:val="0094086E"/>
    <w:pPr>
      <w:pBdr>
        <w:top w:val="single" w:sz="4" w:space="0" w:color="auto"/>
      </w:pBd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79">
    <w:name w:val="xl79"/>
    <w:basedOn w:val="Normal"/>
    <w:rsid w:val="0094086E"/>
    <w:pPr>
      <w:pBdr>
        <w:top w:val="single" w:sz="4" w:space="0" w:color="auto"/>
        <w:right w:val="single" w:sz="4" w:space="0" w:color="auto"/>
      </w:pBd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80">
    <w:name w:val="xl80"/>
    <w:basedOn w:val="Normal"/>
    <w:rsid w:val="0094086E"/>
    <w:pPr>
      <w:pBdr>
        <w:left w:val="single" w:sz="4" w:space="0" w:color="auto"/>
      </w:pBd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81">
    <w:name w:val="xl81"/>
    <w:basedOn w:val="Normal"/>
    <w:rsid w:val="0094086E"/>
    <w:pP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82">
    <w:name w:val="xl82"/>
    <w:basedOn w:val="Normal"/>
    <w:rsid w:val="0094086E"/>
    <w:pPr>
      <w:pBdr>
        <w:right w:val="single" w:sz="4" w:space="0" w:color="auto"/>
      </w:pBdr>
      <w:shd w:val="clear" w:color="000000" w:fill="D9D9D9"/>
      <w:spacing w:before="100" w:beforeAutospacing="1" w:after="100" w:afterAutospacing="1" w:line="240" w:lineRule="auto"/>
      <w:jc w:val="center"/>
    </w:pPr>
    <w:rPr>
      <w:rFonts w:eastAsia="Times New Roman" w:cs="Times New Roman"/>
      <w:b/>
      <w:bCs/>
      <w:color w:val="000000"/>
      <w:sz w:val="16"/>
      <w:szCs w:val="16"/>
      <w:u w:val="single"/>
      <w:lang w:val="fr-FR" w:eastAsia="fr-FR"/>
    </w:rPr>
  </w:style>
  <w:style w:type="paragraph" w:customStyle="1" w:styleId="xl83">
    <w:name w:val="xl83"/>
    <w:basedOn w:val="Normal"/>
    <w:rsid w:val="0094086E"/>
    <w:pPr>
      <w:pBdr>
        <w:left w:val="single" w:sz="4" w:space="0" w:color="auto"/>
        <w:bottom w:val="single" w:sz="4" w:space="0" w:color="auto"/>
      </w:pBdr>
      <w:shd w:val="clear" w:color="000000" w:fill="D9D9D9"/>
      <w:spacing w:before="100" w:beforeAutospacing="1" w:after="100" w:afterAutospacing="1" w:line="240" w:lineRule="auto"/>
      <w:jc w:val="center"/>
    </w:pPr>
    <w:rPr>
      <w:rFonts w:eastAsia="Times New Roman" w:cs="Times New Roman"/>
      <w:color w:val="000000"/>
      <w:sz w:val="16"/>
      <w:szCs w:val="16"/>
      <w:lang w:val="fr-FR" w:eastAsia="fr-FR"/>
    </w:rPr>
  </w:style>
  <w:style w:type="paragraph" w:customStyle="1" w:styleId="xl84">
    <w:name w:val="xl84"/>
    <w:basedOn w:val="Normal"/>
    <w:rsid w:val="0094086E"/>
    <w:pPr>
      <w:pBdr>
        <w:bottom w:val="single" w:sz="4" w:space="0" w:color="auto"/>
      </w:pBdr>
      <w:shd w:val="clear" w:color="000000" w:fill="D9D9D9"/>
      <w:spacing w:before="100" w:beforeAutospacing="1" w:after="100" w:afterAutospacing="1" w:line="240" w:lineRule="auto"/>
      <w:jc w:val="center"/>
    </w:pPr>
    <w:rPr>
      <w:rFonts w:eastAsia="Times New Roman" w:cs="Times New Roman"/>
      <w:color w:val="000000"/>
      <w:sz w:val="16"/>
      <w:szCs w:val="16"/>
      <w:lang w:val="fr-FR" w:eastAsia="fr-FR"/>
    </w:rPr>
  </w:style>
  <w:style w:type="paragraph" w:customStyle="1" w:styleId="xl85">
    <w:name w:val="xl85"/>
    <w:basedOn w:val="Normal"/>
    <w:rsid w:val="0094086E"/>
    <w:pPr>
      <w:pBdr>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cs="Times New Roman"/>
      <w:color w:val="000000"/>
      <w:sz w:val="16"/>
      <w:szCs w:val="16"/>
      <w:lang w:val="fr-FR" w:eastAsia="fr-FR"/>
    </w:rPr>
  </w:style>
  <w:style w:type="paragraph" w:customStyle="1" w:styleId="xl86">
    <w:name w:val="xl86"/>
    <w:basedOn w:val="Normal"/>
    <w:rsid w:val="0094086E"/>
    <w:pPr>
      <w:pBdr>
        <w:left w:val="single" w:sz="4" w:space="0" w:color="auto"/>
      </w:pBdr>
      <w:shd w:val="clear" w:color="000000" w:fill="DDD9C4"/>
      <w:spacing w:before="100" w:beforeAutospacing="1" w:after="100" w:afterAutospacing="1" w:line="240" w:lineRule="auto"/>
    </w:pPr>
    <w:rPr>
      <w:rFonts w:eastAsia="Times New Roman" w:cs="Times New Roman"/>
      <w:b/>
      <w:bCs/>
      <w:color w:val="000000"/>
      <w:sz w:val="16"/>
      <w:szCs w:val="16"/>
      <w:lang w:val="fr-FR" w:eastAsia="fr-FR"/>
    </w:rPr>
  </w:style>
  <w:style w:type="paragraph" w:customStyle="1" w:styleId="xl87">
    <w:name w:val="xl87"/>
    <w:basedOn w:val="Normal"/>
    <w:rsid w:val="0094086E"/>
    <w:pPr>
      <w:shd w:val="clear" w:color="000000" w:fill="DDD9C4"/>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88">
    <w:name w:val="xl88"/>
    <w:basedOn w:val="Normal"/>
    <w:rsid w:val="0094086E"/>
    <w:pPr>
      <w:shd w:val="clear" w:color="000000" w:fill="DDD9C4"/>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89">
    <w:name w:val="xl89"/>
    <w:basedOn w:val="Normal"/>
    <w:rsid w:val="0094086E"/>
    <w:pPr>
      <w:shd w:val="clear" w:color="000000" w:fill="DDD9C4"/>
      <w:spacing w:before="100" w:beforeAutospacing="1" w:after="100" w:afterAutospacing="1" w:line="240" w:lineRule="auto"/>
      <w:jc w:val="center"/>
    </w:pPr>
    <w:rPr>
      <w:rFonts w:eastAsia="Times New Roman" w:cs="Times New Roman"/>
      <w:color w:val="000000"/>
      <w:sz w:val="16"/>
      <w:szCs w:val="16"/>
      <w:lang w:val="fr-FR" w:eastAsia="fr-FR"/>
    </w:rPr>
  </w:style>
  <w:style w:type="paragraph" w:customStyle="1" w:styleId="xl90">
    <w:name w:val="xl90"/>
    <w:basedOn w:val="Normal"/>
    <w:rsid w:val="0094086E"/>
    <w:pPr>
      <w:pBdr>
        <w:right w:val="single" w:sz="4" w:space="0" w:color="auto"/>
      </w:pBdr>
      <w:shd w:val="clear" w:color="000000" w:fill="DDD9C4"/>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91">
    <w:name w:val="xl91"/>
    <w:basedOn w:val="Normal"/>
    <w:rsid w:val="0094086E"/>
    <w:pPr>
      <w:pBdr>
        <w:left w:val="single" w:sz="4" w:space="0" w:color="auto"/>
      </w:pBd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92">
    <w:name w:val="xl92"/>
    <w:basedOn w:val="Normal"/>
    <w:rsid w:val="0094086E"/>
    <w:pPr>
      <w:pBdr>
        <w:right w:val="single" w:sz="4" w:space="0" w:color="auto"/>
      </w:pBdr>
      <w:spacing w:before="100" w:beforeAutospacing="1" w:after="100" w:afterAutospacing="1" w:line="240" w:lineRule="auto"/>
    </w:pPr>
    <w:rPr>
      <w:rFonts w:eastAsia="Times New Roman" w:cs="Times New Roman"/>
      <w:color w:val="000000"/>
      <w:sz w:val="16"/>
      <w:szCs w:val="16"/>
      <w:lang w:val="fr-FR" w:eastAsia="fr-FR"/>
    </w:rPr>
  </w:style>
  <w:style w:type="paragraph" w:customStyle="1" w:styleId="xl93">
    <w:name w:val="xl93"/>
    <w:basedOn w:val="Normal"/>
    <w:rsid w:val="0094086E"/>
    <w:pPr>
      <w:pBdr>
        <w:left w:val="single" w:sz="4" w:space="0" w:color="auto"/>
      </w:pBdr>
      <w:spacing w:before="100" w:beforeAutospacing="1" w:after="100" w:afterAutospacing="1" w:line="240" w:lineRule="auto"/>
    </w:pPr>
    <w:rPr>
      <w:rFonts w:eastAsia="Times New Roman" w:cs="Times New Roman"/>
      <w:i/>
      <w:iCs/>
      <w:color w:val="000000"/>
      <w:sz w:val="16"/>
      <w:szCs w:val="16"/>
      <w:lang w:val="fr-FR" w:eastAsia="fr-FR"/>
    </w:rPr>
  </w:style>
  <w:style w:type="paragraph" w:customStyle="1" w:styleId="xl94">
    <w:name w:val="xl94"/>
    <w:basedOn w:val="Normal"/>
    <w:rsid w:val="0094086E"/>
    <w:pPr>
      <w:spacing w:before="100" w:beforeAutospacing="1" w:after="100" w:afterAutospacing="1" w:line="240" w:lineRule="auto"/>
    </w:pPr>
    <w:rPr>
      <w:rFonts w:eastAsia="Times New Roman" w:cs="Times New Roman"/>
      <w:color w:val="FF0000"/>
      <w:sz w:val="16"/>
      <w:szCs w:val="16"/>
      <w:lang w:val="fr-FR" w:eastAsia="fr-FR"/>
    </w:rPr>
  </w:style>
  <w:style w:type="paragraph" w:customStyle="1" w:styleId="xl95">
    <w:name w:val="xl95"/>
    <w:basedOn w:val="Normal"/>
    <w:rsid w:val="0094086E"/>
    <w:pPr>
      <w:pBdr>
        <w:left w:val="single" w:sz="4" w:space="0" w:color="auto"/>
      </w:pBdr>
      <w:spacing w:before="100" w:beforeAutospacing="1" w:after="100" w:afterAutospacing="1" w:line="240" w:lineRule="auto"/>
    </w:pPr>
    <w:rPr>
      <w:rFonts w:eastAsia="Times New Roman" w:cs="Times New Roman"/>
      <w:sz w:val="16"/>
      <w:szCs w:val="16"/>
      <w:lang w:val="fr-FR" w:eastAsia="fr-FR"/>
    </w:rPr>
  </w:style>
  <w:style w:type="paragraph" w:customStyle="1" w:styleId="xl96">
    <w:name w:val="xl96"/>
    <w:basedOn w:val="Normal"/>
    <w:rsid w:val="0094086E"/>
    <w:pPr>
      <w:spacing w:before="100" w:beforeAutospacing="1" w:after="100" w:afterAutospacing="1" w:line="240" w:lineRule="auto"/>
    </w:pPr>
    <w:rPr>
      <w:rFonts w:eastAsia="Times New Roman" w:cs="Times New Roman"/>
      <w:sz w:val="16"/>
      <w:szCs w:val="16"/>
      <w:lang w:val="fr-FR" w:eastAsia="fr-FR"/>
    </w:rPr>
  </w:style>
  <w:style w:type="paragraph" w:customStyle="1" w:styleId="xl97">
    <w:name w:val="xl97"/>
    <w:basedOn w:val="Normal"/>
    <w:rsid w:val="0094086E"/>
    <w:pPr>
      <w:spacing w:before="100" w:beforeAutospacing="1" w:after="100" w:afterAutospacing="1" w:line="240" w:lineRule="auto"/>
      <w:jc w:val="center"/>
    </w:pPr>
    <w:rPr>
      <w:rFonts w:eastAsia="Times New Roman" w:cs="Times New Roman"/>
      <w:sz w:val="16"/>
      <w:szCs w:val="16"/>
      <w:lang w:val="fr-FR" w:eastAsia="fr-FR"/>
    </w:rPr>
  </w:style>
  <w:style w:type="paragraph" w:customStyle="1" w:styleId="xl98">
    <w:name w:val="xl98"/>
    <w:basedOn w:val="Normal"/>
    <w:rsid w:val="0094086E"/>
    <w:pPr>
      <w:pBdr>
        <w:right w:val="single" w:sz="4" w:space="0" w:color="auto"/>
      </w:pBdr>
      <w:spacing w:before="100" w:beforeAutospacing="1" w:after="100" w:afterAutospacing="1" w:line="240" w:lineRule="auto"/>
    </w:pPr>
    <w:rPr>
      <w:rFonts w:eastAsia="Times New Roman" w:cs="Times New Roman"/>
      <w:sz w:val="16"/>
      <w:szCs w:val="16"/>
      <w:lang w:val="fr-FR" w:eastAsia="fr-FR"/>
    </w:rPr>
  </w:style>
  <w:style w:type="paragraph" w:customStyle="1" w:styleId="xl99">
    <w:name w:val="xl99"/>
    <w:basedOn w:val="Normal"/>
    <w:rsid w:val="0094086E"/>
    <w:pPr>
      <w:spacing w:before="100" w:beforeAutospacing="1" w:after="100" w:afterAutospacing="1" w:line="240" w:lineRule="auto"/>
    </w:pPr>
    <w:rPr>
      <w:rFonts w:eastAsia="Times New Roman" w:cs="Times New Roman"/>
      <w:color w:val="FF0000"/>
      <w:sz w:val="16"/>
      <w:szCs w:val="16"/>
      <w:lang w:val="fr-FR" w:eastAsia="fr-FR"/>
    </w:rPr>
  </w:style>
  <w:style w:type="paragraph" w:customStyle="1" w:styleId="xl100">
    <w:name w:val="xl100"/>
    <w:basedOn w:val="Normal"/>
    <w:rsid w:val="0094086E"/>
    <w:pPr>
      <w:pBdr>
        <w:left w:val="single" w:sz="4" w:space="0" w:color="auto"/>
      </w:pBdr>
      <w:spacing w:before="100" w:beforeAutospacing="1" w:after="100" w:afterAutospacing="1" w:line="240" w:lineRule="auto"/>
    </w:pPr>
    <w:rPr>
      <w:rFonts w:eastAsia="Times New Roman" w:cs="Times New Roman"/>
      <w:color w:val="000000"/>
      <w:sz w:val="16"/>
      <w:szCs w:val="16"/>
      <w:lang w:val="fr-FR" w:eastAsia="fr-FR"/>
    </w:rPr>
  </w:style>
  <w:style w:type="table" w:customStyle="1" w:styleId="Trameclaire-Accent11">
    <w:name w:val="Trame claire - Accent 11"/>
    <w:basedOn w:val="TableauNormal"/>
    <w:uiPriority w:val="60"/>
    <w:rsid w:val="0094086E"/>
    <w:pPr>
      <w:spacing w:after="0" w:line="240" w:lineRule="auto"/>
    </w:pPr>
    <w:rPr>
      <w:rFonts w:ascii="Calibri" w:eastAsia="Calibri" w:hAnsi="Calibri" w:cs="Times New Roman"/>
      <w:color w:val="365F91"/>
      <w:sz w:val="20"/>
      <w:szCs w:val="20"/>
      <w:lang w:val="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Ombrageclair1">
    <w:name w:val="Ombrage clair1"/>
    <w:basedOn w:val="TableauNormal"/>
    <w:uiPriority w:val="60"/>
    <w:rsid w:val="0094086E"/>
    <w:pPr>
      <w:spacing w:after="0" w:line="240" w:lineRule="auto"/>
    </w:pPr>
    <w:rPr>
      <w:rFonts w:ascii="Calibri" w:eastAsia="Calibri" w:hAnsi="Calibri" w:cs="Times New Roman"/>
      <w:color w:val="000000"/>
      <w:sz w:val="20"/>
      <w:szCs w:val="20"/>
      <w:lang w:val="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En-tteCar1">
    <w:name w:val="En-tête Car1"/>
    <w:uiPriority w:val="99"/>
    <w:rsid w:val="0094086E"/>
    <w:rPr>
      <w:rFonts w:eastAsia="MS Mincho"/>
      <w:lang w:eastAsia="ar-SA"/>
    </w:rPr>
  </w:style>
  <w:style w:type="paragraph" w:customStyle="1" w:styleId="paramarge1">
    <w:name w:val="paramarge"/>
    <w:basedOn w:val="Normal"/>
    <w:uiPriority w:val="99"/>
    <w:semiHidden/>
    <w:rsid w:val="0094086E"/>
    <w:pPr>
      <w:spacing w:before="100" w:beforeAutospacing="1" w:after="100" w:afterAutospacing="1" w:line="240" w:lineRule="auto"/>
    </w:pPr>
    <w:rPr>
      <w:rFonts w:eastAsia="Calibri" w:cs="Times New Roman"/>
      <w:sz w:val="24"/>
      <w:szCs w:val="24"/>
      <w:lang w:val="en-US"/>
    </w:rPr>
  </w:style>
  <w:style w:type="character" w:customStyle="1" w:styleId="blue">
    <w:name w:val="blue"/>
    <w:basedOn w:val="Policepardfaut"/>
    <w:rsid w:val="0094086E"/>
  </w:style>
  <w:style w:type="numbering" w:customStyle="1" w:styleId="Aucuneliste3">
    <w:name w:val="Aucune liste3"/>
    <w:next w:val="Aucuneliste"/>
    <w:uiPriority w:val="99"/>
    <w:semiHidden/>
    <w:unhideWhenUsed/>
    <w:rsid w:val="0094086E"/>
  </w:style>
  <w:style w:type="numbering" w:customStyle="1" w:styleId="Aucuneliste4">
    <w:name w:val="Aucune liste4"/>
    <w:next w:val="Aucuneliste"/>
    <w:uiPriority w:val="99"/>
    <w:semiHidden/>
    <w:unhideWhenUsed/>
    <w:rsid w:val="0094086E"/>
  </w:style>
  <w:style w:type="table" w:customStyle="1" w:styleId="Grilledutableau2">
    <w:name w:val="Grille du tableau2"/>
    <w:basedOn w:val="TableauNormal"/>
    <w:next w:val="Grilledutableau"/>
    <w:rsid w:val="0094086E"/>
    <w:pPr>
      <w:spacing w:after="0" w:line="240" w:lineRule="auto"/>
    </w:pPr>
    <w:rPr>
      <w:rFonts w:ascii="Times New Roman" w:eastAsia="SimSu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icleSection1">
    <w:name w:val="Article / Section1"/>
    <w:basedOn w:val="Aucuneliste"/>
    <w:next w:val="ArticleSection"/>
    <w:rsid w:val="0094086E"/>
  </w:style>
  <w:style w:type="numbering" w:customStyle="1" w:styleId="1ai1">
    <w:name w:val="1 / a / i1"/>
    <w:basedOn w:val="Aucuneliste"/>
    <w:next w:val="1ai"/>
    <w:rsid w:val="0094086E"/>
  </w:style>
  <w:style w:type="numbering" w:customStyle="1" w:styleId="1111111">
    <w:name w:val="1 / 1.1 / 1.1.11"/>
    <w:basedOn w:val="Aucuneliste"/>
    <w:next w:val="111111"/>
    <w:rsid w:val="0094086E"/>
  </w:style>
  <w:style w:type="numbering" w:customStyle="1" w:styleId="Aucuneliste5">
    <w:name w:val="Aucune liste5"/>
    <w:next w:val="Aucuneliste"/>
    <w:uiPriority w:val="99"/>
    <w:semiHidden/>
    <w:unhideWhenUsed/>
    <w:rsid w:val="0094086E"/>
  </w:style>
  <w:style w:type="table" w:customStyle="1" w:styleId="Grilledutableau3">
    <w:name w:val="Grille du tableau3"/>
    <w:basedOn w:val="TableauNormal"/>
    <w:next w:val="Grilledutableau"/>
    <w:rsid w:val="0094086E"/>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6">
    <w:name w:val="Aucune liste6"/>
    <w:next w:val="Aucuneliste"/>
    <w:uiPriority w:val="99"/>
    <w:semiHidden/>
    <w:unhideWhenUsed/>
    <w:rsid w:val="0094086E"/>
  </w:style>
  <w:style w:type="table" w:customStyle="1" w:styleId="Grilledutableau4">
    <w:name w:val="Grille du tableau4"/>
    <w:basedOn w:val="TableauNormal"/>
    <w:next w:val="Grilledutableau"/>
    <w:rsid w:val="0094086E"/>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maire-libelle-chapitre">
    <w:name w:val="sommaire-libelle-chapitre"/>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1111">
    <w:name w:val="1.1.1.1."/>
    <w:basedOn w:val="Titre4"/>
    <w:qFormat/>
    <w:rsid w:val="0094086E"/>
    <w:pPr>
      <w:tabs>
        <w:tab w:val="num" w:pos="360"/>
      </w:tabs>
      <w:spacing w:before="0" w:after="240" w:line="240" w:lineRule="auto"/>
      <w:ind w:left="567"/>
    </w:pPr>
    <w:rPr>
      <w:rFonts w:ascii="Ottawa" w:eastAsia="Times New Roman" w:hAnsi="Ottawa" w:cs="Times New Roman"/>
      <w:bCs/>
      <w:i w:val="0"/>
      <w:color w:val="auto"/>
      <w:sz w:val="18"/>
      <w:szCs w:val="24"/>
    </w:rPr>
  </w:style>
  <w:style w:type="paragraph" w:customStyle="1" w:styleId="11111">
    <w:name w:val="1.1.1.1.1."/>
    <w:basedOn w:val="1111"/>
    <w:qFormat/>
    <w:rsid w:val="0094086E"/>
    <w:rPr>
      <w:b/>
      <w:i/>
      <w:lang w:val="en-IE"/>
    </w:rPr>
  </w:style>
  <w:style w:type="paragraph" w:customStyle="1" w:styleId="1111110">
    <w:name w:val="1.1.1.1.1.1."/>
    <w:basedOn w:val="11111"/>
    <w:qFormat/>
    <w:rsid w:val="0094086E"/>
    <w:pPr>
      <w:ind w:left="851"/>
    </w:pPr>
  </w:style>
  <w:style w:type="numbering" w:customStyle="1" w:styleId="Aucuneliste7">
    <w:name w:val="Aucune liste7"/>
    <w:next w:val="Aucuneliste"/>
    <w:uiPriority w:val="99"/>
    <w:semiHidden/>
    <w:unhideWhenUsed/>
    <w:rsid w:val="0094086E"/>
  </w:style>
  <w:style w:type="numbering" w:customStyle="1" w:styleId="Aucuneliste8">
    <w:name w:val="Aucune liste8"/>
    <w:next w:val="Aucuneliste"/>
    <w:uiPriority w:val="99"/>
    <w:semiHidden/>
    <w:unhideWhenUsed/>
    <w:rsid w:val="0094086E"/>
  </w:style>
  <w:style w:type="character" w:customStyle="1" w:styleId="Para4Car">
    <w:name w:val="Para 4 Car"/>
    <w:link w:val="Para4"/>
    <w:rsid w:val="0094086E"/>
    <w:rPr>
      <w:rFonts w:ascii="Arial" w:eastAsia="Times New Roman" w:hAnsi="Arial" w:cs="Times New Roman"/>
      <w:bCs/>
      <w:sz w:val="18"/>
      <w:lang w:val="en-IE" w:eastAsia="fr-FR"/>
    </w:rPr>
  </w:style>
  <w:style w:type="character" w:customStyle="1" w:styleId="Parai5Car">
    <w:name w:val="Para i.5 Car"/>
    <w:link w:val="Parai5"/>
    <w:rsid w:val="0094086E"/>
    <w:rPr>
      <w:rFonts w:ascii="Arial" w:eastAsia="Times New Roman" w:hAnsi="Arial" w:cs="Times New Roman"/>
      <w:bCs/>
      <w:sz w:val="18"/>
      <w:lang w:val="en-IE" w:bidi="en-US"/>
    </w:rPr>
  </w:style>
  <w:style w:type="character" w:customStyle="1" w:styleId="BuffertextCar">
    <w:name w:val="Buffer text Car"/>
    <w:link w:val="Buffertext"/>
    <w:rsid w:val="0094086E"/>
    <w:rPr>
      <w:rFonts w:ascii="Arial" w:eastAsia="Times New Roman" w:hAnsi="Arial" w:cs="Arial"/>
      <w:bCs/>
      <w:sz w:val="18"/>
      <w:lang w:val="pt-BR" w:bidi="en-US"/>
    </w:rPr>
  </w:style>
  <w:style w:type="paragraph" w:customStyle="1" w:styleId="Diseasename">
    <w:name w:val="Disease name"/>
    <w:basedOn w:val="Normal"/>
    <w:qFormat/>
    <w:rsid w:val="0094086E"/>
    <w:pPr>
      <w:spacing w:before="240" w:after="240" w:line="360" w:lineRule="auto"/>
      <w:ind w:left="357"/>
      <w:jc w:val="center"/>
    </w:pPr>
    <w:rPr>
      <w:rFonts w:ascii="Rockwell" w:eastAsia="Times New Roman" w:hAnsi="Rockwell" w:cs="Times New Roman"/>
      <w:b/>
      <w:caps/>
      <w:spacing w:val="40"/>
      <w:sz w:val="28"/>
      <w:lang w:val="en-US" w:bidi="en-US"/>
    </w:rPr>
  </w:style>
  <w:style w:type="character" w:customStyle="1" w:styleId="Parai2Car">
    <w:name w:val="Para i.2 Car"/>
    <w:link w:val="Parai2"/>
    <w:rsid w:val="0094086E"/>
    <w:rPr>
      <w:rFonts w:ascii="Arial" w:eastAsia="Times New Roman" w:hAnsi="Arial" w:cs="Times New Roman"/>
      <w:sz w:val="18"/>
      <w:lang w:val="en-IE"/>
    </w:rPr>
  </w:style>
  <w:style w:type="character" w:customStyle="1" w:styleId="TabletitleCar">
    <w:name w:val="Table title Car"/>
    <w:link w:val="Tabletitle"/>
    <w:rsid w:val="0094086E"/>
    <w:rPr>
      <w:rFonts w:ascii="Ottawa" w:eastAsia="Times New Roman" w:hAnsi="Ottawa" w:cs="Times New Roman"/>
      <w:b/>
      <w:bCs/>
      <w:i/>
      <w:sz w:val="18"/>
      <w:lang w:val="en-IE" w:bidi="en-US"/>
    </w:rPr>
  </w:style>
  <w:style w:type="character" w:customStyle="1" w:styleId="TableHeadCar">
    <w:name w:val="Table Head Car"/>
    <w:link w:val="TableHead"/>
    <w:rsid w:val="0094086E"/>
    <w:rPr>
      <w:rFonts w:ascii="Ottawa" w:eastAsia="Times New Roman" w:hAnsi="Ottawa" w:cs="Times New Roman"/>
      <w:b/>
      <w:bCs/>
      <w:sz w:val="18"/>
      <w:lang w:val="en-IE" w:bidi="en-US"/>
    </w:rPr>
  </w:style>
  <w:style w:type="character" w:customStyle="1" w:styleId="buffertextlastCar">
    <w:name w:val="buffer text last Car"/>
    <w:link w:val="buffertextlast"/>
    <w:rsid w:val="0094086E"/>
    <w:rPr>
      <w:rFonts w:ascii="Arial" w:eastAsia="Times New Roman" w:hAnsi="Arial" w:cs="Arial"/>
      <w:bCs/>
      <w:sz w:val="18"/>
      <w:szCs w:val="18"/>
      <w:lang w:val="pt-BR" w:bidi="en-US"/>
    </w:rPr>
  </w:style>
  <w:style w:type="paragraph" w:customStyle="1" w:styleId="Title6a">
    <w:name w:val="Title 6a"/>
    <w:basedOn w:val="Title5a"/>
    <w:rsid w:val="0094086E"/>
    <w:pPr>
      <w:ind w:left="1559"/>
    </w:pPr>
    <w:rPr>
      <w:szCs w:val="20"/>
    </w:rPr>
  </w:style>
  <w:style w:type="paragraph" w:customStyle="1" w:styleId="Footnote">
    <w:name w:val="Footnote"/>
    <w:basedOn w:val="Note"/>
    <w:rsid w:val="0094086E"/>
    <w:pPr>
      <w:spacing w:before="120" w:after="120"/>
      <w:jc w:val="center"/>
    </w:pPr>
    <w:rPr>
      <w:rFonts w:ascii="Arial" w:hAnsi="Arial"/>
    </w:rPr>
  </w:style>
  <w:style w:type="paragraph" w:styleId="Explorateurdedocuments">
    <w:name w:val="Document Map"/>
    <w:basedOn w:val="Normal"/>
    <w:link w:val="ExplorateurdedocumentsCar"/>
    <w:semiHidden/>
    <w:rsid w:val="0094086E"/>
    <w:pPr>
      <w:shd w:val="clear" w:color="auto" w:fill="000080"/>
      <w:spacing w:before="240" w:after="240" w:line="360" w:lineRule="auto"/>
      <w:ind w:left="357" w:hanging="357"/>
    </w:pPr>
    <w:rPr>
      <w:rFonts w:ascii="Tahoma" w:eastAsia="Times New Roman" w:hAnsi="Tahoma" w:cs="Tahoma"/>
      <w:szCs w:val="20"/>
      <w:lang w:val="en-US" w:bidi="en-US"/>
    </w:rPr>
  </w:style>
  <w:style w:type="character" w:customStyle="1" w:styleId="ExplorateurdedocumentsCar">
    <w:name w:val="Explorateur de documents Car"/>
    <w:basedOn w:val="Policepardfaut"/>
    <w:link w:val="Explorateurdedocuments"/>
    <w:semiHidden/>
    <w:rsid w:val="0094086E"/>
    <w:rPr>
      <w:rFonts w:ascii="Tahoma" w:eastAsia="Times New Roman" w:hAnsi="Tahoma" w:cs="Tahoma"/>
      <w:sz w:val="20"/>
      <w:szCs w:val="20"/>
      <w:shd w:val="clear" w:color="auto" w:fill="000080"/>
      <w:lang w:bidi="en-US"/>
    </w:rPr>
  </w:style>
  <w:style w:type="table" w:customStyle="1" w:styleId="Grilledutableau5">
    <w:name w:val="Grille du tableau5"/>
    <w:basedOn w:val="TableauNormal"/>
    <w:next w:val="Grilledutableau"/>
    <w:rsid w:val="0094086E"/>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mail-default">
    <w:name w:val="gmail-default"/>
    <w:basedOn w:val="Normal"/>
    <w:rsid w:val="0094086E"/>
    <w:pPr>
      <w:spacing w:before="100" w:beforeAutospacing="1" w:after="100" w:afterAutospacing="1" w:line="240" w:lineRule="auto"/>
    </w:pPr>
    <w:rPr>
      <w:rFonts w:eastAsia="Calibri" w:cs="Times New Roman"/>
      <w:sz w:val="24"/>
      <w:szCs w:val="24"/>
      <w:lang w:val="en-US"/>
    </w:rPr>
  </w:style>
  <w:style w:type="paragraph" w:customStyle="1" w:styleId="xgmail-para11">
    <w:name w:val="x_gmail-para11"/>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Title7">
    <w:name w:val="Title 7"/>
    <w:basedOn w:val="Title6"/>
    <w:qFormat/>
    <w:rsid w:val="0094086E"/>
    <w:pPr>
      <w:ind w:left="1276"/>
    </w:pPr>
  </w:style>
  <w:style w:type="character" w:customStyle="1" w:styleId="CommentaireCar2">
    <w:name w:val="Commentaire Car2"/>
    <w:uiPriority w:val="99"/>
    <w:rsid w:val="0094086E"/>
    <w:rPr>
      <w:rFonts w:eastAsia="MS Mincho"/>
      <w:lang w:val="fr-FR" w:eastAsia="ja-JP" w:bidi="ar-SA"/>
    </w:rPr>
  </w:style>
  <w:style w:type="character" w:customStyle="1" w:styleId="Para6Car">
    <w:name w:val="Para 6 Car"/>
    <w:rsid w:val="0094086E"/>
    <w:rPr>
      <w:rFonts w:ascii="Arial" w:hAnsi="Arial"/>
      <w:bCs/>
      <w:sz w:val="18"/>
      <w:szCs w:val="22"/>
      <w:lang w:val="en-IE" w:eastAsia="en-US" w:bidi="en-US"/>
    </w:rPr>
  </w:style>
  <w:style w:type="character" w:customStyle="1" w:styleId="iCar0">
    <w:name w:val="i) Car"/>
    <w:rsid w:val="0094086E"/>
    <w:rPr>
      <w:rFonts w:ascii="Garamond" w:hAnsi="Garamond"/>
      <w:sz w:val="22"/>
      <w:szCs w:val="22"/>
      <w:lang w:val="en-GB" w:eastAsia="fr-FR" w:bidi="en-US"/>
    </w:rPr>
  </w:style>
  <w:style w:type="paragraph" w:customStyle="1" w:styleId="Appendixname">
    <w:name w:val="Appendix name"/>
    <w:basedOn w:val="Normal"/>
    <w:qFormat/>
    <w:rsid w:val="0094086E"/>
    <w:pPr>
      <w:spacing w:before="240" w:after="240" w:line="360" w:lineRule="auto"/>
      <w:ind w:left="357"/>
      <w:jc w:val="right"/>
    </w:pPr>
    <w:rPr>
      <w:rFonts w:eastAsia="PMingLiU" w:cs="Times New Roman"/>
      <w:u w:val="single"/>
      <w:lang w:val="en-US" w:bidi="en-US"/>
    </w:rPr>
  </w:style>
  <w:style w:type="paragraph" w:customStyle="1" w:styleId="Heada">
    <w:name w:val="Head a)"/>
    <w:basedOn w:val="Normal"/>
    <w:rsid w:val="0094086E"/>
    <w:pPr>
      <w:spacing w:after="240" w:line="240" w:lineRule="auto"/>
      <w:ind w:left="284" w:hanging="284"/>
      <w:jc w:val="both"/>
    </w:pPr>
    <w:rPr>
      <w:rFonts w:ascii="Garamond" w:eastAsia="Times New Roman" w:hAnsi="Garamond" w:cs="Times New Roman"/>
      <w:b/>
      <w:bCs/>
      <w:szCs w:val="20"/>
      <w:lang w:val="en-AU" w:eastAsia="fr-FR"/>
    </w:rPr>
  </w:style>
  <w:style w:type="paragraph" w:customStyle="1" w:styleId="CharCharCharChar">
    <w:name w:val="Char Char Char Char"/>
    <w:basedOn w:val="Normal"/>
    <w:rsid w:val="0094086E"/>
    <w:pPr>
      <w:spacing w:line="240" w:lineRule="exact"/>
    </w:pPr>
    <w:rPr>
      <w:rFonts w:ascii="Verdana" w:eastAsia="Times New Roman" w:hAnsi="Verdana" w:cs="Times New Roman"/>
      <w:szCs w:val="20"/>
      <w:lang w:val="en-US"/>
    </w:rPr>
  </w:style>
  <w:style w:type="paragraph" w:customStyle="1" w:styleId="para11i">
    <w:name w:val="para 1.1.i"/>
    <w:basedOn w:val="para11"/>
    <w:qFormat/>
    <w:rsid w:val="0094086E"/>
    <w:pPr>
      <w:spacing w:after="120"/>
      <w:ind w:left="1417" w:hanging="425"/>
    </w:pPr>
    <w:rPr>
      <w:rFonts w:eastAsia="Times New Roman"/>
      <w:iCs/>
      <w:u w:color="000000"/>
      <w:lang w:val="en-US" w:eastAsia="en-CA"/>
    </w:rPr>
  </w:style>
  <w:style w:type="paragraph" w:customStyle="1" w:styleId="CharCharCharCharCharCharCharCharCharChar">
    <w:name w:val="Char Char Char Char Char Char Char Char Char Char"/>
    <w:basedOn w:val="Normal"/>
    <w:rsid w:val="0094086E"/>
    <w:pPr>
      <w:spacing w:line="240" w:lineRule="exact"/>
    </w:pPr>
    <w:rPr>
      <w:rFonts w:ascii="Verdana" w:eastAsia="Times New Roman" w:hAnsi="Verdana" w:cs="Times New Roman"/>
      <w:szCs w:val="20"/>
      <w:lang w:val="en-CA"/>
    </w:rPr>
  </w:style>
  <w:style w:type="character" w:customStyle="1" w:styleId="author">
    <w:name w:val="author"/>
    <w:basedOn w:val="Policepardfaut"/>
    <w:rsid w:val="0094086E"/>
  </w:style>
  <w:style w:type="character" w:customStyle="1" w:styleId="author-name">
    <w:name w:val="author-name"/>
    <w:basedOn w:val="Policepardfaut"/>
    <w:rsid w:val="0094086E"/>
  </w:style>
  <w:style w:type="character" w:customStyle="1" w:styleId="sr-only">
    <w:name w:val="sr-only"/>
    <w:basedOn w:val="Policepardfaut"/>
    <w:rsid w:val="0094086E"/>
  </w:style>
  <w:style w:type="character" w:customStyle="1" w:styleId="articletypelabel">
    <w:name w:val="articletypelabel"/>
    <w:basedOn w:val="Policepardfaut"/>
    <w:rsid w:val="0094086E"/>
  </w:style>
  <w:style w:type="numbering" w:customStyle="1" w:styleId="Aucuneliste12">
    <w:name w:val="Aucune liste12"/>
    <w:next w:val="Aucuneliste"/>
    <w:uiPriority w:val="99"/>
    <w:semiHidden/>
    <w:unhideWhenUsed/>
    <w:rsid w:val="0094086E"/>
  </w:style>
  <w:style w:type="numbering" w:customStyle="1" w:styleId="NoList11">
    <w:name w:val="No List11"/>
    <w:next w:val="Aucuneliste"/>
    <w:uiPriority w:val="99"/>
    <w:semiHidden/>
    <w:unhideWhenUsed/>
    <w:rsid w:val="0094086E"/>
  </w:style>
  <w:style w:type="table" w:customStyle="1" w:styleId="TableGrid11">
    <w:name w:val="Table Grid11"/>
    <w:basedOn w:val="TableauNormal"/>
    <w:next w:val="Grilledutableau"/>
    <w:rsid w:val="0094086E"/>
    <w:pPr>
      <w:widowControl w:val="0"/>
      <w:spacing w:after="240" w:line="240" w:lineRule="auto"/>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2214819733945920736gmail-msonospacing">
    <w:name w:val="m_2214819733945920736gmail-msonospacing"/>
    <w:basedOn w:val="Normal"/>
    <w:rsid w:val="0094086E"/>
    <w:pPr>
      <w:spacing w:before="100" w:beforeAutospacing="1" w:after="100" w:afterAutospacing="1" w:line="240" w:lineRule="auto"/>
    </w:pPr>
    <w:rPr>
      <w:rFonts w:eastAsia="Calibri" w:cs="Times New Roman"/>
      <w:sz w:val="24"/>
      <w:szCs w:val="24"/>
      <w:lang w:val="en-IE" w:eastAsia="en-IE"/>
    </w:rPr>
  </w:style>
  <w:style w:type="character" w:customStyle="1" w:styleId="m2214819733945920736gmail-meta-value">
    <w:name w:val="m_2214819733945920736gmail-meta-value"/>
    <w:basedOn w:val="Policepardfaut"/>
    <w:rsid w:val="0094086E"/>
  </w:style>
  <w:style w:type="numbering" w:customStyle="1" w:styleId="Aucuneliste9">
    <w:name w:val="Aucune liste9"/>
    <w:next w:val="Aucuneliste"/>
    <w:uiPriority w:val="99"/>
    <w:semiHidden/>
    <w:unhideWhenUsed/>
    <w:rsid w:val="0094086E"/>
  </w:style>
  <w:style w:type="character" w:customStyle="1" w:styleId="groupname">
    <w:name w:val="groupname"/>
    <w:basedOn w:val="Policepardfaut"/>
    <w:rsid w:val="0094086E"/>
  </w:style>
  <w:style w:type="character" w:customStyle="1" w:styleId="pubyear">
    <w:name w:val="pubyear"/>
    <w:basedOn w:val="Policepardfaut"/>
    <w:rsid w:val="0094086E"/>
  </w:style>
  <w:style w:type="character" w:customStyle="1" w:styleId="articletitle">
    <w:name w:val="articletitle"/>
    <w:basedOn w:val="Policepardfaut"/>
    <w:rsid w:val="0094086E"/>
  </w:style>
  <w:style w:type="character" w:customStyle="1" w:styleId="journaltitle">
    <w:name w:val="journaltitle"/>
    <w:basedOn w:val="Policepardfaut"/>
    <w:rsid w:val="0094086E"/>
  </w:style>
  <w:style w:type="character" w:customStyle="1" w:styleId="vol">
    <w:name w:val="vol"/>
    <w:basedOn w:val="Policepardfaut"/>
    <w:rsid w:val="0094086E"/>
  </w:style>
  <w:style w:type="character" w:customStyle="1" w:styleId="citedissue">
    <w:name w:val="citedissue"/>
    <w:basedOn w:val="Policepardfaut"/>
    <w:rsid w:val="0094086E"/>
  </w:style>
  <w:style w:type="paragraph" w:customStyle="1" w:styleId="xpara2">
    <w:name w:val="x_para2"/>
    <w:basedOn w:val="Normal"/>
    <w:rsid w:val="0094086E"/>
    <w:pPr>
      <w:spacing w:before="100" w:beforeAutospacing="1" w:after="100" w:afterAutospacing="1" w:line="240" w:lineRule="auto"/>
    </w:pPr>
    <w:rPr>
      <w:rFonts w:eastAsia="Times New Roman" w:cs="Times New Roman"/>
      <w:sz w:val="24"/>
      <w:szCs w:val="24"/>
      <w:lang w:val="fr-FR" w:eastAsia="fr-FR"/>
    </w:rPr>
  </w:style>
  <w:style w:type="paragraph" w:customStyle="1" w:styleId="ColorfulList-Accent11">
    <w:name w:val="Colorful List - Accent 11"/>
    <w:basedOn w:val="Normal"/>
    <w:uiPriority w:val="34"/>
    <w:qFormat/>
    <w:rsid w:val="0094086E"/>
    <w:pPr>
      <w:spacing w:after="0" w:line="240" w:lineRule="auto"/>
      <w:ind w:left="720"/>
      <w:contextualSpacing/>
    </w:pPr>
    <w:rPr>
      <w:rFonts w:eastAsia="Times New Roman" w:cs="Calibri"/>
      <w:noProof/>
      <w:lang w:eastAsia="en-GB"/>
    </w:rPr>
  </w:style>
  <w:style w:type="character" w:customStyle="1" w:styleId="NotedefinCar1">
    <w:name w:val="Note de fin Car1"/>
    <w:uiPriority w:val="99"/>
    <w:semiHidden/>
    <w:rsid w:val="0094086E"/>
    <w:rPr>
      <w:rFonts w:ascii="Times New Roman" w:eastAsia="Times New Roman" w:hAnsi="Times New Roman" w:cs="Times New Roman"/>
      <w:sz w:val="20"/>
      <w:szCs w:val="20"/>
      <w:lang w:val="en-GB"/>
    </w:rPr>
  </w:style>
  <w:style w:type="table" w:customStyle="1" w:styleId="Grilledutableau6">
    <w:name w:val="Grille du tableau6"/>
    <w:basedOn w:val="TableauNormal"/>
    <w:next w:val="Grilledutableau"/>
    <w:uiPriority w:val="59"/>
    <w:rsid w:val="0094086E"/>
    <w:pPr>
      <w:spacing w:after="0" w:line="240" w:lineRule="auto"/>
    </w:pPr>
    <w:rPr>
      <w:rFonts w:ascii="Calibri" w:eastAsia="Calibri" w:hAnsi="Calibri"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0">
    <w:name w:val="Aucune liste10"/>
    <w:next w:val="Aucuneliste"/>
    <w:uiPriority w:val="99"/>
    <w:semiHidden/>
    <w:unhideWhenUsed/>
    <w:rsid w:val="0094086E"/>
  </w:style>
  <w:style w:type="numbering" w:customStyle="1" w:styleId="ImportedStyle41">
    <w:name w:val="Imported Style 41"/>
    <w:rsid w:val="0094086E"/>
  </w:style>
  <w:style w:type="numbering" w:customStyle="1" w:styleId="ImportedStyle51">
    <w:name w:val="Imported Style 51"/>
    <w:rsid w:val="0094086E"/>
  </w:style>
  <w:style w:type="numbering" w:customStyle="1" w:styleId="ImportedStyle11">
    <w:name w:val="Imported Style 11"/>
    <w:rsid w:val="0094086E"/>
  </w:style>
  <w:style w:type="table" w:customStyle="1" w:styleId="Grilledutableau7">
    <w:name w:val="Grille du tableau7"/>
    <w:basedOn w:val="TableauNormal"/>
    <w:next w:val="Grilledutableau"/>
    <w:uiPriority w:val="39"/>
    <w:rsid w:val="0094086E"/>
    <w:pPr>
      <w:spacing w:after="0" w:line="240" w:lineRule="auto"/>
    </w:pPr>
    <w:rPr>
      <w:rFonts w:ascii="Calibri" w:eastAsia="Calibri" w:hAnsi="Calibri"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BuffertextNoir">
    <w:name w:val="Style Buffer text + Noir"/>
    <w:basedOn w:val="Buffertext"/>
    <w:rsid w:val="0094086E"/>
    <w:pPr>
      <w:tabs>
        <w:tab w:val="clear" w:pos="5670"/>
        <w:tab w:val="left" w:pos="4253"/>
      </w:tabs>
      <w:ind w:left="1559"/>
    </w:pPr>
    <w:rPr>
      <w:color w:val="000000"/>
    </w:rPr>
  </w:style>
  <w:style w:type="character" w:customStyle="1" w:styleId="databold1">
    <w:name w:val="data_bold1"/>
    <w:rsid w:val="0094086E"/>
    <w:rPr>
      <w:b/>
      <w:bCs/>
    </w:rPr>
  </w:style>
  <w:style w:type="character" w:customStyle="1" w:styleId="hithilite1">
    <w:name w:val="hithilite1"/>
    <w:rsid w:val="0094086E"/>
    <w:rPr>
      <w:shd w:val="clear" w:color="auto" w:fill="FFF3C6"/>
    </w:rPr>
  </w:style>
  <w:style w:type="character" w:customStyle="1" w:styleId="mpreadercontentreferrersidebarcontrolreferreritem1">
    <w:name w:val="mpreader_content_referrersidebarcontrolreferreritem1"/>
    <w:rsid w:val="0094086E"/>
    <w:rPr>
      <w:sz w:val="24"/>
      <w:szCs w:val="24"/>
    </w:rPr>
  </w:style>
  <w:style w:type="character" w:customStyle="1" w:styleId="lbluf1">
    <w:name w:val="lbluf1"/>
    <w:rsid w:val="0094086E"/>
    <w:rPr>
      <w:color w:val="005087"/>
    </w:rPr>
  </w:style>
  <w:style w:type="paragraph" w:customStyle="1" w:styleId="CelluleIntitul">
    <w:name w:val="Cellule Intitulé"/>
    <w:rsid w:val="0094086E"/>
    <w:pPr>
      <w:widowControl w:val="0"/>
      <w:suppressAutoHyphens/>
      <w:autoSpaceDE w:val="0"/>
      <w:autoSpaceDN w:val="0"/>
      <w:adjustRightInd w:val="0"/>
      <w:spacing w:after="0" w:line="280" w:lineRule="atLeast"/>
      <w:jc w:val="center"/>
    </w:pPr>
    <w:rPr>
      <w:rFonts w:ascii="Times New Roman" w:eastAsia="Times New Roman" w:hAnsi="Times New Roman" w:cs="Times New Roman"/>
      <w:color w:val="000000"/>
      <w:w w:val="0"/>
      <w:sz w:val="24"/>
      <w:szCs w:val="24"/>
      <w:lang w:val="fr-FR" w:eastAsia="en-IE"/>
    </w:rPr>
  </w:style>
  <w:style w:type="paragraph" w:customStyle="1" w:styleId="paraA0">
    <w:name w:val="paraA"/>
    <w:basedOn w:val="Normal"/>
    <w:uiPriority w:val="99"/>
    <w:rsid w:val="0094086E"/>
    <w:pPr>
      <w:tabs>
        <w:tab w:val="left" w:pos="-720"/>
      </w:tabs>
      <w:spacing w:after="240" w:line="240" w:lineRule="auto"/>
      <w:jc w:val="both"/>
    </w:pPr>
    <w:rPr>
      <w:rFonts w:ascii="Arial" w:eastAsia="Times New Roman" w:hAnsi="Arial" w:cs="Arial"/>
      <w:sz w:val="18"/>
      <w:szCs w:val="18"/>
      <w:lang w:eastAsia="fr-FR"/>
    </w:rPr>
  </w:style>
  <w:style w:type="paragraph" w:customStyle="1" w:styleId="StyleTitre2Arial">
    <w:name w:val="Style Titre 2 + Arial"/>
    <w:basedOn w:val="Titre2"/>
    <w:rsid w:val="0094086E"/>
    <w:pPr>
      <w:keepNext w:val="0"/>
      <w:keepLines w:val="0"/>
      <w:spacing w:before="0" w:after="240" w:line="240" w:lineRule="auto"/>
      <w:ind w:left="851" w:hanging="567"/>
      <w:contextualSpacing/>
    </w:pPr>
    <w:rPr>
      <w:rFonts w:ascii="Arial" w:eastAsia="Times New Roman" w:hAnsi="Arial" w:cs="Times New Roman"/>
      <w:b/>
      <w:bCs/>
      <w:sz w:val="21"/>
      <w:szCs w:val="21"/>
      <w:lang w:val="en-US" w:eastAsia="fr-FR" w:bidi="en-US"/>
    </w:rPr>
  </w:style>
  <w:style w:type="paragraph" w:customStyle="1" w:styleId="StyleTitre2Arial1">
    <w:name w:val="Style Titre 2 + Arial1"/>
    <w:basedOn w:val="Titre2"/>
    <w:rsid w:val="0094086E"/>
    <w:pPr>
      <w:keepNext w:val="0"/>
      <w:keepLines w:val="0"/>
      <w:spacing w:before="0" w:after="240" w:line="240" w:lineRule="auto"/>
      <w:ind w:left="851" w:hanging="567"/>
      <w:contextualSpacing/>
    </w:pPr>
    <w:rPr>
      <w:rFonts w:ascii="Arial" w:eastAsia="Times New Roman" w:hAnsi="Arial" w:cs="Times New Roman"/>
      <w:b/>
      <w:bCs/>
      <w:sz w:val="21"/>
      <w:szCs w:val="21"/>
      <w:lang w:val="en-US" w:eastAsia="fr-FR" w:bidi="en-US"/>
    </w:rPr>
  </w:style>
  <w:style w:type="paragraph" w:customStyle="1" w:styleId="StyleTitre1Arial">
    <w:name w:val="Style Titre 1 + Arial"/>
    <w:basedOn w:val="Titre1"/>
    <w:rsid w:val="0094086E"/>
    <w:pPr>
      <w:keepNext w:val="0"/>
      <w:keepLines w:val="0"/>
      <w:spacing w:before="0" w:after="240" w:line="240" w:lineRule="auto"/>
      <w:ind w:left="284" w:hanging="284"/>
    </w:pPr>
    <w:rPr>
      <w:rFonts w:ascii="Arial" w:eastAsia="Times New Roman" w:hAnsi="Arial" w:cs="Times New Roman"/>
      <w:b/>
      <w:bCs/>
      <w:color w:val="auto"/>
      <w:sz w:val="22"/>
      <w:szCs w:val="22"/>
      <w:lang w:val="en-US" w:bidi="en-US"/>
    </w:rPr>
  </w:style>
  <w:style w:type="character" w:customStyle="1" w:styleId="REFChar">
    <w:name w:val="REF Char"/>
    <w:rsid w:val="0094086E"/>
    <w:rPr>
      <w:rFonts w:ascii="Arial" w:eastAsia="Times New Roman" w:hAnsi="Arial" w:cs="Times New Roman"/>
      <w:sz w:val="18"/>
      <w:lang w:val="en-IE" w:bidi="en-US"/>
    </w:rPr>
  </w:style>
  <w:style w:type="character" w:customStyle="1" w:styleId="rfrencesChar">
    <w:name w:val="références Char"/>
    <w:link w:val="rfrences"/>
    <w:rsid w:val="0094086E"/>
    <w:rPr>
      <w:rFonts w:ascii="Garamond" w:eastAsia="Times New Roman" w:hAnsi="Garamond" w:cs="Times New Roman"/>
      <w:lang w:val="fr-FR" w:eastAsia="fr-FR" w:bidi="en-US"/>
    </w:rPr>
  </w:style>
  <w:style w:type="paragraph" w:customStyle="1" w:styleId="StylerfrencesArial9ptPetitesmajuscules">
    <w:name w:val="Style références + Arial 9 pt Petites majuscules"/>
    <w:basedOn w:val="rfrences"/>
    <w:rsid w:val="0094086E"/>
    <w:pPr>
      <w:ind w:left="0" w:firstLine="0"/>
    </w:pPr>
    <w:rPr>
      <w:rFonts w:ascii="Arial" w:hAnsi="Arial"/>
      <w:smallCaps/>
      <w:sz w:val="18"/>
      <w:lang w:bidi="ar-SA"/>
    </w:rPr>
  </w:style>
  <w:style w:type="paragraph" w:customStyle="1" w:styleId="tableau">
    <w:name w:val="tableau"/>
    <w:basedOn w:val="Normal"/>
    <w:uiPriority w:val="99"/>
    <w:rsid w:val="0094086E"/>
    <w:pPr>
      <w:autoSpaceDE w:val="0"/>
      <w:autoSpaceDN w:val="0"/>
      <w:adjustRightInd w:val="0"/>
      <w:spacing w:after="0" w:line="240" w:lineRule="auto"/>
      <w:jc w:val="both"/>
    </w:pPr>
    <w:rPr>
      <w:rFonts w:ascii="Arial" w:eastAsia="Times New Roman" w:hAnsi="Arial" w:cs="Arial"/>
      <w:sz w:val="18"/>
      <w:szCs w:val="18"/>
      <w:lang w:eastAsia="es-ES_tradnl"/>
    </w:rPr>
  </w:style>
  <w:style w:type="table" w:customStyle="1" w:styleId="TableGrid2">
    <w:name w:val="Table Grid2"/>
    <w:basedOn w:val="TableauNormal"/>
    <w:next w:val="Grilledutableau"/>
    <w:uiPriority w:val="59"/>
    <w:rsid w:val="0094086E"/>
    <w:pPr>
      <w:spacing w:after="0" w:line="240" w:lineRule="auto"/>
    </w:pPr>
    <w:rPr>
      <w:rFonts w:ascii="Calibri" w:eastAsia="Times New Roman" w:hAnsi="Calibri"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tion0">
    <w:name w:val="Quote"/>
    <w:basedOn w:val="Normal"/>
    <w:next w:val="Normal"/>
    <w:link w:val="CitationCar"/>
    <w:uiPriority w:val="29"/>
    <w:qFormat/>
    <w:rsid w:val="0094086E"/>
    <w:pPr>
      <w:spacing w:before="160" w:after="120" w:line="264" w:lineRule="auto"/>
      <w:ind w:left="720" w:right="720"/>
    </w:pPr>
    <w:rPr>
      <w:rFonts w:ascii="Calibri" w:eastAsia="Times New Roman" w:hAnsi="Calibri" w:cs="Times New Roman"/>
      <w:i/>
      <w:iCs/>
      <w:color w:val="404040"/>
      <w:szCs w:val="20"/>
      <w:lang w:val="en-AU"/>
    </w:rPr>
  </w:style>
  <w:style w:type="character" w:customStyle="1" w:styleId="CitationCar">
    <w:name w:val="Citation Car"/>
    <w:basedOn w:val="Policepardfaut"/>
    <w:link w:val="Citation0"/>
    <w:uiPriority w:val="29"/>
    <w:rsid w:val="0094086E"/>
    <w:rPr>
      <w:rFonts w:ascii="Calibri" w:eastAsia="Times New Roman" w:hAnsi="Calibri" w:cs="Times New Roman"/>
      <w:i/>
      <w:iCs/>
      <w:color w:val="404040"/>
      <w:szCs w:val="20"/>
      <w:lang w:val="en-AU"/>
    </w:rPr>
  </w:style>
  <w:style w:type="paragraph" w:styleId="Citationintense">
    <w:name w:val="Intense Quote"/>
    <w:basedOn w:val="Normal"/>
    <w:next w:val="Normal"/>
    <w:link w:val="CitationintenseCar"/>
    <w:uiPriority w:val="30"/>
    <w:qFormat/>
    <w:rsid w:val="0094086E"/>
    <w:pPr>
      <w:pBdr>
        <w:left w:val="single" w:sz="18" w:space="12" w:color="4472C4"/>
      </w:pBdr>
      <w:spacing w:before="100" w:beforeAutospacing="1" w:after="120" w:line="300" w:lineRule="auto"/>
      <w:ind w:left="1224" w:right="1224"/>
    </w:pPr>
    <w:rPr>
      <w:rFonts w:ascii="Calibri Light" w:eastAsia="Times New Roman" w:hAnsi="Calibri Light" w:cs="Times New Roman"/>
      <w:color w:val="4472C4"/>
      <w:sz w:val="28"/>
      <w:szCs w:val="28"/>
      <w:lang w:val="en-AU"/>
    </w:rPr>
  </w:style>
  <w:style w:type="character" w:customStyle="1" w:styleId="CitationintenseCar">
    <w:name w:val="Citation intense Car"/>
    <w:basedOn w:val="Policepardfaut"/>
    <w:link w:val="Citationintense"/>
    <w:uiPriority w:val="30"/>
    <w:rsid w:val="0094086E"/>
    <w:rPr>
      <w:rFonts w:ascii="Calibri Light" w:eastAsia="Times New Roman" w:hAnsi="Calibri Light" w:cs="Times New Roman"/>
      <w:color w:val="4472C4"/>
      <w:sz w:val="28"/>
      <w:szCs w:val="28"/>
      <w:lang w:val="en-AU"/>
    </w:rPr>
  </w:style>
  <w:style w:type="character" w:styleId="Emphaseple">
    <w:name w:val="Subtle Emphasis"/>
    <w:uiPriority w:val="19"/>
    <w:qFormat/>
    <w:rsid w:val="0094086E"/>
    <w:rPr>
      <w:i/>
      <w:iCs/>
      <w:color w:val="404040"/>
    </w:rPr>
  </w:style>
  <w:style w:type="character" w:styleId="Rfrenceple">
    <w:name w:val="Subtle Reference"/>
    <w:uiPriority w:val="31"/>
    <w:qFormat/>
    <w:rsid w:val="0094086E"/>
    <w:rPr>
      <w:smallCaps/>
      <w:color w:val="404040"/>
      <w:u w:val="single" w:color="7F7F7F"/>
    </w:rPr>
  </w:style>
  <w:style w:type="character" w:styleId="Rfrenceintense">
    <w:name w:val="Intense Reference"/>
    <w:uiPriority w:val="32"/>
    <w:qFormat/>
    <w:rsid w:val="0094086E"/>
    <w:rPr>
      <w:b/>
      <w:bCs/>
      <w:smallCaps/>
      <w:spacing w:val="5"/>
      <w:u w:val="single"/>
    </w:rPr>
  </w:style>
  <w:style w:type="character" w:styleId="Titredulivre">
    <w:name w:val="Book Title"/>
    <w:uiPriority w:val="33"/>
    <w:qFormat/>
    <w:rsid w:val="0094086E"/>
    <w:rPr>
      <w:b/>
      <w:bCs/>
      <w:smallCaps/>
    </w:rPr>
  </w:style>
  <w:style w:type="paragraph" w:customStyle="1" w:styleId="xmsolistparagraph">
    <w:name w:val="x_msolistparagraph"/>
    <w:basedOn w:val="Normal"/>
    <w:uiPriority w:val="99"/>
    <w:rsid w:val="0094086E"/>
    <w:pPr>
      <w:spacing w:after="0" w:line="240" w:lineRule="auto"/>
    </w:pPr>
    <w:rPr>
      <w:rFonts w:eastAsia="Calibri" w:cs="Times New Roman"/>
      <w:sz w:val="24"/>
      <w:szCs w:val="24"/>
      <w:lang w:val="fr-FR" w:eastAsia="fr-FR"/>
    </w:rPr>
  </w:style>
  <w:style w:type="table" w:customStyle="1" w:styleId="Grilledutableau8">
    <w:name w:val="Grille du tableau8"/>
    <w:basedOn w:val="TableauNormal"/>
    <w:next w:val="Grilledutableau"/>
    <w:uiPriority w:val="39"/>
    <w:rsid w:val="0094086E"/>
    <w:pPr>
      <w:spacing w:after="0" w:line="240" w:lineRule="auto"/>
    </w:pPr>
    <w:rPr>
      <w:rFonts w:ascii="Calibri" w:eastAsia="Calibri" w:hAnsi="Calibri" w:cs="Times New Roman"/>
      <w:sz w:val="20"/>
      <w:szCs w:val="20"/>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21">
    <w:name w:val="Para_2"/>
    <w:basedOn w:val="Normal"/>
    <w:qFormat/>
    <w:rsid w:val="0094086E"/>
    <w:pPr>
      <w:spacing w:after="240" w:line="240" w:lineRule="auto"/>
      <w:ind w:left="709"/>
      <w:jc w:val="both"/>
    </w:pPr>
    <w:rPr>
      <w:rFonts w:eastAsia="Times New Roman" w:cs="Times New Roman"/>
      <w:lang w:val="en-IE" w:eastAsia="en-IE"/>
    </w:rPr>
  </w:style>
  <w:style w:type="table" w:customStyle="1" w:styleId="GridTable1Light1">
    <w:name w:val="Grid Table 1 Light1"/>
    <w:basedOn w:val="TableauNormal"/>
    <w:uiPriority w:val="46"/>
    <w:rsid w:val="0094086E"/>
    <w:pPr>
      <w:spacing w:after="0" w:line="240" w:lineRule="auto"/>
    </w:pPr>
    <w:rPr>
      <w:rFonts w:ascii="Calibri" w:eastAsia="Calibri" w:hAnsi="Calibri"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tlid-translation">
    <w:name w:val="tlid-translation"/>
    <w:basedOn w:val="Policepardfaut"/>
    <w:rsid w:val="0094086E"/>
  </w:style>
  <w:style w:type="character" w:customStyle="1" w:styleId="HeaderChar4">
    <w:name w:val="Header Char4"/>
    <w:aliases w:val="Header Char1 Char Char3,Header Char Char Char Char3, Car Char Char Char Char3, Car Car Char Char Char Char3, Car Car Car Char Char Char Char3, Car Car Car Car Car Char Char Char Car Char3,Heading 1 Char Car1 Char3, Car Char17 Car1 Char3"/>
    <w:basedOn w:val="Policepardfaut"/>
    <w:uiPriority w:val="99"/>
    <w:rsid w:val="0094086E"/>
    <w:rPr>
      <w:rFonts w:ascii="Times New Roman" w:eastAsia="Times New Roman" w:hAnsi="Times New Roman" w:cs="Times New Roman"/>
      <w:sz w:val="24"/>
      <w:szCs w:val="24"/>
      <w:lang w:val="en-GB"/>
    </w:rPr>
  </w:style>
  <w:style w:type="character" w:customStyle="1" w:styleId="frlabel">
    <w:name w:val="fr_label"/>
    <w:rsid w:val="0094086E"/>
  </w:style>
  <w:style w:type="character" w:customStyle="1" w:styleId="chaptertitle0">
    <w:name w:val="chaptertitle"/>
    <w:rsid w:val="0094086E"/>
  </w:style>
  <w:style w:type="character" w:customStyle="1" w:styleId="booktitle">
    <w:name w:val="booktitle"/>
    <w:rsid w:val="0094086E"/>
  </w:style>
  <w:style w:type="numbering" w:customStyle="1" w:styleId="Aucuneliste111">
    <w:name w:val="Aucune liste111"/>
    <w:next w:val="Aucuneliste"/>
    <w:uiPriority w:val="99"/>
    <w:semiHidden/>
    <w:unhideWhenUsed/>
    <w:rsid w:val="0094086E"/>
  </w:style>
  <w:style w:type="character" w:customStyle="1" w:styleId="pagefirst">
    <w:name w:val="pagefirst"/>
    <w:basedOn w:val="Policepardfaut"/>
    <w:rsid w:val="0094086E"/>
  </w:style>
  <w:style w:type="table" w:customStyle="1" w:styleId="-11">
    <w:name w:val="浅色列表 - 强调文字颜色 11"/>
    <w:basedOn w:val="TableauNormal"/>
    <w:uiPriority w:val="61"/>
    <w:rsid w:val="0094086E"/>
    <w:pPr>
      <w:spacing w:after="0" w:line="240" w:lineRule="auto"/>
      <w:ind w:left="851"/>
      <w:jc w:val="both"/>
    </w:pPr>
    <w:rPr>
      <w:rFonts w:ascii="Calibri" w:eastAsia="Calibri" w:hAnsi="Calibri" w:cs="Times New Roman"/>
      <w:sz w:val="20"/>
      <w:szCs w:val="2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EndNoteBibliographyTitle">
    <w:name w:val="EndNote Bibliography Title"/>
    <w:basedOn w:val="Normal"/>
    <w:link w:val="EndNoteBibliographyTitleChar"/>
    <w:rsid w:val="0094086E"/>
    <w:pPr>
      <w:spacing w:after="0" w:line="240" w:lineRule="auto"/>
      <w:ind w:left="851"/>
      <w:jc w:val="center"/>
    </w:pPr>
    <w:rPr>
      <w:rFonts w:eastAsia="Times New Roman" w:cs="Times New Roman"/>
      <w:noProof/>
      <w:sz w:val="24"/>
      <w:szCs w:val="24"/>
      <w:lang w:val="en-IE"/>
    </w:rPr>
  </w:style>
  <w:style w:type="character" w:customStyle="1" w:styleId="EndNoteBibliographyTitleChar">
    <w:name w:val="EndNote Bibliography Title Char"/>
    <w:basedOn w:val="Para3Car"/>
    <w:link w:val="EndNoteBibliographyTitle"/>
    <w:rsid w:val="0094086E"/>
    <w:rPr>
      <w:rFonts w:ascii="Times New Roman" w:eastAsia="Times New Roman" w:hAnsi="Times New Roman" w:cs="Times New Roman"/>
      <w:bCs w:val="0"/>
      <w:noProof/>
      <w:sz w:val="24"/>
      <w:szCs w:val="24"/>
      <w:lang w:val="en-IE"/>
    </w:rPr>
  </w:style>
  <w:style w:type="paragraph" w:customStyle="1" w:styleId="EndNoteBibliography">
    <w:name w:val="EndNote Bibliography"/>
    <w:basedOn w:val="Normal"/>
    <w:link w:val="EndNoteBibliographyChar"/>
    <w:rsid w:val="0094086E"/>
    <w:pPr>
      <w:spacing w:after="0" w:line="240" w:lineRule="auto"/>
      <w:ind w:left="851"/>
      <w:jc w:val="both"/>
    </w:pPr>
    <w:rPr>
      <w:rFonts w:eastAsia="Times New Roman" w:cs="Times New Roman"/>
      <w:noProof/>
      <w:sz w:val="24"/>
      <w:szCs w:val="24"/>
      <w:lang w:val="en-IE"/>
    </w:rPr>
  </w:style>
  <w:style w:type="character" w:customStyle="1" w:styleId="EndNoteBibliographyChar">
    <w:name w:val="EndNote Bibliography Char"/>
    <w:basedOn w:val="Para3Car"/>
    <w:link w:val="EndNoteBibliography"/>
    <w:rsid w:val="0094086E"/>
    <w:rPr>
      <w:rFonts w:ascii="Times New Roman" w:eastAsia="Times New Roman" w:hAnsi="Times New Roman" w:cs="Times New Roman"/>
      <w:bCs w:val="0"/>
      <w:noProof/>
      <w:sz w:val="24"/>
      <w:szCs w:val="24"/>
      <w:lang w:val="en-IE"/>
    </w:rPr>
  </w:style>
  <w:style w:type="paragraph" w:customStyle="1" w:styleId="Para4i">
    <w:name w:val="Para 4i"/>
    <w:basedOn w:val="Para4"/>
    <w:qFormat/>
    <w:rsid w:val="0094086E"/>
    <w:pPr>
      <w:spacing w:after="120"/>
      <w:ind w:left="1417" w:hanging="425"/>
    </w:pPr>
  </w:style>
  <w:style w:type="character" w:customStyle="1" w:styleId="Mentionnonrsolue1">
    <w:name w:val="Mention non résolue1"/>
    <w:basedOn w:val="Policepardfaut"/>
    <w:uiPriority w:val="99"/>
    <w:semiHidden/>
    <w:unhideWhenUsed/>
    <w:rsid w:val="0094086E"/>
    <w:rPr>
      <w:color w:val="605E5C"/>
      <w:shd w:val="clear" w:color="auto" w:fill="E1DFDD"/>
    </w:rPr>
  </w:style>
  <w:style w:type="paragraph" w:customStyle="1" w:styleId="Titre20">
    <w:name w:val="Titre2"/>
    <w:basedOn w:val="Normal"/>
    <w:rsid w:val="0094086E"/>
    <w:pPr>
      <w:spacing w:before="100" w:beforeAutospacing="1" w:after="100" w:afterAutospacing="1" w:line="240" w:lineRule="auto"/>
    </w:pPr>
    <w:rPr>
      <w:rFonts w:eastAsia="Times New Roman" w:cs="Times New Roman"/>
      <w:sz w:val="24"/>
      <w:szCs w:val="24"/>
      <w:lang w:val="en-IE" w:eastAsia="en-IE"/>
    </w:rPr>
  </w:style>
  <w:style w:type="numbering" w:customStyle="1" w:styleId="Aucuneliste13">
    <w:name w:val="Aucune liste13"/>
    <w:next w:val="Aucuneliste"/>
    <w:uiPriority w:val="99"/>
    <w:semiHidden/>
    <w:unhideWhenUsed/>
    <w:rsid w:val="0094086E"/>
  </w:style>
  <w:style w:type="table" w:customStyle="1" w:styleId="TableGrid10">
    <w:name w:val="TableGrid1"/>
    <w:rsid w:val="0094086E"/>
    <w:pPr>
      <w:spacing w:after="0" w:line="240" w:lineRule="auto"/>
    </w:pPr>
    <w:rPr>
      <w:rFonts w:ascii="Calibri" w:eastAsia="Times New Roman" w:hAnsi="Calibri" w:cs="Times New Roman"/>
      <w:lang w:val="en-NZ" w:eastAsia="en-NZ"/>
    </w:rPr>
    <w:tblPr>
      <w:tblCellMar>
        <w:top w:w="0" w:type="dxa"/>
        <w:left w:w="0" w:type="dxa"/>
        <w:bottom w:w="0" w:type="dxa"/>
        <w:right w:w="0" w:type="dxa"/>
      </w:tblCellMar>
    </w:tblPr>
  </w:style>
  <w:style w:type="numbering" w:customStyle="1" w:styleId="Aucuneliste14">
    <w:name w:val="Aucune liste14"/>
    <w:next w:val="Aucuneliste"/>
    <w:uiPriority w:val="99"/>
    <w:semiHidden/>
    <w:unhideWhenUsed/>
    <w:rsid w:val="0094086E"/>
  </w:style>
  <w:style w:type="table" w:customStyle="1" w:styleId="Grilledutableau9">
    <w:name w:val="Grille du tableau9"/>
    <w:basedOn w:val="TableauNormal"/>
    <w:next w:val="Grilledutableau"/>
    <w:uiPriority w:val="59"/>
    <w:rsid w:val="0094086E"/>
    <w:pPr>
      <w:spacing w:after="0" w:line="240" w:lineRule="auto"/>
    </w:pPr>
    <w:rPr>
      <w:rFonts w:ascii="Calibri" w:eastAsia="Calibri" w:hAnsi="Calibri" w:cs="Times New Roman"/>
      <w:sz w:val="20"/>
      <w:szCs w:val="20"/>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21">
    <w:name w:val="Aucune liste21"/>
    <w:next w:val="Aucuneliste"/>
    <w:uiPriority w:val="99"/>
    <w:semiHidden/>
    <w:unhideWhenUsed/>
    <w:rsid w:val="0094086E"/>
  </w:style>
  <w:style w:type="numbering" w:customStyle="1" w:styleId="ImportedStyle42">
    <w:name w:val="Imported Style 42"/>
    <w:rsid w:val="0094086E"/>
    <w:pPr>
      <w:numPr>
        <w:numId w:val="1"/>
      </w:numPr>
    </w:pPr>
  </w:style>
  <w:style w:type="numbering" w:customStyle="1" w:styleId="ImportedStyle52">
    <w:name w:val="Imported Style 52"/>
    <w:rsid w:val="0094086E"/>
    <w:pPr>
      <w:numPr>
        <w:numId w:val="2"/>
      </w:numPr>
    </w:pPr>
  </w:style>
  <w:style w:type="numbering" w:customStyle="1" w:styleId="ImportedStyle12">
    <w:name w:val="Imported Style 12"/>
    <w:rsid w:val="0094086E"/>
    <w:pPr>
      <w:numPr>
        <w:numId w:val="3"/>
      </w:numPr>
    </w:pPr>
  </w:style>
  <w:style w:type="table" w:customStyle="1" w:styleId="Grilledutableau11">
    <w:name w:val="Grille du tableau11"/>
    <w:basedOn w:val="TableauNormal"/>
    <w:next w:val="Grilledutableau"/>
    <w:rsid w:val="0094086E"/>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ffetsdetableau3D11">
    <w:name w:val="Effets de tableau 3D 11"/>
    <w:basedOn w:val="TableauNormal"/>
    <w:next w:val="Effetsdetableau3D1"/>
    <w:rsid w:val="0094086E"/>
    <w:pPr>
      <w:spacing w:after="0" w:line="240" w:lineRule="auto"/>
    </w:pPr>
    <w:rPr>
      <w:rFonts w:ascii="Times New Roman" w:eastAsia="SimSu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Effetsdetableau3D21">
    <w:name w:val="Effets de tableau 3D 21"/>
    <w:basedOn w:val="TableauNormal"/>
    <w:next w:val="Effetsdetableau3D2"/>
    <w:rsid w:val="0094086E"/>
    <w:pPr>
      <w:spacing w:after="0" w:line="240" w:lineRule="auto"/>
    </w:pPr>
    <w:rPr>
      <w:rFonts w:ascii="Times New Roman" w:eastAsia="SimSu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ffetsdetableau3D31">
    <w:name w:val="Effets de tableau 3D 31"/>
    <w:basedOn w:val="TableauNormal"/>
    <w:next w:val="Effetsdetableau3D3"/>
    <w:rsid w:val="0094086E"/>
    <w:pPr>
      <w:spacing w:after="0" w:line="240" w:lineRule="auto"/>
    </w:pPr>
    <w:rPr>
      <w:rFonts w:ascii="Times New Roman" w:eastAsia="SimSu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classique11">
    <w:name w:val="Tableau classique 11"/>
    <w:basedOn w:val="TableauNormal"/>
    <w:next w:val="Tableauclassique1"/>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classique21">
    <w:name w:val="Tableau classique 21"/>
    <w:basedOn w:val="TableauNormal"/>
    <w:next w:val="Tableauclassique2"/>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auclassique31">
    <w:name w:val="Tableau classique 31"/>
    <w:basedOn w:val="TableauNormal"/>
    <w:next w:val="Tableauclassique3"/>
    <w:rsid w:val="0094086E"/>
    <w:pPr>
      <w:spacing w:after="0" w:line="240" w:lineRule="auto"/>
    </w:pPr>
    <w:rPr>
      <w:rFonts w:ascii="Times New Roman" w:eastAsia="SimSu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auclassique41">
    <w:name w:val="Tableau classique 41"/>
    <w:basedOn w:val="TableauNormal"/>
    <w:next w:val="Tableauclassique4"/>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aucolor11">
    <w:name w:val="Tableau coloré 11"/>
    <w:basedOn w:val="TableauNormal"/>
    <w:next w:val="Tableaucolor1"/>
    <w:rsid w:val="0094086E"/>
    <w:pPr>
      <w:spacing w:after="0" w:line="240" w:lineRule="auto"/>
    </w:pPr>
    <w:rPr>
      <w:rFonts w:ascii="Times New Roman" w:eastAsia="SimSu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aucolor21">
    <w:name w:val="Tableau coloré 21"/>
    <w:basedOn w:val="TableauNormal"/>
    <w:next w:val="Tableaucolor2"/>
    <w:rsid w:val="0094086E"/>
    <w:pPr>
      <w:spacing w:after="0" w:line="240" w:lineRule="auto"/>
    </w:pPr>
    <w:rPr>
      <w:rFonts w:ascii="Times New Roman" w:eastAsia="SimSu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aucolor31">
    <w:name w:val="Tableau coloré 31"/>
    <w:basedOn w:val="TableauNormal"/>
    <w:next w:val="Tableaucolor3"/>
    <w:rsid w:val="0094086E"/>
    <w:pPr>
      <w:spacing w:after="0" w:line="240" w:lineRule="auto"/>
    </w:pPr>
    <w:rPr>
      <w:rFonts w:ascii="Times New Roman" w:eastAsia="SimSu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Colonnesdetableau11">
    <w:name w:val="Colonnes de tableau 11"/>
    <w:basedOn w:val="TableauNormal"/>
    <w:next w:val="Colonnesdetableau1"/>
    <w:rsid w:val="0094086E"/>
    <w:pPr>
      <w:spacing w:after="0" w:line="240" w:lineRule="auto"/>
    </w:pPr>
    <w:rPr>
      <w:rFonts w:ascii="Times New Roman" w:eastAsia="SimSu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olonnesdetableau21">
    <w:name w:val="Colonnes de tableau 21"/>
    <w:basedOn w:val="TableauNormal"/>
    <w:next w:val="Colonnesdetableau2"/>
    <w:rsid w:val="0094086E"/>
    <w:pPr>
      <w:spacing w:after="0" w:line="240" w:lineRule="auto"/>
    </w:pPr>
    <w:rPr>
      <w:rFonts w:ascii="Times New Roman" w:eastAsia="SimSu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olonnesdetableau31">
    <w:name w:val="Colonnes de tableau 31"/>
    <w:basedOn w:val="TableauNormal"/>
    <w:next w:val="Colonnesdetableau3"/>
    <w:rsid w:val="0094086E"/>
    <w:pPr>
      <w:spacing w:after="0" w:line="240" w:lineRule="auto"/>
    </w:pPr>
    <w:rPr>
      <w:rFonts w:ascii="Times New Roman" w:eastAsia="SimSu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Colonnesdetableau41">
    <w:name w:val="Colonnes de tableau 41"/>
    <w:basedOn w:val="TableauNormal"/>
    <w:next w:val="Colonnesdetableau4"/>
    <w:rsid w:val="0094086E"/>
    <w:pPr>
      <w:spacing w:after="0" w:line="240" w:lineRule="auto"/>
    </w:pPr>
    <w:rPr>
      <w:rFonts w:ascii="Times New Roman" w:eastAsia="SimSu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Colonnesdetableau51">
    <w:name w:val="Colonnes de tableau 51"/>
    <w:basedOn w:val="TableauNormal"/>
    <w:next w:val="Colonnesdetableau5"/>
    <w:rsid w:val="0094086E"/>
    <w:pPr>
      <w:spacing w:after="0" w:line="240" w:lineRule="auto"/>
    </w:pPr>
    <w:rPr>
      <w:rFonts w:ascii="Times New Roman" w:eastAsia="SimSu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aucontemporain1">
    <w:name w:val="Tableau contemporain1"/>
    <w:basedOn w:val="TableauNormal"/>
    <w:next w:val="Tableaucontemporain"/>
    <w:rsid w:val="0094086E"/>
    <w:pPr>
      <w:spacing w:after="0" w:line="240" w:lineRule="auto"/>
    </w:pPr>
    <w:rPr>
      <w:rFonts w:ascii="Times New Roman" w:eastAsia="SimSu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aulgant1">
    <w:name w:val="Tableau élégant1"/>
    <w:basedOn w:val="TableauNormal"/>
    <w:next w:val="Tableaulgant"/>
    <w:rsid w:val="0094086E"/>
    <w:pPr>
      <w:spacing w:after="0" w:line="240" w:lineRule="auto"/>
    </w:pPr>
    <w:rPr>
      <w:rFonts w:ascii="Times New Roman" w:eastAsia="SimSu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Grilledetableau11">
    <w:name w:val="Grille de tableau 11"/>
    <w:basedOn w:val="TableauNormal"/>
    <w:next w:val="Grilledetableau1"/>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Grilledetableau21">
    <w:name w:val="Grille de tableau 21"/>
    <w:basedOn w:val="TableauNormal"/>
    <w:next w:val="Grilledetableau2"/>
    <w:rsid w:val="0094086E"/>
    <w:pPr>
      <w:spacing w:after="0" w:line="240" w:lineRule="auto"/>
    </w:pPr>
    <w:rPr>
      <w:rFonts w:ascii="Times New Roman" w:eastAsia="SimSun" w:hAnsi="Times New Roman" w:cs="Times New Roman"/>
      <w:sz w:val="20"/>
      <w:szCs w:val="20"/>
      <w:lang w:val="en-GB" w:eastAsia="en-GB"/>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Grilledetableau31">
    <w:name w:val="Grille de tableau 31"/>
    <w:basedOn w:val="TableauNormal"/>
    <w:next w:val="Grilledetableau3"/>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Grilledetableau41">
    <w:name w:val="Grille de tableau 41"/>
    <w:basedOn w:val="TableauNormal"/>
    <w:next w:val="Grilledetableau4"/>
    <w:rsid w:val="0094086E"/>
    <w:pPr>
      <w:spacing w:after="0" w:line="240" w:lineRule="auto"/>
    </w:pPr>
    <w:rPr>
      <w:rFonts w:ascii="Times New Roman" w:eastAsia="SimSu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Grilledetableau51">
    <w:name w:val="Grille de tableau 51"/>
    <w:basedOn w:val="TableauNormal"/>
    <w:next w:val="Grilledetableau5"/>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Grilledetableau61">
    <w:name w:val="Grille de tableau 61"/>
    <w:basedOn w:val="TableauNormal"/>
    <w:next w:val="Grilledetableau6"/>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Grilledetableau71">
    <w:name w:val="Grille de tableau 71"/>
    <w:basedOn w:val="TableauNormal"/>
    <w:next w:val="Grilledetableau7"/>
    <w:rsid w:val="0094086E"/>
    <w:pPr>
      <w:spacing w:after="0" w:line="240" w:lineRule="auto"/>
    </w:pPr>
    <w:rPr>
      <w:rFonts w:ascii="Times New Roman" w:eastAsia="SimSu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Grilledetableau81">
    <w:name w:val="Grille de tableau 81"/>
    <w:basedOn w:val="TableauNormal"/>
    <w:next w:val="Grilledetableau8"/>
    <w:rsid w:val="0094086E"/>
    <w:pPr>
      <w:spacing w:after="0" w:line="240" w:lineRule="auto"/>
    </w:pPr>
    <w:rPr>
      <w:rFonts w:ascii="Times New Roman" w:eastAsia="SimSu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auliste11">
    <w:name w:val="Tableau liste 11"/>
    <w:basedOn w:val="TableauNormal"/>
    <w:next w:val="Tableauliste1"/>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liste21">
    <w:name w:val="Tableau liste 21"/>
    <w:basedOn w:val="TableauNormal"/>
    <w:next w:val="Tableauliste2"/>
    <w:rsid w:val="0094086E"/>
    <w:pPr>
      <w:spacing w:after="0" w:line="240" w:lineRule="auto"/>
    </w:pPr>
    <w:rPr>
      <w:rFonts w:ascii="Times New Roman" w:eastAsia="SimSu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liste31">
    <w:name w:val="Tableau liste 31"/>
    <w:basedOn w:val="TableauNormal"/>
    <w:next w:val="Tableauliste3"/>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auliste41">
    <w:name w:val="Tableau liste 41"/>
    <w:basedOn w:val="TableauNormal"/>
    <w:next w:val="Tableauliste4"/>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auliste51">
    <w:name w:val="Tableau liste 51"/>
    <w:basedOn w:val="TableauNormal"/>
    <w:next w:val="Tableauliste5"/>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auliste61">
    <w:name w:val="Tableau liste 61"/>
    <w:basedOn w:val="TableauNormal"/>
    <w:next w:val="Tableauliste6"/>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auliste71">
    <w:name w:val="Tableau liste 71"/>
    <w:basedOn w:val="TableauNormal"/>
    <w:next w:val="Tableauliste7"/>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auliste81">
    <w:name w:val="Tableau liste 81"/>
    <w:basedOn w:val="TableauNormal"/>
    <w:next w:val="Tableauliste8"/>
    <w:rsid w:val="0094086E"/>
    <w:pPr>
      <w:spacing w:after="0" w:line="240" w:lineRule="auto"/>
    </w:pPr>
    <w:rPr>
      <w:rFonts w:ascii="Times New Roman" w:eastAsia="SimSu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auprofessionnel1">
    <w:name w:val="Tableau professionnel1"/>
    <w:basedOn w:val="TableauNormal"/>
    <w:next w:val="Tableauprofessionnel"/>
    <w:rsid w:val="0094086E"/>
    <w:pPr>
      <w:spacing w:after="0" w:line="240" w:lineRule="auto"/>
    </w:pPr>
    <w:rPr>
      <w:rFonts w:ascii="Times New Roman" w:eastAsia="SimSu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ausimple11">
    <w:name w:val="Tableau simple 11"/>
    <w:basedOn w:val="TableauNormal"/>
    <w:next w:val="Tableausimple1"/>
    <w:rsid w:val="0094086E"/>
    <w:pPr>
      <w:spacing w:after="0" w:line="240" w:lineRule="auto"/>
    </w:pPr>
    <w:rPr>
      <w:rFonts w:ascii="Times New Roman" w:eastAsia="SimSun" w:hAnsi="Times New Roman" w:cs="Times New Roman"/>
      <w:sz w:val="20"/>
      <w:szCs w:val="20"/>
      <w:lang w:val="en-GB" w:eastAsia="en-GB"/>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ausimple21">
    <w:name w:val="Tableau simple 21"/>
    <w:basedOn w:val="TableauNormal"/>
    <w:next w:val="Tableausimple2"/>
    <w:rsid w:val="0094086E"/>
    <w:pPr>
      <w:spacing w:after="0" w:line="240" w:lineRule="auto"/>
    </w:pPr>
    <w:rPr>
      <w:rFonts w:ascii="Times New Roman" w:eastAsia="SimSu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ausimple31">
    <w:name w:val="Tableau simple 31"/>
    <w:basedOn w:val="TableauNormal"/>
    <w:next w:val="Tableausimple3"/>
    <w:rsid w:val="0094086E"/>
    <w:pPr>
      <w:spacing w:after="0" w:line="240" w:lineRule="auto"/>
    </w:pPr>
    <w:rPr>
      <w:rFonts w:ascii="Times New Roman" w:eastAsia="SimSu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auple11">
    <w:name w:val="Tableau pâle 11"/>
    <w:basedOn w:val="TableauNormal"/>
    <w:next w:val="Tableauple1"/>
    <w:rsid w:val="0094086E"/>
    <w:pPr>
      <w:spacing w:after="0" w:line="240" w:lineRule="auto"/>
    </w:pPr>
    <w:rPr>
      <w:rFonts w:ascii="Times New Roman" w:eastAsia="SimSu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ple21">
    <w:name w:val="Tableau pâle 21"/>
    <w:basedOn w:val="TableauNormal"/>
    <w:next w:val="Tableauple2"/>
    <w:rsid w:val="0094086E"/>
    <w:pPr>
      <w:spacing w:after="0" w:line="240" w:lineRule="auto"/>
    </w:pPr>
    <w:rPr>
      <w:rFonts w:ascii="Times New Roman" w:eastAsia="SimSu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hmedutableau1">
    <w:name w:val="Thème du tableau1"/>
    <w:basedOn w:val="TableauNormal"/>
    <w:next w:val="Thmedutableau"/>
    <w:rsid w:val="0094086E"/>
    <w:pPr>
      <w:spacing w:after="0" w:line="240" w:lineRule="auto"/>
    </w:pPr>
    <w:rPr>
      <w:rFonts w:ascii="Times New Roman" w:eastAsia="SimSu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Web11">
    <w:name w:val="Tableau Web 11"/>
    <w:basedOn w:val="TableauNormal"/>
    <w:next w:val="Tableauweb1"/>
    <w:rsid w:val="0094086E"/>
    <w:pPr>
      <w:spacing w:after="0" w:line="240" w:lineRule="auto"/>
    </w:pPr>
    <w:rPr>
      <w:rFonts w:ascii="Times New Roman" w:eastAsia="SimSu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auWeb21">
    <w:name w:val="Tableau Web 21"/>
    <w:basedOn w:val="TableauNormal"/>
    <w:next w:val="Tableauweb2"/>
    <w:rsid w:val="0094086E"/>
    <w:pPr>
      <w:spacing w:after="0" w:line="240" w:lineRule="auto"/>
    </w:pPr>
    <w:rPr>
      <w:rFonts w:ascii="Times New Roman" w:eastAsia="SimSu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auWeb31">
    <w:name w:val="Tableau Web 31"/>
    <w:basedOn w:val="TableauNormal"/>
    <w:next w:val="Tableauweb3"/>
    <w:rsid w:val="0094086E"/>
    <w:pPr>
      <w:spacing w:after="0" w:line="240" w:lineRule="auto"/>
    </w:pPr>
    <w:rPr>
      <w:rFonts w:ascii="Times New Roman" w:eastAsia="SimSu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ArticleSection2">
    <w:name w:val="Article / Section2"/>
    <w:basedOn w:val="Aucuneliste"/>
    <w:next w:val="ArticleSection"/>
    <w:rsid w:val="0094086E"/>
    <w:pPr>
      <w:numPr>
        <w:numId w:val="6"/>
      </w:numPr>
    </w:pPr>
  </w:style>
  <w:style w:type="numbering" w:customStyle="1" w:styleId="1ai2">
    <w:name w:val="1 / a / i2"/>
    <w:basedOn w:val="Aucuneliste"/>
    <w:next w:val="1ai"/>
    <w:rsid w:val="0094086E"/>
    <w:pPr>
      <w:numPr>
        <w:numId w:val="5"/>
      </w:numPr>
    </w:pPr>
  </w:style>
  <w:style w:type="numbering" w:customStyle="1" w:styleId="1111112">
    <w:name w:val="1 / 1.1 / 1.1.12"/>
    <w:basedOn w:val="Aucuneliste"/>
    <w:next w:val="111111"/>
    <w:rsid w:val="0094086E"/>
    <w:pPr>
      <w:numPr>
        <w:numId w:val="4"/>
      </w:numPr>
    </w:pPr>
  </w:style>
  <w:style w:type="numbering" w:customStyle="1" w:styleId="List01">
    <w:name w:val="List 01"/>
    <w:basedOn w:val="ImportedStyle1"/>
    <w:rsid w:val="0094086E"/>
    <w:pPr>
      <w:numPr>
        <w:numId w:val="7"/>
      </w:numPr>
    </w:pPr>
  </w:style>
  <w:style w:type="numbering" w:customStyle="1" w:styleId="List11">
    <w:name w:val="List 11"/>
    <w:basedOn w:val="ImportedStyle2"/>
    <w:rsid w:val="0094086E"/>
    <w:pPr>
      <w:numPr>
        <w:numId w:val="8"/>
      </w:numPr>
    </w:pPr>
  </w:style>
  <w:style w:type="numbering" w:customStyle="1" w:styleId="ImportedStyle21">
    <w:name w:val="Imported Style 21"/>
    <w:rsid w:val="0094086E"/>
  </w:style>
  <w:style w:type="numbering" w:customStyle="1" w:styleId="List211">
    <w:name w:val="List 211"/>
    <w:basedOn w:val="ImportedStyle3"/>
    <w:rsid w:val="0094086E"/>
    <w:pPr>
      <w:numPr>
        <w:numId w:val="9"/>
      </w:numPr>
    </w:pPr>
  </w:style>
  <w:style w:type="numbering" w:customStyle="1" w:styleId="ImportedStyle31">
    <w:name w:val="Imported Style 31"/>
    <w:rsid w:val="0094086E"/>
  </w:style>
  <w:style w:type="numbering" w:customStyle="1" w:styleId="Aucuneliste112">
    <w:name w:val="Aucune liste112"/>
    <w:next w:val="Aucuneliste"/>
    <w:uiPriority w:val="99"/>
    <w:semiHidden/>
    <w:unhideWhenUsed/>
    <w:rsid w:val="0094086E"/>
  </w:style>
  <w:style w:type="numbering" w:customStyle="1" w:styleId="NoList12">
    <w:name w:val="No List12"/>
    <w:next w:val="Aucuneliste"/>
    <w:uiPriority w:val="99"/>
    <w:semiHidden/>
    <w:unhideWhenUsed/>
    <w:rsid w:val="0094086E"/>
  </w:style>
  <w:style w:type="table" w:customStyle="1" w:styleId="TableGrid12">
    <w:name w:val="Table Grid12"/>
    <w:basedOn w:val="TableauNormal"/>
    <w:next w:val="Grilledutableau"/>
    <w:uiPriority w:val="39"/>
    <w:rsid w:val="0094086E"/>
    <w:pPr>
      <w:widowControl w:val="0"/>
      <w:spacing w:after="240" w:line="240" w:lineRule="auto"/>
      <w:jc w:val="both"/>
    </w:pPr>
    <w:rPr>
      <w:rFonts w:ascii="Times New Roman" w:eastAsia="Times New Roman" w:hAnsi="Times New Roman" w:cs="Times New Roman"/>
      <w:sz w:val="20"/>
      <w:szCs w:val="20"/>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ameclaire-Accent111">
    <w:name w:val="Trame claire - Accent 111"/>
    <w:basedOn w:val="TableauNormal"/>
    <w:uiPriority w:val="60"/>
    <w:rsid w:val="0094086E"/>
    <w:pPr>
      <w:spacing w:after="0" w:line="240" w:lineRule="auto"/>
    </w:pPr>
    <w:rPr>
      <w:rFonts w:ascii="Calibri" w:eastAsia="Calibri" w:hAnsi="Calibri" w:cs="Times New Roman"/>
      <w:color w:val="365F91"/>
      <w:sz w:val="20"/>
      <w:szCs w:val="20"/>
      <w:lang w:val="en-GB" w:eastAsia="en-GB"/>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Ombrageclair11">
    <w:name w:val="Ombrage clair11"/>
    <w:basedOn w:val="TableauNormal"/>
    <w:uiPriority w:val="60"/>
    <w:rsid w:val="0094086E"/>
    <w:pPr>
      <w:spacing w:after="0" w:line="240" w:lineRule="auto"/>
    </w:pPr>
    <w:rPr>
      <w:rFonts w:ascii="Calibri" w:eastAsia="Calibri" w:hAnsi="Calibri" w:cs="Times New Roman"/>
      <w:color w:val="000000"/>
      <w:sz w:val="20"/>
      <w:szCs w:val="2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Aucuneliste31">
    <w:name w:val="Aucune liste31"/>
    <w:next w:val="Aucuneliste"/>
    <w:uiPriority w:val="99"/>
    <w:semiHidden/>
    <w:unhideWhenUsed/>
    <w:rsid w:val="0094086E"/>
  </w:style>
  <w:style w:type="numbering" w:customStyle="1" w:styleId="Aucuneliste41">
    <w:name w:val="Aucune liste41"/>
    <w:next w:val="Aucuneliste"/>
    <w:uiPriority w:val="99"/>
    <w:semiHidden/>
    <w:unhideWhenUsed/>
    <w:rsid w:val="0094086E"/>
  </w:style>
  <w:style w:type="table" w:customStyle="1" w:styleId="Grilledutableau21">
    <w:name w:val="Grille du tableau21"/>
    <w:basedOn w:val="TableauNormal"/>
    <w:next w:val="Grilledutableau"/>
    <w:rsid w:val="0094086E"/>
    <w:pPr>
      <w:spacing w:after="0" w:line="240" w:lineRule="auto"/>
    </w:pPr>
    <w:rPr>
      <w:rFonts w:ascii="Times New Roman" w:eastAsia="SimSun" w:hAnsi="Times New Roman" w:cs="Times New Roman"/>
      <w:sz w:val="20"/>
      <w:szCs w:val="20"/>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icleSection11">
    <w:name w:val="Article / Section11"/>
    <w:basedOn w:val="Aucuneliste"/>
    <w:next w:val="ArticleSection"/>
    <w:rsid w:val="0094086E"/>
  </w:style>
  <w:style w:type="numbering" w:customStyle="1" w:styleId="1ai11">
    <w:name w:val="1 / a / i11"/>
    <w:basedOn w:val="Aucuneliste"/>
    <w:next w:val="1ai"/>
    <w:rsid w:val="0094086E"/>
  </w:style>
  <w:style w:type="numbering" w:customStyle="1" w:styleId="11111111">
    <w:name w:val="1 / 1.1 / 1.1.111"/>
    <w:basedOn w:val="Aucuneliste"/>
    <w:next w:val="111111"/>
    <w:rsid w:val="0094086E"/>
  </w:style>
  <w:style w:type="numbering" w:customStyle="1" w:styleId="Aucuneliste51">
    <w:name w:val="Aucune liste51"/>
    <w:next w:val="Aucuneliste"/>
    <w:uiPriority w:val="99"/>
    <w:semiHidden/>
    <w:unhideWhenUsed/>
    <w:rsid w:val="0094086E"/>
  </w:style>
  <w:style w:type="table" w:customStyle="1" w:styleId="Grilledutableau31">
    <w:name w:val="Grille du tableau31"/>
    <w:basedOn w:val="TableauNormal"/>
    <w:next w:val="Grilledutableau"/>
    <w:rsid w:val="0094086E"/>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61">
    <w:name w:val="Aucune liste61"/>
    <w:next w:val="Aucuneliste"/>
    <w:uiPriority w:val="99"/>
    <w:semiHidden/>
    <w:unhideWhenUsed/>
    <w:rsid w:val="0094086E"/>
  </w:style>
  <w:style w:type="table" w:customStyle="1" w:styleId="Grilledutableau41">
    <w:name w:val="Grille du tableau41"/>
    <w:basedOn w:val="TableauNormal"/>
    <w:next w:val="Grilledutableau"/>
    <w:rsid w:val="0094086E"/>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71">
    <w:name w:val="Aucune liste71"/>
    <w:next w:val="Aucuneliste"/>
    <w:uiPriority w:val="99"/>
    <w:semiHidden/>
    <w:unhideWhenUsed/>
    <w:rsid w:val="0094086E"/>
  </w:style>
  <w:style w:type="numbering" w:customStyle="1" w:styleId="Aucuneliste81">
    <w:name w:val="Aucune liste81"/>
    <w:next w:val="Aucuneliste"/>
    <w:uiPriority w:val="99"/>
    <w:semiHidden/>
    <w:unhideWhenUsed/>
    <w:rsid w:val="0094086E"/>
  </w:style>
  <w:style w:type="table" w:customStyle="1" w:styleId="Grilledutableau51">
    <w:name w:val="Grille du tableau51"/>
    <w:basedOn w:val="TableauNormal"/>
    <w:next w:val="Grilledutableau"/>
    <w:rsid w:val="0094086E"/>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21">
    <w:name w:val="Aucune liste121"/>
    <w:next w:val="Aucuneliste"/>
    <w:uiPriority w:val="99"/>
    <w:semiHidden/>
    <w:unhideWhenUsed/>
    <w:rsid w:val="0094086E"/>
  </w:style>
  <w:style w:type="numbering" w:customStyle="1" w:styleId="NoList111">
    <w:name w:val="No List111"/>
    <w:next w:val="Aucuneliste"/>
    <w:uiPriority w:val="99"/>
    <w:semiHidden/>
    <w:unhideWhenUsed/>
    <w:rsid w:val="0094086E"/>
  </w:style>
  <w:style w:type="table" w:customStyle="1" w:styleId="TableGrid111">
    <w:name w:val="Table Grid111"/>
    <w:basedOn w:val="TableauNormal"/>
    <w:next w:val="Grilledutableau"/>
    <w:rsid w:val="0094086E"/>
    <w:pPr>
      <w:widowControl w:val="0"/>
      <w:spacing w:after="240" w:line="240" w:lineRule="auto"/>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91">
    <w:name w:val="Aucune liste91"/>
    <w:next w:val="Aucuneliste"/>
    <w:uiPriority w:val="99"/>
    <w:semiHidden/>
    <w:unhideWhenUsed/>
    <w:rsid w:val="0094086E"/>
  </w:style>
  <w:style w:type="table" w:customStyle="1" w:styleId="Grilledutableau61">
    <w:name w:val="Grille du tableau61"/>
    <w:basedOn w:val="TableauNormal"/>
    <w:next w:val="Grilledutableau"/>
    <w:uiPriority w:val="59"/>
    <w:rsid w:val="0094086E"/>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01">
    <w:name w:val="Aucune liste101"/>
    <w:next w:val="Aucuneliste"/>
    <w:uiPriority w:val="99"/>
    <w:semiHidden/>
    <w:unhideWhenUsed/>
    <w:rsid w:val="0094086E"/>
  </w:style>
  <w:style w:type="numbering" w:customStyle="1" w:styleId="ImportedStyle411">
    <w:name w:val="Imported Style 411"/>
    <w:rsid w:val="0094086E"/>
  </w:style>
  <w:style w:type="numbering" w:customStyle="1" w:styleId="ImportedStyle511">
    <w:name w:val="Imported Style 511"/>
    <w:rsid w:val="0094086E"/>
  </w:style>
  <w:style w:type="numbering" w:customStyle="1" w:styleId="ImportedStyle111">
    <w:name w:val="Imported Style 111"/>
    <w:rsid w:val="0094086E"/>
  </w:style>
  <w:style w:type="table" w:customStyle="1" w:styleId="Grilledutableau71">
    <w:name w:val="Grille du tableau71"/>
    <w:basedOn w:val="TableauNormal"/>
    <w:next w:val="Grilledutableau"/>
    <w:uiPriority w:val="39"/>
    <w:rsid w:val="0094086E"/>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eclaire-Accent11">
    <w:name w:val="Liste claire - Accent 11"/>
    <w:basedOn w:val="TableauNormal"/>
    <w:next w:val="Listeclaire-Accent1"/>
    <w:uiPriority w:val="61"/>
    <w:rsid w:val="0094086E"/>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Grilledutableau81">
    <w:name w:val="Grille du tableau81"/>
    <w:basedOn w:val="TableauNormal"/>
    <w:next w:val="Grilledutableau"/>
    <w:uiPriority w:val="39"/>
    <w:rsid w:val="0094086E"/>
    <w:pPr>
      <w:spacing w:after="0" w:line="240" w:lineRule="auto"/>
    </w:pPr>
    <w:rPr>
      <w:rFonts w:ascii="Calibri" w:eastAsia="Calibri" w:hAnsi="Calibri" w:cs="Times New Roman"/>
      <w:sz w:val="20"/>
      <w:szCs w:val="20"/>
      <w:lang w:val="en-AU"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s">
    <w:name w:val="authors"/>
    <w:basedOn w:val="Policepardfaut"/>
    <w:rsid w:val="0094086E"/>
  </w:style>
  <w:style w:type="character" w:customStyle="1" w:styleId="arttitle">
    <w:name w:val="art_title"/>
    <w:basedOn w:val="Policepardfaut"/>
    <w:rsid w:val="0094086E"/>
  </w:style>
  <w:style w:type="character" w:customStyle="1" w:styleId="serialtitle">
    <w:name w:val="serial_title"/>
    <w:basedOn w:val="Policepardfaut"/>
    <w:rsid w:val="0094086E"/>
  </w:style>
  <w:style w:type="character" w:customStyle="1" w:styleId="volumeissue">
    <w:name w:val="volume_issue"/>
    <w:basedOn w:val="Policepardfaut"/>
    <w:rsid w:val="0094086E"/>
  </w:style>
  <w:style w:type="character" w:customStyle="1" w:styleId="pagerange">
    <w:name w:val="page_range"/>
    <w:basedOn w:val="Policepardfaut"/>
    <w:rsid w:val="0094086E"/>
  </w:style>
  <w:style w:type="character" w:customStyle="1" w:styleId="doilink">
    <w:name w:val="doi_link"/>
    <w:basedOn w:val="Policepardfaut"/>
    <w:rsid w:val="0094086E"/>
  </w:style>
  <w:style w:type="character" w:customStyle="1" w:styleId="Date1">
    <w:name w:val="Date1"/>
    <w:basedOn w:val="Policepardfaut"/>
    <w:rsid w:val="0094086E"/>
  </w:style>
  <w:style w:type="character" w:customStyle="1" w:styleId="sciname1">
    <w:name w:val="sciname1"/>
    <w:rsid w:val="0094086E"/>
    <w:rPr>
      <w:i/>
      <w:iCs/>
    </w:rPr>
  </w:style>
  <w:style w:type="paragraph" w:customStyle="1" w:styleId="TableParagraph">
    <w:name w:val="Table Paragraph"/>
    <w:basedOn w:val="Normal"/>
    <w:uiPriority w:val="1"/>
    <w:qFormat/>
    <w:rsid w:val="0094086E"/>
    <w:pPr>
      <w:widowControl w:val="0"/>
      <w:autoSpaceDE w:val="0"/>
      <w:autoSpaceDN w:val="0"/>
      <w:spacing w:after="0" w:line="240" w:lineRule="auto"/>
    </w:pPr>
    <w:rPr>
      <w:rFonts w:eastAsia="Times New Roman" w:cs="Times New Roman"/>
      <w:lang w:val="en-US"/>
    </w:rPr>
  </w:style>
  <w:style w:type="character" w:customStyle="1" w:styleId="UnresolvedMention4">
    <w:name w:val="Unresolved Mention4"/>
    <w:basedOn w:val="Policepardfaut"/>
    <w:uiPriority w:val="99"/>
    <w:semiHidden/>
    <w:unhideWhenUsed/>
    <w:rsid w:val="0094086E"/>
    <w:rPr>
      <w:color w:val="605E5C"/>
      <w:shd w:val="clear" w:color="auto" w:fill="E1DFDD"/>
    </w:rPr>
  </w:style>
  <w:style w:type="character" w:customStyle="1" w:styleId="UnresolvedMention5">
    <w:name w:val="Unresolved Mention5"/>
    <w:basedOn w:val="Policepardfaut"/>
    <w:uiPriority w:val="99"/>
    <w:semiHidden/>
    <w:unhideWhenUsed/>
    <w:rsid w:val="00453D2B"/>
    <w:rPr>
      <w:color w:val="605E5C"/>
      <w:shd w:val="clear" w:color="auto" w:fill="E1DFDD"/>
    </w:rPr>
  </w:style>
  <w:style w:type="character" w:customStyle="1" w:styleId="UnresolvedMention51">
    <w:name w:val="Unresolved Mention51"/>
    <w:basedOn w:val="Policepardfaut"/>
    <w:uiPriority w:val="99"/>
    <w:semiHidden/>
    <w:unhideWhenUsed/>
    <w:rsid w:val="00E65E42"/>
    <w:rPr>
      <w:color w:val="605E5C"/>
      <w:shd w:val="clear" w:color="auto" w:fill="E1DFDD"/>
    </w:rPr>
  </w:style>
  <w:style w:type="character" w:customStyle="1" w:styleId="Mentionnonrsolue2">
    <w:name w:val="Mention non résolue2"/>
    <w:basedOn w:val="Policepardfaut"/>
    <w:uiPriority w:val="99"/>
    <w:semiHidden/>
    <w:unhideWhenUsed/>
    <w:rsid w:val="00E65E42"/>
    <w:rPr>
      <w:color w:val="605E5C"/>
      <w:shd w:val="clear" w:color="auto" w:fill="E1DFDD"/>
    </w:rPr>
  </w:style>
  <w:style w:type="paragraph" w:customStyle="1" w:styleId="Titre31">
    <w:name w:val="Titre3"/>
    <w:basedOn w:val="Normal"/>
    <w:rsid w:val="00E65E42"/>
    <w:pPr>
      <w:spacing w:before="100" w:beforeAutospacing="1" w:after="100" w:afterAutospacing="1" w:line="240" w:lineRule="auto"/>
    </w:pPr>
    <w:rPr>
      <w:rFonts w:eastAsia="Times New Roman" w:cs="Times New Roman"/>
      <w:sz w:val="24"/>
      <w:szCs w:val="24"/>
      <w:lang w:val="en-IE" w:eastAsia="en-IE"/>
    </w:rPr>
  </w:style>
  <w:style w:type="paragraph" w:customStyle="1" w:styleId="para3i0">
    <w:name w:val="para3i"/>
    <w:basedOn w:val="Normal"/>
    <w:rsid w:val="00E65E42"/>
    <w:pPr>
      <w:spacing w:before="100" w:beforeAutospacing="1" w:after="100" w:afterAutospacing="1" w:line="240" w:lineRule="auto"/>
    </w:pPr>
    <w:rPr>
      <w:rFonts w:ascii="Calibri" w:hAnsi="Calibri" w:cs="Calibri"/>
      <w:sz w:val="22"/>
      <w:lang w:val="en-IE" w:eastAsia="en-IE"/>
    </w:rPr>
  </w:style>
  <w:style w:type="numbering" w:customStyle="1" w:styleId="NoList2">
    <w:name w:val="No List2"/>
    <w:next w:val="Aucuneliste"/>
    <w:uiPriority w:val="99"/>
    <w:semiHidden/>
    <w:unhideWhenUsed/>
    <w:rsid w:val="00562F64"/>
  </w:style>
  <w:style w:type="paragraph" w:customStyle="1" w:styleId="legende-figure-avant">
    <w:name w:val="legende-figure-avant"/>
    <w:basedOn w:val="Normal"/>
    <w:rsid w:val="00562F64"/>
    <w:pPr>
      <w:spacing w:before="100" w:beforeAutospacing="1" w:after="100" w:afterAutospacing="1" w:line="240" w:lineRule="auto"/>
    </w:pPr>
    <w:rPr>
      <w:rFonts w:ascii="SimSun" w:eastAsia="SimSun" w:hAnsi="SimSun" w:cs="SimSun"/>
      <w:sz w:val="24"/>
      <w:szCs w:val="24"/>
      <w:lang w:val="en-US" w:eastAsia="zh-CN"/>
    </w:rPr>
  </w:style>
  <w:style w:type="paragraph" w:customStyle="1" w:styleId="brdtekstNINA">
    <w:name w:val="brødtekst NINA"/>
    <w:basedOn w:val="Normal"/>
    <w:qFormat/>
    <w:rsid w:val="00562F64"/>
    <w:pPr>
      <w:spacing w:after="120" w:line="240" w:lineRule="auto"/>
      <w:jc w:val="both"/>
    </w:pPr>
    <w:rPr>
      <w:rFonts w:ascii="Arial" w:eastAsia="Times New Roman" w:hAnsi="Arial" w:cs="Times New Roman"/>
      <w:sz w:val="21"/>
    </w:rPr>
  </w:style>
  <w:style w:type="character" w:customStyle="1" w:styleId="Ulstomtale1">
    <w:name w:val="Uløst omtale1"/>
    <w:basedOn w:val="Policepardfaut"/>
    <w:uiPriority w:val="99"/>
    <w:semiHidden/>
    <w:unhideWhenUsed/>
    <w:rsid w:val="00562F64"/>
    <w:rPr>
      <w:color w:val="605E5C"/>
      <w:shd w:val="clear" w:color="auto" w:fill="E1DFDD"/>
    </w:rPr>
  </w:style>
  <w:style w:type="paragraph" w:customStyle="1" w:styleId="xendnotebibliography">
    <w:name w:val="x_endnotebibliography"/>
    <w:basedOn w:val="Normal"/>
    <w:rsid w:val="00562F64"/>
    <w:pPr>
      <w:spacing w:before="100" w:beforeAutospacing="1" w:after="100" w:afterAutospacing="1" w:line="240" w:lineRule="auto"/>
    </w:pPr>
    <w:rPr>
      <w:rFonts w:eastAsia="Times New Roman" w:cs="Times New Roman"/>
      <w:sz w:val="24"/>
      <w:szCs w:val="24"/>
      <w:lang w:val="fr-FR" w:eastAsia="fr-FR"/>
    </w:rPr>
  </w:style>
  <w:style w:type="paragraph" w:styleId="TM4">
    <w:name w:val="toc 4"/>
    <w:basedOn w:val="Normal"/>
    <w:next w:val="Normal"/>
    <w:autoRedefine/>
    <w:uiPriority w:val="39"/>
    <w:unhideWhenUsed/>
    <w:rsid w:val="00800B4D"/>
    <w:pPr>
      <w:spacing w:after="100"/>
      <w:ind w:left="660"/>
    </w:pPr>
    <w:rPr>
      <w:rFonts w:asciiTheme="minorHAnsi" w:eastAsiaTheme="minorEastAsia" w:hAnsiTheme="minorHAnsi"/>
      <w:sz w:val="22"/>
      <w:lang w:val="en-US"/>
    </w:rPr>
  </w:style>
  <w:style w:type="paragraph" w:styleId="TM5">
    <w:name w:val="toc 5"/>
    <w:basedOn w:val="Normal"/>
    <w:next w:val="Normal"/>
    <w:autoRedefine/>
    <w:uiPriority w:val="39"/>
    <w:unhideWhenUsed/>
    <w:rsid w:val="00800B4D"/>
    <w:pPr>
      <w:spacing w:after="100"/>
      <w:ind w:left="880"/>
    </w:pPr>
    <w:rPr>
      <w:rFonts w:asciiTheme="minorHAnsi" w:eastAsiaTheme="minorEastAsia" w:hAnsiTheme="minorHAnsi"/>
      <w:sz w:val="22"/>
      <w:lang w:val="en-US"/>
    </w:rPr>
  </w:style>
  <w:style w:type="paragraph" w:styleId="TM6">
    <w:name w:val="toc 6"/>
    <w:basedOn w:val="Normal"/>
    <w:next w:val="Normal"/>
    <w:autoRedefine/>
    <w:uiPriority w:val="39"/>
    <w:unhideWhenUsed/>
    <w:rsid w:val="00800B4D"/>
    <w:pPr>
      <w:spacing w:after="100"/>
      <w:ind w:left="1100"/>
    </w:pPr>
    <w:rPr>
      <w:rFonts w:asciiTheme="minorHAnsi" w:eastAsiaTheme="minorEastAsia" w:hAnsiTheme="minorHAnsi"/>
      <w:sz w:val="22"/>
      <w:lang w:val="en-US"/>
    </w:rPr>
  </w:style>
  <w:style w:type="paragraph" w:styleId="TM7">
    <w:name w:val="toc 7"/>
    <w:basedOn w:val="Normal"/>
    <w:next w:val="Normal"/>
    <w:autoRedefine/>
    <w:uiPriority w:val="39"/>
    <w:unhideWhenUsed/>
    <w:rsid w:val="00800B4D"/>
    <w:pPr>
      <w:spacing w:after="100"/>
      <w:ind w:left="1320"/>
    </w:pPr>
    <w:rPr>
      <w:rFonts w:asciiTheme="minorHAnsi" w:eastAsiaTheme="minorEastAsia" w:hAnsiTheme="minorHAnsi"/>
      <w:sz w:val="22"/>
      <w:lang w:val="en-US"/>
    </w:rPr>
  </w:style>
  <w:style w:type="paragraph" w:styleId="TM8">
    <w:name w:val="toc 8"/>
    <w:basedOn w:val="Normal"/>
    <w:next w:val="Normal"/>
    <w:autoRedefine/>
    <w:uiPriority w:val="39"/>
    <w:unhideWhenUsed/>
    <w:rsid w:val="00800B4D"/>
    <w:pPr>
      <w:spacing w:after="100"/>
      <w:ind w:left="1540"/>
    </w:pPr>
    <w:rPr>
      <w:rFonts w:asciiTheme="minorHAnsi" w:eastAsiaTheme="minorEastAsia" w:hAnsiTheme="minorHAnsi"/>
      <w:sz w:val="22"/>
      <w:lang w:val="en-US"/>
    </w:rPr>
  </w:style>
  <w:style w:type="paragraph" w:styleId="TM9">
    <w:name w:val="toc 9"/>
    <w:basedOn w:val="Normal"/>
    <w:next w:val="Normal"/>
    <w:autoRedefine/>
    <w:uiPriority w:val="39"/>
    <w:unhideWhenUsed/>
    <w:rsid w:val="00800B4D"/>
    <w:pPr>
      <w:spacing w:after="100"/>
      <w:ind w:left="1760"/>
    </w:pPr>
    <w:rPr>
      <w:rFonts w:asciiTheme="minorHAnsi" w:eastAsiaTheme="minorEastAsia" w:hAnsiTheme="minorHAnsi"/>
      <w:sz w:val="22"/>
      <w:lang w:val="en-US"/>
    </w:rPr>
  </w:style>
  <w:style w:type="character" w:customStyle="1" w:styleId="UnresolvedMention6">
    <w:name w:val="Unresolved Mention6"/>
    <w:basedOn w:val="Policepardfaut"/>
    <w:uiPriority w:val="99"/>
    <w:semiHidden/>
    <w:unhideWhenUsed/>
    <w:rsid w:val="00DE69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14791">
      <w:bodyDiv w:val="1"/>
      <w:marLeft w:val="0"/>
      <w:marRight w:val="0"/>
      <w:marTop w:val="0"/>
      <w:marBottom w:val="0"/>
      <w:divBdr>
        <w:top w:val="none" w:sz="0" w:space="0" w:color="auto"/>
        <w:left w:val="none" w:sz="0" w:space="0" w:color="auto"/>
        <w:bottom w:val="none" w:sz="0" w:space="0" w:color="auto"/>
        <w:right w:val="none" w:sz="0" w:space="0" w:color="auto"/>
      </w:divBdr>
    </w:div>
    <w:div w:id="249898955">
      <w:bodyDiv w:val="1"/>
      <w:marLeft w:val="0"/>
      <w:marRight w:val="0"/>
      <w:marTop w:val="0"/>
      <w:marBottom w:val="0"/>
      <w:divBdr>
        <w:top w:val="none" w:sz="0" w:space="0" w:color="auto"/>
        <w:left w:val="none" w:sz="0" w:space="0" w:color="auto"/>
        <w:bottom w:val="none" w:sz="0" w:space="0" w:color="auto"/>
        <w:right w:val="none" w:sz="0" w:space="0" w:color="auto"/>
      </w:divBdr>
      <w:divsChild>
        <w:div w:id="521434421">
          <w:marLeft w:val="0"/>
          <w:marRight w:val="0"/>
          <w:marTop w:val="0"/>
          <w:marBottom w:val="0"/>
          <w:divBdr>
            <w:top w:val="none" w:sz="0" w:space="0" w:color="auto"/>
            <w:left w:val="none" w:sz="0" w:space="0" w:color="auto"/>
            <w:bottom w:val="none" w:sz="0" w:space="0" w:color="auto"/>
            <w:right w:val="none" w:sz="0" w:space="0" w:color="auto"/>
          </w:divBdr>
          <w:divsChild>
            <w:div w:id="190016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01069">
      <w:bodyDiv w:val="1"/>
      <w:marLeft w:val="0"/>
      <w:marRight w:val="0"/>
      <w:marTop w:val="0"/>
      <w:marBottom w:val="0"/>
      <w:divBdr>
        <w:top w:val="none" w:sz="0" w:space="0" w:color="auto"/>
        <w:left w:val="none" w:sz="0" w:space="0" w:color="auto"/>
        <w:bottom w:val="none" w:sz="0" w:space="0" w:color="auto"/>
        <w:right w:val="none" w:sz="0" w:space="0" w:color="auto"/>
      </w:divBdr>
    </w:div>
    <w:div w:id="1091314713">
      <w:bodyDiv w:val="1"/>
      <w:marLeft w:val="0"/>
      <w:marRight w:val="0"/>
      <w:marTop w:val="0"/>
      <w:marBottom w:val="0"/>
      <w:divBdr>
        <w:top w:val="none" w:sz="0" w:space="0" w:color="auto"/>
        <w:left w:val="none" w:sz="0" w:space="0" w:color="auto"/>
        <w:bottom w:val="none" w:sz="0" w:space="0" w:color="auto"/>
        <w:right w:val="none" w:sz="0" w:space="0" w:color="auto"/>
      </w:divBdr>
    </w:div>
    <w:div w:id="1576554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oie.int/index.php?id=171&amp;L=0&amp;htmfile=glossaire.htm" TargetMode="External"/><Relationship Id="rId21" Type="http://schemas.openxmlformats.org/officeDocument/2006/relationships/hyperlink" Target="http://www.aquapath.lab.arizona.edu" TargetMode="External"/><Relationship Id="rId42" Type="http://schemas.openxmlformats.org/officeDocument/2006/relationships/header" Target="header7.xml"/><Relationship Id="rId63" Type="http://schemas.openxmlformats.org/officeDocument/2006/relationships/hyperlink" Target="http://www.oie.int/index.php?id=171&amp;L=0&amp;htmfile=glossaire.htm" TargetMode="External"/><Relationship Id="rId84" Type="http://schemas.openxmlformats.org/officeDocument/2006/relationships/hyperlink" Target="http://www.oie.int/index.php?id=171&amp;L=0&amp;htmfile=glossaire.htm" TargetMode="External"/><Relationship Id="rId138" Type="http://schemas.openxmlformats.org/officeDocument/2006/relationships/hyperlink" Target="http://www.oie.int/index.php?id=171&amp;L=0&amp;htmfile=glossaire.htm" TargetMode="External"/><Relationship Id="rId159" Type="http://schemas.openxmlformats.org/officeDocument/2006/relationships/hyperlink" Target="http://www.ebi.ac.uk/blastall/index.html" TargetMode="External"/><Relationship Id="rId170" Type="http://schemas.openxmlformats.org/officeDocument/2006/relationships/footer" Target="footer16.xml"/><Relationship Id="rId191" Type="http://schemas.openxmlformats.org/officeDocument/2006/relationships/footer" Target="footer23.xml"/><Relationship Id="rId205" Type="http://schemas.openxmlformats.org/officeDocument/2006/relationships/header" Target="header48.xml"/><Relationship Id="rId226" Type="http://schemas.openxmlformats.org/officeDocument/2006/relationships/hyperlink" Target="http://www.oie.int/index.php?id=2439&amp;L=0&amp;htmfile=chapitre_gyrodactylus_salaris.htm" TargetMode="External"/><Relationship Id="rId247" Type="http://schemas.openxmlformats.org/officeDocument/2006/relationships/header" Target="header64.xml"/><Relationship Id="rId107" Type="http://schemas.openxmlformats.org/officeDocument/2006/relationships/hyperlink" Target="http://www.oie.int/index.php?id=171&amp;L=0&amp;htmfile=glossaire.htm" TargetMode="External"/><Relationship Id="rId11" Type="http://schemas.openxmlformats.org/officeDocument/2006/relationships/hyperlink" Target="https://www.oie.int/en/standard-setting/specialists-commissions-working-ad-hoc-groups/ad-hoc-groups-reports/" TargetMode="External"/><Relationship Id="rId32" Type="http://schemas.openxmlformats.org/officeDocument/2006/relationships/hyperlink" Target="mailto:KevinCH@daff.gov.za" TargetMode="External"/><Relationship Id="rId53" Type="http://schemas.openxmlformats.org/officeDocument/2006/relationships/header" Target="header13.xml"/><Relationship Id="rId74" Type="http://schemas.openxmlformats.org/officeDocument/2006/relationships/hyperlink" Target="http://www.oie.int/index.php?id=171&amp;L=0&amp;htmfile=glossaire.htm" TargetMode="External"/><Relationship Id="rId128" Type="http://schemas.openxmlformats.org/officeDocument/2006/relationships/hyperlink" Target="http://www.oie.int/index.php?id=171&amp;L=0&amp;htmfile=glossaire.htm" TargetMode="External"/><Relationship Id="rId149" Type="http://schemas.openxmlformats.org/officeDocument/2006/relationships/hyperlink" Target="https://en.wikipedia.org/wiki/Cyprinidae" TargetMode="External"/><Relationship Id="rId5" Type="http://schemas.openxmlformats.org/officeDocument/2006/relationships/webSettings" Target="webSettings.xml"/><Relationship Id="rId95" Type="http://schemas.openxmlformats.org/officeDocument/2006/relationships/hyperlink" Target="http://www.oie.int/index.php?id=171&amp;L=0&amp;htmfile=glossaire.htm" TargetMode="External"/><Relationship Id="rId160" Type="http://schemas.openxmlformats.org/officeDocument/2006/relationships/hyperlink" Target="http://www.oie.int/en/scientific-expertise/reference-laboratories/list-of-laboratories/" TargetMode="External"/><Relationship Id="rId181" Type="http://schemas.openxmlformats.org/officeDocument/2006/relationships/footer" Target="footer20.xml"/><Relationship Id="rId216" Type="http://schemas.openxmlformats.org/officeDocument/2006/relationships/header" Target="header52.xml"/><Relationship Id="rId237" Type="http://schemas.openxmlformats.org/officeDocument/2006/relationships/header" Target="header58.xml"/><Relationship Id="rId22" Type="http://schemas.openxmlformats.org/officeDocument/2006/relationships/hyperlink" Target="mailto:lfarangu@email.arizona.edu" TargetMode="External"/><Relationship Id="rId43" Type="http://schemas.openxmlformats.org/officeDocument/2006/relationships/header" Target="header8.xml"/><Relationship Id="rId64" Type="http://schemas.openxmlformats.org/officeDocument/2006/relationships/hyperlink" Target="https://www.oie.int/index.php?id=171&amp;L=0&amp;htmfile=glossaire.htm" TargetMode="External"/><Relationship Id="rId118" Type="http://schemas.openxmlformats.org/officeDocument/2006/relationships/hyperlink" Target="http://www.oie.int/index.php?id=171&amp;L=0&amp;htmfile=glossaire.htm" TargetMode="External"/><Relationship Id="rId139" Type="http://schemas.openxmlformats.org/officeDocument/2006/relationships/hyperlink" Target="http://www.oie.int/index.php?id=171&amp;L=0&amp;htmfile=chapitre_aqua_ani_surveillance.htm" TargetMode="External"/><Relationship Id="rId85" Type="http://schemas.openxmlformats.org/officeDocument/2006/relationships/hyperlink" Target="http://www.oie.int/index.php?id=171&amp;L=0&amp;htmfile=glossaire.htm" TargetMode="External"/><Relationship Id="rId150" Type="http://schemas.openxmlformats.org/officeDocument/2006/relationships/hyperlink" Target="https://www.google.com/search?rlz=1C1GCEU_enFR862FR862&amp;q=Siluridae&amp;stick=H4sIAAAAAAAAAONgVuLUz9U3SEkzjjdYxMoZnJlTWpSZkpgKAH9KZAgZAAAA&amp;sa=X&amp;ved=2ahUKEwiOtuq6jqHlAhVFSxoKHcMTAloQmxMoATAlegQIDBAK" TargetMode="External"/><Relationship Id="rId171" Type="http://schemas.openxmlformats.org/officeDocument/2006/relationships/header" Target="header28.xml"/><Relationship Id="rId192" Type="http://schemas.openxmlformats.org/officeDocument/2006/relationships/hyperlink" Target="http://www.crl-fish.eu/upload/sites/crl-fish/reports/links/fisheggtrade%20wp1.pdf" TargetMode="External"/><Relationship Id="rId206" Type="http://schemas.openxmlformats.org/officeDocument/2006/relationships/footer" Target="footer27.xml"/><Relationship Id="rId227" Type="http://schemas.openxmlformats.org/officeDocument/2006/relationships/hyperlink" Target="http://www.oie.int/index.php?id=2439&amp;L=0&amp;htmfile=chapitre_gyrodactylus_salaris.htm" TargetMode="External"/><Relationship Id="rId248" Type="http://schemas.openxmlformats.org/officeDocument/2006/relationships/footer" Target="footer37.xml"/><Relationship Id="rId12" Type="http://schemas.openxmlformats.org/officeDocument/2006/relationships/hyperlink" Target="http://www.fao.org/faoterm/collection/faoterm/en/" TargetMode="External"/><Relationship Id="rId33" Type="http://schemas.openxmlformats.org/officeDocument/2006/relationships/hyperlink" Target="mailto:chang_siow_foong@nparks.gov.sg" TargetMode="External"/><Relationship Id="rId108" Type="http://schemas.openxmlformats.org/officeDocument/2006/relationships/hyperlink" Target="http://www.oie.int/index.php?id=171&amp;L=0&amp;htmfile=glossaire.htm" TargetMode="External"/><Relationship Id="rId129" Type="http://schemas.openxmlformats.org/officeDocument/2006/relationships/hyperlink" Target="http://www.oie.int/index.php?id=171&amp;L=0&amp;htmfile=chapitre_vhs.htm" TargetMode="External"/><Relationship Id="rId54" Type="http://schemas.openxmlformats.org/officeDocument/2006/relationships/header" Target="header14.xml"/><Relationship Id="rId75" Type="http://schemas.openxmlformats.org/officeDocument/2006/relationships/hyperlink" Target="http://www.oie.int/index.php?id=171&amp;L=0&amp;htmfile=glossaire.htm" TargetMode="External"/><Relationship Id="rId96" Type="http://schemas.openxmlformats.org/officeDocument/2006/relationships/hyperlink" Target="http://www.oie.int/index.php?id=171&amp;L=0&amp;htmfile=chapitre_aqua_ani_surveillance.htm" TargetMode="External"/><Relationship Id="rId140" Type="http://schemas.openxmlformats.org/officeDocument/2006/relationships/header" Target="header17.xml"/><Relationship Id="rId161" Type="http://schemas.openxmlformats.org/officeDocument/2006/relationships/hyperlink" Target="http://www.oie.int" TargetMode="External"/><Relationship Id="rId182" Type="http://schemas.openxmlformats.org/officeDocument/2006/relationships/header" Target="header34.xml"/><Relationship Id="rId217" Type="http://schemas.openxmlformats.org/officeDocument/2006/relationships/hyperlink" Target="https://www.oie.int/wahis_2/public/wahid.php/Wahidhome/Home/index/newlang/en" TargetMode="External"/><Relationship Id="rId6" Type="http://schemas.openxmlformats.org/officeDocument/2006/relationships/footnotes" Target="footnotes.xml"/><Relationship Id="rId238" Type="http://schemas.openxmlformats.org/officeDocument/2006/relationships/footer" Target="footer34.xml"/><Relationship Id="rId23" Type="http://schemas.openxmlformats.org/officeDocument/2006/relationships/hyperlink" Target="http://www.oie.int/en/scientific-expertise/reference-laboratories/sops/" TargetMode="External"/><Relationship Id="rId119" Type="http://schemas.openxmlformats.org/officeDocument/2006/relationships/hyperlink" Target="http://www.oie.int/index.php?id=171&amp;L=0&amp;htmfile=glossaire.htm" TargetMode="External"/><Relationship Id="rId291" Type="http://schemas.microsoft.com/office/2018/08/relationships/commentsExtensible" Target="commentsExtensible.xml"/><Relationship Id="rId44" Type="http://schemas.openxmlformats.org/officeDocument/2006/relationships/header" Target="header9.xml"/><Relationship Id="rId65" Type="http://schemas.openxmlformats.org/officeDocument/2006/relationships/hyperlink" Target="https://www.oie.int/index.php?id=171&amp;L=0&amp;htmfile=chapitre_ihn.htm" TargetMode="External"/><Relationship Id="rId86" Type="http://schemas.openxmlformats.org/officeDocument/2006/relationships/hyperlink" Target="http://www.oie.int/index.php?id=171&amp;L=0&amp;htmfile=chapitre_aqua_ani_surveillance.htm" TargetMode="External"/><Relationship Id="rId130" Type="http://schemas.openxmlformats.org/officeDocument/2006/relationships/hyperlink" Target="http://www.oie.int/index.php?id=171&amp;L=0&amp;htmfile=chapitre_vhs.htm" TargetMode="External"/><Relationship Id="rId151" Type="http://schemas.openxmlformats.org/officeDocument/2006/relationships/hyperlink" Target="http://www.oie.int/index.php?id=2439&amp;L=0&amp;htmfile=chapitre_svc.htm" TargetMode="External"/><Relationship Id="rId172" Type="http://schemas.openxmlformats.org/officeDocument/2006/relationships/footer" Target="footer17.xml"/><Relationship Id="rId193" Type="http://schemas.openxmlformats.org/officeDocument/2006/relationships/hyperlink" Target="http://www.oie.int/en/scientific-expertise/reference-laboratories/list-of-laboratories/" TargetMode="External"/><Relationship Id="rId207" Type="http://schemas.openxmlformats.org/officeDocument/2006/relationships/header" Target="header49.xml"/><Relationship Id="rId228" Type="http://schemas.openxmlformats.org/officeDocument/2006/relationships/hyperlink" Target="http://www.oie.int/index.php?id=2439&amp;L=0&amp;htmfile=chapitre_gyrodactylus_salaris.htm" TargetMode="External"/><Relationship Id="rId249" Type="http://schemas.openxmlformats.org/officeDocument/2006/relationships/hyperlink" Target="https://doi.org/10.3354/aei00097" TargetMode="External"/><Relationship Id="rId13" Type="http://schemas.openxmlformats.org/officeDocument/2006/relationships/hyperlink" Target="https://www.fishbase.se/search.php" TargetMode="External"/><Relationship Id="rId109" Type="http://schemas.openxmlformats.org/officeDocument/2006/relationships/hyperlink" Target="http://www.oie.int/index.php?id=171&amp;L=0&amp;htmfile=chapitre_aqua_ani_surveillance.htm" TargetMode="External"/><Relationship Id="rId34" Type="http://schemas.openxmlformats.org/officeDocument/2006/relationships/hyperlink" Target="mailto:j.fischer@oie.int" TargetMode="External"/><Relationship Id="rId55" Type="http://schemas.openxmlformats.org/officeDocument/2006/relationships/header" Target="header15.xml"/><Relationship Id="rId76" Type="http://schemas.openxmlformats.org/officeDocument/2006/relationships/hyperlink" Target="http://www.oie.int/index.php?id=171&amp;L=0&amp;htmfile=glossaire.htm" TargetMode="External"/><Relationship Id="rId97" Type="http://schemas.openxmlformats.org/officeDocument/2006/relationships/hyperlink" Target="http://www.oie.int/index.php?id=171&amp;L=0&amp;htmfile=glossaire.htm" TargetMode="External"/><Relationship Id="rId120" Type="http://schemas.openxmlformats.org/officeDocument/2006/relationships/hyperlink" Target="http://www.oie.int/index.php?id=171&amp;L=0&amp;htmfile=glossaire.htm" TargetMode="External"/><Relationship Id="rId141" Type="http://schemas.openxmlformats.org/officeDocument/2006/relationships/header" Target="header18.xml"/><Relationship Id="rId7" Type="http://schemas.openxmlformats.org/officeDocument/2006/relationships/endnotes" Target="endnotes.xml"/><Relationship Id="rId162" Type="http://schemas.openxmlformats.org/officeDocument/2006/relationships/header" Target="header23.xml"/><Relationship Id="rId183" Type="http://schemas.openxmlformats.org/officeDocument/2006/relationships/footer" Target="footer21.xml"/><Relationship Id="rId218" Type="http://schemas.openxmlformats.org/officeDocument/2006/relationships/header" Target="header53.xml"/><Relationship Id="rId239" Type="http://schemas.openxmlformats.org/officeDocument/2006/relationships/hyperlink" Target="https://www.oie.int/wahis_2/public/wahid.php/Wahidhome/Home/index/newlang/en" TargetMode="External"/><Relationship Id="rId250" Type="http://schemas.openxmlformats.org/officeDocument/2006/relationships/hyperlink" Target="https://doi.org/https://doi.org/10.1016/j.prevetmed.2014.01.021" TargetMode="External"/><Relationship Id="rId292" Type="http://schemas.microsoft.com/office/2016/09/relationships/commentsIds" Target="commentsIds.xml"/><Relationship Id="rId24" Type="http://schemas.openxmlformats.org/officeDocument/2006/relationships/hyperlink" Target="http://www.oie.int/en/scientific-expertise/collaborating-centres/sops/" TargetMode="External"/><Relationship Id="rId45" Type="http://schemas.openxmlformats.org/officeDocument/2006/relationships/footer" Target="footer5.xml"/><Relationship Id="rId66" Type="http://schemas.openxmlformats.org/officeDocument/2006/relationships/hyperlink" Target="https://www.oie.int/index.php?id=171&amp;L=0&amp;htmfile=glossaire.htm" TargetMode="External"/><Relationship Id="rId87" Type="http://schemas.openxmlformats.org/officeDocument/2006/relationships/hyperlink" Target="http://www.oie.int/index.php?id=171&amp;L=0&amp;htmfile=glossaire.htm" TargetMode="External"/><Relationship Id="rId110" Type="http://schemas.openxmlformats.org/officeDocument/2006/relationships/hyperlink" Target="http://www.oie.int/index.php?id=171&amp;L=0&amp;htmfile=chapitre_aqua_ani_surveillance.htm" TargetMode="External"/><Relationship Id="rId131" Type="http://schemas.openxmlformats.org/officeDocument/2006/relationships/hyperlink" Target="http://www.oie.int/index.php?id=171&amp;L=0&amp;htmfile=glossaire.htm" TargetMode="External"/><Relationship Id="rId152" Type="http://schemas.openxmlformats.org/officeDocument/2006/relationships/hyperlink" Target="http://www.oie.int/index.php?id=2439&amp;L=0&amp;htmfile=chapitre_svc.htm" TargetMode="External"/><Relationship Id="rId173" Type="http://schemas.openxmlformats.org/officeDocument/2006/relationships/header" Target="header29.xml"/><Relationship Id="rId194" Type="http://schemas.openxmlformats.org/officeDocument/2006/relationships/hyperlink" Target="http://www.oie.int" TargetMode="External"/><Relationship Id="rId208" Type="http://schemas.openxmlformats.org/officeDocument/2006/relationships/hyperlink" Target="http://www.eurl-fish.eu/-/media/Sites/EURL-FISH/english/activities/scientific%20reports/fisheggtrade%20wp_3.ashx?la=da" TargetMode="External"/><Relationship Id="rId229" Type="http://schemas.openxmlformats.org/officeDocument/2006/relationships/hyperlink" Target="http://www.oie.int/index.php?id=2439&amp;L=0&amp;htmfile=chapitre_gyrodactylus_salaris.htm" TargetMode="External"/><Relationship Id="rId240" Type="http://schemas.openxmlformats.org/officeDocument/2006/relationships/header" Target="header59.xml"/><Relationship Id="rId14" Type="http://schemas.openxmlformats.org/officeDocument/2006/relationships/hyperlink" Target="mailto:standards.dept@oie.int" TargetMode="External"/><Relationship Id="rId35" Type="http://schemas.openxmlformats.org/officeDocument/2006/relationships/header" Target="header4.xml"/><Relationship Id="rId56" Type="http://schemas.openxmlformats.org/officeDocument/2006/relationships/footer" Target="footer8.xml"/><Relationship Id="rId77" Type="http://schemas.openxmlformats.org/officeDocument/2006/relationships/hyperlink" Target="http://www.oie.int/index.php?id=171&amp;L=0&amp;htmfile=chapitre_disinfection.htm" TargetMode="External"/><Relationship Id="rId100" Type="http://schemas.openxmlformats.org/officeDocument/2006/relationships/hyperlink" Target="http://www.oie.int/index.php?id=171&amp;L=0&amp;htmfile=glossaire.htm" TargetMode="External"/><Relationship Id="rId8" Type="http://schemas.openxmlformats.org/officeDocument/2006/relationships/hyperlink" Target="https://www.oie.int/en/standard-setting/specialists-commissions-working-ad-hoc-groups/ad-hoc-groups-reports/" TargetMode="External"/><Relationship Id="rId98" Type="http://schemas.openxmlformats.org/officeDocument/2006/relationships/hyperlink" Target="http://www.oie.int/index.php?id=171&amp;L=0&amp;htmfile=glossaire.htm" TargetMode="External"/><Relationship Id="rId121" Type="http://schemas.openxmlformats.org/officeDocument/2006/relationships/hyperlink" Target="http://www.oie.int/index.php?id=171&amp;L=0&amp;htmfile=chapitre_disinfection.htm" TargetMode="External"/><Relationship Id="rId142" Type="http://schemas.openxmlformats.org/officeDocument/2006/relationships/footer" Target="footer10.xml"/><Relationship Id="rId163" Type="http://schemas.openxmlformats.org/officeDocument/2006/relationships/header" Target="header24.xml"/><Relationship Id="rId184" Type="http://schemas.openxmlformats.org/officeDocument/2006/relationships/header" Target="header35.xml"/><Relationship Id="rId219" Type="http://schemas.openxmlformats.org/officeDocument/2006/relationships/header" Target="header54.xml"/><Relationship Id="rId230" Type="http://schemas.openxmlformats.org/officeDocument/2006/relationships/hyperlink" Target="http://www.oie.int/index.php?id=2439&amp;L=0&amp;htmfile=chapitre_gyrodactylus_salaris.htm" TargetMode="External"/><Relationship Id="rId251" Type="http://schemas.openxmlformats.org/officeDocument/2006/relationships/hyperlink" Target="https://vkm.no/download/18.a665c1015c865cc85bdfc47/1500464589864/Vurdering%20av%20sannsynlighet%20for%20og%20risiko%20ved%20vertikal%20overf%C3%B8ring%20av%20smitte.pdf" TargetMode="External"/><Relationship Id="rId25" Type="http://schemas.openxmlformats.org/officeDocument/2006/relationships/header" Target="header1.xml"/><Relationship Id="rId46" Type="http://schemas.openxmlformats.org/officeDocument/2006/relationships/header" Target="header10.xml"/><Relationship Id="rId67" Type="http://schemas.openxmlformats.org/officeDocument/2006/relationships/hyperlink" Target="http://www.oie.int/index.php?id=171&amp;L=0&amp;htmfile=glossaire.htm" TargetMode="External"/><Relationship Id="rId88" Type="http://schemas.openxmlformats.org/officeDocument/2006/relationships/hyperlink" Target="http://www.oie.int/index.php?id=171&amp;L=0&amp;htmfile=glossaire.htm" TargetMode="External"/><Relationship Id="rId111" Type="http://schemas.openxmlformats.org/officeDocument/2006/relationships/hyperlink" Target="http://www.oie.int/index.php?id=171&amp;L=0&amp;htmfile=glossaire.htm" TargetMode="External"/><Relationship Id="rId132" Type="http://schemas.openxmlformats.org/officeDocument/2006/relationships/hyperlink" Target="http://www.oie.int/index.php?id=171&amp;L=0&amp;htmfile=glossaire.htm" TargetMode="External"/><Relationship Id="rId153" Type="http://schemas.openxmlformats.org/officeDocument/2006/relationships/hyperlink" Target="http://www.oie.int/index.php?id=2439&amp;L=0&amp;htmfile=chapitre_svc.htm" TargetMode="External"/><Relationship Id="rId174" Type="http://schemas.openxmlformats.org/officeDocument/2006/relationships/header" Target="header30.xml"/><Relationship Id="rId195" Type="http://schemas.openxmlformats.org/officeDocument/2006/relationships/header" Target="header41.xml"/><Relationship Id="rId209" Type="http://schemas.openxmlformats.org/officeDocument/2006/relationships/hyperlink" Target="http://www.fishpathogens.eu" TargetMode="External"/><Relationship Id="rId220" Type="http://schemas.openxmlformats.org/officeDocument/2006/relationships/footer" Target="footer28.xml"/><Relationship Id="rId241" Type="http://schemas.openxmlformats.org/officeDocument/2006/relationships/header" Target="header60.xml"/><Relationship Id="rId15" Type="http://schemas.openxmlformats.org/officeDocument/2006/relationships/hyperlink" Target="mailto:aquapath@cals.arizona.edu" TargetMode="External"/><Relationship Id="rId36" Type="http://schemas.openxmlformats.org/officeDocument/2006/relationships/header" Target="header5.xml"/><Relationship Id="rId57" Type="http://schemas.openxmlformats.org/officeDocument/2006/relationships/footer" Target="footer9.xml"/><Relationship Id="rId78" Type="http://schemas.openxmlformats.org/officeDocument/2006/relationships/hyperlink" Target="http://www.oie.int/index.php?id=171&amp;L=0&amp;htmfile=glossaire.htm" TargetMode="External"/><Relationship Id="rId99" Type="http://schemas.openxmlformats.org/officeDocument/2006/relationships/hyperlink" Target="http://www.oie.int/index.php?id=171&amp;L=0&amp;htmfile=glossaire.htm" TargetMode="External"/><Relationship Id="rId101" Type="http://schemas.openxmlformats.org/officeDocument/2006/relationships/hyperlink" Target="http://www.oie.int/index.php?id=171&amp;L=0&amp;htmfile=glossaire.htm" TargetMode="External"/><Relationship Id="rId122" Type="http://schemas.openxmlformats.org/officeDocument/2006/relationships/hyperlink" Target="http://www.oie.int/index.php?id=171&amp;L=0&amp;htmfile=glossaire.htm" TargetMode="External"/><Relationship Id="rId143" Type="http://schemas.openxmlformats.org/officeDocument/2006/relationships/footer" Target="footer11.xml"/><Relationship Id="rId164" Type="http://schemas.openxmlformats.org/officeDocument/2006/relationships/header" Target="header25.xml"/><Relationship Id="rId185" Type="http://schemas.openxmlformats.org/officeDocument/2006/relationships/header" Target="header36.xml"/><Relationship Id="rId9" Type="http://schemas.openxmlformats.org/officeDocument/2006/relationships/hyperlink" Target="mailto:standards.dept@oie.int" TargetMode="External"/><Relationship Id="rId210" Type="http://schemas.openxmlformats.org/officeDocument/2006/relationships/hyperlink" Target="https://doi.org/10.1080/08997659.2016.1254121" TargetMode="External"/><Relationship Id="rId26" Type="http://schemas.openxmlformats.org/officeDocument/2006/relationships/header" Target="header2.xml"/><Relationship Id="rId231" Type="http://schemas.openxmlformats.org/officeDocument/2006/relationships/hyperlink" Target="http://www.oie.int/index.php?id=2439&amp;L=0&amp;htmfile=chapitre_gyrodactylus_salaris.htm" TargetMode="External"/><Relationship Id="rId252" Type="http://schemas.openxmlformats.org/officeDocument/2006/relationships/hyperlink" Target="http://www.oie.int/en/scientific-expertise/reference-laboratories/list-of-laboratories/" TargetMode="External"/><Relationship Id="rId47" Type="http://schemas.openxmlformats.org/officeDocument/2006/relationships/header" Target="header11.xml"/><Relationship Id="rId68" Type="http://schemas.openxmlformats.org/officeDocument/2006/relationships/hyperlink" Target="http://www.oie.int/index.php?id=171&amp;L=0&amp;htmfile=glossaire.htm" TargetMode="External"/><Relationship Id="rId89" Type="http://schemas.openxmlformats.org/officeDocument/2006/relationships/hyperlink" Target="https://www.oie.int/index.php?id=171&amp;L=0&amp;htmfile=glossaire.htm" TargetMode="External"/><Relationship Id="rId112" Type="http://schemas.openxmlformats.org/officeDocument/2006/relationships/hyperlink" Target="http://www.oie.int/index.php?id=171&amp;L=0&amp;htmfile=glossaire.htm" TargetMode="External"/><Relationship Id="rId133" Type="http://schemas.openxmlformats.org/officeDocument/2006/relationships/hyperlink" Target="http://www.oie.int/index.php?id=171&amp;L=0&amp;htmfile=glossaire.htm" TargetMode="External"/><Relationship Id="rId154" Type="http://schemas.openxmlformats.org/officeDocument/2006/relationships/hyperlink" Target="http://www.oie.int/index.php?id=2439&amp;L=0&amp;htmfile=chapitre_svc.htm" TargetMode="External"/><Relationship Id="rId175" Type="http://schemas.openxmlformats.org/officeDocument/2006/relationships/header" Target="header31.xml"/><Relationship Id="rId196" Type="http://schemas.openxmlformats.org/officeDocument/2006/relationships/header" Target="header42.xml"/><Relationship Id="rId200" Type="http://schemas.openxmlformats.org/officeDocument/2006/relationships/header" Target="header45.xml"/><Relationship Id="rId16" Type="http://schemas.openxmlformats.org/officeDocument/2006/relationships/hyperlink" Target="mailto:adhar@email.arizona.edu" TargetMode="External"/><Relationship Id="rId221" Type="http://schemas.openxmlformats.org/officeDocument/2006/relationships/footer" Target="footer29.xml"/><Relationship Id="rId242" Type="http://schemas.openxmlformats.org/officeDocument/2006/relationships/footer" Target="footer35.xml"/><Relationship Id="rId37" Type="http://schemas.openxmlformats.org/officeDocument/2006/relationships/header" Target="header6.xml"/><Relationship Id="rId58" Type="http://schemas.openxmlformats.org/officeDocument/2006/relationships/header" Target="header16.xml"/><Relationship Id="rId79" Type="http://schemas.openxmlformats.org/officeDocument/2006/relationships/hyperlink" Target="http://www.oie.int/index.php?id=171&amp;L=0&amp;htmfile=glossaire.htm" TargetMode="External"/><Relationship Id="rId102" Type="http://schemas.openxmlformats.org/officeDocument/2006/relationships/hyperlink" Target="http://www.oie.int/index.php?id=171&amp;L=0&amp;htmfile=glossaire.htm" TargetMode="External"/><Relationship Id="rId123" Type="http://schemas.openxmlformats.org/officeDocument/2006/relationships/hyperlink" Target="http://www.oie.int/index.php?id=171&amp;L=0&amp;htmfile=glossaire.htm" TargetMode="External"/><Relationship Id="rId144" Type="http://schemas.openxmlformats.org/officeDocument/2006/relationships/header" Target="header19.xml"/><Relationship Id="rId90" Type="http://schemas.openxmlformats.org/officeDocument/2006/relationships/hyperlink" Target="https://www.oie.int/index.php?id=171&amp;L=0&amp;htmfile=chapitre_ihn.htm" TargetMode="External"/><Relationship Id="rId165" Type="http://schemas.openxmlformats.org/officeDocument/2006/relationships/footer" Target="footer14.xml"/><Relationship Id="rId186" Type="http://schemas.openxmlformats.org/officeDocument/2006/relationships/header" Target="header37.xml"/><Relationship Id="rId211" Type="http://schemas.openxmlformats.org/officeDocument/2006/relationships/hyperlink" Target="http://wfrc.usgs.gov/products/fs20083003.pdf" TargetMode="External"/><Relationship Id="rId232" Type="http://schemas.openxmlformats.org/officeDocument/2006/relationships/hyperlink" Target="http://www.oie.int/en/our-scientific-expertise/reference-laboratories/list-of-laboratories/" TargetMode="External"/><Relationship Id="rId253" Type="http://schemas.openxmlformats.org/officeDocument/2006/relationships/hyperlink" Target="http://www.oie.int" TargetMode="External"/><Relationship Id="rId27" Type="http://schemas.openxmlformats.org/officeDocument/2006/relationships/footer" Target="footer1.xml"/><Relationship Id="rId48" Type="http://schemas.openxmlformats.org/officeDocument/2006/relationships/footer" Target="footer6.xml"/><Relationship Id="rId69" Type="http://schemas.openxmlformats.org/officeDocument/2006/relationships/hyperlink" Target="http://www.oie.int/index.php?id=171&amp;L=0&amp;htmfile=glossaire.htm" TargetMode="External"/><Relationship Id="rId113" Type="http://schemas.openxmlformats.org/officeDocument/2006/relationships/hyperlink" Target="http://www.oie.int/index.php?id=171&amp;L=0&amp;htmfile=glossaire.htm" TargetMode="External"/><Relationship Id="rId134" Type="http://schemas.openxmlformats.org/officeDocument/2006/relationships/hyperlink" Target="http://www.oie.int/index.php?id=171&amp;L=0&amp;htmfile=glossaire.htm" TargetMode="External"/><Relationship Id="rId80" Type="http://schemas.openxmlformats.org/officeDocument/2006/relationships/hyperlink" Target="http://www.oie.int/index.php?id=171&amp;L=0&amp;htmfile=chapitre_aqua_ani_surveillance.htm" TargetMode="External"/><Relationship Id="rId155" Type="http://schemas.openxmlformats.org/officeDocument/2006/relationships/header" Target="header20.xml"/><Relationship Id="rId176" Type="http://schemas.openxmlformats.org/officeDocument/2006/relationships/footer" Target="footer18.xml"/><Relationship Id="rId197" Type="http://schemas.openxmlformats.org/officeDocument/2006/relationships/footer" Target="footer24.xml"/><Relationship Id="rId201" Type="http://schemas.openxmlformats.org/officeDocument/2006/relationships/footer" Target="footer25.xml"/><Relationship Id="rId222" Type="http://schemas.openxmlformats.org/officeDocument/2006/relationships/header" Target="header55.xml"/><Relationship Id="rId243" Type="http://schemas.openxmlformats.org/officeDocument/2006/relationships/header" Target="header61.xml"/><Relationship Id="rId17" Type="http://schemas.openxmlformats.org/officeDocument/2006/relationships/hyperlink" Target="mailto:aquapath@cals.arizona.edu" TargetMode="External"/><Relationship Id="rId38" Type="http://schemas.openxmlformats.org/officeDocument/2006/relationships/footer" Target="footer4.xml"/><Relationship Id="rId59" Type="http://schemas.openxmlformats.org/officeDocument/2006/relationships/hyperlink" Target="http://www.oie.int/index.php?id=171&amp;L=0&amp;htmfile=glossaire.htm" TargetMode="External"/><Relationship Id="rId103" Type="http://schemas.openxmlformats.org/officeDocument/2006/relationships/hyperlink" Target="http://www.oie.int/index.php?id=171&amp;L=0&amp;htmfile=glossaire.htm" TargetMode="External"/><Relationship Id="rId124" Type="http://schemas.openxmlformats.org/officeDocument/2006/relationships/hyperlink" Target="http://www.oie.int/index.php?id=171&amp;L=0&amp;htmfile=chapitre_aqua_ani_surveillance.htm" TargetMode="External"/><Relationship Id="rId70" Type="http://schemas.openxmlformats.org/officeDocument/2006/relationships/hyperlink" Target="http://www.oie.int/index.php?id=171&amp;L=0&amp;htmfile=chapitre_aqua_ani_surveillance.htm" TargetMode="External"/><Relationship Id="rId91" Type="http://schemas.openxmlformats.org/officeDocument/2006/relationships/hyperlink" Target="https://www.oie.int/index.php?id=171&amp;L=0&amp;htmfile=glossaire.htm" TargetMode="External"/><Relationship Id="rId145" Type="http://schemas.openxmlformats.org/officeDocument/2006/relationships/footer" Target="footer12.xml"/><Relationship Id="rId166" Type="http://schemas.openxmlformats.org/officeDocument/2006/relationships/hyperlink" Target="https://en.wikipedia.org/wiki/Chytridiomycota" TargetMode="External"/><Relationship Id="rId187" Type="http://schemas.openxmlformats.org/officeDocument/2006/relationships/footer" Target="footer22.xml"/><Relationship Id="rId1" Type="http://schemas.openxmlformats.org/officeDocument/2006/relationships/customXml" Target="../customXml/item1.xml"/><Relationship Id="rId212" Type="http://schemas.openxmlformats.org/officeDocument/2006/relationships/hyperlink" Target="http://www.oie.int/en/scientific-expertise/reference-laboratories/list-of-laboratories/" TargetMode="External"/><Relationship Id="rId233" Type="http://schemas.openxmlformats.org/officeDocument/2006/relationships/header" Target="header56.xml"/><Relationship Id="rId254" Type="http://schemas.openxmlformats.org/officeDocument/2006/relationships/header" Target="header65.xml"/><Relationship Id="rId28" Type="http://schemas.openxmlformats.org/officeDocument/2006/relationships/footer" Target="footer2.xml"/><Relationship Id="rId49" Type="http://schemas.openxmlformats.org/officeDocument/2006/relationships/footer" Target="footer7.xml"/><Relationship Id="rId114" Type="http://schemas.openxmlformats.org/officeDocument/2006/relationships/hyperlink" Target="http://www.oie.int/index.php?id=171&amp;L=0&amp;htmfile=glossaire.htm" TargetMode="External"/><Relationship Id="rId60" Type="http://schemas.openxmlformats.org/officeDocument/2006/relationships/hyperlink" Target="http://www.oie.int/index.php?id=171&amp;L=0&amp;htmfile=glossaire.htm" TargetMode="External"/><Relationship Id="rId81" Type="http://schemas.openxmlformats.org/officeDocument/2006/relationships/hyperlink" Target="http://www.oie.int/index.php?id=171&amp;L=0&amp;htmfile=glossaire.htm" TargetMode="External"/><Relationship Id="rId135" Type="http://schemas.openxmlformats.org/officeDocument/2006/relationships/hyperlink" Target="http://www.oie.int/index.php?id=171&amp;L=0&amp;htmfile=glossaire.htm" TargetMode="External"/><Relationship Id="rId156" Type="http://schemas.openxmlformats.org/officeDocument/2006/relationships/header" Target="header21.xml"/><Relationship Id="rId177" Type="http://schemas.openxmlformats.org/officeDocument/2006/relationships/hyperlink" Target="https://doi.org/10.1038/srep08037" TargetMode="External"/><Relationship Id="rId198" Type="http://schemas.openxmlformats.org/officeDocument/2006/relationships/header" Target="header43.xml"/><Relationship Id="rId202" Type="http://schemas.openxmlformats.org/officeDocument/2006/relationships/header" Target="header46.xml"/><Relationship Id="rId223" Type="http://schemas.openxmlformats.org/officeDocument/2006/relationships/footer" Target="footer30.xml"/><Relationship Id="rId244" Type="http://schemas.openxmlformats.org/officeDocument/2006/relationships/footer" Target="footer36.xml"/><Relationship Id="rId18" Type="http://schemas.openxmlformats.org/officeDocument/2006/relationships/hyperlink" Target="mailto:adhar@email.arizona.edu" TargetMode="External"/><Relationship Id="rId39" Type="http://schemas.openxmlformats.org/officeDocument/2006/relationships/hyperlink" Target="http://www.oie.int/index.php?id=171&amp;L=0&amp;htmfile=glossaire.htm" TargetMode="External"/><Relationship Id="rId50" Type="http://schemas.openxmlformats.org/officeDocument/2006/relationships/header" Target="header12.xml"/><Relationship Id="rId104" Type="http://schemas.openxmlformats.org/officeDocument/2006/relationships/hyperlink" Target="http://www.oie.int/index.php?id=171&amp;L=0&amp;htmfile=glossaire.htm" TargetMode="External"/><Relationship Id="rId125" Type="http://schemas.openxmlformats.org/officeDocument/2006/relationships/hyperlink" Target="http://www.oie.int/index.php?id=171&amp;L=0&amp;htmfile=glossaire.htm" TargetMode="External"/><Relationship Id="rId146" Type="http://schemas.openxmlformats.org/officeDocument/2006/relationships/hyperlink" Target="http://www.oie.int/index.php?id=2439&amp;L=0&amp;htmfile=chapitre_svc.htm" TargetMode="External"/><Relationship Id="rId167" Type="http://schemas.openxmlformats.org/officeDocument/2006/relationships/header" Target="header26.xml"/><Relationship Id="rId188" Type="http://schemas.openxmlformats.org/officeDocument/2006/relationships/header" Target="header38.xml"/><Relationship Id="rId71" Type="http://schemas.openxmlformats.org/officeDocument/2006/relationships/hyperlink" Target="http://www.oie.int/index.php?id=171&amp;L=0&amp;htmfile=glossaire.htm" TargetMode="External"/><Relationship Id="rId92" Type="http://schemas.openxmlformats.org/officeDocument/2006/relationships/hyperlink" Target="http://www.oie.int/index.php?id=171&amp;L=0&amp;htmfile=glossaire.htm" TargetMode="External"/><Relationship Id="rId213" Type="http://schemas.openxmlformats.org/officeDocument/2006/relationships/hyperlink" Target="http://www.oie.int" TargetMode="External"/><Relationship Id="rId234" Type="http://schemas.openxmlformats.org/officeDocument/2006/relationships/header" Target="header57.xml"/><Relationship Id="rId2" Type="http://schemas.openxmlformats.org/officeDocument/2006/relationships/numbering" Target="numbering.xml"/><Relationship Id="rId29" Type="http://schemas.openxmlformats.org/officeDocument/2006/relationships/header" Target="header3.xml"/><Relationship Id="rId255" Type="http://schemas.openxmlformats.org/officeDocument/2006/relationships/footer" Target="footer38.xml"/><Relationship Id="rId40" Type="http://schemas.openxmlformats.org/officeDocument/2006/relationships/hyperlink" Target="http://www.oie.int/index.php?id=171&amp;L=0&amp;htmfile=glossaire.htm" TargetMode="External"/><Relationship Id="rId115" Type="http://schemas.openxmlformats.org/officeDocument/2006/relationships/hyperlink" Target="http://www.oie.int/index.php?id=171&amp;L=0&amp;htmfile=chapitre_aqua_ani_surveillance.htm" TargetMode="External"/><Relationship Id="rId136" Type="http://schemas.openxmlformats.org/officeDocument/2006/relationships/hyperlink" Target="http://www.oie.int/index.php?id=171&amp;L=0&amp;htmfile=glossaire.htm" TargetMode="External"/><Relationship Id="rId157" Type="http://schemas.openxmlformats.org/officeDocument/2006/relationships/header" Target="header22.xml"/><Relationship Id="rId178" Type="http://schemas.openxmlformats.org/officeDocument/2006/relationships/header" Target="header32.xml"/><Relationship Id="rId61" Type="http://schemas.openxmlformats.org/officeDocument/2006/relationships/hyperlink" Target="http://www.oie.int/index.php?id=171&amp;L=0&amp;htmfile=chapitre_vhs.htm" TargetMode="External"/><Relationship Id="rId82" Type="http://schemas.openxmlformats.org/officeDocument/2006/relationships/hyperlink" Target="http://www.oie.int/index.php?id=171&amp;L=0&amp;htmfile=chapitre_vhs.htm" TargetMode="External"/><Relationship Id="rId199" Type="http://schemas.openxmlformats.org/officeDocument/2006/relationships/header" Target="header44.xml"/><Relationship Id="rId203" Type="http://schemas.openxmlformats.org/officeDocument/2006/relationships/footer" Target="footer26.xml"/><Relationship Id="rId19" Type="http://schemas.openxmlformats.org/officeDocument/2006/relationships/hyperlink" Target="mailto:aquapath@cals.arizona.edu" TargetMode="External"/><Relationship Id="rId224" Type="http://schemas.openxmlformats.org/officeDocument/2006/relationships/footer" Target="footer31.xml"/><Relationship Id="rId245" Type="http://schemas.openxmlformats.org/officeDocument/2006/relationships/header" Target="header62.xml"/><Relationship Id="rId30" Type="http://schemas.openxmlformats.org/officeDocument/2006/relationships/footer" Target="footer3.xml"/><Relationship Id="rId105" Type="http://schemas.openxmlformats.org/officeDocument/2006/relationships/hyperlink" Target="http://www.oie.int/index.php?id=171&amp;L=0&amp;htmfile=glossaire.htm" TargetMode="External"/><Relationship Id="rId126" Type="http://schemas.openxmlformats.org/officeDocument/2006/relationships/hyperlink" Target="http://www.oie.int/index.php?id=171&amp;L=0&amp;htmfile=chapitre_vhs.htm" TargetMode="External"/><Relationship Id="rId147" Type="http://schemas.openxmlformats.org/officeDocument/2006/relationships/hyperlink" Target="http://www.oie.int/index.php?id=2439&amp;L=0&amp;htmfile=chapitre_svc.htm" TargetMode="External"/><Relationship Id="rId168" Type="http://schemas.openxmlformats.org/officeDocument/2006/relationships/header" Target="header27.xml"/><Relationship Id="rId51" Type="http://schemas.openxmlformats.org/officeDocument/2006/relationships/hyperlink" Target="https://en.wikipedia.org/wiki/Cyprinidae" TargetMode="External"/><Relationship Id="rId72" Type="http://schemas.openxmlformats.org/officeDocument/2006/relationships/hyperlink" Target="http://www.oie.int/index.php?id=171&amp;L=0&amp;htmfile=glossaire.htm" TargetMode="External"/><Relationship Id="rId93" Type="http://schemas.openxmlformats.org/officeDocument/2006/relationships/hyperlink" Target="http://www.oie.int/index.php?id=171&amp;L=0&amp;htmfile=glossaire.htm" TargetMode="External"/><Relationship Id="rId189" Type="http://schemas.openxmlformats.org/officeDocument/2006/relationships/header" Target="header39.xml"/><Relationship Id="rId3" Type="http://schemas.openxmlformats.org/officeDocument/2006/relationships/styles" Target="styles.xml"/><Relationship Id="rId214" Type="http://schemas.openxmlformats.org/officeDocument/2006/relationships/header" Target="header50.xml"/><Relationship Id="rId235" Type="http://schemas.openxmlformats.org/officeDocument/2006/relationships/footer" Target="footer32.xml"/><Relationship Id="rId256" Type="http://schemas.openxmlformats.org/officeDocument/2006/relationships/fontTable" Target="fontTable.xml"/><Relationship Id="rId116" Type="http://schemas.openxmlformats.org/officeDocument/2006/relationships/hyperlink" Target="http://www.oie.int/index.php?id=171&amp;L=0&amp;htmfile=glossaire.htm" TargetMode="External"/><Relationship Id="rId137" Type="http://schemas.openxmlformats.org/officeDocument/2006/relationships/hyperlink" Target="http://www.oie.int/index.php?id=171&amp;L=0&amp;htmfile=glossaire.htm" TargetMode="External"/><Relationship Id="rId158" Type="http://schemas.openxmlformats.org/officeDocument/2006/relationships/footer" Target="footer13.xml"/><Relationship Id="rId20" Type="http://schemas.openxmlformats.org/officeDocument/2006/relationships/hyperlink" Target="mailto:adhar@email.arizona.edu" TargetMode="External"/><Relationship Id="rId41" Type="http://schemas.openxmlformats.org/officeDocument/2006/relationships/hyperlink" Target="http://www.oie.int/index.php?id=171&amp;L=0&amp;htmfile=glossaire.htm" TargetMode="External"/><Relationship Id="rId62" Type="http://schemas.openxmlformats.org/officeDocument/2006/relationships/hyperlink" Target="http://www.oie.int/index.php?id=171&amp;L=0&amp;htmfile=chapitre_aqua_ani_surveillance.htm" TargetMode="External"/><Relationship Id="rId83" Type="http://schemas.openxmlformats.org/officeDocument/2006/relationships/hyperlink" Target="http://www.oie.int/index.php?id=171&amp;L=0&amp;htmfile=glossaire.htm" TargetMode="External"/><Relationship Id="rId179" Type="http://schemas.openxmlformats.org/officeDocument/2006/relationships/header" Target="header33.xml"/><Relationship Id="rId190" Type="http://schemas.openxmlformats.org/officeDocument/2006/relationships/header" Target="header40.xml"/><Relationship Id="rId204" Type="http://schemas.openxmlformats.org/officeDocument/2006/relationships/header" Target="header47.xml"/><Relationship Id="rId225" Type="http://schemas.openxmlformats.org/officeDocument/2006/relationships/hyperlink" Target="http://www.oie.int/index.php?id=2439&amp;L=0&amp;htmfile=chapitre_gyrodactylus_salaris.htm" TargetMode="External"/><Relationship Id="rId246" Type="http://schemas.openxmlformats.org/officeDocument/2006/relationships/header" Target="header63.xml"/><Relationship Id="rId106" Type="http://schemas.openxmlformats.org/officeDocument/2006/relationships/hyperlink" Target="http://www.oie.int/index.php?id=171&amp;L=0&amp;htmfile=chapitre_disinfection.htm" TargetMode="External"/><Relationship Id="rId127" Type="http://schemas.openxmlformats.org/officeDocument/2006/relationships/hyperlink" Target="http://www.oie.int/index.php?id=171&amp;L=0&amp;htmfile=glossaire.htm" TargetMode="External"/><Relationship Id="rId10" Type="http://schemas.openxmlformats.org/officeDocument/2006/relationships/hyperlink" Target="https://www.oie.int/en/standard-setting/specialists-commissions-working-ad-hoc-groups/ad-hoc-groups-reports/" TargetMode="External"/><Relationship Id="rId31" Type="http://schemas.openxmlformats.org/officeDocument/2006/relationships/hyperlink" Target="mailto:atle.lillehaug@vetinst.no" TargetMode="External"/><Relationship Id="rId52" Type="http://schemas.openxmlformats.org/officeDocument/2006/relationships/hyperlink" Target="https://www.google.com/search?rlz=1C1GCEU_enFR862FR862&amp;q=Siluridae&amp;stick=H4sIAAAAAAAAAONgVuLUz9U3SEkzjjdYxMoZnJlTWpSZkpgKAH9KZAgZAAAA&amp;sa=X&amp;ved=2ahUKEwiOtuq6jqHlAhVFSxoKHcMTAloQmxMoATAlegQIDBAK" TargetMode="External"/><Relationship Id="rId73" Type="http://schemas.openxmlformats.org/officeDocument/2006/relationships/hyperlink" Target="http://www.oie.int/index.php?id=171&amp;L=0&amp;htmfile=glossaire.htm" TargetMode="External"/><Relationship Id="rId94" Type="http://schemas.openxmlformats.org/officeDocument/2006/relationships/hyperlink" Target="http://www.oie.int/index.php?id=171&amp;L=0&amp;htmfile=glossaire.htm" TargetMode="External"/><Relationship Id="rId148" Type="http://schemas.openxmlformats.org/officeDocument/2006/relationships/hyperlink" Target="http://www.oie.int/index.php?id=2439&amp;L=0&amp;htmfile=chapitre_svc.htm" TargetMode="External"/><Relationship Id="rId169" Type="http://schemas.openxmlformats.org/officeDocument/2006/relationships/footer" Target="footer15.xml"/><Relationship Id="rId4" Type="http://schemas.openxmlformats.org/officeDocument/2006/relationships/settings" Target="settings.xml"/><Relationship Id="rId180" Type="http://schemas.openxmlformats.org/officeDocument/2006/relationships/footer" Target="footer19.xml"/><Relationship Id="rId215" Type="http://schemas.openxmlformats.org/officeDocument/2006/relationships/header" Target="header51.xml"/><Relationship Id="rId236" Type="http://schemas.openxmlformats.org/officeDocument/2006/relationships/footer" Target="footer33.xml"/><Relationship Id="rId25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71C57-869E-442C-A847-78C23D427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178</Pages>
  <Words>88565</Words>
  <Characters>457885</Characters>
  <Application>Microsoft Office Word</Application>
  <DocSecurity>0</DocSecurity>
  <Lines>32706</Lines>
  <Paragraphs>27322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Stian Johnsen</dc:creator>
  <cp:keywords/>
  <dc:description/>
  <cp:lastModifiedBy>Anne Guillon</cp:lastModifiedBy>
  <cp:revision>14</cp:revision>
  <dcterms:created xsi:type="dcterms:W3CDTF">2020-05-05T14:27:00Z</dcterms:created>
  <dcterms:modified xsi:type="dcterms:W3CDTF">2020-05-06T17:58:00Z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0c2ddd0-afbf-49e4-8b02-da81def1ba6b_Enabled">
    <vt:lpwstr>True</vt:lpwstr>
  </property>
  <property fmtid="{D5CDD505-2E9C-101B-9397-08002B2CF9AE}" pid="3" name="MSIP_Label_a0c2ddd0-afbf-49e4-8b02-da81def1ba6b_SiteId">
    <vt:lpwstr>eeea3199-afa0-41eb-bbf2-f6e42c3da7cf</vt:lpwstr>
  </property>
  <property fmtid="{D5CDD505-2E9C-101B-9397-08002B2CF9AE}" pid="4" name="MSIP_Label_a0c2ddd0-afbf-49e4-8b02-da81def1ba6b_Owner">
    <vt:lpwstr>ed.peeler@cefas.co.uk</vt:lpwstr>
  </property>
  <property fmtid="{D5CDD505-2E9C-101B-9397-08002B2CF9AE}" pid="5" name="MSIP_Label_a0c2ddd0-afbf-49e4-8b02-da81def1ba6b_SetDate">
    <vt:lpwstr>2020-03-05T16:14:06.8320505Z</vt:lpwstr>
  </property>
  <property fmtid="{D5CDD505-2E9C-101B-9397-08002B2CF9AE}" pid="6" name="MSIP_Label_a0c2ddd0-afbf-49e4-8b02-da81def1ba6b_Name">
    <vt:lpwstr>Official</vt:lpwstr>
  </property>
  <property fmtid="{D5CDD505-2E9C-101B-9397-08002B2CF9AE}" pid="7" name="MSIP_Label_a0c2ddd0-afbf-49e4-8b02-da81def1ba6b_Application">
    <vt:lpwstr>Microsoft Azure Information Protection</vt:lpwstr>
  </property>
  <property fmtid="{D5CDD505-2E9C-101B-9397-08002B2CF9AE}" pid="8" name="MSIP_Label_a0c2ddd0-afbf-49e4-8b02-da81def1ba6b_ActionId">
    <vt:lpwstr>2d80faad-8bbd-4285-a045-a40e19db8f40</vt:lpwstr>
  </property>
  <property fmtid="{D5CDD505-2E9C-101B-9397-08002B2CF9AE}" pid="9" name="MSIP_Label_a0c2ddd0-afbf-49e4-8b02-da81def1ba6b_Extended_MSFT_Method">
    <vt:lpwstr>Automatic</vt:lpwstr>
  </property>
  <property fmtid="{D5CDD505-2E9C-101B-9397-08002B2CF9AE}" pid="10" name="Sensitivity">
    <vt:lpwstr>Official</vt:lpwstr>
  </property>
</Properties>
</file>