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E1746" w14:textId="77777777" w:rsidR="00D54D37" w:rsidRPr="0021600F" w:rsidRDefault="00D54D37" w:rsidP="00D54D37">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286F931A" w14:textId="462E3CD9" w:rsidR="00D54D37" w:rsidRPr="007C36EF" w:rsidRDefault="00D54D37" w:rsidP="00D54D37">
      <w:pPr>
        <w:pStyle w:val="Corpsdetexte"/>
        <w:spacing w:after="240"/>
        <w:rPr>
          <w:rFonts w:asciiTheme="minorHAnsi" w:hAnsiTheme="minorHAnsi" w:cstheme="minorHAnsi"/>
          <w:lang w:val="en-IE"/>
        </w:rPr>
      </w:pPr>
      <w:r w:rsidRPr="00695160">
        <w:rPr>
          <w:rFonts w:asciiTheme="minorHAnsi" w:hAnsiTheme="minorHAnsi" w:cstheme="minorHAnsi"/>
          <w:lang w:val="en-IE"/>
        </w:rPr>
        <w:t xml:space="preserve">Chapter Number and Title: </w:t>
      </w:r>
      <w:r w:rsidR="00923E49">
        <w:rPr>
          <w:rFonts w:asciiTheme="minorHAnsi" w:hAnsiTheme="minorHAnsi" w:cstheme="minorHAnsi"/>
          <w:lang w:val="en-IE"/>
        </w:rPr>
        <w:t xml:space="preserve">Chapter </w:t>
      </w:r>
      <w:r>
        <w:rPr>
          <w:rFonts w:asciiTheme="minorHAnsi" w:hAnsiTheme="minorHAnsi"/>
          <w:iCs/>
          <w:lang w:val="en-IE"/>
        </w:rPr>
        <w:t>3.1.23</w:t>
      </w:r>
      <w:r w:rsidRPr="00695160">
        <w:rPr>
          <w:rFonts w:asciiTheme="minorHAnsi" w:hAnsiTheme="minorHAnsi"/>
          <w:i/>
          <w:lang w:val="en-IE"/>
        </w:rPr>
        <w:t xml:space="preserve">. </w:t>
      </w:r>
      <w:r>
        <w:rPr>
          <w:rFonts w:asciiTheme="minorHAnsi" w:hAnsiTheme="minorHAnsi"/>
          <w:iCs/>
          <w:lang w:val="en-IE"/>
        </w:rPr>
        <w:t>Vesicular stomatitis</w:t>
      </w:r>
    </w:p>
    <w:p w14:paraId="5B6B0889" w14:textId="77777777" w:rsidR="00D54D37" w:rsidRPr="00695160" w:rsidRDefault="00D54D37" w:rsidP="00D54D37">
      <w:pPr>
        <w:pStyle w:val="Corpsdetexte"/>
        <w:spacing w:after="240"/>
        <w:rPr>
          <w:rFonts w:asciiTheme="minorHAnsi" w:hAnsiTheme="minorHAnsi" w:cstheme="minorHAnsi"/>
          <w:lang w:val="en-IE"/>
        </w:rPr>
      </w:pPr>
      <w:r w:rsidRPr="00695160">
        <w:rPr>
          <w:rFonts w:asciiTheme="minorHAnsi" w:hAnsiTheme="minorHAnsi" w:cstheme="minorHAnsi"/>
          <w:lang w:val="en-IE"/>
        </w:rPr>
        <w:t>Country making the comments:</w:t>
      </w:r>
    </w:p>
    <w:p w14:paraId="34336389" w14:textId="77777777" w:rsidR="00D54D37" w:rsidRPr="00695160" w:rsidRDefault="00D54D37" w:rsidP="00D54D37">
      <w:pPr>
        <w:pStyle w:val="Corpsdetexte"/>
        <w:spacing w:after="240"/>
        <w:rPr>
          <w:rFonts w:asciiTheme="minorHAnsi" w:hAnsiTheme="minorHAnsi" w:cstheme="minorHAnsi"/>
          <w:lang w:val="en-IE"/>
        </w:rPr>
      </w:pPr>
      <w:r w:rsidRPr="00695160">
        <w:rPr>
          <w:rFonts w:asciiTheme="minorHAnsi" w:hAnsiTheme="minorHAnsi" w:cstheme="minorHAnsi"/>
          <w:lang w:val="en-IE"/>
        </w:rPr>
        <w:t>Date:</w:t>
      </w:r>
    </w:p>
    <w:p w14:paraId="327E4A99" w14:textId="77777777" w:rsidR="00D54D37" w:rsidRPr="00695160" w:rsidRDefault="00D54D37" w:rsidP="00D54D37">
      <w:pPr>
        <w:pStyle w:val="Corpsdetexte"/>
        <w:spacing w:after="240"/>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3200A287"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5D67F1CD"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77B440BA"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5924180E"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58BBADEC"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330C1299"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71324594" w14:textId="77777777" w:rsidR="00D54D37" w:rsidRPr="00695160" w:rsidRDefault="00D54D37" w:rsidP="00D54D37">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30A44257" w14:textId="77777777" w:rsidR="00D54D37" w:rsidRPr="00695160" w:rsidRDefault="00D54D37" w:rsidP="00D54D37">
      <w:pPr>
        <w:pStyle w:val="Corpsdetexte"/>
        <w:tabs>
          <w:tab w:val="left" w:pos="0"/>
        </w:tabs>
        <w:spacing w:after="240"/>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2891DBF3" w14:textId="77777777" w:rsidR="00D54D37" w:rsidRPr="00695160" w:rsidRDefault="00D54D37" w:rsidP="00D54D37">
      <w:pPr>
        <w:pStyle w:val="Corpsdetexte"/>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7EAFB2AB" w14:textId="77777777" w:rsidR="00D54D37" w:rsidRPr="00695160" w:rsidRDefault="00D54D37" w:rsidP="00D54D37">
      <w:pPr>
        <w:pStyle w:val="Corpsdetexte"/>
        <w:rPr>
          <w:rFonts w:asciiTheme="minorHAnsi" w:hAnsiTheme="minorHAnsi" w:cstheme="minorHAnsi"/>
          <w:i/>
          <w:u w:val="single"/>
          <w:lang w:val="en-IE"/>
        </w:rPr>
      </w:pPr>
    </w:p>
    <w:p w14:paraId="35664F92" w14:textId="77777777" w:rsidR="00D54D37" w:rsidRPr="00695160" w:rsidRDefault="00D54D37" w:rsidP="00D54D37">
      <w:pPr>
        <w:pStyle w:val="Corpsdetexte"/>
        <w:rPr>
          <w:rFonts w:asciiTheme="minorHAnsi" w:hAnsiTheme="minorHAnsi" w:cstheme="minorHAnsi"/>
          <w:i/>
          <w:u w:val="single"/>
          <w:lang w:val="en-IE"/>
        </w:rPr>
      </w:pPr>
    </w:p>
    <w:p w14:paraId="31075AD9" w14:textId="77777777" w:rsidR="00D54D37" w:rsidRPr="00695160" w:rsidRDefault="00D54D37" w:rsidP="00D54D37">
      <w:pPr>
        <w:pStyle w:val="Corpsdetexte"/>
        <w:rPr>
          <w:rFonts w:asciiTheme="minorHAnsi" w:hAnsiTheme="minorHAnsi" w:cstheme="minorHAnsi"/>
          <w:i/>
          <w:u w:val="single"/>
          <w:lang w:val="en-IE"/>
        </w:rPr>
      </w:pPr>
    </w:p>
    <w:p w14:paraId="02350343" w14:textId="77777777" w:rsidR="00D54D37" w:rsidRPr="00695160" w:rsidRDefault="00D54D37" w:rsidP="00D54D37">
      <w:pPr>
        <w:pStyle w:val="Corpsdetexte"/>
        <w:rPr>
          <w:rFonts w:asciiTheme="minorHAnsi" w:hAnsiTheme="minorHAnsi" w:cstheme="minorHAnsi"/>
          <w:i/>
          <w:u w:val="single"/>
          <w:lang w:val="en-IE"/>
        </w:rPr>
      </w:pPr>
    </w:p>
    <w:p w14:paraId="46CADF4E" w14:textId="77777777" w:rsidR="00D54D37" w:rsidRPr="00695160" w:rsidRDefault="00D54D37" w:rsidP="00D54D37">
      <w:pPr>
        <w:pStyle w:val="Corpsdetexte"/>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6FE5957E" w14:textId="77777777" w:rsidR="00D54D37" w:rsidRPr="00695160" w:rsidRDefault="00D54D37" w:rsidP="00D54D37">
      <w:pPr>
        <w:pStyle w:val="Corpsdetexte"/>
        <w:rPr>
          <w:rFonts w:asciiTheme="minorHAnsi" w:hAnsiTheme="minorHAnsi" w:cstheme="minorHAnsi"/>
          <w:i/>
          <w:u w:val="single"/>
          <w:lang w:val="en-IE"/>
        </w:rPr>
      </w:pPr>
    </w:p>
    <w:p w14:paraId="55A4F1AB" w14:textId="77777777" w:rsidR="00D54D37" w:rsidRPr="007C36EF" w:rsidRDefault="00D54D37" w:rsidP="00D54D37">
      <w:pPr>
        <w:spacing w:line="240" w:lineRule="auto"/>
        <w:rPr>
          <w:rFonts w:asciiTheme="minorHAnsi" w:hAnsiTheme="minorHAnsi" w:cstheme="minorHAnsi"/>
          <w:i/>
        </w:rPr>
      </w:pPr>
      <w:r w:rsidRPr="007C36EF">
        <w:rPr>
          <w:rFonts w:asciiTheme="minorHAnsi" w:hAnsiTheme="minorHAnsi" w:cstheme="minorHAnsi"/>
          <w:i/>
        </w:rPr>
        <w:t>line:</w:t>
      </w:r>
    </w:p>
    <w:p w14:paraId="33D8005E" w14:textId="77777777" w:rsidR="00D54D37" w:rsidRDefault="00D54D37" w:rsidP="00D54D37">
      <w:pPr>
        <w:spacing w:line="240" w:lineRule="auto"/>
        <w:rPr>
          <w:rFonts w:asciiTheme="minorHAnsi" w:hAnsiTheme="minorHAnsi" w:cstheme="minorHAnsi"/>
          <w:color w:val="393830"/>
        </w:rPr>
      </w:pPr>
    </w:p>
    <w:p w14:paraId="1A5CE56F" w14:textId="77777777" w:rsidR="00D54D37" w:rsidRDefault="00D54D37" w:rsidP="00D54D37">
      <w:pPr>
        <w:pStyle w:val="Chatperno"/>
        <w:rPr>
          <w:lang w:val="en-IE"/>
        </w:rPr>
        <w:sectPr w:rsidR="00D54D37" w:rsidSect="00D54D3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18" w:right="1418" w:bottom="1418" w:left="1418" w:header="567" w:footer="567" w:gutter="0"/>
          <w:paperSrc w:first="259" w:other="259"/>
          <w:pgNumType w:start="1"/>
          <w:cols w:space="720"/>
          <w:titlePg/>
          <w:docGrid w:linePitch="272"/>
        </w:sectPr>
      </w:pPr>
    </w:p>
    <w:p w14:paraId="51106AFB" w14:textId="4E8D4C6D" w:rsidR="00F6140D" w:rsidRPr="00417BEE" w:rsidRDefault="00D54D37" w:rsidP="00D54D37">
      <w:pPr>
        <w:pStyle w:val="Chatperno"/>
      </w:pPr>
      <w:r w:rsidRPr="00B2399A">
        <w:rPr>
          <w:lang w:val="en-IE"/>
        </w:rPr>
        <w:lastRenderedPageBreak/>
        <w:t xml:space="preserve">Chapter </w:t>
      </w:r>
      <w:r w:rsidR="0036124D">
        <w:t>3</w:t>
      </w:r>
      <w:r w:rsidR="00F6140D" w:rsidRPr="00417BEE">
        <w:t>.</w:t>
      </w:r>
      <w:r w:rsidR="00E366C7" w:rsidRPr="00417BEE">
        <w:t>1.</w:t>
      </w:r>
      <w:r w:rsidR="004E51ED">
        <w:t>23</w:t>
      </w:r>
      <w:r w:rsidR="000F54BE" w:rsidRPr="00417BEE">
        <w:t>.</w:t>
      </w:r>
    </w:p>
    <w:p w14:paraId="7DE50E60" w14:textId="77777777" w:rsidR="00F6140D" w:rsidRPr="00417BEE" w:rsidRDefault="00D826B8" w:rsidP="00B15A97">
      <w:pPr>
        <w:pStyle w:val="Chaptertitle"/>
      </w:pPr>
      <w:r w:rsidRPr="00417BEE">
        <w:t>Vesicular stomatitis</w:t>
      </w:r>
    </w:p>
    <w:p w14:paraId="576567FE" w14:textId="77777777" w:rsidR="00F6140D" w:rsidRPr="00417BEE" w:rsidRDefault="00F6140D" w:rsidP="00B15A97">
      <w:pPr>
        <w:pStyle w:val="Summarytitle"/>
      </w:pPr>
      <w:r w:rsidRPr="00417BEE">
        <w:t>SUMMARY</w:t>
      </w:r>
    </w:p>
    <w:p w14:paraId="6853637F" w14:textId="545AD410" w:rsidR="00D826B8" w:rsidRPr="00417BEE" w:rsidRDefault="00D826B8" w:rsidP="00D826B8">
      <w:pPr>
        <w:pStyle w:val="sumtexte"/>
      </w:pPr>
      <w:r w:rsidRPr="00417BEE">
        <w:t xml:space="preserve">Vesicular stomatitis </w:t>
      </w:r>
      <w:r w:rsidRPr="00417BEE">
        <w:rPr>
          <w:i w:val="0"/>
          <w:iCs w:val="0"/>
        </w:rPr>
        <w:t>(</w:t>
      </w:r>
      <w:r w:rsidRPr="00417BEE">
        <w:t>VS</w:t>
      </w:r>
      <w:r w:rsidRPr="00417BEE">
        <w:rPr>
          <w:i w:val="0"/>
          <w:iCs w:val="0"/>
        </w:rPr>
        <w:t>)</w:t>
      </w:r>
      <w:r w:rsidRPr="00417BEE">
        <w:t xml:space="preserve"> is a vesicular disease of horses, cattle and pigs caused by vesiculovirus</w:t>
      </w:r>
      <w:r w:rsidR="00FB4B37" w:rsidRPr="00417BEE">
        <w:t xml:space="preserve">es </w:t>
      </w:r>
      <w:r w:rsidRPr="00417BEE">
        <w:t xml:space="preserve">of the family </w:t>
      </w:r>
      <w:r w:rsidRPr="00723513">
        <w:rPr>
          <w:i w:val="0"/>
        </w:rPr>
        <w:t>Rhabdoviridae</w:t>
      </w:r>
      <w:r w:rsidRPr="00417BEE">
        <w:t xml:space="preserve">. This disease is clinically indistinguishable </w:t>
      </w:r>
      <w:r w:rsidR="003F1B1C" w:rsidRPr="00417BEE">
        <w:t xml:space="preserve">in relevant susceptible species </w:t>
      </w:r>
      <w:r w:rsidRPr="00417BEE">
        <w:t xml:space="preserve">from foot and mouth disease </w:t>
      </w:r>
      <w:r w:rsidRPr="00417BEE">
        <w:rPr>
          <w:i w:val="0"/>
          <w:iCs w:val="0"/>
        </w:rPr>
        <w:t>(</w:t>
      </w:r>
      <w:r w:rsidRPr="00417BEE">
        <w:t>FMD</w:t>
      </w:r>
      <w:r w:rsidRPr="00417BEE">
        <w:rPr>
          <w:i w:val="0"/>
          <w:iCs w:val="0"/>
        </w:rPr>
        <w:t>)</w:t>
      </w:r>
      <w:r w:rsidRPr="00417BEE">
        <w:t>, vesicular exanthema</w:t>
      </w:r>
      <w:r w:rsidR="00C91A60" w:rsidRPr="00417BEE">
        <w:t xml:space="preserve"> of swine</w:t>
      </w:r>
      <w:r w:rsidRPr="00417BEE">
        <w:t xml:space="preserve"> </w:t>
      </w:r>
      <w:r w:rsidRPr="00417BEE">
        <w:rPr>
          <w:i w:val="0"/>
          <w:iCs w:val="0"/>
        </w:rPr>
        <w:t>(</w:t>
      </w:r>
      <w:r w:rsidRPr="00417BEE">
        <w:t>VE</w:t>
      </w:r>
      <w:r w:rsidR="00C91A60" w:rsidRPr="00417BEE">
        <w:t>S</w:t>
      </w:r>
      <w:r w:rsidRPr="00417BEE">
        <w:rPr>
          <w:i w:val="0"/>
          <w:iCs w:val="0"/>
        </w:rPr>
        <w:t>)</w:t>
      </w:r>
      <w:r w:rsidRPr="00417BEE">
        <w:t xml:space="preserve">, or swine vesicular disease </w:t>
      </w:r>
      <w:r w:rsidRPr="00417BEE">
        <w:rPr>
          <w:i w:val="0"/>
          <w:iCs w:val="0"/>
        </w:rPr>
        <w:t>(</w:t>
      </w:r>
      <w:r w:rsidRPr="00417BEE">
        <w:t>SVD</w:t>
      </w:r>
      <w:r w:rsidRPr="00417BEE">
        <w:rPr>
          <w:i w:val="0"/>
          <w:iCs w:val="0"/>
        </w:rPr>
        <w:t>)</w:t>
      </w:r>
      <w:r w:rsidRPr="00417BEE">
        <w:t>. Sheep, goats and many other wild species can be infected. Humans are</w:t>
      </w:r>
      <w:r w:rsidR="002575A5">
        <w:t xml:space="preserve"> </w:t>
      </w:r>
      <w:r w:rsidRPr="00417BEE">
        <w:t>also susceptible. The disease is</w:t>
      </w:r>
      <w:r w:rsidR="002263DA">
        <w:t xml:space="preserve"> </w:t>
      </w:r>
      <w:r w:rsidR="002263DA" w:rsidRPr="002575A5">
        <w:rPr>
          <w:u w:val="double"/>
        </w:rPr>
        <w:t>generally</w:t>
      </w:r>
      <w:r w:rsidRPr="00417BEE">
        <w:t xml:space="preserve"> limited to the Americas</w:t>
      </w:r>
      <w:r w:rsidR="002575A5">
        <w:t>,</w:t>
      </w:r>
      <w:r w:rsidR="002263DA">
        <w:t xml:space="preserve"> </w:t>
      </w:r>
      <w:r w:rsidR="002575A5">
        <w:rPr>
          <w:u w:val="double"/>
        </w:rPr>
        <w:t>but</w:t>
      </w:r>
      <w:r w:rsidR="002263DA" w:rsidRPr="002575A5">
        <w:rPr>
          <w:u w:val="double"/>
        </w:rPr>
        <w:t xml:space="preserve"> has spread to other continents: for detailed information refer </w:t>
      </w:r>
      <w:r w:rsidR="002575A5">
        <w:rPr>
          <w:u w:val="double"/>
        </w:rPr>
        <w:t>to the OIE</w:t>
      </w:r>
      <w:r w:rsidR="002263DA" w:rsidRPr="002575A5">
        <w:rPr>
          <w:u w:val="double"/>
        </w:rPr>
        <w:t xml:space="preserve"> WAHI</w:t>
      </w:r>
      <w:r w:rsidR="002575A5">
        <w:rPr>
          <w:u w:val="double"/>
        </w:rPr>
        <w:t>S interface</w:t>
      </w:r>
      <w:r w:rsidR="002263DA" w:rsidRPr="002575A5">
        <w:rPr>
          <w:strike/>
        </w:rPr>
        <w:t xml:space="preserve"> </w:t>
      </w:r>
      <w:r w:rsidRPr="002575A5">
        <w:rPr>
          <w:strike/>
        </w:rPr>
        <w:t>however, it was previously described in France and in South Africa.</w:t>
      </w:r>
    </w:p>
    <w:p w14:paraId="621CF260" w14:textId="47724856" w:rsidR="00D826B8" w:rsidRPr="00417BEE" w:rsidRDefault="00711332" w:rsidP="00D826B8">
      <w:pPr>
        <w:pStyle w:val="sumtexte"/>
      </w:pPr>
      <w:r w:rsidRPr="00417BEE">
        <w:t xml:space="preserve">Virus </w:t>
      </w:r>
      <w:r w:rsidR="00D826B8" w:rsidRPr="00417BEE">
        <w:t>is transmitted directly by the transcutaneous or transmucosal route</w:t>
      </w:r>
      <w:r w:rsidR="00AB3E08" w:rsidRPr="00417BEE">
        <w:t xml:space="preserve"> and</w:t>
      </w:r>
      <w:r w:rsidR="00D826B8" w:rsidRPr="00417BEE">
        <w:t xml:space="preserve"> has been isolated from sandflies and mosquitoes</w:t>
      </w:r>
      <w:r w:rsidR="00974137" w:rsidRPr="00417BEE">
        <w:t>. Experimental transmission has been show</w:t>
      </w:r>
      <w:r w:rsidR="00AA001C" w:rsidRPr="00417BEE">
        <w:t>n from</w:t>
      </w:r>
      <w:r w:rsidR="00974137" w:rsidRPr="00417BEE">
        <w:t xml:space="preserve"> black flies to both pigs and cattle</w:t>
      </w:r>
      <w:r w:rsidR="00D75735" w:rsidRPr="00417BEE">
        <w:t>.</w:t>
      </w:r>
      <w:r w:rsidR="00D826B8" w:rsidRPr="00417BEE">
        <w:t xml:space="preserve"> There is seasonal variation in the occurrence of VS: it disappears at the end of the rainy season in tropical areas, and at the first frosts in temperate zones. The pathogenesis of the disease is unclear, and it has been observed that the specific</w:t>
      </w:r>
      <w:r w:rsidR="00213DD7" w:rsidRPr="00417BEE">
        <w:t xml:space="preserve"> circulating</w:t>
      </w:r>
      <w:r w:rsidR="00D826B8" w:rsidRPr="00417BEE">
        <w:t xml:space="preserve"> antibodies do not always prevent infection with </w:t>
      </w:r>
      <w:r w:rsidR="002263DA" w:rsidRPr="002575A5">
        <w:rPr>
          <w:u w:val="double"/>
        </w:rPr>
        <w:t>different</w:t>
      </w:r>
      <w:r w:rsidR="002263DA">
        <w:t xml:space="preserve"> </w:t>
      </w:r>
      <w:r w:rsidR="00D826B8" w:rsidRPr="00417BEE">
        <w:t xml:space="preserve">VS </w:t>
      </w:r>
      <w:r w:rsidR="00FB4B37" w:rsidRPr="00417BEE">
        <w:t>serogroup</w:t>
      </w:r>
      <w:r w:rsidR="002263DA" w:rsidRPr="002575A5">
        <w:rPr>
          <w:u w:val="double"/>
        </w:rPr>
        <w:t>s</w:t>
      </w:r>
      <w:r w:rsidR="00FB4B37" w:rsidRPr="002575A5">
        <w:rPr>
          <w:strike/>
        </w:rPr>
        <w:t xml:space="preserve"> </w:t>
      </w:r>
      <w:r w:rsidR="00D826B8" w:rsidRPr="002575A5">
        <w:rPr>
          <w:strike/>
        </w:rPr>
        <w:t>virus</w:t>
      </w:r>
      <w:r w:rsidR="00FB4B37" w:rsidRPr="002575A5">
        <w:rPr>
          <w:strike/>
        </w:rPr>
        <w:t>es</w:t>
      </w:r>
      <w:r w:rsidR="00D826B8" w:rsidRPr="00417BEE">
        <w:t>.</w:t>
      </w:r>
    </w:p>
    <w:p w14:paraId="0B8B34A7" w14:textId="05B40B59" w:rsidR="00D826B8" w:rsidRDefault="00D826B8" w:rsidP="00D826B8">
      <w:pPr>
        <w:pStyle w:val="sumtexte"/>
      </w:pPr>
      <w:r w:rsidRPr="00417BEE">
        <w:t>Although VS may be suspected when horses are involved as well as pigs and cattle, prompt differential diagnosis is essential because the clinical signs of VS are indistinguishable from FMD when cattle and pigs are affected, and from SVD or V</w:t>
      </w:r>
      <w:r w:rsidR="00141EAD" w:rsidRPr="00417BEE">
        <w:t>ES</w:t>
      </w:r>
      <w:r w:rsidRPr="00417BEE">
        <w:t xml:space="preserve"> when only pigs are affected.</w:t>
      </w:r>
    </w:p>
    <w:p w14:paraId="6723F64C" w14:textId="1578130C" w:rsidR="004367FC" w:rsidRPr="00757732" w:rsidRDefault="004367FC" w:rsidP="00D826B8">
      <w:pPr>
        <w:pStyle w:val="sumtexte"/>
        <w:rPr>
          <w:u w:val="double"/>
        </w:rPr>
      </w:pPr>
      <w:r w:rsidRPr="00757732">
        <w:rPr>
          <w:u w:val="double"/>
        </w:rPr>
        <w:t xml:space="preserve">Diagnosis of VS is by virus isolation or by the demonstration of VS viral antigen or nucleic acid in samples of tissue or fluid. Detection of virus-specific antibody against structural proteins, in paired serum, can also be used as </w:t>
      </w:r>
      <w:r w:rsidR="006F15D0">
        <w:rPr>
          <w:u w:val="double"/>
        </w:rPr>
        <w:t xml:space="preserve">an </w:t>
      </w:r>
      <w:r w:rsidRPr="00757732">
        <w:rPr>
          <w:u w:val="double"/>
        </w:rPr>
        <w:t>indicator of infection.</w:t>
      </w:r>
    </w:p>
    <w:p w14:paraId="766FB418" w14:textId="1133A543" w:rsidR="00D826B8" w:rsidRPr="00417BEE" w:rsidRDefault="00F74D59" w:rsidP="00B70C17">
      <w:pPr>
        <w:pStyle w:val="sumtexte"/>
      </w:pPr>
      <w:r w:rsidRPr="006D4BA1">
        <w:rPr>
          <w:b/>
          <w:strike/>
        </w:rPr>
        <w:t xml:space="preserve">Identification </w:t>
      </w:r>
      <w:r w:rsidRPr="006D4BA1">
        <w:rPr>
          <w:b/>
          <w:u w:val="double"/>
        </w:rPr>
        <w:t>Detection</w:t>
      </w:r>
      <w:r w:rsidRPr="006D4BA1">
        <w:rPr>
          <w:b/>
        </w:rPr>
        <w:t xml:space="preserve"> </w:t>
      </w:r>
      <w:r w:rsidR="00D826B8" w:rsidRPr="00417BEE">
        <w:rPr>
          <w:b/>
        </w:rPr>
        <w:t>of the agent:</w:t>
      </w:r>
      <w:r w:rsidR="00D826B8" w:rsidRPr="00417BEE">
        <w:t xml:space="preserve"> </w:t>
      </w:r>
      <w:r w:rsidR="00B510EB" w:rsidRPr="00417BEE">
        <w:t>V</w:t>
      </w:r>
      <w:r w:rsidR="00D826B8" w:rsidRPr="00417BEE">
        <w:t>irus can be readily isolated by the inoculation of several tissue culture systems, or embryonated chicken eggs.</w:t>
      </w:r>
      <w:r w:rsidR="00B84702" w:rsidRPr="00417BEE">
        <w:t xml:space="preserve"> Viral RNA can be detected from epithelial tissue and vesicular fluid by conventional and real-time </w:t>
      </w:r>
      <w:r w:rsidR="00B70C17" w:rsidRPr="00417BEE">
        <w:t>reverse transcript</w:t>
      </w:r>
      <w:r w:rsidR="00CF6954">
        <w:t>ion</w:t>
      </w:r>
      <w:r w:rsidR="00B70C17" w:rsidRPr="00417BEE">
        <w:t xml:space="preserve"> polymerase chain reaction </w:t>
      </w:r>
      <w:r w:rsidR="00B70C17" w:rsidRPr="00417BEE">
        <w:rPr>
          <w:i w:val="0"/>
          <w:iCs w:val="0"/>
        </w:rPr>
        <w:t>(</w:t>
      </w:r>
      <w:r w:rsidR="00AE4AC6" w:rsidRPr="00417BEE">
        <w:rPr>
          <w:iCs w:val="0"/>
        </w:rPr>
        <w:t>RT-</w:t>
      </w:r>
      <w:r w:rsidR="00B70C17" w:rsidRPr="00417BEE">
        <w:t>PCR</w:t>
      </w:r>
      <w:r w:rsidR="00B70C17" w:rsidRPr="00417BEE">
        <w:rPr>
          <w:i w:val="0"/>
          <w:iCs w:val="0"/>
        </w:rPr>
        <w:t>)</w:t>
      </w:r>
      <w:r w:rsidR="00B84702" w:rsidRPr="00417BEE">
        <w:rPr>
          <w:i w:val="0"/>
          <w:iCs w:val="0"/>
        </w:rPr>
        <w:t>.</w:t>
      </w:r>
      <w:r w:rsidR="00D826B8" w:rsidRPr="00417BEE">
        <w:t xml:space="preserve"> Viral antigen can be identified by an indirect sandwich enzyme-linked immunosorbent assay </w:t>
      </w:r>
      <w:r w:rsidR="00D826B8" w:rsidRPr="00417BEE">
        <w:rPr>
          <w:i w:val="0"/>
          <w:iCs w:val="0"/>
        </w:rPr>
        <w:t>(</w:t>
      </w:r>
      <w:r w:rsidR="00D826B8" w:rsidRPr="00417BEE">
        <w:t>IS-ELISA</w:t>
      </w:r>
      <w:r w:rsidR="00D826B8" w:rsidRPr="00417BEE">
        <w:rPr>
          <w:i w:val="0"/>
          <w:iCs w:val="0"/>
        </w:rPr>
        <w:t xml:space="preserve">) </w:t>
      </w:r>
      <w:r w:rsidR="00D826B8" w:rsidRPr="00417BEE">
        <w:t xml:space="preserve">– this is the least expensive and most rapid test. The complement fixation </w:t>
      </w:r>
      <w:r w:rsidR="00FE6913" w:rsidRPr="00417BEE">
        <w:t xml:space="preserve">test </w:t>
      </w:r>
      <w:r w:rsidR="00D826B8" w:rsidRPr="00417BEE">
        <w:rPr>
          <w:i w:val="0"/>
          <w:iCs w:val="0"/>
        </w:rPr>
        <w:t>(</w:t>
      </w:r>
      <w:r w:rsidR="00D826B8" w:rsidRPr="00417BEE">
        <w:t>CF</w:t>
      </w:r>
      <w:r w:rsidR="00FE6913" w:rsidRPr="00417BEE">
        <w:t>T</w:t>
      </w:r>
      <w:r w:rsidR="00D826B8" w:rsidRPr="00417BEE">
        <w:rPr>
          <w:i w:val="0"/>
          <w:iCs w:val="0"/>
        </w:rPr>
        <w:t>)</w:t>
      </w:r>
      <w:r w:rsidR="00D826B8" w:rsidRPr="00417BEE">
        <w:t xml:space="preserve"> is also a good alternative. The virus neutralisation </w:t>
      </w:r>
      <w:r w:rsidR="005C0D8E" w:rsidRPr="00417BEE">
        <w:t xml:space="preserve">test </w:t>
      </w:r>
      <w:r w:rsidR="00D826B8" w:rsidRPr="00417BEE">
        <w:rPr>
          <w:i w:val="0"/>
          <w:iCs w:val="0"/>
        </w:rPr>
        <w:t>(</w:t>
      </w:r>
      <w:r w:rsidR="00D826B8" w:rsidRPr="00417BEE">
        <w:t>VN</w:t>
      </w:r>
      <w:r w:rsidR="005C0D8E">
        <w:t>T</w:t>
      </w:r>
      <w:r w:rsidR="00D826B8" w:rsidRPr="00417BEE">
        <w:rPr>
          <w:i w:val="0"/>
          <w:iCs w:val="0"/>
        </w:rPr>
        <w:t>)</w:t>
      </w:r>
      <w:r w:rsidR="00D826B8" w:rsidRPr="00417BEE">
        <w:t xml:space="preserve"> may be used, but it is elaborate and time-consuming.</w:t>
      </w:r>
    </w:p>
    <w:p w14:paraId="365CFD39" w14:textId="7C1739CB" w:rsidR="00D826B8" w:rsidRPr="00417BEE" w:rsidRDefault="00D826B8" w:rsidP="00D826B8">
      <w:pPr>
        <w:pStyle w:val="sumtexte"/>
      </w:pPr>
      <w:r w:rsidRPr="00417BEE">
        <w:rPr>
          <w:b/>
        </w:rPr>
        <w:t>Serological tests:</w:t>
      </w:r>
      <w:r w:rsidRPr="00417BEE">
        <w:t xml:space="preserve"> Convalescent animals develop serotype-specific antibodies within 4–8 days of infection that are demonstrated by a liquid-phase blocking ELISA </w:t>
      </w:r>
      <w:r w:rsidRPr="00417BEE">
        <w:rPr>
          <w:i w:val="0"/>
          <w:iCs w:val="0"/>
        </w:rPr>
        <w:t>(</w:t>
      </w:r>
      <w:r w:rsidRPr="00417BEE">
        <w:t>LP-ELISA</w:t>
      </w:r>
      <w:r w:rsidRPr="00417BEE">
        <w:rPr>
          <w:i w:val="0"/>
          <w:iCs w:val="0"/>
        </w:rPr>
        <w:t>),</w:t>
      </w:r>
      <w:r w:rsidR="00C9096D" w:rsidRPr="00417BEE">
        <w:t xml:space="preserve"> </w:t>
      </w:r>
      <w:r w:rsidRPr="00417BEE">
        <w:t xml:space="preserve">a competitive ELISA </w:t>
      </w:r>
      <w:r w:rsidRPr="00417BEE">
        <w:rPr>
          <w:i w:val="0"/>
          <w:iCs w:val="0"/>
        </w:rPr>
        <w:t>(</w:t>
      </w:r>
      <w:r w:rsidRPr="00417BEE">
        <w:t>C-ELISA</w:t>
      </w:r>
      <w:r w:rsidRPr="00417BEE">
        <w:rPr>
          <w:i w:val="0"/>
          <w:iCs w:val="0"/>
        </w:rPr>
        <w:t>)</w:t>
      </w:r>
      <w:r w:rsidRPr="00417BEE">
        <w:t xml:space="preserve"> and VN</w:t>
      </w:r>
      <w:r w:rsidR="005C0D8E">
        <w:t>T</w:t>
      </w:r>
      <w:r w:rsidRPr="00417BEE">
        <w:t>. Other described tests are CF</w:t>
      </w:r>
      <w:r w:rsidR="00FE6913" w:rsidRPr="00417BEE">
        <w:t>T</w:t>
      </w:r>
      <w:r w:rsidRPr="00417BEE">
        <w:t xml:space="preserve">, agar gel immunodiffusion and counter </w:t>
      </w:r>
      <w:r w:rsidR="005C0D8E">
        <w:t>immun</w:t>
      </w:r>
      <w:r w:rsidR="00F30362">
        <w:t>o</w:t>
      </w:r>
      <w:r w:rsidR="005C0D8E">
        <w:t>-</w:t>
      </w:r>
      <w:r w:rsidRPr="00417BEE">
        <w:t>electrophoresis.</w:t>
      </w:r>
      <w:r w:rsidR="00757732">
        <w:t xml:space="preserve"> </w:t>
      </w:r>
      <w:r w:rsidR="00B26DFA" w:rsidRPr="00757732">
        <w:rPr>
          <w:u w:val="double"/>
        </w:rPr>
        <w:t>The demonstration of specific antibodies to structural proteins in nonvaccinated animals is indicative of prior infection with VS</w:t>
      </w:r>
      <w:r w:rsidR="005C0D8E">
        <w:rPr>
          <w:u w:val="double"/>
        </w:rPr>
        <w:t xml:space="preserve"> virus</w:t>
      </w:r>
      <w:r w:rsidR="00B26DFA" w:rsidRPr="00757732">
        <w:rPr>
          <w:u w:val="double"/>
        </w:rPr>
        <w:t>.</w:t>
      </w:r>
    </w:p>
    <w:p w14:paraId="286B3AF7" w14:textId="6B10E6ED" w:rsidR="00D826B8" w:rsidRPr="00417BEE" w:rsidRDefault="00D826B8" w:rsidP="00D826B8">
      <w:pPr>
        <w:pStyle w:val="sumtexte"/>
        <w:spacing w:after="480"/>
      </w:pPr>
      <w:r w:rsidRPr="00417BEE">
        <w:rPr>
          <w:b/>
        </w:rPr>
        <w:t>Requirements for vaccines:</w:t>
      </w:r>
      <w:r w:rsidRPr="00417BEE">
        <w:t xml:space="preserve"> Inactivated virus vaccines with aluminium hydroxide or oil as adjuvants have been tested in the United States of America and in Colombia, respectively. Both vaccines generated high levels of specific antibodies in the sera of vaccinated cattle. However, it is not yet clear if serum antibodies would prevent the disease. An attenuated virus vaccine has been used in the field with unknown efficacy.</w:t>
      </w:r>
    </w:p>
    <w:p w14:paraId="34C1E59B" w14:textId="77777777" w:rsidR="00D826B8" w:rsidRPr="00417BEE" w:rsidRDefault="00D826B8" w:rsidP="008C1EBC">
      <w:pPr>
        <w:pStyle w:val="A0"/>
      </w:pPr>
      <w:r w:rsidRPr="00417BEE">
        <w:t>A.</w:t>
      </w:r>
      <w:r w:rsidR="00B70C17" w:rsidRPr="00417BEE">
        <w:t xml:space="preserve">  </w:t>
      </w:r>
      <w:r w:rsidR="00155517" w:rsidRPr="00417BEE">
        <w:t>INTRODUCTION</w:t>
      </w:r>
    </w:p>
    <w:p w14:paraId="0D9236EA" w14:textId="47AE1AC2" w:rsidR="00D826B8" w:rsidRPr="00417BEE" w:rsidRDefault="00D826B8" w:rsidP="00B70C17">
      <w:pPr>
        <w:pStyle w:val="paraA0"/>
      </w:pPr>
      <w:r w:rsidRPr="00417BEE">
        <w:t xml:space="preserve">Vesicular stomatitis (VS) was described in the United States of America (USA) </w:t>
      </w:r>
      <w:r w:rsidR="00155517" w:rsidRPr="00417BEE">
        <w:t xml:space="preserve">by </w:t>
      </w:r>
      <w:r w:rsidR="00EB3BB6" w:rsidRPr="00417BEE">
        <w:t xml:space="preserve">Oltsky </w:t>
      </w:r>
      <w:r w:rsidR="007747A9" w:rsidRPr="00417BEE">
        <w:rPr>
          <w:i/>
        </w:rPr>
        <w:t>et al</w:t>
      </w:r>
      <w:r w:rsidR="00EB3BB6" w:rsidRPr="00417BEE">
        <w:t xml:space="preserve">. </w:t>
      </w:r>
      <w:r w:rsidR="00155517" w:rsidRPr="00417BEE">
        <w:t>(</w:t>
      </w:r>
      <w:r w:rsidR="00EB3BB6" w:rsidRPr="00417BEE">
        <w:t>1926</w:t>
      </w:r>
      <w:r w:rsidRPr="00417BEE">
        <w:t xml:space="preserve">) and </w:t>
      </w:r>
      <w:r w:rsidR="00BB2B49" w:rsidRPr="00417BEE">
        <w:t xml:space="preserve">Cotton </w:t>
      </w:r>
      <w:r w:rsidR="00155517" w:rsidRPr="00417BEE">
        <w:t>(</w:t>
      </w:r>
      <w:r w:rsidR="00BB2B49" w:rsidRPr="00417BEE">
        <w:t>1927</w:t>
      </w:r>
      <w:r w:rsidRPr="00417BEE">
        <w:t>) as a vesicular disease of horses, and subsequently of cattle and pigs. Vesicles are caused by virus on the tongue, lips, buccal mucosa, teats</w:t>
      </w:r>
      <w:r w:rsidR="00EB40E8" w:rsidRPr="00417BEE">
        <w:t>,</w:t>
      </w:r>
      <w:r w:rsidRPr="00417BEE">
        <w:t xml:space="preserve"> and in the coronary band</w:t>
      </w:r>
      <w:r w:rsidR="00B510EB" w:rsidRPr="00417BEE">
        <w:t xml:space="preserve"> epithelium</w:t>
      </w:r>
      <w:r w:rsidRPr="00417BEE">
        <w:t xml:space="preserve"> of cattle, horses, pigs, and many other </w:t>
      </w:r>
      <w:r w:rsidRPr="00417BEE">
        <w:lastRenderedPageBreak/>
        <w:t xml:space="preserve">species of domestic and wild </w:t>
      </w:r>
      <w:r w:rsidR="00A452F3" w:rsidRPr="00417BEE">
        <w:t>animals. Natural</w:t>
      </w:r>
      <w:r w:rsidR="00B84702" w:rsidRPr="00417BEE">
        <w:t xml:space="preserve"> disease in sheep and goats is rare, although both species can be experimentally infected. Mixed infections of </w:t>
      </w:r>
      <w:r w:rsidR="00B70C17" w:rsidRPr="00417BEE">
        <w:t xml:space="preserve">foot and mouth disease (FMD) </w:t>
      </w:r>
      <w:r w:rsidR="00B84702" w:rsidRPr="00417BEE">
        <w:t>and VS viruses have occurred in the same herds of cattle and can be induced experimentally.</w:t>
      </w:r>
      <w:r w:rsidRPr="00417BEE">
        <w:t xml:space="preserve"> Many species of laboratory animals are also susceptible. The disease is </w:t>
      </w:r>
      <w:r w:rsidR="002575A5" w:rsidRPr="002575A5">
        <w:rPr>
          <w:u w:val="double"/>
        </w:rPr>
        <w:t>generally</w:t>
      </w:r>
      <w:r w:rsidR="002575A5" w:rsidRPr="00417BEE">
        <w:t xml:space="preserve"> </w:t>
      </w:r>
      <w:r w:rsidRPr="00417BEE">
        <w:t>limited to the Americas</w:t>
      </w:r>
      <w:r w:rsidR="002575A5">
        <w:rPr>
          <w:u w:val="double"/>
        </w:rPr>
        <w:t>,</w:t>
      </w:r>
      <w:r w:rsidR="002575A5" w:rsidRPr="002575A5">
        <w:rPr>
          <w:u w:val="double"/>
        </w:rPr>
        <w:t xml:space="preserve"> </w:t>
      </w:r>
      <w:r w:rsidR="002575A5">
        <w:rPr>
          <w:u w:val="double"/>
        </w:rPr>
        <w:t>but</w:t>
      </w:r>
      <w:r w:rsidR="002575A5" w:rsidRPr="002575A5">
        <w:rPr>
          <w:u w:val="double"/>
        </w:rPr>
        <w:t xml:space="preserve"> has spread to other continents: for detailed information refer </w:t>
      </w:r>
      <w:r w:rsidR="002575A5">
        <w:rPr>
          <w:u w:val="double"/>
        </w:rPr>
        <w:t>to the OIE</w:t>
      </w:r>
      <w:r w:rsidR="002575A5" w:rsidRPr="002575A5">
        <w:rPr>
          <w:u w:val="double"/>
        </w:rPr>
        <w:t xml:space="preserve"> WAHI</w:t>
      </w:r>
      <w:r w:rsidR="002575A5">
        <w:rPr>
          <w:u w:val="double"/>
        </w:rPr>
        <w:t>S interface</w:t>
      </w:r>
      <w:r w:rsidRPr="002575A5">
        <w:rPr>
          <w:strike/>
        </w:rPr>
        <w:t>; however, it was described in France (1915 and 1917) and in South Africa (1886 and 1897) (</w:t>
      </w:r>
      <w:r w:rsidR="00BB2B49" w:rsidRPr="002575A5">
        <w:rPr>
          <w:strike/>
        </w:rPr>
        <w:t>Hanson, 1952</w:t>
      </w:r>
      <w:r w:rsidRPr="002575A5">
        <w:rPr>
          <w:strike/>
        </w:rPr>
        <w:t>)</w:t>
      </w:r>
      <w:r w:rsidRPr="00417BEE">
        <w:t>.</w:t>
      </w:r>
      <w:r w:rsidR="002575A5">
        <w:t xml:space="preserve"> </w:t>
      </w:r>
    </w:p>
    <w:p w14:paraId="3D516D0D" w14:textId="09CD1742" w:rsidR="00D826B8" w:rsidRDefault="00D826B8" w:rsidP="0019658A">
      <w:pPr>
        <w:pStyle w:val="paraA0"/>
        <w:spacing w:after="200"/>
      </w:pPr>
      <w:r w:rsidRPr="00417BEE">
        <w:t xml:space="preserve">Influenza-like signs, normally without vesicles, have been observed in humans who are in contact with animals with VS or who handle infective virus. </w:t>
      </w:r>
      <w:r w:rsidRPr="00A14504">
        <w:rPr>
          <w:strike/>
        </w:rPr>
        <w:t xml:space="preserve">All </w:t>
      </w:r>
      <w:r w:rsidR="00B040F7" w:rsidRPr="00A14504">
        <w:rPr>
          <w:u w:val="double"/>
        </w:rPr>
        <w:t>Laboratory</w:t>
      </w:r>
      <w:r w:rsidR="00B040F7" w:rsidRPr="00417BEE">
        <w:t xml:space="preserve"> </w:t>
      </w:r>
      <w:r w:rsidRPr="00417BEE">
        <w:t xml:space="preserve">manipulations involving </w:t>
      </w:r>
      <w:r w:rsidR="00B040F7" w:rsidRPr="00A14504">
        <w:rPr>
          <w:u w:val="double"/>
        </w:rPr>
        <w:t>live</w:t>
      </w:r>
      <w:r w:rsidR="00B040F7">
        <w:t xml:space="preserve"> </w:t>
      </w:r>
      <w:r w:rsidRPr="00417BEE">
        <w:t>virus, including</w:t>
      </w:r>
      <w:r w:rsidR="00923E96">
        <w:t xml:space="preserve"> </w:t>
      </w:r>
      <w:r w:rsidR="00923E96" w:rsidRPr="00A14504">
        <w:rPr>
          <w:u w:val="double"/>
        </w:rPr>
        <w:t>handling</w:t>
      </w:r>
      <w:r w:rsidRPr="00417BEE">
        <w:t xml:space="preserve"> infective materials from animals, should be </w:t>
      </w:r>
      <w:r w:rsidR="007D054F" w:rsidRPr="00A14504">
        <w:rPr>
          <w:u w:val="double"/>
          <w:lang w:val="en-IE"/>
        </w:rPr>
        <w:t xml:space="preserve">carried out at an appropriate biosafety and containment level determined by risk analysis (see Chapter 1.1.4 </w:t>
      </w:r>
      <w:r w:rsidR="007D054F" w:rsidRPr="00A14504">
        <w:rPr>
          <w:i/>
          <w:u w:val="double"/>
          <w:lang w:val="en-IE"/>
        </w:rPr>
        <w:t xml:space="preserve">Biosafety and biosecurity: </w:t>
      </w:r>
      <w:r w:rsidR="007D054F" w:rsidRPr="00A14504">
        <w:rPr>
          <w:i/>
          <w:iCs/>
          <w:u w:val="double"/>
        </w:rPr>
        <w:t>Standard for managing biological risk</w:t>
      </w:r>
      <w:r w:rsidR="007D054F" w:rsidRPr="00A14504">
        <w:rPr>
          <w:i/>
          <w:u w:val="double"/>
        </w:rPr>
        <w:t xml:space="preserve"> in the veterinary laboratory and animal facilities</w:t>
      </w:r>
      <w:r w:rsidR="007D054F" w:rsidRPr="00A14504">
        <w:rPr>
          <w:u w:val="double"/>
          <w:lang w:val="en-IE"/>
        </w:rPr>
        <w:t>)</w:t>
      </w:r>
      <w:r w:rsidR="00A14504" w:rsidRPr="00A14504">
        <w:rPr>
          <w:strike/>
          <w:lang w:val="en-IE"/>
        </w:rPr>
        <w:t xml:space="preserve"> </w:t>
      </w:r>
      <w:r w:rsidRPr="00A14504">
        <w:rPr>
          <w:strike/>
        </w:rPr>
        <w:t>undertaken with using proper biosafety procedures</w:t>
      </w:r>
      <w:r w:rsidRPr="00417BEE">
        <w:t>.</w:t>
      </w:r>
      <w:r w:rsidR="002D00A2" w:rsidRPr="002D00A2">
        <w:rPr>
          <w:lang w:val="en-IE"/>
        </w:rPr>
        <w:t xml:space="preserve"> </w:t>
      </w:r>
    </w:p>
    <w:p w14:paraId="3879A8C2" w14:textId="264EAB0C" w:rsidR="00757732" w:rsidRDefault="00D450EA" w:rsidP="0019658A">
      <w:pPr>
        <w:pStyle w:val="paraA0"/>
        <w:spacing w:after="200"/>
        <w:rPr>
          <w:u w:val="double"/>
          <w:lang w:val="en-IE"/>
        </w:rPr>
      </w:pPr>
      <w:r w:rsidRPr="00757732">
        <w:rPr>
          <w:u w:val="double"/>
        </w:rPr>
        <w:t xml:space="preserve">The </w:t>
      </w:r>
      <w:r w:rsidR="00757732">
        <w:rPr>
          <w:u w:val="double"/>
        </w:rPr>
        <w:t>VS</w:t>
      </w:r>
      <w:r w:rsidR="00757732" w:rsidRPr="00757732">
        <w:rPr>
          <w:u w:val="double"/>
        </w:rPr>
        <w:t xml:space="preserve"> </w:t>
      </w:r>
      <w:r w:rsidRPr="00757732">
        <w:rPr>
          <w:u w:val="double"/>
        </w:rPr>
        <w:t xml:space="preserve">virus (VSV) belongs to the </w:t>
      </w:r>
      <w:r w:rsidRPr="00757732">
        <w:rPr>
          <w:i/>
          <w:iCs/>
          <w:u w:val="double"/>
        </w:rPr>
        <w:t>Rhabdoviridae</w:t>
      </w:r>
      <w:r w:rsidRPr="00757732">
        <w:rPr>
          <w:u w:val="double"/>
        </w:rPr>
        <w:t xml:space="preserve"> </w:t>
      </w:r>
      <w:r w:rsidR="0070676F">
        <w:rPr>
          <w:u w:val="double"/>
        </w:rPr>
        <w:t>f</w:t>
      </w:r>
      <w:r w:rsidRPr="00757732">
        <w:rPr>
          <w:u w:val="double"/>
        </w:rPr>
        <w:t xml:space="preserve">amily, </w:t>
      </w:r>
      <w:r w:rsidR="0070676F">
        <w:rPr>
          <w:u w:val="double"/>
        </w:rPr>
        <w:t>g</w:t>
      </w:r>
      <w:r w:rsidRPr="00757732">
        <w:rPr>
          <w:u w:val="double"/>
        </w:rPr>
        <w:t xml:space="preserve">enus </w:t>
      </w:r>
      <w:r w:rsidRPr="00757732">
        <w:rPr>
          <w:i/>
          <w:iCs/>
          <w:u w:val="double"/>
        </w:rPr>
        <w:t>Vesiculovirus</w:t>
      </w:r>
      <w:r w:rsidRPr="00757732">
        <w:rPr>
          <w:u w:val="double"/>
        </w:rPr>
        <w:t>. Four</w:t>
      </w:r>
      <w:r w:rsidRPr="00481048">
        <w:t xml:space="preserve"> </w:t>
      </w:r>
      <w:r w:rsidR="00481048" w:rsidRPr="00757732">
        <w:rPr>
          <w:strike/>
          <w:lang w:val="en-IE"/>
        </w:rPr>
        <w:t xml:space="preserve">Two </w:t>
      </w:r>
      <w:r w:rsidRPr="00481048">
        <w:t>immunological</w:t>
      </w:r>
      <w:r w:rsidR="005C0D8E" w:rsidRPr="00481048">
        <w:t>ly</w:t>
      </w:r>
      <w:r w:rsidRPr="00481048">
        <w:t xml:space="preserve"> distinct</w:t>
      </w:r>
      <w:r w:rsidRPr="00757732">
        <w:rPr>
          <w:u w:val="double"/>
        </w:rPr>
        <w:t xml:space="preserve"> </w:t>
      </w:r>
      <w:r w:rsidR="00757732" w:rsidRPr="00757732">
        <w:rPr>
          <w:u w:val="double"/>
        </w:rPr>
        <w:t>species</w:t>
      </w:r>
      <w:r w:rsidR="00481048" w:rsidRPr="00481048">
        <w:t xml:space="preserve"> </w:t>
      </w:r>
      <w:r w:rsidR="00481048" w:rsidRPr="00757732">
        <w:rPr>
          <w:strike/>
          <w:lang w:val="en-IE"/>
        </w:rPr>
        <w:t xml:space="preserve">serotypes </w:t>
      </w:r>
      <w:r w:rsidRPr="00481048">
        <w:t>of VSV are recogni</w:t>
      </w:r>
      <w:r w:rsidR="00757732" w:rsidRPr="00481048">
        <w:t>s</w:t>
      </w:r>
      <w:r w:rsidRPr="00481048">
        <w:t>ed: Indiana (IND</w:t>
      </w:r>
      <w:r w:rsidRPr="00757732">
        <w:rPr>
          <w:u w:val="double"/>
        </w:rPr>
        <w:t>-1), known as classical IND virus (VSIV), Cocal (</w:t>
      </w:r>
      <w:r w:rsidR="005C0D8E" w:rsidRPr="00757732">
        <w:rPr>
          <w:u w:val="double"/>
        </w:rPr>
        <w:t>IND</w:t>
      </w:r>
      <w:r w:rsidRPr="00757732">
        <w:rPr>
          <w:u w:val="double"/>
        </w:rPr>
        <w:t>-2), Alagoas (</w:t>
      </w:r>
      <w:r w:rsidR="005C0D8E" w:rsidRPr="00757732">
        <w:rPr>
          <w:u w:val="double"/>
        </w:rPr>
        <w:t>IND</w:t>
      </w:r>
      <w:r w:rsidRPr="00757732">
        <w:rPr>
          <w:u w:val="double"/>
        </w:rPr>
        <w:t>-3)</w:t>
      </w:r>
      <w:r w:rsidRPr="00481048">
        <w:t xml:space="preserve"> and New Jersey (NJ)</w:t>
      </w:r>
      <w:r w:rsidR="00DA10F5">
        <w:t>.</w:t>
      </w:r>
      <w:r w:rsidRPr="00481048">
        <w:t xml:space="preserve"> </w:t>
      </w:r>
      <w:r w:rsidR="00481048" w:rsidRPr="00846C4B">
        <w:rPr>
          <w:strike/>
          <w:lang w:val="en-IE"/>
        </w:rPr>
        <w:t xml:space="preserve">Both viruses are members of the genus </w:t>
      </w:r>
      <w:r w:rsidR="00481048" w:rsidRPr="00846C4B">
        <w:rPr>
          <w:i/>
          <w:strike/>
          <w:lang w:val="en-IE"/>
        </w:rPr>
        <w:t>Vesiculovirus</w:t>
      </w:r>
      <w:r w:rsidR="00481048" w:rsidRPr="00846C4B">
        <w:rPr>
          <w:strike/>
          <w:lang w:val="en-IE"/>
        </w:rPr>
        <w:t xml:space="preserve">, family </w:t>
      </w:r>
      <w:r w:rsidR="00481048" w:rsidRPr="00846C4B">
        <w:rPr>
          <w:i/>
          <w:strike/>
          <w:lang w:val="en-IE"/>
        </w:rPr>
        <w:t>Rhabdoviridae</w:t>
      </w:r>
      <w:r w:rsidR="00481048" w:rsidRPr="00846C4B">
        <w:rPr>
          <w:strike/>
          <w:lang w:val="en-IE"/>
        </w:rPr>
        <w:t xml:space="preserve"> </w:t>
      </w:r>
      <w:r w:rsidR="00DA10F5">
        <w:t>T</w:t>
      </w:r>
      <w:r w:rsidRPr="00481048">
        <w:t xml:space="preserve">hey have been extensively studied at the molecular </w:t>
      </w:r>
      <w:bookmarkStart w:id="0" w:name="_GoBack"/>
      <w:r w:rsidR="007C771B" w:rsidRPr="00481048">
        <w:t>level</w:t>
      </w:r>
      <w:bookmarkEnd w:id="0"/>
      <w:r w:rsidR="007C771B" w:rsidRPr="00481048">
        <w:t>.</w:t>
      </w:r>
      <w:r w:rsidRPr="00481048">
        <w:t xml:space="preserve"> Several other closely related rhabdoviruses have been isolated from sick animals over the past decades. </w:t>
      </w:r>
      <w:r w:rsidR="00481048" w:rsidRPr="00846C4B">
        <w:rPr>
          <w:strike/>
          <w:lang w:val="en-IE"/>
        </w:rPr>
        <w:t xml:space="preserve">There are three subtypes of the IND serotype based on serological relationships: IND-1 IND-2 and IND-3; they are also known as classical IND virus </w:t>
      </w:r>
      <w:r w:rsidRPr="00757732">
        <w:rPr>
          <w:u w:val="double"/>
        </w:rPr>
        <w:t>The</w:t>
      </w:r>
      <w:r w:rsidRPr="00481048">
        <w:t xml:space="preserve"> VSIV, Cocal virus</w:t>
      </w:r>
      <w:r w:rsidRPr="00A14504">
        <w:rPr>
          <w:strike/>
        </w:rPr>
        <w:t xml:space="preserve"> (COCV), </w:t>
      </w:r>
      <w:r w:rsidRPr="00481048">
        <w:t xml:space="preserve">and Alagoas virus </w:t>
      </w:r>
      <w:r w:rsidRPr="00A14504">
        <w:rPr>
          <w:strike/>
        </w:rPr>
        <w:t xml:space="preserve">(VSAV) </w:t>
      </w:r>
      <w:r w:rsidRPr="00757732">
        <w:rPr>
          <w:u w:val="double"/>
        </w:rPr>
        <w:t>are serologically related</w:t>
      </w:r>
      <w:r w:rsidRPr="00481048">
        <w:t xml:space="preserve"> </w:t>
      </w:r>
      <w:r w:rsidR="00481048" w:rsidRPr="00846C4B">
        <w:rPr>
          <w:strike/>
          <w:lang w:val="en-IE"/>
        </w:rPr>
        <w:t xml:space="preserve">respectively </w:t>
      </w:r>
      <w:r w:rsidRPr="00481048">
        <w:t xml:space="preserve">(Federer </w:t>
      </w:r>
      <w:r w:rsidRPr="00481048">
        <w:rPr>
          <w:i/>
          <w:iCs/>
        </w:rPr>
        <w:t>et al.,</w:t>
      </w:r>
      <w:r w:rsidRPr="00481048">
        <w:t xml:space="preserve"> 1967). Strains of the </w:t>
      </w:r>
      <w:r w:rsidR="00481048" w:rsidRPr="00846C4B">
        <w:rPr>
          <w:strike/>
          <w:lang w:val="en-IE"/>
        </w:rPr>
        <w:t xml:space="preserve">serotype </w:t>
      </w:r>
      <w:r w:rsidRPr="00481048">
        <w:t xml:space="preserve">NJ and </w:t>
      </w:r>
      <w:r w:rsidRPr="00481048">
        <w:rPr>
          <w:u w:val="double"/>
        </w:rPr>
        <w:t>VSIV</w:t>
      </w:r>
      <w:r w:rsidRPr="00481048">
        <w:t xml:space="preserve"> </w:t>
      </w:r>
      <w:r w:rsidR="00481048" w:rsidRPr="00846C4B">
        <w:rPr>
          <w:strike/>
          <w:lang w:val="en-IE"/>
        </w:rPr>
        <w:t xml:space="preserve">subtype IND-1 </w:t>
      </w:r>
      <w:r w:rsidRPr="00481048">
        <w:t>are endemic in livestock in areas of southern Mexico, Central America</w:t>
      </w:r>
      <w:r w:rsidRPr="00757732">
        <w:rPr>
          <w:u w:val="double"/>
        </w:rPr>
        <w:t xml:space="preserve">, Chile, </w:t>
      </w:r>
      <w:r w:rsidRPr="00481048">
        <w:t xml:space="preserve">Venezuela, Colombia, Ecuador and Peru, with VSV NJ causing the majority </w:t>
      </w:r>
      <w:r w:rsidR="00437B87" w:rsidRPr="00846C4B">
        <w:rPr>
          <w:strike/>
          <w:lang w:val="en-IE"/>
        </w:rPr>
        <w:t xml:space="preserve">(&gt;80%) </w:t>
      </w:r>
      <w:r w:rsidRPr="00481048">
        <w:t>of the clinical cases. Sporadic activity</w:t>
      </w:r>
      <w:r w:rsidRPr="00437B87">
        <w:t xml:space="preserve"> of NJ and </w:t>
      </w:r>
      <w:r w:rsidRPr="00757732">
        <w:rPr>
          <w:u w:val="double"/>
        </w:rPr>
        <w:t>VSIV</w:t>
      </w:r>
      <w:r w:rsidR="00437B87" w:rsidRPr="00437B87">
        <w:rPr>
          <w:strike/>
          <w:lang w:val="en-IE"/>
        </w:rPr>
        <w:t xml:space="preserve"> </w:t>
      </w:r>
      <w:r w:rsidR="00437B87" w:rsidRPr="00846C4B">
        <w:rPr>
          <w:strike/>
          <w:lang w:val="en-IE"/>
        </w:rPr>
        <w:t>IND-1 VSV</w:t>
      </w:r>
      <w:r w:rsidRPr="00437B87">
        <w:t xml:space="preserve"> has been reported in northern Mexico and the western United States. </w:t>
      </w:r>
      <w:r w:rsidRPr="00757732">
        <w:rPr>
          <w:u w:val="double"/>
        </w:rPr>
        <w:t>Cocal vesiculovirus was</w:t>
      </w:r>
      <w:r w:rsidR="00437B87" w:rsidRPr="00437B87">
        <w:rPr>
          <w:strike/>
          <w:lang w:val="en-IE"/>
        </w:rPr>
        <w:t xml:space="preserve"> </w:t>
      </w:r>
      <w:r w:rsidR="00437B87" w:rsidRPr="00846C4B">
        <w:rPr>
          <w:strike/>
          <w:lang w:val="en-IE"/>
        </w:rPr>
        <w:t>IND-2 has only been</w:t>
      </w:r>
      <w:r w:rsidR="00437B87" w:rsidRPr="00437B87">
        <w:t xml:space="preserve"> </w:t>
      </w:r>
      <w:r w:rsidRPr="00437B87">
        <w:t xml:space="preserve">isolated </w:t>
      </w:r>
      <w:r w:rsidRPr="00757732">
        <w:rPr>
          <w:u w:val="double"/>
        </w:rPr>
        <w:t>from domestic animals only</w:t>
      </w:r>
      <w:r w:rsidRPr="00437B87">
        <w:t xml:space="preserve"> in Argentina and Brazil and only from horses (Salto-Argentina/63, Maipú-Argentina/86, Rancharia-Brazil/66, Ribeirão-Brazil/79) (Alonso </w:t>
      </w:r>
      <w:r w:rsidRPr="00437B87">
        <w:rPr>
          <w:i/>
          <w:iCs/>
        </w:rPr>
        <w:t>et al.,</w:t>
      </w:r>
      <w:r w:rsidRPr="00437B87">
        <w:t xml:space="preserve"> 1991; Alonso Fernandez &amp; Sondahl, 1985). </w:t>
      </w:r>
      <w:r w:rsidR="00437B87" w:rsidRPr="00846C4B">
        <w:rPr>
          <w:strike/>
          <w:lang w:val="en-IE"/>
        </w:rPr>
        <w:t xml:space="preserve">Cattle living together with the affected horses did not develop antibodies against VSV (Alonso </w:t>
      </w:r>
      <w:r w:rsidR="00437B87" w:rsidRPr="00846C4B">
        <w:rPr>
          <w:i/>
          <w:strike/>
          <w:lang w:val="en-IE"/>
        </w:rPr>
        <w:t>et al</w:t>
      </w:r>
      <w:r w:rsidR="00437B87" w:rsidRPr="00846C4B">
        <w:rPr>
          <w:strike/>
          <w:lang w:val="en-IE"/>
        </w:rPr>
        <w:t>., 1991). The IND-3 subtype, (Alagoas-Brazil/64), has been identified, sporadically only in Brazil and only in horses until 1977. However, in 1977 the IND-3 subtype (Espinosa-Brazil/77 strain) was first isolated from ca</w:t>
      </w:r>
      <w:r w:rsidR="00437B87" w:rsidRPr="00757732">
        <w:rPr>
          <w:strike/>
        </w:rPr>
        <w:t xml:space="preserve">ttle in Brazil; it has been observed that this subtype affects cattle to a lesser degree than horses (Alonso </w:t>
      </w:r>
      <w:r w:rsidR="00437B87" w:rsidRPr="00757732">
        <w:rPr>
          <w:i/>
          <w:strike/>
        </w:rPr>
        <w:t>et al</w:t>
      </w:r>
      <w:r w:rsidR="00437B87" w:rsidRPr="00757732">
        <w:rPr>
          <w:strike/>
        </w:rPr>
        <w:t xml:space="preserve">., 1991; Alonso Fernandez &amp; Sondahl, 1985). </w:t>
      </w:r>
      <w:r w:rsidRPr="00437B87">
        <w:t xml:space="preserve">This finding confirms the first descriptions, in 1926 and 1927 (Cotton, 1927; Oltsky </w:t>
      </w:r>
      <w:r w:rsidRPr="00437B87">
        <w:rPr>
          <w:i/>
          <w:iCs/>
        </w:rPr>
        <w:t>et al.,</w:t>
      </w:r>
      <w:r w:rsidRPr="00437B87">
        <w:t xml:space="preserve"> 1926) of the NJ and</w:t>
      </w:r>
      <w:r w:rsidR="00437B87" w:rsidRPr="00437B87">
        <w:rPr>
          <w:strike/>
        </w:rPr>
        <w:t xml:space="preserve"> </w:t>
      </w:r>
      <w:r w:rsidR="00437B87" w:rsidRPr="00757732">
        <w:rPr>
          <w:strike/>
        </w:rPr>
        <w:t>IND serotypes</w:t>
      </w:r>
      <w:r w:rsidRPr="00437B87">
        <w:t xml:space="preserve"> </w:t>
      </w:r>
      <w:r w:rsidRPr="00757732">
        <w:rPr>
          <w:u w:val="double"/>
        </w:rPr>
        <w:t>VSIV, Cocal vesiculovirus, Alagoas vesiculovirus</w:t>
      </w:r>
      <w:r w:rsidRPr="00437B87">
        <w:t xml:space="preserve"> in horses, and subsequently in cattle and pigs; this same predilection has been observed in other VS outbreaks. </w:t>
      </w:r>
      <w:r w:rsidRPr="00757732">
        <w:rPr>
          <w:u w:val="double"/>
        </w:rPr>
        <w:t>The alagoas virus, (Alagoas-Brazil/64), has been identified, endemically in North</w:t>
      </w:r>
      <w:r w:rsidR="005C0D8E">
        <w:rPr>
          <w:u w:val="double"/>
        </w:rPr>
        <w:t>-</w:t>
      </w:r>
      <w:r w:rsidRPr="00757732">
        <w:rPr>
          <w:u w:val="double"/>
        </w:rPr>
        <w:t xml:space="preserve">eastern Brazil, in cattle, horses, swine, sheep and goats </w:t>
      </w:r>
      <w:r w:rsidRPr="00757732">
        <w:rPr>
          <w:u w:val="double"/>
          <w:lang w:val="en-IE"/>
        </w:rPr>
        <w:t>(</w:t>
      </w:r>
      <w:r w:rsidR="00757732" w:rsidRPr="00757732">
        <w:rPr>
          <w:u w:val="double"/>
          <w:lang w:val="en-IE"/>
        </w:rPr>
        <w:t xml:space="preserve">Alonso </w:t>
      </w:r>
      <w:r w:rsidR="00757732" w:rsidRPr="00757732">
        <w:rPr>
          <w:i/>
          <w:iCs/>
          <w:u w:val="double"/>
          <w:lang w:val="en-IE"/>
        </w:rPr>
        <w:t>et al.,</w:t>
      </w:r>
      <w:r w:rsidR="00757732" w:rsidRPr="00757732">
        <w:rPr>
          <w:u w:val="double"/>
          <w:lang w:val="en-IE"/>
        </w:rPr>
        <w:t xml:space="preserve"> 1991; Alonso Fernandez &amp; Sondahl, 1985</w:t>
      </w:r>
      <w:r w:rsidR="00757732">
        <w:rPr>
          <w:u w:val="double"/>
          <w:lang w:val="en-IE"/>
        </w:rPr>
        <w:t xml:space="preserve">; </w:t>
      </w:r>
      <w:r w:rsidR="00757732" w:rsidRPr="00757732">
        <w:rPr>
          <w:u w:val="double"/>
          <w:lang w:val="en-IE"/>
        </w:rPr>
        <w:t xml:space="preserve">Cargnelutti </w:t>
      </w:r>
      <w:r w:rsidR="00757732" w:rsidRPr="00757732">
        <w:rPr>
          <w:i/>
          <w:iCs/>
          <w:u w:val="double"/>
          <w:lang w:val="en-IE"/>
        </w:rPr>
        <w:t>et al.,</w:t>
      </w:r>
      <w:r w:rsidR="00757732">
        <w:rPr>
          <w:u w:val="double"/>
          <w:lang w:val="en-IE"/>
        </w:rPr>
        <w:t xml:space="preserve"> </w:t>
      </w:r>
      <w:r w:rsidR="00757732" w:rsidRPr="00757732">
        <w:rPr>
          <w:u w:val="double"/>
          <w:lang w:val="en-IE"/>
        </w:rPr>
        <w:t>201</w:t>
      </w:r>
      <w:r w:rsidR="00481048">
        <w:rPr>
          <w:u w:val="double"/>
          <w:lang w:val="en-IE"/>
        </w:rPr>
        <w:t>4</w:t>
      </w:r>
      <w:r w:rsidR="00757732" w:rsidRPr="00757732">
        <w:rPr>
          <w:u w:val="double"/>
          <w:lang w:val="en-IE"/>
        </w:rPr>
        <w:t>; PANAFTOSA-OPS/OMS, 2019;</w:t>
      </w:r>
      <w:r w:rsidR="00757732">
        <w:rPr>
          <w:u w:val="double"/>
          <w:lang w:val="en-IE"/>
        </w:rPr>
        <w:t xml:space="preserve"> </w:t>
      </w:r>
      <w:r w:rsidRPr="00757732">
        <w:rPr>
          <w:u w:val="double"/>
          <w:lang w:val="en-IE"/>
        </w:rPr>
        <w:t xml:space="preserve">Rocha </w:t>
      </w:r>
      <w:r w:rsidRPr="00757732">
        <w:rPr>
          <w:i/>
          <w:iCs/>
          <w:u w:val="double"/>
          <w:lang w:val="en-IE"/>
        </w:rPr>
        <w:t>et al.,</w:t>
      </w:r>
      <w:r w:rsidRPr="00757732">
        <w:rPr>
          <w:u w:val="double"/>
          <w:lang w:val="en-IE"/>
        </w:rPr>
        <w:t xml:space="preserve"> 2020).</w:t>
      </w:r>
      <w:r w:rsidR="00481048">
        <w:rPr>
          <w:u w:val="double"/>
          <w:lang w:val="en-IE"/>
        </w:rPr>
        <w:t xml:space="preserve"> </w:t>
      </w:r>
    </w:p>
    <w:p w14:paraId="33BCBED1" w14:textId="7770B9D7" w:rsidR="00D826B8" w:rsidRPr="00417BEE" w:rsidRDefault="00D826B8" w:rsidP="0019658A">
      <w:pPr>
        <w:pStyle w:val="paraA0"/>
        <w:spacing w:after="200"/>
      </w:pPr>
      <w:r w:rsidRPr="00417BEE">
        <w:t xml:space="preserve">The mechanism of transmission of </w:t>
      </w:r>
      <w:r w:rsidR="00423F78" w:rsidRPr="00417BEE">
        <w:t xml:space="preserve">the </w:t>
      </w:r>
      <w:r w:rsidRPr="00417BEE">
        <w:t>virus is unclear. The</w:t>
      </w:r>
      <w:r w:rsidR="000B5E77" w:rsidRPr="00417BEE">
        <w:t xml:space="preserve"> </w:t>
      </w:r>
      <w:r w:rsidRPr="00417BEE">
        <w:t>virus</w:t>
      </w:r>
      <w:r w:rsidR="00EB3F7F" w:rsidRPr="00417BEE">
        <w:t>es</w:t>
      </w:r>
      <w:r w:rsidRPr="00417BEE">
        <w:t xml:space="preserve"> </w:t>
      </w:r>
      <w:r w:rsidR="00EB3F7F" w:rsidRPr="00417BEE">
        <w:t xml:space="preserve">have </w:t>
      </w:r>
      <w:r w:rsidRPr="00417BEE">
        <w:t>been isolated from sandflies, mosquitoes, and other insects</w:t>
      </w:r>
      <w:r w:rsidR="000B5E77" w:rsidRPr="00417BEE">
        <w:t xml:space="preserve"> </w:t>
      </w:r>
      <w:r w:rsidRPr="00417BEE">
        <w:t>(</w:t>
      </w:r>
      <w:r w:rsidR="00BB2B49" w:rsidRPr="00417BEE">
        <w:t xml:space="preserve">Comer </w:t>
      </w:r>
      <w:r w:rsidR="007747A9" w:rsidRPr="00417BEE">
        <w:rPr>
          <w:i/>
        </w:rPr>
        <w:t>et al</w:t>
      </w:r>
      <w:r w:rsidR="00BB2B49" w:rsidRPr="00417BEE">
        <w:t>., 1992;</w:t>
      </w:r>
      <w:r w:rsidRPr="00417BEE">
        <w:t xml:space="preserve"> </w:t>
      </w:r>
      <w:r w:rsidR="00BB2B49" w:rsidRPr="00417BEE">
        <w:t xml:space="preserve">Francy </w:t>
      </w:r>
      <w:r w:rsidR="007747A9" w:rsidRPr="00417BEE">
        <w:rPr>
          <w:i/>
        </w:rPr>
        <w:t>et al</w:t>
      </w:r>
      <w:r w:rsidR="00BB2B49" w:rsidRPr="00417BEE">
        <w:t>., 1988;</w:t>
      </w:r>
      <w:r w:rsidRPr="00417BEE">
        <w:t xml:space="preserve"> </w:t>
      </w:r>
      <w:r w:rsidR="00C20553" w:rsidRPr="00417BEE">
        <w:t>Mason, 1978</w:t>
      </w:r>
      <w:r w:rsidRPr="00417BEE">
        <w:t>).</w:t>
      </w:r>
      <w:r w:rsidR="00974137" w:rsidRPr="00417BEE">
        <w:t xml:space="preserve"> Experimental transmission</w:t>
      </w:r>
      <w:r w:rsidR="00AA001C" w:rsidRPr="00417BEE">
        <w:t xml:space="preserve"> of VS NJ has been demonstrated to occur from black flies (</w:t>
      </w:r>
      <w:r w:rsidR="00AA001C" w:rsidRPr="00417BEE">
        <w:rPr>
          <w:i/>
        </w:rPr>
        <w:t>Simulium vit</w:t>
      </w:r>
      <w:r w:rsidR="00FE12EF" w:rsidRPr="00417BEE">
        <w:rPr>
          <w:i/>
        </w:rPr>
        <w:t>t</w:t>
      </w:r>
      <w:r w:rsidR="00AA001C" w:rsidRPr="00417BEE">
        <w:rPr>
          <w:i/>
        </w:rPr>
        <w:t>atum</w:t>
      </w:r>
      <w:r w:rsidR="00AA001C" w:rsidRPr="00417BEE">
        <w:t>)</w:t>
      </w:r>
      <w:r w:rsidR="00FE12EF" w:rsidRPr="00417BEE">
        <w:t xml:space="preserve"> to domestic swine and cattle (</w:t>
      </w:r>
      <w:r w:rsidR="00C20553" w:rsidRPr="00417BEE">
        <w:t xml:space="preserve">Mead </w:t>
      </w:r>
      <w:r w:rsidR="007747A9" w:rsidRPr="00417BEE">
        <w:rPr>
          <w:i/>
        </w:rPr>
        <w:t>et al</w:t>
      </w:r>
      <w:r w:rsidR="00C20553" w:rsidRPr="00417BEE">
        <w:t>., 2004;</w:t>
      </w:r>
      <w:r w:rsidR="00FE12EF" w:rsidRPr="00417BEE">
        <w:t xml:space="preserve"> </w:t>
      </w:r>
      <w:r w:rsidR="00C20553" w:rsidRPr="00417BEE">
        <w:t>2009</w:t>
      </w:r>
      <w:r w:rsidR="00AA001C" w:rsidRPr="00417BEE">
        <w:t>)</w:t>
      </w:r>
      <w:r w:rsidR="00F0026D" w:rsidRPr="00417BEE">
        <w:t xml:space="preserve">. </w:t>
      </w:r>
      <w:r w:rsidR="0018209A" w:rsidRPr="00417BEE">
        <w:t>During t</w:t>
      </w:r>
      <w:r w:rsidRPr="00417BEE">
        <w:t xml:space="preserve">he 1982 epizootic in </w:t>
      </w:r>
      <w:r w:rsidR="00F175AA" w:rsidRPr="00417BEE">
        <w:t xml:space="preserve">the </w:t>
      </w:r>
      <w:r w:rsidRPr="00417BEE">
        <w:t>western USA</w:t>
      </w:r>
      <w:r w:rsidR="002D28F3" w:rsidRPr="00417BEE">
        <w:t>,</w:t>
      </w:r>
      <w:r w:rsidRPr="00417BEE">
        <w:t xml:space="preserve"> </w:t>
      </w:r>
      <w:r w:rsidR="0018209A" w:rsidRPr="00417BEE">
        <w:t xml:space="preserve">there </w:t>
      </w:r>
      <w:r w:rsidR="002D28F3" w:rsidRPr="00417BEE">
        <w:t>were</w:t>
      </w:r>
      <w:r w:rsidR="0018209A" w:rsidRPr="00417BEE">
        <w:t xml:space="preserve"> a number of cases where there was</w:t>
      </w:r>
      <w:r w:rsidRPr="00417BEE">
        <w:t xml:space="preserve"> direct transmission</w:t>
      </w:r>
      <w:r w:rsidR="0018209A" w:rsidRPr="00417BEE">
        <w:t xml:space="preserve"> from animal to animal</w:t>
      </w:r>
      <w:r w:rsidRPr="00417BEE">
        <w:t xml:space="preserve"> (</w:t>
      </w:r>
      <w:r w:rsidR="00EB3BB6" w:rsidRPr="00417BEE">
        <w:t>Sellers &amp; Maarouf, 1990</w:t>
      </w:r>
      <w:r w:rsidRPr="00417BEE">
        <w:t xml:space="preserve">). </w:t>
      </w:r>
      <w:r w:rsidR="00F175AA" w:rsidRPr="00417BEE">
        <w:t xml:space="preserve">VSV has historically been </w:t>
      </w:r>
      <w:r w:rsidRPr="00417BEE">
        <w:t>considered to be endemic in feral pigs on Ossabaw Island, Georgia</w:t>
      </w:r>
      <w:r w:rsidR="002A0243" w:rsidRPr="00417BEE">
        <w:t>, USA</w:t>
      </w:r>
      <w:r w:rsidRPr="00417BEE">
        <w:t xml:space="preserve"> (</w:t>
      </w:r>
      <w:r w:rsidR="00BB2B49" w:rsidRPr="00417BEE">
        <w:t>Boring &amp; Smith, 1962</w:t>
      </w:r>
      <w:r w:rsidRPr="00417BEE">
        <w:t>)</w:t>
      </w:r>
      <w:r w:rsidR="00F175AA" w:rsidRPr="00417BEE">
        <w:t xml:space="preserve">, but </w:t>
      </w:r>
      <w:r w:rsidR="00F94E50" w:rsidRPr="002575A5">
        <w:rPr>
          <w:u w:val="double"/>
        </w:rPr>
        <w:t>subsequently</w:t>
      </w:r>
      <w:r w:rsidR="00F94E50" w:rsidRPr="002575A5">
        <w:rPr>
          <w:strike/>
        </w:rPr>
        <w:t xml:space="preserve"> </w:t>
      </w:r>
      <w:r w:rsidR="00F175AA" w:rsidRPr="002575A5">
        <w:rPr>
          <w:strike/>
        </w:rPr>
        <w:t xml:space="preserve">recent evidence suggests it </w:t>
      </w:r>
      <w:r w:rsidR="00F175AA" w:rsidRPr="00417BEE">
        <w:t xml:space="preserve">may have disappeared from the island (Killmaster </w:t>
      </w:r>
      <w:r w:rsidR="00F175AA" w:rsidRPr="00417BEE">
        <w:rPr>
          <w:i/>
        </w:rPr>
        <w:t>et al</w:t>
      </w:r>
      <w:r w:rsidR="00F175AA" w:rsidRPr="00417BEE">
        <w:t>., 2011)</w:t>
      </w:r>
      <w:r w:rsidRPr="00417BEE">
        <w:t>.</w:t>
      </w:r>
    </w:p>
    <w:p w14:paraId="6AF134C2" w14:textId="7820A7BA" w:rsidR="00D826B8" w:rsidRPr="00417BEE" w:rsidRDefault="00D826B8" w:rsidP="002201E2">
      <w:pPr>
        <w:pStyle w:val="paraA0"/>
        <w:spacing w:after="440"/>
      </w:pPr>
      <w:r w:rsidRPr="00417BEE">
        <w:t>The incidence of disease can vary widely among affected herds. Usually 10–15% of the animals show clinical signs. Clinical cases are mainly seen in adult animals. Cattle and horses under 1</w:t>
      </w:r>
      <w:r w:rsidR="0018209A" w:rsidRPr="00417BEE">
        <w:t xml:space="preserve"> </w:t>
      </w:r>
      <w:r w:rsidRPr="00417BEE">
        <w:t>year of age are rarely affected. Mortality is close to zero in both species. However, high mortality rates in pigs affected by the NJ virus have been observed. Sick animals recover in about 2 weeks. The most common complications of economic importance are mastitis and loss of production in dairy herds (</w:t>
      </w:r>
      <w:r w:rsidR="00C20553" w:rsidRPr="00417BEE">
        <w:t xml:space="preserve">Lauerman </w:t>
      </w:r>
      <w:r w:rsidR="007747A9" w:rsidRPr="00417BEE">
        <w:rPr>
          <w:i/>
        </w:rPr>
        <w:t>et al</w:t>
      </w:r>
      <w:r w:rsidR="00C20553" w:rsidRPr="00417BEE">
        <w:t>., 1962</w:t>
      </w:r>
      <w:r w:rsidRPr="00417BEE">
        <w:t xml:space="preserve">). </w:t>
      </w:r>
      <w:r w:rsidR="00BA3FD1" w:rsidRPr="00417BEE">
        <w:t>Recent VSV outbreaks in the US</w:t>
      </w:r>
      <w:r w:rsidR="001E24B0" w:rsidRPr="00417BEE">
        <w:t xml:space="preserve">A </w:t>
      </w:r>
      <w:r w:rsidR="00BA3FD1" w:rsidRPr="00417BEE">
        <w:t>have been associated primarily with horses and the NJ serotype.</w:t>
      </w:r>
    </w:p>
    <w:p w14:paraId="4281F8B4" w14:textId="77777777" w:rsidR="00D826B8" w:rsidRPr="00417BEE" w:rsidRDefault="00ED237B" w:rsidP="0019658A">
      <w:pPr>
        <w:pStyle w:val="A0"/>
        <w:spacing w:after="200"/>
      </w:pPr>
      <w:r w:rsidRPr="00417BEE">
        <w:t>B</w:t>
      </w:r>
      <w:r w:rsidR="00D826B8" w:rsidRPr="00417BEE">
        <w:t>.</w:t>
      </w:r>
      <w:r w:rsidR="00B70C17" w:rsidRPr="00417BEE">
        <w:t xml:space="preserve"> </w:t>
      </w:r>
      <w:r w:rsidR="00D851DF" w:rsidRPr="00417BEE">
        <w:t xml:space="preserve"> </w:t>
      </w:r>
      <w:r w:rsidR="00D826B8" w:rsidRPr="00417BEE">
        <w:t>DIAGNOSTIC TECHNIQUES</w:t>
      </w:r>
    </w:p>
    <w:p w14:paraId="0F2EDF8B" w14:textId="47DCD69E" w:rsidR="00D826B8" w:rsidRPr="00417BEE" w:rsidRDefault="00D826B8" w:rsidP="00C24B99">
      <w:pPr>
        <w:pStyle w:val="paraA0"/>
        <w:spacing w:after="200"/>
      </w:pPr>
      <w:r w:rsidRPr="00417BEE">
        <w:t xml:space="preserve">VS cannot </w:t>
      </w:r>
      <w:r w:rsidR="00C01CE3" w:rsidRPr="00417BEE">
        <w:t xml:space="preserve">reliably </w:t>
      </w:r>
      <w:r w:rsidRPr="00417BEE">
        <w:t>be differentiated</w:t>
      </w:r>
      <w:r w:rsidR="007B6AB8" w:rsidRPr="00417BEE">
        <w:t xml:space="preserve"> </w:t>
      </w:r>
      <w:r w:rsidR="00EE0AB7" w:rsidRPr="00417BEE">
        <w:t xml:space="preserve">clinically </w:t>
      </w:r>
      <w:r w:rsidRPr="00417BEE">
        <w:t>from the other vesicular diseases</w:t>
      </w:r>
      <w:r w:rsidR="003F1B1C" w:rsidRPr="00417BEE">
        <w:t xml:space="preserve"> in the relevant susceptible species</w:t>
      </w:r>
      <w:r w:rsidRPr="00417BEE">
        <w:t>, such as FMD, vesicular exanthema</w:t>
      </w:r>
      <w:r w:rsidR="00263015" w:rsidRPr="00417BEE">
        <w:t xml:space="preserve"> of swine</w:t>
      </w:r>
      <w:r w:rsidRPr="00417BEE">
        <w:t xml:space="preserve"> (VE</w:t>
      </w:r>
      <w:r w:rsidR="00263015" w:rsidRPr="00417BEE">
        <w:t>S</w:t>
      </w:r>
      <w:r w:rsidRPr="00417BEE">
        <w:t>)</w:t>
      </w:r>
      <w:r w:rsidR="0009027A" w:rsidRPr="00417BEE">
        <w:t>,</w:t>
      </w:r>
      <w:r w:rsidRPr="00417BEE">
        <w:t xml:space="preserve"> and</w:t>
      </w:r>
      <w:r w:rsidR="0009027A" w:rsidRPr="00417BEE">
        <w:t xml:space="preserve"> swine vesicular disease (SVD)</w:t>
      </w:r>
      <w:r w:rsidRPr="00417BEE">
        <w:t>. An early laboratory diagnosis of any suspected VS case is</w:t>
      </w:r>
      <w:r w:rsidR="0018209A" w:rsidRPr="00417BEE">
        <w:t xml:space="preserve"> therefore a matter of urgency.</w:t>
      </w:r>
    </w:p>
    <w:p w14:paraId="14429C49" w14:textId="3E8CCA3F" w:rsidR="00D826B8" w:rsidRPr="00417BEE" w:rsidRDefault="00D826B8" w:rsidP="00F109C0">
      <w:pPr>
        <w:pStyle w:val="paraA0"/>
        <w:spacing w:after="200"/>
      </w:pPr>
      <w:r w:rsidRPr="00417BEE">
        <w:t>The sample collection and technology used for the diagnosis of VS must be in concordance with the methodology used for the diagnosis of FMD</w:t>
      </w:r>
      <w:r w:rsidR="004409B1" w:rsidRPr="00417BEE">
        <w:t xml:space="preserve"> (chapter </w:t>
      </w:r>
      <w:r w:rsidR="0036124D">
        <w:t>3</w:t>
      </w:r>
      <w:r w:rsidR="004409B1" w:rsidRPr="00417BEE">
        <w:t>.1.</w:t>
      </w:r>
      <w:r w:rsidR="004E51ED">
        <w:t>8</w:t>
      </w:r>
      <w:r w:rsidR="004409B1" w:rsidRPr="00417BEE">
        <w:t>)</w:t>
      </w:r>
      <w:r w:rsidRPr="00417BEE">
        <w:t>, VE</w:t>
      </w:r>
      <w:r w:rsidR="00263015" w:rsidRPr="00417BEE">
        <w:t>S</w:t>
      </w:r>
      <w:r w:rsidRPr="00417BEE">
        <w:t xml:space="preserve"> and SVD, in order to facilitate the differential diagnosis of these vesicular diseases.</w:t>
      </w:r>
      <w:r w:rsidR="00EB77B1" w:rsidRPr="00417BEE">
        <w:t xml:space="preserve"> </w:t>
      </w:r>
      <w:r w:rsidR="00EB77B1" w:rsidRPr="00A14504">
        <w:rPr>
          <w:strike/>
        </w:rPr>
        <w:t>Note: VS virus</w:t>
      </w:r>
      <w:r w:rsidR="007B6AB8" w:rsidRPr="00A14504">
        <w:rPr>
          <w:strike/>
        </w:rPr>
        <w:t>es</w:t>
      </w:r>
      <w:r w:rsidR="00EB77B1" w:rsidRPr="00A14504">
        <w:rPr>
          <w:strike/>
        </w:rPr>
        <w:t xml:space="preserve"> </w:t>
      </w:r>
      <w:r w:rsidR="007B6AB8" w:rsidRPr="00A14504">
        <w:rPr>
          <w:strike/>
        </w:rPr>
        <w:t>can be</w:t>
      </w:r>
      <w:r w:rsidR="00EB77B1" w:rsidRPr="00A14504">
        <w:rPr>
          <w:strike/>
        </w:rPr>
        <w:t xml:space="preserve"> human pathogen</w:t>
      </w:r>
      <w:r w:rsidR="007B6AB8" w:rsidRPr="00A14504">
        <w:rPr>
          <w:strike/>
        </w:rPr>
        <w:t>s</w:t>
      </w:r>
      <w:r w:rsidR="00EB77B1" w:rsidRPr="00A14504">
        <w:rPr>
          <w:strike/>
        </w:rPr>
        <w:t xml:space="preserve"> and appropriate precautions should be taken when working with potentially infected tissues or virus (see Chapter </w:t>
      </w:r>
      <w:r w:rsidR="00C24B99" w:rsidRPr="00A14504">
        <w:rPr>
          <w:strike/>
        </w:rPr>
        <w:t>1</w:t>
      </w:r>
      <w:r w:rsidR="00EB77B1" w:rsidRPr="00A14504">
        <w:rPr>
          <w:strike/>
        </w:rPr>
        <w:t>.1.</w:t>
      </w:r>
      <w:r w:rsidR="004E51ED" w:rsidRPr="00A14504">
        <w:rPr>
          <w:strike/>
        </w:rPr>
        <w:t>4</w:t>
      </w:r>
      <w:r w:rsidR="006016A9" w:rsidRPr="00A14504">
        <w:rPr>
          <w:strike/>
        </w:rPr>
        <w:t xml:space="preserve"> </w:t>
      </w:r>
      <w:r w:rsidR="004E51ED" w:rsidRPr="00A14504">
        <w:rPr>
          <w:i/>
          <w:strike/>
          <w:lang w:val="en-IE"/>
        </w:rPr>
        <w:t xml:space="preserve">Biosafety and biosecurity: </w:t>
      </w:r>
      <w:r w:rsidR="004E51ED" w:rsidRPr="00A14504">
        <w:rPr>
          <w:i/>
          <w:iCs/>
          <w:strike/>
        </w:rPr>
        <w:t>Standard for managing biological risk in the veterinary laboratory and animal facilities</w:t>
      </w:r>
      <w:r w:rsidR="00EB77B1" w:rsidRPr="00A14504">
        <w:rPr>
          <w:strike/>
        </w:rPr>
        <w:t>).</w:t>
      </w:r>
    </w:p>
    <w:p w14:paraId="5A724641" w14:textId="621FFBD5" w:rsidR="00D826B8" w:rsidRDefault="00D826B8" w:rsidP="004409B1">
      <w:pPr>
        <w:pStyle w:val="paraA0"/>
        <w:spacing w:after="200"/>
      </w:pPr>
      <w:r w:rsidRPr="00417BEE">
        <w:t>Vesicle fluid, epithelium covering unruptured vesicles</w:t>
      </w:r>
      <w:r w:rsidR="00EB77B1" w:rsidRPr="00417BEE">
        <w:t xml:space="preserve">, </w:t>
      </w:r>
      <w:r w:rsidRPr="00417BEE">
        <w:t>epithelial flaps of freshly ruptured vesicles</w:t>
      </w:r>
      <w:r w:rsidR="009A35F1" w:rsidRPr="00417BEE">
        <w:t>, or swabs of the ruptured vesicles</w:t>
      </w:r>
      <w:r w:rsidRPr="00417BEE">
        <w:t xml:space="preserve"> are the best diagnostic samples. These samples can be collected from mouth lesions, as well as from the feet and any other sites of vesicle development. It is recommended that animals should be sedated </w:t>
      </w:r>
      <w:r w:rsidRPr="00417BEE">
        <w:lastRenderedPageBreak/>
        <w:t xml:space="preserve">before samples are collected to avoid injury to helpers and for reasons of animal welfare. </w:t>
      </w:r>
      <w:r w:rsidR="007716E6" w:rsidRPr="00417BEE">
        <w:t xml:space="preserve">Samples from </w:t>
      </w:r>
      <w:r w:rsidR="002201E2" w:rsidRPr="00417BEE">
        <w:t xml:space="preserve">all species </w:t>
      </w:r>
      <w:r w:rsidRPr="00417BEE">
        <w:t xml:space="preserve">should be placed in </w:t>
      </w:r>
      <w:r w:rsidR="007B6AB8" w:rsidRPr="00417BEE">
        <w:t xml:space="preserve">containers </w:t>
      </w:r>
      <w:r w:rsidRPr="00417BEE">
        <w:t>of Tris-buffered tryptose broth with phenol red, pH</w:t>
      </w:r>
      <w:r w:rsidR="000F4573" w:rsidRPr="00417BEE">
        <w:t> </w:t>
      </w:r>
      <w:r w:rsidRPr="00417BEE">
        <w:t>7.6</w:t>
      </w:r>
      <w:r w:rsidR="00D450EA">
        <w:t xml:space="preserve"> </w:t>
      </w:r>
      <w:r w:rsidR="00D450EA" w:rsidRPr="00757732">
        <w:rPr>
          <w:u w:val="double"/>
        </w:rPr>
        <w:t xml:space="preserve">or </w:t>
      </w:r>
      <w:r w:rsidR="00757732" w:rsidRPr="00757732">
        <w:rPr>
          <w:u w:val="double"/>
        </w:rPr>
        <w:t>minim</w:t>
      </w:r>
      <w:r w:rsidR="00CC4674">
        <w:rPr>
          <w:u w:val="double"/>
        </w:rPr>
        <w:t>al</w:t>
      </w:r>
      <w:r w:rsidR="00757732" w:rsidRPr="00757732">
        <w:rPr>
          <w:u w:val="double"/>
        </w:rPr>
        <w:t xml:space="preserve"> essential medium </w:t>
      </w:r>
      <w:r w:rsidR="00D450EA" w:rsidRPr="00757732">
        <w:rPr>
          <w:u w:val="double"/>
        </w:rPr>
        <w:t>(MEM), pH 7</w:t>
      </w:r>
      <w:r w:rsidR="00CF6954">
        <w:rPr>
          <w:u w:val="double"/>
        </w:rPr>
        <w:t>.</w:t>
      </w:r>
      <w:r w:rsidR="00D450EA" w:rsidRPr="00757732">
        <w:rPr>
          <w:u w:val="double"/>
        </w:rPr>
        <w:t>2</w:t>
      </w:r>
      <w:r w:rsidR="00CC4674" w:rsidRPr="00CC4674">
        <w:rPr>
          <w:u w:val="double"/>
        </w:rPr>
        <w:t>–</w:t>
      </w:r>
      <w:r w:rsidR="00D450EA" w:rsidRPr="00757732">
        <w:rPr>
          <w:u w:val="double"/>
        </w:rPr>
        <w:t>7</w:t>
      </w:r>
      <w:r w:rsidR="00CF6954">
        <w:rPr>
          <w:u w:val="double"/>
        </w:rPr>
        <w:t>.</w:t>
      </w:r>
      <w:r w:rsidR="00D450EA" w:rsidRPr="00757732">
        <w:rPr>
          <w:u w:val="double"/>
        </w:rPr>
        <w:t>6 (tissue/fluid)</w:t>
      </w:r>
      <w:r w:rsidR="00D450EA">
        <w:t>.</w:t>
      </w:r>
      <w:r w:rsidRPr="00417BEE">
        <w:t xml:space="preserve"> </w:t>
      </w:r>
      <w:r w:rsidR="00EB77B1" w:rsidRPr="00757732">
        <w:rPr>
          <w:strike/>
        </w:rPr>
        <w:t xml:space="preserve">If complement fixation (CF) is to be carried out for antigen detection, </w:t>
      </w:r>
      <w:r w:rsidR="00D450EA" w:rsidRPr="00757732">
        <w:rPr>
          <w:u w:val="double"/>
        </w:rPr>
        <w:t>For tissue</w:t>
      </w:r>
      <w:r w:rsidR="00CC4674">
        <w:rPr>
          <w:u w:val="double"/>
        </w:rPr>
        <w:t>s,</w:t>
      </w:r>
      <w:r w:rsidR="00D450EA">
        <w:t xml:space="preserve"> </w:t>
      </w:r>
      <w:r w:rsidR="00EB77B1" w:rsidRPr="00417BEE">
        <w:t>sample</w:t>
      </w:r>
      <w:r w:rsidR="00757101" w:rsidRPr="00417BEE">
        <w:t>s from all species</w:t>
      </w:r>
      <w:r w:rsidR="006E4D14" w:rsidRPr="00417BEE">
        <w:t xml:space="preserve"> </w:t>
      </w:r>
      <w:r w:rsidR="00EB77B1" w:rsidRPr="00417BEE">
        <w:t>can be collected in glycerol/phosphate buffer</w:t>
      </w:r>
      <w:r w:rsidR="00856AA7" w:rsidRPr="00856AA7">
        <w:t xml:space="preserve"> </w:t>
      </w:r>
      <w:r w:rsidR="00856AA7" w:rsidRPr="00757732">
        <w:rPr>
          <w:u w:val="double"/>
        </w:rPr>
        <w:t>with phenol red</w:t>
      </w:r>
      <w:r w:rsidR="00EB77B1" w:rsidRPr="00417BEE">
        <w:t xml:space="preserve"> </w:t>
      </w:r>
      <w:r w:rsidR="000F4573" w:rsidRPr="00417BEE">
        <w:t>pH </w:t>
      </w:r>
      <w:r w:rsidR="00EB77B1" w:rsidRPr="00417BEE">
        <w:t xml:space="preserve">7.2–7.6. (Note: glycerol is toxic to </w:t>
      </w:r>
      <w:r w:rsidR="00CF7BB6" w:rsidRPr="00417BEE">
        <w:t xml:space="preserve">cell cultures </w:t>
      </w:r>
      <w:r w:rsidR="00EB77B1" w:rsidRPr="00417BEE">
        <w:t>and decreases the sensitivity of virus isolation</w:t>
      </w:r>
      <w:r w:rsidR="00CC4674" w:rsidRPr="00757732">
        <w:rPr>
          <w:u w:val="double"/>
        </w:rPr>
        <w:t>.</w:t>
      </w:r>
      <w:r w:rsidR="00AB55EC" w:rsidRPr="00757732">
        <w:rPr>
          <w:u w:val="double"/>
        </w:rPr>
        <w:t>)</w:t>
      </w:r>
      <w:r w:rsidR="00EB77B1" w:rsidRPr="00417BEE">
        <w:t xml:space="preserve"> </w:t>
      </w:r>
      <w:r w:rsidR="00EB77B1" w:rsidRPr="00757732">
        <w:rPr>
          <w:strike/>
        </w:rPr>
        <w:t>it is therefore only recommended for collection of samples for CF</w:t>
      </w:r>
      <w:r w:rsidR="00FE6913" w:rsidRPr="00757732">
        <w:rPr>
          <w:strike/>
        </w:rPr>
        <w:t>T</w:t>
      </w:r>
      <w:r w:rsidR="00EB77B1" w:rsidRPr="00757732">
        <w:rPr>
          <w:strike/>
        </w:rPr>
        <w:t xml:space="preserve">.) </w:t>
      </w:r>
      <w:r w:rsidR="00EB77B1" w:rsidRPr="00417BEE">
        <w:t xml:space="preserve">Samples should be </w:t>
      </w:r>
      <w:r w:rsidR="00213DD7" w:rsidRPr="00417BEE">
        <w:t xml:space="preserve">sent to the laboratory on ice packs </w:t>
      </w:r>
      <w:r w:rsidR="00EB77B1" w:rsidRPr="00417BEE">
        <w:t>if they can arrive at the laboratory within 48</w:t>
      </w:r>
      <w:r w:rsidR="000F4573" w:rsidRPr="00417BEE">
        <w:t> </w:t>
      </w:r>
      <w:r w:rsidR="00EB77B1" w:rsidRPr="00417BEE">
        <w:t xml:space="preserve">hours after collection. If samples </w:t>
      </w:r>
      <w:r w:rsidR="00213DD7" w:rsidRPr="00417BEE">
        <w:t xml:space="preserve">require more than 48 hours transit </w:t>
      </w:r>
      <w:r w:rsidR="00CC4674" w:rsidRPr="00417BEE">
        <w:t>time,</w:t>
      </w:r>
      <w:r w:rsidR="00213DD7" w:rsidRPr="00417BEE">
        <w:t xml:space="preserve"> they should be</w:t>
      </w:r>
      <w:r w:rsidR="00EB77B1" w:rsidRPr="00417BEE">
        <w:t xml:space="preserve"> sent frozen </w:t>
      </w:r>
      <w:r w:rsidR="00213DD7" w:rsidRPr="00417BEE">
        <w:t xml:space="preserve">on </w:t>
      </w:r>
      <w:r w:rsidR="00EB77B1" w:rsidRPr="00417BEE">
        <w:t>dry ice</w:t>
      </w:r>
      <w:r w:rsidR="00213DD7" w:rsidRPr="00417BEE">
        <w:t xml:space="preserve"> with</w:t>
      </w:r>
      <w:r w:rsidR="00EB77B1" w:rsidRPr="00417BEE">
        <w:t xml:space="preserve"> precautions to </w:t>
      </w:r>
      <w:r w:rsidR="007D5C1A" w:rsidRPr="00417BEE">
        <w:t xml:space="preserve">protect the sample from </w:t>
      </w:r>
      <w:r w:rsidR="00213DD7" w:rsidRPr="00417BEE">
        <w:t xml:space="preserve">direct </w:t>
      </w:r>
      <w:r w:rsidR="007D5C1A" w:rsidRPr="00417BEE">
        <w:t xml:space="preserve">contact with </w:t>
      </w:r>
      <w:r w:rsidR="00EB77B1" w:rsidRPr="00417BEE">
        <w:t>CO</w:t>
      </w:r>
      <w:r w:rsidR="00EB77B1" w:rsidRPr="00B15DE8">
        <w:rPr>
          <w:vertAlign w:val="subscript"/>
        </w:rPr>
        <w:t>2</w:t>
      </w:r>
      <w:r w:rsidR="00111D66" w:rsidRPr="00417BEE">
        <w:t xml:space="preserve">. </w:t>
      </w:r>
      <w:r w:rsidR="00EB77B1" w:rsidRPr="00417BEE">
        <w:t xml:space="preserve">There are special packaging requirements for shipping samples with dry ice </w:t>
      </w:r>
      <w:r w:rsidR="006016A9" w:rsidRPr="00417BEE">
        <w:t>(</w:t>
      </w:r>
      <w:r w:rsidR="00EB77B1" w:rsidRPr="00417BEE">
        <w:t xml:space="preserve">see Chapter </w:t>
      </w:r>
      <w:r w:rsidR="00A85148" w:rsidRPr="00417BEE">
        <w:t>1</w:t>
      </w:r>
      <w:r w:rsidR="00EB77B1" w:rsidRPr="00417BEE">
        <w:t>.1.</w:t>
      </w:r>
      <w:r w:rsidR="004E51ED">
        <w:t>2</w:t>
      </w:r>
      <w:r w:rsidR="00EB77B1" w:rsidRPr="00417BEE">
        <w:t xml:space="preserve"> </w:t>
      </w:r>
      <w:r w:rsidR="004E51ED" w:rsidRPr="004E51ED">
        <w:rPr>
          <w:i/>
          <w:iCs/>
        </w:rPr>
        <w:t>Collection, submission and storage of diagnostic specimens</w:t>
      </w:r>
      <w:r w:rsidR="00EB77B1" w:rsidRPr="00417BEE">
        <w:t xml:space="preserve"> for further information on shipping of diagnostic samples</w:t>
      </w:r>
      <w:r w:rsidR="006016A9" w:rsidRPr="00417BEE">
        <w:t>)</w:t>
      </w:r>
      <w:r w:rsidR="00EB77B1" w:rsidRPr="00417BEE">
        <w:t>.</w:t>
      </w:r>
      <w:r w:rsidR="00692795" w:rsidRPr="00417BEE">
        <w:t xml:space="preserve"> </w:t>
      </w:r>
      <w:r w:rsidR="00BA3FD1" w:rsidRPr="00417BEE">
        <w:t xml:space="preserve">Alternatively, samples can be shipped with commercially available freezer packs that have been frozen in an ultralow freezer </w:t>
      </w:r>
      <w:r w:rsidR="007C771B">
        <w:br/>
      </w:r>
      <w:r w:rsidR="00BA3FD1" w:rsidRPr="00417BEE">
        <w:t>(</w:t>
      </w:r>
      <w:r w:rsidR="001E24B0" w:rsidRPr="00417BEE">
        <w:t>–</w:t>
      </w:r>
      <w:r w:rsidR="00BA3FD1" w:rsidRPr="00417BEE">
        <w:t>60</w:t>
      </w:r>
      <w:r w:rsidR="001E24B0" w:rsidRPr="00417BEE">
        <w:t>°</w:t>
      </w:r>
      <w:r w:rsidR="00BA3FD1" w:rsidRPr="00417BEE">
        <w:t>C or colder)</w:t>
      </w:r>
      <w:r w:rsidR="00B330D3" w:rsidRPr="00417BEE">
        <w:t xml:space="preserve"> if shipping time is of short duration</w:t>
      </w:r>
      <w:r w:rsidR="00BA3FD1" w:rsidRPr="00417BEE">
        <w:t>.</w:t>
      </w:r>
    </w:p>
    <w:p w14:paraId="37636A59" w14:textId="6CC2FD49" w:rsidR="00760544" w:rsidRPr="00757732" w:rsidRDefault="00760544" w:rsidP="004409B1">
      <w:pPr>
        <w:pStyle w:val="paraA0"/>
        <w:spacing w:after="200"/>
        <w:rPr>
          <w:u w:val="double"/>
        </w:rPr>
      </w:pPr>
      <w:r w:rsidRPr="00757732">
        <w:rPr>
          <w:u w:val="double"/>
        </w:rPr>
        <w:t xml:space="preserve">Considering the need for differential diagnosis with </w:t>
      </w:r>
      <w:r w:rsidR="00CC4674">
        <w:rPr>
          <w:u w:val="double"/>
        </w:rPr>
        <w:t>FMD</w:t>
      </w:r>
      <w:r w:rsidRPr="00757732">
        <w:rPr>
          <w:u w:val="double"/>
        </w:rPr>
        <w:t xml:space="preserve">, if it is not possible </w:t>
      </w:r>
      <w:r w:rsidR="00CC4674">
        <w:rPr>
          <w:u w:val="double"/>
        </w:rPr>
        <w:t xml:space="preserve">to </w:t>
      </w:r>
      <w:r w:rsidRPr="00757732">
        <w:rPr>
          <w:u w:val="double"/>
        </w:rPr>
        <w:t xml:space="preserve">collect epithelium from unruptured or </w:t>
      </w:r>
      <w:r w:rsidRPr="009015FD">
        <w:rPr>
          <w:u w:val="double"/>
        </w:rPr>
        <w:t>freshly ruptured vesicles or vesicular fluid, collect esophageal/pharyngeal (OP) fluid samples taken by probang cup in ruminants</w:t>
      </w:r>
      <w:r w:rsidR="009015FD" w:rsidRPr="009015FD">
        <w:rPr>
          <w:u w:val="double"/>
        </w:rPr>
        <w:t>,</w:t>
      </w:r>
      <w:r w:rsidRPr="009015FD">
        <w:rPr>
          <w:u w:val="double"/>
        </w:rPr>
        <w:t xml:space="preserve"> an alternative source of virus. Mix probang fluid with </w:t>
      </w:r>
      <w:r w:rsidR="009015FD" w:rsidRPr="009015FD">
        <w:rPr>
          <w:u w:val="double"/>
        </w:rPr>
        <w:t xml:space="preserve">an </w:t>
      </w:r>
      <w:r w:rsidRPr="009015FD">
        <w:rPr>
          <w:u w:val="double"/>
        </w:rPr>
        <w:t>equal volume of transport fluid</w:t>
      </w:r>
      <w:r w:rsidR="00CC4674" w:rsidRPr="009015FD">
        <w:rPr>
          <w:u w:val="double"/>
        </w:rPr>
        <w:t xml:space="preserve">, e.g. </w:t>
      </w:r>
      <w:r w:rsidRPr="009015FD">
        <w:rPr>
          <w:u w:val="double"/>
        </w:rPr>
        <w:t xml:space="preserve">MEM, </w:t>
      </w:r>
      <w:r w:rsidR="00D56519" w:rsidRPr="009015FD">
        <w:rPr>
          <w:u w:val="double"/>
        </w:rPr>
        <w:t xml:space="preserve">Tris-buffered tryptose broth </w:t>
      </w:r>
      <w:r w:rsidRPr="009015FD">
        <w:rPr>
          <w:u w:val="double"/>
        </w:rPr>
        <w:t>or 0.08 M phosphate buffer (with phenol red and antibiotics [1000</w:t>
      </w:r>
      <w:r w:rsidR="00D56519" w:rsidRPr="009015FD">
        <w:rPr>
          <w:u w:val="double"/>
        </w:rPr>
        <w:t> </w:t>
      </w:r>
      <w:r w:rsidRPr="009015FD">
        <w:rPr>
          <w:u w:val="double"/>
        </w:rPr>
        <w:t>units/ml penicillin, 100</w:t>
      </w:r>
      <w:r w:rsidR="00CC4674" w:rsidRPr="009015FD">
        <w:rPr>
          <w:u w:val="double"/>
        </w:rPr>
        <w:t> </w:t>
      </w:r>
      <w:r w:rsidRPr="009015FD">
        <w:rPr>
          <w:u w:val="double"/>
        </w:rPr>
        <w:t>units/ml mycostatin, 100 units/ml neomycin, and 50 units/ml polymyxin], and adjusted to pH 7.2</w:t>
      </w:r>
      <w:r w:rsidR="00CF6954" w:rsidRPr="009015FD">
        <w:rPr>
          <w:u w:val="double"/>
        </w:rPr>
        <w:t>–</w:t>
      </w:r>
      <w:r w:rsidRPr="009015FD">
        <w:rPr>
          <w:u w:val="double"/>
        </w:rPr>
        <w:t>7</w:t>
      </w:r>
      <w:r w:rsidR="00CF6954" w:rsidRPr="009015FD">
        <w:rPr>
          <w:u w:val="double"/>
        </w:rPr>
        <w:t>.</w:t>
      </w:r>
      <w:r w:rsidRPr="009015FD">
        <w:rPr>
          <w:u w:val="double"/>
        </w:rPr>
        <w:t xml:space="preserve">6). </w:t>
      </w:r>
      <w:r w:rsidR="009015FD">
        <w:rPr>
          <w:u w:val="double"/>
        </w:rPr>
        <w:t>The</w:t>
      </w:r>
      <w:r w:rsidRPr="009015FD">
        <w:rPr>
          <w:u w:val="double"/>
        </w:rPr>
        <w:t xml:space="preserve"> container </w:t>
      </w:r>
      <w:r w:rsidR="009015FD">
        <w:rPr>
          <w:u w:val="double"/>
        </w:rPr>
        <w:t xml:space="preserve">should be </w:t>
      </w:r>
      <w:r w:rsidRPr="009015FD">
        <w:rPr>
          <w:u w:val="double"/>
        </w:rPr>
        <w:t>capable</w:t>
      </w:r>
      <w:r w:rsidRPr="00757732">
        <w:rPr>
          <w:u w:val="double"/>
        </w:rPr>
        <w:t xml:space="preserve"> of withstanding freezing above dry ice (solid carbon dioxide) or liquid nitrogen (Kitching &amp; Donaldson, 1987).</w:t>
      </w:r>
    </w:p>
    <w:p w14:paraId="6CFE0C1E" w14:textId="1F916713" w:rsidR="00D826B8" w:rsidRPr="00757732" w:rsidRDefault="00D826B8" w:rsidP="008C1EBC">
      <w:pPr>
        <w:pStyle w:val="paraA0"/>
        <w:rPr>
          <w:strike/>
        </w:rPr>
      </w:pPr>
      <w:r w:rsidRPr="00757732">
        <w:rPr>
          <w:strike/>
        </w:rPr>
        <w:t xml:space="preserve">When epithelial tissue is not available from cattle, samples of oesophageal–pharyngeal (OP) fluid can be collected by means of a probang (sputum) cup. In pigs, throat swabs can be taken for submission to a laboratory for virus isolation. This material should be sent to the laboratory </w:t>
      </w:r>
      <w:r w:rsidR="00EB77B1" w:rsidRPr="00757732">
        <w:rPr>
          <w:strike/>
        </w:rPr>
        <w:t xml:space="preserve">refrigerated </w:t>
      </w:r>
      <w:r w:rsidRPr="00757732">
        <w:rPr>
          <w:strike/>
        </w:rPr>
        <w:t>in Tris-buffered tryptose broth.</w:t>
      </w:r>
      <w:r w:rsidR="00EB77B1" w:rsidRPr="00757732">
        <w:rPr>
          <w:strike/>
        </w:rPr>
        <w:t xml:space="preserve"> If the samples will be in shipment </w:t>
      </w:r>
      <w:r w:rsidR="006016A9" w:rsidRPr="00757732">
        <w:rPr>
          <w:strike/>
        </w:rPr>
        <w:t xml:space="preserve">for </w:t>
      </w:r>
      <w:r w:rsidR="00EB77B1" w:rsidRPr="00757732">
        <w:rPr>
          <w:strike/>
        </w:rPr>
        <w:t xml:space="preserve">more than 48 hours after collection, they should be sent frozen with dry ice as described previously. Probang samples for isolation of virus should not be treated with solvents such as chloroform. Virus can be isolated from oral and nasal </w:t>
      </w:r>
      <w:r w:rsidR="00C27B17" w:rsidRPr="00757732">
        <w:rPr>
          <w:strike/>
        </w:rPr>
        <w:t xml:space="preserve">specimens </w:t>
      </w:r>
      <w:r w:rsidR="00EB77B1" w:rsidRPr="00757732">
        <w:rPr>
          <w:strike/>
        </w:rPr>
        <w:t>up to 7 days post-infection</w:t>
      </w:r>
      <w:r w:rsidRPr="00757732">
        <w:rPr>
          <w:strike/>
        </w:rPr>
        <w:t>.</w:t>
      </w:r>
    </w:p>
    <w:p w14:paraId="6923D94D" w14:textId="0CE0EED3" w:rsidR="00D826B8" w:rsidRPr="00417BEE" w:rsidRDefault="00D826B8" w:rsidP="008C1EBC">
      <w:pPr>
        <w:pStyle w:val="paraA0"/>
      </w:pPr>
      <w:r w:rsidRPr="00417BEE">
        <w:t>When it is not possible to collect samples for identificat</w:t>
      </w:r>
      <w:r w:rsidR="0019658A">
        <w:t>ion of the agent, serum samples</w:t>
      </w:r>
      <w:r w:rsidRPr="00417BEE">
        <w:t xml:space="preserve"> can be used for detecting and quantifying specific antibodies. Pair</w:t>
      </w:r>
      <w:r w:rsidR="007D5C1A" w:rsidRPr="00417BEE">
        <w:t>ed</w:t>
      </w:r>
      <w:r w:rsidRPr="00417BEE">
        <w:t xml:space="preserve"> sera from the same animals, collected </w:t>
      </w:r>
      <w:r w:rsidR="009A35F1" w:rsidRPr="00417BEE">
        <w:t>1</w:t>
      </w:r>
      <w:r w:rsidR="00C24B99" w:rsidRPr="00417BEE">
        <w:t>–</w:t>
      </w:r>
      <w:r w:rsidRPr="00417BEE">
        <w:t>2 weeks apart,</w:t>
      </w:r>
      <w:r w:rsidR="00513500" w:rsidRPr="00417BEE">
        <w:t xml:space="preserve"> </w:t>
      </w:r>
      <w:r w:rsidR="00332040" w:rsidRPr="00417BEE">
        <w:t>may be needed depending on the serologic</w:t>
      </w:r>
      <w:r w:rsidR="00513500" w:rsidRPr="00417BEE">
        <w:t>al</w:t>
      </w:r>
      <w:r w:rsidR="00332040" w:rsidRPr="00417BEE">
        <w:t xml:space="preserve"> assay being used</w:t>
      </w:r>
      <w:r w:rsidR="002522CA" w:rsidRPr="00417BEE">
        <w:t xml:space="preserve"> and prior history of VSV in the </w:t>
      </w:r>
      <w:r w:rsidR="002522CA" w:rsidRPr="00757732">
        <w:rPr>
          <w:strike/>
        </w:rPr>
        <w:t>country</w:t>
      </w:r>
      <w:r w:rsidR="00760544" w:rsidRPr="00757732">
        <w:rPr>
          <w:strike/>
        </w:rPr>
        <w:t xml:space="preserve"> </w:t>
      </w:r>
      <w:r w:rsidR="00760544" w:rsidRPr="00757732">
        <w:rPr>
          <w:u w:val="double"/>
        </w:rPr>
        <w:t>animals</w:t>
      </w:r>
      <w:r w:rsidRPr="00417BEE">
        <w:t>.</w:t>
      </w:r>
    </w:p>
    <w:p w14:paraId="1F54494C" w14:textId="26CF3771" w:rsidR="00D826B8" w:rsidRPr="00417BEE" w:rsidRDefault="00D826B8" w:rsidP="005B6F48">
      <w:pPr>
        <w:pStyle w:val="paraA0"/>
        <w:spacing w:after="280"/>
      </w:pPr>
      <w:r w:rsidRPr="00417BEE">
        <w:t xml:space="preserve">Specific reagents for VS </w:t>
      </w:r>
      <w:r w:rsidR="00C27B17" w:rsidRPr="00417BEE">
        <w:t xml:space="preserve">diagnosis </w:t>
      </w:r>
      <w:r w:rsidRPr="00417BEE">
        <w:t xml:space="preserve">are not commercially available and each laboratory </w:t>
      </w:r>
      <w:r w:rsidR="0018209A" w:rsidRPr="00417BEE">
        <w:t xml:space="preserve">must </w:t>
      </w:r>
      <w:r w:rsidRPr="00417BEE">
        <w:t>produce its own</w:t>
      </w:r>
      <w:r w:rsidR="0018209A" w:rsidRPr="00417BEE">
        <w:t xml:space="preserve"> or obtain them from a Reference Laboratory</w:t>
      </w:r>
      <w:r w:rsidRPr="00417BEE">
        <w:t xml:space="preserve">. The </w:t>
      </w:r>
      <w:r w:rsidRPr="00A14504">
        <w:rPr>
          <w:strike/>
        </w:rPr>
        <w:t xml:space="preserve">two </w:t>
      </w:r>
      <w:r w:rsidRPr="00417BEE">
        <w:t xml:space="preserve">OIE Reference Laboratories for vesicular stomatitis (see Table given in </w:t>
      </w:r>
      <w:r w:rsidR="002967D3" w:rsidRPr="00417BEE">
        <w:t>Part 4</w:t>
      </w:r>
      <w:r w:rsidR="00E1696A" w:rsidRPr="00417BEE">
        <w:t xml:space="preserve"> </w:t>
      </w:r>
      <w:r w:rsidRPr="00417BEE">
        <w:t xml:space="preserve">of this </w:t>
      </w:r>
      <w:r w:rsidR="00E1696A" w:rsidRPr="00417BEE">
        <w:rPr>
          <w:i/>
          <w:iCs/>
        </w:rPr>
        <w:t>Terrestrial</w:t>
      </w:r>
      <w:r w:rsidR="00E1696A" w:rsidRPr="00417BEE">
        <w:t xml:space="preserve"> </w:t>
      </w:r>
      <w:r w:rsidRPr="00417BEE">
        <w:rPr>
          <w:i/>
        </w:rPr>
        <w:t>Manual</w:t>
      </w:r>
      <w:r w:rsidRPr="00417BEE">
        <w:t xml:space="preserve">), and the </w:t>
      </w:r>
      <w:r w:rsidR="002A0243" w:rsidRPr="00417BEE">
        <w:t xml:space="preserve">Pirbright </w:t>
      </w:r>
      <w:r w:rsidRPr="00417BEE">
        <w:t>Institute</w:t>
      </w:r>
      <w:r w:rsidR="002A0243" w:rsidRPr="00417BEE">
        <w:t>, UK</w:t>
      </w:r>
      <w:r w:rsidRPr="00B15DE8">
        <w:rPr>
          <w:vertAlign w:val="superscript"/>
        </w:rPr>
        <w:footnoteReference w:id="1"/>
      </w:r>
      <w:r w:rsidRPr="00417BEE">
        <w:t>, produce and distribute diagnostic reagents on request.</w:t>
      </w:r>
    </w:p>
    <w:p w14:paraId="7F8CB8C7" w14:textId="1BADE63C" w:rsidR="00332040" w:rsidRPr="00417BEE" w:rsidRDefault="00332040" w:rsidP="00E96498">
      <w:pPr>
        <w:pStyle w:val="Tabletitle"/>
        <w:rPr>
          <w:b w:val="0"/>
        </w:rPr>
      </w:pPr>
      <w:r w:rsidRPr="00417BEE">
        <w:t xml:space="preserve">Table </w:t>
      </w:r>
      <w:r w:rsidRPr="00417BEE">
        <w:rPr>
          <w:noProof/>
        </w:rPr>
        <w:t>1</w:t>
      </w:r>
      <w:r w:rsidRPr="00417BEE">
        <w:t xml:space="preserve">. </w:t>
      </w:r>
      <w:r w:rsidRPr="00417BEE">
        <w:rPr>
          <w:b w:val="0"/>
        </w:rPr>
        <w:t xml:space="preserve">Test methods available </w:t>
      </w:r>
      <w:r w:rsidR="008D5737" w:rsidRPr="00417BEE">
        <w:rPr>
          <w:b w:val="0"/>
        </w:rPr>
        <w:t xml:space="preserve">for the diagnosis of vesicular stomatitis </w:t>
      </w:r>
      <w:r w:rsidRPr="00417BEE">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406"/>
        <w:gridCol w:w="1247"/>
        <w:gridCol w:w="1247"/>
        <w:gridCol w:w="1024"/>
        <w:gridCol w:w="1134"/>
        <w:gridCol w:w="1275"/>
        <w:gridCol w:w="1662"/>
      </w:tblGrid>
      <w:tr w:rsidR="00332040" w:rsidRPr="00417BEE" w14:paraId="4B2E558F" w14:textId="77777777" w:rsidTr="000D753A">
        <w:trPr>
          <w:trHeight w:val="402"/>
          <w:jc w:val="center"/>
        </w:trPr>
        <w:tc>
          <w:tcPr>
            <w:tcW w:w="1406" w:type="dxa"/>
            <w:vMerge w:val="restart"/>
            <w:tcBorders>
              <w:top w:val="single" w:sz="6" w:space="0" w:color="auto"/>
              <w:left w:val="single" w:sz="6" w:space="0" w:color="auto"/>
            </w:tcBorders>
            <w:vAlign w:val="center"/>
          </w:tcPr>
          <w:p w14:paraId="5499B822" w14:textId="77777777" w:rsidR="00332040" w:rsidRPr="00417BEE" w:rsidRDefault="00332040" w:rsidP="0036124D">
            <w:pPr>
              <w:pStyle w:val="TableHead"/>
              <w:spacing w:before="60" w:after="60"/>
              <w:rPr>
                <w:rFonts w:ascii="Arial" w:hAnsi="Arial" w:cs="Arial"/>
                <w:sz w:val="16"/>
                <w:szCs w:val="16"/>
                <w:lang w:val="en-GB"/>
              </w:rPr>
            </w:pPr>
            <w:r w:rsidRPr="00417BEE">
              <w:rPr>
                <w:rFonts w:ascii="Arial" w:hAnsi="Arial" w:cs="Arial"/>
                <w:sz w:val="16"/>
                <w:szCs w:val="16"/>
                <w:lang w:val="en-GB"/>
              </w:rPr>
              <w:t>Method</w:t>
            </w:r>
          </w:p>
        </w:tc>
        <w:tc>
          <w:tcPr>
            <w:tcW w:w="7589" w:type="dxa"/>
            <w:gridSpan w:val="6"/>
            <w:tcBorders>
              <w:top w:val="single" w:sz="6" w:space="0" w:color="auto"/>
              <w:left w:val="single" w:sz="6" w:space="0" w:color="auto"/>
              <w:right w:val="single" w:sz="6" w:space="0" w:color="auto"/>
            </w:tcBorders>
            <w:vAlign w:val="center"/>
          </w:tcPr>
          <w:p w14:paraId="2839C459" w14:textId="77777777" w:rsidR="00332040" w:rsidRPr="00417BEE" w:rsidRDefault="00332040" w:rsidP="0036124D">
            <w:pPr>
              <w:pStyle w:val="Tabletext"/>
              <w:spacing w:before="60" w:after="60"/>
              <w:rPr>
                <w:rFonts w:ascii="Calibri" w:hAnsi="Calibri" w:cs="Calibri"/>
                <w:b/>
                <w:sz w:val="16"/>
                <w:szCs w:val="16"/>
                <w:lang w:val="en-GB"/>
              </w:rPr>
            </w:pPr>
            <w:r w:rsidRPr="00417BEE">
              <w:rPr>
                <w:rFonts w:ascii="Calibri" w:hAnsi="Calibri" w:cs="Calibri"/>
                <w:b/>
                <w:lang w:val="en-GB"/>
              </w:rPr>
              <w:t>Purpose</w:t>
            </w:r>
          </w:p>
        </w:tc>
      </w:tr>
      <w:tr w:rsidR="00332040" w:rsidRPr="00417BEE" w14:paraId="7345D984" w14:textId="77777777" w:rsidTr="008D5737">
        <w:trPr>
          <w:trHeight w:val="402"/>
          <w:jc w:val="center"/>
        </w:trPr>
        <w:tc>
          <w:tcPr>
            <w:tcW w:w="1406" w:type="dxa"/>
            <w:vMerge/>
            <w:tcBorders>
              <w:left w:val="single" w:sz="6" w:space="0" w:color="auto"/>
            </w:tcBorders>
            <w:vAlign w:val="center"/>
          </w:tcPr>
          <w:p w14:paraId="4B9536E0" w14:textId="77777777" w:rsidR="00332040" w:rsidRPr="00417BEE" w:rsidRDefault="00332040" w:rsidP="0036124D">
            <w:pPr>
              <w:pStyle w:val="TableHead"/>
              <w:spacing w:before="60" w:after="60"/>
              <w:jc w:val="both"/>
              <w:rPr>
                <w:rFonts w:ascii="Arial" w:hAnsi="Arial" w:cs="Arial"/>
                <w:sz w:val="16"/>
                <w:szCs w:val="16"/>
                <w:lang w:val="en-GB"/>
              </w:rPr>
            </w:pPr>
          </w:p>
        </w:tc>
        <w:tc>
          <w:tcPr>
            <w:tcW w:w="1247" w:type="dxa"/>
            <w:tcBorders>
              <w:top w:val="single" w:sz="6" w:space="0" w:color="auto"/>
              <w:left w:val="single" w:sz="6" w:space="0" w:color="auto"/>
            </w:tcBorders>
            <w:vAlign w:val="center"/>
          </w:tcPr>
          <w:p w14:paraId="366706BE" w14:textId="7E8B06C6" w:rsidR="00332040" w:rsidRPr="00417BEE" w:rsidRDefault="00332040" w:rsidP="0036124D">
            <w:pPr>
              <w:pStyle w:val="Tabletext"/>
              <w:spacing w:before="60" w:after="60"/>
              <w:rPr>
                <w:sz w:val="16"/>
                <w:szCs w:val="16"/>
                <w:lang w:val="en-GB"/>
              </w:rPr>
            </w:pPr>
            <w:r w:rsidRPr="00417BEE">
              <w:rPr>
                <w:sz w:val="16"/>
                <w:szCs w:val="16"/>
                <w:lang w:val="en-GB"/>
              </w:rPr>
              <w:t xml:space="preserve">Population freedom from </w:t>
            </w:r>
            <w:r w:rsidR="004C5219">
              <w:rPr>
                <w:sz w:val="16"/>
                <w:szCs w:val="16"/>
                <w:lang w:val="en-GB"/>
              </w:rPr>
              <w:t>infection</w:t>
            </w:r>
          </w:p>
        </w:tc>
        <w:tc>
          <w:tcPr>
            <w:tcW w:w="1247" w:type="dxa"/>
            <w:tcBorders>
              <w:top w:val="single" w:sz="6" w:space="0" w:color="auto"/>
              <w:left w:val="single" w:sz="6" w:space="0" w:color="auto"/>
            </w:tcBorders>
            <w:vAlign w:val="center"/>
          </w:tcPr>
          <w:p w14:paraId="297A78EC" w14:textId="77777777" w:rsidR="00332040" w:rsidRPr="00417BEE" w:rsidRDefault="00332040" w:rsidP="0036124D">
            <w:pPr>
              <w:pStyle w:val="Tabletext"/>
              <w:spacing w:before="60" w:after="60"/>
              <w:rPr>
                <w:sz w:val="16"/>
                <w:szCs w:val="16"/>
                <w:lang w:val="en-GB"/>
              </w:rPr>
            </w:pPr>
            <w:r w:rsidRPr="00417BEE">
              <w:rPr>
                <w:sz w:val="16"/>
                <w:szCs w:val="16"/>
                <w:lang w:val="en-GB"/>
              </w:rPr>
              <w:t>Individual animal freedom from infection</w:t>
            </w:r>
            <w:r w:rsidR="00E96498" w:rsidRPr="00417BEE">
              <w:rPr>
                <w:sz w:val="16"/>
                <w:szCs w:val="16"/>
                <w:lang w:val="en-GB"/>
              </w:rPr>
              <w:t xml:space="preserve"> prior to movement</w:t>
            </w:r>
          </w:p>
        </w:tc>
        <w:tc>
          <w:tcPr>
            <w:tcW w:w="1024" w:type="dxa"/>
            <w:tcBorders>
              <w:top w:val="single" w:sz="6" w:space="0" w:color="auto"/>
              <w:left w:val="single" w:sz="6" w:space="0" w:color="auto"/>
            </w:tcBorders>
            <w:vAlign w:val="center"/>
          </w:tcPr>
          <w:p w14:paraId="5A7DBDAA" w14:textId="77777777" w:rsidR="00332040" w:rsidRPr="00417BEE" w:rsidRDefault="00E96498" w:rsidP="0036124D">
            <w:pPr>
              <w:pStyle w:val="Tabletext"/>
              <w:spacing w:before="60" w:after="60"/>
              <w:rPr>
                <w:sz w:val="16"/>
                <w:szCs w:val="16"/>
                <w:lang w:val="en-GB"/>
              </w:rPr>
            </w:pPr>
            <w:r w:rsidRPr="00417BEE">
              <w:rPr>
                <w:sz w:val="16"/>
                <w:szCs w:val="16"/>
                <w:lang w:val="en-GB"/>
              </w:rPr>
              <w:t>Contribute to</w:t>
            </w:r>
            <w:r w:rsidR="00332040" w:rsidRPr="00417BEE">
              <w:rPr>
                <w:sz w:val="16"/>
                <w:szCs w:val="16"/>
                <w:lang w:val="en-GB"/>
              </w:rPr>
              <w:t xml:space="preserve"> eradication policies</w:t>
            </w:r>
          </w:p>
        </w:tc>
        <w:tc>
          <w:tcPr>
            <w:tcW w:w="1134" w:type="dxa"/>
            <w:tcBorders>
              <w:top w:val="single" w:sz="6" w:space="0" w:color="auto"/>
              <w:left w:val="single" w:sz="6" w:space="0" w:color="auto"/>
            </w:tcBorders>
            <w:vAlign w:val="center"/>
          </w:tcPr>
          <w:p w14:paraId="24E20AFC" w14:textId="77777777" w:rsidR="00332040" w:rsidRPr="00417BEE" w:rsidRDefault="00332040" w:rsidP="0036124D">
            <w:pPr>
              <w:pStyle w:val="Tabletext"/>
              <w:spacing w:before="60" w:after="60"/>
              <w:rPr>
                <w:sz w:val="16"/>
                <w:szCs w:val="16"/>
                <w:lang w:val="en-GB"/>
              </w:rPr>
            </w:pPr>
            <w:r w:rsidRPr="00417BEE">
              <w:rPr>
                <w:sz w:val="16"/>
                <w:szCs w:val="16"/>
                <w:lang w:val="en-GB"/>
              </w:rPr>
              <w:t>Confirmation of clinical cases</w:t>
            </w:r>
          </w:p>
        </w:tc>
        <w:tc>
          <w:tcPr>
            <w:tcW w:w="1275" w:type="dxa"/>
            <w:tcBorders>
              <w:top w:val="single" w:sz="6" w:space="0" w:color="auto"/>
              <w:left w:val="single" w:sz="6" w:space="0" w:color="auto"/>
            </w:tcBorders>
            <w:vAlign w:val="center"/>
          </w:tcPr>
          <w:p w14:paraId="0ECC326D" w14:textId="42A7206E" w:rsidR="00332040" w:rsidRPr="00417BEE" w:rsidRDefault="00332040" w:rsidP="0036124D">
            <w:pPr>
              <w:pStyle w:val="Tabletext"/>
              <w:spacing w:before="60" w:after="60"/>
              <w:rPr>
                <w:sz w:val="16"/>
                <w:szCs w:val="16"/>
                <w:lang w:val="en-GB"/>
              </w:rPr>
            </w:pPr>
            <w:r w:rsidRPr="00417BEE">
              <w:rPr>
                <w:sz w:val="16"/>
                <w:szCs w:val="16"/>
                <w:lang w:val="en-GB"/>
              </w:rPr>
              <w:t xml:space="preserve">Prevalence of infection </w:t>
            </w:r>
            <w:r w:rsidR="008D5737" w:rsidRPr="00417BEE">
              <w:rPr>
                <w:sz w:val="16"/>
                <w:szCs w:val="16"/>
                <w:lang w:val="en-GB"/>
              </w:rPr>
              <w:t>–</w:t>
            </w:r>
            <w:r w:rsidRPr="00417BEE">
              <w:rPr>
                <w:sz w:val="16"/>
                <w:szCs w:val="16"/>
                <w:lang w:val="en-GB"/>
              </w:rPr>
              <w:t xml:space="preserve"> surveillance</w:t>
            </w:r>
          </w:p>
        </w:tc>
        <w:tc>
          <w:tcPr>
            <w:tcW w:w="1662" w:type="dxa"/>
            <w:tcBorders>
              <w:top w:val="single" w:sz="6" w:space="0" w:color="auto"/>
              <w:left w:val="single" w:sz="6" w:space="0" w:color="auto"/>
              <w:right w:val="single" w:sz="6" w:space="0" w:color="auto"/>
            </w:tcBorders>
            <w:vAlign w:val="center"/>
          </w:tcPr>
          <w:p w14:paraId="4AB74102" w14:textId="77777777" w:rsidR="00332040" w:rsidRPr="00417BEE" w:rsidRDefault="00332040" w:rsidP="0036124D">
            <w:pPr>
              <w:pStyle w:val="Tabletext"/>
              <w:spacing w:before="60" w:after="60"/>
              <w:rPr>
                <w:sz w:val="16"/>
                <w:szCs w:val="16"/>
                <w:lang w:val="en-GB"/>
              </w:rPr>
            </w:pPr>
            <w:r w:rsidRPr="00417BEE">
              <w:rPr>
                <w:sz w:val="16"/>
                <w:szCs w:val="16"/>
                <w:lang w:val="en-GB"/>
              </w:rPr>
              <w:t>Immune status in individual animals or populations post-vaccination</w:t>
            </w:r>
            <w:r w:rsidR="00B330D3" w:rsidRPr="00417BEE">
              <w:rPr>
                <w:sz w:val="16"/>
                <w:szCs w:val="16"/>
                <w:lang w:val="en-GB"/>
              </w:rPr>
              <w:t>***</w:t>
            </w:r>
          </w:p>
        </w:tc>
      </w:tr>
      <w:tr w:rsidR="00D066C5" w:rsidRPr="00417BEE" w14:paraId="4DC358C3" w14:textId="77777777" w:rsidTr="00B15DE8">
        <w:trPr>
          <w:trHeight w:val="402"/>
          <w:jc w:val="center"/>
        </w:trPr>
        <w:tc>
          <w:tcPr>
            <w:tcW w:w="8995" w:type="dxa"/>
            <w:gridSpan w:val="7"/>
            <w:tcBorders>
              <w:top w:val="single" w:sz="6" w:space="0" w:color="auto"/>
              <w:left w:val="single" w:sz="6" w:space="0" w:color="auto"/>
              <w:right w:val="single" w:sz="6" w:space="0" w:color="auto"/>
            </w:tcBorders>
            <w:shd w:val="pct10" w:color="auto" w:fill="auto"/>
            <w:vAlign w:val="center"/>
          </w:tcPr>
          <w:p w14:paraId="59B69D74" w14:textId="6BA84F49" w:rsidR="00D066C5" w:rsidRPr="00417BEE" w:rsidRDefault="000A08D3" w:rsidP="00B15DE8">
            <w:pPr>
              <w:pStyle w:val="Tabletext"/>
              <w:spacing w:before="60" w:after="60"/>
              <w:rPr>
                <w:rFonts w:ascii="Calibri" w:hAnsi="Calibri" w:cs="Calibri"/>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F22225" w:rsidRPr="007305C8">
              <w:rPr>
                <w:b/>
                <w:strike/>
                <w:sz w:val="16"/>
              </w:rPr>
              <w:t>identification</w:t>
            </w:r>
            <w:r w:rsidR="00D066C5" w:rsidRPr="00B15DE8">
              <w:rPr>
                <w:rStyle w:val="Appelnotedebasdep"/>
                <w:b/>
                <w:sz w:val="16"/>
                <w:szCs w:val="16"/>
              </w:rPr>
              <w:footnoteReference w:id="2"/>
            </w:r>
          </w:p>
        </w:tc>
      </w:tr>
      <w:tr w:rsidR="00332040" w:rsidRPr="00417BEE" w14:paraId="1B69391D"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5A3100B6" w14:textId="77777777" w:rsidR="00332040" w:rsidRPr="00417BEE" w:rsidRDefault="00332040" w:rsidP="00B15DE8">
            <w:pPr>
              <w:spacing w:before="60" w:after="60" w:line="240" w:lineRule="auto"/>
              <w:jc w:val="center"/>
              <w:rPr>
                <w:rFonts w:ascii="Arial" w:hAnsi="Arial" w:cs="Arial"/>
                <w:b/>
                <w:sz w:val="16"/>
                <w:szCs w:val="16"/>
              </w:rPr>
            </w:pPr>
            <w:r w:rsidRPr="00417BEE">
              <w:rPr>
                <w:rFonts w:ascii="Arial" w:hAnsi="Arial" w:cs="Arial"/>
                <w:b/>
                <w:sz w:val="16"/>
                <w:szCs w:val="16"/>
              </w:rPr>
              <w:t>Virus isolation</w:t>
            </w:r>
            <w:r w:rsidR="00BD7C80"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24F53816"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247" w:type="dxa"/>
            <w:tcBorders>
              <w:top w:val="single" w:sz="6" w:space="0" w:color="auto"/>
              <w:left w:val="single" w:sz="6" w:space="0" w:color="auto"/>
              <w:bottom w:val="single" w:sz="6" w:space="0" w:color="auto"/>
            </w:tcBorders>
            <w:vAlign w:val="center"/>
          </w:tcPr>
          <w:p w14:paraId="6E756208" w14:textId="77777777" w:rsidR="00332040" w:rsidRPr="00417BEE" w:rsidRDefault="00040E5D" w:rsidP="00B15DE8">
            <w:pPr>
              <w:pStyle w:val="Tabletext"/>
              <w:spacing w:before="60" w:after="60"/>
              <w:rPr>
                <w:sz w:val="16"/>
                <w:szCs w:val="16"/>
                <w:lang w:val="en-GB"/>
              </w:rPr>
            </w:pPr>
            <w:r w:rsidRPr="00417BEE">
              <w:rPr>
                <w:sz w:val="16"/>
                <w:szCs w:val="16"/>
                <w:lang w:val="en-GB"/>
              </w:rPr>
              <w:t>+</w:t>
            </w:r>
          </w:p>
        </w:tc>
        <w:tc>
          <w:tcPr>
            <w:tcW w:w="1024" w:type="dxa"/>
            <w:tcBorders>
              <w:top w:val="single" w:sz="6" w:space="0" w:color="auto"/>
              <w:left w:val="single" w:sz="6" w:space="0" w:color="auto"/>
              <w:bottom w:val="single" w:sz="6" w:space="0" w:color="auto"/>
            </w:tcBorders>
            <w:vAlign w:val="center"/>
          </w:tcPr>
          <w:p w14:paraId="283EB608"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8DA24C1" w14:textId="77777777" w:rsidR="00332040" w:rsidRPr="00417BEE" w:rsidRDefault="00BD7C80" w:rsidP="00B15DE8">
            <w:pPr>
              <w:pStyle w:val="Tabletext"/>
              <w:spacing w:before="60" w:after="60"/>
              <w:rPr>
                <w:sz w:val="16"/>
                <w:szCs w:val="16"/>
                <w:lang w:val="en-GB"/>
              </w:rPr>
            </w:pPr>
            <w:r w:rsidRPr="00417BE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33C0BD68"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042F0897"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r>
      <w:tr w:rsidR="00332040" w:rsidRPr="00417BEE" w14:paraId="23199451" w14:textId="77777777" w:rsidTr="00B15DE8">
        <w:trPr>
          <w:trHeight w:val="402"/>
          <w:jc w:val="center"/>
        </w:trPr>
        <w:tc>
          <w:tcPr>
            <w:tcW w:w="1406" w:type="dxa"/>
            <w:tcBorders>
              <w:top w:val="single" w:sz="6" w:space="0" w:color="auto"/>
              <w:left w:val="single" w:sz="6" w:space="0" w:color="auto"/>
            </w:tcBorders>
            <w:vAlign w:val="center"/>
          </w:tcPr>
          <w:p w14:paraId="2EC0C01D" w14:textId="034F532A" w:rsidR="00332040" w:rsidRPr="00417BEE" w:rsidRDefault="00332040" w:rsidP="00B15DE8">
            <w:pPr>
              <w:spacing w:before="60" w:after="60" w:line="240" w:lineRule="auto"/>
              <w:jc w:val="center"/>
              <w:rPr>
                <w:rFonts w:ascii="Arial" w:hAnsi="Arial" w:cs="Arial"/>
                <w:b/>
                <w:sz w:val="16"/>
                <w:szCs w:val="16"/>
              </w:rPr>
            </w:pPr>
            <w:r w:rsidRPr="00417BEE">
              <w:rPr>
                <w:rFonts w:ascii="Arial" w:hAnsi="Arial" w:cs="Arial"/>
                <w:b/>
                <w:sz w:val="16"/>
                <w:szCs w:val="16"/>
              </w:rPr>
              <w:t>IS-ELISA</w:t>
            </w:r>
            <w:r w:rsidR="00BD7C80" w:rsidRPr="00417BEE">
              <w:rPr>
                <w:rFonts w:ascii="Arial" w:hAnsi="Arial" w:cs="Arial"/>
                <w:b/>
                <w:sz w:val="16"/>
                <w:szCs w:val="16"/>
              </w:rPr>
              <w:t>*</w:t>
            </w:r>
          </w:p>
        </w:tc>
        <w:tc>
          <w:tcPr>
            <w:tcW w:w="1247" w:type="dxa"/>
            <w:tcBorders>
              <w:top w:val="single" w:sz="6" w:space="0" w:color="auto"/>
              <w:left w:val="single" w:sz="6" w:space="0" w:color="auto"/>
            </w:tcBorders>
            <w:vAlign w:val="center"/>
          </w:tcPr>
          <w:p w14:paraId="3396E35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tcBorders>
            <w:vAlign w:val="center"/>
          </w:tcPr>
          <w:p w14:paraId="3E9B588B" w14:textId="77777777" w:rsidR="00332040" w:rsidRPr="00417BEE" w:rsidRDefault="007D0203"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6" w:space="0" w:color="auto"/>
              <w:left w:val="single" w:sz="6" w:space="0" w:color="auto"/>
            </w:tcBorders>
            <w:vAlign w:val="center"/>
          </w:tcPr>
          <w:p w14:paraId="68A09639"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tcBorders>
            <w:vAlign w:val="center"/>
          </w:tcPr>
          <w:p w14:paraId="73AFFEB7" w14:textId="77777777" w:rsidR="00332040" w:rsidRPr="00417BEE" w:rsidRDefault="007F0BD1"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tcBorders>
            <w:vAlign w:val="center"/>
          </w:tcPr>
          <w:p w14:paraId="41CBB5E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right w:val="single" w:sz="6" w:space="0" w:color="auto"/>
            </w:tcBorders>
            <w:vAlign w:val="center"/>
          </w:tcPr>
          <w:p w14:paraId="3F0E4FD6"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48A3DE3C" w14:textId="77777777" w:rsidTr="00B15DE8">
        <w:trPr>
          <w:trHeight w:val="402"/>
          <w:jc w:val="center"/>
        </w:trPr>
        <w:tc>
          <w:tcPr>
            <w:tcW w:w="1406" w:type="dxa"/>
            <w:tcBorders>
              <w:top w:val="single" w:sz="6" w:space="0" w:color="auto"/>
              <w:left w:val="single" w:sz="6" w:space="0" w:color="auto"/>
            </w:tcBorders>
            <w:vAlign w:val="center"/>
          </w:tcPr>
          <w:p w14:paraId="275BBD85" w14:textId="77777777" w:rsidR="00332040" w:rsidRPr="00417BEE" w:rsidRDefault="00E147C4" w:rsidP="00B15DE8">
            <w:pPr>
              <w:spacing w:before="60" w:after="60" w:line="240" w:lineRule="auto"/>
              <w:jc w:val="center"/>
              <w:rPr>
                <w:rFonts w:ascii="Arial" w:hAnsi="Arial" w:cs="Arial"/>
                <w:b/>
                <w:sz w:val="16"/>
                <w:szCs w:val="16"/>
              </w:rPr>
            </w:pPr>
            <w:r w:rsidRPr="00417BEE">
              <w:rPr>
                <w:rFonts w:ascii="Arial" w:hAnsi="Arial" w:cs="Arial"/>
                <w:b/>
                <w:sz w:val="16"/>
                <w:szCs w:val="16"/>
              </w:rPr>
              <w:t>CFT</w:t>
            </w:r>
            <w:r w:rsidR="00BD7C80" w:rsidRPr="00417BEE">
              <w:rPr>
                <w:rFonts w:ascii="Arial" w:hAnsi="Arial" w:cs="Arial"/>
                <w:b/>
                <w:sz w:val="16"/>
                <w:szCs w:val="16"/>
              </w:rPr>
              <w:t>*</w:t>
            </w:r>
          </w:p>
        </w:tc>
        <w:tc>
          <w:tcPr>
            <w:tcW w:w="1247" w:type="dxa"/>
            <w:tcBorders>
              <w:top w:val="single" w:sz="6" w:space="0" w:color="auto"/>
              <w:left w:val="single" w:sz="6" w:space="0" w:color="auto"/>
            </w:tcBorders>
            <w:vAlign w:val="center"/>
          </w:tcPr>
          <w:p w14:paraId="058265D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tcBorders>
            <w:vAlign w:val="center"/>
          </w:tcPr>
          <w:p w14:paraId="7689D0BA" w14:textId="77777777" w:rsidR="00332040" w:rsidRPr="00417BEE" w:rsidRDefault="007D0203"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6" w:space="0" w:color="auto"/>
              <w:left w:val="single" w:sz="6" w:space="0" w:color="auto"/>
            </w:tcBorders>
            <w:vAlign w:val="center"/>
          </w:tcPr>
          <w:p w14:paraId="201977CB"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tcBorders>
            <w:vAlign w:val="center"/>
          </w:tcPr>
          <w:p w14:paraId="0C1562EB" w14:textId="524D66A9" w:rsidR="00332040" w:rsidRPr="00417BEE" w:rsidRDefault="009F6812"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tcBorders>
            <w:vAlign w:val="center"/>
          </w:tcPr>
          <w:p w14:paraId="2B807F6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right w:val="single" w:sz="6" w:space="0" w:color="auto"/>
            </w:tcBorders>
            <w:vAlign w:val="center"/>
          </w:tcPr>
          <w:p w14:paraId="7BA373F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04A76165"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51917D09" w14:textId="77777777" w:rsidR="00332040" w:rsidRPr="00417BEE" w:rsidRDefault="00AE4AC6" w:rsidP="00B15DE8">
            <w:pPr>
              <w:spacing w:before="60" w:after="60" w:line="240" w:lineRule="auto"/>
              <w:jc w:val="center"/>
              <w:rPr>
                <w:rFonts w:ascii="Arial" w:hAnsi="Arial" w:cs="Arial"/>
                <w:b/>
                <w:sz w:val="16"/>
                <w:szCs w:val="16"/>
              </w:rPr>
            </w:pPr>
            <w:r w:rsidRPr="00417BEE">
              <w:rPr>
                <w:rFonts w:ascii="Arial" w:hAnsi="Arial" w:cs="Arial"/>
                <w:b/>
                <w:sz w:val="16"/>
                <w:szCs w:val="16"/>
              </w:rPr>
              <w:t>RT-</w:t>
            </w:r>
            <w:r w:rsidR="00040E5D" w:rsidRPr="00417BEE">
              <w:rPr>
                <w:rFonts w:ascii="Arial" w:hAnsi="Arial" w:cs="Arial"/>
                <w:b/>
                <w:sz w:val="16"/>
                <w:szCs w:val="16"/>
              </w:rPr>
              <w:t>P</w:t>
            </w:r>
            <w:r w:rsidR="00E147C4" w:rsidRPr="00417BEE">
              <w:rPr>
                <w:rFonts w:ascii="Arial" w:hAnsi="Arial" w:cs="Arial"/>
                <w:b/>
                <w:sz w:val="16"/>
                <w:szCs w:val="16"/>
              </w:rPr>
              <w:t>CR</w:t>
            </w:r>
            <w:r w:rsidR="00BD7C80"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5576A8EC"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443B39BB" w14:textId="77777777" w:rsidR="00332040" w:rsidRPr="00417BEE" w:rsidRDefault="00040E5D"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2F22862A"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5A81BAD2"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bottom w:val="single" w:sz="6" w:space="0" w:color="auto"/>
            </w:tcBorders>
            <w:vAlign w:val="center"/>
          </w:tcPr>
          <w:p w14:paraId="3DE8E1A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2A25BBEE"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E147C4" w:rsidRPr="00417BEE" w14:paraId="31241177" w14:textId="77777777" w:rsidTr="00B15DE8">
        <w:trPr>
          <w:trHeight w:val="402"/>
          <w:jc w:val="center"/>
        </w:trPr>
        <w:tc>
          <w:tcPr>
            <w:tcW w:w="8995" w:type="dxa"/>
            <w:gridSpan w:val="7"/>
            <w:tcBorders>
              <w:top w:val="single" w:sz="6" w:space="0" w:color="auto"/>
              <w:left w:val="single" w:sz="6" w:space="0" w:color="auto"/>
              <w:right w:val="single" w:sz="6" w:space="0" w:color="auto"/>
            </w:tcBorders>
            <w:shd w:val="pct10" w:color="auto" w:fill="auto"/>
            <w:vAlign w:val="center"/>
          </w:tcPr>
          <w:p w14:paraId="2450218E" w14:textId="77777777" w:rsidR="00E147C4" w:rsidRPr="00417BEE" w:rsidRDefault="00E147C4" w:rsidP="00B15DE8">
            <w:pPr>
              <w:spacing w:before="60" w:after="60" w:line="240" w:lineRule="auto"/>
              <w:jc w:val="center"/>
              <w:rPr>
                <w:rFonts w:ascii="Arial" w:hAnsi="Arial" w:cs="Arial"/>
              </w:rPr>
            </w:pPr>
            <w:r w:rsidRPr="00417BEE">
              <w:rPr>
                <w:rFonts w:ascii="Arial" w:hAnsi="Arial" w:cs="Arial"/>
                <w:b/>
                <w:sz w:val="16"/>
                <w:szCs w:val="16"/>
              </w:rPr>
              <w:t>Detection of immune response</w:t>
            </w:r>
            <w:r w:rsidRPr="00B15DE8">
              <w:rPr>
                <w:rStyle w:val="Appelnotedebasdep"/>
                <w:rFonts w:ascii="Arial" w:hAnsi="Arial" w:cs="Arial"/>
                <w:b/>
                <w:sz w:val="16"/>
                <w:szCs w:val="16"/>
              </w:rPr>
              <w:footnoteReference w:id="3"/>
            </w:r>
          </w:p>
        </w:tc>
      </w:tr>
      <w:tr w:rsidR="00332040" w:rsidRPr="00417BEE" w14:paraId="2624345C" w14:textId="77777777" w:rsidTr="00B15DE8">
        <w:trPr>
          <w:trHeight w:val="402"/>
          <w:jc w:val="center"/>
        </w:trPr>
        <w:tc>
          <w:tcPr>
            <w:tcW w:w="1406" w:type="dxa"/>
            <w:tcBorders>
              <w:top w:val="single" w:sz="6" w:space="0" w:color="auto"/>
              <w:left w:val="single" w:sz="6" w:space="0" w:color="auto"/>
            </w:tcBorders>
            <w:vAlign w:val="center"/>
          </w:tcPr>
          <w:p w14:paraId="4FBEC3A4" w14:textId="040E8E5C" w:rsidR="00332040"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LP-ELISA</w:t>
            </w:r>
            <w:r w:rsidR="00B330D3" w:rsidRPr="00417BEE">
              <w:rPr>
                <w:rFonts w:ascii="Arial" w:hAnsi="Arial" w:cs="Arial"/>
                <w:b/>
                <w:sz w:val="16"/>
                <w:szCs w:val="16"/>
              </w:rPr>
              <w:t>**</w:t>
            </w:r>
          </w:p>
        </w:tc>
        <w:tc>
          <w:tcPr>
            <w:tcW w:w="1247" w:type="dxa"/>
            <w:tcBorders>
              <w:top w:val="single" w:sz="6" w:space="0" w:color="auto"/>
              <w:left w:val="single" w:sz="6" w:space="0" w:color="auto"/>
            </w:tcBorders>
            <w:vAlign w:val="center"/>
          </w:tcPr>
          <w:p w14:paraId="64645A5F" w14:textId="42EB5178"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tcBorders>
            <w:vAlign w:val="center"/>
          </w:tcPr>
          <w:p w14:paraId="78EBC8A6" w14:textId="529B456B" w:rsidR="00332040" w:rsidRPr="00C9236E" w:rsidRDefault="00B35AE4" w:rsidP="00B15DE8">
            <w:pPr>
              <w:pStyle w:val="Tabletext"/>
              <w:spacing w:before="60" w:after="60"/>
              <w:rPr>
                <w:rFonts w:ascii="Calibri" w:hAnsi="Calibri" w:cs="Calibri"/>
                <w:lang w:val="en-GB"/>
              </w:rPr>
            </w:pPr>
            <w:r w:rsidRPr="00C9236E">
              <w:rPr>
                <w:rFonts w:ascii="Calibri" w:hAnsi="Calibri" w:cs="Calibri"/>
                <w:lang w:val="en-GB"/>
              </w:rPr>
              <w:t>+</w:t>
            </w:r>
            <w:r w:rsidR="00956C39" w:rsidRPr="00C9236E">
              <w:rPr>
                <w:rFonts w:ascii="Calibri" w:hAnsi="Calibri" w:cs="Calibri"/>
                <w:lang w:val="en-GB"/>
              </w:rPr>
              <w:t>++</w:t>
            </w:r>
          </w:p>
        </w:tc>
        <w:tc>
          <w:tcPr>
            <w:tcW w:w="1024" w:type="dxa"/>
            <w:tcBorders>
              <w:top w:val="single" w:sz="6" w:space="0" w:color="auto"/>
              <w:left w:val="single" w:sz="6" w:space="0" w:color="auto"/>
            </w:tcBorders>
            <w:vAlign w:val="center"/>
          </w:tcPr>
          <w:p w14:paraId="087D75DB" w14:textId="77777777"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tcBorders>
            <w:vAlign w:val="center"/>
          </w:tcPr>
          <w:p w14:paraId="501EF540" w14:textId="34C9A614"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r w:rsidR="00956C39" w:rsidRPr="00417BEE">
              <w:rPr>
                <w:rFonts w:ascii="Calibri" w:hAnsi="Calibri" w:cs="Calibri"/>
                <w:lang w:val="en-GB"/>
              </w:rPr>
              <w:t>++</w:t>
            </w:r>
          </w:p>
        </w:tc>
        <w:tc>
          <w:tcPr>
            <w:tcW w:w="1275" w:type="dxa"/>
            <w:tcBorders>
              <w:top w:val="single" w:sz="6" w:space="0" w:color="auto"/>
              <w:left w:val="single" w:sz="6" w:space="0" w:color="auto"/>
            </w:tcBorders>
            <w:vAlign w:val="center"/>
          </w:tcPr>
          <w:p w14:paraId="4EB375E9" w14:textId="58A134F2"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right w:val="single" w:sz="6" w:space="0" w:color="auto"/>
            </w:tcBorders>
            <w:vAlign w:val="center"/>
          </w:tcPr>
          <w:p w14:paraId="55BF476E" w14:textId="77777777"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776BA695"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55F96864" w14:textId="0E57519E" w:rsidR="00332040"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C</w:t>
            </w:r>
            <w:r w:rsidR="00E147C4" w:rsidRPr="00417BEE">
              <w:rPr>
                <w:rFonts w:ascii="Arial" w:hAnsi="Arial" w:cs="Arial"/>
                <w:b/>
                <w:sz w:val="16"/>
                <w:szCs w:val="16"/>
              </w:rPr>
              <w:t>-</w:t>
            </w:r>
            <w:r w:rsidRPr="00417BEE">
              <w:rPr>
                <w:rFonts w:ascii="Arial" w:hAnsi="Arial" w:cs="Arial"/>
                <w:b/>
                <w:sz w:val="16"/>
                <w:szCs w:val="16"/>
              </w:rPr>
              <w:t>ELISA</w:t>
            </w:r>
            <w:r w:rsidR="00B330D3"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5C269C4B" w14:textId="77777777" w:rsidR="00332040"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5046CC87" w14:textId="153626B6" w:rsidR="00332040" w:rsidRPr="00C9236E" w:rsidRDefault="00AA50CE" w:rsidP="00B15DE8">
            <w:pPr>
              <w:pStyle w:val="Tabletext"/>
              <w:spacing w:before="60" w:after="60"/>
              <w:rPr>
                <w:rFonts w:ascii="Calibri" w:hAnsi="Calibri" w:cs="Calibri"/>
                <w:lang w:val="en-GB"/>
              </w:rPr>
            </w:pPr>
            <w:r w:rsidRPr="00C9236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4721245E" w14:textId="3B790546" w:rsidR="00332040" w:rsidRPr="00417BEE" w:rsidRDefault="00FE654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5D7D155F"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bottom w:val="single" w:sz="6" w:space="0" w:color="auto"/>
            </w:tcBorders>
            <w:vAlign w:val="center"/>
          </w:tcPr>
          <w:p w14:paraId="22A9B495"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63816E26"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r>
      <w:tr w:rsidR="00040E5D" w:rsidRPr="00417BEE" w14:paraId="79C91295"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77E288DA" w14:textId="49A273AB" w:rsidR="00040E5D" w:rsidRPr="00417BEE" w:rsidRDefault="00E147C4" w:rsidP="00B15DE8">
            <w:pPr>
              <w:spacing w:before="60" w:after="60" w:line="240" w:lineRule="auto"/>
              <w:jc w:val="center"/>
              <w:rPr>
                <w:rFonts w:ascii="Arial" w:hAnsi="Arial" w:cs="Arial"/>
                <w:b/>
                <w:sz w:val="16"/>
                <w:szCs w:val="16"/>
              </w:rPr>
            </w:pPr>
            <w:r w:rsidRPr="00417BEE">
              <w:rPr>
                <w:rFonts w:ascii="Arial" w:hAnsi="Arial" w:cs="Arial"/>
                <w:b/>
                <w:sz w:val="16"/>
                <w:szCs w:val="16"/>
              </w:rPr>
              <w:lastRenderedPageBreak/>
              <w:t>VN</w:t>
            </w:r>
            <w:r w:rsidR="008D1FB1">
              <w:rPr>
                <w:rFonts w:ascii="Arial" w:hAnsi="Arial" w:cs="Arial"/>
                <w:b/>
                <w:sz w:val="16"/>
                <w:szCs w:val="16"/>
              </w:rPr>
              <w:t>T</w:t>
            </w:r>
            <w:r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48A91499" w14:textId="1C3945E2" w:rsidR="00040E5D"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1987FFBC" w14:textId="5977CD4A" w:rsidR="00040E5D" w:rsidRPr="00C9236E" w:rsidRDefault="005A48D4" w:rsidP="00B15DE8">
            <w:pPr>
              <w:pStyle w:val="Tabletext"/>
              <w:spacing w:before="60" w:after="60"/>
              <w:rPr>
                <w:rFonts w:ascii="Calibri" w:hAnsi="Calibri" w:cs="Calibri"/>
                <w:lang w:val="en-GB"/>
              </w:rPr>
            </w:pPr>
            <w:r w:rsidRPr="00C9236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116A9416" w14:textId="77777777" w:rsidR="00040E5D" w:rsidRPr="00417BEE" w:rsidRDefault="000B3336"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40BFB9BA" w14:textId="77777777" w:rsidR="00040E5D" w:rsidRPr="00417BEE" w:rsidRDefault="005A48D4"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bottom w:val="single" w:sz="6" w:space="0" w:color="auto"/>
            </w:tcBorders>
            <w:vAlign w:val="center"/>
          </w:tcPr>
          <w:p w14:paraId="1644F515" w14:textId="2CCC34B5" w:rsidR="00040E5D" w:rsidRPr="00417BEE" w:rsidRDefault="005A48D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6E7AD84E" w14:textId="77777777" w:rsidR="00040E5D"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p>
        </w:tc>
      </w:tr>
      <w:tr w:rsidR="00040E5D" w:rsidRPr="00417BEE" w14:paraId="3C9CCA73"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31DACDD9" w14:textId="1F02F0B2" w:rsidR="00040E5D"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C</w:t>
            </w:r>
            <w:r w:rsidR="00E147C4" w:rsidRPr="00417BEE">
              <w:rPr>
                <w:rFonts w:ascii="Arial" w:hAnsi="Arial" w:cs="Arial"/>
                <w:b/>
                <w:sz w:val="16"/>
                <w:szCs w:val="16"/>
              </w:rPr>
              <w:t>FT</w:t>
            </w:r>
            <w:r w:rsidR="00B330D3"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3217D114" w14:textId="77777777" w:rsidR="00040E5D"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56BCBE89" w14:textId="77777777" w:rsidR="00040E5D" w:rsidRPr="00C9236E" w:rsidRDefault="005A48D4" w:rsidP="00B15DE8">
            <w:pPr>
              <w:pStyle w:val="Tabletext"/>
              <w:spacing w:before="60" w:after="60"/>
              <w:rPr>
                <w:rFonts w:ascii="Calibri" w:hAnsi="Calibri" w:cs="Calibri"/>
                <w:lang w:val="en-GB"/>
              </w:rPr>
            </w:pPr>
            <w:r w:rsidRPr="00C9236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21E6788B" w14:textId="77777777"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21AB401E" w14:textId="0035873C"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r w:rsidR="000C5709" w:rsidRPr="000C5709">
              <w:rPr>
                <w:rFonts w:ascii="Calibri" w:hAnsi="Calibri" w:cs="Calibri"/>
                <w:strike/>
                <w:lang w:val="en-GB"/>
              </w:rPr>
              <w:t xml:space="preserve"> </w:t>
            </w:r>
            <w:r w:rsidRPr="00757732">
              <w:rPr>
                <w:rFonts w:ascii="Calibri" w:hAnsi="Calibri" w:cs="Calibri"/>
                <w:strike/>
                <w:highlight w:val="yellow"/>
                <w:lang w:val="en-GB"/>
              </w:rPr>
              <w:t>+</w:t>
            </w:r>
          </w:p>
        </w:tc>
        <w:tc>
          <w:tcPr>
            <w:tcW w:w="1275" w:type="dxa"/>
            <w:tcBorders>
              <w:top w:val="single" w:sz="6" w:space="0" w:color="auto"/>
              <w:left w:val="single" w:sz="6" w:space="0" w:color="auto"/>
              <w:bottom w:val="single" w:sz="6" w:space="0" w:color="auto"/>
            </w:tcBorders>
            <w:vAlign w:val="center"/>
          </w:tcPr>
          <w:p w14:paraId="41C78DA6" w14:textId="77777777"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1F91EF79" w14:textId="77777777" w:rsidR="00040E5D"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bl>
    <w:p w14:paraId="0EABADB8" w14:textId="77777777" w:rsidR="00ED48B6" w:rsidRPr="00BF625B" w:rsidRDefault="00ED48B6" w:rsidP="00ED48B6">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49A679D3" w14:textId="46330C27" w:rsidR="00E147C4" w:rsidRPr="00417BEE" w:rsidRDefault="000C5432" w:rsidP="000C5432">
      <w:pPr>
        <w:pStyle w:val="paraA0"/>
        <w:spacing w:after="0"/>
        <w:jc w:val="center"/>
        <w:rPr>
          <w:sz w:val="16"/>
          <w:szCs w:val="16"/>
        </w:rPr>
      </w:pPr>
      <w:r w:rsidRPr="00417BEE">
        <w:rPr>
          <w:sz w:val="16"/>
          <w:szCs w:val="16"/>
        </w:rPr>
        <w:t xml:space="preserve">IS-ELISA = indirect sandwich enzyme-linked immunosorbent assay; </w:t>
      </w:r>
      <w:r w:rsidR="00E147C4" w:rsidRPr="00417BEE">
        <w:rPr>
          <w:sz w:val="16"/>
          <w:szCs w:val="16"/>
        </w:rPr>
        <w:t xml:space="preserve">CFT = complement fixation test; </w:t>
      </w:r>
      <w:r w:rsidR="00AD3E4F" w:rsidRPr="00417BEE">
        <w:rPr>
          <w:sz w:val="16"/>
          <w:szCs w:val="16"/>
        </w:rPr>
        <w:br/>
      </w:r>
      <w:r w:rsidR="00AE4AC6" w:rsidRPr="00417BEE">
        <w:rPr>
          <w:sz w:val="16"/>
          <w:szCs w:val="16"/>
        </w:rPr>
        <w:t>RT-</w:t>
      </w:r>
      <w:r w:rsidR="00E147C4" w:rsidRPr="00417BEE">
        <w:rPr>
          <w:sz w:val="16"/>
          <w:szCs w:val="16"/>
        </w:rPr>
        <w:t xml:space="preserve">PCR = </w:t>
      </w:r>
      <w:r w:rsidR="00AE4AC6" w:rsidRPr="00417BEE">
        <w:rPr>
          <w:sz w:val="16"/>
          <w:szCs w:val="16"/>
        </w:rPr>
        <w:t>reverse transcript</w:t>
      </w:r>
      <w:r w:rsidR="00CF6954">
        <w:rPr>
          <w:sz w:val="16"/>
          <w:szCs w:val="16"/>
        </w:rPr>
        <w:t>ion</w:t>
      </w:r>
      <w:r w:rsidR="00E147C4" w:rsidRPr="00417BEE">
        <w:rPr>
          <w:sz w:val="16"/>
          <w:szCs w:val="16"/>
        </w:rPr>
        <w:t xml:space="preserve"> polymerase chain reaction; LP-ELISA = </w:t>
      </w:r>
      <w:r w:rsidR="00A42830" w:rsidRPr="00417BEE">
        <w:rPr>
          <w:sz w:val="16"/>
          <w:szCs w:val="16"/>
        </w:rPr>
        <w:t xml:space="preserve">liquid-phase blocking ELISA; </w:t>
      </w:r>
      <w:r w:rsidR="00AD3E4F" w:rsidRPr="00417BEE">
        <w:rPr>
          <w:sz w:val="16"/>
          <w:szCs w:val="16"/>
        </w:rPr>
        <w:br/>
        <w:t xml:space="preserve">C-ELISA = competitive ELISA; </w:t>
      </w:r>
      <w:r w:rsidRPr="00417BEE">
        <w:rPr>
          <w:sz w:val="16"/>
          <w:szCs w:val="16"/>
        </w:rPr>
        <w:t>VN</w:t>
      </w:r>
      <w:r w:rsidR="008D1FB1">
        <w:rPr>
          <w:sz w:val="16"/>
          <w:szCs w:val="16"/>
        </w:rPr>
        <w:t>T</w:t>
      </w:r>
      <w:r w:rsidRPr="00417BEE">
        <w:rPr>
          <w:sz w:val="16"/>
          <w:szCs w:val="16"/>
        </w:rPr>
        <w:t xml:space="preserve"> = virus neutralisation</w:t>
      </w:r>
      <w:r w:rsidR="008D1FB1">
        <w:rPr>
          <w:sz w:val="16"/>
          <w:szCs w:val="16"/>
        </w:rPr>
        <w:t xml:space="preserve"> test.</w:t>
      </w:r>
    </w:p>
    <w:p w14:paraId="4694B5BE" w14:textId="3D831E96" w:rsidR="0036124D" w:rsidRDefault="00BD7C80" w:rsidP="0036124D">
      <w:pPr>
        <w:pStyle w:val="paraA0"/>
        <w:spacing w:after="0"/>
        <w:jc w:val="center"/>
        <w:rPr>
          <w:sz w:val="16"/>
          <w:szCs w:val="16"/>
        </w:rPr>
      </w:pPr>
      <w:r w:rsidRPr="00417BEE">
        <w:rPr>
          <w:sz w:val="16"/>
          <w:szCs w:val="16"/>
        </w:rPr>
        <w:t>*Should only be used on animals demonstrating clinical s</w:t>
      </w:r>
      <w:r w:rsidR="000C5432" w:rsidRPr="00417BEE">
        <w:rPr>
          <w:sz w:val="16"/>
          <w:szCs w:val="16"/>
        </w:rPr>
        <w:t>ign</w:t>
      </w:r>
      <w:r w:rsidRPr="00417BEE">
        <w:rPr>
          <w:sz w:val="16"/>
          <w:szCs w:val="16"/>
        </w:rPr>
        <w:t xml:space="preserve">s compatible with VSV. A positive result is meaningful. </w:t>
      </w:r>
      <w:r w:rsidR="00CF6954">
        <w:rPr>
          <w:sz w:val="16"/>
          <w:szCs w:val="16"/>
        </w:rPr>
        <w:br/>
      </w:r>
      <w:r w:rsidRPr="00417BEE">
        <w:rPr>
          <w:sz w:val="16"/>
          <w:szCs w:val="16"/>
        </w:rPr>
        <w:t>A negative result could mean the animal is no longer shedding virus, the virus level is too low to detect, or</w:t>
      </w:r>
      <w:r w:rsidR="00EB40E8" w:rsidRPr="00417BEE">
        <w:rPr>
          <w:sz w:val="16"/>
          <w:szCs w:val="16"/>
        </w:rPr>
        <w:t>,</w:t>
      </w:r>
      <w:r w:rsidRPr="00417BEE">
        <w:rPr>
          <w:sz w:val="16"/>
          <w:szCs w:val="16"/>
        </w:rPr>
        <w:t xml:space="preserve"> for virus isolation samples that the samples were not maintained at appropriate temperatures and received in an appropriate time </w:t>
      </w:r>
      <w:r w:rsidR="00EB40E8" w:rsidRPr="00417BEE">
        <w:rPr>
          <w:sz w:val="16"/>
          <w:szCs w:val="16"/>
        </w:rPr>
        <w:t xml:space="preserve">period </w:t>
      </w:r>
      <w:r w:rsidR="00CF6954">
        <w:rPr>
          <w:sz w:val="16"/>
          <w:szCs w:val="16"/>
        </w:rPr>
        <w:br/>
      </w:r>
      <w:r w:rsidRPr="00417BEE">
        <w:rPr>
          <w:sz w:val="16"/>
          <w:szCs w:val="16"/>
        </w:rPr>
        <w:t>following collection for virus isolation (virus inactivated).</w:t>
      </w:r>
    </w:p>
    <w:p w14:paraId="400E1974" w14:textId="27CEF82C" w:rsidR="0036124D" w:rsidRDefault="00B330D3" w:rsidP="0036124D">
      <w:pPr>
        <w:pStyle w:val="paraA0"/>
        <w:spacing w:after="0"/>
        <w:jc w:val="center"/>
        <w:rPr>
          <w:sz w:val="16"/>
          <w:szCs w:val="16"/>
        </w:rPr>
      </w:pPr>
      <w:r w:rsidRPr="00417BEE">
        <w:rPr>
          <w:sz w:val="16"/>
          <w:szCs w:val="16"/>
        </w:rPr>
        <w:t>**</w:t>
      </w:r>
      <w:r w:rsidR="005C52D3" w:rsidRPr="00417BEE">
        <w:rPr>
          <w:sz w:val="16"/>
          <w:szCs w:val="16"/>
        </w:rPr>
        <w:t xml:space="preserve">The presence </w:t>
      </w:r>
      <w:r w:rsidR="000C5432" w:rsidRPr="00417BEE">
        <w:rPr>
          <w:sz w:val="16"/>
          <w:szCs w:val="16"/>
        </w:rPr>
        <w:t>of VSV antibodies only indicates</w:t>
      </w:r>
      <w:r w:rsidR="005C52D3" w:rsidRPr="00417BEE">
        <w:rPr>
          <w:sz w:val="16"/>
          <w:szCs w:val="16"/>
        </w:rPr>
        <w:t xml:space="preserve"> prior exposure to VSV.</w:t>
      </w:r>
      <w:r w:rsidR="00692795" w:rsidRPr="00417BEE">
        <w:rPr>
          <w:sz w:val="16"/>
          <w:szCs w:val="16"/>
        </w:rPr>
        <w:t xml:space="preserve"> </w:t>
      </w:r>
      <w:r w:rsidR="005C52D3" w:rsidRPr="00417BEE">
        <w:rPr>
          <w:sz w:val="16"/>
          <w:szCs w:val="16"/>
        </w:rPr>
        <w:t>It does</w:t>
      </w:r>
      <w:r w:rsidR="000C5432" w:rsidRPr="00417BEE">
        <w:rPr>
          <w:sz w:val="16"/>
          <w:szCs w:val="16"/>
        </w:rPr>
        <w:t xml:space="preserve"> no</w:t>
      </w:r>
      <w:r w:rsidR="005C52D3" w:rsidRPr="00417BEE">
        <w:rPr>
          <w:sz w:val="16"/>
          <w:szCs w:val="16"/>
        </w:rPr>
        <w:t xml:space="preserve">t </w:t>
      </w:r>
      <w:r w:rsidR="000C5432" w:rsidRPr="00417BEE">
        <w:rPr>
          <w:sz w:val="16"/>
          <w:szCs w:val="16"/>
        </w:rPr>
        <w:t>determine whether</w:t>
      </w:r>
      <w:r w:rsidR="005C52D3" w:rsidRPr="00417BEE">
        <w:rPr>
          <w:sz w:val="16"/>
          <w:szCs w:val="16"/>
        </w:rPr>
        <w:t xml:space="preserve"> the antibodies </w:t>
      </w:r>
      <w:r w:rsidR="00ED48B6">
        <w:rPr>
          <w:sz w:val="16"/>
          <w:szCs w:val="16"/>
        </w:rPr>
        <w:br/>
      </w:r>
      <w:r w:rsidR="005C52D3" w:rsidRPr="00417BEE">
        <w:rPr>
          <w:sz w:val="16"/>
          <w:szCs w:val="16"/>
        </w:rPr>
        <w:t>are due to current infection or past infection.</w:t>
      </w:r>
      <w:r w:rsidR="00760544" w:rsidRPr="00760544">
        <w:t xml:space="preserve"> </w:t>
      </w:r>
      <w:r w:rsidR="00760544" w:rsidRPr="00757732">
        <w:rPr>
          <w:sz w:val="16"/>
          <w:szCs w:val="16"/>
          <w:u w:val="double"/>
        </w:rPr>
        <w:t xml:space="preserve">Paired sera from the same animals, collected 1–2 weeks apart, </w:t>
      </w:r>
      <w:r w:rsidR="009015FD">
        <w:rPr>
          <w:sz w:val="16"/>
          <w:szCs w:val="16"/>
          <w:u w:val="double"/>
        </w:rPr>
        <w:br/>
      </w:r>
      <w:r w:rsidR="00760544" w:rsidRPr="00757732">
        <w:rPr>
          <w:sz w:val="16"/>
          <w:szCs w:val="16"/>
          <w:u w:val="double"/>
        </w:rPr>
        <w:t xml:space="preserve">may be needed to evaluate </w:t>
      </w:r>
      <w:r w:rsidR="00760544" w:rsidRPr="002575A5">
        <w:rPr>
          <w:sz w:val="16"/>
          <w:szCs w:val="16"/>
          <w:u w:val="double"/>
        </w:rPr>
        <w:t>seroconver</w:t>
      </w:r>
      <w:r w:rsidR="002263DA" w:rsidRPr="002575A5">
        <w:rPr>
          <w:sz w:val="16"/>
          <w:szCs w:val="16"/>
          <w:u w:val="double"/>
        </w:rPr>
        <w:t>s</w:t>
      </w:r>
      <w:r w:rsidR="00760544" w:rsidRPr="002575A5">
        <w:rPr>
          <w:sz w:val="16"/>
          <w:szCs w:val="16"/>
          <w:u w:val="double"/>
        </w:rPr>
        <w:t>ion d</w:t>
      </w:r>
      <w:r w:rsidR="00760544" w:rsidRPr="00757732">
        <w:rPr>
          <w:sz w:val="16"/>
          <w:szCs w:val="16"/>
          <w:u w:val="double"/>
        </w:rPr>
        <w:t>epending on the serological assay being used and prior history of VSV.</w:t>
      </w:r>
      <w:r w:rsidR="005C52D3" w:rsidRPr="00417BEE">
        <w:rPr>
          <w:sz w:val="16"/>
          <w:szCs w:val="16"/>
        </w:rPr>
        <w:t xml:space="preserve"> Interpretation of results needs to be based on serologic</w:t>
      </w:r>
      <w:r w:rsidR="000C5432" w:rsidRPr="00417BEE">
        <w:rPr>
          <w:sz w:val="16"/>
          <w:szCs w:val="16"/>
        </w:rPr>
        <w:t>al</w:t>
      </w:r>
      <w:r w:rsidR="005C52D3" w:rsidRPr="00417BEE">
        <w:rPr>
          <w:sz w:val="16"/>
          <w:szCs w:val="16"/>
        </w:rPr>
        <w:t xml:space="preserve"> results, </w:t>
      </w:r>
      <w:r w:rsidR="00ED48B6">
        <w:rPr>
          <w:sz w:val="16"/>
          <w:szCs w:val="16"/>
        </w:rPr>
        <w:br/>
      </w:r>
      <w:r w:rsidR="005C52D3" w:rsidRPr="00417BEE">
        <w:rPr>
          <w:sz w:val="16"/>
          <w:szCs w:val="16"/>
        </w:rPr>
        <w:t xml:space="preserve">clinical presentation, and epidemiology. </w:t>
      </w:r>
      <w:r w:rsidR="002522CA" w:rsidRPr="00417BEE">
        <w:rPr>
          <w:sz w:val="16"/>
          <w:szCs w:val="16"/>
        </w:rPr>
        <w:t>CF antibody duration i</w:t>
      </w:r>
      <w:r w:rsidR="00A42830" w:rsidRPr="00417BEE">
        <w:rPr>
          <w:sz w:val="16"/>
          <w:szCs w:val="16"/>
        </w:rPr>
        <w:t>n</w:t>
      </w:r>
      <w:r w:rsidR="002522CA" w:rsidRPr="00417BEE">
        <w:rPr>
          <w:sz w:val="16"/>
          <w:szCs w:val="16"/>
        </w:rPr>
        <w:t xml:space="preserve"> an animal is generally less than </w:t>
      </w:r>
      <w:r w:rsidR="000C5432" w:rsidRPr="00417BEE">
        <w:rPr>
          <w:sz w:val="16"/>
          <w:szCs w:val="16"/>
        </w:rPr>
        <w:t>1</w:t>
      </w:r>
      <w:r w:rsidR="002522CA" w:rsidRPr="00417BEE">
        <w:rPr>
          <w:sz w:val="16"/>
          <w:szCs w:val="16"/>
        </w:rPr>
        <w:t xml:space="preserve"> year. Antibodies detected by the VN</w:t>
      </w:r>
      <w:r w:rsidR="008D1FB1">
        <w:rPr>
          <w:sz w:val="16"/>
          <w:szCs w:val="16"/>
        </w:rPr>
        <w:t>T</w:t>
      </w:r>
      <w:r w:rsidR="00A42830" w:rsidRPr="00417BEE">
        <w:rPr>
          <w:sz w:val="16"/>
          <w:szCs w:val="16"/>
        </w:rPr>
        <w:t xml:space="preserve"> </w:t>
      </w:r>
      <w:r w:rsidR="002522CA" w:rsidRPr="00417BEE">
        <w:rPr>
          <w:sz w:val="16"/>
          <w:szCs w:val="16"/>
        </w:rPr>
        <w:t xml:space="preserve">and </w:t>
      </w:r>
      <w:r w:rsidR="00A42830" w:rsidRPr="00417BEE">
        <w:rPr>
          <w:sz w:val="16"/>
          <w:szCs w:val="16"/>
        </w:rPr>
        <w:t xml:space="preserve">competitive </w:t>
      </w:r>
      <w:r w:rsidR="002522CA" w:rsidRPr="00417BEE">
        <w:rPr>
          <w:sz w:val="16"/>
          <w:szCs w:val="16"/>
        </w:rPr>
        <w:t>ELISA</w:t>
      </w:r>
      <w:r w:rsidR="00A42830" w:rsidRPr="00417BEE">
        <w:rPr>
          <w:sz w:val="16"/>
          <w:szCs w:val="16"/>
        </w:rPr>
        <w:t>s</w:t>
      </w:r>
      <w:r w:rsidR="002522CA" w:rsidRPr="00417BEE">
        <w:rPr>
          <w:sz w:val="16"/>
          <w:szCs w:val="16"/>
        </w:rPr>
        <w:t xml:space="preserve"> can be detected for years following infection. </w:t>
      </w:r>
      <w:r w:rsidR="00A42830" w:rsidRPr="00417BEE">
        <w:rPr>
          <w:sz w:val="16"/>
          <w:szCs w:val="16"/>
        </w:rPr>
        <w:t>The difference in s</w:t>
      </w:r>
      <w:r w:rsidR="002522CA" w:rsidRPr="00417BEE">
        <w:rPr>
          <w:sz w:val="16"/>
          <w:szCs w:val="16"/>
        </w:rPr>
        <w:t>ensitivity of the serologic</w:t>
      </w:r>
      <w:r w:rsidR="00A42830" w:rsidRPr="00417BEE">
        <w:rPr>
          <w:sz w:val="16"/>
          <w:szCs w:val="16"/>
        </w:rPr>
        <w:t>al</w:t>
      </w:r>
      <w:r w:rsidR="002522CA" w:rsidRPr="00417BEE">
        <w:rPr>
          <w:sz w:val="16"/>
          <w:szCs w:val="16"/>
        </w:rPr>
        <w:t xml:space="preserve"> assays </w:t>
      </w:r>
      <w:r w:rsidR="00A42830" w:rsidRPr="00417BEE">
        <w:rPr>
          <w:sz w:val="16"/>
          <w:szCs w:val="16"/>
        </w:rPr>
        <w:t xml:space="preserve">has an effect on </w:t>
      </w:r>
      <w:r w:rsidR="002522CA" w:rsidRPr="00417BEE">
        <w:rPr>
          <w:sz w:val="16"/>
          <w:szCs w:val="16"/>
        </w:rPr>
        <w:t>detection during the acute phase of infection</w:t>
      </w:r>
      <w:r w:rsidR="00A42830" w:rsidRPr="00417BEE">
        <w:rPr>
          <w:sz w:val="16"/>
          <w:szCs w:val="16"/>
        </w:rPr>
        <w:t>;</w:t>
      </w:r>
      <w:r w:rsidR="002522CA" w:rsidRPr="00417BEE">
        <w:rPr>
          <w:sz w:val="16"/>
          <w:szCs w:val="16"/>
        </w:rPr>
        <w:t xml:space="preserve"> combination testing</w:t>
      </w:r>
      <w:r w:rsidR="00A42830" w:rsidRPr="00417BEE">
        <w:rPr>
          <w:sz w:val="16"/>
          <w:szCs w:val="16"/>
        </w:rPr>
        <w:t>,</w:t>
      </w:r>
      <w:r w:rsidR="002522CA" w:rsidRPr="00417BEE">
        <w:rPr>
          <w:sz w:val="16"/>
          <w:szCs w:val="16"/>
        </w:rPr>
        <w:t xml:space="preserve"> such as C</w:t>
      </w:r>
      <w:r w:rsidR="00A42830" w:rsidRPr="00417BEE">
        <w:rPr>
          <w:sz w:val="16"/>
          <w:szCs w:val="16"/>
        </w:rPr>
        <w:t>-</w:t>
      </w:r>
      <w:r w:rsidR="002522CA" w:rsidRPr="00417BEE">
        <w:rPr>
          <w:sz w:val="16"/>
          <w:szCs w:val="16"/>
        </w:rPr>
        <w:t xml:space="preserve">ELISA </w:t>
      </w:r>
      <w:r w:rsidR="00ED48B6">
        <w:rPr>
          <w:sz w:val="16"/>
          <w:szCs w:val="16"/>
        </w:rPr>
        <w:br/>
      </w:r>
      <w:r w:rsidR="002522CA" w:rsidRPr="00417BEE">
        <w:rPr>
          <w:sz w:val="16"/>
          <w:szCs w:val="16"/>
        </w:rPr>
        <w:t xml:space="preserve">and CF or paired sampling showing </w:t>
      </w:r>
      <w:r w:rsidR="000C5432" w:rsidRPr="00417BEE">
        <w:rPr>
          <w:sz w:val="16"/>
          <w:szCs w:val="16"/>
        </w:rPr>
        <w:t>four</w:t>
      </w:r>
      <w:r w:rsidR="002522CA" w:rsidRPr="00417BEE">
        <w:rPr>
          <w:sz w:val="16"/>
          <w:szCs w:val="16"/>
        </w:rPr>
        <w:t xml:space="preserve">-fold </w:t>
      </w:r>
      <w:r w:rsidR="00E96498" w:rsidRPr="00417BEE">
        <w:rPr>
          <w:sz w:val="16"/>
          <w:szCs w:val="16"/>
        </w:rPr>
        <w:t>titre</w:t>
      </w:r>
      <w:r w:rsidR="002522CA" w:rsidRPr="00417BEE">
        <w:rPr>
          <w:sz w:val="16"/>
          <w:szCs w:val="16"/>
        </w:rPr>
        <w:t xml:space="preserve"> change (CF</w:t>
      </w:r>
      <w:r w:rsidR="002575A5">
        <w:rPr>
          <w:sz w:val="16"/>
          <w:szCs w:val="16"/>
        </w:rPr>
        <w:t>T</w:t>
      </w:r>
      <w:r w:rsidR="002522CA" w:rsidRPr="00417BEE">
        <w:rPr>
          <w:sz w:val="16"/>
          <w:szCs w:val="16"/>
        </w:rPr>
        <w:t>, VN</w:t>
      </w:r>
      <w:r w:rsidR="008D1FB1">
        <w:rPr>
          <w:sz w:val="16"/>
          <w:szCs w:val="16"/>
        </w:rPr>
        <w:t>T</w:t>
      </w:r>
      <w:r w:rsidR="00956C39" w:rsidRPr="00417BEE">
        <w:rPr>
          <w:sz w:val="16"/>
          <w:szCs w:val="16"/>
        </w:rPr>
        <w:t>, LP-ELISA</w:t>
      </w:r>
      <w:r w:rsidR="002522CA" w:rsidRPr="00417BEE">
        <w:rPr>
          <w:sz w:val="16"/>
          <w:szCs w:val="16"/>
        </w:rPr>
        <w:t>)</w:t>
      </w:r>
      <w:r w:rsidR="00A42830" w:rsidRPr="00417BEE">
        <w:rPr>
          <w:sz w:val="16"/>
          <w:szCs w:val="16"/>
        </w:rPr>
        <w:t>,</w:t>
      </w:r>
      <w:r w:rsidR="002522CA" w:rsidRPr="00417BEE">
        <w:rPr>
          <w:sz w:val="16"/>
          <w:szCs w:val="16"/>
        </w:rPr>
        <w:t xml:space="preserve"> </w:t>
      </w:r>
      <w:r w:rsidR="00A42830" w:rsidRPr="00417BEE">
        <w:rPr>
          <w:sz w:val="16"/>
          <w:szCs w:val="16"/>
        </w:rPr>
        <w:t>is therefore</w:t>
      </w:r>
      <w:r w:rsidR="002522CA" w:rsidRPr="00417BEE">
        <w:rPr>
          <w:sz w:val="16"/>
          <w:szCs w:val="16"/>
        </w:rPr>
        <w:t xml:space="preserve"> necessary when an animal presents with acute clinical signs of VSV.</w:t>
      </w:r>
    </w:p>
    <w:p w14:paraId="129C6BFF" w14:textId="77F33E78" w:rsidR="00B330D3" w:rsidRPr="00417BEE" w:rsidRDefault="00B330D3" w:rsidP="001E24B0">
      <w:pPr>
        <w:pStyle w:val="paraA0"/>
        <w:jc w:val="center"/>
        <w:rPr>
          <w:sz w:val="16"/>
          <w:szCs w:val="16"/>
        </w:rPr>
      </w:pPr>
      <w:r w:rsidRPr="00417BEE">
        <w:rPr>
          <w:sz w:val="16"/>
          <w:szCs w:val="16"/>
        </w:rPr>
        <w:t>***</w:t>
      </w:r>
      <w:r w:rsidR="00EB40E8" w:rsidRPr="00417BEE">
        <w:rPr>
          <w:sz w:val="16"/>
          <w:szCs w:val="16"/>
        </w:rPr>
        <w:t>I</w:t>
      </w:r>
      <w:r w:rsidRPr="00417BEE">
        <w:rPr>
          <w:sz w:val="16"/>
          <w:szCs w:val="16"/>
        </w:rPr>
        <w:t>ndicates the presence of antibodies</w:t>
      </w:r>
      <w:r w:rsidR="00EB40E8" w:rsidRPr="00417BEE">
        <w:rPr>
          <w:sz w:val="16"/>
          <w:szCs w:val="16"/>
        </w:rPr>
        <w:t xml:space="preserve"> only</w:t>
      </w:r>
      <w:r w:rsidR="00A42830" w:rsidRPr="00417BEE">
        <w:rPr>
          <w:sz w:val="16"/>
          <w:szCs w:val="16"/>
        </w:rPr>
        <w:t>; d</w:t>
      </w:r>
      <w:r w:rsidRPr="00417BEE">
        <w:rPr>
          <w:sz w:val="16"/>
          <w:szCs w:val="16"/>
        </w:rPr>
        <w:t>oes not indicate protection from infection.</w:t>
      </w:r>
    </w:p>
    <w:p w14:paraId="15E7CF09" w14:textId="0FAE5F19" w:rsidR="00D826B8" w:rsidRPr="00417BEE" w:rsidRDefault="00D826B8" w:rsidP="0036124D">
      <w:pPr>
        <w:pStyle w:val="1"/>
        <w:keepNext/>
        <w:spacing w:after="120"/>
      </w:pPr>
      <w:r w:rsidRPr="00417BEE">
        <w:t>1.</w:t>
      </w:r>
      <w:r w:rsidRPr="00417BEE">
        <w:tab/>
      </w:r>
      <w:r w:rsidR="005743D9" w:rsidRPr="00C12449">
        <w:rPr>
          <w:strike/>
        </w:rPr>
        <w:t xml:space="preserve">Identification </w:t>
      </w:r>
      <w:r w:rsidR="005743D9" w:rsidRPr="00C12449">
        <w:rPr>
          <w:u w:val="double"/>
        </w:rPr>
        <w:t>Detection</w:t>
      </w:r>
      <w:r w:rsidR="005743D9">
        <w:t xml:space="preserve"> </w:t>
      </w:r>
      <w:r w:rsidRPr="00417BEE">
        <w:t>of the agent</w:t>
      </w:r>
    </w:p>
    <w:p w14:paraId="78FE44FD" w14:textId="77777777" w:rsidR="007D0203" w:rsidRPr="00417BEE" w:rsidRDefault="00212A1F" w:rsidP="001E24B0">
      <w:pPr>
        <w:pStyle w:val="11"/>
      </w:pPr>
      <w:r w:rsidRPr="00417BEE">
        <w:t>1.1.</w:t>
      </w:r>
      <w:r w:rsidRPr="00417BEE">
        <w:tab/>
      </w:r>
      <w:r w:rsidR="007D0203" w:rsidRPr="00417BEE">
        <w:t>Direct visuali</w:t>
      </w:r>
      <w:r w:rsidR="00E96498" w:rsidRPr="00417BEE">
        <w:t>s</w:t>
      </w:r>
      <w:r w:rsidR="007D0203" w:rsidRPr="00417BEE">
        <w:t>ation</w:t>
      </w:r>
    </w:p>
    <w:p w14:paraId="4DA98B01" w14:textId="77777777" w:rsidR="00692795" w:rsidRPr="00417BEE" w:rsidRDefault="007D0203" w:rsidP="00692795">
      <w:pPr>
        <w:pStyle w:val="11Para"/>
      </w:pPr>
      <w:r w:rsidRPr="00417BEE">
        <w:t>Due to the different morphological characteristics of the rhabdovirus (VS serogroup viruses), picornavirus (FMD virus and SVD virus), calicivirus (VES) and the large number of virus particles present in vesicular fluids and epithelial tissues, electron microscopy can be a useful diagnostic tool for differentiating the virus family involved.</w:t>
      </w:r>
    </w:p>
    <w:p w14:paraId="7C46912F" w14:textId="0A1EAF85" w:rsidR="007D0203" w:rsidRPr="00417BEE" w:rsidRDefault="00212A1F" w:rsidP="001E24B0">
      <w:pPr>
        <w:pStyle w:val="11"/>
        <w:rPr>
          <w:bCs/>
        </w:rPr>
      </w:pPr>
      <w:r w:rsidRPr="00417BEE">
        <w:rPr>
          <w:bCs/>
        </w:rPr>
        <w:t>1.2.</w:t>
      </w:r>
      <w:r w:rsidRPr="00417BEE">
        <w:rPr>
          <w:bCs/>
        </w:rPr>
        <w:tab/>
      </w:r>
      <w:r w:rsidR="002B381B" w:rsidRPr="00A14504">
        <w:rPr>
          <w:bCs/>
          <w:u w:val="double"/>
        </w:rPr>
        <w:t>Virus isolation</w:t>
      </w:r>
      <w:r w:rsidR="007348AC" w:rsidRPr="00A14504">
        <w:rPr>
          <w:bCs/>
          <w:u w:val="double"/>
        </w:rPr>
        <w:t xml:space="preserve"> in cell culture</w:t>
      </w:r>
      <w:r w:rsidR="00A14504">
        <w:rPr>
          <w:bCs/>
        </w:rPr>
        <w:t xml:space="preserve"> </w:t>
      </w:r>
      <w:r w:rsidR="007D0203" w:rsidRPr="00A14504">
        <w:rPr>
          <w:bCs/>
          <w:i/>
          <w:strike/>
        </w:rPr>
        <w:t>In</w:t>
      </w:r>
      <w:r w:rsidRPr="00A14504">
        <w:rPr>
          <w:bCs/>
          <w:i/>
          <w:strike/>
        </w:rPr>
        <w:t>-</w:t>
      </w:r>
      <w:r w:rsidR="007D0203" w:rsidRPr="00A14504">
        <w:rPr>
          <w:bCs/>
          <w:i/>
          <w:strike/>
        </w:rPr>
        <w:t>vitro</w:t>
      </w:r>
      <w:r w:rsidR="007D0203" w:rsidRPr="00A14504">
        <w:rPr>
          <w:bCs/>
          <w:strike/>
        </w:rPr>
        <w:t xml:space="preserve"> cultivation</w:t>
      </w:r>
    </w:p>
    <w:p w14:paraId="3A3CA086" w14:textId="5DED3D00" w:rsidR="00D826B8" w:rsidRDefault="00D826B8" w:rsidP="001E24B0">
      <w:pPr>
        <w:pStyle w:val="11Para"/>
      </w:pPr>
      <w:r w:rsidRPr="00417BEE">
        <w:t>For identification of VS virus</w:t>
      </w:r>
      <w:r w:rsidR="00C27B17" w:rsidRPr="00417BEE">
        <w:t>es</w:t>
      </w:r>
      <w:r w:rsidRPr="00417BEE">
        <w:t xml:space="preserve"> and the differential diagnosis of vesicular diseases, clarified suspensions of field samples suspected to contain virus should be submitted for testing. For virus isolation, the samples are inoculated into appropriate cell cultures. The inoculation of African green monkey kidney (Vero), baby hamster kidney (BHK-21) and IB-RS-2 cell cultures with the same sample permits differentiation of the vesicular diseases: VS virus</w:t>
      </w:r>
      <w:r w:rsidR="00C27B17" w:rsidRPr="00417BEE">
        <w:t>es</w:t>
      </w:r>
      <w:r w:rsidRPr="00417BEE">
        <w:t xml:space="preserve"> cause a cytopathic effect (CPE) in all three cell lines; FMD virus causes a CPE in BHK-21 and in IB-RS-2, while SVD virus causes a CPE in IB-RS-2 only. Many other cell lines, as well as most primary cell cultures of animal origin, are susceptible to VS </w:t>
      </w:r>
      <w:r w:rsidR="00C27B17" w:rsidRPr="00417BEE">
        <w:t xml:space="preserve">serogroup </w:t>
      </w:r>
      <w:r w:rsidRPr="00417BEE">
        <w:t>virus</w:t>
      </w:r>
      <w:r w:rsidR="00C27B17" w:rsidRPr="00417BEE">
        <w:t>es</w:t>
      </w:r>
      <w:r w:rsidRPr="00417BEE">
        <w:t>.</w:t>
      </w:r>
    </w:p>
    <w:p w14:paraId="714A0336" w14:textId="12CA4439" w:rsidR="00D01D1E" w:rsidRPr="00D01D1E" w:rsidRDefault="00D01D1E" w:rsidP="001E24B0">
      <w:pPr>
        <w:pStyle w:val="11Para"/>
        <w:rPr>
          <w:strike/>
        </w:rPr>
      </w:pPr>
      <w:r w:rsidRPr="00D01D1E">
        <w:rPr>
          <w:strike/>
        </w:rPr>
        <w:t xml:space="preserve">If a CPE develops in the cultures, the preferred immunological methods for the identification of the viral antigens in the laboratory are the ELISA (Alonso </w:t>
      </w:r>
      <w:r w:rsidRPr="00D01D1E">
        <w:rPr>
          <w:i/>
          <w:strike/>
        </w:rPr>
        <w:t>et al</w:t>
      </w:r>
      <w:r w:rsidRPr="00D01D1E">
        <w:rPr>
          <w:strike/>
        </w:rPr>
        <w:t xml:space="preserve">., 1991; Ferris &amp; Donaldson, 1988), the CFT (Alonso </w:t>
      </w:r>
      <w:r w:rsidRPr="00D01D1E">
        <w:rPr>
          <w:i/>
          <w:strike/>
        </w:rPr>
        <w:t>et al</w:t>
      </w:r>
      <w:r w:rsidRPr="00D01D1E">
        <w:rPr>
          <w:strike/>
        </w:rPr>
        <w:t xml:space="preserve">., 1991; Jenny </w:t>
      </w:r>
      <w:r w:rsidRPr="00D01D1E">
        <w:rPr>
          <w:i/>
          <w:strike/>
        </w:rPr>
        <w:t>et al</w:t>
      </w:r>
      <w:r w:rsidRPr="00D01D1E">
        <w:rPr>
          <w:strike/>
        </w:rPr>
        <w:t>., 1958) and fluorescent antibody staining. The virus neutralisation (VN) test, with known positive antisera against the VS virus NJ and IND serotypes, may be used in tissue cultures or embryonated eggs, but it is more time-consuming.</w:t>
      </w:r>
    </w:p>
    <w:p w14:paraId="42357E13" w14:textId="66859E20" w:rsidR="00D77C74" w:rsidRPr="00D01D1E" w:rsidRDefault="000364FC" w:rsidP="00D77C74">
      <w:pPr>
        <w:pStyle w:val="111"/>
        <w:rPr>
          <w:u w:val="double"/>
        </w:rPr>
      </w:pPr>
      <w:r w:rsidRPr="00D01D1E">
        <w:rPr>
          <w:u w:val="double"/>
        </w:rPr>
        <w:t>1.2.1.</w:t>
      </w:r>
      <w:r w:rsidR="00D77C74" w:rsidRPr="00D01D1E">
        <w:rPr>
          <w:u w:val="double"/>
        </w:rPr>
        <w:tab/>
        <w:t>Test procedure</w:t>
      </w:r>
    </w:p>
    <w:p w14:paraId="19327D8A" w14:textId="77777777" w:rsidR="00D77C74" w:rsidRPr="00757732" w:rsidRDefault="00D77C74" w:rsidP="00D77C74">
      <w:pPr>
        <w:pStyle w:val="i"/>
        <w:rPr>
          <w:u w:val="double"/>
        </w:rPr>
      </w:pPr>
      <w:r w:rsidRPr="00757732">
        <w:rPr>
          <w:u w:val="double"/>
        </w:rPr>
        <w:t>i)</w:t>
      </w:r>
      <w:r w:rsidRPr="00757732">
        <w:rPr>
          <w:u w:val="double"/>
        </w:rPr>
        <w:tab/>
        <w:t xml:space="preserve">The epithelium sample </w:t>
      </w:r>
      <w:r w:rsidRPr="00D63C72">
        <w:rPr>
          <w:u w:val="double"/>
        </w:rPr>
        <w:t>should be taken from the phosphate-buffered saline (PBS)/glycerol</w:t>
      </w:r>
      <w:r>
        <w:rPr>
          <w:u w:val="double"/>
        </w:rPr>
        <w:t xml:space="preserve"> solution</w:t>
      </w:r>
      <w:r w:rsidRPr="00D63C72">
        <w:rPr>
          <w:u w:val="double"/>
        </w:rPr>
        <w:t>, blotted dry on absorbent paper to reduce the glycerol content, which is toxic for cell cultures, and weighed. A suspension should be prepared by grinding the sample in sterile sand in a sterile pestle and mortar with a small volum</w:t>
      </w:r>
      <w:r w:rsidRPr="00757732">
        <w:rPr>
          <w:u w:val="double"/>
        </w:rPr>
        <w:t>e of tissue culture medium and antibiotics.</w:t>
      </w:r>
      <w:r>
        <w:rPr>
          <w:u w:val="double"/>
        </w:rPr>
        <w:t xml:space="preserve"> </w:t>
      </w:r>
      <w:r w:rsidRPr="00757732">
        <w:rPr>
          <w:u w:val="double"/>
        </w:rPr>
        <w:t>Further medium should be added until a final volume of nine times that of the epithelial sample has been added, giving a 10% suspension.</w:t>
      </w:r>
      <w:r>
        <w:rPr>
          <w:u w:val="double"/>
        </w:rPr>
        <w:t xml:space="preserve"> </w:t>
      </w:r>
      <w:r w:rsidRPr="00757732">
        <w:rPr>
          <w:u w:val="double"/>
        </w:rPr>
        <w:t xml:space="preserve">This is clarified on a bench centrifuge at 2000 </w:t>
      </w:r>
      <w:r w:rsidRPr="00190785">
        <w:rPr>
          <w:b/>
          <w:bCs/>
          <w:i/>
          <w:iCs/>
          <w:u w:val="double"/>
        </w:rPr>
        <w:t>g</w:t>
      </w:r>
      <w:r w:rsidRPr="00757732">
        <w:rPr>
          <w:u w:val="double"/>
        </w:rPr>
        <w:t xml:space="preserve"> for 10 minutes.</w:t>
      </w:r>
    </w:p>
    <w:p w14:paraId="0D84DDD3" w14:textId="4106DA6B" w:rsidR="00D77C74" w:rsidRDefault="00D77C74" w:rsidP="00A14504">
      <w:pPr>
        <w:pStyle w:val="11Para"/>
        <w:ind w:left="1843" w:hanging="425"/>
      </w:pPr>
      <w:r w:rsidRPr="00757732">
        <w:rPr>
          <w:u w:val="double"/>
        </w:rPr>
        <w:t>ii)</w:t>
      </w:r>
      <w:r w:rsidRPr="00757732">
        <w:rPr>
          <w:u w:val="double"/>
        </w:rPr>
        <w:tab/>
        <w:t xml:space="preserve">The clarified suspension of tissues or vesicular fluid </w:t>
      </w:r>
      <w:r>
        <w:rPr>
          <w:u w:val="double"/>
        </w:rPr>
        <w:t>from</w:t>
      </w:r>
      <w:r w:rsidRPr="00757732">
        <w:rPr>
          <w:u w:val="double"/>
        </w:rPr>
        <w:t xml:space="preserve"> field samples suspected to contain VSV are inoculated onto plates, plastic tubes or flasks cell cultures (BHK-21, IB-RS-2 or VERO cells).</w:t>
      </w:r>
    </w:p>
    <w:p w14:paraId="75E89487" w14:textId="77777777" w:rsidR="006B45C9" w:rsidRPr="00D01D1E" w:rsidRDefault="006B45C9" w:rsidP="006B45C9">
      <w:pPr>
        <w:pStyle w:val="i"/>
        <w:rPr>
          <w:u w:val="double"/>
        </w:rPr>
      </w:pPr>
      <w:r w:rsidRPr="00D01D1E">
        <w:rPr>
          <w:u w:val="double"/>
        </w:rPr>
        <w:t>iii)</w:t>
      </w:r>
      <w:r w:rsidRPr="00D01D1E">
        <w:rPr>
          <w:u w:val="double"/>
        </w:rPr>
        <w:tab/>
        <w:t>Incubate inoculated cell cultures at 37°C for 1 hour (adsorption).</w:t>
      </w:r>
    </w:p>
    <w:p w14:paraId="7696F8CC" w14:textId="0CA301AD" w:rsidR="006B45C9" w:rsidRPr="00D01D1E" w:rsidRDefault="006B45C9" w:rsidP="006B45C9">
      <w:pPr>
        <w:pStyle w:val="i"/>
        <w:rPr>
          <w:u w:val="double"/>
        </w:rPr>
      </w:pPr>
      <w:r w:rsidRPr="00D01D1E">
        <w:rPr>
          <w:u w:val="double"/>
        </w:rPr>
        <w:t>iv)</w:t>
      </w:r>
      <w:r w:rsidRPr="00D01D1E">
        <w:rPr>
          <w:u w:val="double"/>
        </w:rPr>
        <w:tab/>
        <w:t>Discard inoculum and wash cell cultures three times with cell culture medium and replace with cell culture medium containing 2.5% fetal bovine serum (FBS).</w:t>
      </w:r>
    </w:p>
    <w:p w14:paraId="4403E703" w14:textId="4537C0E9" w:rsidR="006A64D8" w:rsidRPr="00A14504" w:rsidRDefault="006A64D8" w:rsidP="006A64D8">
      <w:pPr>
        <w:pStyle w:val="i"/>
        <w:rPr>
          <w:u w:val="double"/>
        </w:rPr>
      </w:pPr>
      <w:r w:rsidRPr="00A14504">
        <w:rPr>
          <w:u w:val="double"/>
        </w:rPr>
        <w:lastRenderedPageBreak/>
        <w:t>v)</w:t>
      </w:r>
      <w:r w:rsidRPr="00A14504">
        <w:rPr>
          <w:u w:val="double"/>
        </w:rPr>
        <w:tab/>
        <w:t>Incubate plates, plastic tubes or flasks cell cultures at 35–37°C and observe for cytopathic effect (CPE). The cell cultures should be examined for CPE for 48–72 hours. If, after 72</w:t>
      </w:r>
      <w:r w:rsidR="00A14504">
        <w:rPr>
          <w:u w:val="double"/>
        </w:rPr>
        <w:t> </w:t>
      </w:r>
      <w:r w:rsidRPr="00A14504">
        <w:rPr>
          <w:u w:val="double"/>
        </w:rPr>
        <w:t xml:space="preserve">hours, no CPE has been detected, a blind passage must be made. The cell culture is freeze–thawed and clarified by centrifugation, and the supernatant is used for inoculation of fresh monolayers. The sample is considered to be negative, if there is no evidence of a CPE after on average </w:t>
      </w:r>
      <w:r w:rsidRPr="002575A5">
        <w:rPr>
          <w:u w:val="double"/>
        </w:rPr>
        <w:t xml:space="preserve">of </w:t>
      </w:r>
      <w:r w:rsidR="002263DA" w:rsidRPr="002575A5">
        <w:rPr>
          <w:u w:val="double"/>
        </w:rPr>
        <w:t>three </w:t>
      </w:r>
      <w:r w:rsidRPr="002575A5">
        <w:rPr>
          <w:u w:val="double"/>
        </w:rPr>
        <w:t>blind passages</w:t>
      </w:r>
      <w:r w:rsidRPr="00A14504">
        <w:rPr>
          <w:u w:val="double"/>
        </w:rPr>
        <w:t xml:space="preserve"> in cell cultures.</w:t>
      </w:r>
    </w:p>
    <w:p w14:paraId="365B4806" w14:textId="7F1853D8" w:rsidR="00B619E9" w:rsidRPr="00D01D1E" w:rsidRDefault="00D01D1E" w:rsidP="00E70CF3">
      <w:pPr>
        <w:pStyle w:val="i"/>
        <w:rPr>
          <w:u w:val="double"/>
        </w:rPr>
      </w:pPr>
      <w:r>
        <w:rPr>
          <w:u w:val="double"/>
        </w:rPr>
        <w:t>v</w:t>
      </w:r>
      <w:r w:rsidR="00E70CF3" w:rsidRPr="00D01D1E">
        <w:rPr>
          <w:u w:val="double"/>
        </w:rPr>
        <w:t>i</w:t>
      </w:r>
      <w:r w:rsidR="00E70CF3" w:rsidRPr="00D01D1E">
        <w:rPr>
          <w:u w:val="double"/>
        </w:rPr>
        <w:tab/>
      </w:r>
      <w:r w:rsidR="007D0203" w:rsidRPr="00D01D1E">
        <w:rPr>
          <w:u w:val="double"/>
        </w:rPr>
        <w:t xml:space="preserve">If a CPE develops in the cultures, the </w:t>
      </w:r>
      <w:r w:rsidR="00B619E9" w:rsidRPr="00D01D1E">
        <w:rPr>
          <w:u w:val="double"/>
        </w:rPr>
        <w:t xml:space="preserve">preferred immunological methods for the identification of the viral antigens in the laboratory are the </w:t>
      </w:r>
      <w:r w:rsidR="00CF6954" w:rsidRPr="00D01D1E">
        <w:rPr>
          <w:u w:val="double"/>
        </w:rPr>
        <w:t>enzyme-linked immunosorbent assay (</w:t>
      </w:r>
      <w:r w:rsidR="00B619E9" w:rsidRPr="00D01D1E">
        <w:rPr>
          <w:u w:val="double"/>
        </w:rPr>
        <w:t>ELISA</w:t>
      </w:r>
      <w:r w:rsidR="00CF6954" w:rsidRPr="00D01D1E">
        <w:rPr>
          <w:u w:val="double"/>
        </w:rPr>
        <w:t>)</w:t>
      </w:r>
      <w:r w:rsidR="00B619E9" w:rsidRPr="00D01D1E">
        <w:rPr>
          <w:u w:val="double"/>
        </w:rPr>
        <w:t xml:space="preserve"> (Alonso </w:t>
      </w:r>
      <w:r w:rsidR="00B619E9" w:rsidRPr="00D01D1E">
        <w:rPr>
          <w:i/>
          <w:iCs/>
          <w:u w:val="double"/>
        </w:rPr>
        <w:t>et al.,</w:t>
      </w:r>
      <w:r w:rsidR="00B619E9" w:rsidRPr="00D01D1E">
        <w:rPr>
          <w:u w:val="double"/>
        </w:rPr>
        <w:t xml:space="preserve"> 1991; Ferris &amp; Donaldson, 1988), the </w:t>
      </w:r>
      <w:r w:rsidR="00702765" w:rsidRPr="00D01D1E">
        <w:rPr>
          <w:u w:val="double"/>
        </w:rPr>
        <w:t>complement fixation test (CFT)</w:t>
      </w:r>
      <w:r w:rsidR="00B619E9" w:rsidRPr="00D01D1E">
        <w:rPr>
          <w:u w:val="double"/>
        </w:rPr>
        <w:t xml:space="preserve"> (Alonso </w:t>
      </w:r>
      <w:r w:rsidR="00B619E9" w:rsidRPr="007C771B">
        <w:rPr>
          <w:i/>
          <w:iCs/>
          <w:u w:val="double"/>
        </w:rPr>
        <w:t>et al</w:t>
      </w:r>
      <w:r w:rsidR="00B619E9" w:rsidRPr="00D01D1E">
        <w:rPr>
          <w:u w:val="double"/>
        </w:rPr>
        <w:t xml:space="preserve">., 1991; Jenny </w:t>
      </w:r>
      <w:r w:rsidR="00B619E9" w:rsidRPr="00D01D1E">
        <w:rPr>
          <w:i/>
          <w:iCs/>
          <w:u w:val="double"/>
        </w:rPr>
        <w:t>et al.,</w:t>
      </w:r>
      <w:r w:rsidR="00B619E9" w:rsidRPr="00D01D1E">
        <w:rPr>
          <w:u w:val="double"/>
        </w:rPr>
        <w:t xml:space="preserve"> 1958) and fluorescent antibody staining. The virus neutralisation </w:t>
      </w:r>
      <w:r w:rsidR="00D63C72" w:rsidRPr="00D01D1E">
        <w:rPr>
          <w:u w:val="double"/>
        </w:rPr>
        <w:t xml:space="preserve">test </w:t>
      </w:r>
      <w:r w:rsidR="00B619E9" w:rsidRPr="00D01D1E">
        <w:rPr>
          <w:u w:val="double"/>
        </w:rPr>
        <w:t>(VN</w:t>
      </w:r>
      <w:r w:rsidR="00D63C72" w:rsidRPr="00D01D1E">
        <w:rPr>
          <w:u w:val="double"/>
        </w:rPr>
        <w:t>T</w:t>
      </w:r>
      <w:r w:rsidR="00B619E9" w:rsidRPr="00D01D1E">
        <w:rPr>
          <w:u w:val="double"/>
        </w:rPr>
        <w:t>), with known positive antisera against the VS virus NJ and IND serotypes, may be used in tissue cultures</w:t>
      </w:r>
      <w:r w:rsidR="00C57F08" w:rsidRPr="00D01D1E">
        <w:rPr>
          <w:u w:val="double"/>
        </w:rPr>
        <w:t xml:space="preserve"> </w:t>
      </w:r>
      <w:r w:rsidR="00B619E9" w:rsidRPr="00D01D1E">
        <w:rPr>
          <w:u w:val="double"/>
        </w:rPr>
        <w:t>or embryonated eggs, but it is more time-consuming.</w:t>
      </w:r>
      <w:r w:rsidR="00A14504" w:rsidRPr="00D01D1E">
        <w:rPr>
          <w:u w:val="double"/>
        </w:rPr>
        <w:t xml:space="preserve"> </w:t>
      </w:r>
      <w:r w:rsidR="00272847" w:rsidRPr="00D01D1E">
        <w:rPr>
          <w:u w:val="double"/>
        </w:rPr>
        <w:t>Reverse</w:t>
      </w:r>
      <w:r w:rsidR="00A14504" w:rsidRPr="00D01D1E">
        <w:rPr>
          <w:u w:val="double"/>
        </w:rPr>
        <w:t>-</w:t>
      </w:r>
      <w:r w:rsidR="00272847" w:rsidRPr="00D01D1E">
        <w:rPr>
          <w:u w:val="double"/>
        </w:rPr>
        <w:t>tr</w:t>
      </w:r>
      <w:r w:rsidR="00B228DA" w:rsidRPr="00D01D1E">
        <w:rPr>
          <w:u w:val="double"/>
        </w:rPr>
        <w:t xml:space="preserve">anscription </w:t>
      </w:r>
      <w:r w:rsidR="00272847" w:rsidRPr="00D01D1E">
        <w:rPr>
          <w:u w:val="double"/>
        </w:rPr>
        <w:t>p</w:t>
      </w:r>
      <w:r w:rsidR="00D63C72" w:rsidRPr="00D01D1E">
        <w:rPr>
          <w:u w:val="double"/>
        </w:rPr>
        <w:t>olymerase chain reaction (</w:t>
      </w:r>
      <w:r w:rsidR="00B228DA" w:rsidRPr="00D01D1E">
        <w:rPr>
          <w:u w:val="double"/>
        </w:rPr>
        <w:t>RT-</w:t>
      </w:r>
      <w:r w:rsidR="00760544" w:rsidRPr="00D01D1E">
        <w:rPr>
          <w:u w:val="double"/>
        </w:rPr>
        <w:t>PCR</w:t>
      </w:r>
      <w:r w:rsidR="00D63C72" w:rsidRPr="00D01D1E">
        <w:rPr>
          <w:u w:val="double"/>
        </w:rPr>
        <w:t>)</w:t>
      </w:r>
      <w:r w:rsidR="00760544" w:rsidRPr="00D01D1E">
        <w:rPr>
          <w:u w:val="double"/>
        </w:rPr>
        <w:t xml:space="preserve"> may also be </w:t>
      </w:r>
      <w:r w:rsidR="00223D10" w:rsidRPr="00D01D1E">
        <w:rPr>
          <w:u w:val="double"/>
        </w:rPr>
        <w:t xml:space="preserve">used to identify virus isolates, </w:t>
      </w:r>
      <w:r w:rsidR="00760544" w:rsidRPr="00D01D1E">
        <w:rPr>
          <w:u w:val="double"/>
        </w:rPr>
        <w:t>using appropriate sets of primers</w:t>
      </w:r>
      <w:r w:rsidR="00AB4A4D" w:rsidRPr="00D01D1E">
        <w:rPr>
          <w:u w:val="double"/>
        </w:rPr>
        <w:t xml:space="preserve"> (Rainwater-Lovett </w:t>
      </w:r>
      <w:r w:rsidR="00AB4A4D" w:rsidRPr="007C771B">
        <w:rPr>
          <w:i/>
          <w:iCs/>
          <w:u w:val="double"/>
        </w:rPr>
        <w:t>et al</w:t>
      </w:r>
      <w:r w:rsidR="00AB4A4D" w:rsidRPr="00D01D1E">
        <w:rPr>
          <w:u w:val="double"/>
        </w:rPr>
        <w:t>., 2007; Sep</w:t>
      </w:r>
      <w:r w:rsidR="00D63C72" w:rsidRPr="00D01D1E">
        <w:rPr>
          <w:u w:val="double"/>
        </w:rPr>
        <w:t>u</w:t>
      </w:r>
      <w:r w:rsidR="00AB4A4D" w:rsidRPr="00D01D1E">
        <w:rPr>
          <w:u w:val="double"/>
        </w:rPr>
        <w:t xml:space="preserve">lveda </w:t>
      </w:r>
      <w:r w:rsidR="00AB4A4D" w:rsidRPr="007C771B">
        <w:rPr>
          <w:i/>
          <w:iCs/>
          <w:u w:val="double"/>
        </w:rPr>
        <w:t>et al.,</w:t>
      </w:r>
      <w:r w:rsidR="00AB4A4D" w:rsidRPr="00D01D1E">
        <w:rPr>
          <w:u w:val="double"/>
        </w:rPr>
        <w:t xml:space="preserve"> 2007).</w:t>
      </w:r>
    </w:p>
    <w:p w14:paraId="66E6D07D" w14:textId="6F5E1A02" w:rsidR="00692795" w:rsidRPr="00417BEE" w:rsidRDefault="00212A1F" w:rsidP="00692795">
      <w:pPr>
        <w:pStyle w:val="11"/>
      </w:pPr>
      <w:r w:rsidRPr="00417BEE">
        <w:t>1.3.</w:t>
      </w:r>
      <w:r w:rsidRPr="00417BEE">
        <w:tab/>
      </w:r>
      <w:r w:rsidR="007D0203" w:rsidRPr="00A14504">
        <w:rPr>
          <w:i/>
          <w:u w:val="double"/>
        </w:rPr>
        <w:t>In</w:t>
      </w:r>
      <w:r w:rsidRPr="00A14504">
        <w:rPr>
          <w:i/>
          <w:u w:val="double"/>
        </w:rPr>
        <w:t>-</w:t>
      </w:r>
      <w:r w:rsidR="00223D10" w:rsidRPr="00A14504">
        <w:rPr>
          <w:i/>
          <w:u w:val="double"/>
        </w:rPr>
        <w:t>o</w:t>
      </w:r>
      <w:r w:rsidR="007D0203" w:rsidRPr="00A14504">
        <w:rPr>
          <w:i/>
          <w:u w:val="double"/>
        </w:rPr>
        <w:t>vo</w:t>
      </w:r>
      <w:r w:rsidR="007D0203" w:rsidRPr="00417BEE">
        <w:t xml:space="preserve"> </w:t>
      </w:r>
      <w:r w:rsidR="00A14504" w:rsidRPr="00A14504">
        <w:rPr>
          <w:i/>
          <w:iCs/>
          <w:strike/>
        </w:rPr>
        <w:t>in-vivo</w:t>
      </w:r>
      <w:r w:rsidR="00A14504">
        <w:t xml:space="preserve"> </w:t>
      </w:r>
      <w:r w:rsidR="007D0203" w:rsidRPr="00417BEE">
        <w:t>testing</w:t>
      </w:r>
    </w:p>
    <w:p w14:paraId="0CC98823" w14:textId="18CF0D80" w:rsidR="00D826B8" w:rsidRPr="00417BEE" w:rsidRDefault="006A25AB" w:rsidP="001E24B0">
      <w:pPr>
        <w:pStyle w:val="11Para"/>
      </w:pPr>
      <w:r>
        <w:t>The v</w:t>
      </w:r>
      <w:r w:rsidR="00D826B8" w:rsidRPr="00417BEE">
        <w:t>irus replicates and can be isolated in 8</w:t>
      </w:r>
      <w:r w:rsidR="00513500" w:rsidRPr="00417BEE">
        <w:t xml:space="preserve">- to </w:t>
      </w:r>
      <w:r w:rsidR="00D826B8" w:rsidRPr="00417BEE">
        <w:t>10-day-old chicken embryos by inoculation into the allantoic sac</w:t>
      </w:r>
      <w:r w:rsidR="00C57F08" w:rsidRPr="00417BEE">
        <w:t>.</w:t>
      </w:r>
      <w:r w:rsidR="00D826B8" w:rsidRPr="00417BEE">
        <w:t xml:space="preserve"> </w:t>
      </w:r>
    </w:p>
    <w:p w14:paraId="2A784C08" w14:textId="60C272E3" w:rsidR="00EB77B1" w:rsidRPr="00A14504" w:rsidRDefault="00212A1F" w:rsidP="0036124D">
      <w:pPr>
        <w:pStyle w:val="11"/>
        <w:spacing w:after="120"/>
        <w:rPr>
          <w:strike/>
        </w:rPr>
      </w:pPr>
      <w:r w:rsidRPr="00A14504">
        <w:rPr>
          <w:strike/>
        </w:rPr>
        <w:t>1.4.</w:t>
      </w:r>
      <w:r w:rsidR="00EB77B1" w:rsidRPr="00A14504">
        <w:rPr>
          <w:strike/>
        </w:rPr>
        <w:tab/>
        <w:t>Virus isolation</w:t>
      </w:r>
      <w:r w:rsidR="002B6234" w:rsidRPr="00A14504">
        <w:rPr>
          <w:strike/>
        </w:rPr>
        <w:t xml:space="preserve"> </w:t>
      </w:r>
    </w:p>
    <w:p w14:paraId="5E7C5D02" w14:textId="34FB9948" w:rsidR="00EB77B1" w:rsidRPr="00D01D1E" w:rsidRDefault="00212A1F" w:rsidP="00A14504">
      <w:pPr>
        <w:pStyle w:val="111"/>
        <w:rPr>
          <w:strike/>
        </w:rPr>
      </w:pPr>
      <w:r w:rsidRPr="00D01D1E">
        <w:rPr>
          <w:strike/>
        </w:rPr>
        <w:t>1.4.1.</w:t>
      </w:r>
      <w:r w:rsidR="00D01D1E" w:rsidRPr="00D01D1E">
        <w:rPr>
          <w:strike/>
        </w:rPr>
        <w:t>Test procedure</w:t>
      </w:r>
    </w:p>
    <w:p w14:paraId="7F424203" w14:textId="77777777" w:rsidR="00D01D1E" w:rsidRPr="00D01D1E" w:rsidRDefault="00D01D1E" w:rsidP="00D01D1E">
      <w:pPr>
        <w:pStyle w:val="i"/>
        <w:rPr>
          <w:strike/>
        </w:rPr>
      </w:pPr>
      <w:r w:rsidRPr="00D01D1E">
        <w:rPr>
          <w:strike/>
        </w:rPr>
        <w:t>i)</w:t>
      </w:r>
      <w:r w:rsidRPr="00D01D1E">
        <w:rPr>
          <w:strike/>
        </w:rPr>
        <w:tab/>
        <w:t>Inoculate cell culture in Leighton tubes and 25 cm</w:t>
      </w:r>
      <w:r w:rsidRPr="00D01D1E">
        <w:rPr>
          <w:strike/>
          <w:vertAlign w:val="superscript"/>
        </w:rPr>
        <w:t>2</w:t>
      </w:r>
      <w:r w:rsidRPr="00D01D1E">
        <w:rPr>
          <w:strike/>
        </w:rPr>
        <w:t xml:space="preserve"> flasks with the clarified suspension of tissues or vesicular fluid.</w:t>
      </w:r>
    </w:p>
    <w:p w14:paraId="2BEB5E88" w14:textId="77777777" w:rsidR="00D01D1E" w:rsidRPr="00D01D1E" w:rsidRDefault="00D01D1E" w:rsidP="00D01D1E">
      <w:pPr>
        <w:pStyle w:val="i"/>
        <w:rPr>
          <w:strike/>
        </w:rPr>
      </w:pPr>
      <w:r w:rsidRPr="00D01D1E">
        <w:rPr>
          <w:strike/>
        </w:rPr>
        <w:t>ii)</w:t>
      </w:r>
      <w:r w:rsidRPr="00D01D1E">
        <w:rPr>
          <w:strike/>
        </w:rPr>
        <w:tab/>
        <w:t>Incubate inoculated cell cultures at 37°C for 1 hour.</w:t>
      </w:r>
    </w:p>
    <w:p w14:paraId="7F96618B" w14:textId="77777777" w:rsidR="00D01D1E" w:rsidRPr="00D01D1E" w:rsidRDefault="00D01D1E" w:rsidP="00D01D1E">
      <w:pPr>
        <w:pStyle w:val="i"/>
        <w:rPr>
          <w:strike/>
        </w:rPr>
      </w:pPr>
      <w:r w:rsidRPr="00D01D1E">
        <w:rPr>
          <w:strike/>
        </w:rPr>
        <w:t>iii)</w:t>
      </w:r>
      <w:r w:rsidRPr="00D01D1E">
        <w:rPr>
          <w:strike/>
        </w:rPr>
        <w:tab/>
        <w:t>Discard inoculum and wash cell cultures three times with cell culture medium and replace with cell culture medium containing 2.5% fetal bovine serum (FBS).</w:t>
      </w:r>
    </w:p>
    <w:p w14:paraId="4728FF0B" w14:textId="77777777" w:rsidR="00D01D1E" w:rsidRPr="00D01D1E" w:rsidRDefault="00D01D1E" w:rsidP="00D01D1E">
      <w:pPr>
        <w:pStyle w:val="i"/>
        <w:rPr>
          <w:strike/>
        </w:rPr>
      </w:pPr>
      <w:r w:rsidRPr="00D01D1E">
        <w:rPr>
          <w:strike/>
        </w:rPr>
        <w:t>Iv)</w:t>
      </w:r>
      <w:r w:rsidRPr="00D01D1E">
        <w:rPr>
          <w:strike/>
        </w:rPr>
        <w:tab/>
        <w:t>Incubate Leighton tube cell cultures at 33–35°C and observe for CPE.</w:t>
      </w:r>
    </w:p>
    <w:p w14:paraId="0ACD120E" w14:textId="77777777" w:rsidR="00D01D1E" w:rsidRPr="00D01D1E" w:rsidRDefault="00D01D1E" w:rsidP="00D01D1E">
      <w:pPr>
        <w:pStyle w:val="i"/>
        <w:rPr>
          <w:strike/>
        </w:rPr>
      </w:pPr>
      <w:r w:rsidRPr="00D01D1E">
        <w:rPr>
          <w:strike/>
        </w:rPr>
        <w:t>v)</w:t>
      </w:r>
      <w:r w:rsidRPr="00D01D1E">
        <w:rPr>
          <w:strike/>
        </w:rPr>
        <w:tab/>
        <w:t>After 18–24 hours of incubation, the cover-slip from one Leighton tube culture per specimen inoculated is stained with New Jersey and Indiana VS virus-specific fluorescent antibody (FA) conjugate.</w:t>
      </w:r>
    </w:p>
    <w:p w14:paraId="783A5A61" w14:textId="77777777" w:rsidR="00D01D1E" w:rsidRPr="00D01D1E" w:rsidRDefault="00D01D1E" w:rsidP="00D01D1E">
      <w:pPr>
        <w:pStyle w:val="i"/>
        <w:rPr>
          <w:strike/>
        </w:rPr>
      </w:pPr>
      <w:r w:rsidRPr="00D01D1E">
        <w:rPr>
          <w:strike/>
        </w:rPr>
        <w:t>vi)</w:t>
      </w:r>
      <w:r w:rsidRPr="00D01D1E">
        <w:rPr>
          <w:strike/>
        </w:rPr>
        <w:tab/>
        <w:t>Remaining Leighton tube cultures and 25 cm</w:t>
      </w:r>
      <w:r w:rsidRPr="00D01D1E">
        <w:rPr>
          <w:strike/>
          <w:vertAlign w:val="superscript"/>
        </w:rPr>
        <w:t>2</w:t>
      </w:r>
      <w:r w:rsidRPr="00D01D1E">
        <w:rPr>
          <w:strike/>
        </w:rPr>
        <w:t xml:space="preserve"> flask cultures are incubated at 35–37°C for 6 more days and observed daily for CPE.</w:t>
      </w:r>
    </w:p>
    <w:p w14:paraId="71AA3D63" w14:textId="77777777" w:rsidR="00D01D1E" w:rsidRPr="00D01D1E" w:rsidRDefault="00D01D1E" w:rsidP="00D01D1E">
      <w:pPr>
        <w:pStyle w:val="i"/>
        <w:rPr>
          <w:strike/>
        </w:rPr>
      </w:pPr>
      <w:r w:rsidRPr="00D01D1E">
        <w:rPr>
          <w:strike/>
        </w:rPr>
        <w:t>vii)</w:t>
      </w:r>
      <w:r w:rsidRPr="00D01D1E">
        <w:rPr>
          <w:strike/>
        </w:rPr>
        <w:tab/>
        <w:t xml:space="preserve">At 7 days post-inoculation, the remaining Leighton tube cover-slips are stained with FA conjugate. </w:t>
      </w:r>
    </w:p>
    <w:p w14:paraId="2B01EC70" w14:textId="77777777" w:rsidR="00D01D1E" w:rsidRPr="00D01D1E" w:rsidRDefault="00D01D1E" w:rsidP="00D01D1E">
      <w:pPr>
        <w:pStyle w:val="iparalast"/>
        <w:spacing w:after="120"/>
        <w:rPr>
          <w:strike/>
        </w:rPr>
      </w:pPr>
      <w:r w:rsidRPr="00D01D1E">
        <w:rPr>
          <w:strike/>
        </w:rPr>
        <w:t>viii)</w:t>
      </w:r>
      <w:r w:rsidRPr="00D01D1E">
        <w:rPr>
          <w:strike/>
        </w:rPr>
        <w:tab/>
        <w:t>If CPE is observed and the FA staining is negative, a second passage is made, as described above, using the cells from the 25 cm</w:t>
      </w:r>
      <w:r w:rsidRPr="00D01D1E">
        <w:rPr>
          <w:strike/>
          <w:vertAlign w:val="superscript"/>
        </w:rPr>
        <w:t>2</w:t>
      </w:r>
      <w:r w:rsidRPr="00D01D1E">
        <w:rPr>
          <w:strike/>
        </w:rPr>
        <w:t xml:space="preserve"> flask. Note: First passage cultures with significant CPE may yield false-negative immunofluorescence results. Serial tenfold dilutions may be prepared and inoculated to provide distinct plaques of fluorescing cells.</w:t>
      </w:r>
    </w:p>
    <w:p w14:paraId="03D846B4" w14:textId="77777777" w:rsidR="00D01D1E" w:rsidRPr="00D01D1E" w:rsidRDefault="00D01D1E" w:rsidP="00D01D1E">
      <w:pPr>
        <w:pStyle w:val="iparalast"/>
        <w:spacing w:after="120"/>
        <w:rPr>
          <w:strike/>
        </w:rPr>
      </w:pPr>
      <w:r w:rsidRPr="00D01D1E">
        <w:rPr>
          <w:strike/>
        </w:rPr>
        <w:t>ix)</w:t>
      </w:r>
      <w:r w:rsidRPr="00D01D1E">
        <w:rPr>
          <w:strike/>
        </w:rPr>
        <w:tab/>
      </w:r>
      <w:r w:rsidRPr="00D01D1E">
        <w:rPr>
          <w:i/>
          <w:strike/>
        </w:rPr>
        <w:t xml:space="preserve">Interpretation of the results: </w:t>
      </w:r>
      <w:r w:rsidRPr="00D01D1E">
        <w:rPr>
          <w:strike/>
        </w:rPr>
        <w:t>If no fluorescence is observed and no CPE evident in the flask culture, the sample is negative for virus isolation. If specific fluorescence is observed, the sample is positive for virus isolation.</w:t>
      </w:r>
    </w:p>
    <w:p w14:paraId="1B1D1BD8" w14:textId="77777777" w:rsidR="00D01D1E" w:rsidRPr="00D01D1E" w:rsidRDefault="00D01D1E" w:rsidP="00D01D1E">
      <w:pPr>
        <w:pStyle w:val="iparalast"/>
        <w:rPr>
          <w:strike/>
        </w:rPr>
      </w:pPr>
      <w:r w:rsidRPr="00D01D1E">
        <w:rPr>
          <w:strike/>
        </w:rPr>
        <w:t>x)</w:t>
      </w:r>
      <w:r w:rsidRPr="00D01D1E">
        <w:rPr>
          <w:strike/>
        </w:rPr>
        <w:tab/>
        <w:t xml:space="preserve">Alternatively cell culture in flasks can be inoculated with field samples, incubated at 35–37°C for 48 hours and observed daily for CPE. If no CPE is observed after 48 hours, the flask cultures are frozen and thawed and a sample of the supernatant is inoculated into fresh cell culture. Up to three passages are made, of 48 hours each. To detect the presence of VSV antigen, clarified supernatants of each passage are tested by ELISA, CFT or PCR. </w:t>
      </w:r>
    </w:p>
    <w:p w14:paraId="6CAEC2CE" w14:textId="77454DC9" w:rsidR="00D826B8" w:rsidRPr="00417BEE" w:rsidRDefault="00500049" w:rsidP="001E24B0">
      <w:pPr>
        <w:pStyle w:val="11"/>
      </w:pPr>
      <w:r w:rsidRPr="00417BEE">
        <w:t>1.</w:t>
      </w:r>
      <w:r w:rsidR="00D03913">
        <w:t>4</w:t>
      </w:r>
      <w:r w:rsidRPr="00417BEE">
        <w:t>.</w:t>
      </w:r>
      <w:r w:rsidR="00D826B8" w:rsidRPr="00417BEE">
        <w:tab/>
        <w:t>Enzyme-linked immunosorbent assay</w:t>
      </w:r>
    </w:p>
    <w:p w14:paraId="0774566B" w14:textId="2815097C" w:rsidR="00D826B8" w:rsidRPr="00417BEE" w:rsidRDefault="00D826B8" w:rsidP="001E24B0">
      <w:pPr>
        <w:pStyle w:val="11Para"/>
      </w:pPr>
      <w:r w:rsidRPr="00417BEE">
        <w:t>The indirect sandwich ELISA (IS-ELISA) (</w:t>
      </w:r>
      <w:r w:rsidR="00651ED0" w:rsidRPr="00417BEE">
        <w:t xml:space="preserve">Alonso </w:t>
      </w:r>
      <w:r w:rsidR="007747A9" w:rsidRPr="00417BEE">
        <w:rPr>
          <w:i/>
        </w:rPr>
        <w:t>et al</w:t>
      </w:r>
      <w:r w:rsidR="00651ED0" w:rsidRPr="00417BEE">
        <w:t>., 1991;</w:t>
      </w:r>
      <w:r w:rsidRPr="00417BEE">
        <w:t xml:space="preserve"> </w:t>
      </w:r>
      <w:r w:rsidR="00BB2B49" w:rsidRPr="00417BEE">
        <w:t>Ferris &amp; Donaldson, 1988</w:t>
      </w:r>
      <w:r w:rsidRPr="00417BEE">
        <w:t>) is currently the diagnostic method of choice for identification of viral serotypes of VS and other vesicular diseases. Specifically, the ELISA procedure with a set of polyvalent rabbit/guinea-pig antisera, prepared against virions of the representative strains of the three subtypes of the IND serotype, identifies all strains of the VS virus IND serotype (</w:t>
      </w:r>
      <w:r w:rsidR="00651ED0" w:rsidRPr="00417BEE">
        <w:t xml:space="preserve">Alonso </w:t>
      </w:r>
      <w:r w:rsidR="007747A9" w:rsidRPr="00417BEE">
        <w:rPr>
          <w:i/>
        </w:rPr>
        <w:t>et al</w:t>
      </w:r>
      <w:r w:rsidR="00651ED0" w:rsidRPr="00417BEE">
        <w:t>., 1991</w:t>
      </w:r>
      <w:r w:rsidRPr="00417BEE">
        <w:t xml:space="preserve">). For detection of VS virus NJ </w:t>
      </w:r>
      <w:r w:rsidR="00DA0A18" w:rsidRPr="00417BEE">
        <w:t>serotype</w:t>
      </w:r>
      <w:r w:rsidRPr="00417BEE">
        <w:t>, a monovalent set of rabbit/guinea-pig antisera is suitable (</w:t>
      </w:r>
      <w:r w:rsidR="00651ED0" w:rsidRPr="00417BEE">
        <w:t xml:space="preserve">Alonso </w:t>
      </w:r>
      <w:r w:rsidR="007747A9" w:rsidRPr="00417BEE">
        <w:rPr>
          <w:i/>
        </w:rPr>
        <w:t>et al</w:t>
      </w:r>
      <w:r w:rsidR="00651ED0" w:rsidRPr="00417BEE">
        <w:t>., 1991;</w:t>
      </w:r>
      <w:r w:rsidRPr="00417BEE">
        <w:t xml:space="preserve"> </w:t>
      </w:r>
      <w:r w:rsidR="00BB2B49" w:rsidRPr="00417BEE">
        <w:t>Ferris &amp; Donaldson, 1988</w:t>
      </w:r>
      <w:r w:rsidRPr="00417BEE">
        <w:t>).</w:t>
      </w:r>
    </w:p>
    <w:p w14:paraId="15240AD6" w14:textId="03FA0653" w:rsidR="00D826B8" w:rsidRPr="00417BEE" w:rsidRDefault="00500049" w:rsidP="000655E9">
      <w:pPr>
        <w:pStyle w:val="111"/>
      </w:pPr>
      <w:r w:rsidRPr="00417BEE">
        <w:lastRenderedPageBreak/>
        <w:t>1.</w:t>
      </w:r>
      <w:r w:rsidR="000F30B1">
        <w:t>4</w:t>
      </w:r>
      <w:r w:rsidRPr="00417BEE">
        <w:t>.1.</w:t>
      </w:r>
      <w:r w:rsidR="00D826B8" w:rsidRPr="00417BEE">
        <w:tab/>
        <w:t>Test procedure</w:t>
      </w:r>
    </w:p>
    <w:p w14:paraId="22C05D8E" w14:textId="00B8F331" w:rsidR="00D826B8" w:rsidRPr="00417BEE" w:rsidRDefault="00D826B8" w:rsidP="00CC26B8">
      <w:pPr>
        <w:pStyle w:val="i"/>
      </w:pPr>
      <w:r w:rsidRPr="00417BEE">
        <w:t>i)</w:t>
      </w:r>
      <w:r w:rsidRPr="00417BEE">
        <w:tab/>
      </w:r>
      <w:r w:rsidRPr="00417BEE">
        <w:rPr>
          <w:i/>
        </w:rPr>
        <w:t>Solid phase:</w:t>
      </w:r>
      <w:r w:rsidRPr="00417BEE">
        <w:t xml:space="preserve"> ELISA plates are coated either for 1</w:t>
      </w:r>
      <w:r w:rsidR="000F4573" w:rsidRPr="00417BEE">
        <w:t> </w:t>
      </w:r>
      <w:r w:rsidRPr="00417BEE">
        <w:t xml:space="preserve">hour at 37°C or overnight at 4°C with rabbit antisera and normal rabbit serum (as described in </w:t>
      </w:r>
      <w:r w:rsidR="00651ED0" w:rsidRPr="00417BEE">
        <w:t xml:space="preserve">Alonso </w:t>
      </w:r>
      <w:r w:rsidR="007747A9" w:rsidRPr="00417BEE">
        <w:rPr>
          <w:i/>
        </w:rPr>
        <w:t>et al</w:t>
      </w:r>
      <w:r w:rsidR="00651ED0" w:rsidRPr="00417BEE">
        <w:t>., 1991</w:t>
      </w:r>
      <w:r w:rsidRPr="00417BEE">
        <w:t>), and optimally diluted in carbonate/bicarbonate buffer, pH</w:t>
      </w:r>
      <w:r w:rsidR="000F4573" w:rsidRPr="00417BEE">
        <w:t> </w:t>
      </w:r>
      <w:r w:rsidRPr="00417BEE">
        <w:t>9.6. Subsequently, the plates are washed once with PBS and blocked for 1</w:t>
      </w:r>
      <w:r w:rsidR="000F4573" w:rsidRPr="00417BEE">
        <w:t> </w:t>
      </w:r>
      <w:r w:rsidRPr="00417BEE">
        <w:t xml:space="preserve">hour at room temperature with 1% ovalbumin </w:t>
      </w:r>
      <w:r w:rsidR="00B2179C" w:rsidRPr="00417BEE">
        <w:t>G</w:t>
      </w:r>
      <w:r w:rsidR="00B174A1" w:rsidRPr="00417BEE">
        <w:t xml:space="preserve">rade </w:t>
      </w:r>
      <w:r w:rsidR="00B2179C" w:rsidRPr="00417BEE">
        <w:t>V</w:t>
      </w:r>
      <w:r w:rsidR="00B174A1" w:rsidRPr="00417BEE">
        <w:t xml:space="preserve"> (grade of purification)</w:t>
      </w:r>
      <w:r w:rsidR="00B2179C" w:rsidRPr="00417BEE">
        <w:t xml:space="preserve"> </w:t>
      </w:r>
      <w:r w:rsidRPr="00417BEE">
        <w:t xml:space="preserve">in PBS. </w:t>
      </w:r>
      <w:r w:rsidR="00B2179C" w:rsidRPr="00417BEE">
        <w:t>After washing</w:t>
      </w:r>
      <w:r w:rsidR="00692795" w:rsidRPr="00417BEE">
        <w:t xml:space="preserve"> </w:t>
      </w:r>
      <w:r w:rsidR="00B2179C" w:rsidRPr="00417BEE">
        <w:t>the</w:t>
      </w:r>
      <w:r w:rsidRPr="00417BEE">
        <w:t xml:space="preserve"> plates</w:t>
      </w:r>
      <w:r w:rsidR="00692795" w:rsidRPr="00417BEE">
        <w:t xml:space="preserve"> </w:t>
      </w:r>
      <w:r w:rsidR="001E24B0" w:rsidRPr="00417BEE">
        <w:t xml:space="preserve">can be </w:t>
      </w:r>
      <w:r w:rsidRPr="00417BEE">
        <w:t xml:space="preserve">used immediately or stored at </w:t>
      </w:r>
      <w:r w:rsidR="007C771B">
        <w:br/>
      </w:r>
      <w:r w:rsidR="009C3496" w:rsidRPr="00417BEE">
        <w:t>–</w:t>
      </w:r>
      <w:r w:rsidR="00CC26B8" w:rsidRPr="00417BEE">
        <w:t>2</w:t>
      </w:r>
      <w:r w:rsidR="009C3496" w:rsidRPr="00417BEE">
        <w:t xml:space="preserve">0°C for </w:t>
      </w:r>
      <w:r w:rsidR="00CC26B8" w:rsidRPr="00417BEE">
        <w:t>future use</w:t>
      </w:r>
      <w:r w:rsidRPr="00417BEE">
        <w:t>.</w:t>
      </w:r>
    </w:p>
    <w:p w14:paraId="48D1D1B3" w14:textId="0D03293A" w:rsidR="00D826B8" w:rsidRPr="00417BEE" w:rsidRDefault="00D826B8" w:rsidP="00EE1A97">
      <w:pPr>
        <w:pStyle w:val="i"/>
      </w:pPr>
      <w:r w:rsidRPr="00417BEE">
        <w:t>ii)</w:t>
      </w:r>
      <w:r w:rsidRPr="00417BEE">
        <w:tab/>
      </w:r>
      <w:r w:rsidRPr="00417BEE">
        <w:rPr>
          <w:i/>
        </w:rPr>
        <w:t>Test samples:</w:t>
      </w:r>
      <w:r w:rsidRPr="00417BEE">
        <w:t xml:space="preserve"> Antigen suspensions of test samples (10</w:t>
      </w:r>
      <w:r w:rsidR="001628EF" w:rsidRPr="00417BEE">
        <w:t>–</w:t>
      </w:r>
      <w:r w:rsidRPr="00417BEE">
        <w:t xml:space="preserve">20% epithelial tissue suspension, </w:t>
      </w:r>
      <w:r w:rsidR="00CF7BB6" w:rsidRPr="00190785">
        <w:rPr>
          <w:strike/>
        </w:rPr>
        <w:t xml:space="preserve">or </w:t>
      </w:r>
      <w:r w:rsidRPr="00190785">
        <w:rPr>
          <w:strike/>
        </w:rPr>
        <w:t xml:space="preserve">musculo-skeletal tissue of chicken embryo </w:t>
      </w:r>
      <w:r w:rsidRPr="00417BEE">
        <w:t>in PBS</w:t>
      </w:r>
      <w:r w:rsidR="00FB5746" w:rsidRPr="00417BEE">
        <w:t xml:space="preserve"> or MEM</w:t>
      </w:r>
      <w:r w:rsidRPr="00417BEE">
        <w:t xml:space="preserve"> or undiluted clarified cell culture supernatant fluid) are deposited in the corresponding wells and the plates are incubated for </w:t>
      </w:r>
      <w:r w:rsidR="00C91A60" w:rsidRPr="00417BEE">
        <w:t>1 hour</w:t>
      </w:r>
      <w:r w:rsidRPr="00417BEE">
        <w:t xml:space="preserve"> at 37°C on an orbital shaker.</w:t>
      </w:r>
    </w:p>
    <w:p w14:paraId="346693F3" w14:textId="3FCB44C8" w:rsidR="00D826B8" w:rsidRPr="00417BEE" w:rsidRDefault="00D826B8" w:rsidP="00EE1A97">
      <w:pPr>
        <w:pStyle w:val="i"/>
        <w:rPr>
          <w:rFonts w:ascii="MS Shell Dlg" w:hAnsi="MS Shell Dlg" w:cs="MS Shell Dlg"/>
          <w:sz w:val="17"/>
          <w:szCs w:val="17"/>
          <w:lang w:val="en-US" w:eastAsia="en-US"/>
        </w:rPr>
      </w:pPr>
      <w:r w:rsidRPr="00417BEE">
        <w:t>iii)</w:t>
      </w:r>
      <w:r w:rsidRPr="00417BEE">
        <w:tab/>
      </w:r>
      <w:r w:rsidRPr="00417BEE">
        <w:rPr>
          <w:i/>
        </w:rPr>
        <w:t>Detector:</w:t>
      </w:r>
      <w:r w:rsidRPr="00417BEE">
        <w:t xml:space="preserve"> Monovalent and polyvalent guinea-pig antisera to VS virus NJ and IND serotypes, respectively, that are homologous to coated rabbit serum and that have been diluted appropriately in PBS containing 0.05% Tween 20, 1% ovalbumin</w:t>
      </w:r>
      <w:r w:rsidR="00FB5746" w:rsidRPr="00417BEE">
        <w:t xml:space="preserve"> G</w:t>
      </w:r>
      <w:r w:rsidR="00B174A1" w:rsidRPr="00417BEE">
        <w:t xml:space="preserve">rade </w:t>
      </w:r>
      <w:r w:rsidR="00FB5746" w:rsidRPr="00417BEE">
        <w:t>II</w:t>
      </w:r>
      <w:r w:rsidRPr="00417BEE">
        <w:t xml:space="preserve">, 2% normal rabbit serum, and 2% normal bovine serum (PBSTB) are added to the corresponding wells and left to react for </w:t>
      </w:r>
      <w:r w:rsidR="00EE1A97" w:rsidRPr="00417BEE">
        <w:t>30–60 minutes</w:t>
      </w:r>
      <w:r w:rsidRPr="00417BEE">
        <w:t xml:space="preserve"> at 37°C on an orbital shaker.</w:t>
      </w:r>
    </w:p>
    <w:p w14:paraId="5E469589" w14:textId="77777777" w:rsidR="00D826B8" w:rsidRPr="00417BEE" w:rsidRDefault="00D826B8" w:rsidP="00D826B8">
      <w:pPr>
        <w:pStyle w:val="i"/>
      </w:pPr>
      <w:r w:rsidRPr="00417BEE">
        <w:t>iv)</w:t>
      </w:r>
      <w:r w:rsidRPr="00417BEE">
        <w:tab/>
      </w:r>
      <w:r w:rsidRPr="00417BEE">
        <w:rPr>
          <w:i/>
        </w:rPr>
        <w:t>Conjugate:</w:t>
      </w:r>
      <w:r w:rsidRPr="00417BEE">
        <w:t xml:space="preserve"> Peroxidase/rabbit or goat IgG anti-guinea-pig Ig conjugate, diluted in PBSTB, is</w:t>
      </w:r>
      <w:r w:rsidR="00EB30F8" w:rsidRPr="00417BEE">
        <w:t xml:space="preserve"> added and left to react for </w:t>
      </w:r>
      <w:r w:rsidR="00EE1A97" w:rsidRPr="00417BEE">
        <w:t xml:space="preserve">30–60 minutes </w:t>
      </w:r>
      <w:r w:rsidRPr="00417BEE">
        <w:t>at 37°C on an orbital shaker.</w:t>
      </w:r>
    </w:p>
    <w:p w14:paraId="54E394D1" w14:textId="77777777" w:rsidR="00D826B8" w:rsidRPr="00417BEE" w:rsidRDefault="00D826B8" w:rsidP="00D826B8">
      <w:pPr>
        <w:pStyle w:val="i"/>
      </w:pPr>
      <w:r w:rsidRPr="00417BEE">
        <w:t>v)</w:t>
      </w:r>
      <w:r w:rsidRPr="00417BEE">
        <w:tab/>
      </w:r>
      <w:r w:rsidRPr="00417BEE">
        <w:rPr>
          <w:i/>
        </w:rPr>
        <w:t xml:space="preserve">Substrate: </w:t>
      </w:r>
      <w:r w:rsidRPr="00417BEE">
        <w:t>H</w:t>
      </w:r>
      <w:r w:rsidRPr="00B15DE8">
        <w:rPr>
          <w:vertAlign w:val="subscript"/>
        </w:rPr>
        <w:t>2</w:t>
      </w:r>
      <w:r w:rsidRPr="00417BEE">
        <w:t>O</w:t>
      </w:r>
      <w:r w:rsidRPr="00B15DE8">
        <w:rPr>
          <w:vertAlign w:val="subscript"/>
        </w:rPr>
        <w:t>2</w:t>
      </w:r>
      <w:r w:rsidRPr="00417BEE">
        <w:t>-activated substrate is added and left to react at room temperature for 15</w:t>
      </w:r>
      <w:r w:rsidR="00EB40E8" w:rsidRPr="00417BEE">
        <w:t> </w:t>
      </w:r>
      <w:r w:rsidRPr="00417BEE">
        <w:t xml:space="preserve">minutes, followed by the addition of sulphuric acid to stop the reaction. Absorbance values are </w:t>
      </w:r>
      <w:r w:rsidR="00C12293" w:rsidRPr="00417BEE">
        <w:t>measured using an ELISA reader.</w:t>
      </w:r>
    </w:p>
    <w:p w14:paraId="39D0ECEB" w14:textId="77777777" w:rsidR="00D826B8" w:rsidRPr="00417BEE" w:rsidRDefault="00D826B8" w:rsidP="0019658A">
      <w:pPr>
        <w:pStyle w:val="afourthpara"/>
        <w:spacing w:after="120"/>
      </w:pPr>
      <w:r w:rsidRPr="00417BEE">
        <w:t>Throughout the test, 50</w:t>
      </w:r>
      <w:r w:rsidR="000F4573" w:rsidRPr="00417BEE">
        <w:t> </w:t>
      </w:r>
      <w:r w:rsidRPr="00417BEE">
        <w:t xml:space="preserve">µl reagent volumes are used. The plates are washed </w:t>
      </w:r>
      <w:r w:rsidR="00FB5746" w:rsidRPr="00417BEE">
        <w:t>three</w:t>
      </w:r>
      <w:r w:rsidR="001E24B0" w:rsidRPr="00417BEE">
        <w:t>–</w:t>
      </w:r>
      <w:r w:rsidRPr="00417BEE">
        <w:t xml:space="preserve">five times between each stage with </w:t>
      </w:r>
      <w:r w:rsidR="00FB5746" w:rsidRPr="00417BEE">
        <w:t>physiologic</w:t>
      </w:r>
      <w:r w:rsidR="00167408" w:rsidRPr="00417BEE">
        <w:t>al</w:t>
      </w:r>
      <w:r w:rsidR="00FB5746" w:rsidRPr="00417BEE">
        <w:t xml:space="preserve"> saline solution or </w:t>
      </w:r>
      <w:r w:rsidRPr="00417BEE">
        <w:t>PBS containing 0.05% Tween 20. Controls for the reagents used are included.</w:t>
      </w:r>
    </w:p>
    <w:p w14:paraId="1F1DC8CB" w14:textId="51E11FF0" w:rsidR="00C54D4A" w:rsidRPr="00417BEE" w:rsidRDefault="00D826B8" w:rsidP="0019658A">
      <w:pPr>
        <w:pStyle w:val="i"/>
        <w:spacing w:after="240"/>
      </w:pPr>
      <w:r w:rsidRPr="00417BEE">
        <w:t>vi)</w:t>
      </w:r>
      <w:r w:rsidRPr="00417BEE">
        <w:tab/>
      </w:r>
      <w:r w:rsidR="00C54D4A" w:rsidRPr="00417BEE">
        <w:rPr>
          <w:i/>
        </w:rPr>
        <w:t xml:space="preserve">Interpretation of the results: </w:t>
      </w:r>
      <w:r w:rsidR="00C54D4A" w:rsidRPr="00417BEE">
        <w:t xml:space="preserve">Absorbance values of positive and negative antigen control wells should be within specified values for acceptance. </w:t>
      </w:r>
      <w:r w:rsidR="005B1B00" w:rsidRPr="00417BEE">
        <w:t xml:space="preserve">Sample wells </w:t>
      </w:r>
      <w:r w:rsidR="00C54D4A" w:rsidRPr="00417BEE">
        <w:t xml:space="preserve">giving an absorbance ≥0.3 </w:t>
      </w:r>
      <w:r w:rsidR="005B1B00" w:rsidRPr="00417BEE">
        <w:t xml:space="preserve">are </w:t>
      </w:r>
      <w:r w:rsidR="00C54D4A" w:rsidRPr="00417BEE">
        <w:t xml:space="preserve">considered to be positive for the corresponding virus subtype. Absorbance values </w:t>
      </w:r>
      <w:r w:rsidR="000D753A" w:rsidRPr="00417BEE">
        <w:t>&lt;0.3</w:t>
      </w:r>
      <w:r w:rsidR="00C54D4A" w:rsidRPr="00417BEE">
        <w:t>–0.2 are considered suspicious and values &lt;0.2 are considered negative for the corresponding virus subtype. Suspicious and negative samples should be inoculated in cell culture and passages re-tested in ELISA.</w:t>
      </w:r>
    </w:p>
    <w:p w14:paraId="03CB22BA" w14:textId="251ED718" w:rsidR="00D826B8" w:rsidRPr="00417BEE" w:rsidRDefault="00500049" w:rsidP="001E24B0">
      <w:pPr>
        <w:pStyle w:val="11"/>
      </w:pPr>
      <w:r w:rsidRPr="00417BEE">
        <w:t>1.</w:t>
      </w:r>
      <w:r w:rsidR="002B219B">
        <w:t>5</w:t>
      </w:r>
      <w:r w:rsidRPr="00417BEE">
        <w:t>.</w:t>
      </w:r>
      <w:r w:rsidR="00D826B8" w:rsidRPr="00417BEE">
        <w:tab/>
        <w:t>Complement fixation test</w:t>
      </w:r>
    </w:p>
    <w:p w14:paraId="22FFF1B2" w14:textId="691080D7" w:rsidR="00D826B8" w:rsidRPr="00417BEE" w:rsidRDefault="00D826B8" w:rsidP="001E24B0">
      <w:pPr>
        <w:pStyle w:val="11Para"/>
      </w:pPr>
      <w:r w:rsidRPr="00417BEE">
        <w:t xml:space="preserve">The ELISA is </w:t>
      </w:r>
      <w:r w:rsidR="00FE6913" w:rsidRPr="00417BEE">
        <w:t xml:space="preserve">preferable to the CFT </w:t>
      </w:r>
      <w:r w:rsidRPr="00417BEE">
        <w:t>because it is more sensitive and it is not affected by pro- or anti-complementary factors</w:t>
      </w:r>
      <w:r w:rsidR="008D5737" w:rsidRPr="00417BEE">
        <w:t>.</w:t>
      </w:r>
      <w:r w:rsidRPr="00417BEE">
        <w:t xml:space="preserve"> When ELISA reagents are not available, however, the </w:t>
      </w:r>
      <w:r w:rsidR="00FE6913" w:rsidRPr="00417BEE">
        <w:t>CFT</w:t>
      </w:r>
      <w:r w:rsidRPr="00417BEE">
        <w:t xml:space="preserve"> may be performed. The CF</w:t>
      </w:r>
      <w:r w:rsidR="00FE6913" w:rsidRPr="00417BEE">
        <w:t>T</w:t>
      </w:r>
      <w:r w:rsidRPr="00417BEE">
        <w:t xml:space="preserve"> in U-bottomed microtitre plates, using the reagents titrated by CF50% test, </w:t>
      </w:r>
      <w:r w:rsidR="009C26E9" w:rsidRPr="00417BEE">
        <w:t>is</w:t>
      </w:r>
      <w:r w:rsidRPr="00417BEE">
        <w:t xml:space="preserve"> described.</w:t>
      </w:r>
    </w:p>
    <w:p w14:paraId="4FE7EF03" w14:textId="4D0DE797" w:rsidR="00D826B8" w:rsidRPr="00417BEE" w:rsidRDefault="00500049" w:rsidP="001E24B0">
      <w:pPr>
        <w:pStyle w:val="111"/>
      </w:pPr>
      <w:r w:rsidRPr="00417BEE">
        <w:t>1.</w:t>
      </w:r>
      <w:r w:rsidR="002B219B">
        <w:t>5</w:t>
      </w:r>
      <w:r w:rsidRPr="00417BEE">
        <w:t>.1.</w:t>
      </w:r>
      <w:r w:rsidR="00D826B8" w:rsidRPr="00417BEE">
        <w:tab/>
        <w:t>Test procedure</w:t>
      </w:r>
    </w:p>
    <w:p w14:paraId="0FC92C85" w14:textId="77777777" w:rsidR="00D826B8" w:rsidRPr="00417BEE" w:rsidRDefault="00D826B8" w:rsidP="00D826B8">
      <w:pPr>
        <w:pStyle w:val="i"/>
      </w:pPr>
      <w:r w:rsidRPr="00417BEE">
        <w:t>i)</w:t>
      </w:r>
      <w:r w:rsidRPr="00417BEE">
        <w:tab/>
      </w:r>
      <w:r w:rsidRPr="00417BEE">
        <w:rPr>
          <w:i/>
        </w:rPr>
        <w:t>Antisera:</w:t>
      </w:r>
      <w:r w:rsidRPr="00417BEE">
        <w:t xml:space="preserve"> Guinea-pig monovalent anti-NJ VS virus and polyvalent anti-IND VS virus, diluted in veronal buffer (VB) at a dilution containing 2.5</w:t>
      </w:r>
      <w:r w:rsidR="000F4573" w:rsidRPr="00417BEE">
        <w:t> </w:t>
      </w:r>
      <w:r w:rsidRPr="00417BEE">
        <w:t>CFU</w:t>
      </w:r>
      <w:r w:rsidRPr="00B15DE8">
        <w:rPr>
          <w:vertAlign w:val="subscript"/>
        </w:rPr>
        <w:t>50</w:t>
      </w:r>
      <w:r w:rsidRPr="00417BEE">
        <w:t xml:space="preserve"> (50% complement fixation units) against homologous virus, are deposited in plate wells. Those antisera are the detectors used in ELISA.</w:t>
      </w:r>
    </w:p>
    <w:p w14:paraId="33BDA968" w14:textId="77777777" w:rsidR="00D826B8" w:rsidRPr="00417BEE" w:rsidRDefault="00D826B8" w:rsidP="00EB30F8">
      <w:pPr>
        <w:pStyle w:val="i"/>
      </w:pPr>
      <w:r w:rsidRPr="00417BEE">
        <w:t>ii)</w:t>
      </w:r>
      <w:r w:rsidRPr="00417BEE">
        <w:tab/>
      </w:r>
      <w:r w:rsidRPr="00417BEE">
        <w:rPr>
          <w:i/>
        </w:rPr>
        <w:t>Test samples:</w:t>
      </w:r>
      <w:r w:rsidRPr="00417BEE">
        <w:t xml:space="preserve"> The antigen suspension of test samples</w:t>
      </w:r>
      <w:r w:rsidR="00EB30F8" w:rsidRPr="00417BEE">
        <w:t>, prepared as described</w:t>
      </w:r>
      <w:r w:rsidRPr="00417BEE">
        <w:t xml:space="preserve"> for IS-ELISA</w:t>
      </w:r>
      <w:r w:rsidR="00EB30F8" w:rsidRPr="00417BEE">
        <w:t>,</w:t>
      </w:r>
      <w:r w:rsidRPr="00417BEE">
        <w:t xml:space="preserve"> </w:t>
      </w:r>
      <w:r w:rsidR="00EB30F8" w:rsidRPr="00417BEE">
        <w:t>is</w:t>
      </w:r>
      <w:r w:rsidRPr="00417BEE">
        <w:t xml:space="preserve"> added to the wells with serum.</w:t>
      </w:r>
    </w:p>
    <w:p w14:paraId="0E18D260" w14:textId="44930E1B" w:rsidR="00D826B8" w:rsidRPr="00417BEE" w:rsidRDefault="00D826B8" w:rsidP="00E1696A">
      <w:pPr>
        <w:pStyle w:val="i"/>
      </w:pPr>
      <w:r w:rsidRPr="00417BEE">
        <w:t>iii)</w:t>
      </w:r>
      <w:r w:rsidRPr="00417BEE">
        <w:tab/>
      </w:r>
      <w:r w:rsidRPr="00417BEE">
        <w:rPr>
          <w:i/>
        </w:rPr>
        <w:t>Complement:</w:t>
      </w:r>
      <w:r w:rsidRPr="00417BEE">
        <w:t xml:space="preserve"> 4 CHU</w:t>
      </w:r>
      <w:r w:rsidRPr="0036124D">
        <w:rPr>
          <w:vertAlign w:val="subscript"/>
        </w:rPr>
        <w:t>50</w:t>
      </w:r>
      <w:r w:rsidRPr="00417BEE">
        <w:t xml:space="preserve"> (50% complement haemolytic units) are added </w:t>
      </w:r>
      <w:r w:rsidR="00EB30F8" w:rsidRPr="00417BEE">
        <w:t>to</w:t>
      </w:r>
      <w:r w:rsidRPr="00417BEE">
        <w:t xml:space="preserve"> the serum and antigen. </w:t>
      </w:r>
      <w:r w:rsidR="009A35F1" w:rsidRPr="00417BEE">
        <w:t>(An alternative is to use 7.5, 10 and 20</w:t>
      </w:r>
      <w:r w:rsidR="000F4573" w:rsidRPr="00417BEE">
        <w:t> </w:t>
      </w:r>
      <w:r w:rsidR="009A35F1" w:rsidRPr="00417BEE">
        <w:t>CHU</w:t>
      </w:r>
      <w:r w:rsidR="00E1696A" w:rsidRPr="0036124D">
        <w:rPr>
          <w:vertAlign w:val="subscript"/>
        </w:rPr>
        <w:t>50</w:t>
      </w:r>
      <w:r w:rsidR="009A35F1" w:rsidRPr="00417BEE">
        <w:t xml:space="preserve"> with the goal </w:t>
      </w:r>
      <w:r w:rsidR="00B104E5" w:rsidRPr="00417BEE">
        <w:t>of</w:t>
      </w:r>
      <w:r w:rsidR="009A35F1" w:rsidRPr="00417BEE">
        <w:t xml:space="preserve"> </w:t>
      </w:r>
      <w:r w:rsidR="006E7C15" w:rsidRPr="00417BEE">
        <w:t>reach</w:t>
      </w:r>
      <w:r w:rsidR="00B104E5" w:rsidRPr="00417BEE">
        <w:t>ing</w:t>
      </w:r>
      <w:r w:rsidR="009A35F1" w:rsidRPr="00417BEE">
        <w:t xml:space="preserve"> 4</w:t>
      </w:r>
      <w:r w:rsidR="00CC26B8" w:rsidRPr="00417BEE">
        <w:t xml:space="preserve"> </w:t>
      </w:r>
      <w:r w:rsidR="009A35F1" w:rsidRPr="00417BEE">
        <w:t>CHU</w:t>
      </w:r>
      <w:r w:rsidR="00E1696A" w:rsidRPr="0036124D">
        <w:rPr>
          <w:vertAlign w:val="subscript"/>
        </w:rPr>
        <w:t>50</w:t>
      </w:r>
      <w:r w:rsidR="009A35F1" w:rsidRPr="00417BEE">
        <w:t xml:space="preserve"> in the test.)</w:t>
      </w:r>
      <w:r w:rsidR="00E1696A" w:rsidRPr="00417BEE">
        <w:t xml:space="preserve"> </w:t>
      </w:r>
      <w:r w:rsidRPr="00417BEE">
        <w:t xml:space="preserve">The mixture of antisera, test samples and complement is incubated at 37°C for </w:t>
      </w:r>
      <w:r w:rsidR="00900887" w:rsidRPr="00417BEE">
        <w:t>60 </w:t>
      </w:r>
      <w:r w:rsidRPr="00417BEE">
        <w:t>minutes.</w:t>
      </w:r>
    </w:p>
    <w:p w14:paraId="694B6D50" w14:textId="77777777" w:rsidR="00D826B8" w:rsidRPr="00417BEE" w:rsidRDefault="00D826B8" w:rsidP="0036124D">
      <w:pPr>
        <w:pStyle w:val="iparalast"/>
        <w:keepLines/>
        <w:spacing w:after="200"/>
      </w:pPr>
      <w:r w:rsidRPr="00417BEE">
        <w:t>iv)</w:t>
      </w:r>
      <w:r w:rsidRPr="00417BEE">
        <w:tab/>
      </w:r>
      <w:r w:rsidRPr="00417BEE">
        <w:rPr>
          <w:i/>
        </w:rPr>
        <w:t>Haemolytic system:</w:t>
      </w:r>
      <w:r w:rsidRPr="00417BEE">
        <w:t xml:space="preserve"> A suspension of sheep red blood cells (SRBC) in VB, sensitised with 10</w:t>
      </w:r>
      <w:r w:rsidR="000F4573" w:rsidRPr="00417BEE">
        <w:t> </w:t>
      </w:r>
      <w:r w:rsidR="004E05FD" w:rsidRPr="00417BEE">
        <w:t>HU</w:t>
      </w:r>
      <w:r w:rsidRPr="0036124D">
        <w:rPr>
          <w:vertAlign w:val="subscript"/>
        </w:rPr>
        <w:t>50</w:t>
      </w:r>
      <w:r w:rsidR="009A35F1" w:rsidRPr="00417BEE">
        <w:t xml:space="preserve"> </w:t>
      </w:r>
      <w:r w:rsidRPr="00417BEE">
        <w:t>(50% haemolytic units) of rabbit anti-SRBC serum, is added to the wells. The haemolytic system has an absorbance of 0.66 read at 545</w:t>
      </w:r>
      <w:r w:rsidR="000F4573" w:rsidRPr="00417BEE">
        <w:t> </w:t>
      </w:r>
      <w:r w:rsidRPr="00417BEE">
        <w:t xml:space="preserve">nm, in the proportion of two volumes of haemolytic system </w:t>
      </w:r>
      <w:r w:rsidR="00C24B99" w:rsidRPr="00417BEE">
        <w:t xml:space="preserve">+ </w:t>
      </w:r>
      <w:r w:rsidRPr="00417BEE">
        <w:t>three volumes of distilled water. The mixture is incubated for 30</w:t>
      </w:r>
      <w:r w:rsidR="000F4573" w:rsidRPr="00417BEE">
        <w:t> </w:t>
      </w:r>
      <w:r w:rsidRPr="00417BEE">
        <w:t>minutes at 37°C. Subsequently, the plates are centrifuged and the reaction is observed visually.</w:t>
      </w:r>
    </w:p>
    <w:p w14:paraId="0DAD77FF" w14:textId="77777777" w:rsidR="00D826B8" w:rsidRPr="00417BEE" w:rsidRDefault="00D826B8" w:rsidP="001E24B0">
      <w:pPr>
        <w:pStyle w:val="afourthpara"/>
      </w:pPr>
      <w:r w:rsidRPr="00417BEE">
        <w:t>Volumes of 25 µl for antisera, test samples and complement, and 50</w:t>
      </w:r>
      <w:r w:rsidR="000F4573" w:rsidRPr="00417BEE">
        <w:t> </w:t>
      </w:r>
      <w:r w:rsidRPr="00417BEE">
        <w:t xml:space="preserve">µl of haemolytic system, are required. Appropriate controls for the antisera, antigens, complement and </w:t>
      </w:r>
      <w:r w:rsidR="00C12293" w:rsidRPr="00417BEE">
        <w:t>haemolytic system are included.</w:t>
      </w:r>
    </w:p>
    <w:p w14:paraId="52E1349F" w14:textId="741C4684" w:rsidR="00D826B8" w:rsidRPr="00417BEE" w:rsidRDefault="00D826B8" w:rsidP="001E24B0">
      <w:pPr>
        <w:pStyle w:val="afourthpara"/>
      </w:pPr>
      <w:r w:rsidRPr="00417BEE">
        <w:lastRenderedPageBreak/>
        <w:t>It is possible to perform the CF50% test in tubes (</w:t>
      </w:r>
      <w:r w:rsidR="00651ED0" w:rsidRPr="00417BEE">
        <w:t xml:space="preserve">Alonso </w:t>
      </w:r>
      <w:r w:rsidR="007747A9" w:rsidRPr="00417BEE">
        <w:rPr>
          <w:i/>
        </w:rPr>
        <w:t>et al</w:t>
      </w:r>
      <w:r w:rsidR="00651ED0" w:rsidRPr="00417BEE">
        <w:t>., 1991</w:t>
      </w:r>
      <w:r w:rsidRPr="00417BEE">
        <w:t>) using reagent volumes</w:t>
      </w:r>
      <w:r w:rsidR="002C5BB0" w:rsidRPr="00417BEE">
        <w:t xml:space="preserve"> of 200 µl</w:t>
      </w:r>
      <w:r w:rsidR="00D44F14" w:rsidRPr="00417BEE">
        <w:t xml:space="preserve"> (</w:t>
      </w:r>
      <w:r w:rsidRPr="00417BEE">
        <w:t xml:space="preserve">eight times greater than those indicated for the </w:t>
      </w:r>
      <w:r w:rsidRPr="002575A5">
        <w:t>CF</w:t>
      </w:r>
      <w:r w:rsidR="002263DA" w:rsidRPr="002575A5">
        <w:rPr>
          <w:u w:val="double"/>
        </w:rPr>
        <w:t>T</w:t>
      </w:r>
      <w:r w:rsidRPr="00417BEE">
        <w:t xml:space="preserve"> in microtitre plates</w:t>
      </w:r>
      <w:r w:rsidR="00D44F14" w:rsidRPr="00417BEE">
        <w:t>)</w:t>
      </w:r>
      <w:r w:rsidRPr="00417BEE">
        <w:t>. With the CF50% test, the reaction can be expressed as absorbance read spectrophotometrically at 545 nm.</w:t>
      </w:r>
    </w:p>
    <w:p w14:paraId="24ACA070" w14:textId="58910C6E" w:rsidR="00D826B8" w:rsidRPr="00417BEE" w:rsidRDefault="00D826B8" w:rsidP="00FE3841">
      <w:pPr>
        <w:pStyle w:val="iparalast"/>
        <w:spacing w:after="200"/>
      </w:pPr>
      <w:r w:rsidRPr="00417BEE">
        <w:t>v)</w:t>
      </w:r>
      <w:r w:rsidRPr="00417BEE">
        <w:tab/>
      </w:r>
      <w:r w:rsidRPr="00417BEE">
        <w:rPr>
          <w:i/>
        </w:rPr>
        <w:t xml:space="preserve">Interpretation of the results: </w:t>
      </w:r>
      <w:r w:rsidRPr="00417BEE">
        <w:t xml:space="preserve">When controls </w:t>
      </w:r>
      <w:r w:rsidR="00036034" w:rsidRPr="00417BEE">
        <w:t xml:space="preserve">react </w:t>
      </w:r>
      <w:r w:rsidRPr="00417BEE">
        <w:t>as expected, samples with haemolysis &lt;20% for one antiserum in comparison with the other antiserum and controls are considered to be positive for the corresponding type.</w:t>
      </w:r>
    </w:p>
    <w:p w14:paraId="0D93B904" w14:textId="4F96C402" w:rsidR="00D826B8" w:rsidRPr="00417BEE" w:rsidRDefault="00EB30F8" w:rsidP="001E24B0">
      <w:pPr>
        <w:pStyle w:val="afourthpara"/>
      </w:pPr>
      <w:r w:rsidRPr="00417BEE">
        <w:t>Field samples that are negative on the</w:t>
      </w:r>
      <w:r w:rsidR="00D826B8" w:rsidRPr="00417BEE">
        <w:t xml:space="preserve"> ELISA or </w:t>
      </w:r>
      <w:r w:rsidR="00FE6913" w:rsidRPr="00417BEE">
        <w:t>CFT</w:t>
      </w:r>
      <w:r w:rsidR="00D826B8" w:rsidRPr="00417BEE">
        <w:t xml:space="preserve"> </w:t>
      </w:r>
      <w:r w:rsidRPr="00417BEE">
        <w:t>should be</w:t>
      </w:r>
      <w:r w:rsidR="00D826B8" w:rsidRPr="00417BEE">
        <w:t xml:space="preserve"> inoculated into cell culture. If </w:t>
      </w:r>
      <w:r w:rsidRPr="00417BEE">
        <w:t>there is no evidence of viral infection after three passages</w:t>
      </w:r>
      <w:r w:rsidR="00D826B8" w:rsidRPr="00417BEE">
        <w:t>, the specimen is consider</w:t>
      </w:r>
      <w:r w:rsidR="00C12293" w:rsidRPr="00417BEE">
        <w:t>ed to be negative for virus.</w:t>
      </w:r>
    </w:p>
    <w:p w14:paraId="772D7723" w14:textId="3259D52B" w:rsidR="00D826B8" w:rsidRPr="00417BEE" w:rsidRDefault="00500049" w:rsidP="001E24B0">
      <w:pPr>
        <w:pStyle w:val="11"/>
      </w:pPr>
      <w:r w:rsidRPr="00417BEE">
        <w:t>1.</w:t>
      </w:r>
      <w:r w:rsidR="002B219B">
        <w:t>6</w:t>
      </w:r>
      <w:r w:rsidRPr="00417BEE">
        <w:t>.</w:t>
      </w:r>
      <w:r w:rsidR="00D826B8" w:rsidRPr="00417BEE">
        <w:tab/>
      </w:r>
      <w:r w:rsidR="00D826B8" w:rsidRPr="002575A5">
        <w:rPr>
          <w:strike/>
        </w:rPr>
        <w:t>Nucleic acid recognition</w:t>
      </w:r>
      <w:r w:rsidR="002575A5">
        <w:rPr>
          <w:strike/>
        </w:rPr>
        <w:t xml:space="preserve"> </w:t>
      </w:r>
      <w:r w:rsidR="00661A38" w:rsidRPr="002575A5">
        <w:rPr>
          <w:u w:val="double"/>
        </w:rPr>
        <w:t>Molecular</w:t>
      </w:r>
      <w:r w:rsidR="00D826B8" w:rsidRPr="00417BEE">
        <w:t xml:space="preserve"> methods</w:t>
      </w:r>
    </w:p>
    <w:p w14:paraId="26406BC2" w14:textId="6CF7077D" w:rsidR="00D826B8" w:rsidRPr="00417BEE" w:rsidRDefault="00D826B8" w:rsidP="001E24B0">
      <w:pPr>
        <w:pStyle w:val="11Para"/>
      </w:pPr>
      <w:r w:rsidRPr="00417BEE">
        <w:t xml:space="preserve">The </w:t>
      </w:r>
      <w:r w:rsidR="00AE4AC6" w:rsidRPr="00417BEE">
        <w:t>RT-</w:t>
      </w:r>
      <w:r w:rsidRPr="00417BEE">
        <w:t xml:space="preserve">PCR can be used to amplify small genomic areas of the </w:t>
      </w:r>
      <w:r w:rsidR="0031628E" w:rsidRPr="00417BEE">
        <w:t>VS</w:t>
      </w:r>
      <w:r w:rsidRPr="00417BEE">
        <w:t xml:space="preserve"> virus (</w:t>
      </w:r>
      <w:r w:rsidR="00BB2B49" w:rsidRPr="00417BEE">
        <w:t xml:space="preserve">Hofner </w:t>
      </w:r>
      <w:r w:rsidR="007747A9" w:rsidRPr="00417BEE">
        <w:rPr>
          <w:i/>
        </w:rPr>
        <w:t>et al</w:t>
      </w:r>
      <w:r w:rsidR="00BB2B49" w:rsidRPr="00417BEE">
        <w:t>., 1994;</w:t>
      </w:r>
      <w:r w:rsidRPr="00417BEE">
        <w:t xml:space="preserve"> </w:t>
      </w:r>
      <w:r w:rsidR="00286063" w:rsidRPr="00417BEE">
        <w:t xml:space="preserve">Hole </w:t>
      </w:r>
      <w:r w:rsidR="00286063" w:rsidRPr="00417BEE">
        <w:rPr>
          <w:i/>
        </w:rPr>
        <w:t>et al.,</w:t>
      </w:r>
      <w:r w:rsidR="00286063" w:rsidRPr="00417BEE">
        <w:t xml:space="preserve"> 2010; </w:t>
      </w:r>
      <w:r w:rsidR="00FB5746" w:rsidRPr="00417BEE">
        <w:t xml:space="preserve">Rodriguez </w:t>
      </w:r>
      <w:r w:rsidR="007747A9" w:rsidRPr="00417BEE">
        <w:rPr>
          <w:i/>
        </w:rPr>
        <w:t>et al</w:t>
      </w:r>
      <w:r w:rsidR="00EB3BB6" w:rsidRPr="00417BEE">
        <w:t>., 1993;</w:t>
      </w:r>
      <w:r w:rsidR="00FE12EF" w:rsidRPr="00417BEE">
        <w:t xml:space="preserve"> </w:t>
      </w:r>
      <w:r w:rsidR="00123465" w:rsidRPr="00417BEE">
        <w:t xml:space="preserve">Wilson </w:t>
      </w:r>
      <w:r w:rsidR="007747A9" w:rsidRPr="00417BEE">
        <w:rPr>
          <w:i/>
        </w:rPr>
        <w:t>et al</w:t>
      </w:r>
      <w:r w:rsidR="00123465" w:rsidRPr="00417BEE">
        <w:t>., 2009</w:t>
      </w:r>
      <w:r w:rsidRPr="00417BEE">
        <w:t xml:space="preserve">). This technique will detect the presence of virus RNA in tissue and vesicular fluid samples and cell culture, but cannot determine if the virus is infectious. In general, PCR techniques </w:t>
      </w:r>
      <w:r w:rsidR="00757101" w:rsidRPr="00417BEE">
        <w:t>have</w:t>
      </w:r>
      <w:r w:rsidR="00B70C17" w:rsidRPr="00417BEE">
        <w:t xml:space="preserve"> </w:t>
      </w:r>
      <w:r w:rsidRPr="00417BEE">
        <w:t xml:space="preserve">not </w:t>
      </w:r>
      <w:r w:rsidR="00253EE5" w:rsidRPr="00417BEE">
        <w:t xml:space="preserve">been </w:t>
      </w:r>
      <w:r w:rsidRPr="00417BEE">
        <w:t>routinely used for screening diagnostic cases for virus</w:t>
      </w:r>
      <w:r w:rsidR="000134CC" w:rsidRPr="00417BEE">
        <w:t xml:space="preserve">es causing </w:t>
      </w:r>
      <w:r w:rsidR="00253EE5" w:rsidRPr="00417BEE">
        <w:t>VS</w:t>
      </w:r>
      <w:r w:rsidR="00EC3D57" w:rsidRPr="00417BEE">
        <w:t>.</w:t>
      </w:r>
    </w:p>
    <w:p w14:paraId="5F1459E1" w14:textId="77777777" w:rsidR="007C771B" w:rsidRPr="004417EB" w:rsidRDefault="007C771B" w:rsidP="007C771B">
      <w:pPr>
        <w:pStyle w:val="11Para"/>
        <w:rPr>
          <w:u w:val="double"/>
        </w:rPr>
      </w:pPr>
      <w:r w:rsidRPr="004417EB">
        <w:rPr>
          <w:u w:val="double"/>
        </w:rPr>
        <w:t>The diagnosis of VS in samples of epithelium, vesicular fluid and cell culture by molecular methods is the most suitable for confirmation of the disease. No screening protocol that allows the detection of all species of vesiculovirus of economic interest has been described. However, there are some multiplex tests described below that allow the detection of more than one viral species. Therefore, for a differential diagnosis, different protocols are needed to detect all VS viruses.</w:t>
      </w:r>
    </w:p>
    <w:p w14:paraId="2AC8EEF9" w14:textId="77777777" w:rsidR="007C771B" w:rsidRPr="004417EB" w:rsidRDefault="007C771B" w:rsidP="007C771B">
      <w:pPr>
        <w:pStyle w:val="11Para"/>
        <w:rPr>
          <w:u w:val="double"/>
        </w:rPr>
      </w:pPr>
      <w:r w:rsidRPr="004417EB">
        <w:rPr>
          <w:u w:val="double"/>
        </w:rPr>
        <w:t xml:space="preserve">Extraction of nucleic acid from the sample must be done according to the manufacturer’s instructions. </w:t>
      </w:r>
    </w:p>
    <w:p w14:paraId="79847EF3" w14:textId="68391F13" w:rsidR="007C771B" w:rsidRPr="004417EB" w:rsidRDefault="007C771B" w:rsidP="007C771B">
      <w:pPr>
        <w:pStyle w:val="11Para"/>
        <w:rPr>
          <w:u w:val="double"/>
        </w:rPr>
      </w:pPr>
      <w:r w:rsidRPr="004417EB">
        <w:rPr>
          <w:u w:val="double"/>
        </w:rPr>
        <w:t xml:space="preserve">Methods for detecting and typing the four VS viruses have been described using both real-time </w:t>
      </w:r>
      <w:r w:rsidR="005C0BC9">
        <w:rPr>
          <w:u w:val="double"/>
        </w:rPr>
        <w:t xml:space="preserve">and conventional </w:t>
      </w:r>
      <w:r w:rsidRPr="004417EB">
        <w:rPr>
          <w:u w:val="double"/>
        </w:rPr>
        <w:t>RT-PCR.</w:t>
      </w:r>
    </w:p>
    <w:p w14:paraId="6B072ED4" w14:textId="77777777" w:rsidR="007C771B" w:rsidRPr="004417EB" w:rsidRDefault="007C771B" w:rsidP="007C771B">
      <w:pPr>
        <w:pStyle w:val="111"/>
        <w:rPr>
          <w:u w:val="double"/>
        </w:rPr>
      </w:pPr>
      <w:r w:rsidRPr="004417EB">
        <w:rPr>
          <w:u w:val="double"/>
        </w:rPr>
        <w:t>1.6.1.</w:t>
      </w:r>
      <w:r w:rsidRPr="004417EB">
        <w:rPr>
          <w:u w:val="double"/>
        </w:rPr>
        <w:tab/>
        <w:t>Real-time RT-PCR detection and typing</w:t>
      </w:r>
    </w:p>
    <w:p w14:paraId="0D9C7347" w14:textId="77777777" w:rsidR="007C771B" w:rsidRPr="004417EB" w:rsidRDefault="007C771B" w:rsidP="007C771B">
      <w:pPr>
        <w:pStyle w:val="111Para"/>
        <w:rPr>
          <w:u w:val="double"/>
        </w:rPr>
      </w:pPr>
      <w:r w:rsidRPr="004417EB">
        <w:rPr>
          <w:u w:val="double"/>
        </w:rPr>
        <w:t xml:space="preserve">VS viruses NJ, VSIV, IND-2 and IND-3 can be detected and typed using the real-time RT-PCR methods described by Hole </w:t>
      </w:r>
      <w:r w:rsidRPr="004417EB">
        <w:rPr>
          <w:i/>
          <w:iCs/>
          <w:u w:val="double"/>
        </w:rPr>
        <w:t>et al.</w:t>
      </w:r>
      <w:r w:rsidRPr="004417EB">
        <w:rPr>
          <w:u w:val="double"/>
        </w:rPr>
        <w:t xml:space="preserve"> (2010) with adaptations, de Oliveira </w:t>
      </w:r>
      <w:r w:rsidRPr="004417EB">
        <w:rPr>
          <w:i/>
          <w:iCs/>
          <w:u w:val="double"/>
        </w:rPr>
        <w:t>et al.</w:t>
      </w:r>
      <w:r w:rsidRPr="004417EB">
        <w:rPr>
          <w:u w:val="double"/>
        </w:rPr>
        <w:t xml:space="preserve"> (2018) and Sales </w:t>
      </w:r>
      <w:r w:rsidRPr="004417EB">
        <w:rPr>
          <w:i/>
          <w:iCs/>
          <w:u w:val="double"/>
        </w:rPr>
        <w:t>et al.</w:t>
      </w:r>
      <w:r w:rsidRPr="004417EB">
        <w:rPr>
          <w:u w:val="double"/>
        </w:rPr>
        <w:t xml:space="preserve"> (2020), and the primers and probes described in Table 2.</w:t>
      </w:r>
    </w:p>
    <w:p w14:paraId="45FF32CD" w14:textId="77777777" w:rsidR="007C771B" w:rsidRPr="004417EB" w:rsidRDefault="007C771B" w:rsidP="007C771B">
      <w:pPr>
        <w:pStyle w:val="111Para"/>
        <w:rPr>
          <w:u w:val="double"/>
        </w:rPr>
      </w:pPr>
      <w:r w:rsidRPr="004417EB">
        <w:rPr>
          <w:u w:val="double"/>
        </w:rPr>
        <w:t xml:space="preserve">Hole </w:t>
      </w:r>
      <w:r w:rsidRPr="004417EB">
        <w:rPr>
          <w:i/>
          <w:iCs/>
          <w:u w:val="double"/>
        </w:rPr>
        <w:t>et al.</w:t>
      </w:r>
      <w:r w:rsidRPr="004417EB">
        <w:rPr>
          <w:u w:val="double"/>
        </w:rPr>
        <w:t xml:space="preserve"> (2010) developed a real-time RT-PCR assay that allows differentiation between VSIV and NJ VS viruses with good performance. Primer concentrations must be 0.2 mM except the reverse VSV NJ, which is 0.8 mM, and probe concentrations are 0.2 mM for VSV NJ and 0.1 mM for VSIV. The real-time RT-PCR protocol consists of reverse transcription cycles at 50°C for 30 minutes and denaturation at 95°C for 1 minute, followed by 45 cycles of 95°C for 15 seconds, 54°C for 30 seconds and 72°C for 60 seconds. The reaction is performed according to the kit manufacturer’s instructions, adding MgSO</w:t>
      </w:r>
      <w:r w:rsidRPr="004417EB">
        <w:rPr>
          <w:u w:val="double"/>
          <w:vertAlign w:val="subscript"/>
        </w:rPr>
        <w:t>4</w:t>
      </w:r>
      <w:r w:rsidRPr="004417EB">
        <w:rPr>
          <w:u w:val="double"/>
        </w:rPr>
        <w:t xml:space="preserve"> (4 mM).</w:t>
      </w:r>
    </w:p>
    <w:p w14:paraId="6A4CAB4D" w14:textId="77777777" w:rsidR="007C771B" w:rsidRPr="004417EB" w:rsidRDefault="007C771B" w:rsidP="007C771B">
      <w:pPr>
        <w:pStyle w:val="111Para"/>
        <w:rPr>
          <w:u w:val="double"/>
        </w:rPr>
      </w:pPr>
      <w:r w:rsidRPr="004417EB">
        <w:rPr>
          <w:u w:val="double"/>
        </w:rPr>
        <w:t xml:space="preserve">Due to the extent of genetic variation of this virus in some regions, de Oliveira </w:t>
      </w:r>
      <w:r w:rsidRPr="004417EB">
        <w:rPr>
          <w:i/>
          <w:iCs/>
          <w:u w:val="double"/>
        </w:rPr>
        <w:t>et al.</w:t>
      </w:r>
      <w:r w:rsidRPr="004417EB">
        <w:rPr>
          <w:u w:val="double"/>
        </w:rPr>
        <w:t xml:space="preserve"> (2018) developed a method for detecting VSV IND-3 by multiplex real-time RT-PCR; the test showed excellent sensitivity and specificity. The test is performed according to the kit manufacturer’s instructions and the concentration of the primers in a final volume of 25 µl was 0.4 µM. The real-time RT-PCR protocol consists of reverse transcription cycles at 50°C for 10 minutes and denaturation at 95°C for 5 minutes followed by 45 cycles of 95°C for 10 seconds and 60°C for 1 minute.</w:t>
      </w:r>
    </w:p>
    <w:p w14:paraId="1A549818" w14:textId="77777777" w:rsidR="007C771B" w:rsidRPr="004417EB" w:rsidRDefault="007C771B" w:rsidP="007C771B">
      <w:pPr>
        <w:pStyle w:val="111Para"/>
        <w:rPr>
          <w:u w:val="double"/>
        </w:rPr>
      </w:pPr>
      <w:r w:rsidRPr="004417EB">
        <w:rPr>
          <w:u w:val="double"/>
        </w:rPr>
        <w:t xml:space="preserve">Sales </w:t>
      </w:r>
      <w:r w:rsidRPr="004417EB">
        <w:rPr>
          <w:i/>
          <w:iCs/>
          <w:u w:val="double"/>
        </w:rPr>
        <w:t>et al.</w:t>
      </w:r>
      <w:r w:rsidRPr="004417EB">
        <w:rPr>
          <w:u w:val="double"/>
        </w:rPr>
        <w:t xml:space="preserve"> (2020) described a real-time RT-PCR protocol for the diagnosis of VSV IND-2. The test is carried out according to the kit manufacturer’s instructions, with the concentration of each primer 0.1 µM and probe 0.4 µM in a final volume of 25 µl. The real-time RT-PCR protocol consists of reverse transcription cycles of 45°C for 10 minutes and denaturation of 95°C for 5 minutes, followed by 45 cycles of 95°C for 10 seconds and 60°C for 1 minute.</w:t>
      </w:r>
    </w:p>
    <w:p w14:paraId="3A5B9282" w14:textId="77777777" w:rsidR="007C771B" w:rsidRPr="004417EB" w:rsidRDefault="007C771B" w:rsidP="007C771B">
      <w:pPr>
        <w:tabs>
          <w:tab w:val="clear" w:pos="-720"/>
        </w:tabs>
        <w:spacing w:line="240" w:lineRule="auto"/>
        <w:jc w:val="left"/>
        <w:rPr>
          <w:rFonts w:ascii="Arial" w:eastAsiaTheme="minorHAnsi" w:hAnsi="Arial" w:cs="Arial"/>
          <w:b/>
          <w:bCs/>
          <w:i/>
          <w:iCs/>
          <w:sz w:val="18"/>
          <w:szCs w:val="18"/>
          <w:u w:val="double"/>
          <w:lang w:eastAsia="en-US"/>
        </w:rPr>
      </w:pPr>
      <w:r w:rsidRPr="004417EB">
        <w:rPr>
          <w:b/>
          <w:bCs/>
          <w:i/>
          <w:iCs/>
          <w:u w:val="double"/>
        </w:rPr>
        <w:br w:type="page"/>
      </w:r>
    </w:p>
    <w:p w14:paraId="66104B22" w14:textId="77777777" w:rsidR="007C771B" w:rsidRPr="004417EB" w:rsidRDefault="007C771B" w:rsidP="007C771B">
      <w:pPr>
        <w:pStyle w:val="11Para"/>
        <w:spacing w:after="120"/>
        <w:jc w:val="center"/>
        <w:rPr>
          <w:rFonts w:ascii="Ottawa" w:hAnsi="Ottawa"/>
          <w:i/>
          <w:iCs/>
          <w:u w:val="double"/>
        </w:rPr>
      </w:pPr>
      <w:r w:rsidRPr="004417EB">
        <w:rPr>
          <w:rFonts w:ascii="Ottawa" w:hAnsi="Ottawa"/>
          <w:b/>
          <w:bCs/>
          <w:i/>
          <w:iCs/>
          <w:u w:val="double"/>
        </w:rPr>
        <w:lastRenderedPageBreak/>
        <w:t>Table 2</w:t>
      </w:r>
      <w:r w:rsidRPr="004417EB">
        <w:rPr>
          <w:rFonts w:ascii="Ottawa" w:hAnsi="Ottawa"/>
          <w:i/>
          <w:iCs/>
          <w:u w:val="double"/>
        </w:rPr>
        <w:t>. Oligonucleotides target for real-time</w:t>
      </w:r>
      <w:r w:rsidRPr="004417EB">
        <w:rPr>
          <w:rFonts w:ascii="Ottawa" w:hAnsi="Ottawa"/>
          <w:u w:val="double"/>
        </w:rPr>
        <w:t xml:space="preserve"> </w:t>
      </w:r>
      <w:r w:rsidRPr="004417EB">
        <w:rPr>
          <w:rFonts w:ascii="Ottawa" w:hAnsi="Ottawa"/>
          <w:i/>
          <w:iCs/>
          <w:u w:val="double"/>
        </w:rPr>
        <w:t>RT-PCR of VSV</w:t>
      </w:r>
    </w:p>
    <w:tbl>
      <w:tblPr>
        <w:tblStyle w:val="Tabelacomgrade1"/>
        <w:tblW w:w="9493" w:type="dxa"/>
        <w:jc w:val="center"/>
        <w:tblLook w:val="04A0" w:firstRow="1" w:lastRow="0" w:firstColumn="1" w:lastColumn="0" w:noHBand="0" w:noVBand="1"/>
      </w:tblPr>
      <w:tblGrid>
        <w:gridCol w:w="1696"/>
        <w:gridCol w:w="6453"/>
        <w:gridCol w:w="1344"/>
      </w:tblGrid>
      <w:tr w:rsidR="007C771B" w:rsidRPr="004417EB" w14:paraId="3C63B74E" w14:textId="77777777" w:rsidTr="005C0BC9">
        <w:trPr>
          <w:jc w:val="center"/>
        </w:trPr>
        <w:tc>
          <w:tcPr>
            <w:tcW w:w="9493" w:type="dxa"/>
            <w:gridSpan w:val="3"/>
            <w:shd w:val="clear" w:color="auto" w:fill="BFBFBF"/>
          </w:tcPr>
          <w:p w14:paraId="1A1F4340" w14:textId="77777777" w:rsidR="007C771B" w:rsidRPr="004417EB" w:rsidRDefault="007C771B" w:rsidP="005C0BC9">
            <w:pPr>
              <w:tabs>
                <w:tab w:val="clear" w:pos="-720"/>
              </w:tabs>
              <w:spacing w:before="120" w:after="120" w:line="240" w:lineRule="auto"/>
              <w:jc w:val="center"/>
              <w:rPr>
                <w:rFonts w:ascii="Arial" w:hAnsi="Arial" w:cs="Arial"/>
                <w:b/>
                <w:bCs/>
                <w:sz w:val="18"/>
                <w:szCs w:val="18"/>
                <w:u w:val="double"/>
                <w:lang w:val="en-US" w:eastAsia="en-US"/>
              </w:rPr>
            </w:pPr>
            <w:r w:rsidRPr="004417EB">
              <w:rPr>
                <w:rFonts w:ascii="Arial" w:hAnsi="Arial" w:cs="Arial"/>
                <w:b/>
                <w:bCs/>
                <w:sz w:val="18"/>
                <w:szCs w:val="18"/>
                <w:u w:val="double"/>
              </w:rPr>
              <w:t xml:space="preserve">Real-time </w:t>
            </w:r>
            <w:r w:rsidRPr="004417EB">
              <w:rPr>
                <w:rFonts w:ascii="Arial" w:hAnsi="Arial" w:cs="Arial"/>
                <w:b/>
                <w:bCs/>
                <w:sz w:val="18"/>
                <w:szCs w:val="18"/>
                <w:u w:val="double"/>
                <w:lang w:val="en-US" w:eastAsia="en-US"/>
              </w:rPr>
              <w:t>RT-PCR for vesicular stomatitis</w:t>
            </w:r>
          </w:p>
        </w:tc>
      </w:tr>
      <w:tr w:rsidR="007C771B" w:rsidRPr="004417EB" w14:paraId="2971FA6D" w14:textId="77777777" w:rsidTr="005C0BC9">
        <w:trPr>
          <w:jc w:val="center"/>
        </w:trPr>
        <w:tc>
          <w:tcPr>
            <w:tcW w:w="9493" w:type="dxa"/>
            <w:gridSpan w:val="3"/>
            <w:shd w:val="clear" w:color="auto" w:fill="F2F2F2"/>
          </w:tcPr>
          <w:p w14:paraId="587C08FF" w14:textId="77777777" w:rsidR="007C771B" w:rsidRPr="004417EB" w:rsidRDefault="007C771B" w:rsidP="005C0BC9">
            <w:pPr>
              <w:tabs>
                <w:tab w:val="clear" w:pos="-720"/>
              </w:tabs>
              <w:spacing w:before="120" w:after="120" w:line="240" w:lineRule="auto"/>
              <w:jc w:val="center"/>
              <w:rPr>
                <w:rFonts w:ascii="Arial" w:hAnsi="Arial" w:cs="Arial"/>
                <w:sz w:val="18"/>
                <w:szCs w:val="18"/>
                <w:u w:val="double"/>
                <w:lang w:val="en-US" w:eastAsia="en-US"/>
              </w:rPr>
            </w:pPr>
            <w:r w:rsidRPr="004417EB">
              <w:rPr>
                <w:rFonts w:ascii="Arial" w:hAnsi="Arial" w:cs="Arial"/>
                <w:i/>
                <w:iCs/>
                <w:sz w:val="18"/>
                <w:szCs w:val="18"/>
                <w:u w:val="double"/>
                <w:lang w:val="en-US" w:eastAsia="en-US"/>
              </w:rPr>
              <w:t>Multiplex New Jersey vesiculovirus</w:t>
            </w:r>
            <w:r w:rsidRPr="004417EB">
              <w:rPr>
                <w:rFonts w:ascii="Arial" w:hAnsi="Arial" w:cs="Arial"/>
                <w:sz w:val="18"/>
                <w:szCs w:val="18"/>
                <w:u w:val="double"/>
                <w:lang w:val="en-US" w:eastAsia="en-US"/>
              </w:rPr>
              <w:t xml:space="preserve"> (VSV NJ) and </w:t>
            </w:r>
            <w:r w:rsidRPr="004417EB">
              <w:rPr>
                <w:rFonts w:ascii="Arial" w:hAnsi="Arial" w:cs="Arial"/>
                <w:i/>
                <w:iCs/>
                <w:sz w:val="18"/>
                <w:szCs w:val="18"/>
                <w:u w:val="double"/>
                <w:lang w:val="en-US" w:eastAsia="en-US"/>
              </w:rPr>
              <w:t>Indiana vesiculovirus</w:t>
            </w:r>
            <w:r w:rsidRPr="004417EB">
              <w:rPr>
                <w:rFonts w:ascii="Arial" w:hAnsi="Arial" w:cs="Arial"/>
                <w:sz w:val="18"/>
                <w:szCs w:val="18"/>
                <w:u w:val="double"/>
                <w:lang w:val="en-US" w:eastAsia="en-US"/>
              </w:rPr>
              <w:t xml:space="preserve"> (VSIV)</w:t>
            </w:r>
          </w:p>
        </w:tc>
      </w:tr>
      <w:tr w:rsidR="007C771B" w:rsidRPr="004417EB" w14:paraId="39EF200B" w14:textId="77777777" w:rsidTr="005C0BC9">
        <w:trPr>
          <w:jc w:val="center"/>
        </w:trPr>
        <w:tc>
          <w:tcPr>
            <w:tcW w:w="1696" w:type="dxa"/>
          </w:tcPr>
          <w:p w14:paraId="14A0EEA2" w14:textId="77777777" w:rsidR="007C771B" w:rsidRPr="004417EB" w:rsidRDefault="007C771B" w:rsidP="005C0BC9">
            <w:pPr>
              <w:tabs>
                <w:tab w:val="clear" w:pos="-720"/>
              </w:tabs>
              <w:spacing w:before="60" w:after="60" w:line="240" w:lineRule="auto"/>
              <w:jc w:val="center"/>
              <w:rPr>
                <w:rFonts w:ascii="Arial" w:hAnsi="Arial" w:cs="Arial"/>
                <w:b/>
                <w:bCs/>
                <w:color w:val="000000"/>
                <w:sz w:val="18"/>
                <w:szCs w:val="18"/>
                <w:u w:val="double"/>
                <w:lang w:eastAsia="pt-BR"/>
              </w:rPr>
            </w:pPr>
            <w:r w:rsidRPr="004417EB">
              <w:rPr>
                <w:rFonts w:ascii="Arial" w:hAnsi="Arial" w:cs="Arial"/>
                <w:b/>
                <w:bCs/>
                <w:sz w:val="18"/>
                <w:szCs w:val="18"/>
                <w:u w:val="double"/>
                <w:lang w:eastAsia="en-US"/>
              </w:rPr>
              <w:t>Name</w:t>
            </w:r>
          </w:p>
        </w:tc>
        <w:tc>
          <w:tcPr>
            <w:tcW w:w="6453" w:type="dxa"/>
          </w:tcPr>
          <w:p w14:paraId="7CEF77D1" w14:textId="77777777" w:rsidR="007C771B" w:rsidRPr="004417EB" w:rsidRDefault="007C771B" w:rsidP="005C0BC9">
            <w:pPr>
              <w:tabs>
                <w:tab w:val="clear" w:pos="-720"/>
              </w:tabs>
              <w:spacing w:before="60" w:after="60" w:line="240" w:lineRule="auto"/>
              <w:jc w:val="center"/>
              <w:rPr>
                <w:rFonts w:ascii="Arial" w:hAnsi="Arial" w:cs="Arial"/>
                <w:color w:val="000000"/>
                <w:sz w:val="18"/>
                <w:szCs w:val="18"/>
                <w:u w:val="double"/>
                <w:lang w:val="en-US" w:eastAsia="pt-BR"/>
              </w:rPr>
            </w:pPr>
            <w:r w:rsidRPr="004417EB">
              <w:rPr>
                <w:rFonts w:ascii="Arial" w:hAnsi="Arial" w:cs="Arial"/>
                <w:b/>
                <w:bCs/>
                <w:sz w:val="18"/>
                <w:szCs w:val="18"/>
                <w:u w:val="double"/>
                <w:lang w:eastAsia="en-US"/>
              </w:rPr>
              <w:t>Sequence (5’–3’)</w:t>
            </w:r>
          </w:p>
        </w:tc>
        <w:tc>
          <w:tcPr>
            <w:tcW w:w="1344" w:type="dxa"/>
          </w:tcPr>
          <w:p w14:paraId="09D48B42"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Reference</w:t>
            </w:r>
          </w:p>
        </w:tc>
      </w:tr>
      <w:tr w:rsidR="007C771B" w:rsidRPr="004417EB" w14:paraId="5779FEA2" w14:textId="77777777" w:rsidTr="005C0BC9">
        <w:trPr>
          <w:jc w:val="center"/>
        </w:trPr>
        <w:tc>
          <w:tcPr>
            <w:tcW w:w="1696" w:type="dxa"/>
            <w:vAlign w:val="center"/>
          </w:tcPr>
          <w:p w14:paraId="25AD214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pt-BR"/>
              </w:rPr>
              <w:t>VSV 7230 NJ F-1</w:t>
            </w:r>
          </w:p>
        </w:tc>
        <w:tc>
          <w:tcPr>
            <w:tcW w:w="6453" w:type="dxa"/>
            <w:vAlign w:val="center"/>
          </w:tcPr>
          <w:p w14:paraId="7DE1C3F4"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Forward: TGA-TTC-AAT-ATA-ATT-ATT-TTG-GGA-C</w:t>
            </w:r>
          </w:p>
        </w:tc>
        <w:tc>
          <w:tcPr>
            <w:tcW w:w="1344" w:type="dxa"/>
            <w:vMerge w:val="restart"/>
            <w:vAlign w:val="center"/>
          </w:tcPr>
          <w:p w14:paraId="592765D2"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Hole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(2010)</w:t>
            </w:r>
          </w:p>
        </w:tc>
      </w:tr>
      <w:tr w:rsidR="007C771B" w:rsidRPr="004417EB" w14:paraId="2123895F" w14:textId="77777777" w:rsidTr="005C0BC9">
        <w:trPr>
          <w:jc w:val="center"/>
        </w:trPr>
        <w:tc>
          <w:tcPr>
            <w:tcW w:w="1696" w:type="dxa"/>
            <w:vAlign w:val="center"/>
          </w:tcPr>
          <w:p w14:paraId="7E2A626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pt-BR"/>
              </w:rPr>
              <w:t>VSV 7230 NJ F-2</w:t>
            </w:r>
          </w:p>
        </w:tc>
        <w:tc>
          <w:tcPr>
            <w:tcW w:w="6453" w:type="dxa"/>
            <w:vAlign w:val="center"/>
          </w:tcPr>
          <w:p w14:paraId="3B0E8D5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Forward: TGA-TTC-AAT-ATA-ATT-ACT-TTG-GGA-C</w:t>
            </w:r>
          </w:p>
        </w:tc>
        <w:tc>
          <w:tcPr>
            <w:tcW w:w="1344" w:type="dxa"/>
            <w:vMerge/>
          </w:tcPr>
          <w:p w14:paraId="3851472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0C89BB09" w14:textId="77777777" w:rsidTr="005C0BC9">
        <w:trPr>
          <w:jc w:val="center"/>
        </w:trPr>
        <w:tc>
          <w:tcPr>
            <w:tcW w:w="1696" w:type="dxa"/>
            <w:vAlign w:val="center"/>
          </w:tcPr>
          <w:p w14:paraId="6B59D20F"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pt-BR"/>
              </w:rPr>
              <w:t>VSV REV2 NJ R</w:t>
            </w:r>
          </w:p>
        </w:tc>
        <w:tc>
          <w:tcPr>
            <w:tcW w:w="6453" w:type="dxa"/>
            <w:vAlign w:val="center"/>
          </w:tcPr>
          <w:p w14:paraId="6FDC6D6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Reverse: AGG-CTC-AGA-GGC-ATG-TTC-AT</w:t>
            </w:r>
          </w:p>
        </w:tc>
        <w:tc>
          <w:tcPr>
            <w:tcW w:w="1344" w:type="dxa"/>
            <w:vMerge/>
          </w:tcPr>
          <w:p w14:paraId="765DEE3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3921DCB6" w14:textId="77777777" w:rsidTr="005C0BC9">
        <w:trPr>
          <w:jc w:val="center"/>
        </w:trPr>
        <w:tc>
          <w:tcPr>
            <w:tcW w:w="1696" w:type="dxa"/>
            <w:vAlign w:val="center"/>
          </w:tcPr>
          <w:p w14:paraId="1AD8FB26"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pt-BR"/>
              </w:rPr>
              <w:t>VSV NJ M1 P</w:t>
            </w:r>
          </w:p>
        </w:tc>
        <w:tc>
          <w:tcPr>
            <w:tcW w:w="6453" w:type="dxa"/>
            <w:vAlign w:val="center"/>
          </w:tcPr>
          <w:p w14:paraId="1127A119"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Probe: FAM-TTT-ATG-CAT-GAT-CCC-GCA-ATA-CG--MGB-NFQ</w:t>
            </w:r>
          </w:p>
        </w:tc>
        <w:tc>
          <w:tcPr>
            <w:tcW w:w="1344" w:type="dxa"/>
            <w:vMerge/>
          </w:tcPr>
          <w:p w14:paraId="385BE9B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216F5DB1" w14:textId="77777777" w:rsidTr="005C0BC9">
        <w:trPr>
          <w:jc w:val="center"/>
        </w:trPr>
        <w:tc>
          <w:tcPr>
            <w:tcW w:w="1696" w:type="dxa"/>
            <w:vAlign w:val="center"/>
          </w:tcPr>
          <w:p w14:paraId="631CF3A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pt-BR"/>
              </w:rPr>
              <w:t>VSV NJ M2 P</w:t>
            </w:r>
          </w:p>
        </w:tc>
        <w:tc>
          <w:tcPr>
            <w:tcW w:w="6453" w:type="dxa"/>
            <w:vAlign w:val="center"/>
          </w:tcPr>
          <w:p w14:paraId="68BD319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Probe: FAM-TTT-ATG-CAT-GAC-CCT-GCC-ATA-AG-MGB-NFQ</w:t>
            </w:r>
          </w:p>
        </w:tc>
        <w:tc>
          <w:tcPr>
            <w:tcW w:w="1344" w:type="dxa"/>
            <w:vMerge/>
          </w:tcPr>
          <w:p w14:paraId="3D23CCAA"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29ABE86B" w14:textId="77777777" w:rsidTr="005C0BC9">
        <w:trPr>
          <w:jc w:val="center"/>
        </w:trPr>
        <w:tc>
          <w:tcPr>
            <w:tcW w:w="1696" w:type="dxa"/>
            <w:vAlign w:val="center"/>
          </w:tcPr>
          <w:p w14:paraId="486A112A"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pt-BR"/>
              </w:rPr>
              <w:t>VSV 7230 IN F</w:t>
            </w:r>
          </w:p>
        </w:tc>
        <w:tc>
          <w:tcPr>
            <w:tcW w:w="6453" w:type="dxa"/>
            <w:vAlign w:val="center"/>
          </w:tcPr>
          <w:p w14:paraId="2821452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Forward: TGA-TAC-AGT-ACA-ATT-ATT-TTG-GGA-C</w:t>
            </w:r>
          </w:p>
        </w:tc>
        <w:tc>
          <w:tcPr>
            <w:tcW w:w="1344" w:type="dxa"/>
            <w:vMerge/>
            <w:vAlign w:val="center"/>
          </w:tcPr>
          <w:p w14:paraId="1F661121" w14:textId="77777777" w:rsidR="007C771B" w:rsidRPr="004417EB" w:rsidRDefault="007C771B" w:rsidP="005C0BC9">
            <w:pPr>
              <w:tabs>
                <w:tab w:val="clear" w:pos="-720"/>
              </w:tabs>
              <w:spacing w:before="60" w:after="60" w:line="240" w:lineRule="auto"/>
              <w:rPr>
                <w:rFonts w:ascii="Arial" w:hAnsi="Arial" w:cs="Arial"/>
                <w:sz w:val="18"/>
                <w:szCs w:val="18"/>
                <w:u w:val="double"/>
                <w:lang w:val="en-US" w:eastAsia="en-US"/>
              </w:rPr>
            </w:pPr>
          </w:p>
        </w:tc>
      </w:tr>
      <w:tr w:rsidR="007C771B" w:rsidRPr="004417EB" w14:paraId="0FBF820B" w14:textId="77777777" w:rsidTr="005C0BC9">
        <w:trPr>
          <w:jc w:val="center"/>
        </w:trPr>
        <w:tc>
          <w:tcPr>
            <w:tcW w:w="1696" w:type="dxa"/>
            <w:vAlign w:val="center"/>
          </w:tcPr>
          <w:p w14:paraId="43002B0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pt-BR"/>
              </w:rPr>
              <w:t>VSV 7456 IN R</w:t>
            </w:r>
          </w:p>
        </w:tc>
        <w:tc>
          <w:tcPr>
            <w:tcW w:w="6453" w:type="dxa"/>
            <w:vAlign w:val="center"/>
          </w:tcPr>
          <w:p w14:paraId="787ED94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Reverse: GAG-ACT-TTC-TGT-TAC-GGG-ATC-TGG</w:t>
            </w:r>
          </w:p>
        </w:tc>
        <w:tc>
          <w:tcPr>
            <w:tcW w:w="1344" w:type="dxa"/>
            <w:vMerge/>
          </w:tcPr>
          <w:p w14:paraId="35621B56"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1A016366" w14:textId="77777777" w:rsidTr="005C0BC9">
        <w:trPr>
          <w:jc w:val="center"/>
        </w:trPr>
        <w:tc>
          <w:tcPr>
            <w:tcW w:w="1696" w:type="dxa"/>
            <w:vAlign w:val="center"/>
          </w:tcPr>
          <w:p w14:paraId="40ECA4A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pt-BR"/>
              </w:rPr>
              <w:t>VSV IN 22 P</w:t>
            </w:r>
          </w:p>
        </w:tc>
        <w:tc>
          <w:tcPr>
            <w:tcW w:w="6453" w:type="dxa"/>
            <w:vAlign w:val="center"/>
          </w:tcPr>
          <w:p w14:paraId="51749D0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Probe: TET-ATG-ATG-CAT-GAT-CCT-GCT-CTT-C-MGB-NFQ</w:t>
            </w:r>
          </w:p>
        </w:tc>
        <w:tc>
          <w:tcPr>
            <w:tcW w:w="1344" w:type="dxa"/>
            <w:vMerge/>
          </w:tcPr>
          <w:p w14:paraId="01B864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6D65489A" w14:textId="77777777" w:rsidTr="005C0BC9">
        <w:trPr>
          <w:jc w:val="center"/>
        </w:trPr>
        <w:tc>
          <w:tcPr>
            <w:tcW w:w="9493" w:type="dxa"/>
            <w:gridSpan w:val="3"/>
            <w:shd w:val="clear" w:color="auto" w:fill="F2F2F2"/>
          </w:tcPr>
          <w:p w14:paraId="424F0AFC"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eastAsia="en-US"/>
              </w:rPr>
            </w:pPr>
            <w:r w:rsidRPr="004417EB">
              <w:rPr>
                <w:rFonts w:ascii="Arial" w:hAnsi="Arial" w:cs="Arial"/>
                <w:i/>
                <w:iCs/>
                <w:sz w:val="18"/>
                <w:szCs w:val="18"/>
                <w:u w:val="double"/>
                <w:lang w:eastAsia="en-US"/>
              </w:rPr>
              <w:t>Alagoas vesiculovirus</w:t>
            </w:r>
            <w:r w:rsidRPr="004417EB">
              <w:rPr>
                <w:rFonts w:ascii="Arial" w:hAnsi="Arial" w:cs="Arial"/>
                <w:sz w:val="18"/>
                <w:szCs w:val="18"/>
                <w:u w:val="double"/>
                <w:lang w:eastAsia="en-US"/>
              </w:rPr>
              <w:t xml:space="preserve"> (IND-3)</w:t>
            </w:r>
          </w:p>
        </w:tc>
      </w:tr>
      <w:tr w:rsidR="007C771B" w:rsidRPr="004417EB" w14:paraId="2FEBC7CD" w14:textId="77777777" w:rsidTr="005C0BC9">
        <w:trPr>
          <w:jc w:val="center"/>
        </w:trPr>
        <w:tc>
          <w:tcPr>
            <w:tcW w:w="1696" w:type="dxa"/>
          </w:tcPr>
          <w:p w14:paraId="619F1ABA"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eastAsia="en-US"/>
              </w:rPr>
            </w:pPr>
            <w:r w:rsidRPr="004417EB">
              <w:rPr>
                <w:rFonts w:ascii="Arial" w:hAnsi="Arial" w:cs="Arial"/>
                <w:b/>
                <w:bCs/>
                <w:sz w:val="18"/>
                <w:szCs w:val="18"/>
                <w:u w:val="double"/>
                <w:lang w:eastAsia="en-US"/>
              </w:rPr>
              <w:t>Name</w:t>
            </w:r>
          </w:p>
        </w:tc>
        <w:tc>
          <w:tcPr>
            <w:tcW w:w="6453" w:type="dxa"/>
          </w:tcPr>
          <w:p w14:paraId="2FD1493B"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eastAsia="en-US"/>
              </w:rPr>
            </w:pPr>
            <w:r w:rsidRPr="004417EB">
              <w:rPr>
                <w:rFonts w:ascii="Arial" w:hAnsi="Arial" w:cs="Arial"/>
                <w:b/>
                <w:bCs/>
                <w:sz w:val="18"/>
                <w:szCs w:val="18"/>
                <w:u w:val="double"/>
                <w:lang w:eastAsia="en-US"/>
              </w:rPr>
              <w:t>Sequence (5’–3’)</w:t>
            </w:r>
          </w:p>
        </w:tc>
        <w:tc>
          <w:tcPr>
            <w:tcW w:w="1344" w:type="dxa"/>
          </w:tcPr>
          <w:p w14:paraId="0AF33959" w14:textId="2B2C23CD" w:rsidR="007C771B" w:rsidRPr="004417EB" w:rsidRDefault="00081BC1" w:rsidP="005C0BC9">
            <w:pPr>
              <w:tabs>
                <w:tab w:val="clear" w:pos="-720"/>
              </w:tabs>
              <w:spacing w:before="60" w:after="60" w:line="240" w:lineRule="auto"/>
              <w:jc w:val="center"/>
              <w:rPr>
                <w:rFonts w:ascii="Arial" w:hAnsi="Arial" w:cs="Arial"/>
                <w:b/>
                <w:bCs/>
                <w:sz w:val="18"/>
                <w:szCs w:val="18"/>
                <w:u w:val="double"/>
                <w:lang w:eastAsia="en-US"/>
              </w:rPr>
            </w:pPr>
            <w:r>
              <w:rPr>
                <w:rFonts w:ascii="Arial" w:hAnsi="Arial" w:cs="Arial"/>
                <w:b/>
                <w:bCs/>
                <w:sz w:val="18"/>
                <w:szCs w:val="18"/>
                <w:u w:val="double"/>
                <w:lang w:eastAsia="en-US"/>
              </w:rPr>
              <w:t>Reference</w:t>
            </w:r>
          </w:p>
        </w:tc>
      </w:tr>
      <w:tr w:rsidR="007C771B" w:rsidRPr="004417EB" w14:paraId="5E5552F9" w14:textId="77777777" w:rsidTr="005C0BC9">
        <w:trPr>
          <w:jc w:val="center"/>
        </w:trPr>
        <w:tc>
          <w:tcPr>
            <w:tcW w:w="1696" w:type="dxa"/>
            <w:vAlign w:val="bottom"/>
          </w:tcPr>
          <w:p w14:paraId="035CCD5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VSAV-3.GP.95.F</w:t>
            </w:r>
          </w:p>
        </w:tc>
        <w:tc>
          <w:tcPr>
            <w:tcW w:w="6453" w:type="dxa"/>
            <w:vAlign w:val="bottom"/>
          </w:tcPr>
          <w:p w14:paraId="1A3ED349"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GGG-TWA-ACA-TCC-GTG-CTA</w:t>
            </w:r>
          </w:p>
        </w:tc>
        <w:tc>
          <w:tcPr>
            <w:tcW w:w="1344" w:type="dxa"/>
            <w:vMerge w:val="restart"/>
            <w:vAlign w:val="center"/>
          </w:tcPr>
          <w:p w14:paraId="773C45F9" w14:textId="2823867F"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de Oliveira </w:t>
            </w:r>
            <w:r w:rsidR="0074489C">
              <w:rPr>
                <w:rFonts w:ascii="Arial" w:hAnsi="Arial" w:cs="Arial"/>
                <w:sz w:val="18"/>
                <w:szCs w:val="18"/>
                <w:u w:val="double"/>
                <w:lang w:val="en-US" w:eastAsia="en-US"/>
              </w:rPr>
              <w:br/>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(2018)</w:t>
            </w:r>
          </w:p>
        </w:tc>
      </w:tr>
      <w:tr w:rsidR="007C771B" w:rsidRPr="004417EB" w14:paraId="501B748D" w14:textId="77777777" w:rsidTr="005C0BC9">
        <w:trPr>
          <w:jc w:val="center"/>
        </w:trPr>
        <w:tc>
          <w:tcPr>
            <w:tcW w:w="1696" w:type="dxa"/>
            <w:vAlign w:val="bottom"/>
          </w:tcPr>
          <w:p w14:paraId="0A5CFB7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VSAV-3.GP.95.R</w:t>
            </w:r>
          </w:p>
        </w:tc>
        <w:tc>
          <w:tcPr>
            <w:tcW w:w="6453" w:type="dxa"/>
            <w:vAlign w:val="bottom"/>
          </w:tcPr>
          <w:p w14:paraId="2C28CCD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GTC-ACA-AGT-GGT-GAT-CCA</w:t>
            </w:r>
          </w:p>
        </w:tc>
        <w:tc>
          <w:tcPr>
            <w:tcW w:w="1344" w:type="dxa"/>
            <w:vMerge/>
          </w:tcPr>
          <w:p w14:paraId="34482E0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5AD48442" w14:textId="77777777" w:rsidTr="005C0BC9">
        <w:trPr>
          <w:jc w:val="center"/>
        </w:trPr>
        <w:tc>
          <w:tcPr>
            <w:tcW w:w="1696" w:type="dxa"/>
            <w:vAlign w:val="bottom"/>
          </w:tcPr>
          <w:p w14:paraId="4853182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VSAV-3.GP.95.S</w:t>
            </w:r>
          </w:p>
        </w:tc>
        <w:tc>
          <w:tcPr>
            <w:tcW w:w="6453" w:type="dxa"/>
            <w:vAlign w:val="bottom"/>
          </w:tcPr>
          <w:p w14:paraId="36D30662"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Probe: FAM-cac+Atc+Cat+Cca+Tcagc-IowaBlack</w:t>
            </w:r>
          </w:p>
        </w:tc>
        <w:tc>
          <w:tcPr>
            <w:tcW w:w="1344" w:type="dxa"/>
            <w:vMerge/>
          </w:tcPr>
          <w:p w14:paraId="58A8B27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0DB584CC" w14:textId="77777777" w:rsidTr="005C0BC9">
        <w:trPr>
          <w:jc w:val="center"/>
        </w:trPr>
        <w:tc>
          <w:tcPr>
            <w:tcW w:w="1696" w:type="dxa"/>
            <w:vAlign w:val="bottom"/>
          </w:tcPr>
          <w:p w14:paraId="25E2B4D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VSAV.LP.78.F</w:t>
            </w:r>
          </w:p>
        </w:tc>
        <w:tc>
          <w:tcPr>
            <w:tcW w:w="6453" w:type="dxa"/>
            <w:vAlign w:val="bottom"/>
          </w:tcPr>
          <w:p w14:paraId="053F6B6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GTC-CAT-CAA-CCC-ATT-GTT-CC</w:t>
            </w:r>
          </w:p>
        </w:tc>
        <w:tc>
          <w:tcPr>
            <w:tcW w:w="1344" w:type="dxa"/>
            <w:vMerge/>
          </w:tcPr>
          <w:p w14:paraId="6D09029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065B477A" w14:textId="77777777" w:rsidTr="005C0BC9">
        <w:trPr>
          <w:jc w:val="center"/>
        </w:trPr>
        <w:tc>
          <w:tcPr>
            <w:tcW w:w="1696" w:type="dxa"/>
            <w:vAlign w:val="bottom"/>
          </w:tcPr>
          <w:p w14:paraId="07B4381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VSAV.LP.78.R</w:t>
            </w:r>
          </w:p>
        </w:tc>
        <w:tc>
          <w:tcPr>
            <w:tcW w:w="6453" w:type="dxa"/>
            <w:vAlign w:val="bottom"/>
          </w:tcPr>
          <w:p w14:paraId="27D883C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ATC-AAT-CCA-TCT-GCG-ACT-CC</w:t>
            </w:r>
          </w:p>
        </w:tc>
        <w:tc>
          <w:tcPr>
            <w:tcW w:w="1344" w:type="dxa"/>
            <w:vMerge/>
          </w:tcPr>
          <w:p w14:paraId="38433BD6"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234100" w14:paraId="0D4A6E11" w14:textId="77777777" w:rsidTr="005C0BC9">
        <w:trPr>
          <w:jc w:val="center"/>
        </w:trPr>
        <w:tc>
          <w:tcPr>
            <w:tcW w:w="1696" w:type="dxa"/>
            <w:vAlign w:val="center"/>
          </w:tcPr>
          <w:p w14:paraId="76D1D8C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VSAV.LP.78.S</w:t>
            </w:r>
          </w:p>
        </w:tc>
        <w:tc>
          <w:tcPr>
            <w:tcW w:w="6453" w:type="dxa"/>
            <w:vAlign w:val="bottom"/>
          </w:tcPr>
          <w:p w14:paraId="6B7632B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Probe: FAM-CGC-GAT-TCT-TAA-GTG-AGT-TCA-AAT-CAG-GA-NFQ</w:t>
            </w:r>
          </w:p>
        </w:tc>
        <w:tc>
          <w:tcPr>
            <w:tcW w:w="1344" w:type="dxa"/>
            <w:vMerge/>
          </w:tcPr>
          <w:p w14:paraId="308584F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5DA0CABC" w14:textId="77777777" w:rsidTr="005C0BC9">
        <w:trPr>
          <w:jc w:val="center"/>
        </w:trPr>
        <w:tc>
          <w:tcPr>
            <w:tcW w:w="1696" w:type="dxa"/>
            <w:vAlign w:val="bottom"/>
          </w:tcPr>
          <w:p w14:paraId="7B6D4B74"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VSAV.GP.87.F</w:t>
            </w:r>
          </w:p>
        </w:tc>
        <w:tc>
          <w:tcPr>
            <w:tcW w:w="6453" w:type="dxa"/>
            <w:vAlign w:val="bottom"/>
          </w:tcPr>
          <w:p w14:paraId="2AF493B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GAG-TGT-GGA-TCA-ACC-CAG</w:t>
            </w:r>
          </w:p>
        </w:tc>
        <w:tc>
          <w:tcPr>
            <w:tcW w:w="1344" w:type="dxa"/>
            <w:vMerge/>
          </w:tcPr>
          <w:p w14:paraId="03D35642"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5B31B060" w14:textId="77777777" w:rsidTr="005C0BC9">
        <w:trPr>
          <w:jc w:val="center"/>
        </w:trPr>
        <w:tc>
          <w:tcPr>
            <w:tcW w:w="1696" w:type="dxa"/>
            <w:vAlign w:val="bottom"/>
          </w:tcPr>
          <w:p w14:paraId="7C8E874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VSAV.GP.87.R</w:t>
            </w:r>
          </w:p>
        </w:tc>
        <w:tc>
          <w:tcPr>
            <w:tcW w:w="6453" w:type="dxa"/>
            <w:vAlign w:val="bottom"/>
          </w:tcPr>
          <w:p w14:paraId="02E9A29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CTG-TGG-CTT-GAA-CRA-TCA</w:t>
            </w:r>
          </w:p>
        </w:tc>
        <w:tc>
          <w:tcPr>
            <w:tcW w:w="1344" w:type="dxa"/>
            <w:vMerge/>
          </w:tcPr>
          <w:p w14:paraId="580F3A0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2F0B395A" w14:textId="77777777" w:rsidTr="005C0BC9">
        <w:trPr>
          <w:jc w:val="center"/>
        </w:trPr>
        <w:tc>
          <w:tcPr>
            <w:tcW w:w="1696" w:type="dxa"/>
            <w:vAlign w:val="bottom"/>
          </w:tcPr>
          <w:p w14:paraId="1C484C90"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VSAV.GP.87.S</w:t>
            </w:r>
          </w:p>
        </w:tc>
        <w:tc>
          <w:tcPr>
            <w:tcW w:w="6453" w:type="dxa"/>
            <w:vAlign w:val="bottom"/>
          </w:tcPr>
          <w:p w14:paraId="1CADE33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Probe: FAM-CTGC+GGTTATG+CC+TCCA-Iowa Black</w:t>
            </w:r>
          </w:p>
        </w:tc>
        <w:tc>
          <w:tcPr>
            <w:tcW w:w="1344" w:type="dxa"/>
            <w:vMerge/>
          </w:tcPr>
          <w:p w14:paraId="55F18F1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1A2AD1AA" w14:textId="77777777" w:rsidTr="005C0BC9">
        <w:trPr>
          <w:jc w:val="center"/>
        </w:trPr>
        <w:tc>
          <w:tcPr>
            <w:tcW w:w="9493" w:type="dxa"/>
            <w:gridSpan w:val="3"/>
            <w:shd w:val="clear" w:color="auto" w:fill="F2F2F2"/>
            <w:vAlign w:val="bottom"/>
          </w:tcPr>
          <w:p w14:paraId="5CA3FCEC"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i/>
                <w:iCs/>
                <w:sz w:val="18"/>
                <w:szCs w:val="18"/>
                <w:u w:val="double"/>
                <w:lang w:val="en-US" w:eastAsia="en-US"/>
              </w:rPr>
              <w:t>Cocal vesiculovirus</w:t>
            </w:r>
            <w:r w:rsidRPr="004417EB">
              <w:rPr>
                <w:rFonts w:ascii="Arial" w:hAnsi="Arial" w:cs="Arial"/>
                <w:sz w:val="18"/>
                <w:szCs w:val="18"/>
                <w:u w:val="double"/>
                <w:lang w:val="en-US" w:eastAsia="en-US"/>
              </w:rPr>
              <w:t xml:space="preserve"> (IND-2)</w:t>
            </w:r>
          </w:p>
        </w:tc>
      </w:tr>
      <w:tr w:rsidR="007C771B" w:rsidRPr="004417EB" w14:paraId="13EF27F4" w14:textId="77777777" w:rsidTr="005C0BC9">
        <w:trPr>
          <w:jc w:val="center"/>
        </w:trPr>
        <w:tc>
          <w:tcPr>
            <w:tcW w:w="1696" w:type="dxa"/>
          </w:tcPr>
          <w:p w14:paraId="77BA17C2"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val="en-US" w:eastAsia="en-US"/>
              </w:rPr>
            </w:pPr>
            <w:r w:rsidRPr="004417EB">
              <w:rPr>
                <w:rFonts w:ascii="Arial" w:hAnsi="Arial" w:cs="Arial"/>
                <w:b/>
                <w:bCs/>
                <w:sz w:val="18"/>
                <w:szCs w:val="18"/>
                <w:u w:val="double"/>
                <w:lang w:eastAsia="en-US"/>
              </w:rPr>
              <w:t>Name</w:t>
            </w:r>
          </w:p>
        </w:tc>
        <w:tc>
          <w:tcPr>
            <w:tcW w:w="6453" w:type="dxa"/>
          </w:tcPr>
          <w:p w14:paraId="392E65BD"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Sequence (5’–3’)</w:t>
            </w:r>
          </w:p>
        </w:tc>
        <w:tc>
          <w:tcPr>
            <w:tcW w:w="1344" w:type="dxa"/>
          </w:tcPr>
          <w:p w14:paraId="4401CBAB" w14:textId="3E20CC80" w:rsidR="007C771B" w:rsidRPr="004417EB" w:rsidRDefault="00081BC1" w:rsidP="005C0BC9">
            <w:pPr>
              <w:tabs>
                <w:tab w:val="clear" w:pos="-720"/>
              </w:tabs>
              <w:spacing w:before="60" w:after="60" w:line="240" w:lineRule="auto"/>
              <w:jc w:val="center"/>
              <w:rPr>
                <w:rFonts w:ascii="Arial" w:hAnsi="Arial" w:cs="Arial"/>
                <w:sz w:val="18"/>
                <w:szCs w:val="18"/>
                <w:u w:val="double"/>
                <w:lang w:val="en-US" w:eastAsia="en-US"/>
              </w:rPr>
            </w:pPr>
            <w:r>
              <w:rPr>
                <w:rFonts w:ascii="Arial" w:hAnsi="Arial" w:cs="Arial"/>
                <w:b/>
                <w:bCs/>
                <w:sz w:val="18"/>
                <w:szCs w:val="18"/>
                <w:u w:val="double"/>
                <w:lang w:eastAsia="en-US"/>
              </w:rPr>
              <w:t>Reference</w:t>
            </w:r>
          </w:p>
        </w:tc>
      </w:tr>
      <w:tr w:rsidR="007C771B" w:rsidRPr="004417EB" w14:paraId="6FADD0C5" w14:textId="77777777" w:rsidTr="005C0BC9">
        <w:trPr>
          <w:jc w:val="center"/>
        </w:trPr>
        <w:tc>
          <w:tcPr>
            <w:tcW w:w="1696" w:type="dxa"/>
            <w:vAlign w:val="bottom"/>
          </w:tcPr>
          <w:p w14:paraId="58DC846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COCV.GP.81.F</w:t>
            </w:r>
          </w:p>
        </w:tc>
        <w:tc>
          <w:tcPr>
            <w:tcW w:w="6453" w:type="dxa"/>
            <w:vAlign w:val="bottom"/>
          </w:tcPr>
          <w:p w14:paraId="1ECFFE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Forward: CGT-TGC-TGT-GAT-TGT-YCA</w:t>
            </w:r>
          </w:p>
        </w:tc>
        <w:tc>
          <w:tcPr>
            <w:tcW w:w="1344" w:type="dxa"/>
            <w:vMerge w:val="restart"/>
            <w:vAlign w:val="center"/>
          </w:tcPr>
          <w:p w14:paraId="2C706A61"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Sales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(2020)</w:t>
            </w:r>
          </w:p>
        </w:tc>
      </w:tr>
      <w:tr w:rsidR="007C771B" w:rsidRPr="004417EB" w14:paraId="3AFCACDD" w14:textId="77777777" w:rsidTr="005C0BC9">
        <w:trPr>
          <w:jc w:val="center"/>
        </w:trPr>
        <w:tc>
          <w:tcPr>
            <w:tcW w:w="1696" w:type="dxa"/>
            <w:vAlign w:val="bottom"/>
          </w:tcPr>
          <w:p w14:paraId="7A2F04F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COCV.GP.81.R</w:t>
            </w:r>
          </w:p>
        </w:tc>
        <w:tc>
          <w:tcPr>
            <w:tcW w:w="6453" w:type="dxa"/>
            <w:vAlign w:val="bottom"/>
          </w:tcPr>
          <w:p w14:paraId="78DF154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Reverse: GGG-AAC-TGG-GAG-TCA-ATC</w:t>
            </w:r>
          </w:p>
        </w:tc>
        <w:tc>
          <w:tcPr>
            <w:tcW w:w="1344" w:type="dxa"/>
            <w:vMerge/>
          </w:tcPr>
          <w:p w14:paraId="21404DF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73694D38" w14:textId="77777777" w:rsidTr="005C0BC9">
        <w:trPr>
          <w:jc w:val="center"/>
        </w:trPr>
        <w:tc>
          <w:tcPr>
            <w:tcW w:w="1696" w:type="dxa"/>
            <w:vAlign w:val="bottom"/>
          </w:tcPr>
          <w:p w14:paraId="0A807E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COCV.GP.81.S</w:t>
            </w:r>
          </w:p>
        </w:tc>
        <w:tc>
          <w:tcPr>
            <w:tcW w:w="6453" w:type="dxa"/>
            <w:vAlign w:val="bottom"/>
          </w:tcPr>
          <w:p w14:paraId="7E8ECEC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Probe: FAM-ctc+Atc+Cac+Caa+Cacat -BHQ1</w:t>
            </w:r>
          </w:p>
        </w:tc>
        <w:tc>
          <w:tcPr>
            <w:tcW w:w="1344" w:type="dxa"/>
            <w:vMerge/>
          </w:tcPr>
          <w:p w14:paraId="47A0805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bl>
    <w:p w14:paraId="29C44A97" w14:textId="035D93E4" w:rsidR="007C771B" w:rsidRPr="004417EB" w:rsidRDefault="007C771B" w:rsidP="007C771B">
      <w:pPr>
        <w:pStyle w:val="111"/>
        <w:spacing w:before="240"/>
        <w:rPr>
          <w:u w:val="double"/>
        </w:rPr>
      </w:pPr>
      <w:r w:rsidRPr="004417EB">
        <w:rPr>
          <w:u w:val="double"/>
        </w:rPr>
        <w:t>1.6.2.</w:t>
      </w:r>
      <w:r w:rsidRPr="004417EB">
        <w:rPr>
          <w:u w:val="double"/>
        </w:rPr>
        <w:tab/>
      </w:r>
      <w:r w:rsidR="005C0BC9">
        <w:rPr>
          <w:u w:val="double"/>
        </w:rPr>
        <w:t xml:space="preserve">Conventional </w:t>
      </w:r>
      <w:r w:rsidRPr="004417EB">
        <w:rPr>
          <w:u w:val="double"/>
        </w:rPr>
        <w:t>RT-PCR detection and typing</w:t>
      </w:r>
    </w:p>
    <w:p w14:paraId="6A6E5666" w14:textId="399E3178" w:rsidR="007C771B" w:rsidRPr="004417EB" w:rsidRDefault="007C771B" w:rsidP="007C771B">
      <w:pPr>
        <w:pStyle w:val="111Para"/>
        <w:rPr>
          <w:u w:val="double"/>
        </w:rPr>
      </w:pPr>
      <w:r w:rsidRPr="004417EB">
        <w:rPr>
          <w:u w:val="double"/>
        </w:rPr>
        <w:t xml:space="preserve">VS viruses NJ, VSIV, IND-2 and IND-3 can also be detected and typed using the RT-PCR methods described by Rodriguez </w:t>
      </w:r>
      <w:r w:rsidRPr="004417EB">
        <w:rPr>
          <w:i/>
          <w:iCs/>
          <w:u w:val="double"/>
        </w:rPr>
        <w:t>et al.</w:t>
      </w:r>
      <w:r w:rsidRPr="004417EB">
        <w:rPr>
          <w:u w:val="double"/>
        </w:rPr>
        <w:t xml:space="preserve"> (1993) and Pauszek </w:t>
      </w:r>
      <w:r w:rsidRPr="004417EB">
        <w:rPr>
          <w:i/>
          <w:iCs/>
          <w:u w:val="double"/>
        </w:rPr>
        <w:t>et al.</w:t>
      </w:r>
      <w:r w:rsidRPr="004417EB">
        <w:rPr>
          <w:u w:val="double"/>
        </w:rPr>
        <w:t xml:space="preserve"> (2008; 2011), and the primers described in Table 3. After obtaining the reverse transcription cDNA, the conventional PCR is undertaken. The protocol for all RT-PCR described consists of cycles of denaturation at 94°C for 3 minutes followed by 40 cycles of 94°C for 1 minute, 50°C for 1 minute and 72°C for 1 minute, and the extension step should be 72°C for 5 minutes.</w:t>
      </w:r>
    </w:p>
    <w:p w14:paraId="25F57534" w14:textId="77777777" w:rsidR="007C771B" w:rsidRPr="004417EB" w:rsidRDefault="007C771B" w:rsidP="007C771B">
      <w:pPr>
        <w:pStyle w:val="111Para"/>
        <w:rPr>
          <w:u w:val="double"/>
        </w:rPr>
      </w:pPr>
      <w:r w:rsidRPr="004417EB">
        <w:rPr>
          <w:u w:val="double"/>
        </w:rPr>
        <w:t xml:space="preserve">de Oliveira </w:t>
      </w:r>
      <w:r w:rsidRPr="004417EB">
        <w:rPr>
          <w:i/>
          <w:iCs/>
          <w:u w:val="double"/>
        </w:rPr>
        <w:t>et al.</w:t>
      </w:r>
      <w:r w:rsidRPr="004417EB">
        <w:rPr>
          <w:u w:val="double"/>
        </w:rPr>
        <w:t xml:space="preserve"> (2018) developed an RT-PCR to detect IND-2. The test is performed according to the kit manufacturer’s instructions, with the concentration of each primer being 1 µM in a final volume of 20 µl. The RT-PCR protocol consists of reverse transcription cycles at 50°C for 30 minutes and denaturation at 95°C for 15 minutes followed by 40 cycles of 94°C for 1 minute, 54°C for 1 minute and 72°C for 1 minute.</w:t>
      </w:r>
    </w:p>
    <w:p w14:paraId="549DFFD1" w14:textId="77777777" w:rsidR="007C771B" w:rsidRPr="004417EB" w:rsidRDefault="007C771B" w:rsidP="007C771B">
      <w:pPr>
        <w:tabs>
          <w:tab w:val="clear" w:pos="-720"/>
        </w:tabs>
        <w:spacing w:line="240" w:lineRule="auto"/>
        <w:jc w:val="left"/>
        <w:rPr>
          <w:rFonts w:ascii="Ottawa" w:eastAsiaTheme="minorHAnsi" w:hAnsi="Ottawa" w:cs="Arial"/>
          <w:b/>
          <w:bCs/>
          <w:i/>
          <w:iCs/>
          <w:sz w:val="18"/>
          <w:szCs w:val="18"/>
          <w:u w:val="double"/>
          <w:lang w:eastAsia="en-US"/>
        </w:rPr>
      </w:pPr>
      <w:r w:rsidRPr="004417EB">
        <w:rPr>
          <w:rFonts w:ascii="Ottawa" w:hAnsi="Ottawa"/>
          <w:b/>
          <w:bCs/>
          <w:i/>
          <w:iCs/>
          <w:u w:val="double"/>
        </w:rPr>
        <w:br w:type="page"/>
      </w:r>
    </w:p>
    <w:p w14:paraId="4C6BCA0B" w14:textId="700241AD" w:rsidR="007C771B" w:rsidRPr="004417EB" w:rsidRDefault="007C771B" w:rsidP="007C771B">
      <w:pPr>
        <w:pStyle w:val="11Para"/>
        <w:spacing w:after="120"/>
        <w:jc w:val="center"/>
        <w:rPr>
          <w:rFonts w:ascii="Ottawa" w:hAnsi="Ottawa"/>
          <w:i/>
          <w:iCs/>
          <w:u w:val="double"/>
        </w:rPr>
      </w:pPr>
      <w:r w:rsidRPr="004417EB">
        <w:rPr>
          <w:rFonts w:ascii="Ottawa" w:hAnsi="Ottawa"/>
          <w:b/>
          <w:bCs/>
          <w:i/>
          <w:iCs/>
          <w:u w:val="double"/>
        </w:rPr>
        <w:lastRenderedPageBreak/>
        <w:t>Table 3.</w:t>
      </w:r>
      <w:r w:rsidRPr="004417EB">
        <w:rPr>
          <w:rFonts w:ascii="Ottawa" w:hAnsi="Ottawa"/>
          <w:i/>
          <w:iCs/>
          <w:u w:val="double"/>
        </w:rPr>
        <w:t xml:space="preserve"> Primers and </w:t>
      </w:r>
      <w:r w:rsidR="00081BC1">
        <w:rPr>
          <w:rFonts w:ascii="Ottawa" w:hAnsi="Ottawa"/>
          <w:i/>
          <w:iCs/>
          <w:u w:val="double"/>
        </w:rPr>
        <w:t>references</w:t>
      </w:r>
      <w:r w:rsidRPr="004417EB">
        <w:rPr>
          <w:rFonts w:ascii="Ottawa" w:hAnsi="Ottawa"/>
          <w:i/>
          <w:iCs/>
          <w:u w:val="double"/>
        </w:rPr>
        <w:t xml:space="preserve"> for</w:t>
      </w:r>
      <w:r w:rsidR="00081BC1">
        <w:rPr>
          <w:rFonts w:ascii="Ottawa" w:hAnsi="Ottawa"/>
          <w:i/>
          <w:iCs/>
          <w:u w:val="double"/>
        </w:rPr>
        <w:t xml:space="preserve"> conventional</w:t>
      </w:r>
      <w:r w:rsidRPr="004417EB">
        <w:rPr>
          <w:rFonts w:ascii="Ottawa" w:hAnsi="Ottawa"/>
          <w:i/>
          <w:iCs/>
          <w:u w:val="double"/>
        </w:rPr>
        <w:t xml:space="preserve"> RT-PCR of VSV</w:t>
      </w:r>
    </w:p>
    <w:tbl>
      <w:tblPr>
        <w:tblStyle w:val="Tabelacomgrade2"/>
        <w:tblW w:w="9356" w:type="dxa"/>
        <w:jc w:val="center"/>
        <w:tblLook w:val="04A0" w:firstRow="1" w:lastRow="0" w:firstColumn="1" w:lastColumn="0" w:noHBand="0" w:noVBand="1"/>
      </w:tblPr>
      <w:tblGrid>
        <w:gridCol w:w="2695"/>
        <w:gridCol w:w="5386"/>
        <w:gridCol w:w="1275"/>
      </w:tblGrid>
      <w:tr w:rsidR="007C771B" w:rsidRPr="004417EB" w14:paraId="630889A7" w14:textId="77777777" w:rsidTr="005C0BC9">
        <w:trPr>
          <w:jc w:val="center"/>
        </w:trPr>
        <w:tc>
          <w:tcPr>
            <w:tcW w:w="9356" w:type="dxa"/>
            <w:gridSpan w:val="3"/>
            <w:shd w:val="clear" w:color="auto" w:fill="BFBFBF"/>
          </w:tcPr>
          <w:p w14:paraId="5E32EF05" w14:textId="2E79B9A2" w:rsidR="007C771B" w:rsidRPr="004417EB" w:rsidRDefault="00081BC1" w:rsidP="005C0BC9">
            <w:pPr>
              <w:tabs>
                <w:tab w:val="clear" w:pos="-720"/>
              </w:tabs>
              <w:spacing w:before="120" w:after="120" w:line="240" w:lineRule="auto"/>
              <w:jc w:val="center"/>
              <w:rPr>
                <w:rFonts w:ascii="Arial" w:hAnsi="Arial" w:cs="Arial"/>
                <w:i/>
                <w:iCs/>
                <w:sz w:val="18"/>
                <w:szCs w:val="18"/>
                <w:u w:val="double"/>
                <w:lang w:val="en-US" w:eastAsia="en-US"/>
              </w:rPr>
            </w:pPr>
            <w:bookmarkStart w:id="1" w:name="_Hlk52973145"/>
            <w:r>
              <w:rPr>
                <w:rFonts w:ascii="Arial" w:hAnsi="Arial" w:cs="Arial"/>
                <w:b/>
                <w:bCs/>
                <w:sz w:val="18"/>
                <w:szCs w:val="18"/>
                <w:u w:val="double"/>
                <w:lang w:val="en-US" w:eastAsia="en-US"/>
              </w:rPr>
              <w:t xml:space="preserve">Conventional </w:t>
            </w:r>
            <w:r w:rsidR="007C771B" w:rsidRPr="004417EB">
              <w:rPr>
                <w:rFonts w:ascii="Arial" w:hAnsi="Arial" w:cs="Arial"/>
                <w:b/>
                <w:bCs/>
                <w:sz w:val="18"/>
                <w:szCs w:val="18"/>
                <w:u w:val="double"/>
                <w:lang w:val="en-US" w:eastAsia="en-US"/>
              </w:rPr>
              <w:t>RT-PCR for vesicular stomatitis virus</w:t>
            </w:r>
          </w:p>
        </w:tc>
      </w:tr>
      <w:tr w:rsidR="007C771B" w:rsidRPr="004417EB" w14:paraId="5D73F877" w14:textId="77777777" w:rsidTr="005C0BC9">
        <w:trPr>
          <w:jc w:val="center"/>
        </w:trPr>
        <w:tc>
          <w:tcPr>
            <w:tcW w:w="9356" w:type="dxa"/>
            <w:gridSpan w:val="3"/>
            <w:shd w:val="clear" w:color="auto" w:fill="F2F2F2"/>
          </w:tcPr>
          <w:p w14:paraId="5995A8A7" w14:textId="77777777" w:rsidR="007C771B" w:rsidRPr="004417EB" w:rsidRDefault="007C771B" w:rsidP="005C0BC9">
            <w:pPr>
              <w:tabs>
                <w:tab w:val="clear" w:pos="-720"/>
              </w:tabs>
              <w:spacing w:before="120" w:after="120" w:line="240" w:lineRule="auto"/>
              <w:jc w:val="center"/>
              <w:rPr>
                <w:rFonts w:ascii="Arial" w:hAnsi="Arial" w:cs="Arial"/>
                <w:i/>
                <w:iCs/>
                <w:sz w:val="18"/>
                <w:szCs w:val="18"/>
                <w:u w:val="double"/>
                <w:lang w:val="en-US" w:eastAsia="en-US"/>
              </w:rPr>
            </w:pPr>
            <w:r w:rsidRPr="004417EB">
              <w:rPr>
                <w:rFonts w:ascii="Arial" w:hAnsi="Arial" w:cs="Arial"/>
                <w:i/>
                <w:iCs/>
                <w:sz w:val="18"/>
                <w:szCs w:val="18"/>
                <w:u w:val="double"/>
                <w:lang w:val="en-US" w:eastAsia="en-US"/>
              </w:rPr>
              <w:t>VSV NJ and VSIV</w:t>
            </w:r>
          </w:p>
        </w:tc>
      </w:tr>
      <w:tr w:rsidR="007C771B" w:rsidRPr="004417EB" w14:paraId="1394A06E" w14:textId="77777777" w:rsidTr="005C0BC9">
        <w:trPr>
          <w:jc w:val="center"/>
        </w:trPr>
        <w:tc>
          <w:tcPr>
            <w:tcW w:w="2695" w:type="dxa"/>
          </w:tcPr>
          <w:p w14:paraId="450FD95A"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0C122FA9"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(5’–3’)</w:t>
            </w:r>
          </w:p>
        </w:tc>
        <w:tc>
          <w:tcPr>
            <w:tcW w:w="1275" w:type="dxa"/>
          </w:tcPr>
          <w:p w14:paraId="30BB1154" w14:textId="4C11DC9A"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589AE11E" w14:textId="77777777" w:rsidTr="005C0BC9">
        <w:trPr>
          <w:jc w:val="center"/>
        </w:trPr>
        <w:tc>
          <w:tcPr>
            <w:tcW w:w="2695" w:type="dxa"/>
          </w:tcPr>
          <w:p w14:paraId="47DB586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NJ – P 102</w:t>
            </w:r>
          </w:p>
        </w:tc>
        <w:tc>
          <w:tcPr>
            <w:tcW w:w="5386" w:type="dxa"/>
          </w:tcPr>
          <w:p w14:paraId="44DC3DD7"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GAG-AGG-ATA-AAT-ATC-TCC</w:t>
            </w:r>
          </w:p>
        </w:tc>
        <w:tc>
          <w:tcPr>
            <w:tcW w:w="1275" w:type="dxa"/>
            <w:vMerge w:val="restart"/>
            <w:vAlign w:val="center"/>
          </w:tcPr>
          <w:p w14:paraId="503D3EB1"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color w:val="000000"/>
                <w:sz w:val="18"/>
                <w:szCs w:val="18"/>
                <w:u w:val="double"/>
                <w:lang w:val="en-US" w:eastAsia="pt-BR"/>
              </w:rPr>
              <w:t xml:space="preserve">Rodriguez </w:t>
            </w:r>
            <w:r w:rsidRPr="004417EB">
              <w:rPr>
                <w:rFonts w:ascii="Arial" w:hAnsi="Arial" w:cs="Arial"/>
                <w:color w:val="000000"/>
                <w:sz w:val="18"/>
                <w:szCs w:val="18"/>
                <w:u w:val="double"/>
                <w:lang w:val="en-US" w:eastAsia="pt-BR"/>
              </w:rPr>
              <w:br/>
            </w:r>
            <w:r w:rsidRPr="004417EB">
              <w:rPr>
                <w:rFonts w:ascii="Arial" w:hAnsi="Arial" w:cs="Arial"/>
                <w:i/>
                <w:iCs/>
                <w:color w:val="000000"/>
                <w:sz w:val="18"/>
                <w:szCs w:val="18"/>
                <w:u w:val="double"/>
                <w:lang w:val="en-US" w:eastAsia="pt-BR"/>
              </w:rPr>
              <w:t>et al.</w:t>
            </w:r>
            <w:r w:rsidRPr="004417EB">
              <w:rPr>
                <w:rFonts w:ascii="Arial" w:hAnsi="Arial" w:cs="Arial"/>
                <w:color w:val="000000"/>
                <w:sz w:val="18"/>
                <w:szCs w:val="18"/>
                <w:u w:val="double"/>
                <w:lang w:val="en-US" w:eastAsia="pt-BR"/>
              </w:rPr>
              <w:t xml:space="preserve"> (1993)</w:t>
            </w:r>
          </w:p>
        </w:tc>
      </w:tr>
      <w:tr w:rsidR="007C771B" w:rsidRPr="004417EB" w14:paraId="43CA505E" w14:textId="77777777" w:rsidTr="005C0BC9">
        <w:trPr>
          <w:jc w:val="center"/>
        </w:trPr>
        <w:tc>
          <w:tcPr>
            <w:tcW w:w="2695" w:type="dxa"/>
          </w:tcPr>
          <w:p w14:paraId="48BB2D6A"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NJ – P 744</w:t>
            </w:r>
          </w:p>
        </w:tc>
        <w:tc>
          <w:tcPr>
            <w:tcW w:w="5386" w:type="dxa"/>
          </w:tcPr>
          <w:p w14:paraId="4FCA1C77"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GGG-CAT-ACT-GAA-GAA-TA</w:t>
            </w:r>
          </w:p>
        </w:tc>
        <w:tc>
          <w:tcPr>
            <w:tcW w:w="1275" w:type="dxa"/>
            <w:vMerge/>
          </w:tcPr>
          <w:p w14:paraId="17B2DCB8"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57D7BC9C" w14:textId="77777777" w:rsidTr="005C0BC9">
        <w:trPr>
          <w:jc w:val="center"/>
        </w:trPr>
        <w:tc>
          <w:tcPr>
            <w:tcW w:w="2695" w:type="dxa"/>
          </w:tcPr>
          <w:p w14:paraId="4379F19A"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IN – P 179</w:t>
            </w:r>
          </w:p>
        </w:tc>
        <w:tc>
          <w:tcPr>
            <w:tcW w:w="5386" w:type="dxa"/>
          </w:tcPr>
          <w:p w14:paraId="3836776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GCA-GAT-GAT-TCT-GAC-AC</w:t>
            </w:r>
          </w:p>
        </w:tc>
        <w:tc>
          <w:tcPr>
            <w:tcW w:w="1275" w:type="dxa"/>
            <w:vMerge/>
          </w:tcPr>
          <w:p w14:paraId="1C8FE883"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40AF8EED" w14:textId="77777777" w:rsidTr="005C0BC9">
        <w:trPr>
          <w:jc w:val="center"/>
        </w:trPr>
        <w:tc>
          <w:tcPr>
            <w:tcW w:w="2695" w:type="dxa"/>
          </w:tcPr>
          <w:p w14:paraId="0A6B906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IN – P 793</w:t>
            </w:r>
          </w:p>
        </w:tc>
        <w:tc>
          <w:tcPr>
            <w:tcW w:w="5386" w:type="dxa"/>
            <w:vAlign w:val="center"/>
          </w:tcPr>
          <w:p w14:paraId="5B8F9030"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GAC-TCT-(C/T)GC-CTG-(A/G)TT-GTA</w:t>
            </w:r>
          </w:p>
        </w:tc>
        <w:tc>
          <w:tcPr>
            <w:tcW w:w="1275" w:type="dxa"/>
            <w:vMerge/>
          </w:tcPr>
          <w:p w14:paraId="2D9B7A4C"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E742FEE" w14:textId="77777777" w:rsidTr="005C0BC9">
        <w:trPr>
          <w:jc w:val="center"/>
        </w:trPr>
        <w:tc>
          <w:tcPr>
            <w:tcW w:w="9356" w:type="dxa"/>
            <w:gridSpan w:val="3"/>
            <w:shd w:val="clear" w:color="auto" w:fill="F2F2F2"/>
          </w:tcPr>
          <w:p w14:paraId="2A0AE15B"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i/>
                <w:iCs/>
                <w:sz w:val="18"/>
                <w:szCs w:val="18"/>
                <w:u w:val="double"/>
                <w:lang w:val="en-US" w:eastAsia="en-US"/>
              </w:rPr>
              <w:t>Cocal vesiculovirus and Alagoas vesiculovirus</w:t>
            </w:r>
            <w:r w:rsidRPr="004417EB">
              <w:rPr>
                <w:rFonts w:ascii="Arial" w:hAnsi="Arial" w:cs="Arial"/>
                <w:sz w:val="18"/>
                <w:szCs w:val="18"/>
                <w:u w:val="double"/>
                <w:lang w:val="en-US" w:eastAsia="en-US"/>
              </w:rPr>
              <w:t xml:space="preserve"> (</w:t>
            </w:r>
            <w:r w:rsidRPr="004417EB">
              <w:rPr>
                <w:rFonts w:ascii="Arial" w:hAnsi="Arial" w:cs="Arial"/>
                <w:i/>
                <w:iCs/>
                <w:sz w:val="18"/>
                <w:szCs w:val="18"/>
                <w:u w:val="double"/>
                <w:lang w:val="en-US" w:eastAsia="en-US"/>
              </w:rPr>
              <w:t>IND-2 and IND-3</w:t>
            </w:r>
            <w:r w:rsidRPr="004417EB">
              <w:rPr>
                <w:rFonts w:ascii="Arial" w:hAnsi="Arial" w:cs="Arial"/>
                <w:sz w:val="18"/>
                <w:szCs w:val="18"/>
                <w:u w:val="double"/>
                <w:lang w:val="en-US" w:eastAsia="en-US"/>
              </w:rPr>
              <w:t>)</w:t>
            </w:r>
          </w:p>
        </w:tc>
      </w:tr>
      <w:tr w:rsidR="007C771B" w:rsidRPr="004417EB" w14:paraId="5CF9A349" w14:textId="77777777" w:rsidTr="005C0BC9">
        <w:trPr>
          <w:jc w:val="center"/>
        </w:trPr>
        <w:tc>
          <w:tcPr>
            <w:tcW w:w="2695" w:type="dxa"/>
          </w:tcPr>
          <w:p w14:paraId="4A5FAF6D"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53D9CD13" w14:textId="6715EC2F"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659D41FE" w14:textId="2FA475AA"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53C77AFC" w14:textId="77777777" w:rsidTr="005C0BC9">
        <w:trPr>
          <w:jc w:val="center"/>
        </w:trPr>
        <w:tc>
          <w:tcPr>
            <w:tcW w:w="2695" w:type="dxa"/>
            <w:vAlign w:val="center"/>
          </w:tcPr>
          <w:p w14:paraId="6FFA0494"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P66 (Cocal)</w:t>
            </w:r>
          </w:p>
        </w:tc>
        <w:tc>
          <w:tcPr>
            <w:tcW w:w="5386" w:type="dxa"/>
            <w:vAlign w:val="center"/>
          </w:tcPr>
          <w:p w14:paraId="658E9288"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AAT-TGG-ATG-ACG-CMG-TCC-A</w:t>
            </w:r>
          </w:p>
        </w:tc>
        <w:tc>
          <w:tcPr>
            <w:tcW w:w="1275" w:type="dxa"/>
            <w:vMerge w:val="restart"/>
            <w:vAlign w:val="center"/>
          </w:tcPr>
          <w:p w14:paraId="2998537C"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 xml:space="preserve">Pauszek </w:t>
            </w:r>
            <w:r w:rsidRPr="004417EB">
              <w:rPr>
                <w:rFonts w:ascii="Arial" w:hAnsi="Arial" w:cs="Arial"/>
                <w:color w:val="000000"/>
                <w:sz w:val="18"/>
                <w:szCs w:val="18"/>
                <w:u w:val="double"/>
                <w:lang w:val="en-US" w:eastAsia="pt-BR"/>
              </w:rPr>
              <w:br/>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(2008)</w:t>
            </w:r>
          </w:p>
        </w:tc>
      </w:tr>
      <w:tr w:rsidR="007C771B" w:rsidRPr="004417EB" w14:paraId="7DE5FC8D" w14:textId="77777777" w:rsidTr="005C0BC9">
        <w:trPr>
          <w:jc w:val="center"/>
        </w:trPr>
        <w:tc>
          <w:tcPr>
            <w:tcW w:w="2695" w:type="dxa"/>
            <w:vAlign w:val="center"/>
          </w:tcPr>
          <w:p w14:paraId="26C60591"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P711 (Cocal)</w:t>
            </w:r>
          </w:p>
        </w:tc>
        <w:tc>
          <w:tcPr>
            <w:tcW w:w="5386" w:type="dxa"/>
            <w:vAlign w:val="center"/>
          </w:tcPr>
          <w:p w14:paraId="15D0545C"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CCT-CCD-ACH-GAR-ATG-AAY-TCT-CC</w:t>
            </w:r>
          </w:p>
        </w:tc>
        <w:tc>
          <w:tcPr>
            <w:tcW w:w="1275" w:type="dxa"/>
            <w:vMerge/>
          </w:tcPr>
          <w:p w14:paraId="7441083D"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234100" w14:paraId="61F59886" w14:textId="77777777" w:rsidTr="005C0BC9">
        <w:trPr>
          <w:jc w:val="center"/>
        </w:trPr>
        <w:tc>
          <w:tcPr>
            <w:tcW w:w="2695" w:type="dxa"/>
            <w:vAlign w:val="center"/>
          </w:tcPr>
          <w:p w14:paraId="7B1698BE"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PJX (Alagoas )</w:t>
            </w:r>
          </w:p>
        </w:tc>
        <w:tc>
          <w:tcPr>
            <w:tcW w:w="5386" w:type="dxa"/>
            <w:vAlign w:val="center"/>
          </w:tcPr>
          <w:p w14:paraId="2CEEA40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Forward: TAT-GAA-AAA-AAI-TAA-CAG-IIA-TC</w:t>
            </w:r>
          </w:p>
        </w:tc>
        <w:tc>
          <w:tcPr>
            <w:tcW w:w="1275" w:type="dxa"/>
            <w:vMerge/>
          </w:tcPr>
          <w:p w14:paraId="5A17E694"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p>
        </w:tc>
      </w:tr>
      <w:tr w:rsidR="007C771B" w:rsidRPr="004417EB" w14:paraId="74659EA1" w14:textId="77777777" w:rsidTr="005C0BC9">
        <w:trPr>
          <w:jc w:val="center"/>
        </w:trPr>
        <w:tc>
          <w:tcPr>
            <w:tcW w:w="2695" w:type="dxa"/>
            <w:vAlign w:val="center"/>
          </w:tcPr>
          <w:p w14:paraId="25E947F0"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P711 (Alagoas)</w:t>
            </w:r>
          </w:p>
        </w:tc>
        <w:tc>
          <w:tcPr>
            <w:tcW w:w="5386" w:type="dxa"/>
            <w:vAlign w:val="center"/>
          </w:tcPr>
          <w:p w14:paraId="01799450"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CCT-CCD-ACH-GAR-ATG-AAY-TCT-CC</w:t>
            </w:r>
          </w:p>
        </w:tc>
        <w:tc>
          <w:tcPr>
            <w:tcW w:w="1275" w:type="dxa"/>
            <w:vMerge/>
          </w:tcPr>
          <w:p w14:paraId="303B7789"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45C616AB" w14:textId="77777777" w:rsidTr="005C0BC9">
        <w:trPr>
          <w:jc w:val="center"/>
        </w:trPr>
        <w:tc>
          <w:tcPr>
            <w:tcW w:w="9356" w:type="dxa"/>
            <w:gridSpan w:val="3"/>
            <w:shd w:val="clear" w:color="auto" w:fill="F2F2F2"/>
          </w:tcPr>
          <w:p w14:paraId="7983865A" w14:textId="0DF69BF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Nested PCR for</w:t>
            </w:r>
            <w:r w:rsidRPr="004417EB">
              <w:rPr>
                <w:rFonts w:ascii="Arial" w:hAnsi="Arial" w:cs="Arial"/>
                <w:i/>
                <w:iCs/>
                <w:sz w:val="18"/>
                <w:szCs w:val="18"/>
                <w:u w:val="double"/>
                <w:lang w:val="en-US" w:eastAsia="en-US"/>
              </w:rPr>
              <w:t xml:space="preserve"> Cocal vesiculovirus and Alagoas vesiculovirus</w:t>
            </w:r>
            <w:r w:rsidR="00081BC1">
              <w:rPr>
                <w:rFonts w:ascii="Arial" w:hAnsi="Arial" w:cs="Arial"/>
                <w:i/>
                <w:iCs/>
                <w:sz w:val="18"/>
                <w:szCs w:val="18"/>
                <w:u w:val="double"/>
                <w:lang w:val="en-US" w:eastAsia="en-US"/>
              </w:rPr>
              <w:t xml:space="preserve"> </w:t>
            </w:r>
            <w:r w:rsidR="00081BC1" w:rsidRPr="004417EB">
              <w:rPr>
                <w:rFonts w:ascii="Arial" w:hAnsi="Arial" w:cs="Arial"/>
                <w:sz w:val="18"/>
                <w:szCs w:val="18"/>
                <w:u w:val="double"/>
                <w:lang w:val="en-US" w:eastAsia="en-US"/>
              </w:rPr>
              <w:t>(</w:t>
            </w:r>
            <w:r w:rsidR="00081BC1" w:rsidRPr="004417EB">
              <w:rPr>
                <w:rFonts w:ascii="Arial" w:hAnsi="Arial" w:cs="Arial"/>
                <w:i/>
                <w:iCs/>
                <w:sz w:val="18"/>
                <w:szCs w:val="18"/>
                <w:u w:val="double"/>
                <w:lang w:val="en-US" w:eastAsia="en-US"/>
              </w:rPr>
              <w:t>IND-2 and IND-3</w:t>
            </w:r>
            <w:r w:rsidR="00081BC1" w:rsidRPr="004417EB">
              <w:rPr>
                <w:rFonts w:ascii="Arial" w:hAnsi="Arial" w:cs="Arial"/>
                <w:sz w:val="18"/>
                <w:szCs w:val="18"/>
                <w:u w:val="double"/>
                <w:lang w:val="en-US" w:eastAsia="en-US"/>
              </w:rPr>
              <w:t>)</w:t>
            </w:r>
          </w:p>
        </w:tc>
      </w:tr>
      <w:tr w:rsidR="007C771B" w:rsidRPr="004417EB" w14:paraId="37C9090C" w14:textId="77777777" w:rsidTr="005C0BC9">
        <w:trPr>
          <w:jc w:val="center"/>
        </w:trPr>
        <w:tc>
          <w:tcPr>
            <w:tcW w:w="2695" w:type="dxa"/>
          </w:tcPr>
          <w:p w14:paraId="5B606E38"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1D713ADB" w14:textId="5091D59F"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1BEB953D" w14:textId="60A84FE9"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60E91E95" w14:textId="77777777" w:rsidTr="005C0BC9">
        <w:trPr>
          <w:jc w:val="center"/>
        </w:trPr>
        <w:tc>
          <w:tcPr>
            <w:tcW w:w="2695" w:type="dxa"/>
            <w:vAlign w:val="center"/>
          </w:tcPr>
          <w:p w14:paraId="366CDA91"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P169 (</w:t>
            </w:r>
            <w:r w:rsidRPr="004417EB">
              <w:rPr>
                <w:rFonts w:ascii="Arial" w:hAnsi="Arial" w:cs="Arial"/>
                <w:i/>
                <w:iCs/>
                <w:sz w:val="18"/>
                <w:szCs w:val="18"/>
                <w:u w:val="double"/>
                <w:lang w:val="en-US" w:eastAsia="en-US"/>
              </w:rPr>
              <w:t>Cocal vesiculovirus</w:t>
            </w:r>
            <w:r w:rsidRPr="004417EB">
              <w:rPr>
                <w:rFonts w:ascii="Arial" w:hAnsi="Arial" w:cs="Arial"/>
                <w:sz w:val="18"/>
                <w:szCs w:val="18"/>
                <w:u w:val="double"/>
                <w:lang w:val="en-US" w:eastAsia="en-US"/>
              </w:rPr>
              <w:t>)</w:t>
            </w:r>
          </w:p>
        </w:tc>
        <w:tc>
          <w:tcPr>
            <w:tcW w:w="5386" w:type="dxa"/>
            <w:vAlign w:val="center"/>
          </w:tcPr>
          <w:p w14:paraId="0909B1E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TTA-CCA-AAA-TCA-GGA-GGA-TGA</w:t>
            </w:r>
          </w:p>
        </w:tc>
        <w:tc>
          <w:tcPr>
            <w:tcW w:w="1275" w:type="dxa"/>
            <w:vMerge w:val="restart"/>
            <w:vAlign w:val="center"/>
          </w:tcPr>
          <w:p w14:paraId="53FB0B30"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color w:val="000000"/>
                <w:sz w:val="18"/>
                <w:szCs w:val="18"/>
                <w:u w:val="double"/>
                <w:lang w:val="en-US" w:eastAsia="pt-BR"/>
              </w:rPr>
              <w:t xml:space="preserve">Pauszek </w:t>
            </w:r>
            <w:r w:rsidRPr="004417EB">
              <w:rPr>
                <w:rFonts w:ascii="Arial" w:hAnsi="Arial" w:cs="Arial"/>
                <w:color w:val="000000"/>
                <w:sz w:val="18"/>
                <w:szCs w:val="18"/>
                <w:u w:val="double"/>
                <w:lang w:val="en-US" w:eastAsia="pt-BR"/>
              </w:rPr>
              <w:br/>
            </w:r>
            <w:r w:rsidRPr="004417EB">
              <w:rPr>
                <w:rFonts w:ascii="Arial" w:hAnsi="Arial" w:cs="Arial"/>
                <w:i/>
                <w:iCs/>
                <w:color w:val="000000"/>
                <w:sz w:val="18"/>
                <w:szCs w:val="18"/>
                <w:u w:val="double"/>
                <w:lang w:val="en-US" w:eastAsia="pt-BR"/>
              </w:rPr>
              <w:t>et al.</w:t>
            </w:r>
            <w:r w:rsidRPr="004417EB">
              <w:rPr>
                <w:rFonts w:ascii="Arial" w:hAnsi="Arial" w:cs="Arial"/>
                <w:color w:val="000000"/>
                <w:sz w:val="18"/>
                <w:szCs w:val="18"/>
                <w:u w:val="double"/>
                <w:lang w:val="en-US" w:eastAsia="pt-BR"/>
              </w:rPr>
              <w:t xml:space="preserve"> (2011)</w:t>
            </w:r>
          </w:p>
        </w:tc>
      </w:tr>
      <w:tr w:rsidR="007C771B" w:rsidRPr="004417EB" w14:paraId="1A5C40AA" w14:textId="77777777" w:rsidTr="005C0BC9">
        <w:trPr>
          <w:jc w:val="center"/>
        </w:trPr>
        <w:tc>
          <w:tcPr>
            <w:tcW w:w="2695" w:type="dxa"/>
            <w:vAlign w:val="center"/>
          </w:tcPr>
          <w:p w14:paraId="6A47146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P686 (</w:t>
            </w:r>
            <w:r w:rsidRPr="004417EB">
              <w:rPr>
                <w:rFonts w:ascii="Arial" w:hAnsi="Arial" w:cs="Arial"/>
                <w:i/>
                <w:iCs/>
                <w:sz w:val="18"/>
                <w:szCs w:val="18"/>
                <w:u w:val="double"/>
                <w:lang w:val="en-US" w:eastAsia="en-US"/>
              </w:rPr>
              <w:t>Cocal vesiculovirus</w:t>
            </w:r>
            <w:r w:rsidRPr="004417EB">
              <w:rPr>
                <w:rFonts w:ascii="Arial" w:hAnsi="Arial" w:cs="Arial"/>
                <w:sz w:val="18"/>
                <w:szCs w:val="18"/>
                <w:u w:val="double"/>
                <w:lang w:val="en-US" w:eastAsia="en-US"/>
              </w:rPr>
              <w:t>)</w:t>
            </w:r>
          </w:p>
        </w:tc>
        <w:tc>
          <w:tcPr>
            <w:tcW w:w="5386" w:type="dxa"/>
            <w:vAlign w:val="center"/>
          </w:tcPr>
          <w:p w14:paraId="43E721FD"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GCC-TCC-CAC-CGA-GAT-G</w:t>
            </w:r>
          </w:p>
        </w:tc>
        <w:tc>
          <w:tcPr>
            <w:tcW w:w="1275" w:type="dxa"/>
            <w:vMerge/>
          </w:tcPr>
          <w:p w14:paraId="150FCDF1"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74C6649" w14:textId="77777777" w:rsidTr="005C0BC9">
        <w:trPr>
          <w:jc w:val="center"/>
        </w:trPr>
        <w:tc>
          <w:tcPr>
            <w:tcW w:w="2695" w:type="dxa"/>
            <w:vAlign w:val="center"/>
          </w:tcPr>
          <w:p w14:paraId="60297061"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P163 (</w:t>
            </w:r>
            <w:r w:rsidRPr="004417EB">
              <w:rPr>
                <w:rFonts w:ascii="Arial" w:hAnsi="Arial" w:cs="Arial"/>
                <w:i/>
                <w:iCs/>
                <w:sz w:val="18"/>
                <w:szCs w:val="18"/>
                <w:u w:val="double"/>
                <w:lang w:val="en-US" w:eastAsia="en-US"/>
              </w:rPr>
              <w:t>Alagoas vesiculovirus</w:t>
            </w:r>
            <w:r w:rsidRPr="004417EB">
              <w:rPr>
                <w:rFonts w:ascii="Arial" w:hAnsi="Arial" w:cs="Arial"/>
                <w:sz w:val="18"/>
                <w:szCs w:val="18"/>
                <w:u w:val="double"/>
                <w:lang w:val="en-US" w:eastAsia="en-US"/>
              </w:rPr>
              <w:t>)</w:t>
            </w:r>
          </w:p>
        </w:tc>
        <w:tc>
          <w:tcPr>
            <w:tcW w:w="5386" w:type="dxa"/>
            <w:vAlign w:val="center"/>
          </w:tcPr>
          <w:p w14:paraId="30C9230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AGA-GCA-GCT-CCY-TCT-TAT-TAT</w:t>
            </w:r>
          </w:p>
        </w:tc>
        <w:tc>
          <w:tcPr>
            <w:tcW w:w="1275" w:type="dxa"/>
            <w:vMerge/>
          </w:tcPr>
          <w:p w14:paraId="2F51FC64"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EE46FFC" w14:textId="77777777" w:rsidTr="005C0BC9">
        <w:trPr>
          <w:jc w:val="center"/>
        </w:trPr>
        <w:tc>
          <w:tcPr>
            <w:tcW w:w="2695" w:type="dxa"/>
            <w:vAlign w:val="center"/>
          </w:tcPr>
          <w:p w14:paraId="48FCF62E"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P691 (</w:t>
            </w:r>
            <w:r w:rsidRPr="004417EB">
              <w:rPr>
                <w:rFonts w:ascii="Arial" w:hAnsi="Arial" w:cs="Arial"/>
                <w:i/>
                <w:iCs/>
                <w:sz w:val="18"/>
                <w:szCs w:val="18"/>
                <w:u w:val="double"/>
                <w:lang w:val="en-US" w:eastAsia="en-US"/>
              </w:rPr>
              <w:t>Alagoas vesiculovirus</w:t>
            </w:r>
            <w:r w:rsidRPr="004417EB">
              <w:rPr>
                <w:rFonts w:ascii="Arial" w:hAnsi="Arial" w:cs="Arial"/>
                <w:sz w:val="18"/>
                <w:szCs w:val="18"/>
                <w:u w:val="double"/>
                <w:lang w:val="en-US" w:eastAsia="en-US"/>
              </w:rPr>
              <w:t>)</w:t>
            </w:r>
          </w:p>
        </w:tc>
        <w:tc>
          <w:tcPr>
            <w:tcW w:w="5386" w:type="dxa"/>
            <w:vAlign w:val="center"/>
          </w:tcPr>
          <w:p w14:paraId="2B7D1FB3"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TCA-TCA-TTC-CAT-TTC-CTC</w:t>
            </w:r>
          </w:p>
        </w:tc>
        <w:tc>
          <w:tcPr>
            <w:tcW w:w="1275" w:type="dxa"/>
            <w:vMerge/>
          </w:tcPr>
          <w:p w14:paraId="7A35D976"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1E7B8E42" w14:textId="77777777" w:rsidTr="005C0BC9">
        <w:trPr>
          <w:jc w:val="center"/>
        </w:trPr>
        <w:tc>
          <w:tcPr>
            <w:tcW w:w="9356" w:type="dxa"/>
            <w:gridSpan w:val="3"/>
            <w:shd w:val="clear" w:color="auto" w:fill="F2F2F2"/>
            <w:vAlign w:val="center"/>
          </w:tcPr>
          <w:p w14:paraId="1CA91AF3" w14:textId="1960F44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 xml:space="preserve">One step RT-PCR for </w:t>
            </w:r>
            <w:r w:rsidRPr="004417EB">
              <w:rPr>
                <w:rFonts w:ascii="Arial" w:hAnsi="Arial" w:cs="Arial"/>
                <w:i/>
                <w:iCs/>
                <w:sz w:val="18"/>
                <w:szCs w:val="18"/>
                <w:u w:val="double"/>
                <w:lang w:val="en-US" w:eastAsia="en-US"/>
              </w:rPr>
              <w:t>Cocal vesiculovirus</w:t>
            </w:r>
            <w:r w:rsidR="00081BC1">
              <w:rPr>
                <w:rFonts w:ascii="Arial" w:hAnsi="Arial" w:cs="Arial"/>
                <w:i/>
                <w:iCs/>
                <w:sz w:val="18"/>
                <w:szCs w:val="18"/>
                <w:u w:val="double"/>
                <w:lang w:val="en-US" w:eastAsia="en-US"/>
              </w:rPr>
              <w:t xml:space="preserve"> </w:t>
            </w:r>
            <w:r w:rsidR="00081BC1" w:rsidRPr="004417EB">
              <w:rPr>
                <w:rFonts w:ascii="Arial" w:hAnsi="Arial" w:cs="Arial"/>
                <w:sz w:val="18"/>
                <w:szCs w:val="18"/>
                <w:u w:val="double"/>
                <w:lang w:val="en-US" w:eastAsia="en-US"/>
              </w:rPr>
              <w:t>(</w:t>
            </w:r>
            <w:r w:rsidR="00081BC1" w:rsidRPr="004417EB">
              <w:rPr>
                <w:rFonts w:ascii="Arial" w:hAnsi="Arial" w:cs="Arial"/>
                <w:i/>
                <w:iCs/>
                <w:sz w:val="18"/>
                <w:szCs w:val="18"/>
                <w:u w:val="double"/>
                <w:lang w:val="en-US" w:eastAsia="en-US"/>
              </w:rPr>
              <w:t>IND-2</w:t>
            </w:r>
            <w:r w:rsidR="00081BC1" w:rsidRPr="004417EB">
              <w:rPr>
                <w:rFonts w:ascii="Arial" w:hAnsi="Arial" w:cs="Arial"/>
                <w:sz w:val="18"/>
                <w:szCs w:val="18"/>
                <w:u w:val="double"/>
                <w:lang w:val="en-US" w:eastAsia="en-US"/>
              </w:rPr>
              <w:t>)</w:t>
            </w:r>
          </w:p>
        </w:tc>
      </w:tr>
      <w:tr w:rsidR="007C771B" w:rsidRPr="004417EB" w14:paraId="261A7EE3" w14:textId="77777777" w:rsidTr="005C0BC9">
        <w:trPr>
          <w:jc w:val="center"/>
        </w:trPr>
        <w:tc>
          <w:tcPr>
            <w:tcW w:w="2695" w:type="dxa"/>
          </w:tcPr>
          <w:p w14:paraId="050D3360"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6678A298" w14:textId="150FDC6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3D028E51" w14:textId="2C270968"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4CE210D9" w14:textId="77777777" w:rsidTr="005C0BC9">
        <w:trPr>
          <w:jc w:val="center"/>
        </w:trPr>
        <w:tc>
          <w:tcPr>
            <w:tcW w:w="2695" w:type="dxa"/>
            <w:vAlign w:val="center"/>
          </w:tcPr>
          <w:p w14:paraId="61828C8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VASV.P.722 F</w:t>
            </w:r>
          </w:p>
        </w:tc>
        <w:tc>
          <w:tcPr>
            <w:tcW w:w="5386" w:type="dxa"/>
            <w:vAlign w:val="center"/>
          </w:tcPr>
          <w:p w14:paraId="6856DF00"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Forward: GGG-GCC-ATT-CAA-GAG-ATA-GA</w:t>
            </w:r>
          </w:p>
        </w:tc>
        <w:tc>
          <w:tcPr>
            <w:tcW w:w="1275" w:type="dxa"/>
            <w:vMerge w:val="restart"/>
            <w:vAlign w:val="center"/>
          </w:tcPr>
          <w:p w14:paraId="67B604C6"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 xml:space="preserve">de Oliveira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(2018)</w:t>
            </w:r>
          </w:p>
        </w:tc>
      </w:tr>
      <w:tr w:rsidR="007C771B" w:rsidRPr="004417EB" w14:paraId="5CF2992E" w14:textId="77777777" w:rsidTr="005C0BC9">
        <w:trPr>
          <w:jc w:val="center"/>
        </w:trPr>
        <w:tc>
          <w:tcPr>
            <w:tcW w:w="2695" w:type="dxa"/>
            <w:vAlign w:val="center"/>
          </w:tcPr>
          <w:p w14:paraId="17AD2469"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VASV.P.722 R</w:t>
            </w:r>
          </w:p>
        </w:tc>
        <w:tc>
          <w:tcPr>
            <w:tcW w:w="5386" w:type="dxa"/>
            <w:vAlign w:val="center"/>
          </w:tcPr>
          <w:p w14:paraId="685A7FDF"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Reverse: TGA-TAT-CTC-ACT-CTG-GCC-TGA-TTA-T</w:t>
            </w:r>
          </w:p>
        </w:tc>
        <w:tc>
          <w:tcPr>
            <w:tcW w:w="1275" w:type="dxa"/>
            <w:vMerge/>
          </w:tcPr>
          <w:p w14:paraId="72E882E6"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bl>
    <w:bookmarkEnd w:id="1"/>
    <w:p w14:paraId="61EB5BA4" w14:textId="77777777" w:rsidR="007C771B" w:rsidRPr="00417BEE" w:rsidRDefault="007C771B" w:rsidP="007C771B">
      <w:pPr>
        <w:pStyle w:val="1"/>
        <w:spacing w:before="240"/>
      </w:pPr>
      <w:r w:rsidRPr="004417EB">
        <w:t>2.</w:t>
      </w:r>
      <w:r w:rsidRPr="004417EB">
        <w:tab/>
        <w:t>Serological tests</w:t>
      </w:r>
    </w:p>
    <w:p w14:paraId="6295D2A6" w14:textId="4C9EB4A2" w:rsidR="00D826B8" w:rsidRPr="00417BEE" w:rsidRDefault="00D826B8" w:rsidP="00FE3841">
      <w:pPr>
        <w:pStyle w:val="para1"/>
        <w:spacing w:after="220"/>
      </w:pPr>
      <w:r w:rsidRPr="00417BEE">
        <w:t>For the identification and quantification of specific antibodies in serum, the ELISA and the VN</w:t>
      </w:r>
      <w:r w:rsidR="008D1FB1">
        <w:t>T</w:t>
      </w:r>
      <w:r w:rsidRPr="00417BEE">
        <w:t xml:space="preserve"> are preferable. The </w:t>
      </w:r>
      <w:r w:rsidR="00FE6913" w:rsidRPr="00417BEE">
        <w:t>CFT</w:t>
      </w:r>
      <w:r w:rsidRPr="00417BEE">
        <w:t xml:space="preserve"> may be used for quantification of early antibodies.</w:t>
      </w:r>
      <w:r w:rsidR="00CC26B8" w:rsidRPr="00417BEE">
        <w:t xml:space="preserve"> Antibody can usually be detected between 5 and 8</w:t>
      </w:r>
      <w:r w:rsidR="00822062" w:rsidRPr="00417BEE">
        <w:t> </w:t>
      </w:r>
      <w:r w:rsidR="00CC26B8" w:rsidRPr="00417BEE">
        <w:t xml:space="preserve">days post-infection; the length of time antibody persists has not been accurately determined for the three tests but is thought to be relatively short for the </w:t>
      </w:r>
      <w:r w:rsidR="002575A5" w:rsidRPr="002575A5">
        <w:t>CF</w:t>
      </w:r>
      <w:r w:rsidR="002575A5" w:rsidRPr="002575A5">
        <w:rPr>
          <w:u w:val="double"/>
        </w:rPr>
        <w:t>T</w:t>
      </w:r>
      <w:r w:rsidR="00CC26B8" w:rsidRPr="00417BEE">
        <w:t xml:space="preserve"> and for extended periods for the VN</w:t>
      </w:r>
      <w:r w:rsidR="008D1FB1">
        <w:t>T</w:t>
      </w:r>
      <w:r w:rsidR="00CC26B8" w:rsidRPr="00417BEE">
        <w:t xml:space="preserve"> and ELISA</w:t>
      </w:r>
      <w:r w:rsidR="005B6F48" w:rsidRPr="00417BEE">
        <w:t xml:space="preserve"> (</w:t>
      </w:r>
      <w:r w:rsidR="00C20553" w:rsidRPr="00417BEE">
        <w:rPr>
          <w:lang w:val="en-IE"/>
        </w:rPr>
        <w:t xml:space="preserve">Katz </w:t>
      </w:r>
      <w:r w:rsidR="007747A9" w:rsidRPr="00417BEE">
        <w:rPr>
          <w:i/>
          <w:lang w:val="en-IE"/>
        </w:rPr>
        <w:t>et al</w:t>
      </w:r>
      <w:r w:rsidR="00C20553" w:rsidRPr="00417BEE">
        <w:rPr>
          <w:lang w:val="en-IE"/>
        </w:rPr>
        <w:t>., 1997</w:t>
      </w:r>
      <w:r w:rsidR="005B6F48" w:rsidRPr="00417BEE">
        <w:t>)</w:t>
      </w:r>
      <w:r w:rsidR="00CC26B8" w:rsidRPr="00417BEE">
        <w:t>.</w:t>
      </w:r>
    </w:p>
    <w:p w14:paraId="28BF0438" w14:textId="5E8218A3" w:rsidR="00D826B8" w:rsidRPr="00C9236E" w:rsidRDefault="00500049" w:rsidP="00B174A1">
      <w:pPr>
        <w:pStyle w:val="11"/>
        <w:jc w:val="both"/>
      </w:pPr>
      <w:r w:rsidRPr="00C9236E">
        <w:t>2.1.</w:t>
      </w:r>
      <w:r w:rsidR="00D826B8" w:rsidRPr="00C9236E">
        <w:tab/>
      </w:r>
      <w:r w:rsidR="000E1743" w:rsidRPr="00C9236E">
        <w:t>Liquid phase blocking e</w:t>
      </w:r>
      <w:r w:rsidR="00D826B8" w:rsidRPr="00C9236E">
        <w:t xml:space="preserve">nzyme-linked immunosorbent assay </w:t>
      </w:r>
    </w:p>
    <w:p w14:paraId="4311B0FC" w14:textId="0D43AF00" w:rsidR="00D826B8" w:rsidRPr="00C9236E" w:rsidRDefault="00D826B8" w:rsidP="001E24B0">
      <w:pPr>
        <w:pStyle w:val="11Para"/>
      </w:pPr>
      <w:r w:rsidRPr="00C9236E">
        <w:t xml:space="preserve">The liquid-phase blocking ELISA (LP-ELISA) is </w:t>
      </w:r>
      <w:r w:rsidR="009067F7" w:rsidRPr="00C9236E">
        <w:t>a</w:t>
      </w:r>
      <w:r w:rsidRPr="00C9236E">
        <w:t xml:space="preserve"> method for the detection and quantification of antibodies to VS </w:t>
      </w:r>
      <w:r w:rsidR="000134CC" w:rsidRPr="00C9236E">
        <w:t xml:space="preserve">serogroup </w:t>
      </w:r>
      <w:r w:rsidRPr="00C9236E">
        <w:t>virus</w:t>
      </w:r>
      <w:r w:rsidR="000134CC" w:rsidRPr="00C9236E">
        <w:t>es</w:t>
      </w:r>
      <w:r w:rsidRPr="00C9236E">
        <w:t xml:space="preserve">. The use of viral glycoproteins as antigen is recommended because they are not infectious, </w:t>
      </w:r>
      <w:r w:rsidR="00FE3841" w:rsidRPr="00C9236E">
        <w:t xml:space="preserve">allow the </w:t>
      </w:r>
      <w:r w:rsidRPr="00C9236E">
        <w:t>detect</w:t>
      </w:r>
      <w:r w:rsidR="00FE3841" w:rsidRPr="00C9236E">
        <w:t>ion of</w:t>
      </w:r>
      <w:r w:rsidRPr="00C9236E">
        <w:t xml:space="preserve"> neutralising antibodies</w:t>
      </w:r>
      <w:r w:rsidR="000134CC" w:rsidRPr="00C9236E">
        <w:t>,</w:t>
      </w:r>
      <w:r w:rsidRPr="00C9236E">
        <w:t xml:space="preserve"> and give fewer false-positive results than the VN</w:t>
      </w:r>
      <w:r w:rsidR="008D1FB1">
        <w:t>T</w:t>
      </w:r>
      <w:r w:rsidRPr="00C9236E">
        <w:t xml:space="preserve"> (</w:t>
      </w:r>
      <w:r w:rsidR="00651ED0" w:rsidRPr="00C9236E">
        <w:t xml:space="preserve">Allende </w:t>
      </w:r>
      <w:r w:rsidR="007747A9" w:rsidRPr="00C9236E">
        <w:rPr>
          <w:i/>
        </w:rPr>
        <w:t>et al</w:t>
      </w:r>
      <w:r w:rsidR="00651ED0" w:rsidRPr="00C9236E">
        <w:t>., 1992</w:t>
      </w:r>
      <w:r w:rsidRPr="00C9236E">
        <w:t>).</w:t>
      </w:r>
    </w:p>
    <w:p w14:paraId="18BF88D1" w14:textId="77777777" w:rsidR="001628EF" w:rsidRPr="00C9236E" w:rsidRDefault="00500049" w:rsidP="001E24B0">
      <w:pPr>
        <w:pStyle w:val="111"/>
      </w:pPr>
      <w:r w:rsidRPr="00C9236E">
        <w:t>2.1.1.</w:t>
      </w:r>
      <w:r w:rsidR="001628EF" w:rsidRPr="00C9236E">
        <w:tab/>
        <w:t>Test procedure</w:t>
      </w:r>
    </w:p>
    <w:p w14:paraId="06F08888" w14:textId="02F591C1" w:rsidR="00D826B8" w:rsidRPr="00C9236E" w:rsidRDefault="00D826B8" w:rsidP="000F4573">
      <w:pPr>
        <w:pStyle w:val="i"/>
        <w:spacing w:line="200" w:lineRule="exact"/>
      </w:pPr>
      <w:r w:rsidRPr="00C9236E">
        <w:t>i)</w:t>
      </w:r>
      <w:r w:rsidRPr="00C9236E">
        <w:tab/>
      </w:r>
      <w:r w:rsidRPr="00C9236E">
        <w:rPr>
          <w:i/>
        </w:rPr>
        <w:t xml:space="preserve">Solid phase: </w:t>
      </w:r>
      <w:r w:rsidRPr="00C9236E">
        <w:t xml:space="preserve">As described above in Section </w:t>
      </w:r>
      <w:r w:rsidR="00AA6364" w:rsidRPr="00C9236E">
        <w:t>B</w:t>
      </w:r>
      <w:r w:rsidRPr="00C9236E">
        <w:t>.1.</w:t>
      </w:r>
      <w:r w:rsidR="0047201F" w:rsidRPr="00C9236E">
        <w:t xml:space="preserve">5 </w:t>
      </w:r>
      <w:r w:rsidRPr="00C9236E">
        <w:t>for the IS-ELISA.</w:t>
      </w:r>
    </w:p>
    <w:p w14:paraId="54B26B46" w14:textId="65EA57B7" w:rsidR="00D826B8" w:rsidRPr="00C9236E" w:rsidRDefault="00D826B8" w:rsidP="0031628E">
      <w:pPr>
        <w:pStyle w:val="i"/>
        <w:spacing w:line="200" w:lineRule="exact"/>
      </w:pPr>
      <w:r w:rsidRPr="00C9236E">
        <w:t>ii)</w:t>
      </w:r>
      <w:r w:rsidRPr="00C9236E">
        <w:tab/>
      </w:r>
      <w:r w:rsidRPr="00C9236E">
        <w:rPr>
          <w:i/>
        </w:rPr>
        <w:t xml:space="preserve">Liquid phase: </w:t>
      </w:r>
      <w:r w:rsidRPr="00C9236E">
        <w:t>Duplicate, two</w:t>
      </w:r>
      <w:r w:rsidR="00DC2161" w:rsidRPr="00C9236E">
        <w:t>-</w:t>
      </w:r>
      <w:r w:rsidR="000D753A" w:rsidRPr="00C9236E">
        <w:t xml:space="preserve"> to </w:t>
      </w:r>
      <w:r w:rsidR="00DC2161" w:rsidRPr="00C9236E">
        <w:t>five</w:t>
      </w:r>
      <w:r w:rsidR="000D753A" w:rsidRPr="00C9236E">
        <w:t>-</w:t>
      </w:r>
      <w:r w:rsidRPr="00C9236E">
        <w:t xml:space="preserve">fold dilution series of each test serum, starting at 1/4, are prepared in U-bottomed microtitre plates. An equal volume of VS virus NJ or IND glycoprotein, in a </w:t>
      </w:r>
      <w:r w:rsidR="00DC2161" w:rsidRPr="00C9236E">
        <w:t xml:space="preserve">predetermined </w:t>
      </w:r>
      <w:r w:rsidRPr="00C9236E">
        <w:t>dilution, is added to each well and the plates are incubated for 1 hour at 37°C. 50 µl of these mixtures is then transferred to the ELISA plates with the solid phase and left to react for 30 minutes at 37°C on an orbital shaker.</w:t>
      </w:r>
    </w:p>
    <w:p w14:paraId="5BCA3A2A" w14:textId="686DFDE0" w:rsidR="00D826B8" w:rsidRPr="00C9236E" w:rsidRDefault="00D826B8" w:rsidP="00C12293">
      <w:pPr>
        <w:pStyle w:val="i"/>
        <w:spacing w:line="200" w:lineRule="exact"/>
      </w:pPr>
      <w:r w:rsidRPr="00C9236E">
        <w:lastRenderedPageBreak/>
        <w:t>iii)</w:t>
      </w:r>
      <w:r w:rsidRPr="00C9236E">
        <w:tab/>
      </w:r>
      <w:r w:rsidRPr="00C9236E">
        <w:rPr>
          <w:i/>
        </w:rPr>
        <w:t xml:space="preserve">Detector, conjugate and substrate: </w:t>
      </w:r>
      <w:r w:rsidRPr="00C9236E">
        <w:t xml:space="preserve">The same </w:t>
      </w:r>
      <w:r w:rsidR="00DC2161" w:rsidRPr="00C9236E">
        <w:t xml:space="preserve">steps described </w:t>
      </w:r>
      <w:r w:rsidR="001628EF" w:rsidRPr="00C9236E">
        <w:t>for the IS-ELISA</w:t>
      </w:r>
      <w:r w:rsidR="00DC2161" w:rsidRPr="00C9236E">
        <w:t xml:space="preserve"> are performed using monovalent antisera </w:t>
      </w:r>
      <w:r w:rsidR="00093C2E" w:rsidRPr="00C9236E">
        <w:t>homologous to the test antigen,</w:t>
      </w:r>
      <w:r w:rsidR="001E24B0" w:rsidRPr="00C9236E">
        <w:t xml:space="preserve"> </w:t>
      </w:r>
      <w:r w:rsidR="00DC2161" w:rsidRPr="00C9236E">
        <w:t>as detectors</w:t>
      </w:r>
      <w:r w:rsidR="00256FAB" w:rsidRPr="00C9236E">
        <w:t xml:space="preserve"> </w:t>
      </w:r>
    </w:p>
    <w:p w14:paraId="78264003" w14:textId="5EB160BA" w:rsidR="00D826B8" w:rsidRPr="00C9236E" w:rsidRDefault="00D826B8" w:rsidP="001628EF">
      <w:pPr>
        <w:pStyle w:val="i"/>
        <w:spacing w:after="240"/>
      </w:pPr>
      <w:r w:rsidRPr="00C9236E">
        <w:t>iv)</w:t>
      </w:r>
      <w:r w:rsidRPr="00C9236E">
        <w:tab/>
      </w:r>
      <w:r w:rsidRPr="00C9236E">
        <w:rPr>
          <w:i/>
        </w:rPr>
        <w:t xml:space="preserve">Interpretation of the results: </w:t>
      </w:r>
      <w:r w:rsidRPr="00C9236E">
        <w:t>50% end-point titres are expressed in log</w:t>
      </w:r>
      <w:r w:rsidRPr="0036124D">
        <w:rPr>
          <w:vertAlign w:val="subscript"/>
        </w:rPr>
        <w:t>10</w:t>
      </w:r>
      <w:r w:rsidRPr="00C9236E">
        <w:t xml:space="preserve"> in reference to the 50%</w:t>
      </w:r>
      <w:r w:rsidR="000D753A" w:rsidRPr="00C9236E">
        <w:t xml:space="preserve"> </w:t>
      </w:r>
      <w:r w:rsidR="00362A6B" w:rsidRPr="00C9236E">
        <w:t>OD of the antigen control</w:t>
      </w:r>
      <w:r w:rsidRPr="00C9236E">
        <w:t>, according to the Spearmann</w:t>
      </w:r>
      <w:r w:rsidR="001628EF" w:rsidRPr="00C9236E">
        <w:t>–</w:t>
      </w:r>
      <w:r w:rsidRPr="00C9236E">
        <w:t>Kärber method. Titres of &gt;1.</w:t>
      </w:r>
      <w:r w:rsidR="003D4239" w:rsidRPr="00C9236E">
        <w:t>0</w:t>
      </w:r>
      <w:r w:rsidRPr="00C9236E">
        <w:t xml:space="preserve"> (1/</w:t>
      </w:r>
      <w:r w:rsidR="00DB4447" w:rsidRPr="00C9236E">
        <w:t>10</w:t>
      </w:r>
      <w:r w:rsidRPr="00C9236E">
        <w:t>)</w:t>
      </w:r>
      <w:r w:rsidR="001628EF" w:rsidRPr="00C9236E">
        <w:t xml:space="preserve"> are considered to be positive.</w:t>
      </w:r>
    </w:p>
    <w:p w14:paraId="6E729C5D" w14:textId="2A8FF046" w:rsidR="00D826B8" w:rsidRPr="00C9236E" w:rsidRDefault="00500049" w:rsidP="001E24B0">
      <w:pPr>
        <w:pStyle w:val="11"/>
        <w:rPr>
          <w:bCs/>
        </w:rPr>
      </w:pPr>
      <w:r w:rsidRPr="00C9236E">
        <w:rPr>
          <w:bCs/>
        </w:rPr>
        <w:t>2.2.</w:t>
      </w:r>
      <w:r w:rsidR="00D826B8" w:rsidRPr="00C9236E">
        <w:rPr>
          <w:bCs/>
        </w:rPr>
        <w:tab/>
        <w:t xml:space="preserve">Competitive enzyme-linked immunosorbent assay </w:t>
      </w:r>
    </w:p>
    <w:p w14:paraId="3DE57D91" w14:textId="77777777" w:rsidR="00D826B8" w:rsidRPr="00C9236E" w:rsidRDefault="00D826B8" w:rsidP="001E24B0">
      <w:pPr>
        <w:pStyle w:val="11Para"/>
      </w:pPr>
      <w:r w:rsidRPr="00C9236E">
        <w:t xml:space="preserve">A competitive ELISA for detection of antibodies has also been developed. The procedure described here is based on a procedure described by Afshar </w:t>
      </w:r>
      <w:r w:rsidRPr="00C9236E">
        <w:rPr>
          <w:i/>
        </w:rPr>
        <w:t>et al.</w:t>
      </w:r>
      <w:r w:rsidRPr="00C9236E">
        <w:t xml:space="preserve"> (</w:t>
      </w:r>
      <w:r w:rsidR="00651ED0" w:rsidRPr="00C9236E">
        <w:t>1993</w:t>
      </w:r>
      <w:r w:rsidRPr="00C9236E">
        <w:t xml:space="preserve">). It uses vesicular stomatitis NJ and IND-1 recombinant antigens as described by Katz </w:t>
      </w:r>
      <w:r w:rsidRPr="00C9236E">
        <w:rPr>
          <w:i/>
        </w:rPr>
        <w:t>et al.</w:t>
      </w:r>
      <w:r w:rsidRPr="00C9236E">
        <w:t xml:space="preserve"> (</w:t>
      </w:r>
      <w:r w:rsidR="00C20553" w:rsidRPr="00C9236E">
        <w:t>1995</w:t>
      </w:r>
      <w:r w:rsidRPr="00C9236E">
        <w:t>).</w:t>
      </w:r>
    </w:p>
    <w:p w14:paraId="280EFF2A" w14:textId="77777777" w:rsidR="00D826B8" w:rsidRPr="00C9236E" w:rsidRDefault="00500049" w:rsidP="001E24B0">
      <w:pPr>
        <w:pStyle w:val="111"/>
        <w:rPr>
          <w:bCs/>
        </w:rPr>
      </w:pPr>
      <w:r w:rsidRPr="00C9236E">
        <w:rPr>
          <w:bCs/>
        </w:rPr>
        <w:t>2.2.1.</w:t>
      </w:r>
      <w:r w:rsidR="00D826B8" w:rsidRPr="00C9236E">
        <w:rPr>
          <w:bCs/>
        </w:rPr>
        <w:tab/>
        <w:t>Test procedure</w:t>
      </w:r>
    </w:p>
    <w:p w14:paraId="625FBFC7" w14:textId="27EC2495" w:rsidR="00D826B8" w:rsidRPr="00C9236E" w:rsidRDefault="00D826B8" w:rsidP="008572AB">
      <w:pPr>
        <w:pStyle w:val="i"/>
        <w:spacing w:after="140"/>
      </w:pPr>
      <w:r w:rsidRPr="00C9236E">
        <w:t>i)</w:t>
      </w:r>
      <w:r w:rsidRPr="00C9236E">
        <w:tab/>
      </w:r>
      <w:r w:rsidRPr="00C9236E">
        <w:rPr>
          <w:i/>
        </w:rPr>
        <w:t>Solid phase:</w:t>
      </w:r>
      <w:r w:rsidRPr="00C9236E">
        <w:t xml:space="preserve"> Antigens are diluted in carbonate/bicarbonate buffer, pH 9.6, and</w:t>
      </w:r>
      <w:r w:rsidR="000B5E77" w:rsidRPr="00C9236E">
        <w:t xml:space="preserve"> </w:t>
      </w:r>
      <w:r w:rsidR="00883A81" w:rsidRPr="00C9236E">
        <w:t>75 </w:t>
      </w:r>
      <w:r w:rsidRPr="00C9236E">
        <w:t>µl is added to each well of a 96-well ELISA plate</w:t>
      </w:r>
      <w:r w:rsidR="009C3496" w:rsidRPr="00C9236E">
        <w:t xml:space="preserve">. The plates </w:t>
      </w:r>
      <w:r w:rsidRPr="00C9236E">
        <w:t>are incubated overnight at 4°C; coated plates can be frozen</w:t>
      </w:r>
      <w:r w:rsidR="00036034" w:rsidRPr="00C9236E">
        <w:t xml:space="preserve">, with antigen </w:t>
      </w:r>
      <w:r w:rsidR="00036034" w:rsidRPr="00C9236E">
        <w:rPr>
          <w:i/>
        </w:rPr>
        <w:t>in situ</w:t>
      </w:r>
      <w:r w:rsidR="00036034" w:rsidRPr="00C9236E">
        <w:t>,</w:t>
      </w:r>
      <w:r w:rsidRPr="00C9236E">
        <w:t xml:space="preserve"> at </w:t>
      </w:r>
      <w:r w:rsidR="001628EF" w:rsidRPr="00C9236E">
        <w:t>–</w:t>
      </w:r>
      <w:r w:rsidRPr="00C9236E">
        <w:t>70°C for up to</w:t>
      </w:r>
      <w:r w:rsidR="000B5E77" w:rsidRPr="00C9236E">
        <w:t xml:space="preserve"> </w:t>
      </w:r>
      <w:r w:rsidR="00883A81" w:rsidRPr="00C9236E">
        <w:t>30 </w:t>
      </w:r>
      <w:r w:rsidRPr="00C9236E">
        <w:t xml:space="preserve">days. </w:t>
      </w:r>
      <w:r w:rsidR="009C3496" w:rsidRPr="00C9236E">
        <w:t xml:space="preserve">The plates </w:t>
      </w:r>
      <w:r w:rsidRPr="00C9236E">
        <w:t>are thawed, antigen is decanted, and 100</w:t>
      </w:r>
      <w:r w:rsidR="000F4573" w:rsidRPr="00C9236E">
        <w:t> </w:t>
      </w:r>
      <w:r w:rsidRPr="00C9236E">
        <w:t xml:space="preserve">µl of blocking solution </w:t>
      </w:r>
      <w:r w:rsidR="002201E2" w:rsidRPr="00C9236E">
        <w:t xml:space="preserve">(5% nonfat dry milk powder solution in PBS </w:t>
      </w:r>
      <w:r w:rsidR="003D47D4" w:rsidRPr="00C9236E">
        <w:t>[</w:t>
      </w:r>
      <w:r w:rsidR="002201E2" w:rsidRPr="00C9236E">
        <w:t xml:space="preserve">for example, </w:t>
      </w:r>
      <w:r w:rsidR="0047201F" w:rsidRPr="00C9236E">
        <w:t>5 </w:t>
      </w:r>
      <w:r w:rsidR="002201E2" w:rsidRPr="00C9236E">
        <w:t>g dry milk powder dissolved in 95</w:t>
      </w:r>
      <w:r w:rsidR="003D47D4" w:rsidRPr="00C9236E">
        <w:t> </w:t>
      </w:r>
      <w:r w:rsidR="002201E2" w:rsidRPr="00C9236E">
        <w:t xml:space="preserve">ml PBS) </w:t>
      </w:r>
      <w:r w:rsidRPr="00C9236E">
        <w:t xml:space="preserve">is added. </w:t>
      </w:r>
      <w:r w:rsidR="009C3496" w:rsidRPr="00C9236E">
        <w:t xml:space="preserve">The plates </w:t>
      </w:r>
      <w:r w:rsidRPr="00C9236E">
        <w:t xml:space="preserve">are then incubated at 25°C for </w:t>
      </w:r>
      <w:r w:rsidR="00883A81" w:rsidRPr="00C9236E">
        <w:t>15</w:t>
      </w:r>
      <w:r w:rsidR="00595425" w:rsidRPr="00C9236E">
        <w:t>–</w:t>
      </w:r>
      <w:r w:rsidRPr="00C9236E">
        <w:t>30</w:t>
      </w:r>
      <w:r w:rsidR="000F4573" w:rsidRPr="00C9236E">
        <w:t> </w:t>
      </w:r>
      <w:r w:rsidRPr="00C9236E">
        <w:t xml:space="preserve">minutes and blocking solution is decanted. </w:t>
      </w:r>
      <w:r w:rsidR="009C3496" w:rsidRPr="00C9236E">
        <w:t xml:space="preserve">The plates </w:t>
      </w:r>
      <w:r w:rsidRPr="00C9236E">
        <w:t>are washed three times with PBS/0.05% Tween 20 solution.</w:t>
      </w:r>
    </w:p>
    <w:p w14:paraId="0E4D271D" w14:textId="55D89E0E" w:rsidR="00D826B8" w:rsidRPr="00C9236E" w:rsidRDefault="00D826B8" w:rsidP="008572AB">
      <w:pPr>
        <w:pStyle w:val="i"/>
        <w:spacing w:after="140"/>
      </w:pPr>
      <w:r w:rsidRPr="00C9236E">
        <w:t>ii)</w:t>
      </w:r>
      <w:r w:rsidRPr="00C9236E">
        <w:tab/>
      </w:r>
      <w:r w:rsidRPr="00C9236E">
        <w:rPr>
          <w:i/>
        </w:rPr>
        <w:t xml:space="preserve">Liquid phase: </w:t>
      </w:r>
      <w:r w:rsidRPr="00C9236E">
        <w:t xml:space="preserve">50 µl of serum diluted 1/8 in 1% nonfat dry milk in PBS is added to each of the duplicate wells for each sample. </w:t>
      </w:r>
      <w:r w:rsidR="00CC26B8" w:rsidRPr="00C9236E">
        <w:t xml:space="preserve">A positive and negative control serum for each serotype should be included on each ELISA plate. </w:t>
      </w:r>
      <w:r w:rsidR="009C3496" w:rsidRPr="00C9236E">
        <w:t xml:space="preserve">The plates </w:t>
      </w:r>
      <w:r w:rsidRPr="00C9236E">
        <w:t>are incubated at 37°C for 30</w:t>
      </w:r>
      <w:r w:rsidR="000F4573" w:rsidRPr="00C9236E">
        <w:t> </w:t>
      </w:r>
      <w:r w:rsidRPr="00C9236E">
        <w:t>minutes. Without washing, 50</w:t>
      </w:r>
      <w:r w:rsidR="000F4573" w:rsidRPr="00C9236E">
        <w:t> </w:t>
      </w:r>
      <w:r w:rsidRPr="00C9236E">
        <w:t xml:space="preserve">µl of </w:t>
      </w:r>
      <w:r w:rsidR="005A4033" w:rsidRPr="00C9236E">
        <w:t xml:space="preserve">bioreactor </w:t>
      </w:r>
      <w:r w:rsidRPr="00C9236E">
        <w:t>fluid is added to each well and plates are incubated at 37°C for 30</w:t>
      </w:r>
      <w:r w:rsidR="000F4573" w:rsidRPr="00C9236E">
        <w:t> </w:t>
      </w:r>
      <w:r w:rsidRPr="00C9236E">
        <w:t>minutes.</w:t>
      </w:r>
    </w:p>
    <w:p w14:paraId="40E233A4" w14:textId="77777777" w:rsidR="00D826B8" w:rsidRPr="00C9236E" w:rsidRDefault="00D826B8" w:rsidP="008572AB">
      <w:pPr>
        <w:pStyle w:val="i"/>
        <w:spacing w:after="140"/>
      </w:pPr>
      <w:r w:rsidRPr="00C9236E">
        <w:t>iii)</w:t>
      </w:r>
      <w:r w:rsidRPr="00C9236E">
        <w:tab/>
      </w:r>
      <w:r w:rsidRPr="00C9236E">
        <w:rPr>
          <w:i/>
        </w:rPr>
        <w:t>Detector:</w:t>
      </w:r>
      <w:r w:rsidRPr="00C9236E">
        <w:t xml:space="preserve"> </w:t>
      </w:r>
      <w:r w:rsidR="009C3496" w:rsidRPr="00C9236E">
        <w:t xml:space="preserve">The plates </w:t>
      </w:r>
      <w:r w:rsidRPr="00C9236E">
        <w:t>are washed three times, and 50</w:t>
      </w:r>
      <w:r w:rsidR="000F4573" w:rsidRPr="00C9236E">
        <w:t> </w:t>
      </w:r>
      <w:r w:rsidRPr="00C9236E">
        <w:t>µl of goat anti-mouse horseradish-peroxidase conjugate diluted in 1% nonfat dry</w:t>
      </w:r>
      <w:r w:rsidR="00EA458C" w:rsidRPr="00C9236E">
        <w:t xml:space="preserve"> </w:t>
      </w:r>
      <w:r w:rsidRPr="00C9236E">
        <w:t>milk</w:t>
      </w:r>
      <w:r w:rsidR="000134CC" w:rsidRPr="00C9236E">
        <w:t xml:space="preserve"> with 10% normal goat serum</w:t>
      </w:r>
      <w:r w:rsidRPr="00C9236E">
        <w:t xml:space="preserve"> is added to each well. </w:t>
      </w:r>
      <w:r w:rsidR="009C3496" w:rsidRPr="00C9236E">
        <w:t xml:space="preserve">The plates </w:t>
      </w:r>
      <w:r w:rsidRPr="00C9236E">
        <w:t>are incubated at 37°C for 30 minutes, washed three times, and 50</w:t>
      </w:r>
      <w:r w:rsidR="000D753A" w:rsidRPr="00C9236E">
        <w:t> </w:t>
      </w:r>
      <w:r w:rsidRPr="00C9236E">
        <w:t xml:space="preserve">µl of tetramethyl-benzidine (TMB) substrate solution is added to each well. </w:t>
      </w:r>
      <w:r w:rsidR="009C3496" w:rsidRPr="00C9236E">
        <w:t xml:space="preserve">The plates </w:t>
      </w:r>
      <w:r w:rsidRPr="00C9236E">
        <w:t xml:space="preserve">are incubated at 25°C for </w:t>
      </w:r>
      <w:r w:rsidR="00EA458C" w:rsidRPr="00C9236E">
        <w:t>5–10</w:t>
      </w:r>
      <w:r w:rsidR="000F4573" w:rsidRPr="00C9236E">
        <w:t> </w:t>
      </w:r>
      <w:r w:rsidRPr="00C9236E">
        <w:t xml:space="preserve">minutes </w:t>
      </w:r>
      <w:r w:rsidR="00EA458C" w:rsidRPr="00C9236E">
        <w:t xml:space="preserve">and then </w:t>
      </w:r>
      <w:r w:rsidRPr="00C9236E">
        <w:t>50</w:t>
      </w:r>
      <w:r w:rsidR="000F4573" w:rsidRPr="00C9236E">
        <w:t> </w:t>
      </w:r>
      <w:r w:rsidRPr="00C9236E">
        <w:t>µl of 0.05</w:t>
      </w:r>
      <w:r w:rsidR="000F4573" w:rsidRPr="00C9236E">
        <w:t> </w:t>
      </w:r>
      <w:r w:rsidRPr="00C9236E">
        <w:t>M sulphuric acid is added to each well</w:t>
      </w:r>
      <w:r w:rsidR="00EA458C" w:rsidRPr="00C9236E">
        <w:t xml:space="preserve">. The </w:t>
      </w:r>
      <w:r w:rsidRPr="00C9236E">
        <w:t>plates are read at 450</w:t>
      </w:r>
      <w:r w:rsidR="000F4573" w:rsidRPr="00C9236E">
        <w:t> </w:t>
      </w:r>
      <w:r w:rsidRPr="00C9236E">
        <w:t>nm</w:t>
      </w:r>
      <w:r w:rsidR="00EA458C" w:rsidRPr="00C9236E">
        <w:t xml:space="preserve"> and the optical density of the diluent control wells must be &gt; 1.0</w:t>
      </w:r>
      <w:r w:rsidRPr="00C9236E">
        <w:t>.</w:t>
      </w:r>
    </w:p>
    <w:p w14:paraId="40E3E595" w14:textId="72345ACC" w:rsidR="00D826B8" w:rsidRPr="00C9236E" w:rsidRDefault="00D826B8" w:rsidP="000F4573">
      <w:pPr>
        <w:pStyle w:val="i"/>
        <w:spacing w:after="240"/>
      </w:pPr>
      <w:r w:rsidRPr="00C9236E">
        <w:t>iv)</w:t>
      </w:r>
      <w:r w:rsidRPr="00C9236E">
        <w:tab/>
      </w:r>
      <w:r w:rsidRPr="00C9236E">
        <w:rPr>
          <w:i/>
        </w:rPr>
        <w:t>Interpretation of the results:</w:t>
      </w:r>
      <w:r w:rsidRPr="00C9236E">
        <w:t xml:space="preserve"> A sample is positive if the absorbance is </w:t>
      </w:r>
      <w:r w:rsidR="000F4573" w:rsidRPr="00C9236E">
        <w:rPr>
          <w:rFonts w:ascii="Symbol" w:hAnsi="Symbol"/>
        </w:rPr>
        <w:sym w:font="Symbol" w:char="F0A3"/>
      </w:r>
      <w:r w:rsidRPr="00C9236E">
        <w:t>50% of the absorbance of the diluent control.</w:t>
      </w:r>
      <w:r w:rsidR="006328C3" w:rsidRPr="00C9236E">
        <w:t xml:space="preserve"> Note that horses naturally infected </w:t>
      </w:r>
      <w:r w:rsidR="00E32823" w:rsidRPr="00C9236E">
        <w:t xml:space="preserve">with </w:t>
      </w:r>
      <w:r w:rsidR="006328C3" w:rsidRPr="00C9236E">
        <w:t xml:space="preserve">New Jersey virus have been known to test positive by this assay for at least </w:t>
      </w:r>
      <w:r w:rsidR="00B619E9" w:rsidRPr="00C9236E">
        <w:t>8</w:t>
      </w:r>
      <w:r w:rsidR="006328C3" w:rsidRPr="00C9236E">
        <w:t>years following infection.</w:t>
      </w:r>
      <w:r w:rsidR="00513500" w:rsidRPr="00C9236E">
        <w:t xml:space="preserve"> </w:t>
      </w:r>
    </w:p>
    <w:p w14:paraId="01EB5827" w14:textId="1976ACA8" w:rsidR="00D826B8" w:rsidRPr="00C9236E" w:rsidRDefault="00500049" w:rsidP="001E24B0">
      <w:pPr>
        <w:pStyle w:val="11"/>
        <w:rPr>
          <w:bCs/>
        </w:rPr>
      </w:pPr>
      <w:r w:rsidRPr="00C9236E">
        <w:rPr>
          <w:bCs/>
        </w:rPr>
        <w:t>2.3.</w:t>
      </w:r>
      <w:r w:rsidR="00D826B8" w:rsidRPr="00C9236E">
        <w:rPr>
          <w:bCs/>
        </w:rPr>
        <w:tab/>
        <w:t xml:space="preserve">Virus neutralisation </w:t>
      </w:r>
      <w:r w:rsidR="008D1FB1">
        <w:rPr>
          <w:bCs/>
        </w:rPr>
        <w:t>test</w:t>
      </w:r>
    </w:p>
    <w:p w14:paraId="3CA18D89" w14:textId="3002BD94" w:rsidR="00D826B8" w:rsidRPr="00190785" w:rsidRDefault="00D826B8" w:rsidP="001E24B0">
      <w:pPr>
        <w:pStyle w:val="11Para"/>
        <w:rPr>
          <w:strike/>
        </w:rPr>
      </w:pPr>
      <w:r w:rsidRPr="00190785">
        <w:rPr>
          <w:strike/>
        </w:rPr>
        <w:t>The VN test is carried out in tissue culture microtitre plates with flat-bottomed wells using inactivated serum as test sample, 1000 TCID</w:t>
      </w:r>
      <w:r w:rsidRPr="00190785">
        <w:rPr>
          <w:strike/>
          <w:vertAlign w:val="subscript"/>
        </w:rPr>
        <w:t>50</w:t>
      </w:r>
      <w:r w:rsidRPr="00190785">
        <w:rPr>
          <w:strike/>
        </w:rPr>
        <w:t xml:space="preserve"> (50% tissue culture infective dose) of </w:t>
      </w:r>
      <w:r w:rsidR="00C64A72" w:rsidRPr="00190785">
        <w:rPr>
          <w:strike/>
        </w:rPr>
        <w:t xml:space="preserve">VS </w:t>
      </w:r>
      <w:r w:rsidRPr="00190785">
        <w:rPr>
          <w:strike/>
        </w:rPr>
        <w:t>NJ or IND virus</w:t>
      </w:r>
      <w:r w:rsidR="002C411F" w:rsidRPr="00190785">
        <w:rPr>
          <w:strike/>
        </w:rPr>
        <w:t>,</w:t>
      </w:r>
      <w:r w:rsidRPr="00190785">
        <w:rPr>
          <w:strike/>
        </w:rPr>
        <w:t xml:space="preserve"> and Vero M cells, </w:t>
      </w:r>
      <w:r w:rsidR="002C411F" w:rsidRPr="00190785">
        <w:rPr>
          <w:strike/>
        </w:rPr>
        <w:t xml:space="preserve">or </w:t>
      </w:r>
      <w:r w:rsidRPr="00190785">
        <w:rPr>
          <w:strike/>
        </w:rPr>
        <w:t>preformed monolayer (</w:t>
      </w:r>
      <w:r w:rsidR="00651ED0" w:rsidRPr="00190785">
        <w:rPr>
          <w:strike/>
        </w:rPr>
        <w:t xml:space="preserve">Allende </w:t>
      </w:r>
      <w:r w:rsidR="007747A9" w:rsidRPr="00190785">
        <w:rPr>
          <w:i/>
          <w:strike/>
        </w:rPr>
        <w:t>et al</w:t>
      </w:r>
      <w:r w:rsidR="00651ED0" w:rsidRPr="00190785">
        <w:rPr>
          <w:i/>
          <w:strike/>
        </w:rPr>
        <w:t>.,</w:t>
      </w:r>
      <w:r w:rsidR="00651ED0" w:rsidRPr="00190785">
        <w:rPr>
          <w:strike/>
        </w:rPr>
        <w:t xml:space="preserve"> 1992</w:t>
      </w:r>
      <w:r w:rsidRPr="00190785">
        <w:rPr>
          <w:strike/>
        </w:rPr>
        <w:t xml:space="preserve">) or </w:t>
      </w:r>
      <w:r w:rsidR="002C411F" w:rsidRPr="00190785">
        <w:rPr>
          <w:strike/>
        </w:rPr>
        <w:t xml:space="preserve">a </w:t>
      </w:r>
      <w:r w:rsidRPr="00190785">
        <w:rPr>
          <w:strike/>
        </w:rPr>
        <w:t>suspension IB-RS-2 cells to test for the presence of unneutralised virus.</w:t>
      </w:r>
    </w:p>
    <w:p w14:paraId="742F9A0C" w14:textId="169A0594" w:rsidR="00D93C65" w:rsidRPr="00190785" w:rsidRDefault="00D93C65" w:rsidP="00D93C65">
      <w:pPr>
        <w:pStyle w:val="11Para"/>
        <w:rPr>
          <w:u w:val="double"/>
        </w:rPr>
      </w:pPr>
      <w:r w:rsidRPr="00190785">
        <w:rPr>
          <w:u w:val="double"/>
        </w:rPr>
        <w:t>Virus and cells: IND virus (VSIV), Cocal (</w:t>
      </w:r>
      <w:r w:rsidR="008D1FB1" w:rsidRPr="00190785">
        <w:rPr>
          <w:u w:val="double"/>
        </w:rPr>
        <w:t>IND</w:t>
      </w:r>
      <w:r w:rsidRPr="00190785">
        <w:rPr>
          <w:u w:val="double"/>
        </w:rPr>
        <w:t>-2), Alagoas (</w:t>
      </w:r>
      <w:r w:rsidR="008D1FB1" w:rsidRPr="00190785">
        <w:rPr>
          <w:u w:val="double"/>
        </w:rPr>
        <w:t>IND</w:t>
      </w:r>
      <w:r w:rsidRPr="00190785">
        <w:rPr>
          <w:u w:val="double"/>
        </w:rPr>
        <w:t xml:space="preserve">-3) and New Jersey (NJ) virus </w:t>
      </w:r>
      <w:r w:rsidR="008D1FB1">
        <w:rPr>
          <w:u w:val="double"/>
        </w:rPr>
        <w:t>are</w:t>
      </w:r>
      <w:r w:rsidRPr="00190785">
        <w:rPr>
          <w:u w:val="double"/>
        </w:rPr>
        <w:t xml:space="preserve"> propagated in BHK, IB-RS-2 or Vero cell monolayers and stored in liquid nitrogen or frozen at –70°C (Allende </w:t>
      </w:r>
      <w:r w:rsidRPr="008D1FB1">
        <w:rPr>
          <w:i/>
          <w:iCs/>
          <w:u w:val="double"/>
        </w:rPr>
        <w:t>et al.,</w:t>
      </w:r>
      <w:r w:rsidRPr="00190785">
        <w:rPr>
          <w:u w:val="double"/>
        </w:rPr>
        <w:t xml:space="preserve"> 1992).</w:t>
      </w:r>
    </w:p>
    <w:p w14:paraId="1CBF918C" w14:textId="77777777" w:rsidR="00D826B8" w:rsidRPr="00C9236E" w:rsidRDefault="00500049" w:rsidP="001E24B0">
      <w:pPr>
        <w:pStyle w:val="111"/>
        <w:rPr>
          <w:bCs/>
        </w:rPr>
      </w:pPr>
      <w:r w:rsidRPr="00C9236E">
        <w:rPr>
          <w:bCs/>
        </w:rPr>
        <w:t>2.3.1.</w:t>
      </w:r>
      <w:r w:rsidR="00D826B8" w:rsidRPr="00C9236E">
        <w:rPr>
          <w:bCs/>
        </w:rPr>
        <w:tab/>
        <w:t>Test procedure</w:t>
      </w:r>
    </w:p>
    <w:p w14:paraId="7C3F6AFE" w14:textId="18212E73" w:rsidR="00D826B8" w:rsidRPr="00C9236E" w:rsidRDefault="00D826B8" w:rsidP="008572AB">
      <w:pPr>
        <w:pStyle w:val="i"/>
        <w:spacing w:after="140"/>
      </w:pPr>
      <w:r w:rsidRPr="00C9236E">
        <w:t>i)</w:t>
      </w:r>
      <w:r w:rsidRPr="00C9236E">
        <w:tab/>
      </w:r>
      <w:r w:rsidR="00A75D0F" w:rsidRPr="00190785">
        <w:rPr>
          <w:u w:val="double"/>
        </w:rPr>
        <w:t>The test sera are heat-inactivated, including control standard sera, for 30 minutes at 56°C.</w:t>
      </w:r>
      <w:r w:rsidR="00190785">
        <w:rPr>
          <w:iCs/>
        </w:rPr>
        <w:t xml:space="preserve"> </w:t>
      </w:r>
    </w:p>
    <w:p w14:paraId="27F888E3" w14:textId="78468532" w:rsidR="00D826B8" w:rsidRPr="00C9236E" w:rsidRDefault="00D826B8" w:rsidP="008572AB">
      <w:pPr>
        <w:pStyle w:val="i"/>
        <w:spacing w:after="140"/>
      </w:pPr>
      <w:r w:rsidRPr="00C9236E">
        <w:t>ii)</w:t>
      </w:r>
      <w:r w:rsidRPr="00C9236E">
        <w:tab/>
      </w:r>
      <w:r w:rsidR="00357D73" w:rsidRPr="00190785">
        <w:rPr>
          <w:u w:val="double"/>
        </w:rPr>
        <w:t xml:space="preserve">Starting from 1/8 dilution, sera are diluted twofold or fourfold in cell culture medium, and </w:t>
      </w:r>
      <w:r w:rsidR="008D1FB1">
        <w:rPr>
          <w:u w:val="double"/>
        </w:rPr>
        <w:t xml:space="preserve">the </w:t>
      </w:r>
      <w:r w:rsidR="00357D73" w:rsidRPr="00190785">
        <w:rPr>
          <w:u w:val="double"/>
        </w:rPr>
        <w:t xml:space="preserve">dilution series </w:t>
      </w:r>
      <w:r w:rsidR="008D1FB1">
        <w:rPr>
          <w:u w:val="double"/>
        </w:rPr>
        <w:t xml:space="preserve">is </w:t>
      </w:r>
      <w:r w:rsidR="008D1FB1" w:rsidRPr="00190785">
        <w:rPr>
          <w:u w:val="double"/>
        </w:rPr>
        <w:t>continue</w:t>
      </w:r>
      <w:r w:rsidR="008D1FB1">
        <w:rPr>
          <w:u w:val="double"/>
        </w:rPr>
        <w:t>d</w:t>
      </w:r>
      <w:r w:rsidR="008D1FB1" w:rsidRPr="00190785">
        <w:rPr>
          <w:u w:val="double"/>
        </w:rPr>
        <w:t xml:space="preserve"> </w:t>
      </w:r>
      <w:r w:rsidR="00357D73" w:rsidRPr="00190785">
        <w:rPr>
          <w:u w:val="double"/>
        </w:rPr>
        <w:t>in a cell-culture grade flat-bottomed 96-well microtitre plate using at least two rows of wells, preferably four rows (depending on the degree of precision required) and a volume of 50 μl per well. An extra well with 1/8 dilution test serum is used for toxicity control of sera. Dilutions of control sera with known titre</w:t>
      </w:r>
      <w:r w:rsidR="008D1FB1">
        <w:rPr>
          <w:u w:val="double"/>
        </w:rPr>
        <w:t>s</w:t>
      </w:r>
      <w:r w:rsidR="00357D73" w:rsidRPr="00190785">
        <w:rPr>
          <w:u w:val="double"/>
        </w:rPr>
        <w:t xml:space="preserve"> (positive, weak positive and negative) are also included in the test.</w:t>
      </w:r>
      <w:r w:rsidR="00190785">
        <w:rPr>
          <w:iCs/>
        </w:rPr>
        <w:t xml:space="preserve"> </w:t>
      </w:r>
    </w:p>
    <w:p w14:paraId="04A834A0" w14:textId="6FFB0CFF" w:rsidR="00D826B8" w:rsidRDefault="00D826B8" w:rsidP="00357D73">
      <w:pPr>
        <w:pStyle w:val="i"/>
        <w:spacing w:after="140"/>
      </w:pPr>
      <w:r w:rsidRPr="00C9236E">
        <w:t>iii)</w:t>
      </w:r>
      <w:r w:rsidRPr="00C9236E">
        <w:tab/>
      </w:r>
      <w:r w:rsidR="00357D73" w:rsidRPr="00190785">
        <w:rPr>
          <w:u w:val="double"/>
        </w:rPr>
        <w:t xml:space="preserve">Add 50 μl per well of </w:t>
      </w:r>
      <w:r w:rsidR="008D1FB1">
        <w:rPr>
          <w:u w:val="double"/>
        </w:rPr>
        <w:t xml:space="preserve">the </w:t>
      </w:r>
      <w:r w:rsidR="008D1FB1" w:rsidRPr="00190785">
        <w:rPr>
          <w:u w:val="double"/>
        </w:rPr>
        <w:t xml:space="preserve">VSV </w:t>
      </w:r>
      <w:r w:rsidR="00357D73" w:rsidRPr="00190785">
        <w:rPr>
          <w:u w:val="double"/>
        </w:rPr>
        <w:t xml:space="preserve">strain (VSIV, </w:t>
      </w:r>
      <w:r w:rsidR="0074489C" w:rsidRPr="00190785">
        <w:rPr>
          <w:u w:val="double"/>
        </w:rPr>
        <w:t>(IND-2</w:t>
      </w:r>
      <w:r w:rsidR="00357D73" w:rsidRPr="00190785">
        <w:rPr>
          <w:u w:val="double"/>
        </w:rPr>
        <w:t xml:space="preserve">, </w:t>
      </w:r>
      <w:r w:rsidR="0074489C" w:rsidRPr="00190785">
        <w:rPr>
          <w:u w:val="double"/>
        </w:rPr>
        <w:t>(IND-</w:t>
      </w:r>
      <w:r w:rsidR="0074489C">
        <w:rPr>
          <w:u w:val="double"/>
        </w:rPr>
        <w:t xml:space="preserve">3 </w:t>
      </w:r>
      <w:r w:rsidR="00357D73" w:rsidRPr="00190785">
        <w:rPr>
          <w:u w:val="double"/>
        </w:rPr>
        <w:t xml:space="preserve">or NJ) stock at a dilution in culture medium containing 200 </w:t>
      </w:r>
      <w:r w:rsidR="00034E99" w:rsidRPr="00190785">
        <w:rPr>
          <w:u w:val="double"/>
        </w:rPr>
        <w:t>TCID</w:t>
      </w:r>
      <w:r w:rsidR="00034E99" w:rsidRPr="00CF6954">
        <w:rPr>
          <w:u w:val="double"/>
          <w:vertAlign w:val="subscript"/>
        </w:rPr>
        <w:t>50</w:t>
      </w:r>
      <w:r w:rsidR="00034E99">
        <w:rPr>
          <w:u w:val="double"/>
        </w:rPr>
        <w:t xml:space="preserve"> (50% </w:t>
      </w:r>
      <w:r w:rsidR="008D1FB1">
        <w:rPr>
          <w:u w:val="double"/>
        </w:rPr>
        <w:t>tissue culture infective dose)</w:t>
      </w:r>
      <w:r w:rsidR="00034E99">
        <w:rPr>
          <w:u w:val="double"/>
        </w:rPr>
        <w:t xml:space="preserve"> per </w:t>
      </w:r>
      <w:r w:rsidR="00357D73" w:rsidRPr="00190785">
        <w:rPr>
          <w:u w:val="double"/>
        </w:rPr>
        <w:t xml:space="preserve">50 μl (final dilution </w:t>
      </w:r>
      <w:r w:rsidR="00CF6954" w:rsidRPr="00190785">
        <w:rPr>
          <w:u w:val="double"/>
        </w:rPr>
        <w:t>–</w:t>
      </w:r>
      <w:r w:rsidR="00357D73" w:rsidRPr="00190785">
        <w:rPr>
          <w:u w:val="double"/>
        </w:rPr>
        <w:t xml:space="preserve"> mixture virus/serum</w:t>
      </w:r>
      <w:r w:rsidR="00CF6954">
        <w:rPr>
          <w:u w:val="double"/>
        </w:rPr>
        <w:t xml:space="preserve"> </w:t>
      </w:r>
      <w:r w:rsidR="00357D73" w:rsidRPr="00190785">
        <w:rPr>
          <w:u w:val="double"/>
        </w:rPr>
        <w:t>= 100</w:t>
      </w:r>
      <w:r w:rsidR="00CF6954">
        <w:rPr>
          <w:u w:val="double"/>
        </w:rPr>
        <w:t> </w:t>
      </w:r>
      <w:r w:rsidR="00357D73" w:rsidRPr="00190785">
        <w:rPr>
          <w:u w:val="double"/>
        </w:rPr>
        <w:t>TCID</w:t>
      </w:r>
      <w:r w:rsidR="00357D73" w:rsidRPr="00CF6954">
        <w:rPr>
          <w:u w:val="double"/>
          <w:vertAlign w:val="subscript"/>
        </w:rPr>
        <w:t>50</w:t>
      </w:r>
      <w:r w:rsidR="00357D73" w:rsidRPr="00190785">
        <w:rPr>
          <w:u w:val="double"/>
        </w:rPr>
        <w:t>/100</w:t>
      </w:r>
      <w:r w:rsidR="00034E99">
        <w:rPr>
          <w:u w:val="double"/>
        </w:rPr>
        <w:t> </w:t>
      </w:r>
      <w:r w:rsidR="00357D73" w:rsidRPr="00190785">
        <w:rPr>
          <w:u w:val="double"/>
        </w:rPr>
        <w:t>μl). In the toxicity control wells, add 50 μl of culture medium in place of virus. Add 100 μl of culture medium to one row</w:t>
      </w:r>
      <w:r w:rsidR="00034E99">
        <w:rPr>
          <w:u w:val="double"/>
        </w:rPr>
        <w:t xml:space="preserve"> of</w:t>
      </w:r>
      <w:r w:rsidR="00357D73" w:rsidRPr="00190785">
        <w:rPr>
          <w:u w:val="double"/>
        </w:rPr>
        <w:t xml:space="preserve"> empty wells </w:t>
      </w:r>
      <w:r w:rsidR="00034E99">
        <w:rPr>
          <w:u w:val="double"/>
        </w:rPr>
        <w:t>as</w:t>
      </w:r>
      <w:r w:rsidR="00357D73" w:rsidRPr="00190785">
        <w:rPr>
          <w:u w:val="double"/>
        </w:rPr>
        <w:t xml:space="preserve"> cell controls.</w:t>
      </w:r>
      <w:r w:rsidR="00034E99">
        <w:rPr>
          <w:u w:val="double"/>
        </w:rPr>
        <w:t xml:space="preserve"> </w:t>
      </w:r>
      <w:r w:rsidR="00357D73" w:rsidRPr="00190785">
        <w:rPr>
          <w:u w:val="double"/>
        </w:rPr>
        <w:t xml:space="preserve">A back titration of virus stock is also </w:t>
      </w:r>
      <w:r w:rsidR="00034E99">
        <w:rPr>
          <w:u w:val="double"/>
        </w:rPr>
        <w:t>undertaken</w:t>
      </w:r>
      <w:r w:rsidR="00357D73" w:rsidRPr="00190785">
        <w:rPr>
          <w:u w:val="double"/>
        </w:rPr>
        <w:t xml:space="preserve">, at least four wells </w:t>
      </w:r>
      <w:r w:rsidR="00357D73" w:rsidRPr="00190785">
        <w:rPr>
          <w:u w:val="double"/>
        </w:rPr>
        <w:lastRenderedPageBreak/>
        <w:t>per dilution, to check the potency of the virus (dose acceptance limits 30</w:t>
      </w:r>
      <w:r w:rsidR="00CF6954" w:rsidRPr="00190785">
        <w:rPr>
          <w:u w:val="double"/>
        </w:rPr>
        <w:t>–</w:t>
      </w:r>
      <w:r w:rsidR="00357D73" w:rsidRPr="00190785">
        <w:rPr>
          <w:u w:val="double"/>
        </w:rPr>
        <w:t>300 TCID</w:t>
      </w:r>
      <w:r w:rsidR="00357D73" w:rsidRPr="00CF6954">
        <w:rPr>
          <w:u w:val="double"/>
          <w:vertAlign w:val="subscript"/>
        </w:rPr>
        <w:t>50</w:t>
      </w:r>
      <w:r w:rsidR="00357D73" w:rsidRPr="00190785">
        <w:rPr>
          <w:u w:val="double"/>
        </w:rPr>
        <w:t xml:space="preserve"> per well).</w:t>
      </w:r>
      <w:r w:rsidR="00190785">
        <w:t xml:space="preserve"> </w:t>
      </w:r>
    </w:p>
    <w:p w14:paraId="7A1C6C5C" w14:textId="21C5CF36" w:rsidR="00357D73" w:rsidRPr="00190785" w:rsidRDefault="00357D73" w:rsidP="00357D73">
      <w:pPr>
        <w:pStyle w:val="i"/>
        <w:spacing w:after="140"/>
        <w:rPr>
          <w:u w:val="double"/>
        </w:rPr>
      </w:pPr>
      <w:r w:rsidRPr="00190785">
        <w:rPr>
          <w:u w:val="double"/>
        </w:rPr>
        <w:t>iv)</w:t>
      </w:r>
      <w:r w:rsidRPr="00190785">
        <w:rPr>
          <w:u w:val="double"/>
        </w:rPr>
        <w:tab/>
        <w:t>Incubate the plates for 60 minutes at 37°C to allow viral neutrali</w:t>
      </w:r>
      <w:r w:rsidR="00CF6954">
        <w:rPr>
          <w:u w:val="double"/>
        </w:rPr>
        <w:t>s</w:t>
      </w:r>
      <w:r w:rsidRPr="00190785">
        <w:rPr>
          <w:u w:val="double"/>
        </w:rPr>
        <w:t>ation.</w:t>
      </w:r>
    </w:p>
    <w:p w14:paraId="200F2A0F" w14:textId="0CA5A72D" w:rsidR="00357D73" w:rsidRPr="00190785" w:rsidRDefault="00357D73" w:rsidP="00357D73">
      <w:pPr>
        <w:pStyle w:val="i"/>
        <w:spacing w:after="140"/>
        <w:rPr>
          <w:u w:val="double"/>
        </w:rPr>
      </w:pPr>
      <w:r w:rsidRPr="00190785">
        <w:rPr>
          <w:u w:val="double"/>
        </w:rPr>
        <w:t>v)</w:t>
      </w:r>
      <w:r w:rsidRPr="00190785">
        <w:rPr>
          <w:u w:val="double"/>
        </w:rPr>
        <w:tab/>
        <w:t>Add 100 μl per well of the BHK, IB-RS-2 or Vero cell suspension at 3 × 10</w:t>
      </w:r>
      <w:r w:rsidRPr="00CF6954">
        <w:rPr>
          <w:u w:val="double"/>
          <w:vertAlign w:val="superscript"/>
        </w:rPr>
        <w:t>5</w:t>
      </w:r>
      <w:r w:rsidRPr="00190785">
        <w:rPr>
          <w:u w:val="double"/>
        </w:rPr>
        <w:t xml:space="preserve"> m</w:t>
      </w:r>
      <w:r w:rsidR="00CF6954">
        <w:rPr>
          <w:u w:val="double"/>
        </w:rPr>
        <w:t>l</w:t>
      </w:r>
      <w:r w:rsidRPr="00190785">
        <w:rPr>
          <w:u w:val="double"/>
        </w:rPr>
        <w:t xml:space="preserve">, containing 10% </w:t>
      </w:r>
      <w:r w:rsidR="00034E99">
        <w:rPr>
          <w:u w:val="double"/>
        </w:rPr>
        <w:t>FBS</w:t>
      </w:r>
      <w:r w:rsidRPr="00190785">
        <w:rPr>
          <w:u w:val="double"/>
        </w:rPr>
        <w:t xml:space="preserve"> for cell growth. </w:t>
      </w:r>
    </w:p>
    <w:p w14:paraId="514834C5" w14:textId="6192EE10" w:rsidR="00357D73" w:rsidRPr="00190785" w:rsidRDefault="00357D73" w:rsidP="00357D73">
      <w:pPr>
        <w:pStyle w:val="i"/>
        <w:spacing w:after="140"/>
        <w:rPr>
          <w:u w:val="double"/>
        </w:rPr>
      </w:pPr>
      <w:r w:rsidRPr="00190785">
        <w:rPr>
          <w:u w:val="double"/>
        </w:rPr>
        <w:t>vi)</w:t>
      </w:r>
      <w:r w:rsidRPr="00190785">
        <w:rPr>
          <w:u w:val="double"/>
        </w:rPr>
        <w:tab/>
        <w:t>Incubate the plates for 48–72 hours at 37°C, either in a 5% CO</w:t>
      </w:r>
      <w:r w:rsidRPr="00CF6954">
        <w:rPr>
          <w:u w:val="double"/>
          <w:vertAlign w:val="subscript"/>
        </w:rPr>
        <w:t>2</w:t>
      </w:r>
      <w:r w:rsidRPr="00190785">
        <w:rPr>
          <w:u w:val="double"/>
        </w:rPr>
        <w:t xml:space="preserve"> atmosphere or se</w:t>
      </w:r>
      <w:r w:rsidR="00D01D1E">
        <w:rPr>
          <w:u w:val="double"/>
        </w:rPr>
        <w:t>e</w:t>
      </w:r>
      <w:r w:rsidRPr="00190785">
        <w:rPr>
          <w:u w:val="double"/>
        </w:rPr>
        <w:t>d the plate with pressure-sensitive tape and incubate.</w:t>
      </w:r>
    </w:p>
    <w:p w14:paraId="7F173836" w14:textId="5574A259" w:rsidR="00357D73" w:rsidRPr="00190785" w:rsidRDefault="00357D73" w:rsidP="00357D73">
      <w:pPr>
        <w:pStyle w:val="i"/>
        <w:spacing w:after="140"/>
        <w:rPr>
          <w:u w:val="double"/>
        </w:rPr>
      </w:pPr>
      <w:r w:rsidRPr="00190785">
        <w:rPr>
          <w:u w:val="double"/>
        </w:rPr>
        <w:t>vii)</w:t>
      </w:r>
      <w:r w:rsidRPr="00190785">
        <w:rPr>
          <w:u w:val="double"/>
        </w:rPr>
        <w:tab/>
        <w:t>Check the cell cultures for the onset of CPE and read the results</w:t>
      </w:r>
      <w:r w:rsidR="00034E99">
        <w:rPr>
          <w:u w:val="double"/>
        </w:rPr>
        <w:t>:</w:t>
      </w:r>
      <w:r w:rsidRPr="00190785">
        <w:rPr>
          <w:u w:val="double"/>
        </w:rPr>
        <w:t xml:space="preserve"> </w:t>
      </w:r>
      <w:r w:rsidR="00EB676E">
        <w:rPr>
          <w:u w:val="double"/>
        </w:rPr>
        <w:t xml:space="preserve">positive </w:t>
      </w:r>
      <w:r w:rsidR="00034E99">
        <w:rPr>
          <w:u w:val="double"/>
        </w:rPr>
        <w:t>m</w:t>
      </w:r>
      <w:r w:rsidRPr="00190785">
        <w:rPr>
          <w:u w:val="double"/>
        </w:rPr>
        <w:t xml:space="preserve">onolayer wells </w:t>
      </w:r>
      <w:r w:rsidR="00034E99" w:rsidRPr="00190785">
        <w:rPr>
          <w:u w:val="double"/>
        </w:rPr>
        <w:t>–</w:t>
      </w:r>
      <w:r w:rsidR="00034E99">
        <w:rPr>
          <w:u w:val="double"/>
        </w:rPr>
        <w:t xml:space="preserve"> </w:t>
      </w:r>
      <w:r w:rsidRPr="00190785">
        <w:rPr>
          <w:u w:val="double"/>
        </w:rPr>
        <w:t>where the virus has been neutralised</w:t>
      </w:r>
      <w:r w:rsidR="00034E99">
        <w:rPr>
          <w:u w:val="double"/>
        </w:rPr>
        <w:t>,</w:t>
      </w:r>
      <w:r w:rsidRPr="00190785">
        <w:rPr>
          <w:u w:val="double"/>
        </w:rPr>
        <w:t xml:space="preserve"> </w:t>
      </w:r>
      <w:r w:rsidR="00EB676E">
        <w:rPr>
          <w:u w:val="double"/>
        </w:rPr>
        <w:t>have no CPE and the</w:t>
      </w:r>
      <w:r w:rsidRPr="00190785">
        <w:rPr>
          <w:u w:val="double"/>
        </w:rPr>
        <w:t xml:space="preserve"> cells remain intact</w:t>
      </w:r>
      <w:r w:rsidR="00034E99">
        <w:rPr>
          <w:u w:val="double"/>
        </w:rPr>
        <w:t>;</w:t>
      </w:r>
      <w:r w:rsidRPr="00190785">
        <w:rPr>
          <w:u w:val="double"/>
        </w:rPr>
        <w:t xml:space="preserve"> negative wells</w:t>
      </w:r>
      <w:r w:rsidR="00EB676E">
        <w:rPr>
          <w:u w:val="double"/>
        </w:rPr>
        <w:t xml:space="preserve"> </w:t>
      </w:r>
      <w:r w:rsidR="00034E99" w:rsidRPr="00190785">
        <w:rPr>
          <w:u w:val="double"/>
        </w:rPr>
        <w:t>–</w:t>
      </w:r>
      <w:r w:rsidR="00034E99">
        <w:rPr>
          <w:u w:val="double"/>
        </w:rPr>
        <w:t xml:space="preserve"> </w:t>
      </w:r>
      <w:r w:rsidRPr="00190785">
        <w:rPr>
          <w:u w:val="double"/>
        </w:rPr>
        <w:t>where virus has not been neutralised</w:t>
      </w:r>
      <w:r w:rsidR="00EB676E">
        <w:rPr>
          <w:u w:val="double"/>
        </w:rPr>
        <w:t>, have a</w:t>
      </w:r>
      <w:r w:rsidR="00EB676E" w:rsidRPr="00190785">
        <w:rPr>
          <w:u w:val="double"/>
        </w:rPr>
        <w:t xml:space="preserve"> CPE</w:t>
      </w:r>
      <w:r w:rsidRPr="00190785">
        <w:rPr>
          <w:u w:val="double"/>
        </w:rPr>
        <w:t>. As an alternative, after discarding the cell culture medium, stain the wells with a solution of 1% crystal violet in 20% ethanol or 10% buffered formalin.</w:t>
      </w:r>
    </w:p>
    <w:p w14:paraId="12612DC5" w14:textId="72F2FE10" w:rsidR="00357D73" w:rsidRPr="00190785" w:rsidRDefault="003A4C34" w:rsidP="00357D73">
      <w:pPr>
        <w:pStyle w:val="i"/>
        <w:spacing w:after="140"/>
        <w:rPr>
          <w:u w:val="double"/>
        </w:rPr>
      </w:pPr>
      <w:r w:rsidRPr="00190785">
        <w:rPr>
          <w:u w:val="double"/>
        </w:rPr>
        <w:t>vii)</w:t>
      </w:r>
      <w:r w:rsidRPr="00190785">
        <w:rPr>
          <w:u w:val="double"/>
        </w:rPr>
        <w:tab/>
        <w:t>Validate the test by checking the back titration of the virus (which should give a value of 100</w:t>
      </w:r>
      <w:r w:rsidR="00CF6954">
        <w:rPr>
          <w:u w:val="double"/>
        </w:rPr>
        <w:t> </w:t>
      </w:r>
      <w:r w:rsidRPr="00190785">
        <w:rPr>
          <w:u w:val="double"/>
        </w:rPr>
        <w:t>TCID</w:t>
      </w:r>
      <w:r w:rsidRPr="00CF6954">
        <w:rPr>
          <w:u w:val="double"/>
          <w:vertAlign w:val="subscript"/>
        </w:rPr>
        <w:t>50</w:t>
      </w:r>
      <w:r w:rsidRPr="00190785">
        <w:rPr>
          <w:u w:val="double"/>
        </w:rPr>
        <w:t xml:space="preserve"> per well with a permissible range of 30–300 TCID</w:t>
      </w:r>
      <w:r w:rsidRPr="001348B7">
        <w:rPr>
          <w:u w:val="double"/>
          <w:vertAlign w:val="subscript"/>
        </w:rPr>
        <w:t>50</w:t>
      </w:r>
      <w:r w:rsidRPr="00190785">
        <w:rPr>
          <w:u w:val="double"/>
        </w:rPr>
        <w:t>/100 μl), the control sera and the cell control wells. The positive control serum should give a titre of twofold dilution (±0.3</w:t>
      </w:r>
      <w:r w:rsidR="00034E99">
        <w:rPr>
          <w:u w:val="double"/>
        </w:rPr>
        <w:t> </w:t>
      </w:r>
      <w:r w:rsidRPr="00190785">
        <w:rPr>
          <w:u w:val="double"/>
        </w:rPr>
        <w:t>log</w:t>
      </w:r>
      <w:r w:rsidRPr="00034E99">
        <w:rPr>
          <w:u w:val="double"/>
          <w:vertAlign w:val="subscript"/>
        </w:rPr>
        <w:t>10</w:t>
      </w:r>
      <w:r w:rsidRPr="00190785">
        <w:rPr>
          <w:u w:val="double"/>
        </w:rPr>
        <w:t xml:space="preserve"> units) from its target value. The weak positive serum should be positive. The negative serum should give no neutralisation (equivalent to a final dilution of 1/32 at the neutralisation stage). In the cell control wells, the monolayers should be intact.</w:t>
      </w:r>
    </w:p>
    <w:p w14:paraId="3F6CFA98" w14:textId="38F6A7AA" w:rsidR="002B6234" w:rsidRPr="00D01D1E" w:rsidRDefault="00D826B8" w:rsidP="00E3569C">
      <w:pPr>
        <w:pStyle w:val="i"/>
        <w:spacing w:line="200" w:lineRule="exact"/>
        <w:rPr>
          <w:iCs/>
        </w:rPr>
      </w:pPr>
      <w:r w:rsidRPr="00C9236E">
        <w:t>iv)</w:t>
      </w:r>
      <w:r w:rsidRPr="00C9236E">
        <w:tab/>
      </w:r>
      <w:r w:rsidRPr="00C9236E">
        <w:rPr>
          <w:i/>
        </w:rPr>
        <w:t>Interpretation of the results:</w:t>
      </w:r>
      <w:r w:rsidR="00F31160" w:rsidRPr="00F31160">
        <w:t xml:space="preserve"> </w:t>
      </w:r>
      <w:r w:rsidR="00F31160" w:rsidRPr="00190785">
        <w:rPr>
          <w:iCs/>
          <w:u w:val="double"/>
        </w:rPr>
        <w:t>Virus neutrali</w:t>
      </w:r>
      <w:r w:rsidR="001348B7">
        <w:rPr>
          <w:iCs/>
          <w:u w:val="double"/>
        </w:rPr>
        <w:t>s</w:t>
      </w:r>
      <w:r w:rsidR="00F31160" w:rsidRPr="00190785">
        <w:rPr>
          <w:iCs/>
          <w:u w:val="double"/>
        </w:rPr>
        <w:t>ing titr</w:t>
      </w:r>
      <w:r w:rsidR="001348B7" w:rsidRPr="00190785">
        <w:rPr>
          <w:iCs/>
          <w:u w:val="double"/>
        </w:rPr>
        <w:t>e</w:t>
      </w:r>
      <w:r w:rsidR="00F31160" w:rsidRPr="00190785">
        <w:rPr>
          <w:iCs/>
          <w:u w:val="double"/>
        </w:rPr>
        <w:t>s of serum antibody responses (log</w:t>
      </w:r>
      <w:r w:rsidR="00F31160" w:rsidRPr="00034E99">
        <w:rPr>
          <w:iCs/>
          <w:u w:val="double"/>
          <w:vertAlign w:val="subscript"/>
        </w:rPr>
        <w:t>10</w:t>
      </w:r>
      <w:r w:rsidR="00F31160" w:rsidRPr="00190785">
        <w:rPr>
          <w:iCs/>
          <w:u w:val="double"/>
        </w:rPr>
        <w:t xml:space="preserve"> of reciprocal of the last serum dilution to neutralise 100% of virus in 50% of the wells). This can be calculated by the Spearman–Kärber or Reed Muench methods. The 50% neutralisation titr</w:t>
      </w:r>
      <w:r w:rsidR="001348B7" w:rsidRPr="00190785">
        <w:rPr>
          <w:iCs/>
          <w:u w:val="double"/>
        </w:rPr>
        <w:t>e</w:t>
      </w:r>
      <w:r w:rsidR="00F31160" w:rsidRPr="00190785">
        <w:rPr>
          <w:iCs/>
          <w:u w:val="double"/>
        </w:rPr>
        <w:t xml:space="preserve"> of each serum is expressed as log 10. In general, a titre of 32 (1.5) or more of the final serum dilution in the serum/virus mixture is regarded as positive for VSV antibodies. If cytotoxicity is observed in the control wells, the sample is reported to be toxic (no result) unless neutralisation of the virus without cytotoxicity is observed at higher dilutions and a titr</w:t>
      </w:r>
      <w:r w:rsidR="001348B7" w:rsidRPr="00190785">
        <w:rPr>
          <w:iCs/>
          <w:u w:val="double"/>
        </w:rPr>
        <w:t>e</w:t>
      </w:r>
      <w:r w:rsidR="00F31160" w:rsidRPr="00190785">
        <w:rPr>
          <w:iCs/>
          <w:u w:val="double"/>
        </w:rPr>
        <w:t xml:space="preserve"> can be read without ambiguity. A titre of less than 16 (1.2) is considered to be negative. For the purposes of international trade and herd-based serosurveillance as part of a statistically valid serological survey, a titre cut-off of 32 may be appropriate (Allende </w:t>
      </w:r>
      <w:r w:rsidR="00F31160" w:rsidRPr="00F757AD">
        <w:rPr>
          <w:i/>
          <w:u w:val="double"/>
        </w:rPr>
        <w:t>et al.,</w:t>
      </w:r>
      <w:r w:rsidR="00F31160" w:rsidRPr="00190785">
        <w:rPr>
          <w:iCs/>
          <w:u w:val="double"/>
        </w:rPr>
        <w:t xml:space="preserve"> 1992).</w:t>
      </w:r>
      <w:r w:rsidRPr="00C9236E">
        <w:rPr>
          <w:i/>
        </w:rPr>
        <w:t xml:space="preserve"> </w:t>
      </w:r>
    </w:p>
    <w:p w14:paraId="0D5E091C" w14:textId="762FF4B1" w:rsidR="00F31160" w:rsidRPr="008A21C9" w:rsidRDefault="00F31160" w:rsidP="008A21C9">
      <w:pPr>
        <w:pStyle w:val="111Para"/>
        <w:rPr>
          <w:u w:val="double"/>
        </w:rPr>
      </w:pPr>
      <w:r w:rsidRPr="008A21C9">
        <w:rPr>
          <w:u w:val="double"/>
        </w:rPr>
        <w:t>Note: Seroconversion is considered when there is a four-fold increase in antibody titr</w:t>
      </w:r>
      <w:r w:rsidR="001348B7" w:rsidRPr="008A21C9">
        <w:rPr>
          <w:u w:val="double"/>
        </w:rPr>
        <w:t>e</w:t>
      </w:r>
      <w:r w:rsidRPr="008A21C9">
        <w:rPr>
          <w:u w:val="double"/>
        </w:rPr>
        <w:t xml:space="preserve"> between paired serum samples collected with a minimum interval of 15 days between the first (acute phase of the disease) and the second blood collection (convalescent phase).</w:t>
      </w:r>
    </w:p>
    <w:p w14:paraId="1AF6E01E" w14:textId="77777777" w:rsidR="00D01D1E" w:rsidRPr="00D01D1E" w:rsidRDefault="00D01D1E" w:rsidP="00D01D1E">
      <w:pPr>
        <w:pStyle w:val="i"/>
        <w:spacing w:after="140"/>
        <w:rPr>
          <w:strike/>
        </w:rPr>
      </w:pPr>
      <w:r w:rsidRPr="00D01D1E">
        <w:rPr>
          <w:strike/>
        </w:rPr>
        <w:t>i)</w:t>
      </w:r>
      <w:r w:rsidRPr="00D01D1E">
        <w:rPr>
          <w:strike/>
        </w:rPr>
        <w:tab/>
      </w:r>
      <w:r w:rsidRPr="00D01D1E">
        <w:rPr>
          <w:i/>
          <w:strike/>
        </w:rPr>
        <w:t xml:space="preserve">Virus: </w:t>
      </w:r>
      <w:r w:rsidRPr="00D01D1E">
        <w:rPr>
          <w:strike/>
        </w:rPr>
        <w:t>VS</w:t>
      </w:r>
      <w:r w:rsidRPr="00D01D1E">
        <w:rPr>
          <w:i/>
          <w:strike/>
        </w:rPr>
        <w:t xml:space="preserve"> </w:t>
      </w:r>
      <w:r w:rsidRPr="00D01D1E">
        <w:rPr>
          <w:strike/>
        </w:rPr>
        <w:t>NJ or IND virus is grown in Vero cell monolayers and stored in liquid nitrogen or frozen at –70°C.</w:t>
      </w:r>
    </w:p>
    <w:p w14:paraId="0C00B226" w14:textId="77777777" w:rsidR="00D01D1E" w:rsidRPr="00D01D1E" w:rsidRDefault="00D01D1E" w:rsidP="00D01D1E">
      <w:pPr>
        <w:pStyle w:val="i"/>
        <w:spacing w:after="140"/>
        <w:rPr>
          <w:strike/>
        </w:rPr>
      </w:pPr>
      <w:r w:rsidRPr="00D01D1E">
        <w:rPr>
          <w:strike/>
        </w:rPr>
        <w:t>ii)</w:t>
      </w:r>
      <w:r w:rsidRPr="00D01D1E">
        <w:rPr>
          <w:strike/>
        </w:rPr>
        <w:tab/>
      </w:r>
      <w:r w:rsidRPr="00D01D1E">
        <w:rPr>
          <w:i/>
          <w:strike/>
        </w:rPr>
        <w:t xml:space="preserve">Test samples: </w:t>
      </w:r>
      <w:r w:rsidRPr="00D01D1E">
        <w:rPr>
          <w:strike/>
        </w:rPr>
        <w:t>Sera are inactivated at 56°C for 30 minutes before testing. Positive and negative control standard sera are included in the test.</w:t>
      </w:r>
    </w:p>
    <w:p w14:paraId="11BF07B7" w14:textId="77777777" w:rsidR="00D01D1E" w:rsidRPr="00D01D1E" w:rsidRDefault="00D01D1E" w:rsidP="00D01D1E">
      <w:pPr>
        <w:pStyle w:val="i"/>
        <w:spacing w:after="140"/>
        <w:rPr>
          <w:strike/>
        </w:rPr>
      </w:pPr>
      <w:r w:rsidRPr="00D01D1E">
        <w:rPr>
          <w:strike/>
        </w:rPr>
        <w:t>iii)</w:t>
      </w:r>
      <w:r w:rsidRPr="00D01D1E">
        <w:rPr>
          <w:strike/>
        </w:rPr>
        <w:tab/>
      </w:r>
      <w:r w:rsidRPr="00D01D1E">
        <w:rPr>
          <w:i/>
          <w:strike/>
        </w:rPr>
        <w:t xml:space="preserve">Virus neutralisation: </w:t>
      </w:r>
      <w:r w:rsidRPr="00D01D1E">
        <w:rPr>
          <w:strike/>
        </w:rPr>
        <w:t>Sera are diluted in a two-fold or four-fold dilution series across the plates, starting from 1/4 dilution. Two rows of wells are used per serum. The same volume of NJ or IND VS virus suspension containing about 1000 TCID</w:t>
      </w:r>
      <w:r w:rsidRPr="00D01D1E">
        <w:rPr>
          <w:strike/>
          <w:vertAlign w:val="subscript"/>
        </w:rPr>
        <w:t>50</w:t>
      </w:r>
      <w:r w:rsidRPr="00D01D1E">
        <w:rPr>
          <w:strike/>
        </w:rPr>
        <w:t>/25 µl is added and incubated at 37°C for 60 minutes to allow neutralisation to take place. Subsequently, 50 µl of the mixtures is deposited on preformed cell monolayers in microtitre plates or 150 µl of 300,000/ml IB-RS-2 or Vero cell suspension is added to each well with the serum/virus mixtures. The plates are covered with loosely fitting lids and incubated for 48–72 hours at 37°C in an atmosphere of 5% CO</w:t>
      </w:r>
      <w:r w:rsidRPr="00D01D1E">
        <w:rPr>
          <w:strike/>
          <w:vertAlign w:val="subscript"/>
        </w:rPr>
        <w:t>2</w:t>
      </w:r>
      <w:r w:rsidRPr="00D01D1E">
        <w:rPr>
          <w:strike/>
        </w:rPr>
        <w:t xml:space="preserve"> or sealed with pressure-sensitive tape and incubated in a normal atmosphere. (It has been determined that a virus titre of 1000 TCID</w:t>
      </w:r>
      <w:r w:rsidRPr="00D01D1E">
        <w:rPr>
          <w:strike/>
          <w:vertAlign w:val="subscript"/>
        </w:rPr>
        <w:t>50</w:t>
      </w:r>
      <w:r w:rsidRPr="00D01D1E">
        <w:rPr>
          <w:strike/>
        </w:rPr>
        <w:t>/25 µl will decrease the nonspecific reactions and maintain a high test sensitivity.)</w:t>
      </w:r>
    </w:p>
    <w:p w14:paraId="6897BBE3" w14:textId="77777777" w:rsidR="00D01D1E" w:rsidRPr="00D01D1E" w:rsidRDefault="00D01D1E" w:rsidP="00D01D1E">
      <w:pPr>
        <w:pStyle w:val="i"/>
        <w:spacing w:line="200" w:lineRule="exact"/>
        <w:rPr>
          <w:strike/>
        </w:rPr>
      </w:pPr>
      <w:r w:rsidRPr="00D01D1E">
        <w:rPr>
          <w:strike/>
        </w:rPr>
        <w:t>iv)</w:t>
      </w:r>
      <w:r w:rsidRPr="00D01D1E">
        <w:rPr>
          <w:strike/>
        </w:rPr>
        <w:tab/>
      </w:r>
      <w:r w:rsidRPr="00D01D1E">
        <w:rPr>
          <w:i/>
          <w:strike/>
        </w:rPr>
        <w:t xml:space="preserve">Interpretation of the results: </w:t>
      </w:r>
      <w:r w:rsidRPr="00D01D1E">
        <w:rPr>
          <w:strike/>
        </w:rPr>
        <w:t>Wells without CPE are considered to be positive. End-point titres of test serum titres are determined by the Spearmann–Kärber method when the virus titres are between 750 and 1330 TCID</w:t>
      </w:r>
      <w:r w:rsidRPr="00D01D1E">
        <w:rPr>
          <w:strike/>
          <w:vertAlign w:val="subscript"/>
        </w:rPr>
        <w:t>50</w:t>
      </w:r>
      <w:r w:rsidRPr="00D01D1E">
        <w:rPr>
          <w:strike/>
        </w:rPr>
        <w:t xml:space="preserve"> and when titres of positive and negative standard sera are within twofold of their mean values as estimated from previous titration. The 100% neutralisation titres of each serum are expressed at log 10. Sera with values of 1/32 or greater are considered to be positive for antibodies against VSV. Note that horses naturally infected with New Jersey virus have been known to test positive by this test method for at least 8 years following infection. In an alternative protocol a viral dose of 1000 TCID</w:t>
      </w:r>
      <w:r w:rsidRPr="00D01D1E">
        <w:rPr>
          <w:strike/>
          <w:vertAlign w:val="subscript"/>
        </w:rPr>
        <w:t>50</w:t>
      </w:r>
      <w:r w:rsidRPr="00D01D1E">
        <w:rPr>
          <w:strike/>
        </w:rPr>
        <w:t xml:space="preserve"> per millilitre of virus/serum mixture is used and reaction incubated at 37°C for 60 minutes to allow neutralisation to take place. Subsequently, 100 µl of the mixtures is deposited on preformed cell monolayers in microtitre plates. The plates are covered with loosely fitting lids and incubated for 48 hours at 37°C in an atmosphere of 5% CO</w:t>
      </w:r>
      <w:r w:rsidRPr="00D01D1E">
        <w:rPr>
          <w:strike/>
          <w:vertAlign w:val="subscript"/>
        </w:rPr>
        <w:t>2</w:t>
      </w:r>
      <w:r w:rsidRPr="00D01D1E">
        <w:rPr>
          <w:strike/>
        </w:rPr>
        <w:t>. Wells without CPE are considered to be positive. End-point titres of test serum are determined by the Spearmann–Kärber method when the virus titres are between 10</w:t>
      </w:r>
      <w:r w:rsidRPr="00D01D1E">
        <w:rPr>
          <w:strike/>
          <w:vertAlign w:val="superscript"/>
        </w:rPr>
        <w:t>2±0.5</w:t>
      </w:r>
      <w:r w:rsidRPr="00D01D1E">
        <w:rPr>
          <w:strike/>
        </w:rPr>
        <w:t xml:space="preserve">/100 µl and </w:t>
      </w:r>
      <w:r w:rsidRPr="00D01D1E">
        <w:rPr>
          <w:strike/>
        </w:rPr>
        <w:lastRenderedPageBreak/>
        <w:t xml:space="preserve">when titres of positive and negative standard sera are within twofold of their mean values as estimated from previous titration. The 50% neutralisation titre of each serum is expressed as log 10. Sera with values of 1.3 (1/20) or greater are considered to be positive for VS antibodies (Allende </w:t>
      </w:r>
      <w:r w:rsidRPr="00D01D1E">
        <w:rPr>
          <w:i/>
          <w:strike/>
        </w:rPr>
        <w:t>et al</w:t>
      </w:r>
      <w:r w:rsidRPr="00D01D1E">
        <w:rPr>
          <w:strike/>
        </w:rPr>
        <w:t>., 1992).</w:t>
      </w:r>
    </w:p>
    <w:p w14:paraId="200FED73" w14:textId="77777777" w:rsidR="00D01D1E" w:rsidRPr="00D01D1E" w:rsidRDefault="00D01D1E" w:rsidP="00D01D1E">
      <w:pPr>
        <w:pStyle w:val="i"/>
        <w:spacing w:after="240"/>
        <w:ind w:firstLine="0"/>
        <w:rPr>
          <w:strike/>
        </w:rPr>
      </w:pPr>
      <w:r w:rsidRPr="00D01D1E">
        <w:rPr>
          <w:strike/>
        </w:rPr>
        <w:t>The OIE Reference Laboratories for VS are currently evaluating and comparing the protocols described above. Both are widely used and can give acceptable results.</w:t>
      </w:r>
    </w:p>
    <w:p w14:paraId="0B23B7EC" w14:textId="25C9951B" w:rsidR="00D826B8" w:rsidRPr="00C9236E" w:rsidRDefault="00500049" w:rsidP="001E24B0">
      <w:pPr>
        <w:pStyle w:val="11"/>
        <w:rPr>
          <w:bCs/>
        </w:rPr>
      </w:pPr>
      <w:r w:rsidRPr="00C9236E">
        <w:rPr>
          <w:bCs/>
        </w:rPr>
        <w:t>2.4.</w:t>
      </w:r>
      <w:r w:rsidR="00D826B8" w:rsidRPr="00C9236E">
        <w:rPr>
          <w:bCs/>
        </w:rPr>
        <w:tab/>
        <w:t>Complement fixation</w:t>
      </w:r>
      <w:r w:rsidR="00FE6913" w:rsidRPr="00C9236E">
        <w:rPr>
          <w:bCs/>
        </w:rPr>
        <w:t xml:space="preserve"> test</w:t>
      </w:r>
      <w:r w:rsidR="00D826B8" w:rsidRPr="00C9236E">
        <w:rPr>
          <w:bCs/>
        </w:rPr>
        <w:t xml:space="preserve"> </w:t>
      </w:r>
    </w:p>
    <w:p w14:paraId="74539B45" w14:textId="0E688863" w:rsidR="00D826B8" w:rsidRPr="00C9236E" w:rsidRDefault="00D826B8" w:rsidP="001E24B0">
      <w:pPr>
        <w:pStyle w:val="11Para"/>
        <w:spacing w:after="480"/>
      </w:pPr>
      <w:r w:rsidRPr="00C9236E">
        <w:t xml:space="preserve">A detailed description of this test is given in Section </w:t>
      </w:r>
      <w:r w:rsidR="00AA6364" w:rsidRPr="00C9236E">
        <w:t>B</w:t>
      </w:r>
      <w:r w:rsidRPr="00C9236E">
        <w:t>.1.</w:t>
      </w:r>
      <w:r w:rsidR="00C57F08" w:rsidRPr="00C9236E">
        <w:t>6</w:t>
      </w:r>
      <w:r w:rsidRPr="00C9236E">
        <w:t>. This is modified as follows. The CF</w:t>
      </w:r>
      <w:r w:rsidR="00FE6913" w:rsidRPr="00C9236E">
        <w:t>T</w:t>
      </w:r>
      <w:r w:rsidRPr="00C9236E">
        <w:t xml:space="preserve"> may be used for quantification of early antibodie</w:t>
      </w:r>
      <w:r w:rsidR="00B84702" w:rsidRPr="00C9236E">
        <w:t>s, mostly IgM.</w:t>
      </w:r>
      <w:r w:rsidRPr="00C9236E">
        <w:t xml:space="preserve"> For this purpose, twofold serum dilutions are mixed with 2</w:t>
      </w:r>
      <w:r w:rsidR="000F4573" w:rsidRPr="00C9236E">
        <w:t> </w:t>
      </w:r>
      <w:r w:rsidRPr="00C9236E">
        <w:t>CFU</w:t>
      </w:r>
      <w:r w:rsidRPr="0036124D">
        <w:rPr>
          <w:vertAlign w:val="subscript"/>
        </w:rPr>
        <w:t>50</w:t>
      </w:r>
      <w:r w:rsidRPr="00C9236E">
        <w:t xml:space="preserve"> of known antigen and with 5% normal bovine or calf sera included in 4</w:t>
      </w:r>
      <w:r w:rsidR="000F4573" w:rsidRPr="00C9236E">
        <w:t> </w:t>
      </w:r>
      <w:r w:rsidRPr="00C9236E">
        <w:t>CHU</w:t>
      </w:r>
      <w:r w:rsidRPr="0036124D">
        <w:rPr>
          <w:vertAlign w:val="subscript"/>
        </w:rPr>
        <w:t>50</w:t>
      </w:r>
      <w:r w:rsidRPr="00C9236E">
        <w:t xml:space="preserve"> of complement. The mixture is incubated for 3</w:t>
      </w:r>
      <w:r w:rsidR="000F4573" w:rsidRPr="00C9236E">
        <w:t> </w:t>
      </w:r>
      <w:r w:rsidRPr="00C9236E">
        <w:t>hours at 37°C or overnight at 4°C. Subsequently, the haemolytic system is added followed by incubation for 30</w:t>
      </w:r>
      <w:r w:rsidR="000F4573" w:rsidRPr="00C9236E">
        <w:t> </w:t>
      </w:r>
      <w:r w:rsidRPr="00C9236E">
        <w:t xml:space="preserve">minutes at 37°C. The serum titre is the highest dilution in which no haemolysis is observed. Titres of 1/5 or greater are considered to be positive. This </w:t>
      </w:r>
      <w:r w:rsidR="002575A5" w:rsidRPr="002575A5">
        <w:t>CF</w:t>
      </w:r>
      <w:r w:rsidR="002575A5" w:rsidRPr="002575A5">
        <w:rPr>
          <w:u w:val="double"/>
        </w:rPr>
        <w:t>T</w:t>
      </w:r>
      <w:r w:rsidR="002575A5">
        <w:t xml:space="preserve"> </w:t>
      </w:r>
      <w:r w:rsidRPr="00C9236E">
        <w:t>has low sensitivity and is frequently affected by anticomplementary or nonspecific factors.</w:t>
      </w:r>
    </w:p>
    <w:p w14:paraId="46788B4B" w14:textId="2C605290" w:rsidR="007326B6" w:rsidRPr="00417BEE" w:rsidRDefault="00C12293" w:rsidP="00EE1A97">
      <w:pPr>
        <w:pStyle w:val="A0"/>
      </w:pPr>
      <w:r w:rsidRPr="00417BEE">
        <w:t>c</w:t>
      </w:r>
      <w:r w:rsidR="00D826B8" w:rsidRPr="00417BEE">
        <w:t>.</w:t>
      </w:r>
      <w:r w:rsidR="00B70C17" w:rsidRPr="00417BEE">
        <w:t xml:space="preserve"> </w:t>
      </w:r>
      <w:r w:rsidR="00FE285D" w:rsidRPr="00417BEE">
        <w:t xml:space="preserve"> </w:t>
      </w:r>
      <w:r w:rsidR="00EE1A97" w:rsidRPr="00417BEE">
        <w:t>REQUIREMENTS FOR VACCINES</w:t>
      </w:r>
    </w:p>
    <w:p w14:paraId="1984A560" w14:textId="77777777" w:rsidR="007326B6" w:rsidRPr="00417BEE" w:rsidRDefault="007326B6" w:rsidP="007326B6">
      <w:pPr>
        <w:pStyle w:val="1"/>
      </w:pPr>
      <w:r w:rsidRPr="00417BEE">
        <w:t>1.</w:t>
      </w:r>
      <w:r w:rsidRPr="00417BEE">
        <w:tab/>
        <w:t>Background</w:t>
      </w:r>
    </w:p>
    <w:p w14:paraId="10C90149" w14:textId="77777777" w:rsidR="007326B6" w:rsidRPr="00417BEE" w:rsidRDefault="00500049" w:rsidP="001E24B0">
      <w:pPr>
        <w:pStyle w:val="11"/>
      </w:pPr>
      <w:r w:rsidRPr="00417BEE">
        <w:t>1.1.</w:t>
      </w:r>
      <w:r w:rsidR="007326B6" w:rsidRPr="00417BEE">
        <w:tab/>
        <w:t>Rationale and intended use of the product</w:t>
      </w:r>
    </w:p>
    <w:p w14:paraId="0A4303D9" w14:textId="7F533913" w:rsidR="002175B0" w:rsidRPr="00417BEE" w:rsidRDefault="00F757AD" w:rsidP="001E24B0">
      <w:pPr>
        <w:pStyle w:val="11Para"/>
      </w:pPr>
      <w:r>
        <w:t>VSV</w:t>
      </w:r>
      <w:r w:rsidR="002175B0" w:rsidRPr="00417BEE">
        <w:t xml:space="preserve"> infections can </w:t>
      </w:r>
      <w:r w:rsidR="00CF7BDE" w:rsidRPr="00417BEE">
        <w:t>have</w:t>
      </w:r>
      <w:r w:rsidR="002175B0" w:rsidRPr="00417BEE">
        <w:t xml:space="preserve"> significant impacts on the health and production aspects of animals</w:t>
      </w:r>
      <w:r w:rsidR="00B07F2C" w:rsidRPr="00417BEE">
        <w:t>,</w:t>
      </w:r>
      <w:r w:rsidR="002175B0" w:rsidRPr="00417BEE">
        <w:t xml:space="preserve"> resulting in considerable economic losses for producers. Reduced feed intake </w:t>
      </w:r>
      <w:r w:rsidR="00595425" w:rsidRPr="00417BEE">
        <w:t>caused by</w:t>
      </w:r>
      <w:r w:rsidR="002175B0" w:rsidRPr="00417BEE">
        <w:t xml:space="preserve"> oral lesions can result in weight loss and </w:t>
      </w:r>
      <w:r w:rsidR="005279A4" w:rsidRPr="00417BEE">
        <w:t>delays</w:t>
      </w:r>
      <w:r w:rsidR="002175B0" w:rsidRPr="00417BEE">
        <w:t xml:space="preserve"> to market. Lesions o</w:t>
      </w:r>
      <w:r w:rsidR="00595425" w:rsidRPr="00417BEE">
        <w:t>n</w:t>
      </w:r>
      <w:r w:rsidR="002175B0" w:rsidRPr="00417BEE">
        <w:t xml:space="preserve"> the feet can cause temporary locomotor problems affecting the ability of an animal to obtain food and water</w:t>
      </w:r>
      <w:r w:rsidR="00595425" w:rsidRPr="00417BEE">
        <w:t>,</w:t>
      </w:r>
      <w:r w:rsidR="002175B0" w:rsidRPr="00417BEE">
        <w:t xml:space="preserve"> and permanent foot problems that result in the animal being culled. Lesions of the mammary gland can impact the ability of the dam to nurse her offspring and for h</w:t>
      </w:r>
      <w:r w:rsidR="0012209D" w:rsidRPr="00417BEE">
        <w:t>arvesting milk for sale. Animals may be culled if mammary or teat lesions are severe. Where vaccination is practi</w:t>
      </w:r>
      <w:r w:rsidR="00595425" w:rsidRPr="00417BEE">
        <w:t>s</w:t>
      </w:r>
      <w:r w:rsidR="0012209D" w:rsidRPr="00417BEE">
        <w:t>ed, vaccine is used to reduce the severity of clinical signs and the economic impacts of the disease.</w:t>
      </w:r>
      <w:r w:rsidR="002175B0" w:rsidRPr="00417BEE">
        <w:t xml:space="preserve"> </w:t>
      </w:r>
    </w:p>
    <w:p w14:paraId="47F74365" w14:textId="7CFC4294" w:rsidR="007326B6" w:rsidRPr="00417BEE" w:rsidRDefault="007326B6" w:rsidP="001E24B0">
      <w:pPr>
        <w:pStyle w:val="11Para"/>
      </w:pPr>
      <w:r w:rsidRPr="00417BEE">
        <w:t>Attenuated virus vaccines have been tested in the field in the USA, Panama, Guatemala, Peru and Venezuela (</w:t>
      </w:r>
      <w:r w:rsidR="00C20553" w:rsidRPr="00417BEE">
        <w:t xml:space="preserve">Lauerman </w:t>
      </w:r>
      <w:r w:rsidR="007747A9" w:rsidRPr="00417BEE">
        <w:rPr>
          <w:i/>
        </w:rPr>
        <w:t>et al</w:t>
      </w:r>
      <w:r w:rsidR="00C20553" w:rsidRPr="00417BEE">
        <w:t>., 1962;</w:t>
      </w:r>
      <w:r w:rsidRPr="00417BEE">
        <w:t xml:space="preserve"> </w:t>
      </w:r>
      <w:r w:rsidR="00C20553" w:rsidRPr="00417BEE">
        <w:t>Mason, 1978</w:t>
      </w:r>
      <w:r w:rsidRPr="00417BEE">
        <w:t>) with unknown efficacy. Killed vaccines for the Indiana and New Jersey serotypes are manufactured in Colombia and Venezuela (2002 OIE vaccine survey).</w:t>
      </w:r>
      <w:r w:rsidR="000B6B38" w:rsidRPr="00417BEE">
        <w:t xml:space="preserve"> </w:t>
      </w:r>
      <w:r w:rsidR="00DF1194" w:rsidRPr="00417BEE">
        <w:t>Although a</w:t>
      </w:r>
      <w:r w:rsidR="000B6B38" w:rsidRPr="00417BEE">
        <w:t xml:space="preserve"> commercial vaccine combining VS and FMD antigens in a single emulsion for Andean countries has been tested in vaccination–challenge experimentation and published (House</w:t>
      </w:r>
      <w:r w:rsidR="000B6B38" w:rsidRPr="00417BEE">
        <w:rPr>
          <w:i/>
        </w:rPr>
        <w:t xml:space="preserve"> et al</w:t>
      </w:r>
      <w:r w:rsidR="000B6B38" w:rsidRPr="00417BEE">
        <w:t>., 2003)</w:t>
      </w:r>
      <w:r w:rsidR="00DF1194" w:rsidRPr="00417BEE">
        <w:t xml:space="preserve">, the vaccine is not </w:t>
      </w:r>
      <w:r w:rsidR="00D05F3E" w:rsidRPr="00417BEE">
        <w:t>produced/</w:t>
      </w:r>
      <w:r w:rsidR="00DF1194" w:rsidRPr="00417BEE">
        <w:t xml:space="preserve">applied </w:t>
      </w:r>
      <w:r w:rsidR="009E6BE3" w:rsidRPr="00417BEE">
        <w:t>routine</w:t>
      </w:r>
      <w:r w:rsidR="000E1743" w:rsidRPr="00417BEE">
        <w:t>ly</w:t>
      </w:r>
      <w:r w:rsidR="000B6B38" w:rsidRPr="00417BEE">
        <w:t>.</w:t>
      </w:r>
    </w:p>
    <w:p w14:paraId="73E14FEE" w14:textId="2E5FE664" w:rsidR="007326B6" w:rsidRPr="00417BEE" w:rsidRDefault="007326B6" w:rsidP="001E24B0">
      <w:pPr>
        <w:pStyle w:val="11Para"/>
      </w:pPr>
      <w:r w:rsidRPr="00417BEE">
        <w:t>Guidelines for the production of veterinary vaccines are given in Chapter 1.1.</w:t>
      </w:r>
      <w:r w:rsidR="004E51ED">
        <w:t>8</w:t>
      </w:r>
      <w:r w:rsidRPr="00417BEE">
        <w:t xml:space="preserve"> </w:t>
      </w:r>
      <w:r w:rsidRPr="00417BEE">
        <w:rPr>
          <w:i/>
        </w:rPr>
        <w:t>Principles of veterinary vaccine production</w:t>
      </w:r>
      <w:r w:rsidRPr="00417BEE">
        <w:t xml:space="preserve">. The guidelines given here and in </w:t>
      </w:r>
      <w:r w:rsidR="00D751D8" w:rsidRPr="00417BEE">
        <w:t>c</w:t>
      </w:r>
      <w:r w:rsidRPr="00417BEE">
        <w:t>hapter 1.1.</w:t>
      </w:r>
      <w:r w:rsidR="004E51ED">
        <w:t>8</w:t>
      </w:r>
      <w:r w:rsidRPr="00417BEE">
        <w:t xml:space="preserve"> are intended to be general in nature and may be supplemented by national and regional requirements.</w:t>
      </w:r>
    </w:p>
    <w:p w14:paraId="25C4604A" w14:textId="77777777" w:rsidR="007326B6" w:rsidRPr="00417BEE" w:rsidRDefault="007326B6" w:rsidP="007326B6">
      <w:pPr>
        <w:pStyle w:val="1"/>
      </w:pPr>
      <w:r w:rsidRPr="00417BEE">
        <w:t>2.</w:t>
      </w:r>
      <w:r w:rsidRPr="00417BEE">
        <w:tab/>
        <w:t>Outline of production and minimum requirements for conventional vaccines</w:t>
      </w:r>
    </w:p>
    <w:p w14:paraId="79AEB00D" w14:textId="77777777" w:rsidR="007326B6" w:rsidRPr="00417BEE" w:rsidRDefault="00500049" w:rsidP="001E24B0">
      <w:pPr>
        <w:pStyle w:val="11"/>
      </w:pPr>
      <w:r w:rsidRPr="00417BEE">
        <w:t>2.1.</w:t>
      </w:r>
      <w:r w:rsidR="007326B6" w:rsidRPr="00417BEE">
        <w:tab/>
        <w:t>Characteristics of the seed</w:t>
      </w:r>
    </w:p>
    <w:p w14:paraId="3DA4D344" w14:textId="77777777" w:rsidR="007326B6" w:rsidRPr="00417BEE" w:rsidRDefault="00500049" w:rsidP="001E24B0">
      <w:pPr>
        <w:pStyle w:val="111"/>
      </w:pPr>
      <w:r w:rsidRPr="00417BEE">
        <w:t>2.1.1.</w:t>
      </w:r>
      <w:r w:rsidR="007326B6" w:rsidRPr="00417BEE">
        <w:tab/>
        <w:t>Biological characteristics</w:t>
      </w:r>
    </w:p>
    <w:p w14:paraId="7749AAF2" w14:textId="77777777" w:rsidR="0012209D" w:rsidRPr="00417BEE" w:rsidRDefault="0012209D" w:rsidP="001E24B0">
      <w:pPr>
        <w:pStyle w:val="111Para"/>
      </w:pPr>
      <w:r w:rsidRPr="00417BEE">
        <w:t xml:space="preserve">Identity of the seed and the source of the serum used in growth and passage of the virus should be well documented, including the source and passage history of the organism. </w:t>
      </w:r>
    </w:p>
    <w:p w14:paraId="602FFE8C" w14:textId="77777777" w:rsidR="007326B6" w:rsidRPr="00417BEE" w:rsidRDefault="00500049" w:rsidP="001E24B0">
      <w:pPr>
        <w:pStyle w:val="111"/>
      </w:pPr>
      <w:r w:rsidRPr="00417BEE">
        <w:t>2.1.2.</w:t>
      </w:r>
      <w:r w:rsidR="007326B6" w:rsidRPr="00417BEE">
        <w:tab/>
        <w:t>Quality criteria (sterility, purity, freedom from extraneous agents)</w:t>
      </w:r>
    </w:p>
    <w:p w14:paraId="2C452BC9" w14:textId="58FEA41C" w:rsidR="0012209D" w:rsidRPr="00417BEE" w:rsidRDefault="0012209D" w:rsidP="001E24B0">
      <w:pPr>
        <w:pStyle w:val="111Para"/>
      </w:pPr>
      <w:r w:rsidRPr="00417BEE">
        <w:t xml:space="preserve">The purity of the seed and cells to be used for vaccine production must be demonstrated. The </w:t>
      </w:r>
      <w:r w:rsidR="00CF7BDE" w:rsidRPr="00417BEE">
        <w:t>master seed virus (</w:t>
      </w:r>
      <w:r w:rsidRPr="00417BEE">
        <w:t>MSV</w:t>
      </w:r>
      <w:r w:rsidR="00CF7BDE" w:rsidRPr="00417BEE">
        <w:t>)</w:t>
      </w:r>
      <w:r w:rsidRPr="00417BEE">
        <w:t xml:space="preserve"> should be free from adventitious agents, bacteria, or </w:t>
      </w:r>
      <w:r w:rsidRPr="00417BEE">
        <w:rPr>
          <w:i/>
          <w:iCs/>
        </w:rPr>
        <w:t>Mycoplasma</w:t>
      </w:r>
      <w:r w:rsidRPr="00417BEE">
        <w:t xml:space="preserve">, using tests known to be sensitive for detection of these microorganisms. The test aliquot should be representative of a titre adequate for vaccine production, but not such a high titre that hyperimmune antisera are unable to neutralise seed virus during purity testing. Seed virus is neutralised with monospecific antiserum or monoclonal antibody against the seed virus and the virus/antibody mixture is cultured on several types of cell line monolayers. A cell line highly permissive for bovine viral diarrhoea virus, types 1 and 2, is recommended as one of the cell </w:t>
      </w:r>
      <w:r w:rsidRPr="00417BEE">
        <w:lastRenderedPageBreak/>
        <w:t xml:space="preserve">lines chosen for evaluation of the MSV. Bovine viral diarrhoea virus is a potential contaminant introduced through the use of </w:t>
      </w:r>
      <w:r w:rsidR="00034E99">
        <w:t>FBS</w:t>
      </w:r>
      <w:r w:rsidRPr="00417BEE">
        <w:t xml:space="preserve"> in cell culture systems. Cultures are subpassaged at 7-day intervals for a total of at least 14 days, then tested for adventitious viruses that may have infected the cells or seed during previous passages. </w:t>
      </w:r>
    </w:p>
    <w:p w14:paraId="74AD7936" w14:textId="77777777" w:rsidR="007326B6" w:rsidRPr="00417BEE" w:rsidRDefault="00500049" w:rsidP="001E24B0">
      <w:pPr>
        <w:pStyle w:val="11"/>
      </w:pPr>
      <w:r w:rsidRPr="00417BEE">
        <w:t>2.2.</w:t>
      </w:r>
      <w:r w:rsidR="007326B6" w:rsidRPr="00417BEE">
        <w:tab/>
        <w:t>Method of manufacture</w:t>
      </w:r>
    </w:p>
    <w:p w14:paraId="3E0FF97D" w14:textId="77777777" w:rsidR="007326B6" w:rsidRPr="00417BEE" w:rsidRDefault="00500049" w:rsidP="001E24B0">
      <w:pPr>
        <w:pStyle w:val="111"/>
      </w:pPr>
      <w:r w:rsidRPr="00417BEE">
        <w:t>2.2.1.</w:t>
      </w:r>
      <w:r w:rsidR="007326B6" w:rsidRPr="00417BEE">
        <w:tab/>
        <w:t>Procedure</w:t>
      </w:r>
    </w:p>
    <w:p w14:paraId="05E30768" w14:textId="77777777" w:rsidR="00CF7BDE" w:rsidRPr="00417BEE" w:rsidRDefault="00CF7BDE" w:rsidP="001E24B0">
      <w:pPr>
        <w:pStyle w:val="111Para"/>
      </w:pPr>
      <w:r w:rsidRPr="00417BEE">
        <w:t>Once the vaccine is shown to be efficacious, and the proposed conditions for production are acceptable to regulatory authorities, approval may be granted to manufacture vaccine. Virus seed can be grown in cell culture. Selection of a cell type for culture is dependent on the degree of virus adaptation, growth in medium, and viral yield in the specific culture system. Vaccine products should be limited to the number of passages from the MSV that can be demonstrated to be effective.</w:t>
      </w:r>
      <w:r w:rsidR="00325CEA" w:rsidRPr="00417BEE">
        <w:t xml:space="preserve"> </w:t>
      </w:r>
      <w:r w:rsidRPr="00417BEE">
        <w:t xml:space="preserve">Generally, large-scale monolayer or suspension cell systems are operated under strict temperature-controlled, aseptic conditions and defined production methods, to assure lot-to-lot consistency. </w:t>
      </w:r>
      <w:r w:rsidR="00325CEA" w:rsidRPr="00417BEE">
        <w:t>Dose of virus u</w:t>
      </w:r>
      <w:r w:rsidR="005D0B55" w:rsidRPr="00417BEE">
        <w:t>se</w:t>
      </w:r>
      <w:r w:rsidR="00325CEA" w:rsidRPr="00417BEE">
        <w:t xml:space="preserve">d to inoculate cell culture should be kept to a minimum to reduce the potential for viral defective interfering particles. </w:t>
      </w:r>
      <w:r w:rsidRPr="00417BEE">
        <w:t>When the virus has reached its appropriate titre, as determined by CPE, fluorescent antibody assay, or other approved technique, the virus is clarified, filtered, and inactivated</w:t>
      </w:r>
      <w:r w:rsidR="00325CEA" w:rsidRPr="00417BEE">
        <w:t xml:space="preserve"> (for killed vaccines)</w:t>
      </w:r>
      <w:r w:rsidR="00EE1A97" w:rsidRPr="00417BEE">
        <w:t>.</w:t>
      </w:r>
    </w:p>
    <w:p w14:paraId="719FCFD5" w14:textId="77777777" w:rsidR="007326B6" w:rsidRPr="00417BEE" w:rsidRDefault="00500049" w:rsidP="001E24B0">
      <w:pPr>
        <w:pStyle w:val="111"/>
      </w:pPr>
      <w:r w:rsidRPr="00417BEE">
        <w:t>2.2.2.</w:t>
      </w:r>
      <w:r w:rsidR="007326B6" w:rsidRPr="00417BEE">
        <w:tab/>
        <w:t>Requirements for substrates and media</w:t>
      </w:r>
    </w:p>
    <w:p w14:paraId="1AF52148" w14:textId="6ACAD5EB" w:rsidR="00CF7BDE" w:rsidRPr="00417BEE" w:rsidRDefault="00CF7BDE" w:rsidP="001E24B0">
      <w:pPr>
        <w:pStyle w:val="111Para"/>
      </w:pPr>
      <w:r w:rsidRPr="00417BEE">
        <w:t>Cell cultu</w:t>
      </w:r>
      <w:r w:rsidR="005279A4" w:rsidRPr="00417BEE">
        <w:t>res should be demonstrated</w:t>
      </w:r>
      <w:r w:rsidRPr="00417BEE">
        <w:t xml:space="preserve"> free of adventitious viruses. All animal origin products used in the production and maintenance of cells (i.e. trypsin, </w:t>
      </w:r>
      <w:r w:rsidR="00034E99">
        <w:t>FBS</w:t>
      </w:r>
      <w:r w:rsidRPr="00417BEE">
        <w:t xml:space="preserve">) and growth of virus should be free of adventitious agents, with special attention paid to the presence of bovine viral diarrhoea virus. </w:t>
      </w:r>
    </w:p>
    <w:p w14:paraId="490A8738" w14:textId="77777777" w:rsidR="007326B6" w:rsidRPr="00417BEE" w:rsidRDefault="00500049" w:rsidP="001E24B0">
      <w:pPr>
        <w:pStyle w:val="111"/>
      </w:pPr>
      <w:r w:rsidRPr="00417BEE">
        <w:t>2.2.3.</w:t>
      </w:r>
      <w:r w:rsidR="007326B6" w:rsidRPr="00417BEE">
        <w:tab/>
        <w:t>In</w:t>
      </w:r>
      <w:r w:rsidR="008C1EBC" w:rsidRPr="00417BEE">
        <w:t>-</w:t>
      </w:r>
      <w:r w:rsidR="007326B6" w:rsidRPr="00417BEE">
        <w:t>process controls</w:t>
      </w:r>
    </w:p>
    <w:p w14:paraId="33F254CC" w14:textId="77777777" w:rsidR="00F7305C" w:rsidRPr="00417BEE" w:rsidRDefault="00F7305C" w:rsidP="001E24B0">
      <w:pPr>
        <w:pStyle w:val="111Para"/>
      </w:pPr>
      <w:r w:rsidRPr="00417BEE">
        <w:t>Cell cultures should be checked macroscopically for abnormalities or signs of contamination and discarded if unsatisfactory. Virus concentration can be assessed using antigenic mass or infectivity assays.</w:t>
      </w:r>
    </w:p>
    <w:p w14:paraId="72ABEDB3" w14:textId="30228811" w:rsidR="00BC1CEE" w:rsidRPr="00417BEE" w:rsidRDefault="007C771B" w:rsidP="001E24B0">
      <w:pPr>
        <w:pStyle w:val="111Para"/>
      </w:pPr>
      <w:r w:rsidRPr="002575A5">
        <w:t xml:space="preserve">An inactivation kinetics study should be conducted using the approved inactivating agent (β-propiolactone or </w:t>
      </w:r>
      <w:r w:rsidRPr="007C771B">
        <w:rPr>
          <w:u w:val="double"/>
        </w:rPr>
        <w:t>1 ml for 100 ml of viral suspension of 0.1 M</w:t>
      </w:r>
      <w:r w:rsidRPr="007C771B">
        <w:t xml:space="preserve"> </w:t>
      </w:r>
      <w:r w:rsidRPr="007C771B">
        <w:rPr>
          <w:u w:val="double"/>
        </w:rPr>
        <w:t>binary ethyleneimine [BEI during 24 hours]</w:t>
      </w:r>
      <w:r w:rsidRPr="007C771B">
        <w:rPr>
          <w:strike/>
        </w:rPr>
        <w:t xml:space="preserve"> ethyleneimine </w:t>
      </w:r>
      <w:r w:rsidR="000B6B38" w:rsidRPr="007C771B">
        <w:rPr>
          <w:strike/>
        </w:rPr>
        <w:t>in binary form</w:t>
      </w:r>
      <w:r w:rsidR="000B6B38" w:rsidRPr="007C771B">
        <w:t xml:space="preserve">) </w:t>
      </w:r>
      <w:r w:rsidR="00BC1CEE" w:rsidRPr="007C771B">
        <w:t xml:space="preserve">on </w:t>
      </w:r>
      <w:r w:rsidR="000B6B38" w:rsidRPr="007C771B">
        <w:t xml:space="preserve">each </w:t>
      </w:r>
      <w:r w:rsidR="00BC1CEE" w:rsidRPr="007C771B">
        <w:t>viral lot with a titre greater than the maximum production titre and grown using the approved producti</w:t>
      </w:r>
      <w:r w:rsidR="00BC1CEE" w:rsidRPr="00417BEE">
        <w:t>on method. This study should demonstrate that the inactivation method is adequate to assure complete inactivation of virus. Samples taken at regular timed intervals during inactivation, then inoculated on to a susceptible cell line, should indicate a linear and complete loss of titre by the end of the inactivation process.</w:t>
      </w:r>
    </w:p>
    <w:p w14:paraId="48CAD2D4" w14:textId="77777777" w:rsidR="00BC1CEE" w:rsidRPr="00417BEE" w:rsidRDefault="00BC1CEE" w:rsidP="001E24B0">
      <w:pPr>
        <w:pStyle w:val="111Para"/>
      </w:pPr>
      <w:r w:rsidRPr="00417BEE">
        <w:t>During production, antigen content is measured to establish that minimum bulk titres have been achieved. Antigen content is generally measured before inactivation (if killed vaccine) and prior to further processing.</w:t>
      </w:r>
    </w:p>
    <w:p w14:paraId="2806F0F3" w14:textId="77777777" w:rsidR="007326B6" w:rsidRPr="00417BEE" w:rsidRDefault="00500049" w:rsidP="001E24B0">
      <w:pPr>
        <w:pStyle w:val="111"/>
      </w:pPr>
      <w:r w:rsidRPr="00417BEE">
        <w:t>2.2.4.</w:t>
      </w:r>
      <w:r w:rsidR="007326B6" w:rsidRPr="00417BEE">
        <w:tab/>
        <w:t>Final product batch tests</w:t>
      </w:r>
      <w:r w:rsidR="003C3D3C" w:rsidRPr="00417BEE">
        <w:t xml:space="preserve"> </w:t>
      </w:r>
    </w:p>
    <w:p w14:paraId="2D565D44" w14:textId="77777777" w:rsidR="00F7305C" w:rsidRPr="00417BEE" w:rsidRDefault="00F7305C" w:rsidP="001E24B0">
      <w:pPr>
        <w:pStyle w:val="111Para"/>
      </w:pPr>
      <w:r w:rsidRPr="00417BEE">
        <w:t>Vaccine candidates should be shown to be pure, safe, potent, and efficacious.</w:t>
      </w:r>
    </w:p>
    <w:p w14:paraId="6544BC03" w14:textId="77777777" w:rsidR="007326B6" w:rsidRPr="00417BEE" w:rsidRDefault="000A6FAC" w:rsidP="001E24B0">
      <w:pPr>
        <w:pStyle w:val="i"/>
      </w:pPr>
      <w:r w:rsidRPr="00417BEE">
        <w:t>i)</w:t>
      </w:r>
      <w:r w:rsidRPr="00417BEE">
        <w:tab/>
      </w:r>
      <w:r w:rsidR="007326B6" w:rsidRPr="00417BEE">
        <w:t>Sterility and purity</w:t>
      </w:r>
    </w:p>
    <w:p w14:paraId="18EDB5C7" w14:textId="3663BF22" w:rsidR="00F7305C" w:rsidRPr="00417BEE" w:rsidRDefault="00F7305C" w:rsidP="001E24B0">
      <w:pPr>
        <w:pStyle w:val="afourthpara"/>
      </w:pPr>
      <w:r w:rsidRPr="00417BEE">
        <w:t xml:space="preserve">During production, tests for bacteria, </w:t>
      </w:r>
      <w:r w:rsidRPr="00417BEE">
        <w:rPr>
          <w:i/>
          <w:iCs/>
        </w:rPr>
        <w:t>Mycoplasma</w:t>
      </w:r>
      <w:r w:rsidRPr="00417BEE">
        <w:t>, and fungal contamination should be conducted on both inactivated and live vaccine harvest lots and confirmed on the completed product (see Chapter 1.1.</w:t>
      </w:r>
      <w:r w:rsidR="004E51ED">
        <w:t>9</w:t>
      </w:r>
      <w:r w:rsidRPr="00417BEE">
        <w:t xml:space="preserve"> </w:t>
      </w:r>
      <w:r w:rsidRPr="00417BEE">
        <w:rPr>
          <w:i/>
        </w:rPr>
        <w:t>Tests for sterility and freedom from contamination</w:t>
      </w:r>
      <w:r w:rsidR="00B15DE8" w:rsidRPr="00B15DE8">
        <w:rPr>
          <w:i/>
        </w:rPr>
        <w:t xml:space="preserve"> </w:t>
      </w:r>
      <w:r w:rsidR="00B15DE8" w:rsidRPr="00417BEE">
        <w:rPr>
          <w:i/>
        </w:rPr>
        <w:t>of biological materials</w:t>
      </w:r>
      <w:r w:rsidR="00B15DE8">
        <w:rPr>
          <w:i/>
        </w:rPr>
        <w:t xml:space="preserve"> intended for veterinary use</w:t>
      </w:r>
      <w:r w:rsidRPr="00417BEE">
        <w:t>).</w:t>
      </w:r>
    </w:p>
    <w:p w14:paraId="72636257" w14:textId="77777777" w:rsidR="007326B6" w:rsidRPr="00417BEE" w:rsidRDefault="000A6FAC" w:rsidP="001E24B0">
      <w:pPr>
        <w:pStyle w:val="i"/>
      </w:pPr>
      <w:r w:rsidRPr="00417BEE">
        <w:t>ii)</w:t>
      </w:r>
      <w:r w:rsidRPr="00417BEE">
        <w:tab/>
      </w:r>
      <w:r w:rsidR="007326B6" w:rsidRPr="00417BEE">
        <w:t>Safety</w:t>
      </w:r>
    </w:p>
    <w:p w14:paraId="69C095A5" w14:textId="156713B8" w:rsidR="005279A4" w:rsidRPr="00A14504" w:rsidRDefault="00A14504" w:rsidP="001E24B0">
      <w:pPr>
        <w:pStyle w:val="afourthpara"/>
        <w:rPr>
          <w:strike/>
        </w:rPr>
      </w:pPr>
      <w:bookmarkStart w:id="2" w:name="_Hlk51082615"/>
      <w:r w:rsidRPr="00A14504">
        <w:rPr>
          <w:u w:val="double"/>
        </w:rPr>
        <w:t xml:space="preserve">The </w:t>
      </w:r>
      <w:r w:rsidR="007873CF" w:rsidRPr="00A14504">
        <w:rPr>
          <w:u w:val="double"/>
        </w:rPr>
        <w:t>use of target animal batch release safety tests or laboratory animal batch release safety tests should be avoided wherever possible.</w:t>
      </w:r>
      <w:r>
        <w:rPr>
          <w:color w:val="4F81BD"/>
        </w:rPr>
        <w:t xml:space="preserve"> </w:t>
      </w:r>
      <w:bookmarkEnd w:id="2"/>
      <w:r w:rsidR="005279A4" w:rsidRPr="00A14504">
        <w:rPr>
          <w:strike/>
        </w:rPr>
        <w:t xml:space="preserve">Final container samples of completed product from inactivated vaccines should be tested. </w:t>
      </w:r>
    </w:p>
    <w:p w14:paraId="1C39C677" w14:textId="77777777" w:rsidR="007326B6" w:rsidRPr="00417BEE" w:rsidRDefault="000A6FAC" w:rsidP="0036124D">
      <w:pPr>
        <w:pStyle w:val="i"/>
        <w:keepNext/>
      </w:pPr>
      <w:r w:rsidRPr="00417BEE">
        <w:t>iii)</w:t>
      </w:r>
      <w:r w:rsidRPr="00417BEE">
        <w:tab/>
      </w:r>
      <w:r w:rsidR="007326B6" w:rsidRPr="00417BEE">
        <w:t>Batch potency</w:t>
      </w:r>
    </w:p>
    <w:p w14:paraId="6F7F8FCE" w14:textId="16D93839" w:rsidR="000B6B38" w:rsidRPr="00417BEE" w:rsidRDefault="000B6B38" w:rsidP="000D753A">
      <w:pPr>
        <w:pStyle w:val="afourthpara"/>
      </w:pPr>
      <w:r w:rsidRPr="00417BEE">
        <w:t xml:space="preserve">Potency is examined on the final formulated product. </w:t>
      </w:r>
      <w:r w:rsidR="00564F53" w:rsidRPr="00417BEE">
        <w:t xml:space="preserve">Mirroring what is done for </w:t>
      </w:r>
      <w:r w:rsidR="002C2357" w:rsidRPr="00417BEE">
        <w:t xml:space="preserve">the </w:t>
      </w:r>
      <w:r w:rsidR="00564F53" w:rsidRPr="00417BEE">
        <w:t xml:space="preserve">potency test in </w:t>
      </w:r>
      <w:r w:rsidR="00F757AD">
        <w:t>FMD</w:t>
      </w:r>
      <w:r w:rsidR="00564F53" w:rsidRPr="00417BEE">
        <w:t xml:space="preserve"> vaccines,</w:t>
      </w:r>
      <w:r w:rsidR="000D753A" w:rsidRPr="00417BEE">
        <w:t xml:space="preserve"> </w:t>
      </w:r>
      <w:r w:rsidR="00564F53" w:rsidRPr="00417BEE">
        <w:t>a</w:t>
      </w:r>
      <w:r w:rsidRPr="00417BEE">
        <w:t xml:space="preserve"> vaccination–challenge test</w:t>
      </w:r>
      <w:r w:rsidR="00564F53" w:rsidRPr="00417BEE">
        <w:t xml:space="preserve"> has being proposed for testing </w:t>
      </w:r>
      <w:r w:rsidR="00564F53" w:rsidRPr="00417BEE">
        <w:lastRenderedPageBreak/>
        <w:t>VSV vaccines</w:t>
      </w:r>
      <w:r w:rsidR="00D56C71" w:rsidRPr="00417BEE">
        <w:t xml:space="preserve"> (House </w:t>
      </w:r>
      <w:r w:rsidR="00D56C71" w:rsidRPr="00417BEE">
        <w:rPr>
          <w:i/>
        </w:rPr>
        <w:t>et al</w:t>
      </w:r>
      <w:r w:rsidR="001E24B0" w:rsidRPr="00417BEE">
        <w:rPr>
          <w:i/>
        </w:rPr>
        <w:t>.</w:t>
      </w:r>
      <w:r w:rsidR="00D56C71" w:rsidRPr="00417BEE">
        <w:rPr>
          <w:i/>
        </w:rPr>
        <w:t>,</w:t>
      </w:r>
      <w:r w:rsidR="00D56C71" w:rsidRPr="00417BEE">
        <w:t xml:space="preserve"> 2003). </w:t>
      </w:r>
      <w:r w:rsidR="00B576B6" w:rsidRPr="00417BEE">
        <w:t>T</w:t>
      </w:r>
      <w:r w:rsidR="00D56C71" w:rsidRPr="00417BEE">
        <w:t>he gaps in knowledge regarding the pathogen</w:t>
      </w:r>
      <w:r w:rsidR="00B576B6" w:rsidRPr="00417BEE">
        <w:t>esis</w:t>
      </w:r>
      <w:r w:rsidR="00D56C71" w:rsidRPr="00417BEE">
        <w:t xml:space="preserve"> of VSV infection and the immune mechanism that affords protection against viral infection</w:t>
      </w:r>
      <w:r w:rsidR="00B576B6" w:rsidRPr="00417BEE">
        <w:t xml:space="preserve"> are limitations for development and implementation of a validated protocol for </w:t>
      </w:r>
      <w:r w:rsidR="002C2357" w:rsidRPr="00417BEE">
        <w:t xml:space="preserve">a </w:t>
      </w:r>
      <w:r w:rsidR="00B576B6" w:rsidRPr="00417BEE">
        <w:t>challenge test.</w:t>
      </w:r>
      <w:r w:rsidR="00692795" w:rsidRPr="00417BEE">
        <w:t xml:space="preserve"> </w:t>
      </w:r>
      <w:r w:rsidRPr="00417BEE">
        <w:t>However, for batch release, indirect tests can also be used for practicability and animal welfare considerations, as long as correlation has been validated to protection in the target animal during efficacy tests. Frequently indirect potency tests include antibody titration after vaccination of target species. Ideally, indirect tests are carried out for each strain for one species and each formulation of vaccine to establish correlation between the indirect test results and the vaccine efficacy test results.</w:t>
      </w:r>
    </w:p>
    <w:p w14:paraId="0BBCC41B" w14:textId="4CF3B54D" w:rsidR="00F7305C" w:rsidRPr="00417BEE" w:rsidRDefault="00F7305C" w:rsidP="001E24B0">
      <w:pPr>
        <w:pStyle w:val="afourthpara"/>
      </w:pPr>
      <w:r w:rsidRPr="00417BEE">
        <w:t xml:space="preserve">Relative potency </w:t>
      </w:r>
      <w:r w:rsidR="00B576B6" w:rsidRPr="00417BEE">
        <w:t xml:space="preserve">could </w:t>
      </w:r>
      <w:r w:rsidRPr="00417BEE">
        <w:t>be used to determine antigen content in final product. It is necessary to confirm the sensitivity, specificity, reproducibility, and ruggedness of such assays.</w:t>
      </w:r>
      <w:r w:rsidR="000B5E77" w:rsidRPr="00417BEE">
        <w:t xml:space="preserve"> </w:t>
      </w:r>
    </w:p>
    <w:p w14:paraId="63BBF36F" w14:textId="77777777" w:rsidR="007326B6" w:rsidRPr="00417BEE" w:rsidRDefault="00500049" w:rsidP="001E24B0">
      <w:pPr>
        <w:pStyle w:val="11"/>
      </w:pPr>
      <w:r w:rsidRPr="00417BEE">
        <w:t>2.3.</w:t>
      </w:r>
      <w:r w:rsidR="007326B6" w:rsidRPr="00417BEE">
        <w:tab/>
        <w:t>Requirements for authorisation</w:t>
      </w:r>
    </w:p>
    <w:p w14:paraId="3C76C8EF" w14:textId="77777777" w:rsidR="007326B6" w:rsidRPr="00417BEE" w:rsidRDefault="00500049" w:rsidP="001E24B0">
      <w:pPr>
        <w:pStyle w:val="111"/>
      </w:pPr>
      <w:r w:rsidRPr="00417BEE">
        <w:t>2.3.1.</w:t>
      </w:r>
      <w:r w:rsidR="007326B6" w:rsidRPr="00417BEE">
        <w:tab/>
        <w:t>Safety requirements</w:t>
      </w:r>
    </w:p>
    <w:p w14:paraId="340749F9" w14:textId="77777777" w:rsidR="007326B6" w:rsidRPr="00417BEE" w:rsidRDefault="00500049" w:rsidP="001E24B0">
      <w:pPr>
        <w:pStyle w:val="i"/>
      </w:pPr>
      <w:r w:rsidRPr="00417BEE">
        <w:t>i)</w:t>
      </w:r>
      <w:r w:rsidRPr="00417BEE">
        <w:tab/>
      </w:r>
      <w:r w:rsidR="007326B6" w:rsidRPr="00417BEE">
        <w:t>Target and non-target animal safety</w:t>
      </w:r>
    </w:p>
    <w:p w14:paraId="16ADA46F" w14:textId="77777777" w:rsidR="00F7305C" w:rsidRPr="00417BEE" w:rsidRDefault="00F7305C" w:rsidP="001E24B0">
      <w:pPr>
        <w:pStyle w:val="afourthpara"/>
      </w:pPr>
      <w:r w:rsidRPr="002575A5">
        <w:t>Final product may be evaluated in the host animal using two animals of the minimum age recommended for use, according to the instructions given on the label; the animals are observed for 21 days. Field safety studies conducted on vaccinates, in at least three divergent geographical areas, with at least 300 animals per area, are also recommended</w:t>
      </w:r>
      <w:r w:rsidRPr="00417BEE">
        <w:t xml:space="preserve">. </w:t>
      </w:r>
    </w:p>
    <w:p w14:paraId="1E89FB09" w14:textId="77777777" w:rsidR="00BC1CEE" w:rsidRPr="00417BEE" w:rsidRDefault="00BC1CEE" w:rsidP="001E24B0">
      <w:pPr>
        <w:pStyle w:val="afourthpara"/>
      </w:pPr>
      <w:r w:rsidRPr="00417BEE">
        <w:t>For killed and modified live virus (MLV) vaccines product safety will be based on an absence of adverse reactions such as shock, abscesses at site of inoculation, etc. In the specific case of MLV vaccines, it would not be expected to see clinical signs. If clinical signs of vesicular stomatitis virus are observed, use of the vaccine should be reconsidered. Residual virus should be evaluated for prior to mixing the antigen with adjuvant. Initial safety is evaluated in a few animals for 21 days under close observation to assess for gross safety issues. If the vaccine passes this first safety test, the vaccine is used in the field in a larger number of animals to evaluate if subtle safety issues are present: adverse reactions/swelling, abscesses, shock, etc.</w:t>
      </w:r>
    </w:p>
    <w:p w14:paraId="2E705167" w14:textId="77777777" w:rsidR="007326B6" w:rsidRPr="00417BEE" w:rsidRDefault="00500049" w:rsidP="001E24B0">
      <w:pPr>
        <w:pStyle w:val="i"/>
      </w:pPr>
      <w:r w:rsidRPr="00417BEE">
        <w:t>ii)</w:t>
      </w:r>
      <w:r w:rsidRPr="00417BEE">
        <w:tab/>
      </w:r>
      <w:r w:rsidR="007326B6" w:rsidRPr="00417BEE">
        <w:t>Reversion-to-virulence for attenuated/live vaccines</w:t>
      </w:r>
    </w:p>
    <w:p w14:paraId="25EF9AAF" w14:textId="77777777" w:rsidR="00B07F2C" w:rsidRPr="00417BEE" w:rsidRDefault="00B07F2C" w:rsidP="001E24B0">
      <w:pPr>
        <w:pStyle w:val="afourthpara"/>
      </w:pPr>
      <w:r w:rsidRPr="00417BEE">
        <w:t>Reversion to virulence for live viral vaccines is often demonstrated by back passage through susceptible species. Virus is isolated from the vaccinated animal and the isolated virus is then used to inoculate additional animals. Sequential passage through animals should show that animals remain clinically healthy with no demonstration of typical vesicular stomatitis lesions.</w:t>
      </w:r>
    </w:p>
    <w:p w14:paraId="740E033D" w14:textId="77777777" w:rsidR="007326B6" w:rsidRPr="00417BEE" w:rsidRDefault="00500049" w:rsidP="001E24B0">
      <w:pPr>
        <w:pStyle w:val="i"/>
      </w:pPr>
      <w:r w:rsidRPr="00417BEE">
        <w:t>iii)</w:t>
      </w:r>
      <w:r w:rsidRPr="00417BEE">
        <w:tab/>
      </w:r>
      <w:r w:rsidR="007326B6" w:rsidRPr="00417BEE">
        <w:t>Environmental consideration</w:t>
      </w:r>
    </w:p>
    <w:p w14:paraId="589F28EE" w14:textId="1A4E0937" w:rsidR="00325CEA" w:rsidRPr="00417BEE" w:rsidRDefault="00325CEA" w:rsidP="001E24B0">
      <w:pPr>
        <w:pStyle w:val="afourthpara"/>
      </w:pPr>
      <w:r w:rsidRPr="00417BEE">
        <w:t xml:space="preserve">Inactivated vesicular stomatitis vaccines probably present no special danger to the user, although accidental inoculation may result in an adverse reaction </w:t>
      </w:r>
      <w:r w:rsidR="00E36483" w:rsidRPr="00417BEE">
        <w:t>caused by</w:t>
      </w:r>
      <w:r w:rsidRPr="00417BEE">
        <w:t xml:space="preserve"> the adjuvant and secondary components of the vaccine. </w:t>
      </w:r>
      <w:r w:rsidR="00F757AD">
        <w:t>MLV</w:t>
      </w:r>
      <w:r w:rsidRPr="00417BEE">
        <w:t xml:space="preserve"> vaccines may pose a hazard to the user depending on the level of inactivation of the virus.</w:t>
      </w:r>
    </w:p>
    <w:p w14:paraId="6CF21058" w14:textId="291BB8C6" w:rsidR="00325CEA" w:rsidRPr="00417BEE" w:rsidRDefault="00325CEA" w:rsidP="001E24B0">
      <w:pPr>
        <w:pStyle w:val="afourthpara"/>
      </w:pPr>
      <w:r w:rsidRPr="00417BEE">
        <w:t>Preservatives should be avoided if possible, and where not possible, should be limited to the lowest concentration possible. Vaccine bottles, syringes, and needles may pose an environmental hazard for vaccines u</w:t>
      </w:r>
      <w:r w:rsidR="009E71A4" w:rsidRPr="00417BEE">
        <w:t>s</w:t>
      </w:r>
      <w:r w:rsidRPr="00417BEE">
        <w:t xml:space="preserve">ing adjuvants or preservatives and for </w:t>
      </w:r>
      <w:r w:rsidR="00F757AD">
        <w:t>MLV</w:t>
      </w:r>
      <w:r w:rsidRPr="00417BEE">
        <w:t xml:space="preserve"> vaccines. Instructions for disposal should be included within the vaccine packaging information and based on current environmental regulations in the country of use.</w:t>
      </w:r>
    </w:p>
    <w:p w14:paraId="1D69F0AA" w14:textId="77777777" w:rsidR="007326B6" w:rsidRPr="00417BEE" w:rsidRDefault="00500049" w:rsidP="001E24B0">
      <w:pPr>
        <w:pStyle w:val="111"/>
      </w:pPr>
      <w:r w:rsidRPr="00417BEE">
        <w:t>2.3.2.</w:t>
      </w:r>
      <w:r w:rsidR="007326B6" w:rsidRPr="00417BEE">
        <w:tab/>
        <w:t>Efficacy requirements</w:t>
      </w:r>
    </w:p>
    <w:p w14:paraId="0442646E" w14:textId="5F24D2A2" w:rsidR="000B6B38" w:rsidRPr="00417BEE" w:rsidRDefault="00D21112" w:rsidP="001E24B0">
      <w:pPr>
        <w:pStyle w:val="111Para"/>
        <w:rPr>
          <w:lang w:val="en-IE"/>
        </w:rPr>
      </w:pPr>
      <w:r w:rsidRPr="00417BEE">
        <w:t xml:space="preserve">The gaps in knowledge regarding the pathogenesis of VSV infection and the immune mechanism that affords protection against viral infection are limitations for </w:t>
      </w:r>
      <w:r w:rsidR="000E1743" w:rsidRPr="00417BEE">
        <w:t xml:space="preserve">the </w:t>
      </w:r>
      <w:r w:rsidRPr="00417BEE">
        <w:t xml:space="preserve">development and implementation of a validated protocol for </w:t>
      </w:r>
      <w:r w:rsidR="000E1743" w:rsidRPr="00417BEE">
        <w:t xml:space="preserve">an </w:t>
      </w:r>
      <w:r w:rsidRPr="00417BEE">
        <w:t xml:space="preserve">efficacy test. Ideally </w:t>
      </w:r>
      <w:r w:rsidRPr="00417BEE">
        <w:rPr>
          <w:lang w:val="en-IE"/>
        </w:rPr>
        <w:t>v</w:t>
      </w:r>
      <w:r w:rsidR="000B6B38" w:rsidRPr="00417BEE">
        <w:rPr>
          <w:lang w:val="en-IE"/>
        </w:rPr>
        <w:t xml:space="preserve">accine efficacy </w:t>
      </w:r>
      <w:r w:rsidRPr="00417BEE">
        <w:rPr>
          <w:lang w:val="en-IE"/>
        </w:rPr>
        <w:t xml:space="preserve">should be </w:t>
      </w:r>
      <w:r w:rsidR="000B6B38" w:rsidRPr="00417BEE">
        <w:rPr>
          <w:lang w:val="en-IE"/>
        </w:rPr>
        <w:t>estimated in vaccinated animals directly by evaluating their resistance to live virus challenge. Vaccine efficacy should be established for every strain to be authorised for use in the vaccine.</w:t>
      </w:r>
    </w:p>
    <w:p w14:paraId="02138C0F" w14:textId="77777777" w:rsidR="000B6B38" w:rsidRPr="00417BEE" w:rsidRDefault="000B6B38" w:rsidP="001E24B0">
      <w:pPr>
        <w:pStyle w:val="111Para"/>
        <w:rPr>
          <w:rFonts w:eastAsia="Calibri"/>
        </w:rPr>
      </w:pPr>
      <w:r w:rsidRPr="00417BEE">
        <w:rPr>
          <w:rFonts w:eastAsia="Calibri"/>
        </w:rPr>
        <w:t xml:space="preserve">Live reference </w:t>
      </w:r>
      <w:r w:rsidR="007926A9" w:rsidRPr="00417BEE">
        <w:rPr>
          <w:rFonts w:eastAsia="Calibri"/>
        </w:rPr>
        <w:t>VSV</w:t>
      </w:r>
      <w:r w:rsidR="000D753A" w:rsidRPr="00417BEE">
        <w:rPr>
          <w:rFonts w:eastAsia="Calibri"/>
        </w:rPr>
        <w:t xml:space="preserve"> </w:t>
      </w:r>
      <w:r w:rsidRPr="00417BEE">
        <w:rPr>
          <w:rFonts w:eastAsia="Calibri"/>
        </w:rPr>
        <w:t>viruses corresponding to the virus strains circulating in the region are stored at ultralow temperature</w:t>
      </w:r>
      <w:r w:rsidR="001A6522" w:rsidRPr="00417BEE">
        <w:rPr>
          <w:rFonts w:eastAsia="Calibri"/>
        </w:rPr>
        <w:t>s</w:t>
      </w:r>
      <w:r w:rsidRPr="00417BEE">
        <w:rPr>
          <w:rFonts w:eastAsia="Calibri"/>
        </w:rPr>
        <w:t xml:space="preserve">. Each challenge virus is prepared as follows. Tongue tissue infected by </w:t>
      </w:r>
      <w:r w:rsidRPr="00417BEE">
        <w:rPr>
          <w:rFonts w:eastAsia="Calibri"/>
        </w:rPr>
        <w:lastRenderedPageBreak/>
        <w:t xml:space="preserve">VSV should be obtained from original field case of VS and received at the Reference Laboratory in glycerol buffer as described in </w:t>
      </w:r>
      <w:r w:rsidR="001A6522" w:rsidRPr="00417BEE">
        <w:rPr>
          <w:rFonts w:eastAsia="Calibri"/>
        </w:rPr>
        <w:t>Section B.</w:t>
      </w:r>
      <w:r w:rsidRPr="00417BEE">
        <w:rPr>
          <w:rFonts w:eastAsia="Calibri"/>
        </w:rPr>
        <w:t xml:space="preserve"> </w:t>
      </w:r>
      <w:r w:rsidRPr="00417BEE">
        <w:rPr>
          <w:rFonts w:eastAsia="Calibri"/>
          <w:i/>
        </w:rPr>
        <w:t>Diagnostic Techniques</w:t>
      </w:r>
      <w:r w:rsidRPr="00417BEE">
        <w:rPr>
          <w:rFonts w:eastAsia="Calibri"/>
        </w:rPr>
        <w:t>.</w:t>
      </w:r>
    </w:p>
    <w:p w14:paraId="42F0C27D" w14:textId="3FE628AD" w:rsidR="000B6B38" w:rsidRPr="00417BEE" w:rsidRDefault="000B6B38" w:rsidP="001E24B0">
      <w:pPr>
        <w:pStyle w:val="111Para"/>
        <w:rPr>
          <w:rFonts w:eastAsia="Calibri"/>
        </w:rPr>
      </w:pPr>
      <w:r w:rsidRPr="00417BEE">
        <w:rPr>
          <w:rFonts w:eastAsia="Calibri"/>
        </w:rPr>
        <w:t xml:space="preserve">The preparation of cattle challenge virus follows the process described in Chapter </w:t>
      </w:r>
      <w:r w:rsidR="0036124D">
        <w:rPr>
          <w:rFonts w:eastAsia="Calibri"/>
        </w:rPr>
        <w:t>3</w:t>
      </w:r>
      <w:r w:rsidRPr="00417BEE">
        <w:rPr>
          <w:rFonts w:eastAsia="Calibri"/>
        </w:rPr>
        <w:t>.1.</w:t>
      </w:r>
      <w:r w:rsidR="004E51ED">
        <w:rPr>
          <w:rFonts w:eastAsia="Calibri"/>
        </w:rPr>
        <w:t>8</w:t>
      </w:r>
      <w:r w:rsidR="001A6522" w:rsidRPr="00417BEE">
        <w:rPr>
          <w:rFonts w:eastAsia="Calibri"/>
        </w:rPr>
        <w:t xml:space="preserve"> </w:t>
      </w:r>
      <w:r w:rsidR="001A6522" w:rsidRPr="00417BEE">
        <w:rPr>
          <w:rFonts w:eastAsia="Calibri"/>
          <w:i/>
        </w:rPr>
        <w:t>Foot and mouth disease</w:t>
      </w:r>
      <w:r w:rsidR="001A6522" w:rsidRPr="00417BEE">
        <w:rPr>
          <w:rFonts w:eastAsia="Calibri"/>
        </w:rPr>
        <w:t xml:space="preserve">, </w:t>
      </w:r>
      <w:r w:rsidR="001A6522" w:rsidRPr="004E51ED">
        <w:rPr>
          <w:rFonts w:eastAsia="Calibri"/>
        </w:rPr>
        <w:t xml:space="preserve">Section </w:t>
      </w:r>
      <w:r w:rsidRPr="004E51ED">
        <w:rPr>
          <w:rFonts w:eastAsia="Calibri"/>
        </w:rPr>
        <w:t>B</w:t>
      </w:r>
      <w:r w:rsidR="001A6522" w:rsidRPr="004E51ED">
        <w:rPr>
          <w:rFonts w:eastAsia="Calibri"/>
        </w:rPr>
        <w:t>.</w:t>
      </w:r>
      <w:r w:rsidRPr="004E51ED">
        <w:rPr>
          <w:rFonts w:eastAsia="Calibri"/>
        </w:rPr>
        <w:t>1</w:t>
      </w:r>
      <w:r w:rsidR="001A6522" w:rsidRPr="004E51ED">
        <w:rPr>
          <w:rFonts w:eastAsia="Calibri"/>
        </w:rPr>
        <w:t>.</w:t>
      </w:r>
      <w:r w:rsidR="00F757AD">
        <w:rPr>
          <w:rFonts w:eastAsia="Calibri"/>
        </w:rPr>
        <w:t>1</w:t>
      </w:r>
      <w:r w:rsidRPr="004E51ED">
        <w:rPr>
          <w:rFonts w:eastAsia="Calibri"/>
        </w:rPr>
        <w:t xml:space="preserve"> </w:t>
      </w:r>
      <w:r w:rsidRPr="004E51ED">
        <w:rPr>
          <w:rFonts w:eastAsia="Calibri"/>
          <w:i/>
        </w:rPr>
        <w:t>Virus isolation</w:t>
      </w:r>
      <w:r w:rsidRPr="00417BEE">
        <w:rPr>
          <w:rFonts w:eastAsia="Calibri"/>
        </w:rPr>
        <w:t xml:space="preserve">, </w:t>
      </w:r>
      <w:r w:rsidR="00842096" w:rsidRPr="00417BEE">
        <w:rPr>
          <w:rFonts w:eastAsia="Calibri"/>
        </w:rPr>
        <w:t>with the</w:t>
      </w:r>
      <w:r w:rsidRPr="00417BEE">
        <w:rPr>
          <w:rFonts w:eastAsia="Calibri"/>
        </w:rPr>
        <w:t xml:space="preserve"> view </w:t>
      </w:r>
      <w:r w:rsidR="00842096" w:rsidRPr="00417BEE">
        <w:rPr>
          <w:rFonts w:eastAsia="Calibri"/>
        </w:rPr>
        <w:t>of</w:t>
      </w:r>
      <w:r w:rsidRPr="00417BEE">
        <w:rPr>
          <w:rFonts w:eastAsia="Calibri"/>
        </w:rPr>
        <w:t xml:space="preserve"> obtain</w:t>
      </w:r>
      <w:r w:rsidR="00842096" w:rsidRPr="00417BEE">
        <w:rPr>
          <w:rFonts w:eastAsia="Calibri"/>
        </w:rPr>
        <w:t>ing</w:t>
      </w:r>
      <w:r w:rsidRPr="00417BEE">
        <w:rPr>
          <w:rFonts w:eastAsia="Calibri"/>
        </w:rPr>
        <w:t xml:space="preserve"> a sterile 10% suspension in Eagles minim</w:t>
      </w:r>
      <w:r w:rsidR="00842096" w:rsidRPr="00417BEE">
        <w:rPr>
          <w:rFonts w:eastAsia="Calibri"/>
        </w:rPr>
        <w:t>al</w:t>
      </w:r>
      <w:r w:rsidRPr="00417BEE">
        <w:rPr>
          <w:rFonts w:eastAsia="Calibri"/>
        </w:rPr>
        <w:t xml:space="preserve"> esse</w:t>
      </w:r>
      <w:r w:rsidR="00842096" w:rsidRPr="00417BEE">
        <w:rPr>
          <w:rFonts w:eastAsia="Calibri"/>
        </w:rPr>
        <w:t xml:space="preserve">ntial medium with 10% sterile </w:t>
      </w:r>
      <w:r w:rsidR="00034E99">
        <w:rPr>
          <w:rFonts w:eastAsia="Calibri"/>
        </w:rPr>
        <w:t>FBS</w:t>
      </w:r>
      <w:r w:rsidRPr="00417BEE">
        <w:rPr>
          <w:rFonts w:eastAsia="Calibri"/>
        </w:rPr>
        <w:t>.</w:t>
      </w:r>
    </w:p>
    <w:p w14:paraId="2962013E" w14:textId="2E82D61A" w:rsidR="000B6B38" w:rsidRPr="00417BEE" w:rsidRDefault="000B6B38" w:rsidP="001E24B0">
      <w:pPr>
        <w:pStyle w:val="111Para"/>
        <w:rPr>
          <w:rFonts w:eastAsia="Calibri"/>
        </w:rPr>
      </w:pPr>
      <w:r w:rsidRPr="00417BEE">
        <w:rPr>
          <w:rFonts w:eastAsia="Calibri"/>
        </w:rPr>
        <w:t xml:space="preserve">The preparation of the stock of challenge virus to be aliquoted is prepared starting from lesions collected in two cattle </w:t>
      </w:r>
      <w:r w:rsidR="00842096" w:rsidRPr="00417BEE">
        <w:rPr>
          <w:rFonts w:eastAsia="Calibri"/>
        </w:rPr>
        <w:t>over</w:t>
      </w:r>
      <w:r w:rsidRPr="00417BEE">
        <w:rPr>
          <w:rFonts w:eastAsia="Calibri"/>
        </w:rPr>
        <w:t xml:space="preserve"> 6 months of age, </w:t>
      </w:r>
      <w:r w:rsidR="00842096" w:rsidRPr="00417BEE">
        <w:rPr>
          <w:rFonts w:eastAsia="Calibri"/>
        </w:rPr>
        <w:t>previously</w:t>
      </w:r>
      <w:r w:rsidRPr="00417BEE">
        <w:rPr>
          <w:rFonts w:eastAsia="Calibri"/>
        </w:rPr>
        <w:t xml:space="preserve"> recogni</w:t>
      </w:r>
      <w:r w:rsidR="00842096" w:rsidRPr="00417BEE">
        <w:rPr>
          <w:rFonts w:eastAsia="Calibri"/>
        </w:rPr>
        <w:t>s</w:t>
      </w:r>
      <w:r w:rsidRPr="00417BEE">
        <w:rPr>
          <w:rFonts w:eastAsia="Calibri"/>
        </w:rPr>
        <w:t xml:space="preserve">ed </w:t>
      </w:r>
      <w:r w:rsidR="00842096" w:rsidRPr="00417BEE">
        <w:rPr>
          <w:rFonts w:eastAsia="Calibri"/>
        </w:rPr>
        <w:t xml:space="preserve">to be </w:t>
      </w:r>
      <w:r w:rsidRPr="00417BEE">
        <w:rPr>
          <w:rFonts w:eastAsia="Calibri"/>
        </w:rPr>
        <w:t>free of VSV antibodies. These animals are tranquilli</w:t>
      </w:r>
      <w:r w:rsidR="00842096" w:rsidRPr="00417BEE">
        <w:rPr>
          <w:rFonts w:eastAsia="Calibri"/>
        </w:rPr>
        <w:t>s</w:t>
      </w:r>
      <w:r w:rsidRPr="00417BEE">
        <w:rPr>
          <w:rFonts w:eastAsia="Calibri"/>
        </w:rPr>
        <w:t xml:space="preserve">ed, for example using </w:t>
      </w:r>
      <w:r w:rsidR="00235219" w:rsidRPr="00417BEE">
        <w:rPr>
          <w:rFonts w:eastAsia="Calibri"/>
        </w:rPr>
        <w:t>x</w:t>
      </w:r>
      <w:r w:rsidRPr="00417BEE">
        <w:rPr>
          <w:rFonts w:eastAsia="Calibri"/>
        </w:rPr>
        <w:t>ylazine 100 mg/ml (follow instruction</w:t>
      </w:r>
      <w:r w:rsidR="00842096" w:rsidRPr="00417BEE">
        <w:rPr>
          <w:rFonts w:eastAsia="Calibri"/>
        </w:rPr>
        <w:t>s</w:t>
      </w:r>
      <w:r w:rsidRPr="00417BEE">
        <w:rPr>
          <w:rFonts w:eastAsia="Calibri"/>
        </w:rPr>
        <w:t xml:space="preserve"> for use), then inoculated intradermally (i.d.) in the tongue with the suspension in about 20 sites, 0.1</w:t>
      </w:r>
      <w:r w:rsidR="000D753A" w:rsidRPr="00417BEE">
        <w:rPr>
          <w:rFonts w:eastAsia="Calibri"/>
        </w:rPr>
        <w:t> </w:t>
      </w:r>
      <w:r w:rsidRPr="00417BEE">
        <w:rPr>
          <w:rFonts w:eastAsia="Calibri"/>
        </w:rPr>
        <w:t>ml each. The vesiculated tongue tissue is harvested at the peak of the lesions, approximately 2 days later.</w:t>
      </w:r>
    </w:p>
    <w:p w14:paraId="2FD66B1C" w14:textId="19578C1E" w:rsidR="000B6B38" w:rsidRPr="00EC36E4" w:rsidRDefault="000B6B38" w:rsidP="0036124D">
      <w:pPr>
        <w:pStyle w:val="111Para"/>
        <w:keepNext/>
        <w:rPr>
          <w:rFonts w:eastAsia="Calibri"/>
        </w:rPr>
      </w:pPr>
      <w:r w:rsidRPr="00417BEE">
        <w:rPr>
          <w:rFonts w:eastAsia="Calibri"/>
        </w:rPr>
        <w:t>A 2% suspension is prepared as above and filtered through a 0.2</w:t>
      </w:r>
      <w:r w:rsidR="00842096" w:rsidRPr="00417BEE">
        <w:rPr>
          <w:rFonts w:eastAsia="Calibri"/>
        </w:rPr>
        <w:t xml:space="preserve"> </w:t>
      </w:r>
      <w:r w:rsidRPr="00417BEE">
        <w:rPr>
          <w:rFonts w:eastAsia="Calibri"/>
        </w:rPr>
        <w:t>µm filter, aliquoted and frozen in the gas phase of liquid nitrogen</w:t>
      </w:r>
      <w:r w:rsidR="000E290D" w:rsidRPr="00417BEE">
        <w:rPr>
          <w:rFonts w:eastAsia="Calibri"/>
        </w:rPr>
        <w:t>,</w:t>
      </w:r>
      <w:r w:rsidRPr="00417BEE">
        <w:rPr>
          <w:rFonts w:eastAsia="Calibri"/>
        </w:rPr>
        <w:t xml:space="preserve"> and constitutes the stock of challenge virus. The infective titres of this stock are determined both in cell culture (TCID</w:t>
      </w:r>
      <w:r w:rsidR="000E290D" w:rsidRPr="0036124D">
        <w:rPr>
          <w:rFonts w:eastAsia="Calibri"/>
          <w:vertAlign w:val="subscript"/>
        </w:rPr>
        <w:t>50</w:t>
      </w:r>
      <w:r w:rsidRPr="00417BEE">
        <w:rPr>
          <w:rFonts w:eastAsia="Calibri"/>
        </w:rPr>
        <w:t>) and in two cattle (BID</w:t>
      </w:r>
      <w:r w:rsidR="000E290D" w:rsidRPr="0036124D">
        <w:rPr>
          <w:rFonts w:eastAsia="Calibri"/>
          <w:vertAlign w:val="subscript"/>
        </w:rPr>
        <w:t>50</w:t>
      </w:r>
      <w:r w:rsidR="00F757AD" w:rsidRPr="00F757AD">
        <w:rPr>
          <w:rFonts w:eastAsia="Calibri"/>
        </w:rPr>
        <w:t>:</w:t>
      </w:r>
      <w:r w:rsidR="00F757AD">
        <w:rPr>
          <w:rFonts w:eastAsia="Calibri"/>
        </w:rPr>
        <w:t xml:space="preserve"> 50% bovine infective dose</w:t>
      </w:r>
      <w:r w:rsidRPr="00417BEE">
        <w:rPr>
          <w:rFonts w:eastAsia="Calibri"/>
        </w:rPr>
        <w:t xml:space="preserve">). These two cattle </w:t>
      </w:r>
      <w:r w:rsidR="000E290D" w:rsidRPr="00417BEE">
        <w:rPr>
          <w:rFonts w:eastAsia="Calibri"/>
        </w:rPr>
        <w:t>that have been tranquilised using</w:t>
      </w:r>
      <w:r w:rsidRPr="00417BEE">
        <w:rPr>
          <w:rFonts w:eastAsia="Calibri"/>
        </w:rPr>
        <w:t xml:space="preserve"> </w:t>
      </w:r>
      <w:r w:rsidR="00235219" w:rsidRPr="00417BEE">
        <w:rPr>
          <w:rFonts w:eastAsia="Calibri"/>
        </w:rPr>
        <w:t>xylazine</w:t>
      </w:r>
      <w:r w:rsidRPr="00417BEE">
        <w:rPr>
          <w:rFonts w:eastAsia="Calibri"/>
        </w:rPr>
        <w:t xml:space="preserve">, are injected intradermally in the tongue with </w:t>
      </w:r>
      <w:r w:rsidR="00842096" w:rsidRPr="00417BEE">
        <w:rPr>
          <w:rFonts w:eastAsia="Calibri"/>
        </w:rPr>
        <w:t>ten</w:t>
      </w:r>
      <w:r w:rsidRPr="00417BEE">
        <w:rPr>
          <w:rFonts w:eastAsia="Calibri"/>
        </w:rPr>
        <w:t>fold dilutions (1</w:t>
      </w:r>
      <w:r w:rsidR="000E290D" w:rsidRPr="00417BEE">
        <w:rPr>
          <w:rFonts w:eastAsia="Calibri"/>
        </w:rPr>
        <w:t>/</w:t>
      </w:r>
      <w:r w:rsidRPr="00417BEE">
        <w:rPr>
          <w:rFonts w:eastAsia="Calibri"/>
        </w:rPr>
        <w:t>10 through 1</w:t>
      </w:r>
      <w:r w:rsidR="000E290D" w:rsidRPr="00417BEE">
        <w:rPr>
          <w:rFonts w:eastAsia="Calibri"/>
        </w:rPr>
        <w:t>/</w:t>
      </w:r>
      <w:r w:rsidRPr="00417BEE">
        <w:rPr>
          <w:rFonts w:eastAsia="Calibri"/>
        </w:rPr>
        <w:t>10,000), using four sites per dilution (Henderson</w:t>
      </w:r>
      <w:r w:rsidR="001A6522" w:rsidRPr="00417BEE">
        <w:rPr>
          <w:rFonts w:eastAsia="Calibri"/>
        </w:rPr>
        <w:t>, 1949</w:t>
      </w:r>
      <w:r w:rsidR="00842096" w:rsidRPr="00417BEE">
        <w:rPr>
          <w:rFonts w:eastAsia="Calibri"/>
        </w:rPr>
        <w:t>).</w:t>
      </w:r>
      <w:r w:rsidRPr="00417BEE">
        <w:rPr>
          <w:rFonts w:eastAsia="Calibri"/>
        </w:rPr>
        <w:t xml:space="preserve"> The cattle titrations are read 2 days later. Most frequently, titres are </w:t>
      </w:r>
      <w:r w:rsidRPr="00EC36E4">
        <w:rPr>
          <w:rFonts w:eastAsia="Calibri"/>
        </w:rPr>
        <w:t>above 10</w:t>
      </w:r>
      <w:r w:rsidR="0036124D" w:rsidRPr="00EC36E4">
        <w:rPr>
          <w:rFonts w:eastAsia="Calibri"/>
          <w:vertAlign w:val="superscript"/>
        </w:rPr>
        <w:t>6</w:t>
      </w:r>
      <w:r w:rsidRPr="00EC36E4">
        <w:rPr>
          <w:rFonts w:eastAsia="Calibri"/>
        </w:rPr>
        <w:t xml:space="preserve"> TCID</w:t>
      </w:r>
      <w:r w:rsidRPr="00EC36E4">
        <w:rPr>
          <w:rFonts w:eastAsia="Calibri"/>
          <w:vertAlign w:val="subscript"/>
        </w:rPr>
        <w:t>50</w:t>
      </w:r>
      <w:r w:rsidRPr="00EC36E4">
        <w:rPr>
          <w:rFonts w:eastAsia="Calibri"/>
        </w:rPr>
        <w:t xml:space="preserve"> for 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and above 10</w:t>
      </w:r>
      <w:r w:rsidR="0036124D" w:rsidRPr="00EC36E4">
        <w:rPr>
          <w:rFonts w:eastAsia="Calibri"/>
          <w:vertAlign w:val="superscript"/>
        </w:rPr>
        <w:t>5</w:t>
      </w:r>
      <w:r w:rsidRPr="00EC36E4">
        <w:rPr>
          <w:rFonts w:eastAsia="Calibri"/>
        </w:rPr>
        <w:t xml:space="preserve"> BID</w:t>
      </w:r>
      <w:r w:rsidR="000E290D" w:rsidRPr="00EC36E4">
        <w:rPr>
          <w:rFonts w:eastAsia="Calibri"/>
          <w:vertAlign w:val="subscript"/>
        </w:rPr>
        <w:t>50</w:t>
      </w:r>
      <w:r w:rsidRPr="00EC36E4">
        <w:rPr>
          <w:rFonts w:eastAsia="Calibri"/>
        </w:rPr>
        <w:t xml:space="preserve"> for 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calculated using </w:t>
      </w:r>
      <w:r w:rsidR="000E290D" w:rsidRPr="00EC36E4">
        <w:rPr>
          <w:rFonts w:eastAsia="Calibri"/>
        </w:rPr>
        <w:t xml:space="preserve">the </w:t>
      </w:r>
      <w:r w:rsidRPr="00EC36E4">
        <w:rPr>
          <w:rFonts w:eastAsia="Calibri"/>
        </w:rPr>
        <w:t>Sp</w:t>
      </w:r>
      <w:r w:rsidR="00E147C4" w:rsidRPr="00EC36E4">
        <w:rPr>
          <w:rFonts w:eastAsia="Calibri"/>
        </w:rPr>
        <w:t>e</w:t>
      </w:r>
      <w:r w:rsidRPr="00EC36E4">
        <w:rPr>
          <w:rFonts w:eastAsia="Calibri"/>
        </w:rPr>
        <w:t>arma</w:t>
      </w:r>
      <w:r w:rsidR="00E147C4" w:rsidRPr="00EC36E4">
        <w:rPr>
          <w:rFonts w:eastAsia="Calibri"/>
        </w:rPr>
        <w:t>n</w:t>
      </w:r>
      <w:r w:rsidRPr="00EC36E4">
        <w:rPr>
          <w:rFonts w:eastAsia="Calibri"/>
        </w:rPr>
        <w:t>n</w:t>
      </w:r>
      <w:r w:rsidR="00842096" w:rsidRPr="00EC36E4">
        <w:rPr>
          <w:rFonts w:eastAsia="Calibri"/>
        </w:rPr>
        <w:t>–</w:t>
      </w:r>
      <w:r w:rsidRPr="00EC36E4">
        <w:rPr>
          <w:rFonts w:eastAsia="Calibri"/>
        </w:rPr>
        <w:t>K</w:t>
      </w:r>
      <w:r w:rsidR="00E147C4" w:rsidRPr="00EC36E4">
        <w:rPr>
          <w:rFonts w:eastAsia="Calibri"/>
        </w:rPr>
        <w:t>ä</w:t>
      </w:r>
      <w:r w:rsidRPr="00EC36E4">
        <w:rPr>
          <w:rFonts w:eastAsia="Calibri"/>
        </w:rPr>
        <w:t>rber method. The dilution for use in cattle challenge test is 10 000 DIB</w:t>
      </w:r>
      <w:r w:rsidR="000E290D" w:rsidRPr="00EC36E4">
        <w:rPr>
          <w:rFonts w:eastAsia="Calibri"/>
          <w:vertAlign w:val="subscript"/>
        </w:rPr>
        <w:t>50</w:t>
      </w:r>
      <w:r w:rsidRPr="00EC36E4">
        <w:rPr>
          <w:rFonts w:eastAsia="Calibri"/>
        </w:rPr>
        <w:t xml:space="preserve"> </w:t>
      </w:r>
      <w:r w:rsidR="00235219" w:rsidRPr="00EC36E4">
        <w:rPr>
          <w:rFonts w:eastAsia="Calibri"/>
        </w:rPr>
        <w:t xml:space="preserve">in </w:t>
      </w:r>
      <w:r w:rsidRPr="00EC36E4">
        <w:rPr>
          <w:rFonts w:eastAsia="Calibri"/>
        </w:rPr>
        <w:t xml:space="preserve">a total volume of </w:t>
      </w:r>
      <w:r w:rsidR="00494144" w:rsidRPr="00EC36E4">
        <w:rPr>
          <w:rFonts w:eastAsia="Calibri"/>
        </w:rPr>
        <w:t>4</w:t>
      </w:r>
      <w:r w:rsidR="00842096" w:rsidRPr="00EC36E4">
        <w:rPr>
          <w:rFonts w:eastAsia="Calibri"/>
        </w:rPr>
        <w:t xml:space="preserve">× </w:t>
      </w:r>
      <w:r w:rsidRPr="00EC36E4">
        <w:rPr>
          <w:rFonts w:eastAsia="Calibri"/>
        </w:rPr>
        <w:t>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by intralingual injection </w:t>
      </w:r>
      <w:r w:rsidR="00235219" w:rsidRPr="00EC36E4">
        <w:rPr>
          <w:rFonts w:eastAsia="Calibri"/>
        </w:rPr>
        <w:t xml:space="preserve">for </w:t>
      </w:r>
      <w:r w:rsidRPr="00EC36E4">
        <w:rPr>
          <w:rFonts w:eastAsia="Calibri"/>
        </w:rPr>
        <w:t xml:space="preserve">both </w:t>
      </w:r>
      <w:r w:rsidR="00235219" w:rsidRPr="00EC36E4">
        <w:rPr>
          <w:rFonts w:eastAsia="Calibri"/>
        </w:rPr>
        <w:t xml:space="preserve">the </w:t>
      </w:r>
      <w:r w:rsidR="00F757AD" w:rsidRPr="00EC36E4">
        <w:rPr>
          <w:rFonts w:eastAsia="Calibri"/>
        </w:rPr>
        <w:t>50% protective dose (</w:t>
      </w:r>
      <w:r w:rsidRPr="00EC36E4">
        <w:rPr>
          <w:rFonts w:eastAsia="Calibri"/>
        </w:rPr>
        <w:t>PD</w:t>
      </w:r>
      <w:r w:rsidR="000E290D" w:rsidRPr="00EC36E4">
        <w:rPr>
          <w:rFonts w:eastAsia="Calibri"/>
          <w:vertAlign w:val="subscript"/>
        </w:rPr>
        <w:t>50</w:t>
      </w:r>
      <w:r w:rsidR="00F757AD" w:rsidRPr="00EC36E4">
        <w:rPr>
          <w:rFonts w:eastAsia="Calibri"/>
        </w:rPr>
        <w:t>)</w:t>
      </w:r>
      <w:r w:rsidRPr="00EC36E4">
        <w:rPr>
          <w:rFonts w:eastAsia="Calibri"/>
        </w:rPr>
        <w:t xml:space="preserve"> test </w:t>
      </w:r>
      <w:r w:rsidR="00235219" w:rsidRPr="00EC36E4">
        <w:rPr>
          <w:rFonts w:eastAsia="Calibri"/>
        </w:rPr>
        <w:t>and the</w:t>
      </w:r>
      <w:r w:rsidR="00225E9C" w:rsidRPr="00EC36E4">
        <w:rPr>
          <w:rFonts w:eastAsia="Calibri"/>
        </w:rPr>
        <w:t xml:space="preserve"> PGP </w:t>
      </w:r>
      <w:r w:rsidR="00EC36E4" w:rsidRPr="00EC36E4">
        <w:rPr>
          <w:rFonts w:eastAsia="Calibri"/>
        </w:rPr>
        <w:t>(</w:t>
      </w:r>
      <w:r w:rsidR="00EC36E4" w:rsidRPr="00EC36E4">
        <w:t>protection against generalised foot infectio</w:t>
      </w:r>
      <w:r w:rsidR="00EC36E4">
        <w:t>n</w:t>
      </w:r>
      <w:r w:rsidR="00EC36E4" w:rsidRPr="00EC36E4">
        <w:rPr>
          <w:rFonts w:eastAsia="Calibri"/>
        </w:rPr>
        <w:t xml:space="preserve">) </w:t>
      </w:r>
      <w:r w:rsidR="00225E9C" w:rsidRPr="00EC36E4">
        <w:rPr>
          <w:rFonts w:eastAsia="Calibri"/>
        </w:rPr>
        <w:t>test</w:t>
      </w:r>
      <w:r w:rsidRPr="00EC36E4">
        <w:rPr>
          <w:rFonts w:eastAsia="Calibri"/>
        </w:rPr>
        <w:t xml:space="preserve"> (House</w:t>
      </w:r>
      <w:r w:rsidR="00842096" w:rsidRPr="00EC36E4">
        <w:rPr>
          <w:rFonts w:eastAsia="Calibri"/>
        </w:rPr>
        <w:t xml:space="preserve"> </w:t>
      </w:r>
      <w:r w:rsidR="00842096" w:rsidRPr="00EC36E4">
        <w:rPr>
          <w:rFonts w:eastAsia="Calibri"/>
          <w:i/>
        </w:rPr>
        <w:t>et al.,</w:t>
      </w:r>
      <w:r w:rsidRPr="00EC36E4">
        <w:rPr>
          <w:rFonts w:eastAsia="Calibri"/>
        </w:rPr>
        <w:t xml:space="preserve"> 2003).</w:t>
      </w:r>
    </w:p>
    <w:p w14:paraId="4FD7E4DE" w14:textId="77777777" w:rsidR="000B6B38" w:rsidRPr="00417BEE" w:rsidRDefault="00500049" w:rsidP="001E24B0">
      <w:pPr>
        <w:pStyle w:val="i"/>
        <w:rPr>
          <w:rFonts w:eastAsia="Calibri"/>
          <w:lang w:eastAsia="en-US"/>
        </w:rPr>
      </w:pPr>
      <w:r w:rsidRPr="00417BEE">
        <w:rPr>
          <w:rFonts w:eastAsia="Calibri"/>
          <w:lang w:eastAsia="en-US"/>
        </w:rPr>
        <w:t>i)</w:t>
      </w:r>
      <w:r w:rsidRPr="00417BEE">
        <w:rPr>
          <w:rFonts w:eastAsia="Calibri"/>
          <w:lang w:eastAsia="en-US"/>
        </w:rPr>
        <w:tab/>
      </w:r>
      <w:r w:rsidR="000B6B38" w:rsidRPr="00417BEE">
        <w:rPr>
          <w:rFonts w:eastAsia="Calibri"/>
          <w:lang w:eastAsia="en-US"/>
        </w:rPr>
        <w:t>Vaccination</w:t>
      </w:r>
      <w:r w:rsidR="000E290D" w:rsidRPr="00417BEE">
        <w:rPr>
          <w:rFonts w:eastAsia="Calibri"/>
          <w:lang w:eastAsia="en-US"/>
        </w:rPr>
        <w:t>–challenge method</w:t>
      </w:r>
    </w:p>
    <w:p w14:paraId="2873EE5E" w14:textId="130E70DB" w:rsidR="000B6B38" w:rsidRPr="00417BEE" w:rsidRDefault="000B6B38" w:rsidP="001E24B0">
      <w:pPr>
        <w:pStyle w:val="afourthpara"/>
      </w:pPr>
      <w:r w:rsidRPr="00417BEE">
        <w:t xml:space="preserve">For this </w:t>
      </w:r>
      <w:r w:rsidR="00FF63EA" w:rsidRPr="00417BEE">
        <w:t xml:space="preserve">experimental </w:t>
      </w:r>
      <w:r w:rsidRPr="00417BEE">
        <w:t xml:space="preserve">method, a group of 12 VSV sero-negative cattle of at least 6 months of age are vaccinated with a bovine dose by the route and in the volume recommended by the manufacturer at </w:t>
      </w:r>
      <w:r w:rsidR="000E290D" w:rsidRPr="00417BEE">
        <w:t>d</w:t>
      </w:r>
      <w:r w:rsidRPr="00417BEE">
        <w:t xml:space="preserve">ay 0 and </w:t>
      </w:r>
      <w:r w:rsidR="000E290D" w:rsidRPr="00417BEE">
        <w:t>d</w:t>
      </w:r>
      <w:r w:rsidRPr="00417BEE">
        <w:t>ay 40. These animals and a control group of two non-vaccinated animals are challenged 2 weeks or more after the second vaccination. The challenge strain is a suspension of bovine virus that is fully virulent and appropriate to the virus types in the vaccine under test by inoculating a total of 10,000 BID</w:t>
      </w:r>
      <w:r w:rsidR="000E290D" w:rsidRPr="0036124D">
        <w:rPr>
          <w:rFonts w:eastAsia="Calibri"/>
          <w:vertAlign w:val="subscript"/>
        </w:rPr>
        <w:t>50</w:t>
      </w:r>
      <w:r w:rsidRPr="00417BEE">
        <w:t xml:space="preserve"> intradermally into four sites (0.1</w:t>
      </w:r>
      <w:r w:rsidR="000E290D" w:rsidRPr="00417BEE">
        <w:t xml:space="preserve"> </w:t>
      </w:r>
      <w:r w:rsidRPr="00417BEE">
        <w:t>m</w:t>
      </w:r>
      <w:r w:rsidR="000E290D" w:rsidRPr="00417BEE">
        <w:t>l</w:t>
      </w:r>
      <w:r w:rsidRPr="00417BEE">
        <w:t xml:space="preserve"> per site) on the upper surface of the tongue. Animals are observed at 7–8</w:t>
      </w:r>
      <w:r w:rsidR="001348B7">
        <w:t> </w:t>
      </w:r>
      <w:r w:rsidRPr="00417BEE">
        <w:t>days after challenge.</w:t>
      </w:r>
    </w:p>
    <w:p w14:paraId="028C5E33" w14:textId="77777777" w:rsidR="009D747D" w:rsidRPr="00417BEE" w:rsidRDefault="004A203D" w:rsidP="001E24B0">
      <w:pPr>
        <w:pStyle w:val="afourthpara"/>
      </w:pPr>
      <w:r w:rsidRPr="00417BEE">
        <w:t xml:space="preserve">It </w:t>
      </w:r>
      <w:r w:rsidR="009D747D" w:rsidRPr="00417BEE">
        <w:t>was</w:t>
      </w:r>
      <w:r w:rsidRPr="00417BEE">
        <w:t xml:space="preserve"> proposed that v</w:t>
      </w:r>
      <w:r w:rsidR="000B6B38" w:rsidRPr="00417BEE">
        <w:t>accinated animals showing no lesion on the tongue should be considered fully protected. Vaccinated animals showing lesions at one, two, or three</w:t>
      </w:r>
      <w:r w:rsidRPr="00417BEE">
        <w:t xml:space="preserve"> </w:t>
      </w:r>
      <w:r w:rsidR="000B6B38" w:rsidRPr="00417BEE">
        <w:t>inoculation sites should be considered partially protected, and animals showing lesions at four sites are considered not protected (</w:t>
      </w:r>
      <w:r w:rsidR="00842096" w:rsidRPr="00417BEE">
        <w:rPr>
          <w:rFonts w:eastAsia="Calibri"/>
        </w:rPr>
        <w:t xml:space="preserve">House </w:t>
      </w:r>
      <w:r w:rsidR="00842096" w:rsidRPr="00417BEE">
        <w:rPr>
          <w:rFonts w:eastAsia="Calibri"/>
          <w:i/>
        </w:rPr>
        <w:t>et al.,</w:t>
      </w:r>
      <w:r w:rsidR="00842096" w:rsidRPr="00417BEE">
        <w:rPr>
          <w:rFonts w:eastAsia="Calibri"/>
        </w:rPr>
        <w:t xml:space="preserve"> 2003</w:t>
      </w:r>
      <w:r w:rsidR="000B6B38" w:rsidRPr="00417BEE">
        <w:t xml:space="preserve">). Control animals must develop lesions at four sites. Vaccine should fully protect at least </w:t>
      </w:r>
      <w:r w:rsidR="002C2357" w:rsidRPr="00417BEE">
        <w:t>nine</w:t>
      </w:r>
      <w:r w:rsidR="000B6B38" w:rsidRPr="00417BEE">
        <w:t xml:space="preserve"> animals out of 12</w:t>
      </w:r>
      <w:r w:rsidR="000E290D" w:rsidRPr="00417BEE">
        <w:t> </w:t>
      </w:r>
      <w:r w:rsidR="000B6B38" w:rsidRPr="00417BEE">
        <w:t>vaccinated (75% protection), the remaining animals being partially or not protected. This test gives a certain measure of the protection following the injection of two commercial bovine doses of vaccine in a limited cattle population.</w:t>
      </w:r>
      <w:r w:rsidR="009D747D" w:rsidRPr="00417BEE">
        <w:t xml:space="preserve"> </w:t>
      </w:r>
    </w:p>
    <w:p w14:paraId="5E067A08" w14:textId="14F7B65A" w:rsidR="000B6B38" w:rsidRPr="00417BEE" w:rsidRDefault="009D747D" w:rsidP="001E24B0">
      <w:pPr>
        <w:pStyle w:val="afourthpara"/>
      </w:pPr>
      <w:r w:rsidRPr="00417BEE">
        <w:t>Although the vaccination-challenge method ha</w:t>
      </w:r>
      <w:r w:rsidR="00235219" w:rsidRPr="00417BEE">
        <w:t>s</w:t>
      </w:r>
      <w:r w:rsidRPr="00417BEE">
        <w:t xml:space="preserve"> been described and published (House </w:t>
      </w:r>
      <w:r w:rsidRPr="00417BEE">
        <w:rPr>
          <w:i/>
        </w:rPr>
        <w:t>et al.</w:t>
      </w:r>
      <w:r w:rsidRPr="00417BEE">
        <w:t xml:space="preserve">, 2003) data on the validation </w:t>
      </w:r>
      <w:r w:rsidR="008F5EA9" w:rsidRPr="00417BEE">
        <w:t xml:space="preserve">under field conditions </w:t>
      </w:r>
      <w:r w:rsidR="00235219" w:rsidRPr="00417BEE">
        <w:t xml:space="preserve">for the </w:t>
      </w:r>
      <w:r w:rsidR="008F5EA9" w:rsidRPr="00417BEE">
        <w:t xml:space="preserve">efficacy of </w:t>
      </w:r>
      <w:r w:rsidR="00235219" w:rsidRPr="00417BEE">
        <w:t xml:space="preserve">released </w:t>
      </w:r>
      <w:r w:rsidR="008F5EA9" w:rsidRPr="00417BEE">
        <w:t>vaccine are not available.</w:t>
      </w:r>
    </w:p>
    <w:p w14:paraId="398464E4" w14:textId="77777777" w:rsidR="000B6B38" w:rsidRPr="00417BEE" w:rsidRDefault="00500049" w:rsidP="001E24B0">
      <w:pPr>
        <w:pStyle w:val="i"/>
        <w:rPr>
          <w:lang w:eastAsia="en-GB"/>
        </w:rPr>
      </w:pPr>
      <w:r w:rsidRPr="00417BEE">
        <w:rPr>
          <w:iCs/>
          <w:lang w:eastAsia="en-GB"/>
        </w:rPr>
        <w:t>ii)</w:t>
      </w:r>
      <w:r w:rsidRPr="00417BEE">
        <w:rPr>
          <w:iCs/>
          <w:lang w:eastAsia="en-GB"/>
        </w:rPr>
        <w:tab/>
      </w:r>
      <w:r w:rsidR="000B6B38" w:rsidRPr="00417BEE">
        <w:rPr>
          <w:iCs/>
          <w:lang w:eastAsia="en-GB"/>
        </w:rPr>
        <w:t xml:space="preserve">Efficacy </w:t>
      </w:r>
      <w:r w:rsidR="000B6B38" w:rsidRPr="00417BEE">
        <w:rPr>
          <w:lang w:eastAsia="en-GB"/>
        </w:rPr>
        <w:t>in other species</w:t>
      </w:r>
    </w:p>
    <w:p w14:paraId="271F6375" w14:textId="74466FCE" w:rsidR="000B6B38" w:rsidRPr="00417BEE" w:rsidRDefault="000B6B38" w:rsidP="001E24B0">
      <w:pPr>
        <w:pStyle w:val="afourthpara"/>
      </w:pPr>
      <w:r w:rsidRPr="00417BEE">
        <w:t>Efficacy tests in other target species, such as horses, are not yet described or standardised. In general, a successful test in cattle should be considered to be sufficient evidence of the quality of a VS vaccine to endorse its use in other species.</w:t>
      </w:r>
    </w:p>
    <w:p w14:paraId="7A37572B" w14:textId="77777777" w:rsidR="000B6B38" w:rsidRPr="00417BEE" w:rsidRDefault="00500049" w:rsidP="001E24B0">
      <w:pPr>
        <w:pStyle w:val="111"/>
      </w:pPr>
      <w:r w:rsidRPr="00417BEE">
        <w:t>2.3.3.</w:t>
      </w:r>
      <w:r w:rsidR="000B6B38" w:rsidRPr="00417BEE">
        <w:tab/>
        <w:t>Duration of immunity</w:t>
      </w:r>
    </w:p>
    <w:p w14:paraId="3817FA64" w14:textId="77777777" w:rsidR="000B6B38" w:rsidRPr="00417BEE" w:rsidRDefault="000B6B38" w:rsidP="001E24B0">
      <w:pPr>
        <w:pStyle w:val="111Para"/>
      </w:pPr>
      <w:r w:rsidRPr="00417BEE">
        <w:t>The duration of immunity (D.O.I) of a VS vaccine will depend on the efficacy (formulation and antigen payload). As part of the authorisation/licensing procedure the manufacturer should be required to demonstrate the D.O.I. of a given vaccine by either challenge or the use of a validated alternative test, such as serology at the end of the claimed period of protection.</w:t>
      </w:r>
    </w:p>
    <w:p w14:paraId="0AEDAC38" w14:textId="712AF953" w:rsidR="000B6B38" w:rsidRPr="00417BEE" w:rsidRDefault="00500049" w:rsidP="001E24B0">
      <w:pPr>
        <w:pStyle w:val="111"/>
      </w:pPr>
      <w:r w:rsidRPr="00417BEE">
        <w:t>2.3.4.</w:t>
      </w:r>
      <w:r w:rsidR="000B6B38" w:rsidRPr="00417BEE">
        <w:tab/>
        <w:t>Stability</w:t>
      </w:r>
    </w:p>
    <w:p w14:paraId="5AF4844F" w14:textId="77777777" w:rsidR="000B6B38" w:rsidRPr="00417BEE" w:rsidRDefault="000B6B38" w:rsidP="001E24B0">
      <w:pPr>
        <w:pStyle w:val="111Para"/>
        <w:rPr>
          <w:i/>
          <w:iCs/>
        </w:rPr>
      </w:pPr>
      <w:r w:rsidRPr="00417BEE">
        <w:t>The stability of all vaccines including oil emulsion vaccines should be demonstrated as part of the shelf-life determination studies for authorisation/licensing. Vaccines should never be frozen or stored above the target temperature.</w:t>
      </w:r>
    </w:p>
    <w:p w14:paraId="6BD885B1" w14:textId="77777777" w:rsidR="007B79ED" w:rsidRPr="00417BEE" w:rsidRDefault="007B79ED" w:rsidP="007B79ED">
      <w:pPr>
        <w:pStyle w:val="111Para"/>
      </w:pPr>
      <w:r w:rsidRPr="00417BEE">
        <w:lastRenderedPageBreak/>
        <w:t>Vaccines should be stored at 4–8°C, with minimal exposure to light. The shelf life should be determined by use of the approved potency test (Section C.2.2.4.iii) over the proposed period of viability.</w:t>
      </w:r>
    </w:p>
    <w:p w14:paraId="7184ABBB" w14:textId="77777777" w:rsidR="007326B6" w:rsidRPr="00417BEE" w:rsidRDefault="00500049" w:rsidP="001E24B0">
      <w:pPr>
        <w:pStyle w:val="i"/>
      </w:pPr>
      <w:r w:rsidRPr="00417BEE">
        <w:t>i)</w:t>
      </w:r>
      <w:r w:rsidRPr="00417BEE">
        <w:tab/>
      </w:r>
      <w:r w:rsidR="007326B6" w:rsidRPr="00417BEE">
        <w:t>For animal production</w:t>
      </w:r>
    </w:p>
    <w:p w14:paraId="09BD0765" w14:textId="77777777" w:rsidR="00D82CC0" w:rsidRPr="00417BEE" w:rsidRDefault="00F7305C" w:rsidP="001E24B0">
      <w:pPr>
        <w:pStyle w:val="afourthpara"/>
      </w:pPr>
      <w:r w:rsidRPr="00417BEE">
        <w:t xml:space="preserve">Virus(es) used in vaccine production should be antigenically relevant to virus(es) circulating in the field. A vaccination/challenge study in the species for which the vaccine will be used will indicate the degree of protection afforded by the vaccine. Species used in vaccination/challenge studies should be free of antibodies against vesicular stomatitis. Vaccination/challenge studies should be conducted using virus produced by the intended production method, at the maximum viral passage permitted, and using </w:t>
      </w:r>
      <w:r w:rsidR="00D82CC0" w:rsidRPr="00417BEE">
        <w:t xml:space="preserve">an experimental </w:t>
      </w:r>
      <w:r w:rsidRPr="00417BEE">
        <w:t>animal</w:t>
      </w:r>
      <w:r w:rsidR="00D82CC0" w:rsidRPr="00417BEE">
        <w:t xml:space="preserve"> model. It is necessary to confirm the sensitivity, specificity, reproducibility, statistical significance and confidence level of such experimental model. </w:t>
      </w:r>
    </w:p>
    <w:p w14:paraId="33D154E1" w14:textId="77777777" w:rsidR="00F7305C" w:rsidRPr="00417BEE" w:rsidRDefault="00D82CC0" w:rsidP="001E24B0">
      <w:pPr>
        <w:pStyle w:val="afourthpara"/>
      </w:pPr>
      <w:r w:rsidRPr="00417BEE">
        <w:t>Antibod</w:t>
      </w:r>
      <w:r w:rsidR="004A21DB" w:rsidRPr="00417BEE">
        <w:t>y</w:t>
      </w:r>
      <w:r w:rsidRPr="00417BEE">
        <w:t xml:space="preserve"> level</w:t>
      </w:r>
      <w:r w:rsidR="004A21DB" w:rsidRPr="00417BEE">
        <w:t>s</w:t>
      </w:r>
      <w:r w:rsidRPr="00417BEE">
        <w:t xml:space="preserve"> after vaccination measured </w:t>
      </w:r>
      <w:r w:rsidRPr="00417BEE">
        <w:rPr>
          <w:i/>
        </w:rPr>
        <w:t>in vitro</w:t>
      </w:r>
      <w:r w:rsidRPr="00417BEE">
        <w:t xml:space="preserve"> could be used to assess vaccine efficacy provided a statistical</w:t>
      </w:r>
      <w:r w:rsidR="009067F7" w:rsidRPr="00417BEE">
        <w:t>ly</w:t>
      </w:r>
      <w:r w:rsidRPr="00417BEE">
        <w:t xml:space="preserve"> significant correlation study has been made. </w:t>
      </w:r>
      <w:r w:rsidR="00F7305C" w:rsidRPr="00417BEE">
        <w:t>For vaccines containing more than one virus (for example, New Jersey and Indiana-1), the efficacy of the different components of these vaccines must each be established independently and then as a combination in case interference between different viruses exists.</w:t>
      </w:r>
    </w:p>
    <w:p w14:paraId="00B21582" w14:textId="77777777" w:rsidR="005279A4" w:rsidRPr="00417BEE" w:rsidRDefault="005279A4" w:rsidP="001E24B0">
      <w:pPr>
        <w:pStyle w:val="afourthpara"/>
      </w:pPr>
      <w:r w:rsidRPr="00417BEE">
        <w:t xml:space="preserve">The duration of immunity and recommended frequency of vaccination of a vaccine should be determined before a product is approved. Initially, such information is acquired directly using host animal vaccination/challenge studies. The period of demonstrated protection, as measured by the ability of vaccinates to withstand challenge in a valid test, can be incorporated into claims found on the vaccine label. </w:t>
      </w:r>
    </w:p>
    <w:p w14:paraId="4AEFC091" w14:textId="77777777" w:rsidR="00EF7F3E" w:rsidRPr="00417BEE" w:rsidRDefault="00EF7F3E" w:rsidP="001E24B0">
      <w:pPr>
        <w:pStyle w:val="afourthpara"/>
      </w:pPr>
      <w:r w:rsidRPr="00417BEE">
        <w:t>If the vaccine is to be used in horses, swine, cattle, or other ruminants destined for market and intended for human consumption, a withdrawal time consistent with the adjuvant used (generally 21 days) should be established by such means as histopathological examination submitted to the appropriate food safety regulatory authorities.</w:t>
      </w:r>
    </w:p>
    <w:p w14:paraId="6ABB582F" w14:textId="77777777" w:rsidR="007326B6" w:rsidRPr="00417BEE" w:rsidRDefault="00500049" w:rsidP="001E24B0">
      <w:pPr>
        <w:pStyle w:val="i"/>
      </w:pPr>
      <w:r w:rsidRPr="00417BEE">
        <w:t>ii)</w:t>
      </w:r>
      <w:r w:rsidRPr="00417BEE">
        <w:tab/>
      </w:r>
      <w:r w:rsidR="007326B6" w:rsidRPr="00417BEE">
        <w:t>For control</w:t>
      </w:r>
    </w:p>
    <w:p w14:paraId="303302C1" w14:textId="77777777" w:rsidR="00EF7F3E" w:rsidRPr="00417BEE" w:rsidRDefault="00EF7F3E" w:rsidP="007B79ED">
      <w:pPr>
        <w:pStyle w:val="afourthpara"/>
        <w:spacing w:after="480"/>
      </w:pPr>
      <w:r w:rsidRPr="00417BEE">
        <w:t xml:space="preserve">The same principles apply </w:t>
      </w:r>
      <w:r w:rsidR="00E32823" w:rsidRPr="00417BEE">
        <w:t>as for animal production usage.</w:t>
      </w:r>
      <w:r w:rsidRPr="00417BEE">
        <w:t xml:space="preserve"> In addition, it should be noted that antibody responses in vaccinated animals may not be differentiated from animals exposed to field virus.</w:t>
      </w:r>
      <w:r w:rsidR="000B5E77" w:rsidRPr="00417BEE">
        <w:t xml:space="preserve"> </w:t>
      </w:r>
      <w:r w:rsidRPr="00417BEE">
        <w:t>Therefore, vaccinated animals will need to be clearly identified if serologic</w:t>
      </w:r>
      <w:r w:rsidR="00E32823" w:rsidRPr="00417BEE">
        <w:t>al</w:t>
      </w:r>
      <w:r w:rsidRPr="00417BEE">
        <w:t xml:space="preserve"> methods will be used in conjunction with compatible clinical signs to assess field virus exposure.</w:t>
      </w:r>
    </w:p>
    <w:p w14:paraId="5B08737E" w14:textId="77777777" w:rsidR="00D826B8" w:rsidRPr="00417BEE" w:rsidRDefault="00D826B8" w:rsidP="008C1EBC">
      <w:pPr>
        <w:pStyle w:val="Referencetitle"/>
      </w:pPr>
      <w:r w:rsidRPr="00417BEE">
        <w:t>REFERENCES</w:t>
      </w:r>
    </w:p>
    <w:p w14:paraId="6E437F04" w14:textId="77777777" w:rsidR="00D826B8" w:rsidRPr="00EC36E4" w:rsidRDefault="00D826B8" w:rsidP="0036124D">
      <w:pPr>
        <w:pStyle w:val="Ref"/>
        <w:ind w:left="0" w:firstLine="0"/>
        <w:rPr>
          <w:lang w:val="fr-FR"/>
        </w:rPr>
      </w:pPr>
      <w:r w:rsidRPr="00EC36E4">
        <w:rPr>
          <w:smallCaps/>
        </w:rPr>
        <w:t>Afshar A., Shakarchi N.H. &amp; Dulac G.C.</w:t>
      </w:r>
      <w:r w:rsidRPr="00EC36E4">
        <w:t xml:space="preserve"> (1993). Development of a competitive enzyme linked immunosorbent assay for detection of bovine, equine, ovine and porcine antibodies to vesicular stomatitis virus. </w:t>
      </w:r>
      <w:r w:rsidRPr="00EC36E4">
        <w:rPr>
          <w:i/>
          <w:lang w:val="fr-FR"/>
        </w:rPr>
        <w:t>J. Clin. Microbiol</w:t>
      </w:r>
      <w:r w:rsidRPr="00EC36E4">
        <w:rPr>
          <w:lang w:val="fr-FR"/>
        </w:rPr>
        <w:t xml:space="preserve">., </w:t>
      </w:r>
      <w:r w:rsidRPr="00EC36E4">
        <w:rPr>
          <w:b/>
          <w:lang w:val="fr-FR"/>
        </w:rPr>
        <w:t>31</w:t>
      </w:r>
      <w:r w:rsidRPr="00EC36E4">
        <w:rPr>
          <w:lang w:val="fr-FR"/>
        </w:rPr>
        <w:t>, 1860</w:t>
      </w:r>
      <w:r w:rsidR="001628EF" w:rsidRPr="00EC36E4">
        <w:rPr>
          <w:lang w:val="fr-FR"/>
        </w:rPr>
        <w:t>–</w:t>
      </w:r>
      <w:r w:rsidRPr="00EC36E4">
        <w:rPr>
          <w:lang w:val="fr-FR"/>
        </w:rPr>
        <w:t>1865.</w:t>
      </w:r>
    </w:p>
    <w:p w14:paraId="2E6CA461" w14:textId="132F1558" w:rsidR="00D826B8" w:rsidRPr="005C0D8E" w:rsidRDefault="00D826B8" w:rsidP="0036124D">
      <w:pPr>
        <w:pStyle w:val="Ref"/>
        <w:ind w:left="0" w:firstLine="0"/>
        <w:rPr>
          <w:lang w:val="fr-FR"/>
        </w:rPr>
      </w:pPr>
      <w:r w:rsidRPr="005C0D8E">
        <w:rPr>
          <w:smallCaps/>
          <w:lang w:val="fr-FR"/>
        </w:rPr>
        <w:t xml:space="preserve">Alonso A., Martins M., Gomes M.P.D., Allende R. &amp; Sondahl M.S. </w:t>
      </w:r>
      <w:r w:rsidRPr="005C0D8E">
        <w:rPr>
          <w:lang w:val="fr-FR"/>
        </w:rPr>
        <w:t xml:space="preserve">(1991). </w:t>
      </w:r>
      <w:r w:rsidRPr="005C0D8E">
        <w:t xml:space="preserve">Development and evaluation of an enzyme-linked immunosorbent assay for detection, typing and subtyping of vesicular stomatitis virus. </w:t>
      </w:r>
      <w:r w:rsidRPr="005C0D8E">
        <w:rPr>
          <w:i/>
          <w:lang w:val="fr-FR"/>
        </w:rPr>
        <w:t>J.</w:t>
      </w:r>
      <w:r w:rsidR="005C0D8E">
        <w:rPr>
          <w:i/>
          <w:lang w:val="fr-FR"/>
        </w:rPr>
        <w:t xml:space="preserve"> </w:t>
      </w:r>
      <w:r w:rsidRPr="005C0D8E">
        <w:rPr>
          <w:i/>
          <w:lang w:val="fr-FR"/>
        </w:rPr>
        <w:t>Vet. Diagn. Invest.,</w:t>
      </w:r>
      <w:r w:rsidRPr="005C0D8E">
        <w:rPr>
          <w:lang w:val="fr-FR"/>
        </w:rPr>
        <w:t xml:space="preserve"> </w:t>
      </w:r>
      <w:r w:rsidRPr="005C0D8E">
        <w:rPr>
          <w:b/>
          <w:lang w:val="fr-FR"/>
        </w:rPr>
        <w:t>3</w:t>
      </w:r>
      <w:r w:rsidRPr="005C0D8E">
        <w:rPr>
          <w:lang w:val="fr-FR"/>
        </w:rPr>
        <w:t>, 287</w:t>
      </w:r>
      <w:r w:rsidR="001628EF" w:rsidRPr="005C0D8E">
        <w:rPr>
          <w:lang w:val="fr-FR"/>
        </w:rPr>
        <w:t>–</w:t>
      </w:r>
      <w:r w:rsidRPr="005C0D8E">
        <w:rPr>
          <w:lang w:val="fr-FR"/>
        </w:rPr>
        <w:t>292.</w:t>
      </w:r>
    </w:p>
    <w:p w14:paraId="18EAF4AF" w14:textId="77777777" w:rsidR="00D826B8" w:rsidRPr="005C0D8E" w:rsidRDefault="00D826B8" w:rsidP="0036124D">
      <w:pPr>
        <w:pStyle w:val="Ref"/>
        <w:ind w:left="0" w:firstLine="0"/>
        <w:rPr>
          <w:lang w:val="es-ES"/>
        </w:rPr>
      </w:pPr>
      <w:r w:rsidRPr="005C0D8E">
        <w:rPr>
          <w:smallCaps/>
          <w:lang w:val="fr-FR"/>
        </w:rPr>
        <w:t>Alonso Fernandez A. &amp; Sondahl M.S.</w:t>
      </w:r>
      <w:r w:rsidRPr="005C0D8E">
        <w:rPr>
          <w:lang w:val="fr-FR"/>
        </w:rPr>
        <w:t xml:space="preserve"> (1985). </w:t>
      </w:r>
      <w:r w:rsidRPr="005C0D8E">
        <w:t xml:space="preserve">Antigenic and immunogenic characterisation of various strains of the Indiana serotype of vesicular stomatitis isolated in Brazil. </w:t>
      </w:r>
      <w:r w:rsidRPr="005C0D8E">
        <w:rPr>
          <w:i/>
          <w:lang w:val="es-ES"/>
        </w:rPr>
        <w:t>Bol. Cen. Panam. Fiebre Aftosa,</w:t>
      </w:r>
      <w:r w:rsidRPr="005C0D8E">
        <w:rPr>
          <w:lang w:val="es-ES"/>
        </w:rPr>
        <w:t xml:space="preserve"> </w:t>
      </w:r>
      <w:r w:rsidRPr="005C0D8E">
        <w:rPr>
          <w:b/>
          <w:lang w:val="es-ES"/>
        </w:rPr>
        <w:t>51</w:t>
      </w:r>
      <w:r w:rsidRPr="005C0D8E">
        <w:rPr>
          <w:lang w:val="es-ES"/>
        </w:rPr>
        <w:t>, 25</w:t>
      </w:r>
      <w:r w:rsidR="001628EF" w:rsidRPr="005C0D8E">
        <w:rPr>
          <w:lang w:val="es-ES_tradnl"/>
        </w:rPr>
        <w:t>–</w:t>
      </w:r>
      <w:r w:rsidRPr="005C0D8E">
        <w:rPr>
          <w:lang w:val="es-ES"/>
        </w:rPr>
        <w:t>30.</w:t>
      </w:r>
    </w:p>
    <w:p w14:paraId="08B99014" w14:textId="77777777" w:rsidR="00D826B8" w:rsidRPr="008D1FB1" w:rsidRDefault="00D826B8" w:rsidP="0036124D">
      <w:pPr>
        <w:pStyle w:val="Ref"/>
        <w:ind w:left="0" w:firstLine="0"/>
      </w:pPr>
      <w:r w:rsidRPr="008D1FB1">
        <w:rPr>
          <w:smallCaps/>
          <w:lang w:val="pt-BR"/>
        </w:rPr>
        <w:t xml:space="preserve">Allende R., Sepulveda L., Mendes Da Silva A., Martins M., Sondahl M.S. &amp; Alonso Fernandez A. </w:t>
      </w:r>
      <w:r w:rsidRPr="008D1FB1">
        <w:rPr>
          <w:lang w:val="pt-BR"/>
        </w:rPr>
        <w:t xml:space="preserve">(1992). </w:t>
      </w:r>
      <w:r w:rsidRPr="008D1FB1">
        <w:t xml:space="preserve">An enzyme-linked immunosorbent assay for the detection of vesicular stomatitis virus antibodies. </w:t>
      </w:r>
      <w:r w:rsidRPr="008D1FB1">
        <w:rPr>
          <w:i/>
        </w:rPr>
        <w:t>Prev. Vet. Med.,</w:t>
      </w:r>
      <w:r w:rsidRPr="008D1FB1">
        <w:t xml:space="preserve"> </w:t>
      </w:r>
      <w:r w:rsidRPr="008D1FB1">
        <w:rPr>
          <w:b/>
        </w:rPr>
        <w:t>14</w:t>
      </w:r>
      <w:r w:rsidRPr="008D1FB1">
        <w:t>, 293</w:t>
      </w:r>
      <w:r w:rsidR="001628EF" w:rsidRPr="008D1FB1">
        <w:t>–</w:t>
      </w:r>
      <w:r w:rsidRPr="008D1FB1">
        <w:t>301.</w:t>
      </w:r>
    </w:p>
    <w:p w14:paraId="51D91313" w14:textId="1B4A599E" w:rsidR="00D826B8" w:rsidRPr="00DC1B9D" w:rsidRDefault="00D826B8" w:rsidP="0036124D">
      <w:pPr>
        <w:pStyle w:val="Ref"/>
        <w:ind w:left="0" w:firstLine="0"/>
        <w:rPr>
          <w:u w:val="double"/>
        </w:rPr>
      </w:pPr>
      <w:r w:rsidRPr="00DC1B9D">
        <w:rPr>
          <w:smallCaps/>
        </w:rPr>
        <w:t xml:space="preserve">Boring W. &amp; Smith D. </w:t>
      </w:r>
      <w:r w:rsidRPr="00DC1B9D">
        <w:t>(1962). Vesicular Stomatitis Virus: A Survey and Analysis of the Literature. Technical Study No. 43, US Army Biological Laboratories, Fort Detrick, USA.</w:t>
      </w:r>
    </w:p>
    <w:p w14:paraId="4119DC8E" w14:textId="6845A7CC" w:rsidR="001348B7" w:rsidRPr="00481048" w:rsidRDefault="006312C2" w:rsidP="0036124D">
      <w:pPr>
        <w:pStyle w:val="Ref"/>
        <w:ind w:left="0" w:firstLine="0"/>
        <w:rPr>
          <w:u w:val="double"/>
        </w:rPr>
      </w:pPr>
      <w:r w:rsidRPr="00481048">
        <w:rPr>
          <w:smallCaps/>
          <w:u w:val="double"/>
        </w:rPr>
        <w:t>Cargnelutti J.F., Olinda R. G., Maia L.A., Aguiar G.M.N., Neto E.G.M., Simões S.V.D., Lima T.G., Dantas A.F.M., Weiblen R., Flores E.F.</w:t>
      </w:r>
      <w:r w:rsidR="001348B7" w:rsidRPr="00481048">
        <w:rPr>
          <w:smallCaps/>
          <w:u w:val="double"/>
        </w:rPr>
        <w:t xml:space="preserve"> &amp; </w:t>
      </w:r>
      <w:r w:rsidRPr="00481048">
        <w:rPr>
          <w:smallCaps/>
          <w:u w:val="double"/>
        </w:rPr>
        <w:t>Riet-Correa F.</w:t>
      </w:r>
      <w:r w:rsidRPr="00481048">
        <w:rPr>
          <w:u w:val="double"/>
        </w:rPr>
        <w:t xml:space="preserve"> (2014). Outbreaks of vesicular stomatitis Alagoas virus in horses and cattle in northeastern Brazil. </w:t>
      </w:r>
      <w:r w:rsidRPr="00481048">
        <w:rPr>
          <w:i/>
          <w:iCs/>
          <w:u w:val="double"/>
        </w:rPr>
        <w:t>J</w:t>
      </w:r>
      <w:r w:rsidR="001348B7" w:rsidRPr="00481048">
        <w:rPr>
          <w:i/>
          <w:iCs/>
          <w:u w:val="double"/>
        </w:rPr>
        <w:t>.</w:t>
      </w:r>
      <w:r w:rsidRPr="00481048">
        <w:rPr>
          <w:i/>
          <w:iCs/>
          <w:u w:val="double"/>
        </w:rPr>
        <w:t xml:space="preserve"> Vet</w:t>
      </w:r>
      <w:r w:rsidR="001348B7" w:rsidRPr="00481048">
        <w:rPr>
          <w:i/>
          <w:iCs/>
          <w:u w:val="double"/>
        </w:rPr>
        <w:t>.</w:t>
      </w:r>
      <w:r w:rsidRPr="00481048">
        <w:rPr>
          <w:i/>
          <w:iCs/>
          <w:u w:val="double"/>
        </w:rPr>
        <w:t xml:space="preserve"> Diagn</w:t>
      </w:r>
      <w:r w:rsidR="001348B7" w:rsidRPr="00481048">
        <w:rPr>
          <w:i/>
          <w:iCs/>
          <w:u w:val="double"/>
        </w:rPr>
        <w:t xml:space="preserve">. </w:t>
      </w:r>
      <w:r w:rsidRPr="00481048">
        <w:rPr>
          <w:i/>
          <w:iCs/>
          <w:u w:val="double"/>
        </w:rPr>
        <w:t>Invest</w:t>
      </w:r>
      <w:r w:rsidR="001348B7" w:rsidRPr="00481048">
        <w:rPr>
          <w:u w:val="double"/>
        </w:rPr>
        <w:t>.</w:t>
      </w:r>
      <w:r w:rsidRPr="00481048">
        <w:rPr>
          <w:u w:val="double"/>
        </w:rPr>
        <w:t xml:space="preserve">, </w:t>
      </w:r>
      <w:r w:rsidRPr="00481048">
        <w:rPr>
          <w:b/>
          <w:bCs/>
          <w:u w:val="double"/>
        </w:rPr>
        <w:t>26</w:t>
      </w:r>
      <w:r w:rsidRPr="00481048">
        <w:rPr>
          <w:u w:val="double"/>
        </w:rPr>
        <w:t>, 788–794.</w:t>
      </w:r>
    </w:p>
    <w:p w14:paraId="0FBDA881" w14:textId="609EA481" w:rsidR="00D826B8" w:rsidRPr="00557247" w:rsidRDefault="00D826B8" w:rsidP="0036124D">
      <w:pPr>
        <w:pStyle w:val="Ref"/>
        <w:ind w:left="0" w:firstLine="0"/>
      </w:pPr>
      <w:r w:rsidRPr="00557247">
        <w:rPr>
          <w:smallCaps/>
        </w:rPr>
        <w:lastRenderedPageBreak/>
        <w:t xml:space="preserve">Comer S.A., Corn J.L., Stallknecht D.E., Landgraf J.G. &amp; Nettles V.F. </w:t>
      </w:r>
      <w:r w:rsidRPr="00557247">
        <w:t xml:space="preserve">(1992). Titers of vesicular stomatitis virus New Jersey serotype in naturally infected male and female </w:t>
      </w:r>
      <w:r w:rsidRPr="00557247">
        <w:rPr>
          <w:i/>
        </w:rPr>
        <w:t xml:space="preserve">Lutzomyia shannoni </w:t>
      </w:r>
      <w:r w:rsidRPr="00557247">
        <w:t xml:space="preserve">(Diptera: Psychodidae) in Georgia. </w:t>
      </w:r>
      <w:r w:rsidRPr="00557247">
        <w:rPr>
          <w:i/>
        </w:rPr>
        <w:t>J. Med. Entomol.,</w:t>
      </w:r>
      <w:r w:rsidRPr="00557247">
        <w:t xml:space="preserve"> </w:t>
      </w:r>
      <w:r w:rsidRPr="00557247">
        <w:rPr>
          <w:b/>
        </w:rPr>
        <w:t>29</w:t>
      </w:r>
      <w:r w:rsidRPr="00557247">
        <w:t>, 368</w:t>
      </w:r>
      <w:r w:rsidR="001628EF" w:rsidRPr="00557247">
        <w:t>–</w:t>
      </w:r>
      <w:r w:rsidRPr="00557247">
        <w:t>370.</w:t>
      </w:r>
    </w:p>
    <w:p w14:paraId="79F62637" w14:textId="77777777" w:rsidR="00D826B8" w:rsidRPr="005C0D8E" w:rsidRDefault="00D826B8" w:rsidP="0036124D">
      <w:pPr>
        <w:pStyle w:val="Ref"/>
        <w:ind w:left="0" w:firstLine="0"/>
      </w:pPr>
      <w:r w:rsidRPr="005C0D8E">
        <w:rPr>
          <w:smallCaps/>
        </w:rPr>
        <w:t xml:space="preserve">Cotton W.E. </w:t>
      </w:r>
      <w:r w:rsidRPr="005C0D8E">
        <w:t xml:space="preserve">(1927). Vesicular stomatitis. </w:t>
      </w:r>
      <w:r w:rsidRPr="005C0D8E">
        <w:rPr>
          <w:i/>
        </w:rPr>
        <w:t>Vet. Med.,</w:t>
      </w:r>
      <w:r w:rsidRPr="005C0D8E">
        <w:t xml:space="preserve"> </w:t>
      </w:r>
      <w:r w:rsidRPr="005C0D8E">
        <w:rPr>
          <w:b/>
        </w:rPr>
        <w:t>22</w:t>
      </w:r>
      <w:r w:rsidRPr="005C0D8E">
        <w:t>, 169</w:t>
      </w:r>
      <w:r w:rsidR="001628EF" w:rsidRPr="005C0D8E">
        <w:t>–</w:t>
      </w:r>
      <w:r w:rsidRPr="005C0D8E">
        <w:t>175.</w:t>
      </w:r>
    </w:p>
    <w:p w14:paraId="73250583" w14:textId="77777777" w:rsidR="00D826B8" w:rsidRPr="005C0D8E" w:rsidRDefault="00D826B8" w:rsidP="0036124D">
      <w:pPr>
        <w:pStyle w:val="Ref"/>
        <w:ind w:left="0" w:firstLine="0"/>
      </w:pPr>
      <w:r w:rsidRPr="005C0D8E">
        <w:rPr>
          <w:smallCaps/>
        </w:rPr>
        <w:t xml:space="preserve">Federer K.E., Burrows R. &amp; Brooksby J.B. </w:t>
      </w:r>
      <w:r w:rsidRPr="005C0D8E">
        <w:t xml:space="preserve">(1967). Vesicular stomatitis virus </w:t>
      </w:r>
      <w:r w:rsidR="00D751D8" w:rsidRPr="005C0D8E">
        <w:t>–</w:t>
      </w:r>
      <w:r w:rsidRPr="005C0D8E">
        <w:t xml:space="preserve"> the relation between some strains of the Indiana serotype. </w:t>
      </w:r>
      <w:r w:rsidRPr="005C0D8E">
        <w:rPr>
          <w:i/>
        </w:rPr>
        <w:t>Res. Vet. Sci.</w:t>
      </w:r>
      <w:r w:rsidRPr="005C0D8E">
        <w:t xml:space="preserve">, </w:t>
      </w:r>
      <w:r w:rsidRPr="005C0D8E">
        <w:rPr>
          <w:b/>
        </w:rPr>
        <w:t>8</w:t>
      </w:r>
      <w:r w:rsidRPr="005C0D8E">
        <w:t>, 103</w:t>
      </w:r>
      <w:r w:rsidR="001628EF" w:rsidRPr="005C0D8E">
        <w:t>–117.</w:t>
      </w:r>
    </w:p>
    <w:p w14:paraId="6E516467" w14:textId="77777777" w:rsidR="00D826B8" w:rsidRPr="00D63C72" w:rsidRDefault="00D826B8" w:rsidP="0036124D">
      <w:pPr>
        <w:pStyle w:val="Ref"/>
        <w:ind w:left="0" w:firstLine="0"/>
      </w:pPr>
      <w:r w:rsidRPr="00D63C72">
        <w:rPr>
          <w:smallCaps/>
        </w:rPr>
        <w:t xml:space="preserve">Ferris N.P. &amp; Donaldson A.I. </w:t>
      </w:r>
      <w:r w:rsidRPr="00D63C72">
        <w:t xml:space="preserve">(1988). An enzyme-linked immunosorbent assay for the detection of VSV antigen. </w:t>
      </w:r>
      <w:r w:rsidRPr="00D63C72">
        <w:rPr>
          <w:i/>
        </w:rPr>
        <w:t>Vet. Microbiol.</w:t>
      </w:r>
      <w:r w:rsidRPr="00D63C72">
        <w:t xml:space="preserve">, </w:t>
      </w:r>
      <w:r w:rsidRPr="00D63C72">
        <w:rPr>
          <w:b/>
        </w:rPr>
        <w:t>18</w:t>
      </w:r>
      <w:r w:rsidRPr="00D63C72">
        <w:t>, 243</w:t>
      </w:r>
      <w:r w:rsidR="001628EF" w:rsidRPr="00D63C72">
        <w:t>–</w:t>
      </w:r>
      <w:r w:rsidRPr="00D63C72">
        <w:t>258.</w:t>
      </w:r>
    </w:p>
    <w:p w14:paraId="4385C053" w14:textId="77777777" w:rsidR="00D826B8" w:rsidRPr="00557247" w:rsidRDefault="00D826B8" w:rsidP="0036124D">
      <w:pPr>
        <w:pStyle w:val="Ref"/>
        <w:ind w:left="0" w:firstLine="0"/>
      </w:pPr>
      <w:r w:rsidRPr="00557247">
        <w:rPr>
          <w:smallCaps/>
        </w:rPr>
        <w:t xml:space="preserve">Francy D.B., Moore C.G., Smith G.C., Taylor S.A. &amp; Caliser C.H. </w:t>
      </w:r>
      <w:r w:rsidRPr="00557247">
        <w:t xml:space="preserve">(1988). Epizootic vesicular stomatitis in Colorado, 1982: isolation of virus from insects collected along the northern Colorado Rocky Mountain Front Range. </w:t>
      </w:r>
      <w:r w:rsidRPr="00557247">
        <w:rPr>
          <w:i/>
        </w:rPr>
        <w:t>J. Med. Entomol.,</w:t>
      </w:r>
      <w:r w:rsidRPr="00557247">
        <w:t xml:space="preserve"> </w:t>
      </w:r>
      <w:r w:rsidRPr="00557247">
        <w:rPr>
          <w:b/>
        </w:rPr>
        <w:t>25</w:t>
      </w:r>
      <w:r w:rsidRPr="00557247">
        <w:t>, 343</w:t>
      </w:r>
      <w:r w:rsidR="001628EF" w:rsidRPr="00557247">
        <w:t>–</w:t>
      </w:r>
      <w:r w:rsidRPr="00557247">
        <w:t>347.</w:t>
      </w:r>
    </w:p>
    <w:p w14:paraId="7D300232" w14:textId="77777777" w:rsidR="00D826B8" w:rsidRPr="002575A5" w:rsidRDefault="00D826B8" w:rsidP="0036124D">
      <w:pPr>
        <w:pStyle w:val="Ref"/>
        <w:ind w:left="0" w:firstLine="0"/>
        <w:rPr>
          <w:strike/>
        </w:rPr>
      </w:pPr>
      <w:r w:rsidRPr="002575A5">
        <w:rPr>
          <w:smallCaps/>
          <w:strike/>
        </w:rPr>
        <w:t>Hanson R.P.</w:t>
      </w:r>
      <w:r w:rsidRPr="002575A5">
        <w:rPr>
          <w:strike/>
        </w:rPr>
        <w:t xml:space="preserve"> (1952). The natural history of vesicular stomatitis. </w:t>
      </w:r>
      <w:r w:rsidRPr="002575A5">
        <w:rPr>
          <w:i/>
          <w:strike/>
        </w:rPr>
        <w:t>Bacteriol. Rev.</w:t>
      </w:r>
      <w:r w:rsidRPr="002575A5">
        <w:rPr>
          <w:strike/>
        </w:rPr>
        <w:t xml:space="preserve">, </w:t>
      </w:r>
      <w:r w:rsidRPr="002575A5">
        <w:rPr>
          <w:b/>
          <w:strike/>
        </w:rPr>
        <w:t>16</w:t>
      </w:r>
      <w:r w:rsidRPr="002575A5">
        <w:rPr>
          <w:strike/>
        </w:rPr>
        <w:t>, 179</w:t>
      </w:r>
      <w:r w:rsidR="001628EF" w:rsidRPr="002575A5">
        <w:rPr>
          <w:strike/>
        </w:rPr>
        <w:t>–</w:t>
      </w:r>
      <w:r w:rsidRPr="002575A5">
        <w:rPr>
          <w:strike/>
        </w:rPr>
        <w:t>204.</w:t>
      </w:r>
    </w:p>
    <w:p w14:paraId="35D13465" w14:textId="77777777" w:rsidR="000B6B38" w:rsidRPr="00EC36E4" w:rsidRDefault="000B6B38" w:rsidP="0036124D">
      <w:pPr>
        <w:pStyle w:val="Ref"/>
        <w:ind w:left="0" w:firstLine="0"/>
      </w:pPr>
      <w:r w:rsidRPr="00EC36E4">
        <w:rPr>
          <w:smallCaps/>
        </w:rPr>
        <w:t>Henderson</w:t>
      </w:r>
      <w:r w:rsidRPr="00EC36E4">
        <w:t xml:space="preserve"> W.M. (1949). The quantitative study of foot and mouth disease virus. Agricultural Research Council Report Series No. 8, HMSO, London, UK, page 5.</w:t>
      </w:r>
    </w:p>
    <w:p w14:paraId="35D3E6D3" w14:textId="77777777" w:rsidR="00D826B8" w:rsidRPr="008D1FB1" w:rsidRDefault="00D826B8" w:rsidP="0036124D">
      <w:pPr>
        <w:pStyle w:val="Ref"/>
        <w:ind w:left="0" w:firstLine="0"/>
        <w:rPr>
          <w:lang w:val="es-ES"/>
        </w:rPr>
      </w:pPr>
      <w:r w:rsidRPr="008D1FB1">
        <w:rPr>
          <w:smallCaps/>
        </w:rPr>
        <w:t>Hofner M.C., Carpenter W.C., Ferris N.P., Kitching R.P. &amp; Botero F.A</w:t>
      </w:r>
      <w:r w:rsidRPr="008D1FB1">
        <w:t xml:space="preserve">. (1994). A hemi-nested PCR assay for the detection and identification of vesicular stomatitis virus nucleic acid. </w:t>
      </w:r>
      <w:r w:rsidRPr="008D1FB1">
        <w:rPr>
          <w:i/>
          <w:lang w:val="es-ES"/>
        </w:rPr>
        <w:t>J. Virol. Methods</w:t>
      </w:r>
      <w:r w:rsidRPr="008D1FB1">
        <w:rPr>
          <w:lang w:val="es-ES"/>
        </w:rPr>
        <w:t xml:space="preserve">, </w:t>
      </w:r>
      <w:r w:rsidRPr="008D1FB1">
        <w:rPr>
          <w:b/>
          <w:lang w:val="es-ES"/>
        </w:rPr>
        <w:t>50</w:t>
      </w:r>
      <w:r w:rsidRPr="008D1FB1">
        <w:rPr>
          <w:lang w:val="es-ES"/>
        </w:rPr>
        <w:t>, 11</w:t>
      </w:r>
      <w:r w:rsidR="001628EF" w:rsidRPr="008D1FB1">
        <w:rPr>
          <w:lang w:val="es-ES"/>
        </w:rPr>
        <w:t>–</w:t>
      </w:r>
      <w:r w:rsidRPr="008D1FB1">
        <w:rPr>
          <w:lang w:val="es-ES"/>
        </w:rPr>
        <w:t>20.</w:t>
      </w:r>
    </w:p>
    <w:p w14:paraId="24BC8104" w14:textId="77777777" w:rsidR="0096258F" w:rsidRPr="008D1FB1" w:rsidRDefault="0096258F" w:rsidP="0036124D">
      <w:pPr>
        <w:pStyle w:val="Ref"/>
        <w:ind w:left="0" w:firstLine="0"/>
      </w:pPr>
      <w:r w:rsidRPr="008D1FB1">
        <w:rPr>
          <w:smallCaps/>
          <w:lang w:val="es-CO"/>
        </w:rPr>
        <w:t>Hole K., Velazques-Salinas L. &amp; Clavijo A.</w:t>
      </w:r>
      <w:r w:rsidRPr="008D1FB1">
        <w:rPr>
          <w:lang w:val="es-CO"/>
        </w:rPr>
        <w:t xml:space="preserve"> (2010). </w:t>
      </w:r>
      <w:r w:rsidRPr="008D1FB1">
        <w:t xml:space="preserve">Improvement and optimization of a multiplex real time RT-PCR assay for the detection and typing of vesicular stomatitis virus. </w:t>
      </w:r>
      <w:r w:rsidRPr="008D1FB1">
        <w:rPr>
          <w:i/>
        </w:rPr>
        <w:t>J. Vet. Diagn. Invest</w:t>
      </w:r>
      <w:r w:rsidRPr="008D1FB1">
        <w:t xml:space="preserve">., </w:t>
      </w:r>
      <w:r w:rsidRPr="008D1FB1">
        <w:rPr>
          <w:b/>
        </w:rPr>
        <w:t>22</w:t>
      </w:r>
      <w:r w:rsidRPr="008D1FB1">
        <w:t>, 428–433.</w:t>
      </w:r>
    </w:p>
    <w:p w14:paraId="1D4B0838" w14:textId="77777777" w:rsidR="000B6B38" w:rsidRPr="00F757AD" w:rsidRDefault="000B6B38" w:rsidP="0036124D">
      <w:pPr>
        <w:pStyle w:val="Ref"/>
        <w:ind w:left="0" w:firstLine="0"/>
      </w:pPr>
      <w:r w:rsidRPr="00F757AD">
        <w:rPr>
          <w:smallCaps/>
        </w:rPr>
        <w:t>House J.A, House C., Dubourget P. &amp; Lombard M.</w:t>
      </w:r>
      <w:r w:rsidRPr="00F757AD">
        <w:t xml:space="preserve"> (2003). Protective immunity in cattle vaccinated with a commercial scale inactivated, bivalent vesicular stomatitis vaccine. </w:t>
      </w:r>
      <w:r w:rsidRPr="00F757AD">
        <w:rPr>
          <w:i/>
        </w:rPr>
        <w:t xml:space="preserve">Vaccine, </w:t>
      </w:r>
      <w:r w:rsidRPr="00F757AD">
        <w:rPr>
          <w:b/>
        </w:rPr>
        <w:t>21</w:t>
      </w:r>
      <w:r w:rsidRPr="00F757AD">
        <w:t>, 1932–1937.</w:t>
      </w:r>
    </w:p>
    <w:p w14:paraId="6286FE78" w14:textId="77777777" w:rsidR="00D826B8" w:rsidRPr="00D63C72" w:rsidRDefault="00D826B8" w:rsidP="0036124D">
      <w:pPr>
        <w:pStyle w:val="Ref"/>
        <w:ind w:left="0" w:firstLine="0"/>
      </w:pPr>
      <w:r w:rsidRPr="00D63C72">
        <w:rPr>
          <w:smallCaps/>
        </w:rPr>
        <w:t xml:space="preserve">Jenny E.W., Mott L.O. &amp; Traub E. </w:t>
      </w:r>
      <w:r w:rsidRPr="00D63C72">
        <w:t xml:space="preserve">(1958). Serological studies with the virus of vesicular stomatitis. I. Typing of vesicular stomatitis by complement fixation. </w:t>
      </w:r>
      <w:r w:rsidRPr="00D63C72">
        <w:rPr>
          <w:i/>
        </w:rPr>
        <w:t>Am. J. Vet. Res.</w:t>
      </w:r>
      <w:r w:rsidRPr="00D63C72">
        <w:t xml:space="preserve">, </w:t>
      </w:r>
      <w:r w:rsidRPr="00D63C72">
        <w:rPr>
          <w:b/>
        </w:rPr>
        <w:t>19</w:t>
      </w:r>
      <w:r w:rsidRPr="00D63C72">
        <w:t>, 993</w:t>
      </w:r>
      <w:r w:rsidR="001628EF" w:rsidRPr="00D63C72">
        <w:t>–</w:t>
      </w:r>
      <w:r w:rsidRPr="00D63C72">
        <w:t>998.</w:t>
      </w:r>
    </w:p>
    <w:p w14:paraId="6FDD2F49" w14:textId="77777777" w:rsidR="005B4BA8" w:rsidRPr="00EC36E4" w:rsidRDefault="005B4BA8" w:rsidP="0036124D">
      <w:pPr>
        <w:pStyle w:val="Ref"/>
        <w:ind w:left="0" w:firstLine="0"/>
        <w:rPr>
          <w:lang w:val="nl-NL"/>
        </w:rPr>
      </w:pPr>
      <w:r w:rsidRPr="00EC36E4">
        <w:rPr>
          <w:smallCaps/>
          <w:lang w:val="en-IE"/>
        </w:rPr>
        <w:t>Katz J.B., Eernisse K.A., Landgraf J.G.</w:t>
      </w:r>
      <w:r w:rsidRPr="00EC36E4">
        <w:rPr>
          <w:smallCaps/>
        </w:rPr>
        <w:t xml:space="preserve"> &amp;</w:t>
      </w:r>
      <w:r w:rsidRPr="00EC36E4">
        <w:rPr>
          <w:smallCaps/>
          <w:lang w:val="en-IE"/>
        </w:rPr>
        <w:t xml:space="preserve"> Schmitt B</w:t>
      </w:r>
      <w:r w:rsidRPr="00EC36E4">
        <w:rPr>
          <w:smallCaps/>
        </w:rPr>
        <w:t>.</w:t>
      </w:r>
      <w:r w:rsidRPr="00EC36E4">
        <w:rPr>
          <w:smallCaps/>
          <w:lang w:val="en-IE"/>
        </w:rPr>
        <w:t>J.</w:t>
      </w:r>
      <w:r w:rsidRPr="00EC36E4">
        <w:rPr>
          <w:lang w:val="en-IE"/>
        </w:rPr>
        <w:t xml:space="preserve"> </w:t>
      </w:r>
      <w:r w:rsidRPr="00EC36E4">
        <w:t>(</w:t>
      </w:r>
      <w:r w:rsidRPr="00EC36E4">
        <w:rPr>
          <w:lang w:val="en-IE"/>
        </w:rPr>
        <w:t>1997</w:t>
      </w:r>
      <w:r w:rsidRPr="00EC36E4">
        <w:t>)</w:t>
      </w:r>
      <w:r w:rsidRPr="00EC36E4">
        <w:rPr>
          <w:lang w:val="en-IE"/>
        </w:rPr>
        <w:t xml:space="preserve">. </w:t>
      </w:r>
      <w:r w:rsidRPr="00EC36E4">
        <w:t xml:space="preserve">Comparative performance of four serodiagnostic procedures for detecting bovine and equine vesicular stomatitis virus antibodies. </w:t>
      </w:r>
      <w:r w:rsidRPr="00EC36E4">
        <w:rPr>
          <w:i/>
          <w:iCs/>
          <w:lang w:val="nl-NL"/>
        </w:rPr>
        <w:t xml:space="preserve">J. Vet. Diagn. Invest., </w:t>
      </w:r>
      <w:r w:rsidRPr="00EC36E4">
        <w:rPr>
          <w:b/>
          <w:bCs/>
          <w:lang w:val="nl-NL"/>
        </w:rPr>
        <w:t>9</w:t>
      </w:r>
      <w:r w:rsidRPr="00EC36E4">
        <w:rPr>
          <w:lang w:val="nl-NL"/>
        </w:rPr>
        <w:t>, 329–331.</w:t>
      </w:r>
    </w:p>
    <w:p w14:paraId="136C00BA" w14:textId="77777777" w:rsidR="00D826B8" w:rsidRPr="00EC36E4" w:rsidRDefault="00D826B8" w:rsidP="0036124D">
      <w:pPr>
        <w:pStyle w:val="Ref"/>
        <w:ind w:left="0" w:firstLine="0"/>
      </w:pPr>
      <w:r w:rsidRPr="00EC36E4">
        <w:rPr>
          <w:smallCaps/>
          <w:lang w:val="nl-NL"/>
        </w:rPr>
        <w:t>Katz J.B., Shafer A.L. &amp; Eernisse K.A</w:t>
      </w:r>
      <w:r w:rsidRPr="00EC36E4">
        <w:rPr>
          <w:lang w:val="nl-NL"/>
        </w:rPr>
        <w:t xml:space="preserve">. (1995). </w:t>
      </w:r>
      <w:r w:rsidRPr="00EC36E4">
        <w:t xml:space="preserve">Construction and insect larval expression of recombinant vesicular stomatitis nucleocapsid protein and its use in competitive ELISA. </w:t>
      </w:r>
      <w:r w:rsidRPr="00EC36E4">
        <w:rPr>
          <w:i/>
        </w:rPr>
        <w:t>J. Virol. Methods,</w:t>
      </w:r>
      <w:r w:rsidRPr="00EC36E4">
        <w:t xml:space="preserve"> </w:t>
      </w:r>
      <w:r w:rsidRPr="00EC36E4">
        <w:rPr>
          <w:b/>
        </w:rPr>
        <w:t>54</w:t>
      </w:r>
      <w:r w:rsidRPr="00EC36E4">
        <w:t>, 145</w:t>
      </w:r>
      <w:r w:rsidR="001628EF" w:rsidRPr="00EC36E4">
        <w:t>–</w:t>
      </w:r>
      <w:r w:rsidRPr="00EC36E4">
        <w:t>157.</w:t>
      </w:r>
    </w:p>
    <w:p w14:paraId="3164A721" w14:textId="370164A8" w:rsidR="00F175AA" w:rsidRDefault="00F175AA" w:rsidP="0036124D">
      <w:pPr>
        <w:pStyle w:val="Ref"/>
        <w:ind w:left="0" w:firstLine="0"/>
      </w:pPr>
      <w:r w:rsidRPr="00DC1B9D">
        <w:rPr>
          <w:smallCaps/>
        </w:rPr>
        <w:t>Killmaster L.F., Stalknecht D.E., Howerth</w:t>
      </w:r>
      <w:r w:rsidR="00C6153C" w:rsidRPr="00DC1B9D">
        <w:rPr>
          <w:smallCaps/>
        </w:rPr>
        <w:t xml:space="preserve"> E.W., Moulton J.K., Smith P.F.</w:t>
      </w:r>
      <w:r w:rsidRPr="00DC1B9D">
        <w:rPr>
          <w:smallCaps/>
        </w:rPr>
        <w:t xml:space="preserve"> &amp; Mead D.G.</w:t>
      </w:r>
      <w:r w:rsidRPr="00DC1B9D">
        <w:t xml:space="preserve"> (2011). Apparent disappearance of vesicular stomatitis New Jersey virus from Ossabaw Island, Georgia. </w:t>
      </w:r>
      <w:r w:rsidRPr="00DC1B9D">
        <w:rPr>
          <w:i/>
        </w:rPr>
        <w:t>Vector</w:t>
      </w:r>
      <w:r w:rsidR="00CB04D8" w:rsidRPr="00DC1B9D">
        <w:rPr>
          <w:i/>
        </w:rPr>
        <w:t xml:space="preserve"> </w:t>
      </w:r>
      <w:r w:rsidRPr="00DC1B9D">
        <w:rPr>
          <w:i/>
        </w:rPr>
        <w:t>Borne Zoonotic Dis</w:t>
      </w:r>
      <w:r w:rsidR="00CB04D8" w:rsidRPr="00DC1B9D">
        <w:rPr>
          <w:i/>
        </w:rPr>
        <w:t>.</w:t>
      </w:r>
      <w:r w:rsidRPr="00DC1B9D">
        <w:t xml:space="preserve">, </w:t>
      </w:r>
      <w:r w:rsidRPr="00DC1B9D">
        <w:rPr>
          <w:b/>
        </w:rPr>
        <w:t>11</w:t>
      </w:r>
      <w:r w:rsidRPr="00DC1B9D">
        <w:t>, 559</w:t>
      </w:r>
      <w:r w:rsidR="00C6153C" w:rsidRPr="00DC1B9D">
        <w:t>–</w:t>
      </w:r>
      <w:r w:rsidRPr="00DC1B9D">
        <w:t xml:space="preserve">565. </w:t>
      </w:r>
    </w:p>
    <w:p w14:paraId="4B7F63A3" w14:textId="5B17BC38" w:rsidR="00602621" w:rsidRPr="00602621" w:rsidRDefault="00602621" w:rsidP="0036124D">
      <w:pPr>
        <w:pStyle w:val="Ref"/>
        <w:ind w:left="0" w:firstLine="0"/>
        <w:rPr>
          <w:u w:val="double"/>
        </w:rPr>
      </w:pPr>
      <w:r w:rsidRPr="00602621">
        <w:rPr>
          <w:smallCaps/>
          <w:u w:val="double"/>
        </w:rPr>
        <w:t>Kitching R.P. &amp; Donaldson A.I.</w:t>
      </w:r>
      <w:r w:rsidRPr="00602621">
        <w:rPr>
          <w:u w:val="double"/>
        </w:rPr>
        <w:t xml:space="preserve"> (1987). Collection and transportation of specimens for vesicular virus investigation. </w:t>
      </w:r>
      <w:r w:rsidRPr="00602621">
        <w:rPr>
          <w:i/>
          <w:iCs/>
          <w:u w:val="double"/>
        </w:rPr>
        <w:t>Rev. Sci. Tech</w:t>
      </w:r>
      <w:r w:rsidRPr="00602621">
        <w:rPr>
          <w:u w:val="double"/>
        </w:rPr>
        <w:t xml:space="preserve">., </w:t>
      </w:r>
      <w:r w:rsidRPr="00602621">
        <w:rPr>
          <w:b/>
          <w:bCs/>
          <w:u w:val="double"/>
        </w:rPr>
        <w:t>6</w:t>
      </w:r>
      <w:r w:rsidRPr="00602621">
        <w:rPr>
          <w:u w:val="double"/>
        </w:rPr>
        <w:t>, 251</w:t>
      </w:r>
      <w:r w:rsidRPr="00481048">
        <w:rPr>
          <w:u w:val="double"/>
        </w:rPr>
        <w:t>–</w:t>
      </w:r>
      <w:r>
        <w:rPr>
          <w:u w:val="double"/>
        </w:rPr>
        <w:t>2</w:t>
      </w:r>
      <w:r w:rsidRPr="00602621">
        <w:rPr>
          <w:u w:val="double"/>
        </w:rPr>
        <w:t>83.</w:t>
      </w:r>
      <w:r w:rsidRPr="00602621">
        <w:rPr>
          <w:u w:val="double"/>
          <w:lang w:val="en-IE"/>
        </w:rPr>
        <w:t xml:space="preserve"> doi: 10.20506/rst.6.1.291.</w:t>
      </w:r>
    </w:p>
    <w:p w14:paraId="7D6C625E" w14:textId="77777777" w:rsidR="00D826B8" w:rsidRPr="008C5F66" w:rsidRDefault="00D826B8" w:rsidP="0036124D">
      <w:pPr>
        <w:pStyle w:val="Ref"/>
        <w:ind w:left="0" w:firstLine="0"/>
      </w:pPr>
      <w:r w:rsidRPr="008C5F66">
        <w:rPr>
          <w:smallCaps/>
          <w:lang w:val="de-DE"/>
        </w:rPr>
        <w:t xml:space="preserve">Lauerman L.H., Kuns M.L. &amp; Hanson R.S. </w:t>
      </w:r>
      <w:r w:rsidRPr="008C5F66">
        <w:rPr>
          <w:lang w:val="de-DE"/>
        </w:rPr>
        <w:t xml:space="preserve">(1962). </w:t>
      </w:r>
      <w:r w:rsidRPr="008C5F66">
        <w:t>Field trial of live virus vaccination procedure for prevention of vesicular stomatitis in dairy cattle. I: Preliminary immune response. Proceedings of the 66th Annual Meeting of the United States Animal Health Association, 365</w:t>
      </w:r>
      <w:r w:rsidR="001628EF" w:rsidRPr="008C5F66">
        <w:t>–</w:t>
      </w:r>
      <w:r w:rsidRPr="008C5F66">
        <w:t>369.</w:t>
      </w:r>
    </w:p>
    <w:p w14:paraId="4206B7FE" w14:textId="230C6E76" w:rsidR="00D826B8" w:rsidRPr="00557247" w:rsidRDefault="00D826B8" w:rsidP="0036124D">
      <w:pPr>
        <w:pStyle w:val="Ref"/>
        <w:ind w:left="0" w:firstLine="0"/>
        <w:rPr>
          <w:lang w:val="es-ES"/>
        </w:rPr>
      </w:pPr>
      <w:r w:rsidRPr="00557247">
        <w:rPr>
          <w:smallCaps/>
        </w:rPr>
        <w:t xml:space="preserve">Mason J. </w:t>
      </w:r>
      <w:r w:rsidRPr="00557247">
        <w:t xml:space="preserve">(1978). The epidemiology of vesicular stomatitis. </w:t>
      </w:r>
      <w:r w:rsidRPr="00557247">
        <w:rPr>
          <w:i/>
          <w:lang w:val="es-ES"/>
        </w:rPr>
        <w:t>Bol. Cen. Panam. Fiebre Aftosa,</w:t>
      </w:r>
      <w:r w:rsidRPr="00557247">
        <w:rPr>
          <w:lang w:val="es-ES"/>
        </w:rPr>
        <w:t xml:space="preserve"> </w:t>
      </w:r>
      <w:r w:rsidRPr="00557247">
        <w:rPr>
          <w:b/>
          <w:lang w:val="es-ES"/>
        </w:rPr>
        <w:t>29</w:t>
      </w:r>
      <w:r w:rsidR="001628EF" w:rsidRPr="00557247">
        <w:rPr>
          <w:lang w:val="es-ES_tradnl"/>
        </w:rPr>
        <w:t>–</w:t>
      </w:r>
      <w:r w:rsidRPr="00557247">
        <w:rPr>
          <w:b/>
          <w:lang w:val="es-ES"/>
        </w:rPr>
        <w:t>30</w:t>
      </w:r>
      <w:r w:rsidRPr="00557247">
        <w:rPr>
          <w:lang w:val="es-ES"/>
        </w:rPr>
        <w:t>, 35</w:t>
      </w:r>
      <w:r w:rsidR="001628EF" w:rsidRPr="00557247">
        <w:rPr>
          <w:lang w:val="es-ES_tradnl"/>
        </w:rPr>
        <w:t>–</w:t>
      </w:r>
      <w:r w:rsidRPr="00557247">
        <w:rPr>
          <w:lang w:val="es-ES"/>
        </w:rPr>
        <w:t>53.</w:t>
      </w:r>
    </w:p>
    <w:p w14:paraId="16CD7141" w14:textId="77777777" w:rsidR="00AA001C" w:rsidRPr="00CE3B0D" w:rsidRDefault="00AA001C" w:rsidP="0036124D">
      <w:pPr>
        <w:pStyle w:val="Ref"/>
        <w:ind w:left="0" w:firstLine="0"/>
      </w:pPr>
      <w:r w:rsidRPr="00CE3B0D">
        <w:rPr>
          <w:smallCaps/>
          <w:lang w:val="es-ES"/>
        </w:rPr>
        <w:t>Mead D.G., Lovett K.R., Murphy M.D., Pauszek S.J., Smoliga G., Gray E.W., Noblet R., Overmyer J. &amp; Rodriguez L.L.</w:t>
      </w:r>
      <w:r w:rsidRPr="00CE3B0D">
        <w:rPr>
          <w:lang w:val="es-ES"/>
        </w:rPr>
        <w:t xml:space="preserve"> (2009). </w:t>
      </w:r>
      <w:r w:rsidRPr="00CE3B0D">
        <w:t xml:space="preserve">Experimental transmisión of vesicular stomatitis New Jersey virus from </w:t>
      </w:r>
      <w:r w:rsidRPr="00CE3B0D">
        <w:rPr>
          <w:i/>
        </w:rPr>
        <w:t>Simulium vittatum</w:t>
      </w:r>
      <w:r w:rsidRPr="00CE3B0D">
        <w:t xml:space="preserve"> to cattle: clinical outcome is influenced by sie of insect feeding. </w:t>
      </w:r>
      <w:r w:rsidRPr="00CE3B0D">
        <w:rPr>
          <w:i/>
        </w:rPr>
        <w:t>J. Med. Entomol.,</w:t>
      </w:r>
      <w:r w:rsidRPr="00CE3B0D">
        <w:t xml:space="preserve"> </w:t>
      </w:r>
      <w:r w:rsidRPr="00CE3B0D">
        <w:rPr>
          <w:b/>
        </w:rPr>
        <w:t>46</w:t>
      </w:r>
      <w:r w:rsidRPr="00CE3B0D">
        <w:t>, 866</w:t>
      </w:r>
      <w:r w:rsidR="009E71A4" w:rsidRPr="00CE3B0D">
        <w:t>–</w:t>
      </w:r>
      <w:r w:rsidRPr="00CE3B0D">
        <w:t>872.</w:t>
      </w:r>
    </w:p>
    <w:p w14:paraId="627E8641" w14:textId="77777777" w:rsidR="00AA001C" w:rsidRPr="00CE3B0D" w:rsidRDefault="00AA001C" w:rsidP="0036124D">
      <w:pPr>
        <w:pStyle w:val="Ref"/>
        <w:ind w:left="0" w:firstLine="0"/>
      </w:pPr>
      <w:r w:rsidRPr="00CE3B0D">
        <w:rPr>
          <w:smallCaps/>
        </w:rPr>
        <w:t>Mead D.G., Gray E.W., Murphy M.D., Howerth E.W. &amp; Stallknecht D.E. (</w:t>
      </w:r>
      <w:r w:rsidRPr="00CE3B0D">
        <w:t xml:space="preserve">2004). Biological </w:t>
      </w:r>
      <w:r w:rsidR="00E32823" w:rsidRPr="00CE3B0D">
        <w:t>transmission</w:t>
      </w:r>
      <w:r w:rsidRPr="00CE3B0D">
        <w:t xml:space="preserve"> of vesicular stomatitis virus (New Jersey seroype) by </w:t>
      </w:r>
      <w:r w:rsidRPr="00CE3B0D">
        <w:rPr>
          <w:i/>
        </w:rPr>
        <w:t>Simulium vittatum</w:t>
      </w:r>
      <w:r w:rsidRPr="00CE3B0D">
        <w:t xml:space="preserve"> (Diptera: Simuliidae) to domestic swine (</w:t>
      </w:r>
      <w:r w:rsidRPr="00CE3B0D">
        <w:rPr>
          <w:i/>
        </w:rPr>
        <w:t>Sus scrofa</w:t>
      </w:r>
      <w:r w:rsidRPr="00CE3B0D">
        <w:t xml:space="preserve">). </w:t>
      </w:r>
      <w:r w:rsidRPr="00CE3B0D">
        <w:rPr>
          <w:i/>
        </w:rPr>
        <w:t>J. Med. Entomol</w:t>
      </w:r>
      <w:r w:rsidRPr="00CE3B0D">
        <w:t xml:space="preserve">., </w:t>
      </w:r>
      <w:r w:rsidRPr="00CE3B0D">
        <w:rPr>
          <w:b/>
        </w:rPr>
        <w:t>41</w:t>
      </w:r>
      <w:r w:rsidRPr="00CE3B0D">
        <w:t>, 78</w:t>
      </w:r>
      <w:r w:rsidR="009E71A4" w:rsidRPr="00CE3B0D">
        <w:t>–</w:t>
      </w:r>
      <w:r w:rsidRPr="00CE3B0D">
        <w:t>82.</w:t>
      </w:r>
    </w:p>
    <w:p w14:paraId="2AF15BEF" w14:textId="77D1BE23" w:rsidR="00D826B8" w:rsidRPr="00F22225" w:rsidRDefault="00D826B8" w:rsidP="0036124D">
      <w:pPr>
        <w:pStyle w:val="Ref"/>
        <w:ind w:left="0" w:firstLine="0"/>
        <w:rPr>
          <w:u w:val="double"/>
          <w:lang w:val="es-ES"/>
        </w:rPr>
      </w:pPr>
      <w:r w:rsidRPr="005C0D8E">
        <w:rPr>
          <w:smallCaps/>
        </w:rPr>
        <w:t xml:space="preserve">Oltsky P.K., Traum J. &amp; Schoening H.W. </w:t>
      </w:r>
      <w:r w:rsidRPr="005C0D8E">
        <w:t xml:space="preserve">(1926). Comparative studies on vesicular stomatitis and foot and mouth disease. </w:t>
      </w:r>
      <w:r w:rsidRPr="00F22225">
        <w:rPr>
          <w:i/>
          <w:lang w:val="es-ES"/>
        </w:rPr>
        <w:t>J. Am. Vet. Med. Assoc.,</w:t>
      </w:r>
      <w:r w:rsidRPr="00F22225">
        <w:rPr>
          <w:bCs/>
          <w:lang w:val="es-ES"/>
        </w:rPr>
        <w:t xml:space="preserve"> </w:t>
      </w:r>
      <w:r w:rsidRPr="00F22225">
        <w:rPr>
          <w:b/>
          <w:lang w:val="es-ES"/>
        </w:rPr>
        <w:t>70</w:t>
      </w:r>
      <w:r w:rsidRPr="00F22225">
        <w:rPr>
          <w:lang w:val="es-ES"/>
        </w:rPr>
        <w:t>, 147</w:t>
      </w:r>
      <w:r w:rsidR="001628EF" w:rsidRPr="00F22225">
        <w:rPr>
          <w:lang w:val="es-ES"/>
        </w:rPr>
        <w:t>–</w:t>
      </w:r>
      <w:r w:rsidRPr="00F22225">
        <w:rPr>
          <w:lang w:val="es-ES"/>
        </w:rPr>
        <w:t>167.</w:t>
      </w:r>
    </w:p>
    <w:p w14:paraId="44783AA7" w14:textId="0F7DD23D" w:rsidR="006312C2" w:rsidRPr="00D01D1E" w:rsidRDefault="006312C2" w:rsidP="0036124D">
      <w:pPr>
        <w:pStyle w:val="Ref"/>
        <w:ind w:left="0" w:firstLine="0"/>
        <w:rPr>
          <w:u w:val="double"/>
          <w:lang w:val="pt-BR"/>
        </w:rPr>
      </w:pPr>
      <w:r w:rsidRPr="00D01D1E">
        <w:rPr>
          <w:u w:val="double"/>
          <w:lang w:val="pt-BR"/>
        </w:rPr>
        <w:lastRenderedPageBreak/>
        <w:t xml:space="preserve">PANAFTOSA-OPS/OMS (2019). Informe de Situación de los Programas de Erradicación de la Fiebre Aftosa. Sudamerica y Panamá en 2019. </w:t>
      </w:r>
      <w:r w:rsidR="007D6723" w:rsidRPr="00D01D1E">
        <w:rPr>
          <w:u w:val="double"/>
          <w:lang w:val="pt-BR"/>
        </w:rPr>
        <w:t>https://iris.paho.org/handle/10665.2/51789.</w:t>
      </w:r>
    </w:p>
    <w:p w14:paraId="75179BF7" w14:textId="6823F3A0" w:rsidR="007D6723" w:rsidRPr="00D63C72" w:rsidRDefault="007D6723" w:rsidP="0036124D">
      <w:pPr>
        <w:pStyle w:val="Ref"/>
        <w:ind w:left="0" w:firstLine="0"/>
        <w:rPr>
          <w:u w:val="double"/>
        </w:rPr>
      </w:pPr>
      <w:r w:rsidRPr="00D63C72">
        <w:rPr>
          <w:smallCaps/>
          <w:u w:val="double"/>
          <w:lang w:val="pt-BR"/>
        </w:rPr>
        <w:t>Rainwater-Lovett K., Pauszek S.J., Kelley W.N.</w:t>
      </w:r>
      <w:r w:rsidR="001348B7" w:rsidRPr="00D63C72">
        <w:rPr>
          <w:smallCaps/>
          <w:u w:val="double"/>
          <w:lang w:val="pt-BR"/>
        </w:rPr>
        <w:t xml:space="preserve"> &amp; </w:t>
      </w:r>
      <w:r w:rsidRPr="00D63C72">
        <w:rPr>
          <w:smallCaps/>
          <w:u w:val="double"/>
          <w:lang w:val="pt-BR"/>
        </w:rPr>
        <w:t>Rodriguez L.L.</w:t>
      </w:r>
      <w:r w:rsidRPr="00D63C72">
        <w:rPr>
          <w:u w:val="double"/>
          <w:lang w:val="pt-BR"/>
        </w:rPr>
        <w:t xml:space="preserve"> (2007). </w:t>
      </w:r>
      <w:r w:rsidRPr="00D63C72">
        <w:rPr>
          <w:u w:val="double"/>
        </w:rPr>
        <w:t xml:space="preserve">Molecular epidemiology of vesicular stomatitis New Jersey virus from the 2004–2005 US outbreak indicates a common origin with Mexican strains. </w:t>
      </w:r>
      <w:r w:rsidRPr="00D63C72">
        <w:rPr>
          <w:i/>
          <w:iCs/>
          <w:u w:val="double"/>
        </w:rPr>
        <w:t>J</w:t>
      </w:r>
      <w:r w:rsidR="001348B7" w:rsidRPr="00D63C72">
        <w:rPr>
          <w:i/>
          <w:iCs/>
          <w:u w:val="double"/>
        </w:rPr>
        <w:t>.</w:t>
      </w:r>
      <w:r w:rsidRPr="00D63C72">
        <w:rPr>
          <w:i/>
          <w:iCs/>
          <w:u w:val="double"/>
        </w:rPr>
        <w:t xml:space="preserve"> Gen</w:t>
      </w:r>
      <w:r w:rsidR="001348B7" w:rsidRPr="00D63C72">
        <w:rPr>
          <w:i/>
          <w:iCs/>
          <w:u w:val="double"/>
        </w:rPr>
        <w:t>.</w:t>
      </w:r>
      <w:r w:rsidRPr="00D63C72">
        <w:rPr>
          <w:i/>
          <w:iCs/>
          <w:u w:val="double"/>
        </w:rPr>
        <w:t xml:space="preserve"> Virol</w:t>
      </w:r>
      <w:r w:rsidR="001348B7" w:rsidRPr="00D63C72">
        <w:rPr>
          <w:i/>
          <w:iCs/>
          <w:u w:val="double"/>
        </w:rPr>
        <w:t>.</w:t>
      </w:r>
      <w:r w:rsidR="001348B7" w:rsidRPr="00D63C72">
        <w:rPr>
          <w:u w:val="double"/>
        </w:rPr>
        <w:t>,</w:t>
      </w:r>
      <w:r w:rsidRPr="00D63C72">
        <w:rPr>
          <w:u w:val="double"/>
        </w:rPr>
        <w:t xml:space="preserve"> </w:t>
      </w:r>
      <w:r w:rsidRPr="00D63C72">
        <w:rPr>
          <w:b/>
          <w:bCs/>
          <w:u w:val="double"/>
        </w:rPr>
        <w:t>88</w:t>
      </w:r>
      <w:r w:rsidRPr="00D63C72">
        <w:rPr>
          <w:u w:val="double"/>
        </w:rPr>
        <w:t>, 2042–2051. DOI 10.1099/vir.0.82644-0.</w:t>
      </w:r>
    </w:p>
    <w:p w14:paraId="3DDBFE8F" w14:textId="18DD212D" w:rsidR="00F31160" w:rsidRPr="00481048" w:rsidRDefault="00F31160" w:rsidP="00F31160">
      <w:pPr>
        <w:pStyle w:val="Ref"/>
        <w:ind w:left="0" w:firstLine="0"/>
        <w:rPr>
          <w:lang w:val="pt-BR"/>
        </w:rPr>
      </w:pPr>
      <w:r w:rsidRPr="00481048">
        <w:rPr>
          <w:smallCaps/>
          <w:u w:val="double"/>
        </w:rPr>
        <w:t>Rocha C.S., Oliveira I.V.P.M., Moura G.H.F., Bezerra J.A.B., Rondon F.C.M., Vasconcelos D.C., Almeida M.M., Cortez A.A., Clabuig C.</w:t>
      </w:r>
      <w:r w:rsidR="001348B7" w:rsidRPr="00481048">
        <w:rPr>
          <w:smallCaps/>
          <w:u w:val="double"/>
        </w:rPr>
        <w:t xml:space="preserve"> &amp;</w:t>
      </w:r>
      <w:r w:rsidRPr="00481048">
        <w:rPr>
          <w:smallCaps/>
          <w:u w:val="double"/>
        </w:rPr>
        <w:t xml:space="preserve"> Antunes J.M.A.P.</w:t>
      </w:r>
      <w:r w:rsidRPr="00481048">
        <w:rPr>
          <w:u w:val="double"/>
        </w:rPr>
        <w:t xml:space="preserve"> (2020).</w:t>
      </w:r>
      <w:r w:rsidR="00481048">
        <w:rPr>
          <w:u w:val="double"/>
        </w:rPr>
        <w:t xml:space="preserve"> </w:t>
      </w:r>
      <w:r w:rsidRPr="00481048">
        <w:rPr>
          <w:u w:val="double"/>
        </w:rPr>
        <w:t xml:space="preserve">Vesicular stomatitis due to Indiana III (Alagoas/VSIV-3) is endemic in Brazilian state of Ceará. </w:t>
      </w:r>
      <w:r w:rsidRPr="00481048">
        <w:rPr>
          <w:i/>
          <w:iCs/>
          <w:u w:val="double"/>
          <w:lang w:val="pt-BR"/>
        </w:rPr>
        <w:t>Ciênc</w:t>
      </w:r>
      <w:r w:rsidR="00B909B3" w:rsidRPr="00481048">
        <w:rPr>
          <w:i/>
          <w:iCs/>
          <w:u w:val="double"/>
          <w:lang w:val="pt-BR"/>
        </w:rPr>
        <w:t>.</w:t>
      </w:r>
      <w:r w:rsidRPr="00481048">
        <w:rPr>
          <w:i/>
          <w:iCs/>
          <w:u w:val="double"/>
          <w:lang w:val="pt-BR"/>
        </w:rPr>
        <w:t xml:space="preserve"> Rural, </w:t>
      </w:r>
      <w:r w:rsidRPr="00481048">
        <w:rPr>
          <w:b/>
          <w:bCs/>
          <w:u w:val="double"/>
          <w:lang w:val="pt-BR"/>
        </w:rPr>
        <w:t>50</w:t>
      </w:r>
      <w:r w:rsidR="001348B7" w:rsidRPr="00481048">
        <w:rPr>
          <w:u w:val="double"/>
          <w:lang w:val="pt-BR"/>
        </w:rPr>
        <w:t xml:space="preserve">, </w:t>
      </w:r>
      <w:r w:rsidRPr="00481048">
        <w:rPr>
          <w:u w:val="double"/>
          <w:lang w:val="pt-BR"/>
        </w:rPr>
        <w:t>6</w:t>
      </w:r>
      <w:r w:rsidR="00B909B3" w:rsidRPr="00481048">
        <w:rPr>
          <w:u w:val="double"/>
          <w:lang w:val="pt-BR"/>
        </w:rPr>
        <w:t>,</w:t>
      </w:r>
      <w:r w:rsidR="00B909B3" w:rsidRPr="00481048">
        <w:rPr>
          <w:i/>
          <w:iCs/>
          <w:u w:val="double"/>
          <w:lang w:val="pt-BR"/>
        </w:rPr>
        <w:t xml:space="preserve"> </w:t>
      </w:r>
      <w:r w:rsidR="00B909B3" w:rsidRPr="00481048">
        <w:rPr>
          <w:u w:val="double"/>
          <w:lang w:val="pt-BR"/>
        </w:rPr>
        <w:t>Santa Maria</w:t>
      </w:r>
      <w:r w:rsidRPr="00481048">
        <w:rPr>
          <w:u w:val="double"/>
          <w:lang w:val="pt-BR"/>
        </w:rPr>
        <w:t>, e20190846. http://doi.org/10.1590/0103-8478cr20190846</w:t>
      </w:r>
      <w:r w:rsidR="007D6723" w:rsidRPr="00481048">
        <w:rPr>
          <w:u w:val="double"/>
          <w:lang w:val="pt-BR"/>
        </w:rPr>
        <w:t>.</w:t>
      </w:r>
    </w:p>
    <w:p w14:paraId="08609E05" w14:textId="77777777" w:rsidR="00D826B8" w:rsidRPr="008D1FB1" w:rsidRDefault="009F40F0" w:rsidP="0036124D">
      <w:pPr>
        <w:pStyle w:val="Ref"/>
        <w:ind w:left="0" w:firstLine="0"/>
      </w:pPr>
      <w:r w:rsidRPr="008D1FB1">
        <w:rPr>
          <w:smallCaps/>
          <w:lang w:val="pt-BR"/>
        </w:rPr>
        <w:t xml:space="preserve">Rodriguez </w:t>
      </w:r>
      <w:r w:rsidR="00D826B8" w:rsidRPr="008D1FB1">
        <w:rPr>
          <w:smallCaps/>
          <w:lang w:val="pt-BR"/>
        </w:rPr>
        <w:t>L.L., Letchworth G.J., Spiropoulou C.F. &amp; Nichol S.T.</w:t>
      </w:r>
      <w:r w:rsidR="00D826B8" w:rsidRPr="008D1FB1">
        <w:rPr>
          <w:lang w:val="pt-BR"/>
        </w:rPr>
        <w:t xml:space="preserve"> (1993). </w:t>
      </w:r>
      <w:r w:rsidR="00D826B8" w:rsidRPr="008D1FB1">
        <w:t xml:space="preserve">Rapid detection of vesicular stomatitis virus New Jersey serotype in clinical samples by using polymerase chain reaction. </w:t>
      </w:r>
      <w:r w:rsidR="00D826B8" w:rsidRPr="008D1FB1">
        <w:rPr>
          <w:i/>
        </w:rPr>
        <w:t>J. Clin. Microbiol.</w:t>
      </w:r>
      <w:r w:rsidR="00D826B8" w:rsidRPr="008D1FB1">
        <w:t xml:space="preserve">, </w:t>
      </w:r>
      <w:r w:rsidR="00D826B8" w:rsidRPr="008D1FB1">
        <w:rPr>
          <w:b/>
        </w:rPr>
        <w:t>31</w:t>
      </w:r>
      <w:r w:rsidR="00D826B8" w:rsidRPr="008D1FB1">
        <w:t>, 2016</w:t>
      </w:r>
      <w:r w:rsidR="001628EF" w:rsidRPr="008D1FB1">
        <w:t>–</w:t>
      </w:r>
      <w:r w:rsidR="00D826B8" w:rsidRPr="008D1FB1">
        <w:t>2020.</w:t>
      </w:r>
    </w:p>
    <w:p w14:paraId="7D9AD026" w14:textId="0E7D95E4" w:rsidR="00D826B8" w:rsidRPr="007F70EA" w:rsidRDefault="00D826B8" w:rsidP="0036124D">
      <w:pPr>
        <w:pStyle w:val="Ref"/>
        <w:ind w:left="0" w:firstLine="0"/>
        <w:rPr>
          <w:u w:val="double"/>
          <w:lang w:val="es-AR"/>
        </w:rPr>
      </w:pPr>
      <w:r w:rsidRPr="00DC1B9D">
        <w:rPr>
          <w:smallCaps/>
          <w:lang w:val="nl-NL"/>
        </w:rPr>
        <w:t xml:space="preserve">Sellers R.F. &amp; Maarouf A.R. </w:t>
      </w:r>
      <w:r w:rsidRPr="00DC1B9D">
        <w:rPr>
          <w:lang w:val="nl-NL"/>
        </w:rPr>
        <w:t xml:space="preserve">(1990). </w:t>
      </w:r>
      <w:r w:rsidRPr="00DC1B9D">
        <w:t xml:space="preserve">Trajectory analysis of winds in vesicular stomatitis in North America. </w:t>
      </w:r>
      <w:r w:rsidRPr="007F70EA">
        <w:rPr>
          <w:i/>
          <w:lang w:val="es-AR"/>
        </w:rPr>
        <w:t>Epidemiol. Infect.,</w:t>
      </w:r>
      <w:r w:rsidRPr="007F70EA">
        <w:rPr>
          <w:lang w:val="es-AR"/>
        </w:rPr>
        <w:t xml:space="preserve"> </w:t>
      </w:r>
      <w:r w:rsidRPr="007F70EA">
        <w:rPr>
          <w:b/>
          <w:lang w:val="es-AR"/>
        </w:rPr>
        <w:t>104</w:t>
      </w:r>
      <w:r w:rsidRPr="007F70EA">
        <w:rPr>
          <w:lang w:val="es-AR"/>
        </w:rPr>
        <w:t>, 313</w:t>
      </w:r>
      <w:r w:rsidR="001628EF" w:rsidRPr="007F70EA">
        <w:rPr>
          <w:lang w:val="es-AR"/>
        </w:rPr>
        <w:t>–</w:t>
      </w:r>
      <w:r w:rsidRPr="007F70EA">
        <w:rPr>
          <w:lang w:val="es-AR"/>
        </w:rPr>
        <w:t>328.</w:t>
      </w:r>
    </w:p>
    <w:p w14:paraId="02EBF6C4" w14:textId="0848348F" w:rsidR="006312C2" w:rsidRPr="00D63C72" w:rsidRDefault="006312C2" w:rsidP="0036124D">
      <w:pPr>
        <w:pStyle w:val="Ref"/>
        <w:ind w:left="0" w:firstLine="0"/>
      </w:pPr>
      <w:r w:rsidRPr="007F70EA">
        <w:rPr>
          <w:smallCaps/>
          <w:u w:val="double"/>
          <w:lang w:val="es-AR"/>
        </w:rPr>
        <w:t>Sep</w:t>
      </w:r>
      <w:r w:rsidR="00D63C72" w:rsidRPr="007F70EA">
        <w:rPr>
          <w:smallCaps/>
          <w:u w:val="double"/>
          <w:lang w:val="es-AR"/>
        </w:rPr>
        <w:t>u</w:t>
      </w:r>
      <w:r w:rsidRPr="007F70EA">
        <w:rPr>
          <w:smallCaps/>
          <w:u w:val="double"/>
          <w:lang w:val="es-AR"/>
        </w:rPr>
        <w:t>lveda L. M.</w:t>
      </w:r>
      <w:r w:rsidR="007D6723" w:rsidRPr="007F70EA">
        <w:rPr>
          <w:smallCaps/>
          <w:u w:val="double"/>
          <w:lang w:val="es-AR"/>
        </w:rPr>
        <w:t>,</w:t>
      </w:r>
      <w:r w:rsidRPr="007F70EA">
        <w:rPr>
          <w:smallCaps/>
          <w:u w:val="double"/>
          <w:lang w:val="es-AR"/>
        </w:rPr>
        <w:t xml:space="preserve"> Malirat V.</w:t>
      </w:r>
      <w:r w:rsidR="007D6723" w:rsidRPr="007F70EA">
        <w:rPr>
          <w:smallCaps/>
          <w:u w:val="double"/>
          <w:lang w:val="es-AR"/>
        </w:rPr>
        <w:t>,</w:t>
      </w:r>
      <w:r w:rsidRPr="007F70EA">
        <w:rPr>
          <w:smallCaps/>
          <w:u w:val="double"/>
          <w:lang w:val="es-AR"/>
        </w:rPr>
        <w:t xml:space="preserve"> Bergmann I.E.</w:t>
      </w:r>
      <w:r w:rsidR="007D6723" w:rsidRPr="007F70EA">
        <w:rPr>
          <w:smallCaps/>
          <w:u w:val="double"/>
          <w:lang w:val="es-AR"/>
        </w:rPr>
        <w:t>,</w:t>
      </w:r>
      <w:r w:rsidRPr="007F70EA">
        <w:rPr>
          <w:smallCaps/>
          <w:u w:val="double"/>
          <w:lang w:val="es-AR"/>
        </w:rPr>
        <w:t xml:space="preserve"> Mantilla A.</w:t>
      </w:r>
      <w:r w:rsidR="00B909B3" w:rsidRPr="007F70EA">
        <w:rPr>
          <w:smallCaps/>
          <w:u w:val="double"/>
          <w:lang w:val="es-AR"/>
        </w:rPr>
        <w:t xml:space="preserve"> &amp;</w:t>
      </w:r>
      <w:r w:rsidRPr="007F70EA">
        <w:rPr>
          <w:smallCaps/>
          <w:u w:val="double"/>
          <w:lang w:val="es-AR"/>
        </w:rPr>
        <w:t xml:space="preserve"> Nascimento E.R.</w:t>
      </w:r>
      <w:r w:rsidR="00B909B3" w:rsidRPr="007F70EA">
        <w:rPr>
          <w:smallCaps/>
          <w:u w:val="double"/>
          <w:lang w:val="es-AR"/>
        </w:rPr>
        <w:t xml:space="preserve"> </w:t>
      </w:r>
      <w:r w:rsidRPr="00D63C72">
        <w:rPr>
          <w:u w:val="double"/>
          <w:lang w:val="pt-BR"/>
        </w:rPr>
        <w:t xml:space="preserve">(2007). </w:t>
      </w:r>
      <w:r w:rsidRPr="00D63C72">
        <w:rPr>
          <w:u w:val="double"/>
        </w:rPr>
        <w:t xml:space="preserve">Rapid diagnosis of vesicular stomatitis virus in </w:t>
      </w:r>
      <w:r w:rsidR="00AD1D8D" w:rsidRPr="00D63C72">
        <w:rPr>
          <w:u w:val="double"/>
        </w:rPr>
        <w:t>Ecuador</w:t>
      </w:r>
      <w:r w:rsidRPr="00D63C72">
        <w:rPr>
          <w:u w:val="double"/>
        </w:rPr>
        <w:t xml:space="preserve"> by the use of polymerase chain reaction. </w:t>
      </w:r>
      <w:r w:rsidRPr="00D63C72">
        <w:rPr>
          <w:i/>
          <w:iCs/>
          <w:u w:val="double"/>
        </w:rPr>
        <w:t>Br</w:t>
      </w:r>
      <w:r w:rsidR="00B909B3" w:rsidRPr="00D63C72">
        <w:rPr>
          <w:i/>
          <w:iCs/>
          <w:u w:val="double"/>
        </w:rPr>
        <w:t>az.</w:t>
      </w:r>
      <w:r w:rsidRPr="00D63C72">
        <w:rPr>
          <w:i/>
          <w:iCs/>
          <w:u w:val="double"/>
        </w:rPr>
        <w:t xml:space="preserve"> J</w:t>
      </w:r>
      <w:r w:rsidR="00B909B3" w:rsidRPr="00D63C72">
        <w:rPr>
          <w:i/>
          <w:iCs/>
          <w:u w:val="double"/>
        </w:rPr>
        <w:t>.</w:t>
      </w:r>
      <w:r w:rsidRPr="00D63C72">
        <w:rPr>
          <w:i/>
          <w:iCs/>
          <w:u w:val="double"/>
        </w:rPr>
        <w:t xml:space="preserve"> Microbiol</w:t>
      </w:r>
      <w:r w:rsidR="00B909B3" w:rsidRPr="00D63C72">
        <w:rPr>
          <w:u w:val="double"/>
        </w:rPr>
        <w:t xml:space="preserve">., </w:t>
      </w:r>
      <w:r w:rsidRPr="00D63C72">
        <w:rPr>
          <w:b/>
          <w:bCs/>
          <w:u w:val="double"/>
        </w:rPr>
        <w:t>38</w:t>
      </w:r>
      <w:r w:rsidRPr="00D63C72">
        <w:rPr>
          <w:u w:val="double"/>
        </w:rPr>
        <w:t>, 500</w:t>
      </w:r>
      <w:r w:rsidR="00B909B3" w:rsidRPr="00D63C72">
        <w:rPr>
          <w:u w:val="double"/>
        </w:rPr>
        <w:t>–</w:t>
      </w:r>
      <w:r w:rsidRPr="00D63C72">
        <w:rPr>
          <w:u w:val="double"/>
        </w:rPr>
        <w:t>506.</w:t>
      </w:r>
    </w:p>
    <w:p w14:paraId="373033B2" w14:textId="77777777" w:rsidR="00FE12EF" w:rsidRPr="00417BEE" w:rsidRDefault="00FE12EF" w:rsidP="009067F7">
      <w:pPr>
        <w:pStyle w:val="Ref"/>
        <w:ind w:left="0" w:firstLine="0"/>
      </w:pPr>
      <w:r w:rsidRPr="008D1FB1">
        <w:rPr>
          <w:smallCaps/>
        </w:rPr>
        <w:t>Wilson W.C., Letchworkth G.J., Jimenez C., Herrero M.V., Navarro R., Paz P., Cornish T.E., Smoliga G., Pauszek S.J., Dornak C., George M. &amp; Rodriguez L.L.</w:t>
      </w:r>
      <w:r w:rsidRPr="008D1FB1">
        <w:t xml:space="preserve"> (2009). Field evaluation of a multiplex real-time reverse transcription polymerase chain reaction assay for detection of Vesicular stomatitis virus. </w:t>
      </w:r>
      <w:r w:rsidRPr="008D1FB1">
        <w:rPr>
          <w:i/>
        </w:rPr>
        <w:t>J. Vet</w:t>
      </w:r>
      <w:r w:rsidR="009E71A4" w:rsidRPr="008D1FB1">
        <w:rPr>
          <w:i/>
        </w:rPr>
        <w:t>.</w:t>
      </w:r>
      <w:r w:rsidRPr="008D1FB1">
        <w:rPr>
          <w:i/>
        </w:rPr>
        <w:t xml:space="preserve"> Diagn. Invest.</w:t>
      </w:r>
      <w:r w:rsidRPr="008D1FB1">
        <w:t xml:space="preserve">, </w:t>
      </w:r>
      <w:r w:rsidRPr="008D1FB1">
        <w:rPr>
          <w:b/>
        </w:rPr>
        <w:t>21</w:t>
      </w:r>
      <w:r w:rsidRPr="008D1FB1">
        <w:t>, 179</w:t>
      </w:r>
      <w:r w:rsidR="009E71A4" w:rsidRPr="008D1FB1">
        <w:t>–</w:t>
      </w:r>
      <w:r w:rsidRPr="008D1FB1">
        <w:t>186.</w:t>
      </w:r>
    </w:p>
    <w:p w14:paraId="4F3C1119" w14:textId="77777777" w:rsidR="00AB7CA1" w:rsidRPr="00417BEE" w:rsidRDefault="00AB7CA1" w:rsidP="00AB7CA1">
      <w:pPr>
        <w:pStyle w:val="rtoiles"/>
        <w:spacing w:line="240" w:lineRule="auto"/>
        <w:rPr>
          <w:lang w:val="en-GB"/>
        </w:rPr>
      </w:pPr>
      <w:r w:rsidRPr="00417BEE">
        <w:rPr>
          <w:lang w:val="en-GB"/>
        </w:rPr>
        <w:t>*</w:t>
      </w:r>
      <w:r w:rsidRPr="00417BEE">
        <w:rPr>
          <w:lang w:val="en-GB"/>
        </w:rPr>
        <w:br/>
        <w:t>*</w:t>
      </w:r>
      <w:r w:rsidR="00E32823" w:rsidRPr="00417BEE">
        <w:rPr>
          <w:lang w:val="en-GB"/>
        </w:rPr>
        <w:t xml:space="preserve">  </w:t>
      </w:r>
      <w:r w:rsidR="00B70C17" w:rsidRPr="00417BEE">
        <w:rPr>
          <w:lang w:val="en-GB"/>
        </w:rPr>
        <w:t xml:space="preserve"> </w:t>
      </w:r>
      <w:r w:rsidRPr="00417BEE">
        <w:rPr>
          <w:lang w:val="en-GB"/>
        </w:rPr>
        <w:t>*</w:t>
      </w:r>
    </w:p>
    <w:p w14:paraId="4E68D954" w14:textId="5557696F" w:rsidR="008C1EBC" w:rsidRDefault="008C1EBC" w:rsidP="00B15DE8">
      <w:pPr>
        <w:tabs>
          <w:tab w:val="clear" w:pos="-720"/>
        </w:tabs>
        <w:spacing w:before="120" w:after="240" w:line="240" w:lineRule="auto"/>
        <w:jc w:val="center"/>
        <w:rPr>
          <w:rFonts w:ascii="Arial" w:hAnsi="Arial" w:cs="Arial"/>
          <w:sz w:val="18"/>
          <w:szCs w:val="18"/>
          <w:lang w:val="en"/>
        </w:rPr>
      </w:pPr>
      <w:r w:rsidRPr="00417BEE">
        <w:rPr>
          <w:rFonts w:ascii="Arial" w:hAnsi="Arial" w:cs="Arial"/>
          <w:b/>
          <w:bCs/>
          <w:sz w:val="18"/>
          <w:szCs w:val="18"/>
        </w:rPr>
        <w:t>NB:</w:t>
      </w:r>
      <w:r w:rsidRPr="00417BEE">
        <w:rPr>
          <w:rFonts w:ascii="Arial" w:hAnsi="Arial" w:cs="Arial"/>
          <w:sz w:val="18"/>
          <w:szCs w:val="18"/>
        </w:rPr>
        <w:t xml:space="preserve"> There are OIE Reference Laboratories for </w:t>
      </w:r>
      <w:r w:rsidRPr="00417BEE">
        <w:rPr>
          <w:rFonts w:ascii="Arial" w:hAnsi="Arial" w:cs="Arial"/>
          <w:sz w:val="18"/>
          <w:szCs w:val="18"/>
          <w:lang w:val="en"/>
        </w:rPr>
        <w:t>Vesicular stomatitis</w:t>
      </w:r>
      <w:r w:rsidRPr="00417BEE">
        <w:rPr>
          <w:rFonts w:ascii="Arial" w:hAnsi="Arial" w:cs="Arial"/>
          <w:sz w:val="18"/>
          <w:szCs w:val="18"/>
        </w:rPr>
        <w:br/>
      </w:r>
      <w:r w:rsidRPr="00417BEE">
        <w:rPr>
          <w:rStyle w:val="ReflabnoteCar"/>
        </w:rPr>
        <w:t xml:space="preserve">(see Table in </w:t>
      </w:r>
      <w:r w:rsidR="002967D3" w:rsidRPr="00417BEE">
        <w:rPr>
          <w:rStyle w:val="ReflabnoteCar"/>
        </w:rPr>
        <w:t>Part 4</w:t>
      </w:r>
      <w:r w:rsidRPr="00417BEE">
        <w:rPr>
          <w:rStyle w:val="ReflabnoteCar"/>
        </w:rPr>
        <w:t xml:space="preserve"> of this </w:t>
      </w:r>
      <w:r w:rsidRPr="00417BEE">
        <w:rPr>
          <w:rFonts w:ascii="Arial" w:hAnsi="Arial" w:cs="Arial"/>
          <w:i/>
          <w:sz w:val="18"/>
          <w:szCs w:val="18"/>
        </w:rPr>
        <w:t xml:space="preserve">Terrestrial Manual </w:t>
      </w:r>
      <w:r w:rsidRPr="00417BEE">
        <w:rPr>
          <w:rStyle w:val="ReflabnoteCar"/>
        </w:rPr>
        <w:t xml:space="preserve">or consult the OIE Web site for the most up-to-date list: </w:t>
      </w:r>
      <w:hyperlink r:id="rId14" w:history="1">
        <w:r w:rsidR="00B15DE8" w:rsidRPr="00F16D11">
          <w:rPr>
            <w:rFonts w:ascii="Arial" w:hAnsi="Arial" w:cs="Arial"/>
            <w:color w:val="0000FF"/>
            <w:sz w:val="18"/>
            <w:szCs w:val="18"/>
            <w:u w:val="single"/>
          </w:rPr>
          <w:t>http://www.oie.int/en/scientific-expertise/reference-laboratories/list-of-laboratories/</w:t>
        </w:r>
      </w:hyperlink>
      <w:hyperlink r:id="rId15" w:history="1"/>
      <w:r w:rsidRPr="00417BEE">
        <w:rPr>
          <w:rStyle w:val="ReflabnoteCar"/>
        </w:rPr>
        <w:t>).</w:t>
      </w:r>
      <w:r w:rsidR="00044487" w:rsidRPr="00417BEE">
        <w:rPr>
          <w:rStyle w:val="ReflabnoteCar"/>
        </w:rPr>
        <w:br/>
      </w:r>
      <w:r w:rsidRPr="00417BEE">
        <w:rPr>
          <w:rStyle w:val="ReflabnoteCar"/>
        </w:rPr>
        <w:t xml:space="preserve"> </w:t>
      </w:r>
      <w:r w:rsidRPr="00417BEE">
        <w:rPr>
          <w:rFonts w:ascii="Arial" w:hAnsi="Arial" w:cs="Arial"/>
          <w:sz w:val="18"/>
          <w:szCs w:val="18"/>
        </w:rPr>
        <w:t xml:space="preserve">Please contact the OIE Reference Laboratories for any further information on </w:t>
      </w:r>
      <w:r w:rsidRPr="00417BEE">
        <w:rPr>
          <w:rFonts w:ascii="Arial" w:hAnsi="Arial" w:cs="Arial"/>
          <w:sz w:val="18"/>
          <w:szCs w:val="18"/>
        </w:rPr>
        <w:br/>
        <w:t>diagnostic tests</w:t>
      </w:r>
      <w:r w:rsidR="00A7639E" w:rsidRPr="00417BEE">
        <w:rPr>
          <w:rFonts w:ascii="Arial" w:hAnsi="Arial" w:cs="Arial"/>
          <w:sz w:val="18"/>
          <w:szCs w:val="18"/>
        </w:rPr>
        <w:t>,</w:t>
      </w:r>
      <w:r w:rsidRPr="00417BEE">
        <w:rPr>
          <w:rFonts w:ascii="Arial" w:hAnsi="Arial" w:cs="Arial"/>
          <w:sz w:val="18"/>
          <w:szCs w:val="18"/>
        </w:rPr>
        <w:t xml:space="preserve"> reagents </w:t>
      </w:r>
      <w:r w:rsidR="00A7639E" w:rsidRPr="00417BEE">
        <w:rPr>
          <w:rFonts w:ascii="Arial" w:hAnsi="Arial" w:cs="Arial"/>
          <w:sz w:val="18"/>
          <w:szCs w:val="18"/>
        </w:rPr>
        <w:t xml:space="preserve">and vaccines </w:t>
      </w:r>
      <w:r w:rsidRPr="00417BEE">
        <w:rPr>
          <w:rFonts w:ascii="Arial" w:hAnsi="Arial" w:cs="Arial"/>
          <w:sz w:val="18"/>
          <w:szCs w:val="18"/>
        </w:rPr>
        <w:t xml:space="preserve">for </w:t>
      </w:r>
      <w:r w:rsidRPr="00417BEE">
        <w:rPr>
          <w:rFonts w:ascii="Arial" w:hAnsi="Arial" w:cs="Arial"/>
          <w:sz w:val="18"/>
          <w:szCs w:val="18"/>
          <w:lang w:val="en"/>
        </w:rPr>
        <w:t>vesicular stomatitis</w:t>
      </w:r>
    </w:p>
    <w:p w14:paraId="16A5ADD7" w14:textId="3262B9AB" w:rsidR="00B15DE8" w:rsidRPr="00B15DE8" w:rsidRDefault="00B15DE8" w:rsidP="00B15DE8">
      <w:pPr>
        <w:tabs>
          <w:tab w:val="clear" w:pos="-720"/>
        </w:tabs>
        <w:spacing w:before="120" w:after="240" w:line="240" w:lineRule="auto"/>
        <w:jc w:val="center"/>
        <w:rPr>
          <w:rFonts w:ascii="Arial" w:hAnsi="Arial" w:cs="Arial"/>
          <w:sz w:val="18"/>
          <w:szCs w:val="18"/>
          <w:lang w:val="en-IE"/>
        </w:rPr>
      </w:pPr>
      <w:r w:rsidRPr="00003BC4">
        <w:rPr>
          <w:rFonts w:ascii="Arial" w:hAnsi="Arial" w:cs="Arial"/>
          <w:b/>
          <w:smallCaps/>
          <w:sz w:val="18"/>
          <w:szCs w:val="18"/>
        </w:rPr>
        <w:t>NB:</w:t>
      </w:r>
      <w:r w:rsidRPr="00003BC4">
        <w:rPr>
          <w:rFonts w:ascii="Arial" w:hAnsi="Arial" w:cs="Arial"/>
          <w:smallCaps/>
          <w:sz w:val="18"/>
          <w:szCs w:val="18"/>
        </w:rPr>
        <w:t xml:space="preserve"> First adopted in 19</w:t>
      </w:r>
      <w:r>
        <w:rPr>
          <w:rFonts w:ascii="Arial" w:hAnsi="Arial" w:cs="Arial"/>
          <w:smallCaps/>
          <w:sz w:val="18"/>
          <w:szCs w:val="18"/>
        </w:rPr>
        <w:t>90;</w:t>
      </w:r>
      <w:r w:rsidRPr="00003BC4">
        <w:rPr>
          <w:rFonts w:ascii="Arial" w:hAnsi="Arial" w:cs="Arial"/>
          <w:smallCaps/>
          <w:sz w:val="18"/>
          <w:szCs w:val="18"/>
        </w:rPr>
        <w:t xml:space="preserve"> Most recent updates adopted in </w:t>
      </w:r>
      <w:r>
        <w:rPr>
          <w:rFonts w:ascii="Arial" w:hAnsi="Arial" w:cs="Arial"/>
          <w:smallCaps/>
          <w:sz w:val="18"/>
          <w:szCs w:val="18"/>
        </w:rPr>
        <w:t>2015.</w:t>
      </w:r>
    </w:p>
    <w:sectPr w:rsidR="00B15DE8" w:rsidRPr="00B15DE8" w:rsidSect="00D54D37">
      <w:footerReference w:type="first" r:id="rId16"/>
      <w:type w:val="oddPage"/>
      <w:pgSz w:w="11907" w:h="16840" w:code="9"/>
      <w:pgMar w:top="-1418" w:right="1418" w:bottom="1418" w:left="1418" w:header="567" w:footer="567" w:gutter="0"/>
      <w:paperSrc w:first="259" w:other="259"/>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B3692" w16cex:dateUtc="2020-09-15T10:48:00Z"/>
  <w16cex:commentExtensible w16cex:durableId="22FE41FF" w16cex:dateUtc="2020-09-05T19:57:00Z"/>
  <w16cex:commentExtensible w16cex:durableId="22FE41A0" w16cex:dateUtc="2020-09-05T19:56:00Z"/>
  <w16cex:commentExtensible w16cex:durableId="22FE4377" w16cex:dateUtc="2020-09-05T20:03:00Z"/>
  <w16cex:commentExtensible w16cex:durableId="22FE43E5" w16cex:dateUtc="2020-09-05T20:05:00Z"/>
  <w16cex:commentExtensible w16cex:durableId="22FE4576" w16cex:dateUtc="2020-09-05T20:12:00Z"/>
  <w16cex:commentExtensible w16cex:durableId="22FE45A4" w16cex:dateUtc="2020-09-05T20:13:00Z"/>
  <w16cex:commentExtensible w16cex:durableId="22FE46CF" w16cex:dateUtc="2020-09-05T20: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8309C" w14:textId="77777777" w:rsidR="005C0BC9" w:rsidRDefault="005C0BC9">
      <w:r>
        <w:separator/>
      </w:r>
    </w:p>
  </w:endnote>
  <w:endnote w:type="continuationSeparator" w:id="0">
    <w:p w14:paraId="344D546A" w14:textId="77777777" w:rsidR="005C0BC9" w:rsidRDefault="005C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Shell Dlg">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A7BD6" w14:textId="6B088AA4" w:rsidR="005C0BC9" w:rsidRDefault="005C0BC9" w:rsidP="008D4C2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w:t>
    </w:r>
    <w:r>
      <w:rPr>
        <w:rFonts w:ascii="Ottawa" w:hAnsi="Ottawa"/>
        <w:sz w:val="22"/>
      </w:rPr>
      <w:fldChar w:fldCharType="end"/>
    </w:r>
    <w:r>
      <w:rPr>
        <w:rFonts w:ascii="Ottawa" w:hAnsi="Ottawa"/>
        <w:i/>
        <w:sz w:val="18"/>
      </w:rPr>
      <w:tab/>
    </w: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D1CFA" w14:textId="5D1DEC63" w:rsidR="005C0BC9" w:rsidRDefault="005C0BC9" w:rsidP="008D4C2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51713" w14:textId="76AB162E" w:rsidR="005C0BC9" w:rsidRPr="00D34E10" w:rsidRDefault="005C0BC9" w:rsidP="00D34E1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B99" w14:textId="77777777" w:rsidR="005C0BC9" w:rsidRDefault="005C0BC9" w:rsidP="008D4C2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EC140" w14:textId="77777777" w:rsidR="005C0BC9" w:rsidRDefault="005C0BC9">
      <w:r>
        <w:separator/>
      </w:r>
    </w:p>
  </w:footnote>
  <w:footnote w:type="continuationSeparator" w:id="0">
    <w:p w14:paraId="622EB5C2" w14:textId="77777777" w:rsidR="005C0BC9" w:rsidRDefault="005C0BC9">
      <w:r>
        <w:continuationSeparator/>
      </w:r>
    </w:p>
  </w:footnote>
  <w:footnote w:id="1">
    <w:p w14:paraId="16EBF327" w14:textId="49F22598" w:rsidR="005C0BC9" w:rsidRPr="0019658A" w:rsidRDefault="005C0BC9" w:rsidP="00D826B8">
      <w:pPr>
        <w:pStyle w:val="Notedebasdepage"/>
        <w:tabs>
          <w:tab w:val="clear" w:pos="-720"/>
          <w:tab w:val="left" w:pos="-709"/>
        </w:tabs>
        <w:spacing w:line="240" w:lineRule="auto"/>
        <w:ind w:left="426" w:hanging="426"/>
        <w:rPr>
          <w:rFonts w:ascii="Arial" w:hAnsi="Arial"/>
          <w:sz w:val="16"/>
        </w:rPr>
      </w:pPr>
      <w:r w:rsidRPr="0019658A">
        <w:rPr>
          <w:rFonts w:ascii="Arial" w:hAnsi="Arial"/>
          <w:sz w:val="16"/>
        </w:rPr>
        <w:footnoteRef/>
      </w:r>
      <w:r w:rsidRPr="0019658A">
        <w:rPr>
          <w:rFonts w:ascii="Arial" w:hAnsi="Arial"/>
          <w:sz w:val="16"/>
        </w:rPr>
        <w:tab/>
        <w:t>Pirbright Institute, Ash Road, Pirbright, Woking, Surrey GU24 0NF, United Kingdom.</w:t>
      </w:r>
    </w:p>
  </w:footnote>
  <w:footnote w:id="2">
    <w:p w14:paraId="74DBDB42" w14:textId="77777777" w:rsidR="005C0BC9" w:rsidRPr="0019658A" w:rsidRDefault="005C0BC9" w:rsidP="00D066C5">
      <w:pPr>
        <w:pStyle w:val="Notedebasdepage"/>
        <w:tabs>
          <w:tab w:val="left" w:pos="-1843"/>
        </w:tabs>
        <w:spacing w:line="240" w:lineRule="auto"/>
        <w:ind w:left="425" w:hanging="425"/>
      </w:pPr>
      <w:r w:rsidRPr="0019658A">
        <w:rPr>
          <w:rStyle w:val="Appelnotedebasdep"/>
          <w:rFonts w:ascii="Arial" w:hAnsi="Arial" w:cs="Arial"/>
          <w:sz w:val="16"/>
          <w:szCs w:val="16"/>
          <w:vertAlign w:val="baseline"/>
        </w:rPr>
        <w:footnoteRef/>
      </w:r>
      <w:r w:rsidRPr="0019658A">
        <w:rPr>
          <w:rFonts w:ascii="Arial" w:hAnsi="Arial" w:cs="Arial"/>
          <w:sz w:val="16"/>
          <w:szCs w:val="16"/>
        </w:rPr>
        <w:t xml:space="preserve"> </w:t>
      </w:r>
      <w:r w:rsidRPr="0019658A">
        <w:rPr>
          <w:rFonts w:ascii="Arial" w:hAnsi="Arial" w:cs="Arial"/>
          <w:sz w:val="16"/>
          <w:szCs w:val="16"/>
        </w:rPr>
        <w:tab/>
        <w:t xml:space="preserve">A combination of agent identification methods applied on the same clinical sample is recommended. </w:t>
      </w:r>
    </w:p>
  </w:footnote>
  <w:footnote w:id="3">
    <w:p w14:paraId="317766BE" w14:textId="77777777" w:rsidR="005C0BC9" w:rsidRPr="0019658A" w:rsidRDefault="005C0BC9" w:rsidP="00E147C4">
      <w:pPr>
        <w:pStyle w:val="Notedebasdepage"/>
        <w:spacing w:line="240" w:lineRule="auto"/>
        <w:ind w:left="425" w:hanging="425"/>
      </w:pPr>
      <w:r w:rsidRPr="0019658A">
        <w:rPr>
          <w:rStyle w:val="Appelnotedebasdep"/>
          <w:rFonts w:ascii="Arial" w:hAnsi="Arial" w:cs="Arial"/>
          <w:sz w:val="16"/>
          <w:szCs w:val="16"/>
          <w:vertAlign w:val="baseline"/>
        </w:rPr>
        <w:footnoteRef/>
      </w:r>
      <w:r w:rsidRPr="0019658A">
        <w:rPr>
          <w:rFonts w:ascii="Arial" w:hAnsi="Arial" w:cs="Arial"/>
          <w:sz w:val="16"/>
          <w:szCs w:val="16"/>
        </w:rPr>
        <w:t xml:space="preserve"> </w:t>
      </w:r>
      <w:r w:rsidRPr="0019658A">
        <w:rPr>
          <w:rFonts w:ascii="Arial" w:hAnsi="Arial" w:cs="Arial"/>
          <w:sz w:val="16"/>
          <w:szCs w:val="16"/>
        </w:rPr>
        <w:tab/>
        <w:t>One of the listed serological tests is sufficient.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49669" w14:textId="2D819A01" w:rsidR="005C0BC9" w:rsidRDefault="005C0BC9" w:rsidP="00E366C7">
    <w:pPr>
      <w:pBdr>
        <w:bottom w:val="single" w:sz="6" w:space="1" w:color="auto"/>
      </w:pBdr>
      <w:spacing w:line="240" w:lineRule="auto"/>
      <w:ind w:right="-1"/>
      <w:jc w:val="center"/>
      <w:rPr>
        <w:rFonts w:ascii="Ottawa" w:hAnsi="Ottawa"/>
        <w:i/>
      </w:rPr>
    </w:pPr>
    <w:r>
      <w:rPr>
        <w:rFonts w:ascii="Ottawa" w:hAnsi="Ottawa"/>
        <w:i/>
      </w:rPr>
      <w:t>Chapter 3.1.23. – Vesicular stomatitis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62B77" w14:textId="68846756" w:rsidR="005C0BC9" w:rsidRDefault="005C0BC9" w:rsidP="00E366C7">
    <w:pPr>
      <w:pBdr>
        <w:bottom w:val="single" w:sz="6" w:space="1" w:color="auto"/>
      </w:pBdr>
      <w:spacing w:line="240" w:lineRule="auto"/>
      <w:ind w:right="-1"/>
      <w:jc w:val="center"/>
      <w:rPr>
        <w:rFonts w:ascii="Ottawa" w:hAnsi="Ottawa"/>
        <w:i/>
      </w:rPr>
    </w:pPr>
    <w:r>
      <w:rPr>
        <w:rFonts w:ascii="Ottawa" w:hAnsi="Ottawa"/>
        <w:i/>
      </w:rPr>
      <w:t>Chapter 3.1.23. – Vesicular stomatitis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2F99" w14:textId="77777777" w:rsidR="005C0BC9" w:rsidRDefault="005C0BC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C4035"/>
    <w:multiLevelType w:val="multilevel"/>
    <w:tmpl w:val="D8B2B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470D55"/>
    <w:multiLevelType w:val="multilevel"/>
    <w:tmpl w:val="A276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 w15:restartNumberingAfterBreak="0">
    <w:nsid w:val="7A5971F5"/>
    <w:multiLevelType w:val="hybridMultilevel"/>
    <w:tmpl w:val="BB7294AA"/>
    <w:lvl w:ilvl="0" w:tplc="1E62E0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2"/>
  </w:num>
  <w:num w:numId="2">
    <w:abstractNumId w:val="4"/>
  </w:num>
  <w:num w:numId="3">
    <w:abstractNumId w:val="4"/>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s-ES" w:vendorID="64" w:dllVersion="6" w:nlCheck="1" w:checkStyle="1"/>
  <w:activeWritingStyle w:appName="MSWord" w:lang="en-IE" w:vendorID="64" w:dllVersion="6" w:nlCheck="1" w:checkStyle="1"/>
  <w:activeWritingStyle w:appName="MSWord" w:lang="en-US" w:vendorID="64" w:dllVersion="6" w:nlCheck="1" w:checkStyle="1"/>
  <w:activeWritingStyle w:appName="MSWord" w:lang="es-CO"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CO" w:vendorID="64" w:dllVersion="0" w:nlCheck="1" w:checkStyle="0"/>
  <w:activeWritingStyle w:appName="MSWord" w:lang="nl-NL" w:vendorID="64" w:dllVersion="0" w:nlCheck="1" w:checkStyle="0"/>
  <w:activeWritingStyle w:appName="MSWord" w:lang="de-DE" w:vendorID="64" w:dllVersion="0" w:nlCheck="1" w:checkStyle="0"/>
  <w:activeWritingStyle w:appName="MSWord" w:lang="es-ES" w:vendorID="64" w:dllVersion="0" w:nlCheck="1" w:checkStyle="0"/>
  <w:activeWritingStyle w:appName="MSWord" w:lang="pt-BR" w:vendorID="64" w:dllVersion="0" w:nlCheck="1" w:checkStyle="0"/>
  <w:activeWritingStyle w:appName="MSWord" w:lang="fr-FR" w:vendorID="64" w:dllVersion="0" w:nlCheck="1" w:checkStyle="0"/>
  <w:activeWritingStyle w:appName="MSWord" w:lang="es-AR" w:vendorID="64" w:dllVersion="0" w:nlCheck="1" w:checkStyle="0"/>
  <w:activeWritingStyle w:appName="MSWord" w:lang="es-AR" w:vendorID="64" w:dllVersion="6" w:nlCheck="1" w:checkStyle="1"/>
  <w:activeWritingStyle w:appName="MSWord" w:lang="en-GB" w:vendorID="8" w:dllVersion="513" w:checkStyle="1"/>
  <w:activeWritingStyle w:appName="MSWord" w:lang="en-US" w:vendorID="8" w:dllVersion="513" w:checkStyle="1"/>
  <w:activeWritingStyle w:appName="MSWord" w:lang="nl-NL"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BB5"/>
    <w:rsid w:val="00001168"/>
    <w:rsid w:val="000070C6"/>
    <w:rsid w:val="000134CC"/>
    <w:rsid w:val="000141FD"/>
    <w:rsid w:val="0001636C"/>
    <w:rsid w:val="000275F1"/>
    <w:rsid w:val="0003496E"/>
    <w:rsid w:val="00034E99"/>
    <w:rsid w:val="00036034"/>
    <w:rsid w:val="000364B9"/>
    <w:rsid w:val="000364FC"/>
    <w:rsid w:val="00040E5D"/>
    <w:rsid w:val="0004182F"/>
    <w:rsid w:val="00044487"/>
    <w:rsid w:val="0004564E"/>
    <w:rsid w:val="000528FC"/>
    <w:rsid w:val="000655E9"/>
    <w:rsid w:val="00070924"/>
    <w:rsid w:val="000744C8"/>
    <w:rsid w:val="00081BC1"/>
    <w:rsid w:val="0008476B"/>
    <w:rsid w:val="0008497F"/>
    <w:rsid w:val="0009027A"/>
    <w:rsid w:val="00093C2E"/>
    <w:rsid w:val="00094BE3"/>
    <w:rsid w:val="0009712E"/>
    <w:rsid w:val="000A08D3"/>
    <w:rsid w:val="000A6FAC"/>
    <w:rsid w:val="000B2F45"/>
    <w:rsid w:val="000B3336"/>
    <w:rsid w:val="000B3B0D"/>
    <w:rsid w:val="000B5E77"/>
    <w:rsid w:val="000B6B38"/>
    <w:rsid w:val="000B6D11"/>
    <w:rsid w:val="000C1939"/>
    <w:rsid w:val="000C5432"/>
    <w:rsid w:val="000C5709"/>
    <w:rsid w:val="000D3FD8"/>
    <w:rsid w:val="000D4B7E"/>
    <w:rsid w:val="000D753A"/>
    <w:rsid w:val="000E1743"/>
    <w:rsid w:val="000E290D"/>
    <w:rsid w:val="000F10E4"/>
    <w:rsid w:val="000F1B4C"/>
    <w:rsid w:val="000F1B8C"/>
    <w:rsid w:val="000F30B1"/>
    <w:rsid w:val="000F4573"/>
    <w:rsid w:val="000F54BE"/>
    <w:rsid w:val="000F7437"/>
    <w:rsid w:val="00101143"/>
    <w:rsid w:val="00105AC6"/>
    <w:rsid w:val="00106F30"/>
    <w:rsid w:val="00111D66"/>
    <w:rsid w:val="0012209D"/>
    <w:rsid w:val="00123465"/>
    <w:rsid w:val="00125E1E"/>
    <w:rsid w:val="001279F8"/>
    <w:rsid w:val="001348B7"/>
    <w:rsid w:val="00141EAD"/>
    <w:rsid w:val="00153A1A"/>
    <w:rsid w:val="00155517"/>
    <w:rsid w:val="0015570E"/>
    <w:rsid w:val="001628EF"/>
    <w:rsid w:val="00167408"/>
    <w:rsid w:val="00180384"/>
    <w:rsid w:val="001807F8"/>
    <w:rsid w:val="0018209A"/>
    <w:rsid w:val="00182A0C"/>
    <w:rsid w:val="00183DE9"/>
    <w:rsid w:val="0018448D"/>
    <w:rsid w:val="00190785"/>
    <w:rsid w:val="0019658A"/>
    <w:rsid w:val="001A6522"/>
    <w:rsid w:val="001D353E"/>
    <w:rsid w:val="001D56CD"/>
    <w:rsid w:val="001E24B0"/>
    <w:rsid w:val="001E5C21"/>
    <w:rsid w:val="001F473E"/>
    <w:rsid w:val="002003CC"/>
    <w:rsid w:val="00212A1F"/>
    <w:rsid w:val="00213DD7"/>
    <w:rsid w:val="00214680"/>
    <w:rsid w:val="00214FD0"/>
    <w:rsid w:val="002175B0"/>
    <w:rsid w:val="002201E2"/>
    <w:rsid w:val="002213A0"/>
    <w:rsid w:val="002222BD"/>
    <w:rsid w:val="00223D10"/>
    <w:rsid w:val="00225BB5"/>
    <w:rsid w:val="00225E9C"/>
    <w:rsid w:val="002263DA"/>
    <w:rsid w:val="00230BE2"/>
    <w:rsid w:val="0023197E"/>
    <w:rsid w:val="00234100"/>
    <w:rsid w:val="00235219"/>
    <w:rsid w:val="00242A97"/>
    <w:rsid w:val="002452E8"/>
    <w:rsid w:val="00246B48"/>
    <w:rsid w:val="00252038"/>
    <w:rsid w:val="002522CA"/>
    <w:rsid w:val="00253D8A"/>
    <w:rsid w:val="00253EE5"/>
    <w:rsid w:val="00256FAB"/>
    <w:rsid w:val="002575A5"/>
    <w:rsid w:val="00261AB9"/>
    <w:rsid w:val="00263015"/>
    <w:rsid w:val="00272847"/>
    <w:rsid w:val="002834BE"/>
    <w:rsid w:val="00286063"/>
    <w:rsid w:val="00287B1D"/>
    <w:rsid w:val="00291101"/>
    <w:rsid w:val="002967D3"/>
    <w:rsid w:val="00296F46"/>
    <w:rsid w:val="002A0243"/>
    <w:rsid w:val="002A2E3B"/>
    <w:rsid w:val="002B219B"/>
    <w:rsid w:val="002B381B"/>
    <w:rsid w:val="002B6234"/>
    <w:rsid w:val="002C1305"/>
    <w:rsid w:val="002C1364"/>
    <w:rsid w:val="002C2357"/>
    <w:rsid w:val="002C411F"/>
    <w:rsid w:val="002C5BB0"/>
    <w:rsid w:val="002C65DF"/>
    <w:rsid w:val="002C75A6"/>
    <w:rsid w:val="002D00A2"/>
    <w:rsid w:val="002D28F3"/>
    <w:rsid w:val="002D4F9F"/>
    <w:rsid w:val="002F1327"/>
    <w:rsid w:val="002F13C1"/>
    <w:rsid w:val="002F15D4"/>
    <w:rsid w:val="002F19BA"/>
    <w:rsid w:val="0031628E"/>
    <w:rsid w:val="003200D1"/>
    <w:rsid w:val="00322389"/>
    <w:rsid w:val="00324D22"/>
    <w:rsid w:val="00325CEA"/>
    <w:rsid w:val="00332040"/>
    <w:rsid w:val="00335621"/>
    <w:rsid w:val="003442C2"/>
    <w:rsid w:val="0035441B"/>
    <w:rsid w:val="00357636"/>
    <w:rsid w:val="00357D73"/>
    <w:rsid w:val="00357E59"/>
    <w:rsid w:val="0036124D"/>
    <w:rsid w:val="00361C79"/>
    <w:rsid w:val="00362A6B"/>
    <w:rsid w:val="00365A4B"/>
    <w:rsid w:val="003750BF"/>
    <w:rsid w:val="00382076"/>
    <w:rsid w:val="00382F97"/>
    <w:rsid w:val="0038370E"/>
    <w:rsid w:val="003A0027"/>
    <w:rsid w:val="003A008C"/>
    <w:rsid w:val="003A3A9F"/>
    <w:rsid w:val="003A4C34"/>
    <w:rsid w:val="003B17C5"/>
    <w:rsid w:val="003B7CC0"/>
    <w:rsid w:val="003C3C0A"/>
    <w:rsid w:val="003C3D3C"/>
    <w:rsid w:val="003D1590"/>
    <w:rsid w:val="003D1D1A"/>
    <w:rsid w:val="003D4239"/>
    <w:rsid w:val="003D47D4"/>
    <w:rsid w:val="003E0E95"/>
    <w:rsid w:val="003E4987"/>
    <w:rsid w:val="003F1B1C"/>
    <w:rsid w:val="003F5A49"/>
    <w:rsid w:val="003F720F"/>
    <w:rsid w:val="003F75AA"/>
    <w:rsid w:val="003F77BC"/>
    <w:rsid w:val="00402B22"/>
    <w:rsid w:val="00406D39"/>
    <w:rsid w:val="0041596C"/>
    <w:rsid w:val="00417BEE"/>
    <w:rsid w:val="00423F78"/>
    <w:rsid w:val="0042460D"/>
    <w:rsid w:val="00432C10"/>
    <w:rsid w:val="0043505F"/>
    <w:rsid w:val="004367FC"/>
    <w:rsid w:val="00437B87"/>
    <w:rsid w:val="004409B1"/>
    <w:rsid w:val="004417EB"/>
    <w:rsid w:val="00443AEE"/>
    <w:rsid w:val="00461254"/>
    <w:rsid w:val="0047201F"/>
    <w:rsid w:val="004730A6"/>
    <w:rsid w:val="00473F99"/>
    <w:rsid w:val="00476925"/>
    <w:rsid w:val="00480FC5"/>
    <w:rsid w:val="00481048"/>
    <w:rsid w:val="0048196A"/>
    <w:rsid w:val="004915B4"/>
    <w:rsid w:val="00494144"/>
    <w:rsid w:val="00497DA2"/>
    <w:rsid w:val="004A203D"/>
    <w:rsid w:val="004A21DB"/>
    <w:rsid w:val="004A69F7"/>
    <w:rsid w:val="004B13DF"/>
    <w:rsid w:val="004C4E0C"/>
    <w:rsid w:val="004C5219"/>
    <w:rsid w:val="004C7534"/>
    <w:rsid w:val="004D4F77"/>
    <w:rsid w:val="004E05FD"/>
    <w:rsid w:val="004E42A4"/>
    <w:rsid w:val="004E51ED"/>
    <w:rsid w:val="00500049"/>
    <w:rsid w:val="00512DA5"/>
    <w:rsid w:val="00513500"/>
    <w:rsid w:val="005216EB"/>
    <w:rsid w:val="005279A4"/>
    <w:rsid w:val="005368A4"/>
    <w:rsid w:val="005404F8"/>
    <w:rsid w:val="00542CCD"/>
    <w:rsid w:val="00544DAD"/>
    <w:rsid w:val="005539D1"/>
    <w:rsid w:val="00554222"/>
    <w:rsid w:val="00557247"/>
    <w:rsid w:val="00562E59"/>
    <w:rsid w:val="0056346A"/>
    <w:rsid w:val="00564F53"/>
    <w:rsid w:val="005743D9"/>
    <w:rsid w:val="00595425"/>
    <w:rsid w:val="005961F4"/>
    <w:rsid w:val="0059793D"/>
    <w:rsid w:val="005A4033"/>
    <w:rsid w:val="005A48D4"/>
    <w:rsid w:val="005B1B00"/>
    <w:rsid w:val="005B4BA8"/>
    <w:rsid w:val="005B6F48"/>
    <w:rsid w:val="005C0BC9"/>
    <w:rsid w:val="005C0D8E"/>
    <w:rsid w:val="005C1B22"/>
    <w:rsid w:val="005C4661"/>
    <w:rsid w:val="005C52D3"/>
    <w:rsid w:val="005D0B55"/>
    <w:rsid w:val="005D53C3"/>
    <w:rsid w:val="005E5598"/>
    <w:rsid w:val="005E7E88"/>
    <w:rsid w:val="005F0A04"/>
    <w:rsid w:val="005F3C2E"/>
    <w:rsid w:val="00600067"/>
    <w:rsid w:val="006016A9"/>
    <w:rsid w:val="00602621"/>
    <w:rsid w:val="00604AD2"/>
    <w:rsid w:val="006050F5"/>
    <w:rsid w:val="00614562"/>
    <w:rsid w:val="0061517F"/>
    <w:rsid w:val="00615848"/>
    <w:rsid w:val="00617DEB"/>
    <w:rsid w:val="006312C2"/>
    <w:rsid w:val="00632261"/>
    <w:rsid w:val="006328C3"/>
    <w:rsid w:val="00635EDD"/>
    <w:rsid w:val="0064086E"/>
    <w:rsid w:val="00643A20"/>
    <w:rsid w:val="00651ED0"/>
    <w:rsid w:val="00651FB3"/>
    <w:rsid w:val="00652658"/>
    <w:rsid w:val="00661A38"/>
    <w:rsid w:val="006647E4"/>
    <w:rsid w:val="00690D0D"/>
    <w:rsid w:val="00692795"/>
    <w:rsid w:val="006A25AB"/>
    <w:rsid w:val="006A59FD"/>
    <w:rsid w:val="006A64D8"/>
    <w:rsid w:val="006A715A"/>
    <w:rsid w:val="006B0768"/>
    <w:rsid w:val="006B1B98"/>
    <w:rsid w:val="006B45C9"/>
    <w:rsid w:val="006B5CFB"/>
    <w:rsid w:val="006B65DF"/>
    <w:rsid w:val="006B66DA"/>
    <w:rsid w:val="006C70C7"/>
    <w:rsid w:val="006D2DB2"/>
    <w:rsid w:val="006D6589"/>
    <w:rsid w:val="006E4D14"/>
    <w:rsid w:val="006E7C15"/>
    <w:rsid w:val="006F15D0"/>
    <w:rsid w:val="006F4DDC"/>
    <w:rsid w:val="006F7B2F"/>
    <w:rsid w:val="00702765"/>
    <w:rsid w:val="00704451"/>
    <w:rsid w:val="0070676F"/>
    <w:rsid w:val="00711332"/>
    <w:rsid w:val="007211E1"/>
    <w:rsid w:val="00723513"/>
    <w:rsid w:val="00724501"/>
    <w:rsid w:val="00727E3D"/>
    <w:rsid w:val="007326B6"/>
    <w:rsid w:val="007348AC"/>
    <w:rsid w:val="00737055"/>
    <w:rsid w:val="00737726"/>
    <w:rsid w:val="0074489C"/>
    <w:rsid w:val="007461CE"/>
    <w:rsid w:val="007561E2"/>
    <w:rsid w:val="00757101"/>
    <w:rsid w:val="007575E9"/>
    <w:rsid w:val="00757732"/>
    <w:rsid w:val="00760544"/>
    <w:rsid w:val="00766081"/>
    <w:rsid w:val="00767976"/>
    <w:rsid w:val="00770583"/>
    <w:rsid w:val="007716E6"/>
    <w:rsid w:val="007747A9"/>
    <w:rsid w:val="007873CF"/>
    <w:rsid w:val="007926A9"/>
    <w:rsid w:val="007A2F28"/>
    <w:rsid w:val="007B242A"/>
    <w:rsid w:val="007B568F"/>
    <w:rsid w:val="007B6AB8"/>
    <w:rsid w:val="007B79ED"/>
    <w:rsid w:val="007C771B"/>
    <w:rsid w:val="007D0203"/>
    <w:rsid w:val="007D0404"/>
    <w:rsid w:val="007D054F"/>
    <w:rsid w:val="007D5C1A"/>
    <w:rsid w:val="007D6723"/>
    <w:rsid w:val="007E307F"/>
    <w:rsid w:val="007E4AC2"/>
    <w:rsid w:val="007E5642"/>
    <w:rsid w:val="007E6FE5"/>
    <w:rsid w:val="007E7319"/>
    <w:rsid w:val="007F0BD1"/>
    <w:rsid w:val="007F105B"/>
    <w:rsid w:val="007F70EA"/>
    <w:rsid w:val="00804110"/>
    <w:rsid w:val="00821EBF"/>
    <w:rsid w:val="00822062"/>
    <w:rsid w:val="0082340D"/>
    <w:rsid w:val="00832B92"/>
    <w:rsid w:val="008332FC"/>
    <w:rsid w:val="0083760B"/>
    <w:rsid w:val="00842096"/>
    <w:rsid w:val="00846C4B"/>
    <w:rsid w:val="00847DD0"/>
    <w:rsid w:val="00851ABD"/>
    <w:rsid w:val="00856AA7"/>
    <w:rsid w:val="00856B2A"/>
    <w:rsid w:val="008572AB"/>
    <w:rsid w:val="00861396"/>
    <w:rsid w:val="00864E09"/>
    <w:rsid w:val="00871240"/>
    <w:rsid w:val="00872A99"/>
    <w:rsid w:val="00883A81"/>
    <w:rsid w:val="00887B0F"/>
    <w:rsid w:val="008A21C9"/>
    <w:rsid w:val="008A2780"/>
    <w:rsid w:val="008A29C7"/>
    <w:rsid w:val="008A41ED"/>
    <w:rsid w:val="008A45FC"/>
    <w:rsid w:val="008B1E42"/>
    <w:rsid w:val="008B353F"/>
    <w:rsid w:val="008B6A15"/>
    <w:rsid w:val="008C1EBC"/>
    <w:rsid w:val="008C5F66"/>
    <w:rsid w:val="008D1FB1"/>
    <w:rsid w:val="008D2169"/>
    <w:rsid w:val="008D3309"/>
    <w:rsid w:val="008D4C2E"/>
    <w:rsid w:val="008D5737"/>
    <w:rsid w:val="008D5EFB"/>
    <w:rsid w:val="008D7F7A"/>
    <w:rsid w:val="008E199B"/>
    <w:rsid w:val="008E5094"/>
    <w:rsid w:val="008F2B5D"/>
    <w:rsid w:val="008F5EA9"/>
    <w:rsid w:val="00900887"/>
    <w:rsid w:val="009015FD"/>
    <w:rsid w:val="00902617"/>
    <w:rsid w:val="009048C5"/>
    <w:rsid w:val="00906745"/>
    <w:rsid w:val="009067F7"/>
    <w:rsid w:val="00922292"/>
    <w:rsid w:val="00923E49"/>
    <w:rsid w:val="00923E96"/>
    <w:rsid w:val="00933622"/>
    <w:rsid w:val="00936E4E"/>
    <w:rsid w:val="0094427F"/>
    <w:rsid w:val="00946D66"/>
    <w:rsid w:val="00952577"/>
    <w:rsid w:val="00956C39"/>
    <w:rsid w:val="009614AF"/>
    <w:rsid w:val="0096204F"/>
    <w:rsid w:val="0096258F"/>
    <w:rsid w:val="00967701"/>
    <w:rsid w:val="00967DC8"/>
    <w:rsid w:val="00974137"/>
    <w:rsid w:val="00974CE7"/>
    <w:rsid w:val="00982163"/>
    <w:rsid w:val="00986F36"/>
    <w:rsid w:val="00987801"/>
    <w:rsid w:val="00993AB9"/>
    <w:rsid w:val="009956CF"/>
    <w:rsid w:val="009A35F1"/>
    <w:rsid w:val="009A45CB"/>
    <w:rsid w:val="009B4104"/>
    <w:rsid w:val="009B74B1"/>
    <w:rsid w:val="009C26E9"/>
    <w:rsid w:val="009C3496"/>
    <w:rsid w:val="009D33F2"/>
    <w:rsid w:val="009D747D"/>
    <w:rsid w:val="009E4F3D"/>
    <w:rsid w:val="009E6BE3"/>
    <w:rsid w:val="009E71A4"/>
    <w:rsid w:val="009F40F0"/>
    <w:rsid w:val="009F6812"/>
    <w:rsid w:val="00A023D2"/>
    <w:rsid w:val="00A12203"/>
    <w:rsid w:val="00A14504"/>
    <w:rsid w:val="00A278E5"/>
    <w:rsid w:val="00A32C3B"/>
    <w:rsid w:val="00A42830"/>
    <w:rsid w:val="00A452F3"/>
    <w:rsid w:val="00A621EB"/>
    <w:rsid w:val="00A62545"/>
    <w:rsid w:val="00A662C5"/>
    <w:rsid w:val="00A66E82"/>
    <w:rsid w:val="00A75D0F"/>
    <w:rsid w:val="00A7639E"/>
    <w:rsid w:val="00A85148"/>
    <w:rsid w:val="00A87E1A"/>
    <w:rsid w:val="00A95D01"/>
    <w:rsid w:val="00A96C04"/>
    <w:rsid w:val="00AA001C"/>
    <w:rsid w:val="00AA0FD7"/>
    <w:rsid w:val="00AA50CE"/>
    <w:rsid w:val="00AA5D61"/>
    <w:rsid w:val="00AA6364"/>
    <w:rsid w:val="00AB3E08"/>
    <w:rsid w:val="00AB4A4D"/>
    <w:rsid w:val="00AB4CBB"/>
    <w:rsid w:val="00AB55EC"/>
    <w:rsid w:val="00AB6B42"/>
    <w:rsid w:val="00AB7CA1"/>
    <w:rsid w:val="00AD1D8D"/>
    <w:rsid w:val="00AD3B15"/>
    <w:rsid w:val="00AD3E4F"/>
    <w:rsid w:val="00AD4D2B"/>
    <w:rsid w:val="00AE161A"/>
    <w:rsid w:val="00AE283C"/>
    <w:rsid w:val="00AE4AC6"/>
    <w:rsid w:val="00AF24EB"/>
    <w:rsid w:val="00B00058"/>
    <w:rsid w:val="00B00B15"/>
    <w:rsid w:val="00B0320C"/>
    <w:rsid w:val="00B040F7"/>
    <w:rsid w:val="00B07579"/>
    <w:rsid w:val="00B07D9E"/>
    <w:rsid w:val="00B07F2C"/>
    <w:rsid w:val="00B10354"/>
    <w:rsid w:val="00B104E5"/>
    <w:rsid w:val="00B15A97"/>
    <w:rsid w:val="00B15DE8"/>
    <w:rsid w:val="00B174A1"/>
    <w:rsid w:val="00B177E9"/>
    <w:rsid w:val="00B2179C"/>
    <w:rsid w:val="00B228DA"/>
    <w:rsid w:val="00B26319"/>
    <w:rsid w:val="00B26DFA"/>
    <w:rsid w:val="00B31C35"/>
    <w:rsid w:val="00B330D3"/>
    <w:rsid w:val="00B355E3"/>
    <w:rsid w:val="00B35AE4"/>
    <w:rsid w:val="00B41764"/>
    <w:rsid w:val="00B4391A"/>
    <w:rsid w:val="00B510EB"/>
    <w:rsid w:val="00B57509"/>
    <w:rsid w:val="00B576B6"/>
    <w:rsid w:val="00B6149E"/>
    <w:rsid w:val="00B619E9"/>
    <w:rsid w:val="00B70C17"/>
    <w:rsid w:val="00B75ED2"/>
    <w:rsid w:val="00B75F61"/>
    <w:rsid w:val="00B80CB1"/>
    <w:rsid w:val="00B824B7"/>
    <w:rsid w:val="00B84702"/>
    <w:rsid w:val="00B909B3"/>
    <w:rsid w:val="00BA3FD1"/>
    <w:rsid w:val="00BB2B49"/>
    <w:rsid w:val="00BC0353"/>
    <w:rsid w:val="00BC0B24"/>
    <w:rsid w:val="00BC1CEE"/>
    <w:rsid w:val="00BD7C80"/>
    <w:rsid w:val="00BE10E1"/>
    <w:rsid w:val="00BE368A"/>
    <w:rsid w:val="00BF2ABB"/>
    <w:rsid w:val="00BF5306"/>
    <w:rsid w:val="00C01CE3"/>
    <w:rsid w:val="00C01EDB"/>
    <w:rsid w:val="00C03A1B"/>
    <w:rsid w:val="00C052B0"/>
    <w:rsid w:val="00C12293"/>
    <w:rsid w:val="00C12F4B"/>
    <w:rsid w:val="00C174AF"/>
    <w:rsid w:val="00C20553"/>
    <w:rsid w:val="00C24B99"/>
    <w:rsid w:val="00C27B17"/>
    <w:rsid w:val="00C41FB0"/>
    <w:rsid w:val="00C44D67"/>
    <w:rsid w:val="00C47AE4"/>
    <w:rsid w:val="00C54D4A"/>
    <w:rsid w:val="00C57F08"/>
    <w:rsid w:val="00C6153C"/>
    <w:rsid w:val="00C64A72"/>
    <w:rsid w:val="00C75112"/>
    <w:rsid w:val="00C75DE8"/>
    <w:rsid w:val="00C76E8E"/>
    <w:rsid w:val="00C86B0E"/>
    <w:rsid w:val="00C90363"/>
    <w:rsid w:val="00C9096D"/>
    <w:rsid w:val="00C91A60"/>
    <w:rsid w:val="00C9236E"/>
    <w:rsid w:val="00C9759E"/>
    <w:rsid w:val="00CA5397"/>
    <w:rsid w:val="00CA5976"/>
    <w:rsid w:val="00CB04D8"/>
    <w:rsid w:val="00CC26B8"/>
    <w:rsid w:val="00CC4674"/>
    <w:rsid w:val="00CC6660"/>
    <w:rsid w:val="00CD02D1"/>
    <w:rsid w:val="00CE3B0D"/>
    <w:rsid w:val="00CF2786"/>
    <w:rsid w:val="00CF367A"/>
    <w:rsid w:val="00CF6954"/>
    <w:rsid w:val="00CF7BB6"/>
    <w:rsid w:val="00CF7BDE"/>
    <w:rsid w:val="00D01D1E"/>
    <w:rsid w:val="00D02CC3"/>
    <w:rsid w:val="00D03913"/>
    <w:rsid w:val="00D05F3E"/>
    <w:rsid w:val="00D066C5"/>
    <w:rsid w:val="00D21112"/>
    <w:rsid w:val="00D256DD"/>
    <w:rsid w:val="00D307B5"/>
    <w:rsid w:val="00D31CEB"/>
    <w:rsid w:val="00D34336"/>
    <w:rsid w:val="00D34E10"/>
    <w:rsid w:val="00D358B0"/>
    <w:rsid w:val="00D44F14"/>
    <w:rsid w:val="00D450EA"/>
    <w:rsid w:val="00D452C6"/>
    <w:rsid w:val="00D45BE5"/>
    <w:rsid w:val="00D53F84"/>
    <w:rsid w:val="00D54D37"/>
    <w:rsid w:val="00D56519"/>
    <w:rsid w:val="00D56C71"/>
    <w:rsid w:val="00D61BFB"/>
    <w:rsid w:val="00D636AB"/>
    <w:rsid w:val="00D639BB"/>
    <w:rsid w:val="00D63C72"/>
    <w:rsid w:val="00D647D1"/>
    <w:rsid w:val="00D64F72"/>
    <w:rsid w:val="00D751D8"/>
    <w:rsid w:val="00D75735"/>
    <w:rsid w:val="00D7628B"/>
    <w:rsid w:val="00D767D3"/>
    <w:rsid w:val="00D77A91"/>
    <w:rsid w:val="00D77C74"/>
    <w:rsid w:val="00D826B8"/>
    <w:rsid w:val="00D82CC0"/>
    <w:rsid w:val="00D851DF"/>
    <w:rsid w:val="00D90837"/>
    <w:rsid w:val="00D923D3"/>
    <w:rsid w:val="00D923EB"/>
    <w:rsid w:val="00D93C65"/>
    <w:rsid w:val="00D95BB3"/>
    <w:rsid w:val="00D96C86"/>
    <w:rsid w:val="00DA0A18"/>
    <w:rsid w:val="00DA10F5"/>
    <w:rsid w:val="00DA2DB5"/>
    <w:rsid w:val="00DB07D8"/>
    <w:rsid w:val="00DB4447"/>
    <w:rsid w:val="00DB65CD"/>
    <w:rsid w:val="00DB71C9"/>
    <w:rsid w:val="00DC0ECD"/>
    <w:rsid w:val="00DC1B9D"/>
    <w:rsid w:val="00DC2161"/>
    <w:rsid w:val="00DC6265"/>
    <w:rsid w:val="00DC690D"/>
    <w:rsid w:val="00DC7512"/>
    <w:rsid w:val="00DD4814"/>
    <w:rsid w:val="00DD6FBB"/>
    <w:rsid w:val="00DE0B7B"/>
    <w:rsid w:val="00DE625F"/>
    <w:rsid w:val="00DE7891"/>
    <w:rsid w:val="00DF1194"/>
    <w:rsid w:val="00DF32A3"/>
    <w:rsid w:val="00DF4610"/>
    <w:rsid w:val="00DF6B04"/>
    <w:rsid w:val="00E00240"/>
    <w:rsid w:val="00E01D50"/>
    <w:rsid w:val="00E03126"/>
    <w:rsid w:val="00E147C4"/>
    <w:rsid w:val="00E1696A"/>
    <w:rsid w:val="00E216FE"/>
    <w:rsid w:val="00E21F49"/>
    <w:rsid w:val="00E26B70"/>
    <w:rsid w:val="00E300BE"/>
    <w:rsid w:val="00E32823"/>
    <w:rsid w:val="00E3569C"/>
    <w:rsid w:val="00E36483"/>
    <w:rsid w:val="00E366C7"/>
    <w:rsid w:val="00E44DD2"/>
    <w:rsid w:val="00E46EEA"/>
    <w:rsid w:val="00E50AFD"/>
    <w:rsid w:val="00E5504B"/>
    <w:rsid w:val="00E5512D"/>
    <w:rsid w:val="00E617C9"/>
    <w:rsid w:val="00E63DC6"/>
    <w:rsid w:val="00E658E8"/>
    <w:rsid w:val="00E6611B"/>
    <w:rsid w:val="00E70CF3"/>
    <w:rsid w:val="00E75E78"/>
    <w:rsid w:val="00E83CAB"/>
    <w:rsid w:val="00E86986"/>
    <w:rsid w:val="00E91877"/>
    <w:rsid w:val="00E9242D"/>
    <w:rsid w:val="00E9493E"/>
    <w:rsid w:val="00E96498"/>
    <w:rsid w:val="00E96576"/>
    <w:rsid w:val="00EA1AD9"/>
    <w:rsid w:val="00EA458C"/>
    <w:rsid w:val="00EB259F"/>
    <w:rsid w:val="00EB30F8"/>
    <w:rsid w:val="00EB36BF"/>
    <w:rsid w:val="00EB3BB6"/>
    <w:rsid w:val="00EB3F7F"/>
    <w:rsid w:val="00EB40E8"/>
    <w:rsid w:val="00EB676E"/>
    <w:rsid w:val="00EB77B1"/>
    <w:rsid w:val="00EC0F46"/>
    <w:rsid w:val="00EC20D4"/>
    <w:rsid w:val="00EC2DD5"/>
    <w:rsid w:val="00EC36DD"/>
    <w:rsid w:val="00EC36E4"/>
    <w:rsid w:val="00EC3D57"/>
    <w:rsid w:val="00EC75D7"/>
    <w:rsid w:val="00ED237B"/>
    <w:rsid w:val="00ED37E3"/>
    <w:rsid w:val="00ED48B6"/>
    <w:rsid w:val="00ED6D2B"/>
    <w:rsid w:val="00EE095F"/>
    <w:rsid w:val="00EE0AB7"/>
    <w:rsid w:val="00EE1A97"/>
    <w:rsid w:val="00EE1B4B"/>
    <w:rsid w:val="00EE4EDF"/>
    <w:rsid w:val="00EE4F06"/>
    <w:rsid w:val="00EF062E"/>
    <w:rsid w:val="00EF2BB5"/>
    <w:rsid w:val="00EF3805"/>
    <w:rsid w:val="00EF6B5B"/>
    <w:rsid w:val="00EF7F3E"/>
    <w:rsid w:val="00F0026D"/>
    <w:rsid w:val="00F01490"/>
    <w:rsid w:val="00F03ED1"/>
    <w:rsid w:val="00F06D2E"/>
    <w:rsid w:val="00F109C0"/>
    <w:rsid w:val="00F11C7D"/>
    <w:rsid w:val="00F11E9F"/>
    <w:rsid w:val="00F14CE7"/>
    <w:rsid w:val="00F175AA"/>
    <w:rsid w:val="00F22225"/>
    <w:rsid w:val="00F238FD"/>
    <w:rsid w:val="00F30362"/>
    <w:rsid w:val="00F31160"/>
    <w:rsid w:val="00F34442"/>
    <w:rsid w:val="00F36306"/>
    <w:rsid w:val="00F42A95"/>
    <w:rsid w:val="00F44E7D"/>
    <w:rsid w:val="00F454DC"/>
    <w:rsid w:val="00F45839"/>
    <w:rsid w:val="00F5276F"/>
    <w:rsid w:val="00F52B88"/>
    <w:rsid w:val="00F57876"/>
    <w:rsid w:val="00F6140D"/>
    <w:rsid w:val="00F61DD4"/>
    <w:rsid w:val="00F710A7"/>
    <w:rsid w:val="00F71EAD"/>
    <w:rsid w:val="00F7305C"/>
    <w:rsid w:val="00F74D59"/>
    <w:rsid w:val="00F757AD"/>
    <w:rsid w:val="00F8092D"/>
    <w:rsid w:val="00F879CB"/>
    <w:rsid w:val="00F94E50"/>
    <w:rsid w:val="00F967D4"/>
    <w:rsid w:val="00FA6E2A"/>
    <w:rsid w:val="00FB2A71"/>
    <w:rsid w:val="00FB4B37"/>
    <w:rsid w:val="00FB5528"/>
    <w:rsid w:val="00FB5746"/>
    <w:rsid w:val="00FB7554"/>
    <w:rsid w:val="00FC2A47"/>
    <w:rsid w:val="00FD051F"/>
    <w:rsid w:val="00FD2203"/>
    <w:rsid w:val="00FE12EF"/>
    <w:rsid w:val="00FE1DA1"/>
    <w:rsid w:val="00FE285D"/>
    <w:rsid w:val="00FE3841"/>
    <w:rsid w:val="00FE5AED"/>
    <w:rsid w:val="00FE6544"/>
    <w:rsid w:val="00FE6913"/>
    <w:rsid w:val="00FF63EA"/>
    <w:rsid w:val="00FF68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32D3BC"/>
  <w15:docId w15:val="{87F313FF-B558-447F-A2B7-D7F077CE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59793D"/>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link w:val="iCar"/>
    <w:qFormat/>
    <w:rsid w:val="000655E9"/>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link w:val="sumtexteCar"/>
    <w:uiPriority w:val="99"/>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link w:val="iparaCar"/>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C9096D"/>
    <w:rPr>
      <w:rFonts w:ascii="Tahoma" w:hAnsi="Tahoma" w:cs="Tahoma"/>
      <w:sz w:val="16"/>
      <w:szCs w:val="16"/>
    </w:rPr>
  </w:style>
  <w:style w:type="character" w:customStyle="1" w:styleId="iCar">
    <w:name w:val="i) Car"/>
    <w:link w:val="i"/>
    <w:rsid w:val="000655E9"/>
    <w:rPr>
      <w:rFonts w:ascii="Arial" w:hAnsi="Arial" w:cs="Arial"/>
      <w:sz w:val="18"/>
      <w:szCs w:val="18"/>
      <w:lang w:eastAsia="fr-FR"/>
    </w:rPr>
  </w:style>
  <w:style w:type="character" w:customStyle="1" w:styleId="iparaCar">
    <w:name w:val="i_para Car"/>
    <w:basedOn w:val="iCar"/>
    <w:link w:val="ipara"/>
    <w:rsid w:val="00F57876"/>
    <w:rPr>
      <w:rFonts w:ascii="Arial" w:hAnsi="Arial" w:cs="Arial"/>
      <w:sz w:val="18"/>
      <w:szCs w:val="18"/>
      <w:lang w:val="en-GB" w:eastAsia="fr-FR" w:bidi="ar-SA"/>
    </w:rPr>
  </w:style>
  <w:style w:type="character" w:styleId="Lienhypertexte">
    <w:name w:val="Hyperlink"/>
    <w:rsid w:val="00AB7CA1"/>
    <w:rPr>
      <w:color w:val="0000FF"/>
      <w:u w:val="single"/>
    </w:rPr>
  </w:style>
  <w:style w:type="character" w:styleId="Marquedecommentaire">
    <w:name w:val="annotation reference"/>
    <w:semiHidden/>
    <w:rsid w:val="006C70C7"/>
    <w:rPr>
      <w:sz w:val="16"/>
      <w:szCs w:val="16"/>
    </w:rPr>
  </w:style>
  <w:style w:type="paragraph" w:styleId="Commentaire">
    <w:name w:val="annotation text"/>
    <w:basedOn w:val="Normal"/>
    <w:semiHidden/>
    <w:rsid w:val="006C70C7"/>
  </w:style>
  <w:style w:type="paragraph" w:styleId="Objetducommentaire">
    <w:name w:val="annotation subject"/>
    <w:basedOn w:val="Commentaire"/>
    <w:next w:val="Commentaire"/>
    <w:semiHidden/>
    <w:rsid w:val="006C70C7"/>
    <w:rPr>
      <w:b/>
      <w:bCs/>
    </w:rPr>
  </w:style>
  <w:style w:type="character" w:customStyle="1" w:styleId="iCar1">
    <w:name w:val="i) Car1"/>
    <w:locked/>
    <w:rsid w:val="007326B6"/>
    <w:rPr>
      <w:rFonts w:ascii="Arial" w:hAnsi="Arial" w:cs="Arial"/>
      <w:sz w:val="18"/>
      <w:szCs w:val="18"/>
      <w:lang w:val="en-GB" w:eastAsia="fr-FR"/>
    </w:rPr>
  </w:style>
  <w:style w:type="character" w:customStyle="1" w:styleId="En-tteCar">
    <w:name w:val="En-tête Car"/>
    <w:link w:val="En-tte"/>
    <w:rsid w:val="004A21DB"/>
    <w:rPr>
      <w:lang w:eastAsia="fr-FR"/>
    </w:rPr>
  </w:style>
  <w:style w:type="paragraph" w:customStyle="1" w:styleId="Reflabnote">
    <w:name w:val="Ref_lab_note"/>
    <w:basedOn w:val="Normal"/>
    <w:link w:val="ReflabnoteCar"/>
    <w:rsid w:val="008C1EBC"/>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8C1EBC"/>
    <w:rPr>
      <w:rFonts w:ascii="Arial" w:hAnsi="Arial" w:cs="Arial"/>
      <w:sz w:val="18"/>
      <w:szCs w:val="18"/>
      <w:lang w:eastAsia="fr-FR"/>
    </w:rPr>
  </w:style>
  <w:style w:type="paragraph" w:customStyle="1" w:styleId="TableHead">
    <w:name w:val="Table Head"/>
    <w:basedOn w:val="Normal"/>
    <w:rsid w:val="00332040"/>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332040"/>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E96498"/>
    <w:pPr>
      <w:tabs>
        <w:tab w:val="clear" w:pos="-720"/>
      </w:tabs>
      <w:spacing w:after="120" w:line="240" w:lineRule="auto"/>
      <w:jc w:val="center"/>
    </w:pPr>
    <w:rPr>
      <w:rFonts w:ascii="Ottawa" w:hAnsi="Ottawa"/>
      <w:b/>
      <w:bCs/>
      <w:i/>
      <w:sz w:val="18"/>
      <w:szCs w:val="22"/>
      <w:lang w:val="en-IE" w:eastAsia="en-US" w:bidi="en-US"/>
    </w:rPr>
  </w:style>
  <w:style w:type="paragraph" w:styleId="Textebrut">
    <w:name w:val="Plain Text"/>
    <w:basedOn w:val="Normal"/>
    <w:link w:val="TextebrutCar"/>
    <w:uiPriority w:val="99"/>
    <w:unhideWhenUsed/>
    <w:rsid w:val="00332040"/>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332040"/>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rsid w:val="00D066C5"/>
    <w:rPr>
      <w:lang w:eastAsia="fr-FR"/>
    </w:rPr>
  </w:style>
  <w:style w:type="paragraph" w:customStyle="1" w:styleId="A1">
    <w:name w:val="A1"/>
    <w:basedOn w:val="Titre1"/>
    <w:qFormat/>
    <w:rsid w:val="00A662C5"/>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A662C5"/>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A662C5"/>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A662C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A662C5"/>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A662C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A662C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A662C5"/>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A662C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A662C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A662C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A662C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A662C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A662C5"/>
    <w:pPr>
      <w:spacing w:after="120"/>
      <w:ind w:hanging="425"/>
    </w:pPr>
  </w:style>
  <w:style w:type="paragraph" w:styleId="Rvision">
    <w:name w:val="Revision"/>
    <w:hidden/>
    <w:uiPriority w:val="99"/>
    <w:semiHidden/>
    <w:rsid w:val="00692795"/>
    <w:rPr>
      <w:lang w:eastAsia="fr-FR"/>
    </w:rPr>
  </w:style>
  <w:style w:type="character" w:customStyle="1" w:styleId="Mentionnonrsolue1">
    <w:name w:val="Mention non résolue1"/>
    <w:basedOn w:val="Policepardfaut"/>
    <w:uiPriority w:val="99"/>
    <w:semiHidden/>
    <w:unhideWhenUsed/>
    <w:rsid w:val="007D6723"/>
    <w:rPr>
      <w:color w:val="605E5C"/>
      <w:shd w:val="clear" w:color="auto" w:fill="E1DFDD"/>
    </w:rPr>
  </w:style>
  <w:style w:type="character" w:customStyle="1" w:styleId="period">
    <w:name w:val="period"/>
    <w:basedOn w:val="Policepardfaut"/>
    <w:rsid w:val="00602621"/>
  </w:style>
  <w:style w:type="character" w:customStyle="1" w:styleId="cit">
    <w:name w:val="cit"/>
    <w:basedOn w:val="Policepardfaut"/>
    <w:rsid w:val="00602621"/>
  </w:style>
  <w:style w:type="character" w:customStyle="1" w:styleId="citation-doi">
    <w:name w:val="citation-doi"/>
    <w:basedOn w:val="Policepardfaut"/>
    <w:rsid w:val="00602621"/>
  </w:style>
  <w:style w:type="character" w:customStyle="1" w:styleId="Titre1Car">
    <w:name w:val="Titre 1 Car"/>
    <w:basedOn w:val="Policepardfaut"/>
    <w:link w:val="Titre1"/>
    <w:uiPriority w:val="99"/>
    <w:locked/>
    <w:rsid w:val="00D54D37"/>
    <w:rPr>
      <w:rFonts w:ascii="Arial" w:hAnsi="Arial" w:cs="Arial"/>
      <w:b/>
      <w:bCs/>
      <w:sz w:val="24"/>
      <w:szCs w:val="24"/>
      <w:u w:val="single"/>
      <w:lang w:eastAsia="fr-FR"/>
    </w:rPr>
  </w:style>
  <w:style w:type="character" w:customStyle="1" w:styleId="sumtexteCar">
    <w:name w:val="sumtexte Car"/>
    <w:link w:val="sumtexte"/>
    <w:uiPriority w:val="99"/>
    <w:locked/>
    <w:rsid w:val="00D54D37"/>
    <w:rPr>
      <w:rFonts w:ascii="Arial" w:hAnsi="Arial" w:cs="Arial"/>
      <w:i/>
      <w:iCs/>
      <w:sz w:val="18"/>
      <w:szCs w:val="18"/>
      <w:lang w:eastAsia="fr-FR"/>
    </w:rPr>
  </w:style>
  <w:style w:type="paragraph" w:styleId="Corpsdetexte">
    <w:name w:val="Body Text"/>
    <w:basedOn w:val="Normal"/>
    <w:link w:val="CorpsdetexteCar"/>
    <w:uiPriority w:val="99"/>
    <w:rsid w:val="00D54D37"/>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rsid w:val="00D54D37"/>
    <w:rPr>
      <w:lang w:val="fr-FR" w:eastAsia="fr-FR"/>
    </w:rPr>
  </w:style>
  <w:style w:type="table" w:customStyle="1" w:styleId="Tabelacomgrade1">
    <w:name w:val="Tabela com grade1"/>
    <w:basedOn w:val="TableauNormal"/>
    <w:next w:val="Grilledutableau"/>
    <w:uiPriority w:val="39"/>
    <w:rsid w:val="007C771B"/>
    <w:rPr>
      <w:rFonts w:ascii="Calibri" w:eastAsia="Calibri" w:hAnsi="Calibr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leauNormal"/>
    <w:next w:val="Grilledutableau"/>
    <w:uiPriority w:val="39"/>
    <w:rsid w:val="007C771B"/>
    <w:rPr>
      <w:rFonts w:ascii="Calibri" w:eastAsia="Calibri" w:hAnsi="Calibr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7C7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11740">
      <w:bodyDiv w:val="1"/>
      <w:marLeft w:val="0"/>
      <w:marRight w:val="0"/>
      <w:marTop w:val="0"/>
      <w:marBottom w:val="0"/>
      <w:divBdr>
        <w:top w:val="none" w:sz="0" w:space="0" w:color="auto"/>
        <w:left w:val="none" w:sz="0" w:space="0" w:color="auto"/>
        <w:bottom w:val="none" w:sz="0" w:space="0" w:color="auto"/>
        <w:right w:val="none" w:sz="0" w:space="0" w:color="auto"/>
      </w:divBdr>
      <w:divsChild>
        <w:div w:id="665983065">
          <w:marLeft w:val="0"/>
          <w:marRight w:val="0"/>
          <w:marTop w:val="0"/>
          <w:marBottom w:val="0"/>
          <w:divBdr>
            <w:top w:val="none" w:sz="0" w:space="0" w:color="auto"/>
            <w:left w:val="none" w:sz="0" w:space="0" w:color="auto"/>
            <w:bottom w:val="none" w:sz="0" w:space="0" w:color="auto"/>
            <w:right w:val="none" w:sz="0" w:space="0" w:color="auto"/>
          </w:divBdr>
        </w:div>
        <w:div w:id="409041304">
          <w:marLeft w:val="0"/>
          <w:marRight w:val="0"/>
          <w:marTop w:val="0"/>
          <w:marBottom w:val="0"/>
          <w:divBdr>
            <w:top w:val="none" w:sz="0" w:space="0" w:color="auto"/>
            <w:left w:val="none" w:sz="0" w:space="0" w:color="auto"/>
            <w:bottom w:val="none" w:sz="0" w:space="0" w:color="auto"/>
            <w:right w:val="none" w:sz="0" w:space="0" w:color="auto"/>
          </w:divBdr>
        </w:div>
        <w:div w:id="1658456197">
          <w:marLeft w:val="0"/>
          <w:marRight w:val="0"/>
          <w:marTop w:val="0"/>
          <w:marBottom w:val="0"/>
          <w:divBdr>
            <w:top w:val="none" w:sz="0" w:space="0" w:color="auto"/>
            <w:left w:val="none" w:sz="0" w:space="0" w:color="auto"/>
            <w:bottom w:val="none" w:sz="0" w:space="0" w:color="auto"/>
            <w:right w:val="none" w:sz="0" w:space="0" w:color="auto"/>
          </w:divBdr>
        </w:div>
        <w:div w:id="1725057689">
          <w:marLeft w:val="0"/>
          <w:marRight w:val="0"/>
          <w:marTop w:val="0"/>
          <w:marBottom w:val="0"/>
          <w:divBdr>
            <w:top w:val="none" w:sz="0" w:space="0" w:color="auto"/>
            <w:left w:val="none" w:sz="0" w:space="0" w:color="auto"/>
            <w:bottom w:val="none" w:sz="0" w:space="0" w:color="auto"/>
            <w:right w:val="none" w:sz="0" w:space="0" w:color="auto"/>
          </w:divBdr>
        </w:div>
        <w:div w:id="7680923">
          <w:marLeft w:val="0"/>
          <w:marRight w:val="0"/>
          <w:marTop w:val="0"/>
          <w:marBottom w:val="0"/>
          <w:divBdr>
            <w:top w:val="none" w:sz="0" w:space="0" w:color="auto"/>
            <w:left w:val="none" w:sz="0" w:space="0" w:color="auto"/>
            <w:bottom w:val="none" w:sz="0" w:space="0" w:color="auto"/>
            <w:right w:val="none" w:sz="0" w:space="0" w:color="auto"/>
          </w:divBdr>
        </w:div>
        <w:div w:id="1633124184">
          <w:marLeft w:val="0"/>
          <w:marRight w:val="0"/>
          <w:marTop w:val="0"/>
          <w:marBottom w:val="0"/>
          <w:divBdr>
            <w:top w:val="none" w:sz="0" w:space="0" w:color="auto"/>
            <w:left w:val="none" w:sz="0" w:space="0" w:color="auto"/>
            <w:bottom w:val="none" w:sz="0" w:space="0" w:color="auto"/>
            <w:right w:val="none" w:sz="0" w:space="0" w:color="auto"/>
          </w:divBdr>
        </w:div>
        <w:div w:id="215162456">
          <w:marLeft w:val="0"/>
          <w:marRight w:val="0"/>
          <w:marTop w:val="0"/>
          <w:marBottom w:val="0"/>
          <w:divBdr>
            <w:top w:val="none" w:sz="0" w:space="0" w:color="auto"/>
            <w:left w:val="none" w:sz="0" w:space="0" w:color="auto"/>
            <w:bottom w:val="none" w:sz="0" w:space="0" w:color="auto"/>
            <w:right w:val="none" w:sz="0" w:space="0" w:color="auto"/>
          </w:divBdr>
        </w:div>
        <w:div w:id="436364092">
          <w:marLeft w:val="0"/>
          <w:marRight w:val="0"/>
          <w:marTop w:val="0"/>
          <w:marBottom w:val="0"/>
          <w:divBdr>
            <w:top w:val="none" w:sz="0" w:space="0" w:color="auto"/>
            <w:left w:val="none" w:sz="0" w:space="0" w:color="auto"/>
            <w:bottom w:val="none" w:sz="0" w:space="0" w:color="auto"/>
            <w:right w:val="none" w:sz="0" w:space="0" w:color="auto"/>
          </w:divBdr>
        </w:div>
        <w:div w:id="362873261">
          <w:marLeft w:val="0"/>
          <w:marRight w:val="0"/>
          <w:marTop w:val="0"/>
          <w:marBottom w:val="0"/>
          <w:divBdr>
            <w:top w:val="none" w:sz="0" w:space="0" w:color="auto"/>
            <w:left w:val="none" w:sz="0" w:space="0" w:color="auto"/>
            <w:bottom w:val="none" w:sz="0" w:space="0" w:color="auto"/>
            <w:right w:val="none" w:sz="0" w:space="0" w:color="auto"/>
          </w:divBdr>
        </w:div>
        <w:div w:id="1270620541">
          <w:marLeft w:val="0"/>
          <w:marRight w:val="0"/>
          <w:marTop w:val="0"/>
          <w:marBottom w:val="0"/>
          <w:divBdr>
            <w:top w:val="none" w:sz="0" w:space="0" w:color="auto"/>
            <w:left w:val="none" w:sz="0" w:space="0" w:color="auto"/>
            <w:bottom w:val="none" w:sz="0" w:space="0" w:color="auto"/>
            <w:right w:val="none" w:sz="0" w:space="0" w:color="auto"/>
          </w:divBdr>
        </w:div>
        <w:div w:id="1322082566">
          <w:marLeft w:val="0"/>
          <w:marRight w:val="0"/>
          <w:marTop w:val="0"/>
          <w:marBottom w:val="0"/>
          <w:divBdr>
            <w:top w:val="none" w:sz="0" w:space="0" w:color="auto"/>
            <w:left w:val="none" w:sz="0" w:space="0" w:color="auto"/>
            <w:bottom w:val="none" w:sz="0" w:space="0" w:color="auto"/>
            <w:right w:val="none" w:sz="0" w:space="0" w:color="auto"/>
          </w:divBdr>
        </w:div>
        <w:div w:id="1190948663">
          <w:marLeft w:val="0"/>
          <w:marRight w:val="0"/>
          <w:marTop w:val="0"/>
          <w:marBottom w:val="0"/>
          <w:divBdr>
            <w:top w:val="none" w:sz="0" w:space="0" w:color="auto"/>
            <w:left w:val="none" w:sz="0" w:space="0" w:color="auto"/>
            <w:bottom w:val="none" w:sz="0" w:space="0" w:color="auto"/>
            <w:right w:val="none" w:sz="0" w:space="0" w:color="auto"/>
          </w:divBdr>
        </w:div>
        <w:div w:id="1285649494">
          <w:marLeft w:val="0"/>
          <w:marRight w:val="0"/>
          <w:marTop w:val="0"/>
          <w:marBottom w:val="0"/>
          <w:divBdr>
            <w:top w:val="none" w:sz="0" w:space="0" w:color="auto"/>
            <w:left w:val="none" w:sz="0" w:space="0" w:color="auto"/>
            <w:bottom w:val="none" w:sz="0" w:space="0" w:color="auto"/>
            <w:right w:val="none" w:sz="0" w:space="0" w:color="auto"/>
          </w:divBdr>
        </w:div>
        <w:div w:id="824127527">
          <w:marLeft w:val="0"/>
          <w:marRight w:val="0"/>
          <w:marTop w:val="0"/>
          <w:marBottom w:val="0"/>
          <w:divBdr>
            <w:top w:val="none" w:sz="0" w:space="0" w:color="auto"/>
            <w:left w:val="none" w:sz="0" w:space="0" w:color="auto"/>
            <w:bottom w:val="none" w:sz="0" w:space="0" w:color="auto"/>
            <w:right w:val="none" w:sz="0" w:space="0" w:color="auto"/>
          </w:divBdr>
        </w:div>
        <w:div w:id="1531186516">
          <w:marLeft w:val="0"/>
          <w:marRight w:val="0"/>
          <w:marTop w:val="0"/>
          <w:marBottom w:val="0"/>
          <w:divBdr>
            <w:top w:val="none" w:sz="0" w:space="0" w:color="auto"/>
            <w:left w:val="none" w:sz="0" w:space="0" w:color="auto"/>
            <w:bottom w:val="none" w:sz="0" w:space="0" w:color="auto"/>
            <w:right w:val="none" w:sz="0" w:space="0" w:color="auto"/>
          </w:divBdr>
        </w:div>
        <w:div w:id="1523321287">
          <w:marLeft w:val="0"/>
          <w:marRight w:val="0"/>
          <w:marTop w:val="0"/>
          <w:marBottom w:val="0"/>
          <w:divBdr>
            <w:top w:val="none" w:sz="0" w:space="0" w:color="auto"/>
            <w:left w:val="none" w:sz="0" w:space="0" w:color="auto"/>
            <w:bottom w:val="none" w:sz="0" w:space="0" w:color="auto"/>
            <w:right w:val="none" w:sz="0" w:space="0" w:color="auto"/>
          </w:divBdr>
        </w:div>
      </w:divsChild>
    </w:div>
    <w:div w:id="824277636">
      <w:bodyDiv w:val="1"/>
      <w:marLeft w:val="0"/>
      <w:marRight w:val="0"/>
      <w:marTop w:val="0"/>
      <w:marBottom w:val="0"/>
      <w:divBdr>
        <w:top w:val="none" w:sz="0" w:space="0" w:color="auto"/>
        <w:left w:val="none" w:sz="0" w:space="0" w:color="auto"/>
        <w:bottom w:val="none" w:sz="0" w:space="0" w:color="auto"/>
        <w:right w:val="none" w:sz="0" w:space="0" w:color="auto"/>
      </w:divBdr>
      <w:divsChild>
        <w:div w:id="18285433">
          <w:marLeft w:val="0"/>
          <w:marRight w:val="0"/>
          <w:marTop w:val="0"/>
          <w:marBottom w:val="0"/>
          <w:divBdr>
            <w:top w:val="none" w:sz="0" w:space="0" w:color="auto"/>
            <w:left w:val="none" w:sz="0" w:space="0" w:color="auto"/>
            <w:bottom w:val="none" w:sz="0" w:space="0" w:color="auto"/>
            <w:right w:val="none" w:sz="0" w:space="0" w:color="auto"/>
          </w:divBdr>
        </w:div>
        <w:div w:id="1039016958">
          <w:marLeft w:val="0"/>
          <w:marRight w:val="0"/>
          <w:marTop w:val="0"/>
          <w:marBottom w:val="0"/>
          <w:divBdr>
            <w:top w:val="none" w:sz="0" w:space="0" w:color="auto"/>
            <w:left w:val="none" w:sz="0" w:space="0" w:color="auto"/>
            <w:bottom w:val="none" w:sz="0" w:space="0" w:color="auto"/>
            <w:right w:val="none" w:sz="0" w:space="0" w:color="auto"/>
          </w:divBdr>
        </w:div>
        <w:div w:id="1457943406">
          <w:marLeft w:val="0"/>
          <w:marRight w:val="0"/>
          <w:marTop w:val="0"/>
          <w:marBottom w:val="0"/>
          <w:divBdr>
            <w:top w:val="none" w:sz="0" w:space="0" w:color="auto"/>
            <w:left w:val="none" w:sz="0" w:space="0" w:color="auto"/>
            <w:bottom w:val="none" w:sz="0" w:space="0" w:color="auto"/>
            <w:right w:val="none" w:sz="0" w:space="0" w:color="auto"/>
          </w:divBdr>
        </w:div>
        <w:div w:id="2032413338">
          <w:marLeft w:val="0"/>
          <w:marRight w:val="0"/>
          <w:marTop w:val="0"/>
          <w:marBottom w:val="0"/>
          <w:divBdr>
            <w:top w:val="none" w:sz="0" w:space="0" w:color="auto"/>
            <w:left w:val="none" w:sz="0" w:space="0" w:color="auto"/>
            <w:bottom w:val="none" w:sz="0" w:space="0" w:color="auto"/>
            <w:right w:val="none" w:sz="0" w:space="0" w:color="auto"/>
          </w:divBdr>
        </w:div>
        <w:div w:id="1924412320">
          <w:marLeft w:val="0"/>
          <w:marRight w:val="0"/>
          <w:marTop w:val="0"/>
          <w:marBottom w:val="0"/>
          <w:divBdr>
            <w:top w:val="none" w:sz="0" w:space="0" w:color="auto"/>
            <w:left w:val="none" w:sz="0" w:space="0" w:color="auto"/>
            <w:bottom w:val="none" w:sz="0" w:space="0" w:color="auto"/>
            <w:right w:val="none" w:sz="0" w:space="0" w:color="auto"/>
          </w:divBdr>
        </w:div>
        <w:div w:id="125315840">
          <w:marLeft w:val="0"/>
          <w:marRight w:val="0"/>
          <w:marTop w:val="0"/>
          <w:marBottom w:val="0"/>
          <w:divBdr>
            <w:top w:val="none" w:sz="0" w:space="0" w:color="auto"/>
            <w:left w:val="none" w:sz="0" w:space="0" w:color="auto"/>
            <w:bottom w:val="none" w:sz="0" w:space="0" w:color="auto"/>
            <w:right w:val="none" w:sz="0" w:space="0" w:color="auto"/>
          </w:divBdr>
        </w:div>
        <w:div w:id="776412042">
          <w:marLeft w:val="0"/>
          <w:marRight w:val="0"/>
          <w:marTop w:val="0"/>
          <w:marBottom w:val="0"/>
          <w:divBdr>
            <w:top w:val="none" w:sz="0" w:space="0" w:color="auto"/>
            <w:left w:val="none" w:sz="0" w:space="0" w:color="auto"/>
            <w:bottom w:val="none" w:sz="0" w:space="0" w:color="auto"/>
            <w:right w:val="none" w:sz="0" w:space="0" w:color="auto"/>
          </w:divBdr>
        </w:div>
        <w:div w:id="258876363">
          <w:marLeft w:val="0"/>
          <w:marRight w:val="0"/>
          <w:marTop w:val="0"/>
          <w:marBottom w:val="0"/>
          <w:divBdr>
            <w:top w:val="none" w:sz="0" w:space="0" w:color="auto"/>
            <w:left w:val="none" w:sz="0" w:space="0" w:color="auto"/>
            <w:bottom w:val="none" w:sz="0" w:space="0" w:color="auto"/>
            <w:right w:val="none" w:sz="0" w:space="0" w:color="auto"/>
          </w:divBdr>
        </w:div>
        <w:div w:id="977807899">
          <w:marLeft w:val="0"/>
          <w:marRight w:val="0"/>
          <w:marTop w:val="0"/>
          <w:marBottom w:val="0"/>
          <w:divBdr>
            <w:top w:val="none" w:sz="0" w:space="0" w:color="auto"/>
            <w:left w:val="none" w:sz="0" w:space="0" w:color="auto"/>
            <w:bottom w:val="none" w:sz="0" w:space="0" w:color="auto"/>
            <w:right w:val="none" w:sz="0" w:space="0" w:color="auto"/>
          </w:divBdr>
        </w:div>
        <w:div w:id="1739084455">
          <w:marLeft w:val="0"/>
          <w:marRight w:val="0"/>
          <w:marTop w:val="0"/>
          <w:marBottom w:val="0"/>
          <w:divBdr>
            <w:top w:val="none" w:sz="0" w:space="0" w:color="auto"/>
            <w:left w:val="none" w:sz="0" w:space="0" w:color="auto"/>
            <w:bottom w:val="none" w:sz="0" w:space="0" w:color="auto"/>
            <w:right w:val="none" w:sz="0" w:space="0" w:color="auto"/>
          </w:divBdr>
        </w:div>
        <w:div w:id="1677878684">
          <w:marLeft w:val="0"/>
          <w:marRight w:val="0"/>
          <w:marTop w:val="0"/>
          <w:marBottom w:val="0"/>
          <w:divBdr>
            <w:top w:val="none" w:sz="0" w:space="0" w:color="auto"/>
            <w:left w:val="none" w:sz="0" w:space="0" w:color="auto"/>
            <w:bottom w:val="none" w:sz="0" w:space="0" w:color="auto"/>
            <w:right w:val="none" w:sz="0" w:space="0" w:color="auto"/>
          </w:divBdr>
        </w:div>
        <w:div w:id="1133524819">
          <w:marLeft w:val="0"/>
          <w:marRight w:val="0"/>
          <w:marTop w:val="0"/>
          <w:marBottom w:val="0"/>
          <w:divBdr>
            <w:top w:val="none" w:sz="0" w:space="0" w:color="auto"/>
            <w:left w:val="none" w:sz="0" w:space="0" w:color="auto"/>
            <w:bottom w:val="none" w:sz="0" w:space="0" w:color="auto"/>
            <w:right w:val="none" w:sz="0" w:space="0" w:color="auto"/>
          </w:divBdr>
        </w:div>
        <w:div w:id="114056820">
          <w:marLeft w:val="0"/>
          <w:marRight w:val="0"/>
          <w:marTop w:val="0"/>
          <w:marBottom w:val="0"/>
          <w:divBdr>
            <w:top w:val="none" w:sz="0" w:space="0" w:color="auto"/>
            <w:left w:val="none" w:sz="0" w:space="0" w:color="auto"/>
            <w:bottom w:val="none" w:sz="0" w:space="0" w:color="auto"/>
            <w:right w:val="none" w:sz="0" w:space="0" w:color="auto"/>
          </w:divBdr>
        </w:div>
      </w:divsChild>
    </w:div>
    <w:div w:id="1014922217">
      <w:bodyDiv w:val="1"/>
      <w:marLeft w:val="0"/>
      <w:marRight w:val="0"/>
      <w:marTop w:val="0"/>
      <w:marBottom w:val="0"/>
      <w:divBdr>
        <w:top w:val="none" w:sz="0" w:space="0" w:color="auto"/>
        <w:left w:val="none" w:sz="0" w:space="0" w:color="auto"/>
        <w:bottom w:val="none" w:sz="0" w:space="0" w:color="auto"/>
        <w:right w:val="none" w:sz="0" w:space="0" w:color="auto"/>
      </w:divBdr>
    </w:div>
    <w:div w:id="1049651999">
      <w:bodyDiv w:val="1"/>
      <w:marLeft w:val="0"/>
      <w:marRight w:val="0"/>
      <w:marTop w:val="0"/>
      <w:marBottom w:val="0"/>
      <w:divBdr>
        <w:top w:val="none" w:sz="0" w:space="0" w:color="auto"/>
        <w:left w:val="none" w:sz="0" w:space="0" w:color="auto"/>
        <w:bottom w:val="none" w:sz="0" w:space="0" w:color="auto"/>
        <w:right w:val="none" w:sz="0" w:space="0" w:color="auto"/>
      </w:divBdr>
    </w:div>
    <w:div w:id="1246840383">
      <w:bodyDiv w:val="1"/>
      <w:marLeft w:val="0"/>
      <w:marRight w:val="0"/>
      <w:marTop w:val="0"/>
      <w:marBottom w:val="0"/>
      <w:divBdr>
        <w:top w:val="none" w:sz="0" w:space="0" w:color="auto"/>
        <w:left w:val="none" w:sz="0" w:space="0" w:color="auto"/>
        <w:bottom w:val="none" w:sz="0" w:space="0" w:color="auto"/>
        <w:right w:val="none" w:sz="0" w:space="0" w:color="auto"/>
      </w:divBdr>
      <w:divsChild>
        <w:div w:id="1694066904">
          <w:marLeft w:val="0"/>
          <w:marRight w:val="0"/>
          <w:marTop w:val="0"/>
          <w:marBottom w:val="0"/>
          <w:divBdr>
            <w:top w:val="none" w:sz="0" w:space="0" w:color="auto"/>
            <w:left w:val="none" w:sz="0" w:space="0" w:color="auto"/>
            <w:bottom w:val="none" w:sz="0" w:space="0" w:color="auto"/>
            <w:right w:val="none" w:sz="0" w:space="0" w:color="auto"/>
          </w:divBdr>
          <w:divsChild>
            <w:div w:id="1626544079">
              <w:marLeft w:val="0"/>
              <w:marRight w:val="0"/>
              <w:marTop w:val="0"/>
              <w:marBottom w:val="0"/>
              <w:divBdr>
                <w:top w:val="none" w:sz="0" w:space="0" w:color="auto"/>
                <w:left w:val="none" w:sz="0" w:space="0" w:color="auto"/>
                <w:bottom w:val="none" w:sz="0" w:space="0" w:color="auto"/>
                <w:right w:val="none" w:sz="0" w:space="0" w:color="auto"/>
              </w:divBdr>
              <w:divsChild>
                <w:div w:id="10576025">
                  <w:marLeft w:val="0"/>
                  <w:marRight w:val="0"/>
                  <w:marTop w:val="0"/>
                  <w:marBottom w:val="0"/>
                  <w:divBdr>
                    <w:top w:val="none" w:sz="0" w:space="0" w:color="auto"/>
                    <w:left w:val="none" w:sz="0" w:space="0" w:color="auto"/>
                    <w:bottom w:val="none" w:sz="0" w:space="0" w:color="auto"/>
                    <w:right w:val="none" w:sz="0" w:space="0" w:color="auto"/>
                  </w:divBdr>
                  <w:divsChild>
                    <w:div w:id="1921984848">
                      <w:marLeft w:val="0"/>
                      <w:marRight w:val="0"/>
                      <w:marTop w:val="0"/>
                      <w:marBottom w:val="0"/>
                      <w:divBdr>
                        <w:top w:val="none" w:sz="0" w:space="0" w:color="auto"/>
                        <w:left w:val="none" w:sz="0" w:space="0" w:color="auto"/>
                        <w:bottom w:val="none" w:sz="0" w:space="0" w:color="auto"/>
                        <w:right w:val="none" w:sz="0" w:space="0" w:color="auto"/>
                      </w:divBdr>
                      <w:divsChild>
                        <w:div w:id="130681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998624">
      <w:bodyDiv w:val="1"/>
      <w:marLeft w:val="0"/>
      <w:marRight w:val="0"/>
      <w:marTop w:val="0"/>
      <w:marBottom w:val="0"/>
      <w:divBdr>
        <w:top w:val="none" w:sz="0" w:space="0" w:color="auto"/>
        <w:left w:val="none" w:sz="0" w:space="0" w:color="auto"/>
        <w:bottom w:val="none" w:sz="0" w:space="0" w:color="auto"/>
        <w:right w:val="none" w:sz="0" w:space="0" w:color="auto"/>
      </w:divBdr>
    </w:div>
    <w:div w:id="1556699005">
      <w:bodyDiv w:val="1"/>
      <w:marLeft w:val="0"/>
      <w:marRight w:val="0"/>
      <w:marTop w:val="0"/>
      <w:marBottom w:val="0"/>
      <w:divBdr>
        <w:top w:val="none" w:sz="0" w:space="0" w:color="auto"/>
        <w:left w:val="none" w:sz="0" w:space="0" w:color="auto"/>
        <w:bottom w:val="none" w:sz="0" w:space="0" w:color="auto"/>
        <w:right w:val="none" w:sz="0" w:space="0" w:color="auto"/>
      </w:divBdr>
      <w:divsChild>
        <w:div w:id="919291147">
          <w:marLeft w:val="0"/>
          <w:marRight w:val="0"/>
          <w:marTop w:val="240"/>
          <w:marBottom w:val="0"/>
          <w:divBdr>
            <w:top w:val="none" w:sz="0" w:space="0" w:color="auto"/>
            <w:left w:val="none" w:sz="0" w:space="0" w:color="auto"/>
            <w:bottom w:val="none" w:sz="0" w:space="0" w:color="auto"/>
            <w:right w:val="none" w:sz="0" w:space="0" w:color="auto"/>
          </w:divBdr>
          <w:divsChild>
            <w:div w:id="1262104741">
              <w:marLeft w:val="0"/>
              <w:marRight w:val="0"/>
              <w:marTop w:val="240"/>
              <w:marBottom w:val="0"/>
              <w:divBdr>
                <w:top w:val="none" w:sz="0" w:space="0" w:color="auto"/>
                <w:left w:val="none" w:sz="0" w:space="0" w:color="auto"/>
                <w:bottom w:val="none" w:sz="0" w:space="0" w:color="auto"/>
                <w:right w:val="none" w:sz="0" w:space="0" w:color="auto"/>
              </w:divBdr>
              <w:divsChild>
                <w:div w:id="6421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ie.int" TargetMode="External"/><Relationship Id="rId23"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oie.int/en/scientific-expertise/reference-laboratories/list-of-laborato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1DC1F-7420-4DF4-B641-4B90A49A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19</TotalTime>
  <Pages>20</Pages>
  <Words>10886</Words>
  <Characters>62051</Characters>
  <Application>Microsoft Office Word</Application>
  <DocSecurity>0</DocSecurity>
  <Lines>517</Lines>
  <Paragraphs>145</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fmd with viaa test incl.</vt:lpstr>
      <vt:lpstr>fmd with viaa test incl.</vt:lpstr>
      <vt:lpstr>fmd with viaa test incl.</vt:lpstr>
    </vt:vector>
  </TitlesOfParts>
  <Company>USDA APHIS</Company>
  <LinksUpToDate>false</LinksUpToDate>
  <CharactersWithSpaces>72792</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13</cp:revision>
  <cp:lastPrinted>2020-09-10T14:16:00Z</cp:lastPrinted>
  <dcterms:created xsi:type="dcterms:W3CDTF">2020-09-23T09:01:00Z</dcterms:created>
  <dcterms:modified xsi:type="dcterms:W3CDTF">2020-10-19T10:32:00Z</dcterms:modified>
</cp:coreProperties>
</file>